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8B" w:rsidRPr="0043256D" w:rsidRDefault="0026268B" w:rsidP="00303A68">
      <w:pPr>
        <w:pStyle w:val="Title"/>
        <w:spacing w:line="240" w:lineRule="auto"/>
        <w:jc w:val="right"/>
      </w:pPr>
      <w:r w:rsidRPr="001D5799">
        <w:t xml:space="preserve">EXHIBIT NO. </w:t>
      </w:r>
      <w:r w:rsidRPr="0043256D">
        <w:t>____(</w:t>
      </w:r>
      <w:r w:rsidR="0052716C" w:rsidRPr="0043256D">
        <w:t>KCH</w:t>
      </w:r>
      <w:r w:rsidRPr="0043256D">
        <w:t>-</w:t>
      </w:r>
      <w:r w:rsidR="009658BA">
        <w:t>5</w:t>
      </w:r>
      <w:r w:rsidRPr="0043256D">
        <w:t>T)</w:t>
      </w:r>
    </w:p>
    <w:p w:rsidR="0026268B" w:rsidRDefault="0026268B" w:rsidP="00974715">
      <w:pPr>
        <w:pStyle w:val="Title"/>
        <w:spacing w:line="240" w:lineRule="auto"/>
        <w:jc w:val="right"/>
      </w:pPr>
      <w:r w:rsidRPr="00E95D0C">
        <w:t xml:space="preserve">DOCKET NO. </w:t>
      </w:r>
      <w:r w:rsidR="00384FE0" w:rsidRPr="00E95D0C">
        <w:t>UE-</w:t>
      </w:r>
      <w:r w:rsidR="00E95D0C">
        <w:t>130137/UG-130138</w:t>
      </w:r>
    </w:p>
    <w:p w:rsidR="00E95D0C" w:rsidRDefault="00E95D0C" w:rsidP="00E95D0C">
      <w:pPr>
        <w:pStyle w:val="Title"/>
        <w:spacing w:line="240" w:lineRule="auto"/>
        <w:jc w:val="right"/>
      </w:pPr>
      <w:r>
        <w:t>&amp; UE-121697</w:t>
      </w:r>
      <w:r w:rsidRPr="00E95D0C">
        <w:t>/UG-</w:t>
      </w:r>
      <w:r>
        <w:t>121705</w:t>
      </w:r>
    </w:p>
    <w:p w:rsidR="00E95D0C" w:rsidRPr="00E95D0C" w:rsidRDefault="00E95D0C" w:rsidP="00E95D0C">
      <w:pPr>
        <w:pStyle w:val="Title"/>
        <w:tabs>
          <w:tab w:val="left" w:pos="5840"/>
        </w:tabs>
        <w:spacing w:line="240" w:lineRule="auto"/>
        <w:jc w:val="left"/>
      </w:pPr>
    </w:p>
    <w:p w:rsidR="00303A68" w:rsidRDefault="00303A68" w:rsidP="00303A68">
      <w:pPr>
        <w:pStyle w:val="Title"/>
        <w:spacing w:line="240" w:lineRule="auto"/>
        <w:jc w:val="right"/>
      </w:pPr>
      <w:r w:rsidRPr="00E95D0C">
        <w:t>20</w:t>
      </w:r>
      <w:r w:rsidR="00CB0C13" w:rsidRPr="00E95D0C">
        <w:t>1</w:t>
      </w:r>
      <w:r w:rsidR="00E95D0C">
        <w:t>3</w:t>
      </w:r>
      <w:r w:rsidRPr="00E95D0C">
        <w:t xml:space="preserve"> PSE </w:t>
      </w:r>
      <w:r w:rsidR="00E95D0C">
        <w:t>EXPEDITED RATE FILINGS</w:t>
      </w:r>
    </w:p>
    <w:p w:rsidR="00E95D0C" w:rsidRPr="00E95D0C" w:rsidRDefault="00E95D0C" w:rsidP="00303A68">
      <w:pPr>
        <w:pStyle w:val="Title"/>
        <w:spacing w:line="240" w:lineRule="auto"/>
        <w:jc w:val="right"/>
      </w:pPr>
      <w:r>
        <w:t>&amp; DECOUPLING PROPOSALS</w:t>
      </w:r>
    </w:p>
    <w:p w:rsidR="00303A68" w:rsidRDefault="00303A68" w:rsidP="00303A68">
      <w:pPr>
        <w:pStyle w:val="Title"/>
        <w:spacing w:line="240" w:lineRule="auto"/>
        <w:jc w:val="right"/>
      </w:pPr>
      <w:r w:rsidRPr="00E95D0C">
        <w:t>WITNESS:  KEVIN C. HIGGINS</w:t>
      </w:r>
    </w:p>
    <w:p w:rsidR="0026268B" w:rsidRDefault="0026268B"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303A68" w:rsidRDefault="00303A68" w:rsidP="00303A68">
      <w:pPr>
        <w:pStyle w:val="Title"/>
        <w:spacing w:line="240" w:lineRule="auto"/>
      </w:pPr>
    </w:p>
    <w:p w:rsidR="00303A68" w:rsidRDefault="00303A68" w:rsidP="00303A68">
      <w:pPr>
        <w:pStyle w:val="Title"/>
        <w:spacing w:line="240" w:lineRule="auto"/>
      </w:pPr>
      <w:r>
        <w:t>BEFORE THE</w:t>
      </w:r>
    </w:p>
    <w:p w:rsidR="00303A68" w:rsidRDefault="00303A68" w:rsidP="00303A68">
      <w:pPr>
        <w:pStyle w:val="Title"/>
        <w:spacing w:line="240" w:lineRule="auto"/>
      </w:pPr>
      <w:r>
        <w:t>WASHINGTON UTILITIES AND TRANSPORTATION COMMISSION</w:t>
      </w:r>
    </w:p>
    <w:p w:rsidR="00303A68" w:rsidRDefault="00303A68" w:rsidP="00303A68">
      <w:pPr>
        <w:pStyle w:val="Title"/>
        <w:spacing w:line="240" w:lineRule="auto"/>
      </w:pPr>
    </w:p>
    <w:p w:rsidR="00303A68" w:rsidRPr="00513780" w:rsidRDefault="00303A68" w:rsidP="00303A68">
      <w:pPr>
        <w:pStyle w:val="Title"/>
        <w:spacing w:line="240" w:lineRule="auto"/>
        <w:jc w:val="left"/>
        <w:rPr>
          <w:highlight w:val="green"/>
        </w:rPr>
      </w:pPr>
      <w:r w:rsidRPr="00513780">
        <w:rPr>
          <w:noProof/>
          <w:highlight w:val="green"/>
        </w:rPr>
        <w:pict>
          <v:line id="_x0000_s1030" style="position:absolute;z-index:251659264" from="251.7pt,12.6pt" to="252pt,158.05pt" strokeweight="1pt">
            <w10:wrap side="left"/>
          </v:line>
        </w:pict>
      </w:r>
    </w:p>
    <w:p w:rsidR="00303A68" w:rsidRPr="00E41964" w:rsidRDefault="00303A68" w:rsidP="00303A68">
      <w:pPr>
        <w:pStyle w:val="Title"/>
        <w:tabs>
          <w:tab w:val="left" w:pos="720"/>
          <w:tab w:val="right" w:pos="4860"/>
          <w:tab w:val="left" w:pos="5760"/>
        </w:tabs>
        <w:spacing w:line="240" w:lineRule="auto"/>
        <w:jc w:val="left"/>
      </w:pPr>
      <w:r w:rsidRPr="00E41964">
        <w:t>WASHINGTON UTILITIES AND</w:t>
      </w:r>
    </w:p>
    <w:p w:rsidR="00E41964" w:rsidRDefault="00303A68" w:rsidP="00E41964">
      <w:pPr>
        <w:pStyle w:val="Title"/>
        <w:tabs>
          <w:tab w:val="left" w:pos="720"/>
          <w:tab w:val="left" w:pos="7010"/>
        </w:tabs>
        <w:spacing w:line="240" w:lineRule="auto"/>
        <w:jc w:val="left"/>
      </w:pPr>
      <w:r w:rsidRPr="00E41964">
        <w:t>TRANSPORTATION COMMISSION,</w:t>
      </w:r>
    </w:p>
    <w:p w:rsidR="00303A68" w:rsidRPr="00E41964" w:rsidRDefault="00E41964" w:rsidP="00E41964">
      <w:pPr>
        <w:pStyle w:val="Title"/>
        <w:tabs>
          <w:tab w:val="left" w:pos="720"/>
          <w:tab w:val="left" w:pos="7010"/>
        </w:tabs>
        <w:spacing w:line="240" w:lineRule="auto"/>
        <w:jc w:val="left"/>
      </w:pPr>
      <w:r>
        <w:tab/>
      </w: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Complainant,</w:t>
      </w:r>
    </w:p>
    <w:p w:rsidR="00303A68" w:rsidRPr="00E41964" w:rsidRDefault="00303A68" w:rsidP="00E42DFF">
      <w:pPr>
        <w:pStyle w:val="Title"/>
        <w:tabs>
          <w:tab w:val="left" w:pos="720"/>
          <w:tab w:val="right" w:pos="4860"/>
          <w:tab w:val="left" w:pos="5760"/>
        </w:tabs>
        <w:spacing w:line="240" w:lineRule="auto"/>
        <w:jc w:val="both"/>
      </w:pPr>
      <w:r w:rsidRPr="00E41964">
        <w:tab/>
      </w:r>
      <w:r w:rsidRPr="00E41964">
        <w:tab/>
      </w:r>
      <w:r w:rsidRPr="00E41964">
        <w:tab/>
      </w:r>
      <w:r w:rsidR="001F4274" w:rsidRPr="00E41964">
        <w:t>Docke</w:t>
      </w:r>
      <w:r w:rsidR="00482C6F" w:rsidRPr="00E41964">
        <w:t xml:space="preserve">t No. </w:t>
      </w:r>
      <w:r w:rsidR="00E41964">
        <w:t>UE-130137</w:t>
      </w:r>
    </w:p>
    <w:p w:rsidR="00303A68" w:rsidRPr="00E41964" w:rsidRDefault="00303A68" w:rsidP="00E42DFF">
      <w:pPr>
        <w:pStyle w:val="Title"/>
        <w:tabs>
          <w:tab w:val="left" w:pos="720"/>
          <w:tab w:val="right" w:pos="4860"/>
          <w:tab w:val="left" w:pos="5760"/>
        </w:tabs>
        <w:spacing w:line="240" w:lineRule="auto"/>
        <w:jc w:val="both"/>
      </w:pPr>
      <w:r w:rsidRPr="00E41964">
        <w:tab/>
        <w:t>v.</w:t>
      </w:r>
      <w:r w:rsidRPr="00E41964">
        <w:tab/>
      </w:r>
      <w:r w:rsidRPr="00E41964">
        <w:tab/>
      </w:r>
      <w:r w:rsidR="00482C6F" w:rsidRPr="00E41964">
        <w:t xml:space="preserve">Docket No. </w:t>
      </w:r>
      <w:r w:rsidR="00E41964">
        <w:t>UG-130138</w:t>
      </w:r>
    </w:p>
    <w:p w:rsidR="00E42DFF" w:rsidRPr="00E41964" w:rsidRDefault="00E41964" w:rsidP="00E42DFF">
      <w:pPr>
        <w:pStyle w:val="Title"/>
        <w:tabs>
          <w:tab w:val="left" w:pos="720"/>
          <w:tab w:val="right" w:pos="4860"/>
          <w:tab w:val="left" w:pos="5760"/>
        </w:tabs>
        <w:spacing w:line="240" w:lineRule="auto"/>
        <w:jc w:val="both"/>
      </w:pPr>
      <w:r>
        <w:tab/>
      </w:r>
      <w:r>
        <w:tab/>
      </w:r>
      <w:r>
        <w:tab/>
        <w:t>Docket No. UE-121697</w:t>
      </w:r>
    </w:p>
    <w:p w:rsidR="00303A68" w:rsidRPr="00E41964" w:rsidRDefault="00303A68" w:rsidP="00E42DFF">
      <w:pPr>
        <w:pStyle w:val="Title"/>
        <w:tabs>
          <w:tab w:val="left" w:pos="5760"/>
        </w:tabs>
        <w:spacing w:line="240" w:lineRule="auto"/>
        <w:jc w:val="both"/>
      </w:pPr>
      <w:r w:rsidRPr="00E41964">
        <w:t>PUGET SOUND ENERGY, INC.,</w:t>
      </w:r>
      <w:r w:rsidR="00CD1457">
        <w:tab/>
      </w:r>
      <w:r w:rsidR="00E41964">
        <w:t>Docket No. UG-121705</w:t>
      </w:r>
    </w:p>
    <w:p w:rsidR="00303A68" w:rsidRDefault="00303A68" w:rsidP="00303A68">
      <w:pPr>
        <w:pStyle w:val="Title"/>
        <w:tabs>
          <w:tab w:val="left" w:pos="720"/>
          <w:tab w:val="right" w:pos="4860"/>
          <w:tab w:val="left" w:pos="5760"/>
        </w:tabs>
        <w:spacing w:line="240" w:lineRule="auto"/>
        <w:jc w:val="left"/>
      </w:pPr>
    </w:p>
    <w:p w:rsidR="00303A68" w:rsidRPr="00E41964" w:rsidRDefault="00303A68" w:rsidP="00303A68">
      <w:pPr>
        <w:pStyle w:val="Title"/>
        <w:tabs>
          <w:tab w:val="left" w:pos="720"/>
          <w:tab w:val="right" w:pos="4860"/>
          <w:tab w:val="left" w:pos="5760"/>
        </w:tabs>
        <w:spacing w:line="240" w:lineRule="auto"/>
        <w:jc w:val="left"/>
      </w:pPr>
      <w:r w:rsidRPr="00E41964">
        <w:tab/>
      </w:r>
      <w:r w:rsidRPr="00E41964">
        <w:tab/>
        <w:t>Respondent.</w:t>
      </w:r>
    </w:p>
    <w:p w:rsidR="00303A68" w:rsidRDefault="00FF67BE" w:rsidP="00303A68">
      <w:pPr>
        <w:pStyle w:val="Title"/>
        <w:tabs>
          <w:tab w:val="left" w:pos="720"/>
          <w:tab w:val="right" w:pos="4860"/>
          <w:tab w:val="left" w:pos="5760"/>
        </w:tabs>
        <w:spacing w:line="240" w:lineRule="auto"/>
        <w:jc w:val="left"/>
      </w:pPr>
      <w:r w:rsidRPr="00E41964">
        <w:rPr>
          <w:noProof/>
        </w:rPr>
        <w:pict>
          <v:line id="_x0000_s1031" style="position:absolute;flip:y;z-index:251660288" from="-1.35pt,6.6pt" to="251.85pt,6.8pt" strokeweight="1pt">
            <w10:wrap side="left"/>
          </v:line>
        </w:pict>
      </w:r>
    </w:p>
    <w:p w:rsidR="00303A68" w:rsidRDefault="00303A68" w:rsidP="00303A68">
      <w:pPr>
        <w:pStyle w:val="Title"/>
        <w:tabs>
          <w:tab w:val="right" w:pos="4860"/>
        </w:tabs>
        <w:spacing w:line="240" w:lineRule="auto"/>
        <w:jc w:val="left"/>
      </w:pPr>
    </w:p>
    <w:p w:rsidR="00303A68" w:rsidRDefault="00303A68" w:rsidP="00303A68">
      <w:pPr>
        <w:pStyle w:val="Title"/>
        <w:spacing w:line="240" w:lineRule="auto"/>
        <w:jc w:val="left"/>
      </w:pPr>
    </w:p>
    <w:p w:rsidR="00303A68" w:rsidRDefault="00303A68" w:rsidP="00303A68">
      <w:pPr>
        <w:pStyle w:val="Title"/>
        <w:spacing w:line="240" w:lineRule="auto"/>
      </w:pPr>
    </w:p>
    <w:p w:rsidR="00303A68" w:rsidRDefault="00303A68"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r>
        <w:t xml:space="preserve">PREFILED </w:t>
      </w:r>
      <w:r w:rsidR="0019131B">
        <w:t>RESPONSE</w:t>
      </w:r>
      <w:r>
        <w:t xml:space="preserve"> TESTIMONY OF</w:t>
      </w:r>
    </w:p>
    <w:p w:rsidR="00FF67BE" w:rsidRDefault="00FF67BE" w:rsidP="00303A68">
      <w:pPr>
        <w:pStyle w:val="Title"/>
        <w:spacing w:line="240" w:lineRule="auto"/>
      </w:pPr>
      <w:r>
        <w:t>KEVIN C. HIGGINS</w:t>
      </w:r>
    </w:p>
    <w:p w:rsidR="00FF67BE" w:rsidRDefault="00FF67BE" w:rsidP="00303A68">
      <w:pPr>
        <w:pStyle w:val="Title"/>
        <w:spacing w:line="240" w:lineRule="auto"/>
      </w:pPr>
      <w:r>
        <w:t xml:space="preserve">ON BEHALF OF </w:t>
      </w:r>
      <w:r w:rsidR="00317BDD">
        <w:t>NUCOR STEEL SEATTLE</w:t>
      </w:r>
      <w:r w:rsidR="00033CA5">
        <w:t>,</w:t>
      </w:r>
      <w:r w:rsidR="00317BDD">
        <w:t xml:space="preserve"> INC</w:t>
      </w:r>
      <w:r>
        <w:t>.</w:t>
      </w: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FF67BE" w:rsidP="00303A68">
      <w:pPr>
        <w:pStyle w:val="Title"/>
        <w:spacing w:line="240" w:lineRule="auto"/>
      </w:pPr>
    </w:p>
    <w:p w:rsidR="00FF67BE" w:rsidRDefault="00513780" w:rsidP="00303A68">
      <w:pPr>
        <w:pStyle w:val="Title"/>
        <w:spacing w:line="240" w:lineRule="auto"/>
      </w:pPr>
      <w:r>
        <w:t>April 26</w:t>
      </w:r>
      <w:r w:rsidR="00FF67BE">
        <w:t>, 20</w:t>
      </w:r>
      <w:r w:rsidR="00CB0C13">
        <w:t>1</w:t>
      </w:r>
      <w:r>
        <w:t>3</w:t>
      </w:r>
    </w:p>
    <w:p w:rsidR="00303A68" w:rsidRDefault="00303A68" w:rsidP="00303A68">
      <w:pPr>
        <w:pStyle w:val="Title"/>
        <w:spacing w:line="240" w:lineRule="auto"/>
      </w:pPr>
    </w:p>
    <w:p w:rsidR="00303A68" w:rsidRDefault="00303A68">
      <w:pPr>
        <w:pStyle w:val="Title"/>
        <w:sectPr w:rsidR="00303A68" w:rsidSect="00303A68">
          <w:footerReference w:type="even" r:id="rId7"/>
          <w:pgSz w:w="12240" w:h="15840" w:code="1"/>
          <w:pgMar w:top="1440" w:right="1800" w:bottom="1440" w:left="1800" w:header="720" w:footer="720" w:gutter="0"/>
          <w:cols w:space="720"/>
        </w:sectPr>
      </w:pPr>
    </w:p>
    <w:p w:rsidR="00314DE7" w:rsidRPr="00D320EA" w:rsidRDefault="00314DE7" w:rsidP="00D34536">
      <w:pPr>
        <w:pStyle w:val="Title"/>
        <w:ind w:left="270" w:hanging="270"/>
      </w:pPr>
      <w:r w:rsidRPr="00D320EA">
        <w:rPr>
          <w:noProof/>
        </w:rPr>
        <w:lastRenderedPageBreak/>
        <w:pict>
          <v:line id="_x0000_s1027" style="position:absolute;left:0;text-align:left;flip:y;z-index:251656192" from="440.65pt,0" to="440.65pt,9in" strokeweight="3pt">
            <v:stroke linestyle="thinThin"/>
          </v:line>
        </w:pict>
      </w:r>
      <w:r w:rsidRPr="00D320EA">
        <w:rPr>
          <w:noProof/>
        </w:rPr>
        <w:pict>
          <v:line id="_x0000_s1026" style="position:absolute;left:0;text-align:left;flip:y;z-index:251655168" from="-4.95pt,0" to="-4.95pt,9in" strokeweight="3pt">
            <v:stroke linestyle="thinThin"/>
          </v:line>
        </w:pict>
      </w:r>
      <w:r w:rsidR="0083706E" w:rsidRPr="00D320EA">
        <w:rPr>
          <w:noProof/>
        </w:rPr>
        <w:pict>
          <v:line id="_x0000_s1029" style="position:absolute;left:0;text-align:left;flip:y;z-index:251658240" from="440.65pt,0" to="440.65pt,9in" strokeweight="3pt">
            <v:stroke linestyle="thinThin"/>
          </v:line>
        </w:pict>
      </w:r>
      <w:r w:rsidR="0083706E" w:rsidRPr="00D320EA">
        <w:rPr>
          <w:noProof/>
        </w:rPr>
        <w:pict>
          <v:line id="_x0000_s1028" style="position:absolute;left:0;text-align:left;flip:y;z-index:251657216" from="-5.05pt,0" to="-5.05pt,9in" strokeweight="3pt">
            <v:stroke linestyle="thinThin"/>
          </v:line>
        </w:pict>
      </w:r>
      <w:r w:rsidR="0019131B" w:rsidRPr="00D320EA">
        <w:t xml:space="preserve">Table </w:t>
      </w:r>
      <w:r w:rsidR="0083706E" w:rsidRPr="00D320EA">
        <w:t>of Contents</w:t>
      </w:r>
    </w:p>
    <w:p w:rsidR="006E5024" w:rsidRPr="00EB4B97" w:rsidRDefault="006E5024" w:rsidP="00BA2476">
      <w:pPr>
        <w:pStyle w:val="TOC1"/>
        <w:rPr>
          <w:noProof/>
        </w:rPr>
      </w:pPr>
      <w:r w:rsidRPr="00B35992">
        <w:rPr>
          <w:rStyle w:val="Hyperlink"/>
          <w:noProof/>
          <w:color w:val="auto"/>
          <w:u w:val="none"/>
        </w:rPr>
        <w:t>Introduction</w:t>
      </w:r>
      <w:r w:rsidRPr="00EB4B97">
        <w:rPr>
          <w:noProof/>
          <w:webHidden/>
        </w:rPr>
        <w:tab/>
      </w:r>
      <w:r w:rsidR="009F552B">
        <w:rPr>
          <w:noProof/>
          <w:webHidden/>
        </w:rPr>
        <w:t>1</w:t>
      </w:r>
    </w:p>
    <w:p w:rsidR="006E5024" w:rsidRPr="00EB4B97" w:rsidRDefault="006E5024" w:rsidP="00BA2476">
      <w:pPr>
        <w:pStyle w:val="TOC1"/>
        <w:rPr>
          <w:noProof/>
        </w:rPr>
      </w:pPr>
      <w:r w:rsidRPr="00B35992">
        <w:rPr>
          <w:rStyle w:val="Hyperlink"/>
          <w:noProof/>
          <w:color w:val="auto"/>
          <w:u w:val="none"/>
        </w:rPr>
        <w:t>Overview and Recommendations</w:t>
      </w:r>
      <w:r w:rsidRPr="00EB4B97">
        <w:rPr>
          <w:noProof/>
          <w:webHidden/>
        </w:rPr>
        <w:tab/>
      </w:r>
      <w:r w:rsidR="009F552B">
        <w:rPr>
          <w:noProof/>
          <w:webHidden/>
        </w:rPr>
        <w:t>3</w:t>
      </w:r>
    </w:p>
    <w:p w:rsidR="00D34536" w:rsidRPr="00EB4B97" w:rsidRDefault="00D34536" w:rsidP="00BA2476">
      <w:pPr>
        <w:pStyle w:val="TOC1"/>
        <w:rPr>
          <w:noProof/>
        </w:rPr>
      </w:pPr>
      <w:r w:rsidRPr="00EB4B97">
        <w:t xml:space="preserve">Expedited Rate </w:t>
      </w:r>
      <w:r w:rsidR="00D320EA" w:rsidRPr="00EB4B97">
        <w:t>F</w:t>
      </w:r>
      <w:r w:rsidRPr="00EB4B97">
        <w:t>iling</w:t>
      </w:r>
      <w:r w:rsidR="00BA2476">
        <w:tab/>
      </w:r>
      <w:r w:rsidR="00D320EA" w:rsidRPr="00EB4B97">
        <w:t>5</w:t>
      </w:r>
    </w:p>
    <w:p w:rsidR="00000564" w:rsidRPr="002E7003" w:rsidRDefault="00D320EA" w:rsidP="00BA2476">
      <w:pPr>
        <w:pStyle w:val="TOC1"/>
        <w:sectPr w:rsidR="00000564" w:rsidRPr="002E7003" w:rsidSect="0026268B">
          <w:footerReference w:type="default" r:id="rId8"/>
          <w:pgSz w:w="12240" w:h="15840" w:code="1"/>
          <w:pgMar w:top="1440" w:right="1800" w:bottom="1440" w:left="1800" w:header="720" w:footer="720" w:gutter="0"/>
          <w:lnNumType w:countBy="1"/>
          <w:pgNumType w:fmt="lowerRoman" w:start="1"/>
          <w:cols w:space="720"/>
        </w:sectPr>
      </w:pPr>
      <w:r w:rsidRPr="00EB4B97">
        <w:t>Revenue Decoupling</w:t>
      </w:r>
      <w:r w:rsidR="00BA2476">
        <w:tab/>
      </w:r>
      <w:r w:rsidR="00EB4B97" w:rsidRPr="00EB4B97">
        <w:t>6</w:t>
      </w:r>
    </w:p>
    <w:p w:rsidR="00314DE7" w:rsidRDefault="00515883">
      <w:pPr>
        <w:pStyle w:val="Title"/>
      </w:pPr>
      <w:r>
        <w:lastRenderedPageBreak/>
        <w:t>RESPONSE</w:t>
      </w:r>
      <w:r w:rsidR="00314DE7">
        <w:t xml:space="preserve"> TESTIMONY OF KEVIN C. HIGGINS</w:t>
      </w:r>
    </w:p>
    <w:p w:rsidR="00314DE7" w:rsidRDefault="00314DE7">
      <w:pPr>
        <w:spacing w:line="480" w:lineRule="auto"/>
        <w:rPr>
          <w:b/>
          <w:sz w:val="24"/>
        </w:rPr>
      </w:pPr>
    </w:p>
    <w:p w:rsidR="00314DE7" w:rsidRDefault="00314DE7">
      <w:pPr>
        <w:spacing w:line="480" w:lineRule="auto"/>
        <w:outlineLvl w:val="0"/>
        <w:rPr>
          <w:b/>
          <w:sz w:val="24"/>
          <w:u w:val="single"/>
        </w:rPr>
      </w:pPr>
      <w:bookmarkStart w:id="0" w:name="_Toc63241743"/>
      <w:bookmarkStart w:id="1" w:name="_Toc83530842"/>
      <w:bookmarkStart w:id="2" w:name="_Toc246232705"/>
      <w:r>
        <w:rPr>
          <w:b/>
          <w:sz w:val="24"/>
          <w:u w:val="single"/>
        </w:rPr>
        <w:t>Introduction</w:t>
      </w:r>
      <w:bookmarkEnd w:id="0"/>
      <w:bookmarkEnd w:id="1"/>
      <w:bookmarkEnd w:id="2"/>
    </w:p>
    <w:p w:rsidR="00314DE7" w:rsidRDefault="00314DE7">
      <w:pPr>
        <w:spacing w:line="480" w:lineRule="auto"/>
        <w:rPr>
          <w:b/>
          <w:sz w:val="24"/>
        </w:rPr>
      </w:pPr>
      <w:r>
        <w:rPr>
          <w:b/>
          <w:sz w:val="24"/>
        </w:rPr>
        <w:t>Q.</w:t>
      </w:r>
      <w:r>
        <w:rPr>
          <w:b/>
          <w:sz w:val="24"/>
        </w:rPr>
        <w:tab/>
        <w:t>Please state your name and business address.</w:t>
      </w:r>
    </w:p>
    <w:p w:rsidR="00314DE7" w:rsidRPr="00906753" w:rsidRDefault="00314DE7">
      <w:pPr>
        <w:spacing w:line="480" w:lineRule="auto"/>
        <w:ind w:left="720" w:hanging="720"/>
        <w:rPr>
          <w:sz w:val="24"/>
          <w:szCs w:val="24"/>
        </w:rPr>
      </w:pPr>
      <w:r w:rsidRPr="00906753">
        <w:rPr>
          <w:sz w:val="24"/>
          <w:szCs w:val="24"/>
        </w:rPr>
        <w:t>A.</w:t>
      </w:r>
      <w:r w:rsidRPr="00906753">
        <w:rPr>
          <w:sz w:val="24"/>
          <w:szCs w:val="24"/>
        </w:rPr>
        <w:tab/>
      </w:r>
      <w:r w:rsidRPr="00906753">
        <w:rPr>
          <w:sz w:val="24"/>
          <w:szCs w:val="24"/>
        </w:rPr>
        <w:tab/>
        <w:t xml:space="preserve">Kevin C. Higgins, </w:t>
      </w:r>
      <w:r w:rsidR="00B54AE2" w:rsidRPr="00906753">
        <w:rPr>
          <w:sz w:val="24"/>
          <w:szCs w:val="24"/>
        </w:rPr>
        <w:t>215</w:t>
      </w:r>
      <w:r w:rsidRPr="00906753">
        <w:rPr>
          <w:sz w:val="24"/>
          <w:szCs w:val="24"/>
        </w:rPr>
        <w:t xml:space="preserve"> </w:t>
      </w:r>
      <w:r w:rsidR="00B54AE2" w:rsidRPr="00906753">
        <w:rPr>
          <w:sz w:val="24"/>
          <w:szCs w:val="24"/>
        </w:rPr>
        <w:t>South State</w:t>
      </w:r>
      <w:r w:rsidRPr="00906753">
        <w:rPr>
          <w:sz w:val="24"/>
          <w:szCs w:val="24"/>
        </w:rPr>
        <w:t xml:space="preserve"> Street, Suite 200, Salt Lake City, Utah, 841</w:t>
      </w:r>
      <w:r w:rsidR="00B54AE2" w:rsidRPr="00906753">
        <w:rPr>
          <w:sz w:val="24"/>
          <w:szCs w:val="24"/>
        </w:rPr>
        <w:t>1</w:t>
      </w:r>
      <w:r w:rsidRPr="00906753">
        <w:rPr>
          <w:sz w:val="24"/>
          <w:szCs w:val="24"/>
        </w:rPr>
        <w:t>1.</w:t>
      </w:r>
    </w:p>
    <w:p w:rsidR="00314DE7" w:rsidRDefault="00906753">
      <w:pPr>
        <w:spacing w:line="480" w:lineRule="auto"/>
        <w:ind w:left="720" w:hanging="720"/>
        <w:rPr>
          <w:b/>
          <w:bCs/>
          <w:sz w:val="24"/>
        </w:rPr>
      </w:pPr>
      <w:r>
        <w:rPr>
          <w:b/>
          <w:bCs/>
          <w:sz w:val="24"/>
        </w:rPr>
        <w:t>Q.</w:t>
      </w:r>
      <w:r w:rsidR="00314DE7">
        <w:rPr>
          <w:b/>
          <w:bCs/>
          <w:sz w:val="24"/>
        </w:rPr>
        <w:tab/>
        <w:t>By whom are you employed and in what capacity?</w:t>
      </w:r>
    </w:p>
    <w:p w:rsidR="00314DE7" w:rsidRDefault="00906753">
      <w:pPr>
        <w:spacing w:line="480" w:lineRule="auto"/>
        <w:ind w:left="720" w:hanging="720"/>
        <w:rPr>
          <w:sz w:val="24"/>
        </w:rPr>
      </w:pPr>
      <w:r>
        <w:rPr>
          <w:sz w:val="24"/>
        </w:rPr>
        <w:t>A.</w:t>
      </w:r>
      <w:r w:rsidR="00314DE7">
        <w:rPr>
          <w:sz w:val="24"/>
        </w:rPr>
        <w:tab/>
      </w:r>
      <w:r w:rsidR="00314DE7">
        <w:rPr>
          <w:sz w:val="24"/>
        </w:rPr>
        <w:tab/>
        <w:t>I am a Principal in the firm of Energy Strategies, LLC.</w:t>
      </w:r>
      <w:r w:rsidR="00222CB3">
        <w:rPr>
          <w:sz w:val="24"/>
        </w:rPr>
        <w:t xml:space="preserve"> </w:t>
      </w:r>
      <w:r w:rsidR="00314DE7">
        <w:rPr>
          <w:sz w:val="24"/>
        </w:rPr>
        <w:t xml:space="preserve"> Energy Strategies is a private consulting firm specializing in economic and policy analysis applicable to energy production, transportation, and consumption.</w:t>
      </w:r>
    </w:p>
    <w:p w:rsidR="00314DE7" w:rsidRDefault="00314DE7">
      <w:pPr>
        <w:spacing w:line="480" w:lineRule="auto"/>
        <w:ind w:left="720" w:hanging="720"/>
        <w:rPr>
          <w:b/>
          <w:sz w:val="24"/>
        </w:rPr>
      </w:pPr>
      <w:r w:rsidRPr="00A54588">
        <w:rPr>
          <w:b/>
          <w:sz w:val="24"/>
        </w:rPr>
        <w:t>Q.</w:t>
      </w:r>
      <w:r w:rsidRPr="00A54588">
        <w:rPr>
          <w:b/>
          <w:sz w:val="24"/>
        </w:rPr>
        <w:tab/>
        <w:t>On whose behalf are you testifying in th</w:t>
      </w:r>
      <w:r w:rsidR="001F4274" w:rsidRPr="00A54588">
        <w:rPr>
          <w:b/>
          <w:sz w:val="24"/>
        </w:rPr>
        <w:t>e</w:t>
      </w:r>
      <w:r w:rsidRPr="00A54588">
        <w:rPr>
          <w:b/>
          <w:sz w:val="24"/>
        </w:rPr>
        <w:t xml:space="preserve"> </w:t>
      </w:r>
      <w:r w:rsidR="000C027B">
        <w:rPr>
          <w:b/>
          <w:sz w:val="24"/>
        </w:rPr>
        <w:t>gas</w:t>
      </w:r>
      <w:r w:rsidR="001F4274" w:rsidRPr="00A54588">
        <w:rPr>
          <w:b/>
          <w:sz w:val="24"/>
        </w:rPr>
        <w:t xml:space="preserve"> portion of </w:t>
      </w:r>
      <w:r w:rsidRPr="00A54588">
        <w:rPr>
          <w:b/>
          <w:sz w:val="24"/>
        </w:rPr>
        <w:t>th</w:t>
      </w:r>
      <w:r w:rsidR="001C4A64" w:rsidRPr="00A54588">
        <w:rPr>
          <w:b/>
          <w:sz w:val="24"/>
        </w:rPr>
        <w:t>e</w:t>
      </w:r>
      <w:r w:rsidRPr="00A54588">
        <w:rPr>
          <w:b/>
          <w:sz w:val="24"/>
        </w:rPr>
        <w:t xml:space="preserve"> </w:t>
      </w:r>
      <w:r w:rsidR="001C4A64" w:rsidRPr="00A54588">
        <w:rPr>
          <w:b/>
          <w:sz w:val="24"/>
        </w:rPr>
        <w:t>E</w:t>
      </w:r>
      <w:r w:rsidR="00BD540B" w:rsidRPr="00A54588">
        <w:rPr>
          <w:b/>
          <w:sz w:val="24"/>
        </w:rPr>
        <w:t xml:space="preserve">xpedited </w:t>
      </w:r>
      <w:r w:rsidR="001C4A64" w:rsidRPr="00A54588">
        <w:rPr>
          <w:b/>
          <w:sz w:val="24"/>
        </w:rPr>
        <w:t>R</w:t>
      </w:r>
      <w:r w:rsidR="00BD540B" w:rsidRPr="00A54588">
        <w:rPr>
          <w:b/>
          <w:sz w:val="24"/>
        </w:rPr>
        <w:t xml:space="preserve">ate </w:t>
      </w:r>
      <w:r w:rsidR="001C4A64" w:rsidRPr="00A54588">
        <w:rPr>
          <w:b/>
          <w:sz w:val="24"/>
        </w:rPr>
        <w:t>F</w:t>
      </w:r>
      <w:r w:rsidR="00BD540B" w:rsidRPr="00A54588">
        <w:rPr>
          <w:b/>
          <w:sz w:val="24"/>
        </w:rPr>
        <w:t>iling (“ERF”)</w:t>
      </w:r>
      <w:r w:rsidR="001C4A64" w:rsidRPr="00A54588">
        <w:rPr>
          <w:b/>
          <w:sz w:val="24"/>
        </w:rPr>
        <w:t xml:space="preserve"> </w:t>
      </w:r>
      <w:r w:rsidRPr="00A54588">
        <w:rPr>
          <w:b/>
          <w:sz w:val="24"/>
        </w:rPr>
        <w:t>proceeding</w:t>
      </w:r>
      <w:r w:rsidR="001F4274" w:rsidRPr="00A54588">
        <w:rPr>
          <w:b/>
          <w:sz w:val="24"/>
        </w:rPr>
        <w:t>, U</w:t>
      </w:r>
      <w:r w:rsidR="000C027B">
        <w:rPr>
          <w:b/>
          <w:sz w:val="24"/>
        </w:rPr>
        <w:t>G</w:t>
      </w:r>
      <w:r w:rsidR="001F4274" w:rsidRPr="00A54588">
        <w:rPr>
          <w:b/>
          <w:sz w:val="24"/>
        </w:rPr>
        <w:t>-</w:t>
      </w:r>
      <w:r w:rsidR="00BD540B" w:rsidRPr="00A54588">
        <w:rPr>
          <w:b/>
          <w:sz w:val="24"/>
        </w:rPr>
        <w:t>13013</w:t>
      </w:r>
      <w:r w:rsidR="000C027B">
        <w:rPr>
          <w:b/>
          <w:sz w:val="24"/>
        </w:rPr>
        <w:t>8</w:t>
      </w:r>
      <w:r w:rsidR="001C4A64" w:rsidRPr="00A54588">
        <w:rPr>
          <w:b/>
          <w:sz w:val="24"/>
        </w:rPr>
        <w:t xml:space="preserve">, and the </w:t>
      </w:r>
      <w:r w:rsidR="000C027B">
        <w:rPr>
          <w:b/>
          <w:sz w:val="24"/>
        </w:rPr>
        <w:t>gas</w:t>
      </w:r>
      <w:r w:rsidR="00ED1129" w:rsidRPr="00A54588">
        <w:rPr>
          <w:b/>
          <w:sz w:val="24"/>
        </w:rPr>
        <w:t xml:space="preserve"> portion of the </w:t>
      </w:r>
      <w:r w:rsidR="001C4A64" w:rsidRPr="00A54588">
        <w:rPr>
          <w:b/>
          <w:sz w:val="24"/>
        </w:rPr>
        <w:t xml:space="preserve">decoupling proceeding, </w:t>
      </w:r>
      <w:r w:rsidR="00BD540B" w:rsidRPr="00A54588">
        <w:rPr>
          <w:b/>
          <w:sz w:val="24"/>
        </w:rPr>
        <w:t>U</w:t>
      </w:r>
      <w:r w:rsidR="000C027B">
        <w:rPr>
          <w:b/>
          <w:sz w:val="24"/>
        </w:rPr>
        <w:t>G</w:t>
      </w:r>
      <w:r w:rsidR="00BD540B" w:rsidRPr="00A54588">
        <w:rPr>
          <w:b/>
          <w:sz w:val="24"/>
        </w:rPr>
        <w:t>-121</w:t>
      </w:r>
      <w:r w:rsidR="000C027B">
        <w:rPr>
          <w:b/>
          <w:sz w:val="24"/>
        </w:rPr>
        <w:t>705</w:t>
      </w:r>
      <w:r w:rsidR="00ED1129" w:rsidRPr="00A54588">
        <w:rPr>
          <w:b/>
          <w:sz w:val="24"/>
        </w:rPr>
        <w:t>?</w:t>
      </w:r>
    </w:p>
    <w:p w:rsidR="000C027B" w:rsidRPr="00E65F0D" w:rsidRDefault="00314DE7" w:rsidP="000C027B">
      <w:pPr>
        <w:spacing w:line="480" w:lineRule="auto"/>
        <w:ind w:left="720" w:hanging="720"/>
        <w:rPr>
          <w:sz w:val="24"/>
          <w:szCs w:val="24"/>
        </w:rPr>
      </w:pPr>
      <w:r w:rsidRPr="00245E18">
        <w:rPr>
          <w:sz w:val="24"/>
          <w:szCs w:val="24"/>
        </w:rPr>
        <w:t>A.</w:t>
      </w:r>
      <w:r w:rsidRPr="00245E18">
        <w:rPr>
          <w:sz w:val="24"/>
          <w:szCs w:val="24"/>
        </w:rPr>
        <w:tab/>
      </w:r>
      <w:r w:rsidRPr="00245E18">
        <w:rPr>
          <w:sz w:val="24"/>
          <w:szCs w:val="24"/>
        </w:rPr>
        <w:tab/>
      </w:r>
      <w:r w:rsidR="00033CA5">
        <w:rPr>
          <w:sz w:val="24"/>
          <w:szCs w:val="24"/>
        </w:rPr>
        <w:t>This</w:t>
      </w:r>
      <w:r>
        <w:rPr>
          <w:sz w:val="24"/>
        </w:rPr>
        <w:t xml:space="preserve"> testimony is being sponsored by </w:t>
      </w:r>
      <w:r w:rsidR="000C027B" w:rsidRPr="00F51A34">
        <w:rPr>
          <w:sz w:val="24"/>
          <w:szCs w:val="24"/>
        </w:rPr>
        <w:t>Nucor Steel Seattle, Inc. (“Nuco</w:t>
      </w:r>
      <w:r w:rsidR="000C027B" w:rsidRPr="00E65F0D">
        <w:rPr>
          <w:sz w:val="24"/>
          <w:szCs w:val="24"/>
        </w:rPr>
        <w:t xml:space="preserve">r”). </w:t>
      </w:r>
      <w:r w:rsidR="000C027B">
        <w:rPr>
          <w:sz w:val="24"/>
          <w:szCs w:val="24"/>
        </w:rPr>
        <w:t xml:space="preserve"> </w:t>
      </w:r>
      <w:r w:rsidR="000C027B" w:rsidRPr="00E65F0D">
        <w:rPr>
          <w:color w:val="000000"/>
          <w:sz w:val="24"/>
          <w:szCs w:val="24"/>
        </w:rPr>
        <w:t>Nucor owns and operates a steel mill in Seattle and takes gas transportation service from Puget Sound Energy, Inc. (“PSE”) under</w:t>
      </w:r>
      <w:r w:rsidR="000C027B" w:rsidRPr="00E65F0D">
        <w:rPr>
          <w:sz w:val="24"/>
          <w:szCs w:val="24"/>
        </w:rPr>
        <w:t xml:space="preserve"> Schedule 87T.</w:t>
      </w:r>
    </w:p>
    <w:p w:rsidR="00ED1129" w:rsidRPr="00ED1129" w:rsidRDefault="00ED1129" w:rsidP="00ED1129">
      <w:pPr>
        <w:spacing w:line="480" w:lineRule="auto"/>
        <w:ind w:left="720" w:firstLine="720"/>
        <w:rPr>
          <w:sz w:val="24"/>
        </w:rPr>
      </w:pPr>
      <w:r>
        <w:rPr>
          <w:sz w:val="24"/>
        </w:rPr>
        <w:t xml:space="preserve">I am simultaneously filing testimony in the </w:t>
      </w:r>
      <w:r w:rsidR="000C027B">
        <w:rPr>
          <w:sz w:val="24"/>
        </w:rPr>
        <w:t xml:space="preserve">electric </w:t>
      </w:r>
      <w:r w:rsidRPr="00A54588">
        <w:rPr>
          <w:sz w:val="24"/>
        </w:rPr>
        <w:t xml:space="preserve">portion of </w:t>
      </w:r>
      <w:r w:rsidR="00033CA5">
        <w:rPr>
          <w:sz w:val="24"/>
        </w:rPr>
        <w:t xml:space="preserve">the </w:t>
      </w:r>
      <w:r w:rsidRPr="00A54588">
        <w:rPr>
          <w:sz w:val="24"/>
        </w:rPr>
        <w:t>ERF proceeding, U</w:t>
      </w:r>
      <w:r w:rsidR="000C027B">
        <w:rPr>
          <w:sz w:val="24"/>
        </w:rPr>
        <w:t>E</w:t>
      </w:r>
      <w:r w:rsidRPr="00A54588">
        <w:rPr>
          <w:sz w:val="24"/>
        </w:rPr>
        <w:t>-13013</w:t>
      </w:r>
      <w:r w:rsidR="000C027B">
        <w:rPr>
          <w:sz w:val="24"/>
        </w:rPr>
        <w:t>7</w:t>
      </w:r>
      <w:r w:rsidRPr="00A54588">
        <w:rPr>
          <w:sz w:val="24"/>
        </w:rPr>
        <w:t xml:space="preserve">, and the </w:t>
      </w:r>
      <w:r w:rsidR="009658BA">
        <w:rPr>
          <w:sz w:val="24"/>
        </w:rPr>
        <w:t>electric</w:t>
      </w:r>
      <w:r w:rsidRPr="00A54588">
        <w:rPr>
          <w:sz w:val="24"/>
        </w:rPr>
        <w:t xml:space="preserve"> portion </w:t>
      </w:r>
      <w:r w:rsidR="00DF73B0">
        <w:rPr>
          <w:sz w:val="24"/>
        </w:rPr>
        <w:t>of the decoupling proceeding, U</w:t>
      </w:r>
      <w:r w:rsidR="009658BA">
        <w:rPr>
          <w:sz w:val="24"/>
        </w:rPr>
        <w:t>E</w:t>
      </w:r>
      <w:r w:rsidRPr="00A54588">
        <w:rPr>
          <w:sz w:val="24"/>
        </w:rPr>
        <w:t>-121</w:t>
      </w:r>
      <w:r w:rsidR="000C027B">
        <w:rPr>
          <w:sz w:val="24"/>
        </w:rPr>
        <w:t>697</w:t>
      </w:r>
      <w:r w:rsidR="00A03B6D">
        <w:rPr>
          <w:sz w:val="24"/>
        </w:rPr>
        <w:t>,</w:t>
      </w:r>
      <w:r w:rsidR="00A54588" w:rsidRPr="00A54588">
        <w:rPr>
          <w:sz w:val="24"/>
        </w:rPr>
        <w:t xml:space="preserve"> on behalf of </w:t>
      </w:r>
      <w:r w:rsidR="000C027B">
        <w:rPr>
          <w:sz w:val="24"/>
        </w:rPr>
        <w:t>The Kroger Co.</w:t>
      </w:r>
      <w:r w:rsidR="00556C14">
        <w:rPr>
          <w:sz w:val="24"/>
        </w:rPr>
        <w:t xml:space="preserve"> </w:t>
      </w:r>
      <w:r w:rsidR="00A54588">
        <w:rPr>
          <w:sz w:val="24"/>
        </w:rPr>
        <w:t>(“</w:t>
      </w:r>
      <w:r w:rsidR="000C027B">
        <w:rPr>
          <w:sz w:val="24"/>
        </w:rPr>
        <w:t>Kroge</w:t>
      </w:r>
      <w:r w:rsidR="00A54588">
        <w:rPr>
          <w:sz w:val="24"/>
        </w:rPr>
        <w:t>r”)</w:t>
      </w:r>
      <w:r w:rsidR="0005716F">
        <w:rPr>
          <w:sz w:val="24"/>
        </w:rPr>
        <w:t>.</w:t>
      </w:r>
      <w:r w:rsidR="008E5A30">
        <w:rPr>
          <w:rStyle w:val="FootnoteReference"/>
          <w:sz w:val="24"/>
        </w:rPr>
        <w:footnoteReference w:id="1"/>
      </w:r>
      <w:r w:rsidR="00A54588">
        <w:rPr>
          <w:sz w:val="24"/>
        </w:rPr>
        <w:t xml:space="preserve">  My testimony filed on behalf of </w:t>
      </w:r>
      <w:r w:rsidR="000C027B">
        <w:rPr>
          <w:sz w:val="24"/>
        </w:rPr>
        <w:t>Kroger</w:t>
      </w:r>
      <w:r w:rsidR="00A54588">
        <w:rPr>
          <w:sz w:val="24"/>
        </w:rPr>
        <w:t xml:space="preserve"> is entirely consistent with the testimony I am presenting here on behalf of </w:t>
      </w:r>
      <w:r w:rsidR="000C027B">
        <w:rPr>
          <w:sz w:val="24"/>
        </w:rPr>
        <w:t>Nuco</w:t>
      </w:r>
      <w:r w:rsidR="00A54588">
        <w:rPr>
          <w:sz w:val="24"/>
        </w:rPr>
        <w:t xml:space="preserve">r, but focuses </w:t>
      </w:r>
      <w:r w:rsidR="000C027B">
        <w:rPr>
          <w:sz w:val="24"/>
        </w:rPr>
        <w:t xml:space="preserve">primarily </w:t>
      </w:r>
      <w:r w:rsidR="00A54588">
        <w:rPr>
          <w:sz w:val="24"/>
        </w:rPr>
        <w:t xml:space="preserve">on </w:t>
      </w:r>
      <w:r w:rsidR="009658BA">
        <w:rPr>
          <w:sz w:val="24"/>
        </w:rPr>
        <w:t>electric</w:t>
      </w:r>
      <w:r w:rsidR="00A54588">
        <w:rPr>
          <w:sz w:val="24"/>
        </w:rPr>
        <w:t>-related aspects of these cases.</w:t>
      </w:r>
      <w:r w:rsidR="008E5A30">
        <w:rPr>
          <w:sz w:val="24"/>
        </w:rPr>
        <w:t xml:space="preserve">   For completeness of presentation, some portions of that testimony are repeated </w:t>
      </w:r>
      <w:r w:rsidR="008E5A30">
        <w:rPr>
          <w:sz w:val="24"/>
        </w:rPr>
        <w:lastRenderedPageBreak/>
        <w:t>here, although several of my arguments have been condensed in the interest of brevity.</w:t>
      </w:r>
    </w:p>
    <w:p w:rsidR="00314DE7" w:rsidRDefault="00314DE7">
      <w:pPr>
        <w:spacing w:line="480" w:lineRule="auto"/>
        <w:rPr>
          <w:b/>
          <w:sz w:val="24"/>
        </w:rPr>
      </w:pPr>
      <w:r>
        <w:rPr>
          <w:b/>
          <w:sz w:val="24"/>
        </w:rPr>
        <w:t>Q.</w:t>
      </w:r>
      <w:r>
        <w:rPr>
          <w:b/>
          <w:sz w:val="24"/>
        </w:rPr>
        <w:tab/>
        <w:t>Please describe your professional experience and qualifications.</w:t>
      </w:r>
    </w:p>
    <w:p w:rsidR="00314DE7" w:rsidRDefault="00245E18">
      <w:pPr>
        <w:pStyle w:val="BodyTextIndent3"/>
      </w:pPr>
      <w:r>
        <w:t>A.</w:t>
      </w:r>
      <w:r w:rsidR="00314DE7">
        <w:tab/>
      </w:r>
      <w:r w:rsidR="00314DE7">
        <w:tab/>
        <w:t xml:space="preserve">My academic background is in economics, and I have completed all coursework and field examinations toward the Ph.D. in Economics at the University of Utah. </w:t>
      </w:r>
      <w:r w:rsidR="00BF6F03">
        <w:t xml:space="preserve"> </w:t>
      </w:r>
      <w:r w:rsidR="00314DE7">
        <w:t xml:space="preserve">In addition, I have served on the adjunct faculties of both the University of Utah and Westminster College, where I taught undergraduate and graduate courses in economics. </w:t>
      </w:r>
      <w:r w:rsidR="00BF6F03">
        <w:t xml:space="preserve"> </w:t>
      </w:r>
      <w:r w:rsidR="00314DE7">
        <w:t>I joined Energy Strategies in 1995, where I assist private and public sector clients in the areas of energy-related economic and policy analysis, including evaluation of electric and gas utility rate matters.</w:t>
      </w:r>
    </w:p>
    <w:p w:rsidR="00314DE7" w:rsidRDefault="00314DE7">
      <w:pPr>
        <w:pStyle w:val="BodyTextIndent3"/>
        <w:ind w:firstLine="720"/>
      </w:pPr>
      <w:r>
        <w:t>Prior to joining Energy Strategies, I held policy positions in state a</w:t>
      </w:r>
      <w:r w:rsidR="00AB0B33">
        <w:t xml:space="preserve">nd local government. </w:t>
      </w:r>
      <w:r w:rsidR="00BF6F03">
        <w:t xml:space="preserve"> </w:t>
      </w:r>
      <w:r>
        <w:t>From 1983 to 1990, I was economist, then assistant director, for the Utah Energy Office, where I helped develop and implement state energy policy.  From 1991 to 1994, I was chief of staff to the chairman of the Salt Lake County Commission, where I was responsible for development and implementation of a broad spectrum of public policy</w:t>
      </w:r>
      <w:r w:rsidR="00245E18">
        <w:t xml:space="preserve"> at the local government level.</w:t>
      </w:r>
    </w:p>
    <w:p w:rsidR="006A0500" w:rsidRDefault="00245E18" w:rsidP="006A0500">
      <w:pPr>
        <w:pStyle w:val="BodyTextIndent3"/>
        <w:rPr>
          <w:b/>
        </w:rPr>
      </w:pPr>
      <w:r>
        <w:rPr>
          <w:b/>
        </w:rPr>
        <w:t>Q.</w:t>
      </w:r>
      <w:r w:rsidR="006A0500">
        <w:rPr>
          <w:b/>
        </w:rPr>
        <w:tab/>
        <w:t>Have you previously testified before this Commission?</w:t>
      </w:r>
    </w:p>
    <w:p w:rsidR="001F4274" w:rsidRDefault="006A0500" w:rsidP="006A0500">
      <w:pPr>
        <w:pStyle w:val="BodyTextIndent3"/>
      </w:pPr>
      <w:r>
        <w:t>A.</w:t>
      </w:r>
      <w:r>
        <w:tab/>
      </w:r>
      <w:r>
        <w:tab/>
      </w:r>
      <w:r w:rsidR="001F4274">
        <w:t xml:space="preserve">Yes. </w:t>
      </w:r>
      <w:r w:rsidR="00BF6F03">
        <w:t xml:space="preserve"> </w:t>
      </w:r>
      <w:r w:rsidR="001F4274">
        <w:t xml:space="preserve">I testified in the PSE </w:t>
      </w:r>
      <w:r w:rsidR="00513780">
        <w:t xml:space="preserve">2011, </w:t>
      </w:r>
      <w:r w:rsidR="00CB0C13">
        <w:t xml:space="preserve">2009, </w:t>
      </w:r>
      <w:r w:rsidR="00445419">
        <w:t xml:space="preserve">2007, </w:t>
      </w:r>
      <w:r w:rsidR="001F4274">
        <w:t>2006</w:t>
      </w:r>
      <w:r w:rsidR="00CB0C13">
        <w:t>,</w:t>
      </w:r>
      <w:r w:rsidR="001F4274">
        <w:t xml:space="preserve"> 2004</w:t>
      </w:r>
      <w:r w:rsidR="00CB0C13">
        <w:t xml:space="preserve">, and 2001 </w:t>
      </w:r>
      <w:r w:rsidR="001F4274">
        <w:t xml:space="preserve">general rate cases and participated in the settlement discussions that resulted in partial settlement agreements pertaining to rate spread and rate design issues in those proceedings. </w:t>
      </w:r>
      <w:r w:rsidR="00CB0C13">
        <w:t xml:space="preserve"> </w:t>
      </w:r>
      <w:r w:rsidR="001F4274">
        <w:t xml:space="preserve">I also testified in the </w:t>
      </w:r>
      <w:r w:rsidR="00CB0C13">
        <w:t>2009 proceeding that addressed the treatment of revenues from PSE’s sales of Renewable Energy Credits (“RECs”)</w:t>
      </w:r>
      <w:r w:rsidR="00245E18">
        <w:t>.</w:t>
      </w:r>
    </w:p>
    <w:p w:rsidR="001F4274" w:rsidRDefault="00245E18" w:rsidP="001F4274">
      <w:pPr>
        <w:pStyle w:val="BodyTextIndent3"/>
        <w:rPr>
          <w:b/>
        </w:rPr>
      </w:pPr>
      <w:r>
        <w:rPr>
          <w:b/>
        </w:rPr>
        <w:t>Q.</w:t>
      </w:r>
      <w:r w:rsidR="001F4274">
        <w:rPr>
          <w:b/>
        </w:rPr>
        <w:tab/>
        <w:t>Have you testified before utility regulatory commissions in other states?</w:t>
      </w:r>
    </w:p>
    <w:p w:rsidR="001F4274" w:rsidRDefault="00245E18" w:rsidP="001F4274">
      <w:pPr>
        <w:pStyle w:val="BodyTextIndent3"/>
      </w:pPr>
      <w:r>
        <w:lastRenderedPageBreak/>
        <w:t>A.</w:t>
      </w:r>
      <w:r w:rsidR="001F4274">
        <w:tab/>
      </w:r>
      <w:r w:rsidR="001F4274">
        <w:tab/>
        <w:t xml:space="preserve">Yes. </w:t>
      </w:r>
      <w:r w:rsidR="004F7B28">
        <w:t xml:space="preserve"> </w:t>
      </w:r>
      <w:r w:rsidR="001F4274">
        <w:t xml:space="preserve">I have testified in </w:t>
      </w:r>
      <w:r w:rsidR="003E4C1D">
        <w:t>approximately</w:t>
      </w:r>
      <w:r w:rsidR="00E2020C">
        <w:t xml:space="preserve"> 1</w:t>
      </w:r>
      <w:r w:rsidR="00513780">
        <w:t>6</w:t>
      </w:r>
      <w:r w:rsidR="00E2020C">
        <w:t>5</w:t>
      </w:r>
      <w:r w:rsidR="001F4274">
        <w:t xml:space="preserve"> proceedings on the subjects of utility rates and regulatory policy before state utility regulators in Alaska, Arizona, Arkansas, Colorado, Georgia, Idaho, Illinois, Indiana, Kansas, Kentucky, Michigan, Minnesota, Missouri, Montana, Nevada, New Mexico, New York, </w:t>
      </w:r>
      <w:r w:rsidR="00E2020C">
        <w:t xml:space="preserve">North Carolina, </w:t>
      </w:r>
      <w:r w:rsidR="001F4274">
        <w:t xml:space="preserve">Ohio, Oklahoma, Oregon, Pennsylvania, South Carolina, </w:t>
      </w:r>
      <w:r w:rsidR="00E2020C">
        <w:t xml:space="preserve">Texas, </w:t>
      </w:r>
      <w:r w:rsidR="001F4274">
        <w:t>Utah, Virgin</w:t>
      </w:r>
      <w:r>
        <w:t>ia, West Virginia, and Wyoming.</w:t>
      </w:r>
    </w:p>
    <w:p w:rsidR="00B66B12" w:rsidRDefault="00B66B12">
      <w:pPr>
        <w:pStyle w:val="BodyTextIndent3"/>
        <w:outlineLvl w:val="0"/>
        <w:rPr>
          <w:b/>
          <w:u w:val="single"/>
        </w:rPr>
      </w:pPr>
      <w:bookmarkStart w:id="3" w:name="_Toc63241745"/>
      <w:bookmarkStart w:id="4" w:name="_Toc83530843"/>
      <w:bookmarkStart w:id="5" w:name="_Toc246232706"/>
    </w:p>
    <w:p w:rsidR="00314DE7" w:rsidRDefault="00314DE7">
      <w:pPr>
        <w:pStyle w:val="BodyTextIndent3"/>
        <w:outlineLvl w:val="0"/>
        <w:rPr>
          <w:b/>
          <w:u w:val="single"/>
        </w:rPr>
      </w:pPr>
      <w:r>
        <w:rPr>
          <w:b/>
          <w:u w:val="single"/>
        </w:rPr>
        <w:t xml:space="preserve">Overview and </w:t>
      </w:r>
      <w:bookmarkEnd w:id="4"/>
      <w:r w:rsidR="00A84B83">
        <w:rPr>
          <w:b/>
          <w:u w:val="single"/>
        </w:rPr>
        <w:t>Recommendations</w:t>
      </w:r>
      <w:bookmarkEnd w:id="3"/>
      <w:bookmarkEnd w:id="5"/>
    </w:p>
    <w:p w:rsidR="00314DE7" w:rsidRDefault="00314DE7">
      <w:pPr>
        <w:pStyle w:val="BodyTextIndent"/>
        <w:spacing w:line="480" w:lineRule="auto"/>
        <w:ind w:left="720" w:hanging="720"/>
        <w:rPr>
          <w:b/>
        </w:rPr>
      </w:pPr>
      <w:r>
        <w:rPr>
          <w:b/>
        </w:rPr>
        <w:t>Q.</w:t>
      </w:r>
      <w:r>
        <w:rPr>
          <w:b/>
        </w:rPr>
        <w:tab/>
        <w:t>What is the purpose of your testimony in this proceeding?</w:t>
      </w:r>
    </w:p>
    <w:p w:rsidR="00513780" w:rsidRDefault="00245E18" w:rsidP="001F4274">
      <w:pPr>
        <w:pStyle w:val="BodyTextIndent"/>
        <w:spacing w:line="480" w:lineRule="auto"/>
        <w:ind w:left="720" w:hanging="720"/>
      </w:pPr>
      <w:r>
        <w:t>A.</w:t>
      </w:r>
      <w:r w:rsidR="00314DE7">
        <w:tab/>
      </w:r>
      <w:r w:rsidR="00314DE7">
        <w:tab/>
      </w:r>
      <w:r w:rsidR="00B54AE2">
        <w:t xml:space="preserve">My testimony </w:t>
      </w:r>
      <w:r w:rsidR="001C4A64">
        <w:t xml:space="preserve">responds to the </w:t>
      </w:r>
      <w:r w:rsidR="00BD540B">
        <w:t xml:space="preserve">Expedited Rate Filing (“ERF”) made by PSE on February 1, 2013 in </w:t>
      </w:r>
      <w:r w:rsidR="00CA3CE5">
        <w:t xml:space="preserve">Dockets </w:t>
      </w:r>
      <w:r w:rsidR="00BD540B">
        <w:t>UE-130137 and UG-130</w:t>
      </w:r>
      <w:r w:rsidR="00CA3CE5">
        <w:t xml:space="preserve">138, </w:t>
      </w:r>
      <w:r w:rsidR="00BD540B">
        <w:t xml:space="preserve">and to the Amended Decoupling Petition filed by PSE and the NW Energy Coalition </w:t>
      </w:r>
      <w:r w:rsidR="007B3302">
        <w:t xml:space="preserve">(“Joint Parties”) </w:t>
      </w:r>
      <w:r w:rsidR="00BD540B">
        <w:t>on March 1, 2013</w:t>
      </w:r>
      <w:r w:rsidR="00CA3CE5">
        <w:t xml:space="preserve"> in Dockets </w:t>
      </w:r>
      <w:r w:rsidR="00CA3CE5" w:rsidRPr="00CA3CE5">
        <w:t>UE-121697 and UG-121705</w:t>
      </w:r>
      <w:r w:rsidR="00BD540B" w:rsidRPr="00CA3CE5">
        <w:t>.</w:t>
      </w:r>
      <w:r w:rsidR="00BD540B">
        <w:t xml:space="preserve"> </w:t>
      </w:r>
      <w:r w:rsidR="008E02E8">
        <w:t xml:space="preserve"> </w:t>
      </w:r>
      <w:r w:rsidR="00CA3CE5">
        <w:t xml:space="preserve">My understanding is that both of these filings are being supported by the three parties to </w:t>
      </w:r>
      <w:r w:rsidR="00A055C8">
        <w:t xml:space="preserve">the </w:t>
      </w:r>
      <w:r w:rsidR="00CA3CE5">
        <w:t>Multi</w:t>
      </w:r>
      <w:r w:rsidR="00A055C8">
        <w:t>p</w:t>
      </w:r>
      <w:r w:rsidR="00CA3CE5">
        <w:t xml:space="preserve">arty Settlement </w:t>
      </w:r>
      <w:r w:rsidR="00A055C8">
        <w:t xml:space="preserve">Agreement </w:t>
      </w:r>
      <w:r w:rsidR="00CA3CE5">
        <w:t xml:space="preserve">filed with the Commission on March 22, 2013.  </w:t>
      </w:r>
      <w:r w:rsidR="00A055C8">
        <w:t>Consequently, my testimony is also responding to that Agreement.</w:t>
      </w:r>
    </w:p>
    <w:p w:rsidR="001F4274" w:rsidRDefault="001F4274" w:rsidP="001F4274">
      <w:pPr>
        <w:pStyle w:val="BodyTextIndent"/>
        <w:spacing w:line="480" w:lineRule="auto"/>
        <w:ind w:left="720" w:hanging="720"/>
        <w:rPr>
          <w:b/>
        </w:rPr>
      </w:pPr>
      <w:r w:rsidRPr="00A66D9B">
        <w:rPr>
          <w:b/>
        </w:rPr>
        <w:t>Q.</w:t>
      </w:r>
      <w:r w:rsidRPr="00A66D9B">
        <w:rPr>
          <w:b/>
        </w:rPr>
        <w:tab/>
        <w:t>Please summarize your conclusions and recommendations.</w:t>
      </w:r>
    </w:p>
    <w:p w:rsidR="00A055C8" w:rsidRDefault="00A055C8" w:rsidP="00467877">
      <w:pPr>
        <w:pStyle w:val="BodyTextIndent"/>
        <w:tabs>
          <w:tab w:val="left" w:pos="1800"/>
        </w:tabs>
        <w:spacing w:line="480" w:lineRule="auto"/>
        <w:ind w:left="720" w:firstLine="720"/>
      </w:pPr>
      <w:r w:rsidRPr="00A055C8">
        <w:t>(1)</w:t>
      </w:r>
      <w:r w:rsidR="005C0C9A">
        <w:tab/>
      </w:r>
      <w:r w:rsidR="000C027B">
        <w:t>Nuco</w:t>
      </w:r>
      <w:r w:rsidR="007B3302" w:rsidRPr="007B3302">
        <w:t>r n</w:t>
      </w:r>
      <w:r w:rsidRPr="007B3302">
        <w:t>either support</w:t>
      </w:r>
      <w:r w:rsidR="007B3302" w:rsidRPr="007B3302">
        <w:t>s</w:t>
      </w:r>
      <w:r w:rsidRPr="007B3302">
        <w:t xml:space="preserve"> nor oppose</w:t>
      </w:r>
      <w:r w:rsidR="007B3302" w:rsidRPr="007B3302">
        <w:t>s</w:t>
      </w:r>
      <w:r w:rsidRPr="007B3302">
        <w:t xml:space="preserve"> the </w:t>
      </w:r>
      <w:r w:rsidR="007B3302" w:rsidRPr="007B3302">
        <w:t>revenue requirement</w:t>
      </w:r>
      <w:r w:rsidRPr="007B3302">
        <w:t xml:space="preserve"> provisions </w:t>
      </w:r>
      <w:r w:rsidR="007B3302">
        <w:t>proposed by PSE in</w:t>
      </w:r>
      <w:r w:rsidRPr="007B3302">
        <w:t xml:space="preserve"> the ERF, except as it is necessary to modify the </w:t>
      </w:r>
      <w:r w:rsidR="007B3302" w:rsidRPr="007B3302">
        <w:t>return on equity (“</w:t>
      </w:r>
      <w:r w:rsidRPr="007B3302">
        <w:t>ROE</w:t>
      </w:r>
      <w:r w:rsidR="007B3302" w:rsidRPr="007B3302">
        <w:t xml:space="preserve">”) applicable to electric and gas delivery rate base </w:t>
      </w:r>
      <w:r w:rsidRPr="007B3302">
        <w:t xml:space="preserve">as part of any adoption of </w:t>
      </w:r>
      <w:r w:rsidR="007B3302" w:rsidRPr="007B3302">
        <w:t xml:space="preserve">full </w:t>
      </w:r>
      <w:r w:rsidR="009C0B92" w:rsidRPr="007B3302">
        <w:t xml:space="preserve">revenue decoupling </w:t>
      </w:r>
      <w:r w:rsidR="007B3302" w:rsidRPr="007B3302">
        <w:t>in these proceedings.</w:t>
      </w:r>
    </w:p>
    <w:p w:rsidR="007B3302" w:rsidRDefault="007B3302" w:rsidP="00AD0E94">
      <w:pPr>
        <w:pStyle w:val="BodyTextIndent"/>
        <w:tabs>
          <w:tab w:val="left" w:pos="1800"/>
        </w:tabs>
        <w:spacing w:line="480" w:lineRule="auto"/>
        <w:ind w:left="720" w:firstLine="720"/>
      </w:pPr>
      <w:r>
        <w:t>(2)</w:t>
      </w:r>
      <w:r w:rsidR="00AD0E94">
        <w:tab/>
      </w:r>
      <w:r>
        <w:t xml:space="preserve">PSE’s proposed </w:t>
      </w:r>
      <w:r w:rsidR="000C027B">
        <w:t>gas</w:t>
      </w:r>
      <w:r>
        <w:t xml:space="preserve"> rate spread approach in the ERF is reasonable and I recommend that it be adopted if the ERF is approved.</w:t>
      </w:r>
    </w:p>
    <w:p w:rsidR="007B3302" w:rsidRDefault="007B3302" w:rsidP="00AD0E94">
      <w:pPr>
        <w:pStyle w:val="BodyTextIndent"/>
        <w:tabs>
          <w:tab w:val="left" w:pos="1800"/>
        </w:tabs>
        <w:spacing w:line="480" w:lineRule="auto"/>
        <w:ind w:left="720" w:firstLine="720"/>
      </w:pPr>
      <w:r>
        <w:lastRenderedPageBreak/>
        <w:t>(</w:t>
      </w:r>
      <w:r w:rsidR="004716F9">
        <w:t>3</w:t>
      </w:r>
      <w:r>
        <w:t>)</w:t>
      </w:r>
      <w:r w:rsidR="00AD0E94">
        <w:tab/>
      </w:r>
      <w:r>
        <w:t>The K-factor</w:t>
      </w:r>
      <w:r w:rsidR="00F6358D">
        <w:t>s</w:t>
      </w:r>
      <w:r>
        <w:t xml:space="preserve"> propos</w:t>
      </w:r>
      <w:r w:rsidR="00F6358D">
        <w:t xml:space="preserve">ed by the Joint Parties in the decoupling proceeding </w:t>
      </w:r>
      <w:r w:rsidR="004716F9">
        <w:t>would</w:t>
      </w:r>
      <w:r>
        <w:t xml:space="preserve"> introduce an automatic, predetermined</w:t>
      </w:r>
      <w:r w:rsidR="0019659C">
        <w:t>,</w:t>
      </w:r>
      <w:r>
        <w:t xml:space="preserve"> cost escalator into rates.  </w:t>
      </w:r>
      <w:r w:rsidR="00F6358D">
        <w:t>The proposed K-factor rate increases are not known and measurable adjustments presented in the context of a rate proceeding.  Rather they are arbitrary and unsubstantiated rate increases that should be rejected by the Commission.</w:t>
      </w:r>
    </w:p>
    <w:p w:rsidR="004716F9" w:rsidRDefault="004716F9" w:rsidP="00AD0E94">
      <w:pPr>
        <w:pStyle w:val="BodyTextIndent"/>
        <w:tabs>
          <w:tab w:val="left" w:pos="1800"/>
        </w:tabs>
        <w:spacing w:line="480" w:lineRule="auto"/>
        <w:ind w:left="720" w:firstLine="720"/>
      </w:pPr>
      <w:r>
        <w:t>(4)</w:t>
      </w:r>
      <w:r w:rsidR="00AD0E94">
        <w:tab/>
      </w:r>
      <w:r>
        <w:t>I recommend that the entire revenue decoupling package proposed by the Joint Parties be rejected.  Failing that, I recommend that the proposal be modified in several important ways.  If full revenue decoupling is approved by the Commission, the proposal by the Joint Parties should be modified as follows:</w:t>
      </w:r>
    </w:p>
    <w:p w:rsidR="004716F9" w:rsidRDefault="004716F9" w:rsidP="00AD0E94">
      <w:pPr>
        <w:pStyle w:val="BodyTextIndent"/>
        <w:tabs>
          <w:tab w:val="left" w:pos="2520"/>
        </w:tabs>
        <w:spacing w:line="480" w:lineRule="auto"/>
        <w:ind w:left="1440" w:firstLine="720"/>
      </w:pPr>
      <w:r>
        <w:t>(a)</w:t>
      </w:r>
      <w:r w:rsidR="00AD0E94">
        <w:tab/>
      </w:r>
      <w:r>
        <w:t>The ROE applicable to electric and gas delivery rate base should be reduced by 25 basis points in the ERF to reflect the reduction in PSE’s risk</w:t>
      </w:r>
      <w:r w:rsidRPr="00D34536">
        <w:t xml:space="preserve">.  This adjustment would reduce the ERF electric revenue requirement by </w:t>
      </w:r>
      <w:r w:rsidR="00D34536" w:rsidRPr="00D34536">
        <w:t xml:space="preserve">approximately </w:t>
      </w:r>
      <w:r w:rsidRPr="00D34536">
        <w:t>$5.</w:t>
      </w:r>
      <w:r w:rsidR="00D34536" w:rsidRPr="00D34536">
        <w:t>1</w:t>
      </w:r>
      <w:r w:rsidRPr="00D34536">
        <w:t xml:space="preserve"> million and the ERF gas revenue requirement by </w:t>
      </w:r>
      <w:r w:rsidR="00D34536" w:rsidRPr="00D34536">
        <w:t xml:space="preserve">approximately </w:t>
      </w:r>
      <w:r w:rsidRPr="00D34536">
        <w:t>$</w:t>
      </w:r>
      <w:r w:rsidR="00D34536" w:rsidRPr="00D34536">
        <w:t>3</w:t>
      </w:r>
      <w:r w:rsidRPr="00D34536">
        <w:t>.</w:t>
      </w:r>
      <w:r w:rsidR="00D34536" w:rsidRPr="00D34536">
        <w:t>1</w:t>
      </w:r>
      <w:r w:rsidRPr="00D34536">
        <w:t xml:space="preserve"> million</w:t>
      </w:r>
      <w:r w:rsidR="00C44448" w:rsidRPr="00D34536">
        <w:t>.</w:t>
      </w:r>
    </w:p>
    <w:p w:rsidR="00C44448" w:rsidRDefault="004716F9" w:rsidP="00AD0E94">
      <w:pPr>
        <w:pStyle w:val="BodyTextIndent"/>
        <w:tabs>
          <w:tab w:val="left" w:pos="2520"/>
        </w:tabs>
        <w:spacing w:line="480" w:lineRule="auto"/>
        <w:ind w:left="1440" w:firstLine="720"/>
      </w:pPr>
      <w:r>
        <w:t>(b)</w:t>
      </w:r>
      <w:r w:rsidR="00AD0E94">
        <w:tab/>
      </w:r>
      <w:r w:rsidR="00C44448">
        <w:t xml:space="preserve">The decoupling mechanism proposed by the Joint Parties should be modified to incorporate any found margin associated with growth in customer count as a credit against the </w:t>
      </w:r>
      <w:r w:rsidR="00C02A44">
        <w:t xml:space="preserve">proposed </w:t>
      </w:r>
      <w:r w:rsidR="00D34536" w:rsidRPr="00D34536">
        <w:t>RDA</w:t>
      </w:r>
      <w:r w:rsidR="00C44448" w:rsidRPr="00D34536">
        <w:t xml:space="preserve"> balancing account.</w:t>
      </w:r>
    </w:p>
    <w:p w:rsidR="00C44448" w:rsidRDefault="00C44448" w:rsidP="00AD0E94">
      <w:pPr>
        <w:pStyle w:val="BodyTextIndent"/>
        <w:tabs>
          <w:tab w:val="left" w:pos="2520"/>
        </w:tabs>
        <w:spacing w:line="480" w:lineRule="auto"/>
        <w:ind w:left="1440" w:firstLine="720"/>
        <w:rPr>
          <w:szCs w:val="24"/>
        </w:rPr>
      </w:pPr>
      <w:r>
        <w:t>(c)</w:t>
      </w:r>
      <w:r w:rsidR="00AD0E94">
        <w:tab/>
      </w:r>
      <w:r w:rsidR="000C027B">
        <w:t xml:space="preserve">Decoupling should </w:t>
      </w:r>
      <w:r w:rsidR="000C027B" w:rsidRPr="000C027B">
        <w:rPr>
          <w:u w:val="single"/>
        </w:rPr>
        <w:t>not</w:t>
      </w:r>
      <w:r w:rsidR="000C027B">
        <w:t xml:space="preserve"> be applicable to gas transportation customers.</w:t>
      </w:r>
    </w:p>
    <w:p w:rsidR="00C44448" w:rsidRDefault="00C44448" w:rsidP="00AD0E94">
      <w:pPr>
        <w:pStyle w:val="BodyTextIndent"/>
        <w:tabs>
          <w:tab w:val="left" w:pos="2520"/>
        </w:tabs>
        <w:spacing w:line="480" w:lineRule="auto"/>
        <w:ind w:left="1440" w:firstLine="720"/>
        <w:rPr>
          <w:szCs w:val="24"/>
        </w:rPr>
      </w:pPr>
      <w:r>
        <w:rPr>
          <w:szCs w:val="24"/>
        </w:rPr>
        <w:t>(d)</w:t>
      </w:r>
      <w:r w:rsidR="00AD0E94">
        <w:rPr>
          <w:szCs w:val="24"/>
        </w:rPr>
        <w:tab/>
      </w:r>
      <w:r w:rsidR="000C027B">
        <w:t>T</w:t>
      </w:r>
      <w:r>
        <w:rPr>
          <w:szCs w:val="24"/>
        </w:rPr>
        <w:t xml:space="preserve">he </w:t>
      </w:r>
      <w:r w:rsidR="00483356">
        <w:rPr>
          <w:szCs w:val="24"/>
        </w:rPr>
        <w:t xml:space="preserve">gas </w:t>
      </w:r>
      <w:r w:rsidR="000C027B">
        <w:rPr>
          <w:szCs w:val="24"/>
        </w:rPr>
        <w:t xml:space="preserve">decoupling mechanism </w:t>
      </w:r>
      <w:r w:rsidR="00557A6E">
        <w:rPr>
          <w:szCs w:val="24"/>
        </w:rPr>
        <w:t xml:space="preserve">should be modified such that </w:t>
      </w:r>
      <w:r w:rsidR="000C027B">
        <w:rPr>
          <w:szCs w:val="24"/>
        </w:rPr>
        <w:t>100%</w:t>
      </w:r>
      <w:r>
        <w:rPr>
          <w:szCs w:val="24"/>
        </w:rPr>
        <w:t xml:space="preserve"> of the </w:t>
      </w:r>
      <w:r w:rsidR="000C027B">
        <w:rPr>
          <w:szCs w:val="24"/>
        </w:rPr>
        <w:t>contract firm</w:t>
      </w:r>
      <w:r>
        <w:rPr>
          <w:szCs w:val="24"/>
        </w:rPr>
        <w:t xml:space="preserve"> revenues are excluded from the revenue </w:t>
      </w:r>
      <w:r>
        <w:rPr>
          <w:szCs w:val="24"/>
        </w:rPr>
        <w:lastRenderedPageBreak/>
        <w:t>decoupling adjustment (i.e., are treated as unvarying with variations</w:t>
      </w:r>
      <w:r w:rsidR="00281EB1">
        <w:rPr>
          <w:szCs w:val="24"/>
        </w:rPr>
        <w:t xml:space="preserve"> in Dth per customer</w:t>
      </w:r>
      <w:r>
        <w:rPr>
          <w:szCs w:val="24"/>
        </w:rPr>
        <w:t>)</w:t>
      </w:r>
      <w:r w:rsidR="000C027B">
        <w:rPr>
          <w:szCs w:val="24"/>
        </w:rPr>
        <w:t>.</w:t>
      </w:r>
    </w:p>
    <w:p w:rsidR="00483356" w:rsidRDefault="00483356" w:rsidP="00674B07">
      <w:pPr>
        <w:pStyle w:val="BodyTextIndent"/>
        <w:spacing w:line="480" w:lineRule="auto"/>
        <w:outlineLvl w:val="0"/>
        <w:rPr>
          <w:b/>
          <w:u w:val="single"/>
        </w:rPr>
      </w:pPr>
      <w:bookmarkStart w:id="6" w:name="_Toc246232707"/>
    </w:p>
    <w:p w:rsidR="00B66B12" w:rsidRPr="00A45351" w:rsidRDefault="00B66B12" w:rsidP="00674B07">
      <w:pPr>
        <w:pStyle w:val="BodyTextIndent"/>
        <w:spacing w:line="480" w:lineRule="auto"/>
        <w:outlineLvl w:val="0"/>
        <w:rPr>
          <w:b/>
          <w:u w:val="single"/>
        </w:rPr>
      </w:pPr>
      <w:r>
        <w:rPr>
          <w:b/>
          <w:u w:val="single"/>
        </w:rPr>
        <w:t xml:space="preserve">Expedited Rate </w:t>
      </w:r>
      <w:r w:rsidRPr="00A45351">
        <w:rPr>
          <w:b/>
          <w:u w:val="single"/>
        </w:rPr>
        <w:t>Filing</w:t>
      </w:r>
      <w:r w:rsidR="00ED1129">
        <w:rPr>
          <w:b/>
          <w:u w:val="single"/>
        </w:rPr>
        <w:t xml:space="preserve"> -</w:t>
      </w:r>
      <w:r w:rsidR="00A45351" w:rsidRPr="00A45351">
        <w:rPr>
          <w:b/>
          <w:u w:val="single"/>
        </w:rPr>
        <w:t xml:space="preserve"> Dockets UE-130137 and UG-130138</w:t>
      </w:r>
    </w:p>
    <w:p w:rsidR="00B66B12" w:rsidRDefault="00B66B12" w:rsidP="005C0C9A">
      <w:pPr>
        <w:pStyle w:val="BodyTextIndent"/>
        <w:spacing w:line="480" w:lineRule="auto"/>
        <w:ind w:left="720" w:hanging="720"/>
        <w:outlineLvl w:val="0"/>
        <w:rPr>
          <w:b/>
        </w:rPr>
      </w:pPr>
      <w:r w:rsidRPr="00B66B12">
        <w:rPr>
          <w:b/>
        </w:rPr>
        <w:t>Q.</w:t>
      </w:r>
      <w:r w:rsidRPr="00B66B12">
        <w:rPr>
          <w:b/>
        </w:rPr>
        <w:tab/>
      </w:r>
      <w:r>
        <w:rPr>
          <w:b/>
        </w:rPr>
        <w:t xml:space="preserve">What is PSE seeking as part of its </w:t>
      </w:r>
      <w:r w:rsidR="003D7090">
        <w:rPr>
          <w:b/>
        </w:rPr>
        <w:t>ERF?</w:t>
      </w:r>
    </w:p>
    <w:p w:rsidR="0025580B" w:rsidRDefault="003D7090" w:rsidP="0025580B">
      <w:pPr>
        <w:pStyle w:val="BodyTextIndent"/>
        <w:spacing w:line="480" w:lineRule="auto"/>
        <w:ind w:left="720" w:hanging="720"/>
        <w:outlineLvl w:val="0"/>
      </w:pPr>
      <w:r w:rsidRPr="003D7090">
        <w:t>A.</w:t>
      </w:r>
      <w:r w:rsidRPr="003D7090">
        <w:tab/>
      </w:r>
      <w:r w:rsidRPr="003D7090">
        <w:tab/>
      </w:r>
      <w:r>
        <w:t xml:space="preserve">As explained in the direct testimony of </w:t>
      </w:r>
      <w:r w:rsidR="00C9076F">
        <w:t>PSE witness Katherine J. Barnard, PSE is seeking approval of an ERF that would increase electric rates by $32.2 million, or 1.6 percent on average,</w:t>
      </w:r>
      <w:r w:rsidR="00556C14">
        <w:rPr>
          <w:rStyle w:val="FootnoteReference"/>
        </w:rPr>
        <w:footnoteReference w:id="2"/>
      </w:r>
      <w:r w:rsidR="00C9076F">
        <w:t xml:space="preserve"> and reduce natural gas rates by $1.2 million, 0.1 percent on average (inclusive of gas costs)</w:t>
      </w:r>
      <w:r w:rsidR="00556C14">
        <w:t>.</w:t>
      </w:r>
      <w:r w:rsidR="00556C14">
        <w:rPr>
          <w:rStyle w:val="FootnoteReference"/>
        </w:rPr>
        <w:footnoteReference w:id="3"/>
      </w:r>
    </w:p>
    <w:p w:rsidR="004F4574" w:rsidRDefault="0025580B" w:rsidP="0025580B">
      <w:pPr>
        <w:pStyle w:val="BodyTextIndent"/>
        <w:spacing w:line="480" w:lineRule="auto"/>
        <w:ind w:left="720" w:hanging="720"/>
        <w:outlineLvl w:val="0"/>
      </w:pPr>
      <w:r>
        <w:tab/>
      </w:r>
      <w:r>
        <w:tab/>
        <w:t>G</w:t>
      </w:r>
      <w:r w:rsidR="00557A6E">
        <w:t xml:space="preserve">as </w:t>
      </w:r>
      <w:r>
        <w:t xml:space="preserve">supply </w:t>
      </w:r>
      <w:r w:rsidR="00B607E7">
        <w:t>costs and property tax-related costs are excluded from the calculation of t</w:t>
      </w:r>
      <w:r w:rsidR="004F4574">
        <w:t xml:space="preserve">he </w:t>
      </w:r>
      <w:r w:rsidR="000C027B">
        <w:t>gas</w:t>
      </w:r>
      <w:r w:rsidR="004F4574">
        <w:t xml:space="preserve"> revenue </w:t>
      </w:r>
      <w:r w:rsidR="000C027B">
        <w:t>suffi</w:t>
      </w:r>
      <w:r w:rsidR="004F4574">
        <w:t>ciency</w:t>
      </w:r>
      <w:r w:rsidR="00B607E7">
        <w:t xml:space="preserve"> </w:t>
      </w:r>
      <w:r w:rsidR="004F4574">
        <w:t xml:space="preserve">because the former already has a separate recovery mechanism and the latter is proposed to have a </w:t>
      </w:r>
      <w:r w:rsidR="00E22EF9">
        <w:t xml:space="preserve">separate tracker in this case. </w:t>
      </w:r>
      <w:r w:rsidR="004F4574">
        <w:t xml:space="preserve"> </w:t>
      </w:r>
      <w:r w:rsidR="004B1805">
        <w:t>The template for determining the revenue deficiency is the C</w:t>
      </w:r>
      <w:r w:rsidR="00657764">
        <w:t xml:space="preserve">ommission </w:t>
      </w:r>
      <w:r w:rsidR="004B1805">
        <w:t>B</w:t>
      </w:r>
      <w:r w:rsidR="00657764">
        <w:t xml:space="preserve">asis </w:t>
      </w:r>
      <w:r w:rsidR="004B1805">
        <w:t>R</w:t>
      </w:r>
      <w:r w:rsidR="00657764">
        <w:t xml:space="preserve">eport (“CBR”) filed by the Company, with certain modifications. </w:t>
      </w:r>
      <w:r w:rsidR="00B607E7">
        <w:t xml:space="preserve"> Chief among the modifications is PSE’s proposed use of end-of-period rate base rather than average-of-period rate base.</w:t>
      </w:r>
    </w:p>
    <w:p w:rsidR="000D34DD" w:rsidRPr="006B7D31" w:rsidRDefault="000D34DD" w:rsidP="000D34DD">
      <w:pPr>
        <w:pStyle w:val="BodyTextIndent"/>
        <w:spacing w:line="480" w:lineRule="auto"/>
        <w:ind w:left="720" w:hanging="720"/>
        <w:outlineLvl w:val="0"/>
        <w:rPr>
          <w:b/>
        </w:rPr>
      </w:pPr>
      <w:r w:rsidRPr="006B7D31">
        <w:rPr>
          <w:b/>
        </w:rPr>
        <w:t>Q.</w:t>
      </w:r>
      <w:r w:rsidRPr="006B7D31">
        <w:rPr>
          <w:b/>
        </w:rPr>
        <w:tab/>
        <w:t xml:space="preserve">What is </w:t>
      </w:r>
      <w:r w:rsidR="000C027B">
        <w:rPr>
          <w:b/>
        </w:rPr>
        <w:t>Nuco</w:t>
      </w:r>
      <w:r w:rsidRPr="006B7D31">
        <w:rPr>
          <w:b/>
        </w:rPr>
        <w:t>r’s position with respect to PSE’s proposed ERF revenue requirement?</w:t>
      </w:r>
    </w:p>
    <w:p w:rsidR="00ED6DA2" w:rsidRDefault="000D34DD" w:rsidP="00483356">
      <w:pPr>
        <w:pStyle w:val="BodyTextIndent"/>
        <w:spacing w:line="480" w:lineRule="auto"/>
        <w:ind w:left="720" w:hanging="720"/>
        <w:outlineLvl w:val="0"/>
      </w:pPr>
      <w:r>
        <w:t>A.</w:t>
      </w:r>
      <w:r>
        <w:tab/>
      </w:r>
      <w:r>
        <w:tab/>
      </w:r>
      <w:r w:rsidR="000C027B">
        <w:t>Nucor</w:t>
      </w:r>
      <w:r>
        <w:t xml:space="preserve"> </w:t>
      </w:r>
      <w:r w:rsidR="000C027B">
        <w:t>does</w:t>
      </w:r>
      <w:r>
        <w:t xml:space="preserve"> no</w:t>
      </w:r>
      <w:r w:rsidR="00C76317">
        <w:t>t</w:t>
      </w:r>
      <w:r>
        <w:t xml:space="preserve"> oppose the core </w:t>
      </w:r>
      <w:r w:rsidR="006B7D31">
        <w:t>revenue requirement pro</w:t>
      </w:r>
      <w:r w:rsidR="00E22EF9">
        <w:t xml:space="preserve">posal associated with the ERF. </w:t>
      </w:r>
      <w:r w:rsidR="006B7D31">
        <w:t xml:space="preserve"> </w:t>
      </w:r>
      <w:r w:rsidR="00483356">
        <w:t>However, i</w:t>
      </w:r>
      <w:r w:rsidR="00DA7BEA">
        <w:t xml:space="preserve">f full revenue decoupling is approved, </w:t>
      </w:r>
      <w:r w:rsidR="00ED6DA2">
        <w:t xml:space="preserve">I </w:t>
      </w:r>
      <w:r w:rsidR="00803D62">
        <w:t xml:space="preserve">am recommending an adjustment to </w:t>
      </w:r>
      <w:r w:rsidR="00DA7BEA">
        <w:t>PSE’s</w:t>
      </w:r>
      <w:r w:rsidR="00803D62">
        <w:t xml:space="preserve"> allowed return on equity (”ROE”), which has </w:t>
      </w:r>
      <w:r w:rsidR="00ED6DA2">
        <w:t>implications for the ERF revenue requirement</w:t>
      </w:r>
      <w:r w:rsidR="00E22EF9">
        <w:t xml:space="preserve">. </w:t>
      </w:r>
      <w:r w:rsidR="00803D62">
        <w:t xml:space="preserve"> </w:t>
      </w:r>
      <w:r w:rsidR="00ED6DA2">
        <w:t xml:space="preserve">As I explain later in my </w:t>
      </w:r>
      <w:r w:rsidR="00ED6DA2">
        <w:lastRenderedPageBreak/>
        <w:t>testimony, I am recommending that the Commission r</w:t>
      </w:r>
      <w:r w:rsidR="00803D62">
        <w:t>eject PSE’s decoupling proposal.</w:t>
      </w:r>
      <w:r w:rsidR="00ED6DA2">
        <w:t xml:space="preserve">  If this recommendation is accepted, then my testimony would have no impact on PSE’s proposed ERF revenue requirement.</w:t>
      </w:r>
    </w:p>
    <w:bookmarkEnd w:id="6"/>
    <w:p w:rsidR="003A7F79" w:rsidRDefault="003C12CA" w:rsidP="003C12CA">
      <w:pPr>
        <w:pStyle w:val="BodyTextIndent"/>
        <w:spacing w:line="480" w:lineRule="auto"/>
        <w:ind w:left="720" w:hanging="720"/>
        <w:outlineLvl w:val="0"/>
        <w:rPr>
          <w:b/>
        </w:rPr>
      </w:pPr>
      <w:r>
        <w:rPr>
          <w:b/>
        </w:rPr>
        <w:t>Q.</w:t>
      </w:r>
      <w:r>
        <w:rPr>
          <w:b/>
        </w:rPr>
        <w:tab/>
        <w:t xml:space="preserve">How does PSE propose to spread its proposed </w:t>
      </w:r>
      <w:r w:rsidR="001E7446">
        <w:rPr>
          <w:b/>
        </w:rPr>
        <w:t>ERF gas rate decrease</w:t>
      </w:r>
      <w:r>
        <w:rPr>
          <w:b/>
        </w:rPr>
        <w:t xml:space="preserve"> across customer classes?</w:t>
      </w:r>
    </w:p>
    <w:p w:rsidR="00F539D5" w:rsidRDefault="00F539D5" w:rsidP="003C12CA">
      <w:pPr>
        <w:pStyle w:val="BodyTextIndent"/>
        <w:spacing w:line="480" w:lineRule="auto"/>
        <w:ind w:left="720" w:hanging="720"/>
        <w:outlineLvl w:val="0"/>
      </w:pPr>
      <w:r w:rsidRPr="00F539D5">
        <w:t>A.</w:t>
      </w:r>
      <w:r w:rsidR="006255E4">
        <w:tab/>
      </w:r>
      <w:r w:rsidR="006255E4">
        <w:tab/>
        <w:t xml:space="preserve">As explained by PSE </w:t>
      </w:r>
      <w:r w:rsidR="006255E4" w:rsidRPr="00281EB1">
        <w:t>witness J</w:t>
      </w:r>
      <w:r w:rsidR="009658BA" w:rsidRPr="00281EB1">
        <w:t xml:space="preserve">anet </w:t>
      </w:r>
      <w:r w:rsidR="00281EB1" w:rsidRPr="00281EB1">
        <w:t xml:space="preserve">K. </w:t>
      </w:r>
      <w:r w:rsidR="009658BA" w:rsidRPr="00281EB1">
        <w:t>Phelps,</w:t>
      </w:r>
      <w:r w:rsidR="006255E4" w:rsidRPr="00281EB1">
        <w:t xml:space="preserve"> PSE</w:t>
      </w:r>
      <w:r w:rsidR="00281EB1" w:rsidRPr="00281EB1">
        <w:t xml:space="preserve"> proposes that all customer classes receive an equal percentage reduction in rates, calculated as a percent of margin</w:t>
      </w:r>
      <w:r w:rsidR="00281EB1">
        <w:t>.</w:t>
      </w:r>
      <w:r w:rsidR="00281EB1">
        <w:rPr>
          <w:rStyle w:val="FootnoteReference"/>
        </w:rPr>
        <w:footnoteReference w:id="4"/>
      </w:r>
    </w:p>
    <w:p w:rsidR="008B5E58" w:rsidRPr="0071144E" w:rsidRDefault="008B5E58" w:rsidP="00F55A35">
      <w:pPr>
        <w:pStyle w:val="BodyTextIndent"/>
        <w:spacing w:line="480" w:lineRule="auto"/>
        <w:ind w:left="720" w:hanging="720"/>
        <w:rPr>
          <w:b/>
        </w:rPr>
      </w:pPr>
      <w:r w:rsidRPr="0071144E">
        <w:rPr>
          <w:b/>
        </w:rPr>
        <w:t>Q.</w:t>
      </w:r>
      <w:r w:rsidRPr="0071144E">
        <w:rPr>
          <w:b/>
        </w:rPr>
        <w:tab/>
        <w:t>What is your assessment of PSE’s proposed approach to rate spread?</w:t>
      </w:r>
    </w:p>
    <w:p w:rsidR="00B96E45" w:rsidRDefault="008B5E58" w:rsidP="00A50409">
      <w:pPr>
        <w:pStyle w:val="BodyTextIndent"/>
        <w:spacing w:line="480" w:lineRule="auto"/>
        <w:ind w:left="720" w:hanging="720"/>
      </w:pPr>
      <w:r>
        <w:t>A.</w:t>
      </w:r>
      <w:r>
        <w:tab/>
      </w:r>
      <w:r>
        <w:tab/>
      </w:r>
      <w:r w:rsidR="00BF3E43">
        <w:t>I</w:t>
      </w:r>
      <w:r w:rsidR="009465B1">
        <w:t xml:space="preserve">n my opinion, </w:t>
      </w:r>
      <w:r w:rsidR="00A50409">
        <w:t xml:space="preserve">the Company’s rate spread approach </w:t>
      </w:r>
      <w:r w:rsidR="00BF3E43">
        <w:t xml:space="preserve">is </w:t>
      </w:r>
      <w:r w:rsidR="00A50409">
        <w:t>reasonable and I recommend that it be adopted if the ERF is approved.</w:t>
      </w:r>
    </w:p>
    <w:p w:rsidR="00A50409" w:rsidRDefault="00A50409" w:rsidP="00A50409">
      <w:pPr>
        <w:pStyle w:val="BodyTextIndent"/>
        <w:spacing w:line="480" w:lineRule="auto"/>
        <w:ind w:left="720" w:hanging="720"/>
      </w:pPr>
    </w:p>
    <w:p w:rsidR="00A50409" w:rsidRPr="00A02DAF" w:rsidRDefault="00A50409" w:rsidP="00A50409">
      <w:pPr>
        <w:pStyle w:val="BodyTextIndent"/>
        <w:spacing w:line="480" w:lineRule="auto"/>
        <w:ind w:left="720" w:hanging="720"/>
        <w:rPr>
          <w:b/>
          <w:u w:val="single"/>
        </w:rPr>
      </w:pPr>
      <w:r w:rsidRPr="00A02DAF">
        <w:rPr>
          <w:b/>
          <w:u w:val="single"/>
        </w:rPr>
        <w:t xml:space="preserve">Revenue </w:t>
      </w:r>
      <w:r w:rsidRPr="00A45351">
        <w:rPr>
          <w:b/>
          <w:u w:val="single"/>
        </w:rPr>
        <w:t>Decoupling</w:t>
      </w:r>
      <w:r w:rsidR="00A45351" w:rsidRPr="00A45351">
        <w:rPr>
          <w:b/>
          <w:u w:val="single"/>
        </w:rPr>
        <w:t xml:space="preserve"> </w:t>
      </w:r>
      <w:r w:rsidR="00ED1129">
        <w:rPr>
          <w:b/>
          <w:u w:val="single"/>
        </w:rPr>
        <w:t xml:space="preserve">- </w:t>
      </w:r>
      <w:r w:rsidR="00A45351" w:rsidRPr="00A45351">
        <w:rPr>
          <w:b/>
          <w:u w:val="single"/>
        </w:rPr>
        <w:t>Dockets UE-121697 and UG-121705</w:t>
      </w:r>
    </w:p>
    <w:p w:rsidR="00A50409" w:rsidRPr="00A02DAF" w:rsidRDefault="00A02DAF" w:rsidP="00A50409">
      <w:pPr>
        <w:pStyle w:val="BodyTextIndent"/>
        <w:spacing w:line="480" w:lineRule="auto"/>
        <w:ind w:left="720" w:hanging="720"/>
        <w:rPr>
          <w:b/>
        </w:rPr>
      </w:pPr>
      <w:r w:rsidRPr="00A02DAF">
        <w:rPr>
          <w:b/>
        </w:rPr>
        <w:t>Q.</w:t>
      </w:r>
      <w:r w:rsidRPr="00A02DAF">
        <w:rPr>
          <w:b/>
        </w:rPr>
        <w:tab/>
        <w:t>What ha</w:t>
      </w:r>
      <w:r w:rsidR="00103D10">
        <w:rPr>
          <w:b/>
        </w:rPr>
        <w:t>ve</w:t>
      </w:r>
      <w:r w:rsidRPr="00A02DAF">
        <w:rPr>
          <w:b/>
        </w:rPr>
        <w:t xml:space="preserve"> PSE and the NW Energy Coalition proposed with respect to revenue decoupling?</w:t>
      </w:r>
    </w:p>
    <w:p w:rsidR="00A02DAF" w:rsidRDefault="00A02DAF" w:rsidP="00A50409">
      <w:pPr>
        <w:pStyle w:val="BodyTextIndent"/>
        <w:spacing w:line="480" w:lineRule="auto"/>
        <w:ind w:left="720" w:hanging="720"/>
      </w:pPr>
      <w:r>
        <w:t>A</w:t>
      </w:r>
      <w:r w:rsidR="00103D10">
        <w:t>.</w:t>
      </w:r>
      <w:r w:rsidR="00103D10">
        <w:tab/>
      </w:r>
      <w:r w:rsidR="00ED1129">
        <w:tab/>
      </w:r>
      <w:r w:rsidR="00A45351">
        <w:t xml:space="preserve">As discussed in the </w:t>
      </w:r>
      <w:r w:rsidR="00ED1129">
        <w:t xml:space="preserve">supplemental </w:t>
      </w:r>
      <w:r w:rsidR="00A45351">
        <w:t>direct testimony of Mr. Piliaris</w:t>
      </w:r>
      <w:r w:rsidR="00ED1129">
        <w:t xml:space="preserve">, the Joint Parties have put forth a rate plan and a pair of electric and gas decoupling proposals. </w:t>
      </w:r>
      <w:r w:rsidR="00A54588">
        <w:t xml:space="preserve"> The rate plan is a series of predetermined annual rate increases implemented through a metric </w:t>
      </w:r>
      <w:r w:rsidR="00E22EF9">
        <w:t xml:space="preserve">that PSE calls the “K-factor”. </w:t>
      </w:r>
      <w:r w:rsidR="00A54588">
        <w:t xml:space="preserve"> The proposed rate plan would extend at least through March 2016 an</w:t>
      </w:r>
      <w:r w:rsidR="00E22EF9">
        <w:t xml:space="preserve">d possibly through March 2017. </w:t>
      </w:r>
      <w:r w:rsidR="006F51BD">
        <w:t xml:space="preserve"> As part of its proposal, and subject to certain caveats, PSE would not file its next general rate case before April 1, 2015, but </w:t>
      </w:r>
      <w:r w:rsidR="0016547C">
        <w:t xml:space="preserve">would </w:t>
      </w:r>
      <w:r w:rsidR="00FD5421">
        <w:t xml:space="preserve">file it </w:t>
      </w:r>
      <w:r w:rsidR="006F51BD">
        <w:t xml:space="preserve">no later than April 1, </w:t>
      </w:r>
      <w:r w:rsidR="006F51BD">
        <w:lastRenderedPageBreak/>
        <w:t>2016, unless otherwise agreed to by the parties in the Company’s last general rate case.</w:t>
      </w:r>
    </w:p>
    <w:p w:rsidR="004D3C71" w:rsidRDefault="006F51BD" w:rsidP="00C40D8C">
      <w:pPr>
        <w:pStyle w:val="BodyTextIndent"/>
        <w:spacing w:line="480" w:lineRule="auto"/>
        <w:ind w:left="720" w:firstLine="720"/>
      </w:pPr>
      <w:r>
        <w:t xml:space="preserve">The decoupling proposal </w:t>
      </w:r>
      <w:r w:rsidR="00C40D8C">
        <w:t>envisions full revenue decoupling applied to fixed delivery costs for almost all electric and gas customer classes</w:t>
      </w:r>
      <w:r w:rsidR="00F6358D">
        <w:t>.</w:t>
      </w:r>
      <w:r w:rsidR="00F6358D">
        <w:rPr>
          <w:rStyle w:val="FootnoteReference"/>
        </w:rPr>
        <w:footnoteReference w:id="5"/>
      </w:r>
      <w:r w:rsidR="00C40D8C">
        <w:t xml:space="preserve"> </w:t>
      </w:r>
      <w:r w:rsidR="004D3C71">
        <w:t xml:space="preserve"> The revenue decoupling would be </w:t>
      </w:r>
      <w:r w:rsidR="00C40D8C">
        <w:t xml:space="preserve">implemented through an “allowed revenue per customer” metric.  The decoupling proposal is tied to the </w:t>
      </w:r>
      <w:r w:rsidR="004D3C71">
        <w:t xml:space="preserve">proposed </w:t>
      </w:r>
      <w:r w:rsidR="00C40D8C">
        <w:t xml:space="preserve">rate plan in that each year’s allowed revenue per customer would be increased via the K-factor. </w:t>
      </w:r>
      <w:r w:rsidR="004D3C71">
        <w:t xml:space="preserve"> Thus, the overall proposal should be viewed as a combination “predetermined rate increase/decoupling” package extending over a multi-year period.</w:t>
      </w:r>
    </w:p>
    <w:p w:rsidR="004D3C71" w:rsidRPr="004D3C71" w:rsidRDefault="004D3C71" w:rsidP="00E22EF9">
      <w:pPr>
        <w:pStyle w:val="BodyTextIndent"/>
        <w:spacing w:line="480" w:lineRule="auto"/>
        <w:ind w:left="720" w:hanging="720"/>
        <w:rPr>
          <w:b/>
        </w:rPr>
      </w:pPr>
      <w:r w:rsidRPr="004D3C71">
        <w:rPr>
          <w:b/>
        </w:rPr>
        <w:t>Q.</w:t>
      </w:r>
      <w:r w:rsidRPr="004D3C71">
        <w:rPr>
          <w:b/>
        </w:rPr>
        <w:tab/>
        <w:t>What is your assessment of the Joint Parties’ decoupling proposal?</w:t>
      </w:r>
    </w:p>
    <w:p w:rsidR="006F51BD" w:rsidRDefault="004D3C71" w:rsidP="004D3C71">
      <w:pPr>
        <w:pStyle w:val="BodyTextIndent"/>
        <w:spacing w:line="480" w:lineRule="auto"/>
        <w:ind w:left="720" w:hanging="720"/>
      </w:pPr>
      <w:r>
        <w:t>A.</w:t>
      </w:r>
      <w:r>
        <w:tab/>
      </w:r>
      <w:r>
        <w:tab/>
        <w:t>I recommend that the entire package be rejected.  Failing that, I recommend that the proposal be modi</w:t>
      </w:r>
      <w:r w:rsidR="00E22EF9">
        <w:t>fied in several important ways.</w:t>
      </w:r>
    </w:p>
    <w:p w:rsidR="004D3C71" w:rsidRPr="004D3C71" w:rsidRDefault="004D3C71" w:rsidP="004D3C71">
      <w:pPr>
        <w:pStyle w:val="BodyTextIndent"/>
        <w:spacing w:line="480" w:lineRule="auto"/>
        <w:ind w:left="720" w:hanging="720"/>
        <w:rPr>
          <w:b/>
        </w:rPr>
      </w:pPr>
      <w:r w:rsidRPr="004D3C71">
        <w:rPr>
          <w:b/>
        </w:rPr>
        <w:t>Q.</w:t>
      </w:r>
      <w:r w:rsidRPr="004D3C71">
        <w:rPr>
          <w:b/>
        </w:rPr>
        <w:tab/>
        <w:t>Please explain your reasons for recommending that the decoupling proposal be rejected.</w:t>
      </w:r>
    </w:p>
    <w:p w:rsidR="00ED32EF" w:rsidRDefault="004D3C71" w:rsidP="004D3C71">
      <w:pPr>
        <w:pStyle w:val="BodyTextIndent"/>
        <w:spacing w:line="480" w:lineRule="auto"/>
        <w:ind w:left="720" w:hanging="720"/>
      </w:pPr>
      <w:r>
        <w:t>A.</w:t>
      </w:r>
      <w:r>
        <w:tab/>
      </w:r>
      <w:r>
        <w:tab/>
      </w:r>
      <w:r w:rsidR="00ED32EF">
        <w:t xml:space="preserve">Taken as a whole I do not believe this proposal constitutes good ratemaking, nor do I believe it is in the public interest.  </w:t>
      </w:r>
      <w:r>
        <w:t xml:space="preserve">For purposes of </w:t>
      </w:r>
      <w:r w:rsidR="00ED32EF">
        <w:t xml:space="preserve">this </w:t>
      </w:r>
      <w:r>
        <w:t xml:space="preserve">discussion, it is useful to separate the K-factor component of the rate plan from the rest of the decoupling proposal.  Even though these components are tied together in the Joint Parties’ proposal, decoupling does not require adoption of predetermined annual rate increases nor does a rate plan consisting of predetermined annual rate increases require decoupling.  </w:t>
      </w:r>
      <w:r w:rsidR="00ED32EF">
        <w:t>Indeed, the proposed K-</w:t>
      </w:r>
      <w:r w:rsidR="00ED32EF">
        <w:lastRenderedPageBreak/>
        <w:t>factor scheme and the proposed decoupling mechanism are conceptually distinct, independent features that should be evaluated on their own merit.</w:t>
      </w:r>
    </w:p>
    <w:p w:rsidR="004D3C71" w:rsidRPr="00B8327D" w:rsidRDefault="00ED32EF" w:rsidP="004D3C71">
      <w:pPr>
        <w:pStyle w:val="BodyTextIndent"/>
        <w:spacing w:line="480" w:lineRule="auto"/>
        <w:ind w:left="720" w:hanging="720"/>
        <w:rPr>
          <w:b/>
        </w:rPr>
      </w:pPr>
      <w:r w:rsidRPr="00B8327D">
        <w:rPr>
          <w:b/>
        </w:rPr>
        <w:t>Q.</w:t>
      </w:r>
      <w:r w:rsidRPr="00B8327D">
        <w:rPr>
          <w:b/>
        </w:rPr>
        <w:tab/>
        <w:t>What is your assessment of the K-factor proposal?</w:t>
      </w:r>
    </w:p>
    <w:p w:rsidR="00931DE6" w:rsidRDefault="00ED32EF" w:rsidP="004D3C71">
      <w:pPr>
        <w:pStyle w:val="BodyTextIndent"/>
        <w:spacing w:line="480" w:lineRule="auto"/>
        <w:ind w:left="720" w:hanging="720"/>
      </w:pPr>
      <w:r>
        <w:t>A.</w:t>
      </w:r>
      <w:r>
        <w:tab/>
      </w:r>
      <w:r>
        <w:tab/>
      </w:r>
      <w:r w:rsidR="00931DE6">
        <w:t>The K-factor proposal is an attempt to introduce an automatic</w:t>
      </w:r>
      <w:r w:rsidR="006C5ED2">
        <w:t xml:space="preserve">, </w:t>
      </w:r>
      <w:r w:rsidR="00931DE6">
        <w:t xml:space="preserve">predetermined cost escalator into rates.  </w:t>
      </w:r>
      <w:r w:rsidR="006C5ED2">
        <w:t xml:space="preserve">The </w:t>
      </w:r>
      <w:r w:rsidR="00931DE6">
        <w:t xml:space="preserve">proposed </w:t>
      </w:r>
      <w:r w:rsidR="006C5ED2">
        <w:t xml:space="preserve">K-factor </w:t>
      </w:r>
      <w:r w:rsidR="00931DE6">
        <w:t xml:space="preserve">for </w:t>
      </w:r>
      <w:r w:rsidR="00C76317">
        <w:t>gas</w:t>
      </w:r>
      <w:r w:rsidR="00931DE6">
        <w:t xml:space="preserve"> service is 1.0</w:t>
      </w:r>
      <w:r w:rsidR="00C76317">
        <w:t>22</w:t>
      </w:r>
      <w:r w:rsidR="006C5ED2">
        <w:t xml:space="preserve"> and would apply to all revenue requirements except </w:t>
      </w:r>
      <w:r w:rsidR="00BB4B1A">
        <w:t>gas</w:t>
      </w:r>
      <w:r w:rsidR="0025580B">
        <w:t xml:space="preserve"> supply</w:t>
      </w:r>
      <w:r w:rsidR="00BB4B1A">
        <w:t xml:space="preserve"> </w:t>
      </w:r>
      <w:r w:rsidR="006C5ED2">
        <w:t xml:space="preserve">costs and property taxes.  Essentially, the K-factor hardwires a </w:t>
      </w:r>
      <w:r w:rsidR="00C76317">
        <w:t>2.2</w:t>
      </w:r>
      <w:r w:rsidR="006C5ED2">
        <w:t xml:space="preserve"> percent annual cost increase into the </w:t>
      </w:r>
      <w:r w:rsidR="009925CF">
        <w:t xml:space="preserve">applicable </w:t>
      </w:r>
      <w:r w:rsidR="006C5ED2">
        <w:t>cost components</w:t>
      </w:r>
      <w:r w:rsidR="009925CF">
        <w:t>,</w:t>
      </w:r>
      <w:r w:rsidR="006C5ED2">
        <w:t xml:space="preserve"> which would </w:t>
      </w:r>
      <w:r w:rsidR="009925CF">
        <w:t xml:space="preserve">then </w:t>
      </w:r>
      <w:r w:rsidR="006C5ED2">
        <w:t>automatically flow into customer rates</w:t>
      </w:r>
      <w:r w:rsidR="00931DE6">
        <w:t>.</w:t>
      </w:r>
      <w:r w:rsidR="006C5ED2">
        <w:t xml:space="preserve">  Extended over the </w:t>
      </w:r>
      <w:r w:rsidR="00A54C0F">
        <w:t xml:space="preserve">potential </w:t>
      </w:r>
      <w:r w:rsidR="006C5ED2">
        <w:t>term of the proposed rate plan</w:t>
      </w:r>
      <w:r w:rsidR="00A54C0F">
        <w:t xml:space="preserve"> (which could extend beyond the start of 2017)</w:t>
      </w:r>
      <w:r w:rsidR="006C5ED2">
        <w:t xml:space="preserve">, </w:t>
      </w:r>
      <w:r w:rsidR="006C5ED2" w:rsidRPr="00AB3AF3">
        <w:t xml:space="preserve">the revenue requirement for the affected </w:t>
      </w:r>
      <w:r w:rsidR="004262D6" w:rsidRPr="00AB3AF3">
        <w:t>gas</w:t>
      </w:r>
      <w:r w:rsidR="00A54C0F" w:rsidRPr="00AB3AF3">
        <w:t xml:space="preserve"> </w:t>
      </w:r>
      <w:r w:rsidR="006C5ED2" w:rsidRPr="00AB3AF3">
        <w:t xml:space="preserve">cost components would increase </w:t>
      </w:r>
      <w:r w:rsidR="00A54C0F" w:rsidRPr="00AB3AF3">
        <w:t>1</w:t>
      </w:r>
      <w:r w:rsidR="00C76317" w:rsidRPr="00AB3AF3">
        <w:t>1</w:t>
      </w:r>
      <w:r w:rsidR="00A54C0F" w:rsidRPr="00AB3AF3">
        <w:t>.</w:t>
      </w:r>
      <w:r w:rsidR="00C76317" w:rsidRPr="00AB3AF3">
        <w:t>5</w:t>
      </w:r>
      <w:r w:rsidR="00394721" w:rsidRPr="00AB3AF3">
        <w:t xml:space="preserve"> percent.</w:t>
      </w:r>
    </w:p>
    <w:p w:rsidR="00931DE6" w:rsidRDefault="00847103" w:rsidP="00AB2321">
      <w:pPr>
        <w:pStyle w:val="BodyTextIndent"/>
        <w:spacing w:line="480" w:lineRule="auto"/>
        <w:ind w:left="720" w:firstLine="720"/>
      </w:pPr>
      <w:r>
        <w:t xml:space="preserve">The proposed K-factor rate increases are </w:t>
      </w:r>
      <w:r w:rsidR="004A6F01">
        <w:t xml:space="preserve">not known and measurable adjustments presented in the context of a rate proceeding.  Rather they are </w:t>
      </w:r>
      <w:r>
        <w:t>arbitrary and unsubstantiated</w:t>
      </w:r>
      <w:r w:rsidR="001C4594">
        <w:t xml:space="preserve"> </w:t>
      </w:r>
      <w:r w:rsidR="004A6F01">
        <w:t xml:space="preserve">rate increases that </w:t>
      </w:r>
      <w:r w:rsidR="001C4594">
        <w:t>should be rejected by the Commission</w:t>
      </w:r>
      <w:r w:rsidR="00394721">
        <w:t xml:space="preserve">. </w:t>
      </w:r>
      <w:r>
        <w:t xml:space="preserve"> PSE justifies </w:t>
      </w:r>
      <w:r w:rsidR="00E95693">
        <w:t xml:space="preserve">the proposed level of these factors by referencing a calculation prepared by Ms. Barnard that results in a </w:t>
      </w:r>
      <w:r w:rsidR="00C76317">
        <w:t>gas</w:t>
      </w:r>
      <w:r w:rsidR="00E95693">
        <w:t xml:space="preserve"> K-factor of 1.0</w:t>
      </w:r>
      <w:r w:rsidR="00C76317">
        <w:t>38</w:t>
      </w:r>
      <w:r w:rsidR="00E95693">
        <w:t xml:space="preserve"> measured over the period 2006-2011.</w:t>
      </w:r>
      <w:r w:rsidR="00DA7BEA">
        <w:rPr>
          <w:rStyle w:val="FootnoteReference"/>
        </w:rPr>
        <w:footnoteReference w:id="6"/>
      </w:r>
      <w:r w:rsidR="00394721">
        <w:t xml:space="preserve"> </w:t>
      </w:r>
      <w:r w:rsidR="000826FE">
        <w:t xml:space="preserve"> </w:t>
      </w:r>
      <w:r w:rsidR="00C13523">
        <w:t>Ms. Barnard’s calculation was prepared using rate base and depreciation expense increases over that time period combined with a projection of O&amp;M inflation</w:t>
      </w:r>
      <w:r w:rsidR="00D11FAC">
        <w:t xml:space="preserve"> </w:t>
      </w:r>
      <w:r w:rsidR="00C13523">
        <w:t xml:space="preserve">that includes a small productivity adjustment.  </w:t>
      </w:r>
      <w:r w:rsidR="00D11FAC">
        <w:t xml:space="preserve">However, a trend line of past cost increases </w:t>
      </w:r>
      <w:r w:rsidR="00C13523">
        <w:t xml:space="preserve">(blended with an inflation forecast) </w:t>
      </w:r>
      <w:r w:rsidR="00D11FAC">
        <w:t xml:space="preserve">does not constitute a reasonable basis for </w:t>
      </w:r>
      <w:r w:rsidR="00C13523">
        <w:t xml:space="preserve">locking in </w:t>
      </w:r>
      <w:r w:rsidR="00D11FAC">
        <w:t xml:space="preserve">broadly </w:t>
      </w:r>
      <w:r w:rsidR="00D11FAC">
        <w:lastRenderedPageBreak/>
        <w:t xml:space="preserve">applicable </w:t>
      </w:r>
      <w:r w:rsidR="00C13523">
        <w:t xml:space="preserve">rate </w:t>
      </w:r>
      <w:r w:rsidR="00D11FAC">
        <w:t>increase</w:t>
      </w:r>
      <w:r w:rsidR="00C0654E">
        <w:t>s</w:t>
      </w:r>
      <w:r w:rsidR="00D11FAC">
        <w:t xml:space="preserve"> in the future, particularly </w:t>
      </w:r>
      <w:r w:rsidR="00C13523">
        <w:t>o</w:t>
      </w:r>
      <w:r w:rsidR="00AB2321">
        <w:t xml:space="preserve">ver a multi-year period.  </w:t>
      </w:r>
      <w:r w:rsidR="00C13523">
        <w:t>Moreover, Ms. Barnard’s K-factor results are very sensitive</w:t>
      </w:r>
      <w:r w:rsidR="00394721">
        <w:t xml:space="preserve"> to the time period selected.  </w:t>
      </w:r>
      <w:r w:rsidR="00C13523">
        <w:t xml:space="preserve">Selecting a time period that starts just one year later (2007-2011) reduces her calculation of the </w:t>
      </w:r>
      <w:r w:rsidR="00C76317">
        <w:t>gas</w:t>
      </w:r>
      <w:r w:rsidR="00C13523">
        <w:t xml:space="preserve"> K-factor from 1.0</w:t>
      </w:r>
      <w:r w:rsidR="00C76317">
        <w:t>38</w:t>
      </w:r>
      <w:r w:rsidR="00C13523">
        <w:t xml:space="preserve"> to </w:t>
      </w:r>
      <w:r w:rsidR="00C13523" w:rsidRPr="001D15E8">
        <w:t>1.0</w:t>
      </w:r>
      <w:r w:rsidR="001D15E8" w:rsidRPr="001D15E8">
        <w:t>2</w:t>
      </w:r>
      <w:r w:rsidR="00C76317">
        <w:t>9</w:t>
      </w:r>
      <w:r w:rsidR="001D15E8" w:rsidRPr="001D15E8">
        <w:t>9</w:t>
      </w:r>
      <w:r w:rsidR="00C13523" w:rsidRPr="00A54C0F">
        <w:t>.</w:t>
      </w:r>
      <w:r w:rsidR="002B1D38">
        <w:rPr>
          <w:rStyle w:val="FootnoteReference"/>
        </w:rPr>
        <w:footnoteReference w:id="7"/>
      </w:r>
    </w:p>
    <w:p w:rsidR="001C4594" w:rsidRDefault="002E5DFB" w:rsidP="001C4594">
      <w:pPr>
        <w:pStyle w:val="BodyTextIndent"/>
        <w:tabs>
          <w:tab w:val="left" w:pos="-3240"/>
        </w:tabs>
        <w:spacing w:line="480" w:lineRule="auto"/>
        <w:ind w:left="720" w:firstLine="720"/>
      </w:pPr>
      <w:r>
        <w:t>More generally, t</w:t>
      </w:r>
      <w:r w:rsidR="001C4594">
        <w:t xml:space="preserve">he Commission should be concerned about regulatory pricing formulations </w:t>
      </w:r>
      <w:r w:rsidR="009925CF">
        <w:t xml:space="preserve">such as the K-factor proposal </w:t>
      </w:r>
      <w:r w:rsidR="001C4594">
        <w:t xml:space="preserve">that reinforce inflation.  This occurs when </w:t>
      </w:r>
      <w:r w:rsidR="001C4594" w:rsidRPr="0016547C">
        <w:t xml:space="preserve">projections </w:t>
      </w:r>
      <w:r w:rsidR="001C4594">
        <w:t>of inflation are built into formulas that are used to set administratively-determined prices, such as utility rates.  Such pricing mechanisms help to make in</w:t>
      </w:r>
      <w:r w:rsidR="008F44A5">
        <w:t>flation a self-fulfilling prophec</w:t>
      </w:r>
      <w:r w:rsidR="001C4594">
        <w:t xml:space="preserve">y.  </w:t>
      </w:r>
      <w:r w:rsidR="00A93601">
        <w:t>R</w:t>
      </w:r>
      <w:r w:rsidR="001C4594">
        <w:t>egulators should use extreme caution before approving prices that guarantee inflation before it occurs.</w:t>
      </w:r>
    </w:p>
    <w:p w:rsidR="001C4594" w:rsidRDefault="001C4594" w:rsidP="00394721">
      <w:pPr>
        <w:pStyle w:val="BodyTextIndent"/>
        <w:tabs>
          <w:tab w:val="left" w:pos="-3240"/>
        </w:tabs>
        <w:spacing w:line="480" w:lineRule="auto"/>
        <w:ind w:left="720" w:firstLine="720"/>
      </w:pPr>
      <w:r>
        <w:t xml:space="preserve">A related, but distinct, concern involves the building of </w:t>
      </w:r>
      <w:r w:rsidR="00CC476E">
        <w:t>a</w:t>
      </w:r>
      <w:r w:rsidR="00C73D71">
        <w:t xml:space="preserve"> K-factor</w:t>
      </w:r>
      <w:r>
        <w:t xml:space="preserve"> “cost cushion” into the </w:t>
      </w:r>
      <w:r w:rsidRPr="00CC476E">
        <w:t xml:space="preserve">Company’s </w:t>
      </w:r>
      <w:r w:rsidR="009925CF" w:rsidRPr="00CC476E">
        <w:t>base</w:t>
      </w:r>
      <w:r w:rsidRPr="00CC476E">
        <w:t xml:space="preserve"> period costs.  The cost increases represented by escalation factors may or may not come to fruition.  In any case, PSE should be expected to strive to improve </w:t>
      </w:r>
      <w:r w:rsidR="00C73D71" w:rsidRPr="00CC476E">
        <w:t>the e</w:t>
      </w:r>
      <w:r w:rsidRPr="00CC476E">
        <w:t xml:space="preserve">fficiency </w:t>
      </w:r>
      <w:r w:rsidR="00C73D71" w:rsidRPr="00CC476E">
        <w:t xml:space="preserve">of its operations </w:t>
      </w:r>
      <w:r w:rsidRPr="00CC476E">
        <w:t xml:space="preserve">on a continuous basis, and thereby lessen the net impact of inflation on its </w:t>
      </w:r>
      <w:r w:rsidR="00C73D71" w:rsidRPr="00CC476E">
        <w:t>c</w:t>
      </w:r>
      <w:r w:rsidRPr="00CC476E">
        <w:t>osts.  It is not reasonable to gross up the Company’s base period costs by an</w:t>
      </w:r>
      <w:r>
        <w:t xml:space="preserve"> </w:t>
      </w:r>
      <w:r w:rsidR="00C73D71">
        <w:t xml:space="preserve">arbitrary escalation </w:t>
      </w:r>
      <w:r>
        <w:t>factor and pass these costs on to customers.</w:t>
      </w:r>
      <w:r w:rsidR="00C73D71">
        <w:t xml:space="preserve">  </w:t>
      </w:r>
      <w:r w:rsidR="00661AAE">
        <w:t>A</w:t>
      </w:r>
      <w:r w:rsidR="00C73D71">
        <w:t>s I pointed out above, there is nothing inherent in revenue decoupling that calls for this type of underlying cost escalation.  If the Commission is inclined to approve revenue decoupling (my discussion below notwithstanding), the K-factor portion of the Company’s filing can be readily excised and discarded.</w:t>
      </w:r>
    </w:p>
    <w:p w:rsidR="00D976A5" w:rsidRPr="00D976A5" w:rsidRDefault="00D976A5" w:rsidP="00D976A5">
      <w:pPr>
        <w:pStyle w:val="BodyTextIndent"/>
        <w:spacing w:line="480" w:lineRule="auto"/>
        <w:ind w:left="720" w:hanging="720"/>
        <w:rPr>
          <w:b/>
        </w:rPr>
      </w:pPr>
      <w:r w:rsidRPr="00D976A5">
        <w:rPr>
          <w:b/>
        </w:rPr>
        <w:lastRenderedPageBreak/>
        <w:t>Q.</w:t>
      </w:r>
      <w:r w:rsidRPr="00D976A5">
        <w:rPr>
          <w:b/>
        </w:rPr>
        <w:tab/>
        <w:t xml:space="preserve">Putting aside the matter of the proposed K-factor, what is your </w:t>
      </w:r>
      <w:r>
        <w:rPr>
          <w:b/>
        </w:rPr>
        <w:t>recommendation with respect to</w:t>
      </w:r>
      <w:r w:rsidRPr="00D976A5">
        <w:rPr>
          <w:b/>
        </w:rPr>
        <w:t xml:space="preserve"> the </w:t>
      </w:r>
      <w:r>
        <w:rPr>
          <w:b/>
        </w:rPr>
        <w:t xml:space="preserve">revenue </w:t>
      </w:r>
      <w:r w:rsidRPr="00D976A5">
        <w:rPr>
          <w:b/>
        </w:rPr>
        <w:t>decoupling proposal being advanced by the Joint Parties?</w:t>
      </w:r>
    </w:p>
    <w:p w:rsidR="00D976A5" w:rsidRDefault="00D976A5" w:rsidP="00D976A5">
      <w:pPr>
        <w:pStyle w:val="BodyTextIndent"/>
        <w:spacing w:line="480" w:lineRule="auto"/>
        <w:ind w:left="720" w:hanging="720"/>
      </w:pPr>
      <w:r>
        <w:t>A.</w:t>
      </w:r>
      <w:r>
        <w:tab/>
      </w:r>
      <w:r>
        <w:tab/>
        <w:t>I recommend that the revenue decoupling proposal be rejected</w:t>
      </w:r>
      <w:r w:rsidR="0016547C">
        <w:t>, even if the K-factor component is removed</w:t>
      </w:r>
      <w:r>
        <w:t>.  Failing that, I recommend that it be modified in several material ways.</w:t>
      </w:r>
    </w:p>
    <w:p w:rsidR="00D976A5" w:rsidRPr="00D976A5" w:rsidRDefault="00D976A5" w:rsidP="00D976A5">
      <w:pPr>
        <w:pStyle w:val="BodyTextIndent"/>
        <w:spacing w:line="480" w:lineRule="auto"/>
        <w:ind w:left="720" w:hanging="720"/>
        <w:rPr>
          <w:b/>
        </w:rPr>
      </w:pPr>
      <w:r w:rsidRPr="00D976A5">
        <w:rPr>
          <w:b/>
        </w:rPr>
        <w:t>Q.</w:t>
      </w:r>
      <w:r w:rsidRPr="00D976A5">
        <w:rPr>
          <w:b/>
        </w:rPr>
        <w:tab/>
      </w:r>
      <w:r w:rsidR="00D97741">
        <w:rPr>
          <w:b/>
        </w:rPr>
        <w:t xml:space="preserve">What are </w:t>
      </w:r>
      <w:r w:rsidRPr="00D976A5">
        <w:rPr>
          <w:b/>
        </w:rPr>
        <w:t>the reasons for your recommendation to reject the decoupling proposal</w:t>
      </w:r>
      <w:r w:rsidR="00D97741">
        <w:rPr>
          <w:b/>
        </w:rPr>
        <w:t>?</w:t>
      </w:r>
    </w:p>
    <w:p w:rsidR="00D976A5" w:rsidRDefault="00D976A5" w:rsidP="008547EF">
      <w:pPr>
        <w:pStyle w:val="BodyTextIndent"/>
        <w:spacing w:line="480" w:lineRule="auto"/>
        <w:ind w:left="720" w:hanging="720"/>
        <w:rPr>
          <w:szCs w:val="24"/>
        </w:rPr>
      </w:pPr>
      <w:r>
        <w:t>A.</w:t>
      </w:r>
      <w:r>
        <w:tab/>
      </w:r>
      <w:r>
        <w:tab/>
      </w:r>
      <w:r w:rsidR="00D97741">
        <w:t>I present a full explanation of the reasons for my recommendation in my prefiled response testimony submitted on behalf of Kroger.  I will provide a brief summation of those reasons here</w:t>
      </w:r>
      <w:r w:rsidR="0049523B">
        <w:t>:</w:t>
      </w:r>
      <w:r w:rsidR="00D97741">
        <w:t xml:space="preserve"> </w:t>
      </w:r>
    </w:p>
    <w:p w:rsidR="00D97741" w:rsidRDefault="00F74CF3" w:rsidP="00D97741">
      <w:pPr>
        <w:pStyle w:val="BodyTextIndent"/>
        <w:numPr>
          <w:ilvl w:val="0"/>
          <w:numId w:val="43"/>
        </w:numPr>
        <w:spacing w:line="480" w:lineRule="auto"/>
      </w:pPr>
      <w:r>
        <w:t>The proposal by the Joint Parties fails to reduc</w:t>
      </w:r>
      <w:r w:rsidR="003F44AB">
        <w:t xml:space="preserve">e </w:t>
      </w:r>
      <w:r>
        <w:t xml:space="preserve">the cost of PSE’s equity </w:t>
      </w:r>
      <w:r w:rsidR="003F44AB">
        <w:t>that flows</w:t>
      </w:r>
      <w:r>
        <w:t xml:space="preserve"> through to customers in exchange for the assumpt</w:t>
      </w:r>
      <w:r w:rsidR="00394721">
        <w:t xml:space="preserve">ion of greater ratepayer risk. </w:t>
      </w:r>
      <w:r>
        <w:t xml:space="preserve"> </w:t>
      </w:r>
    </w:p>
    <w:p w:rsidR="0049523B" w:rsidRDefault="00D97741" w:rsidP="00D97741">
      <w:pPr>
        <w:pStyle w:val="BodyTextIndent"/>
        <w:numPr>
          <w:ilvl w:val="0"/>
          <w:numId w:val="43"/>
        </w:numPr>
        <w:spacing w:line="480" w:lineRule="auto"/>
      </w:pPr>
      <w:r>
        <w:t>T</w:t>
      </w:r>
      <w:r w:rsidR="00F74CF3">
        <w:t xml:space="preserve">he proposal does not provide for </w:t>
      </w:r>
      <w:r w:rsidR="00B51FF7">
        <w:t xml:space="preserve">full </w:t>
      </w:r>
      <w:r w:rsidR="00F74CF3">
        <w:t>recognition of found margin to offset the lost margin tha</w:t>
      </w:r>
      <w:r w:rsidR="003F44AB">
        <w:t xml:space="preserve">t would be charged to customers, and thus, </w:t>
      </w:r>
      <w:r w:rsidR="00F74CF3">
        <w:t xml:space="preserve">is deficient in fully providing this offset </w:t>
      </w:r>
      <w:r w:rsidR="005E1BF8">
        <w:t xml:space="preserve">that is highly emphasized </w:t>
      </w:r>
      <w:r w:rsidR="00F74CF3">
        <w:t>in the Commission’s report and policy statement</w:t>
      </w:r>
      <w:r w:rsidR="0049523B">
        <w:t xml:space="preserve"> issued in Docket No. U-100522</w:t>
      </w:r>
      <w:r w:rsidR="00F74CF3">
        <w:t>.</w:t>
      </w:r>
      <w:r w:rsidR="00394721">
        <w:t xml:space="preserve">  </w:t>
      </w:r>
    </w:p>
    <w:p w:rsidR="009253C0" w:rsidRDefault="009253C0" w:rsidP="009253C0">
      <w:pPr>
        <w:pStyle w:val="BodyTextIndent"/>
        <w:numPr>
          <w:ilvl w:val="0"/>
          <w:numId w:val="41"/>
        </w:numPr>
        <w:spacing w:line="480" w:lineRule="auto"/>
      </w:pPr>
      <w:r>
        <w:t xml:space="preserve">Decoupling </w:t>
      </w:r>
      <w:r w:rsidR="003F44AB">
        <w:t>is sure to capture a much wider range of effects than just customer responses to utility-sponsored energy efficiency programs</w:t>
      </w:r>
      <w:r w:rsidR="0033449E">
        <w:t>, even though the latter constitutes the underlying justification for its adoption</w:t>
      </w:r>
      <w:r w:rsidR="003F44AB">
        <w:t>.</w:t>
      </w:r>
    </w:p>
    <w:p w:rsidR="003F44AB" w:rsidRDefault="009253C0" w:rsidP="009253C0">
      <w:pPr>
        <w:pStyle w:val="BodyTextIndent"/>
        <w:numPr>
          <w:ilvl w:val="0"/>
          <w:numId w:val="41"/>
        </w:numPr>
        <w:spacing w:line="480" w:lineRule="auto"/>
      </w:pPr>
      <w:r>
        <w:lastRenderedPageBreak/>
        <w:t>D</w:t>
      </w:r>
      <w:r w:rsidR="003F44AB">
        <w:t>ecoupling provides unwarranted insulation to the utility from the effects of price elasticity</w:t>
      </w:r>
      <w:r>
        <w:t xml:space="preserve">, representing </w:t>
      </w:r>
      <w:r w:rsidR="003F44AB">
        <w:t xml:space="preserve">an undue </w:t>
      </w:r>
      <w:r w:rsidR="003F44AB" w:rsidRPr="0041574B">
        <w:t>transfer of risk from utilities to customers.</w:t>
      </w:r>
    </w:p>
    <w:p w:rsidR="003F44AB" w:rsidRDefault="009253C0" w:rsidP="009253C0">
      <w:pPr>
        <w:pStyle w:val="BodyTextIndent"/>
        <w:numPr>
          <w:ilvl w:val="0"/>
          <w:numId w:val="41"/>
        </w:numPr>
        <w:spacing w:line="480" w:lineRule="auto"/>
      </w:pPr>
      <w:r>
        <w:t>T</w:t>
      </w:r>
      <w:r w:rsidR="003F44AB">
        <w:t>o the extent that customers reduce usage in response to economic conditions or otherwise practice self-funded energy conservation, these behaviors will be captured in the decoupling adjustment and undul</w:t>
      </w:r>
      <w:r w:rsidR="00394721">
        <w:t>y increase rates to customers.</w:t>
      </w:r>
    </w:p>
    <w:p w:rsidR="00003EA6" w:rsidRDefault="00003EA6" w:rsidP="009253C0">
      <w:pPr>
        <w:pStyle w:val="BodyTextIndent"/>
        <w:numPr>
          <w:ilvl w:val="0"/>
          <w:numId w:val="41"/>
        </w:numPr>
        <w:spacing w:line="480" w:lineRule="auto"/>
      </w:pPr>
      <w:r>
        <w:t>Full revenue decoupling also suffers from the infirmities of single-issue ratemaking, which o</w:t>
      </w:r>
      <w:r w:rsidRPr="006169BD">
        <w:t>ccurs when utility rates are adjusted in response to a change in a single cost or revenue item considered in isolation.</w:t>
      </w:r>
    </w:p>
    <w:p w:rsidR="00731DD5" w:rsidRDefault="0049523B" w:rsidP="0049523B">
      <w:pPr>
        <w:pStyle w:val="BodyTextIndent"/>
        <w:spacing w:line="480" w:lineRule="auto"/>
        <w:ind w:left="720" w:firstLine="360"/>
      </w:pPr>
      <w:r>
        <w:t xml:space="preserve">In short, the Joint Parties’ proposal is a one-sided proposition that burdens customers with the negative characteristics of full revenue decoupling without providing the key benefits that the Commission stressed in its report and policy statement.  </w:t>
      </w:r>
      <w:r w:rsidR="00674C33">
        <w:t>In light of these drawbacks for customers, if full revenue decoupling is imposed on customers</w:t>
      </w:r>
      <w:r w:rsidR="002549EC">
        <w:t>,</w:t>
      </w:r>
      <w:r w:rsidR="00674C33">
        <w:t xml:space="preserve"> then it is essential that the benefit of lower equity costs be recognized in customer rates</w:t>
      </w:r>
      <w:r w:rsidR="00731DD5">
        <w:t>.</w:t>
      </w:r>
      <w:r w:rsidR="00B8236E">
        <w:t xml:space="preserve">  Failure to adjust ROE </w:t>
      </w:r>
      <w:r w:rsidR="007B5FEA">
        <w:t>would ignore one of the central tenets in the Commission’s report and policy statement.</w:t>
      </w:r>
    </w:p>
    <w:p w:rsidR="00731DD5" w:rsidRPr="00B8236E" w:rsidRDefault="00394721" w:rsidP="00394721">
      <w:pPr>
        <w:pStyle w:val="BodyTextIndent"/>
        <w:spacing w:line="480" w:lineRule="auto"/>
        <w:ind w:left="720" w:hanging="720"/>
        <w:rPr>
          <w:b/>
        </w:rPr>
      </w:pPr>
      <w:r>
        <w:rPr>
          <w:b/>
        </w:rPr>
        <w:t>Q.</w:t>
      </w:r>
      <w:r>
        <w:rPr>
          <w:b/>
        </w:rPr>
        <w:tab/>
      </w:r>
      <w:r w:rsidR="00731DD5" w:rsidRPr="00B8236E">
        <w:rPr>
          <w:b/>
        </w:rPr>
        <w:t>How is ROE addressed in the Joint Parties’ decoupling proposal?</w:t>
      </w:r>
    </w:p>
    <w:p w:rsidR="00003EA6" w:rsidRDefault="00731DD5" w:rsidP="00B8236E">
      <w:pPr>
        <w:pStyle w:val="BodyTextIndent"/>
        <w:spacing w:line="480" w:lineRule="auto"/>
        <w:ind w:left="720" w:hanging="720"/>
      </w:pPr>
      <w:r>
        <w:t>A.</w:t>
      </w:r>
      <w:r>
        <w:tab/>
      </w:r>
      <w:r>
        <w:tab/>
        <w:t xml:space="preserve">The proposal contains no adjustment in the Company’s ROE to reflect full revenue decoupling.  Rather, the Joint Parties propose to allow PSE to continue to earn </w:t>
      </w:r>
      <w:r w:rsidRPr="00F6358D">
        <w:t>the 9.8</w:t>
      </w:r>
      <w:r w:rsidR="00B8236E" w:rsidRPr="00F6358D">
        <w:t>%</w:t>
      </w:r>
      <w:r>
        <w:t xml:space="preserve"> ROE ordered by the Commission in</w:t>
      </w:r>
      <w:r w:rsidR="007B3302">
        <w:t xml:space="preserve"> Docket No</w:t>
      </w:r>
      <w:r w:rsidR="00F6358D">
        <w:t>s</w:t>
      </w:r>
      <w:r w:rsidR="007B3302">
        <w:t>. UE-111048</w:t>
      </w:r>
      <w:r w:rsidR="00F6358D">
        <w:t xml:space="preserve"> and UG-111049</w:t>
      </w:r>
      <w:r w:rsidR="007B5FEA">
        <w:t>, subject to an earnings test</w:t>
      </w:r>
      <w:r w:rsidR="001D15E8">
        <w:t xml:space="preserve">.  The earning test would allow PSE to earn </w:t>
      </w:r>
      <w:r w:rsidR="001D15E8">
        <w:lastRenderedPageBreak/>
        <w:t>up 25 basis points above its overall rate of return on rate base before rebating to customers 50 percent of the earnings in excess of this level.</w:t>
      </w:r>
      <w:r w:rsidR="001D15E8">
        <w:rPr>
          <w:rStyle w:val="FootnoteReference"/>
        </w:rPr>
        <w:footnoteReference w:id="8"/>
      </w:r>
    </w:p>
    <w:p w:rsidR="00CB7BDA" w:rsidRPr="00611CC5" w:rsidRDefault="00CE5CA0" w:rsidP="00CE5CA0">
      <w:pPr>
        <w:pStyle w:val="BodyTextIndent"/>
        <w:spacing w:line="480" w:lineRule="auto"/>
        <w:ind w:left="720" w:hanging="720"/>
        <w:contextualSpacing/>
        <w:rPr>
          <w:b/>
          <w:szCs w:val="24"/>
        </w:rPr>
      </w:pPr>
      <w:r w:rsidRPr="00611CC5">
        <w:rPr>
          <w:b/>
          <w:szCs w:val="24"/>
        </w:rPr>
        <w:t>Q.</w:t>
      </w:r>
      <w:r w:rsidRPr="00611CC5">
        <w:rPr>
          <w:b/>
          <w:szCs w:val="24"/>
        </w:rPr>
        <w:tab/>
        <w:t>What is your recommendation to the Commission regarding the treatment of PSE’s ROE if full revenue decoupling is adopted?</w:t>
      </w:r>
    </w:p>
    <w:p w:rsidR="00CE5CA0" w:rsidRDefault="00CE5CA0" w:rsidP="00611CC5">
      <w:pPr>
        <w:pStyle w:val="BodyTextIndent"/>
        <w:spacing w:line="480" w:lineRule="auto"/>
        <w:ind w:left="810" w:hanging="810"/>
        <w:contextualSpacing/>
        <w:rPr>
          <w:szCs w:val="24"/>
        </w:rPr>
      </w:pPr>
      <w:r>
        <w:rPr>
          <w:szCs w:val="24"/>
        </w:rPr>
        <w:t>A.</w:t>
      </w:r>
      <w:r>
        <w:rPr>
          <w:szCs w:val="24"/>
        </w:rPr>
        <w:tab/>
      </w:r>
      <w:r>
        <w:rPr>
          <w:szCs w:val="24"/>
        </w:rPr>
        <w:tab/>
        <w:t xml:space="preserve">If full revenue decoupling is adopted, I recommend that PSE’s ROE be </w:t>
      </w:r>
      <w:r w:rsidRPr="00AE1DB3">
        <w:rPr>
          <w:szCs w:val="24"/>
        </w:rPr>
        <w:t>reduced by 25 basis</w:t>
      </w:r>
      <w:r>
        <w:rPr>
          <w:szCs w:val="24"/>
        </w:rPr>
        <w:t xml:space="preserve"> points for the functions subject to the decoupling mechanism (i.e., </w:t>
      </w:r>
      <w:r w:rsidR="00611CC5">
        <w:rPr>
          <w:szCs w:val="24"/>
        </w:rPr>
        <w:t>electric and gas delivery).  This adjustment lies well within the range of RO</w:t>
      </w:r>
      <w:r w:rsidR="00283631">
        <w:rPr>
          <w:szCs w:val="24"/>
        </w:rPr>
        <w:t>E adjustments adopted by other c</w:t>
      </w:r>
      <w:r w:rsidR="00611CC5">
        <w:rPr>
          <w:szCs w:val="24"/>
        </w:rPr>
        <w:t>ommissions and is reasonable in light of the mitigation of earnings volatility that the mechanism would provide for PSE.</w:t>
      </w:r>
      <w:r w:rsidR="009253C0">
        <w:rPr>
          <w:szCs w:val="24"/>
        </w:rPr>
        <w:t xml:space="preserve">  The support for this recommendation is presented in detail in the </w:t>
      </w:r>
      <w:r w:rsidR="00FD5421">
        <w:rPr>
          <w:szCs w:val="24"/>
        </w:rPr>
        <w:t>response</w:t>
      </w:r>
      <w:r w:rsidR="009253C0">
        <w:rPr>
          <w:szCs w:val="24"/>
        </w:rPr>
        <w:t xml:space="preserve"> testimony I filed on behalf of Kroger in this proceeding.</w:t>
      </w:r>
    </w:p>
    <w:p w:rsidR="00DD2C09" w:rsidRPr="00DD2C09" w:rsidRDefault="00DD2C09" w:rsidP="00611CC5">
      <w:pPr>
        <w:pStyle w:val="BodyTextIndent"/>
        <w:spacing w:line="480" w:lineRule="auto"/>
        <w:ind w:left="810" w:hanging="810"/>
        <w:contextualSpacing/>
        <w:rPr>
          <w:b/>
          <w:szCs w:val="24"/>
        </w:rPr>
      </w:pPr>
      <w:r w:rsidRPr="00DD2C09">
        <w:rPr>
          <w:b/>
          <w:szCs w:val="24"/>
        </w:rPr>
        <w:t>Q.</w:t>
      </w:r>
      <w:r w:rsidRPr="00DD2C09">
        <w:rPr>
          <w:b/>
          <w:szCs w:val="24"/>
        </w:rPr>
        <w:tab/>
        <w:t xml:space="preserve">How should a 25 basis point </w:t>
      </w:r>
      <w:r w:rsidR="00804048">
        <w:rPr>
          <w:b/>
          <w:szCs w:val="24"/>
        </w:rPr>
        <w:t xml:space="preserve">ROE </w:t>
      </w:r>
      <w:r w:rsidRPr="00DD2C09">
        <w:rPr>
          <w:b/>
          <w:szCs w:val="24"/>
        </w:rPr>
        <w:t>adjustment be applied in this proceeding if full revenue decoupling is adopted?</w:t>
      </w:r>
    </w:p>
    <w:p w:rsidR="00AE1DB3" w:rsidRDefault="00DD2C09" w:rsidP="00611CC5">
      <w:pPr>
        <w:pStyle w:val="BodyTextIndent"/>
        <w:spacing w:line="480" w:lineRule="auto"/>
        <w:ind w:left="810" w:hanging="810"/>
        <w:contextualSpacing/>
        <w:rPr>
          <w:szCs w:val="24"/>
        </w:rPr>
      </w:pPr>
      <w:r>
        <w:rPr>
          <w:szCs w:val="24"/>
        </w:rPr>
        <w:t>A.</w:t>
      </w:r>
      <w:r>
        <w:rPr>
          <w:szCs w:val="24"/>
        </w:rPr>
        <w:tab/>
      </w:r>
      <w:r>
        <w:rPr>
          <w:szCs w:val="24"/>
        </w:rPr>
        <w:tab/>
        <w:t xml:space="preserve">The adjustment should be </w:t>
      </w:r>
      <w:r w:rsidRPr="00502F31">
        <w:rPr>
          <w:szCs w:val="24"/>
        </w:rPr>
        <w:t>applied as part of the ERF proceeding.</w:t>
      </w:r>
      <w:r w:rsidR="00F26901" w:rsidRPr="00502F31">
        <w:rPr>
          <w:szCs w:val="24"/>
        </w:rPr>
        <w:t xml:space="preserve"> </w:t>
      </w:r>
      <w:r w:rsidR="00FC5EF7" w:rsidRPr="00502F31">
        <w:rPr>
          <w:szCs w:val="24"/>
        </w:rPr>
        <w:t xml:space="preserve"> The adjustment</w:t>
      </w:r>
      <w:r w:rsidR="00AE1DB3" w:rsidRPr="00502F31">
        <w:rPr>
          <w:szCs w:val="24"/>
        </w:rPr>
        <w:t>s</w:t>
      </w:r>
      <w:r w:rsidR="00FC5EF7" w:rsidRPr="00502F31">
        <w:rPr>
          <w:szCs w:val="24"/>
        </w:rPr>
        <w:t xml:space="preserve"> result in </w:t>
      </w:r>
      <w:r w:rsidR="00AE1DB3" w:rsidRPr="00502F31">
        <w:rPr>
          <w:szCs w:val="24"/>
        </w:rPr>
        <w:t>a reduction in the ERF electric revenue requirement of approximately $</w:t>
      </w:r>
      <w:r w:rsidR="002B1D38" w:rsidRPr="00502F31">
        <w:rPr>
          <w:szCs w:val="24"/>
        </w:rPr>
        <w:t>5</w:t>
      </w:r>
      <w:r w:rsidR="00AE1DB3" w:rsidRPr="00502F31">
        <w:rPr>
          <w:szCs w:val="24"/>
        </w:rPr>
        <w:t>.</w:t>
      </w:r>
      <w:r w:rsidR="002B1D38" w:rsidRPr="00502F31">
        <w:rPr>
          <w:szCs w:val="24"/>
        </w:rPr>
        <w:t>1</w:t>
      </w:r>
      <w:r w:rsidR="00AE1DB3" w:rsidRPr="00502F31">
        <w:rPr>
          <w:szCs w:val="24"/>
        </w:rPr>
        <w:t xml:space="preserve"> million and in the ERF gas revenue requirement of approximately $</w:t>
      </w:r>
      <w:r w:rsidR="002B1D38" w:rsidRPr="00502F31">
        <w:rPr>
          <w:szCs w:val="24"/>
        </w:rPr>
        <w:t>3</w:t>
      </w:r>
      <w:r w:rsidR="00AE1DB3" w:rsidRPr="00502F31">
        <w:rPr>
          <w:szCs w:val="24"/>
        </w:rPr>
        <w:t>.</w:t>
      </w:r>
      <w:r w:rsidR="002B1D38" w:rsidRPr="00502F31">
        <w:rPr>
          <w:szCs w:val="24"/>
        </w:rPr>
        <w:t>1</w:t>
      </w:r>
      <w:r w:rsidR="00AE1DB3" w:rsidRPr="00502F31">
        <w:rPr>
          <w:szCs w:val="24"/>
        </w:rPr>
        <w:t xml:space="preserve"> million.</w:t>
      </w:r>
    </w:p>
    <w:p w:rsidR="007871C2" w:rsidRPr="006771EB" w:rsidRDefault="007871C2" w:rsidP="007871C2">
      <w:pPr>
        <w:pStyle w:val="BodyTextIndent"/>
        <w:spacing w:line="480" w:lineRule="auto"/>
        <w:ind w:left="720" w:hanging="720"/>
        <w:contextualSpacing/>
        <w:rPr>
          <w:b/>
        </w:rPr>
      </w:pPr>
      <w:r w:rsidRPr="006771EB">
        <w:rPr>
          <w:b/>
          <w:szCs w:val="24"/>
        </w:rPr>
        <w:t>Q.</w:t>
      </w:r>
      <w:r w:rsidRPr="006771EB">
        <w:rPr>
          <w:b/>
          <w:szCs w:val="24"/>
        </w:rPr>
        <w:tab/>
        <w:t xml:space="preserve">Previously in your testimony you stated that the </w:t>
      </w:r>
      <w:r w:rsidRPr="006771EB">
        <w:rPr>
          <w:b/>
        </w:rPr>
        <w:t>proposal by the Joint Parties does not provide for full recognition of found margin to offset the lost margin that would be charged to customers.  Please explain.</w:t>
      </w:r>
    </w:p>
    <w:p w:rsidR="007871C2" w:rsidRDefault="007871C2" w:rsidP="007871C2">
      <w:pPr>
        <w:pStyle w:val="BodyTextIndent"/>
        <w:spacing w:line="480" w:lineRule="auto"/>
        <w:ind w:left="720" w:hanging="720"/>
        <w:contextualSpacing/>
      </w:pPr>
      <w:r>
        <w:t>A.</w:t>
      </w:r>
      <w:r>
        <w:tab/>
      </w:r>
      <w:r>
        <w:tab/>
        <w:t xml:space="preserve">The concept of found revenue is discussed at some length in the Commission’s report and policy statement.  </w:t>
      </w:r>
      <w:r w:rsidR="00635EC4">
        <w:t xml:space="preserve">The Commission’s statement </w:t>
      </w:r>
      <w:r w:rsidR="00635EC4">
        <w:lastRenderedPageBreak/>
        <w:t xml:space="preserve">emphasizes that </w:t>
      </w:r>
      <w:r w:rsidR="00635EC4" w:rsidRPr="00635EC4">
        <w:rPr>
          <w:szCs w:val="24"/>
        </w:rPr>
        <w:t xml:space="preserve">a properly constructed full decoupling mechanism </w:t>
      </w:r>
      <w:r w:rsidR="00635EC4">
        <w:rPr>
          <w:szCs w:val="24"/>
        </w:rPr>
        <w:t xml:space="preserve">would </w:t>
      </w:r>
      <w:r w:rsidR="00635EC4" w:rsidRPr="00635EC4">
        <w:rPr>
          <w:szCs w:val="24"/>
        </w:rPr>
        <w:t xml:space="preserve">balance out both lost and found margin from </w:t>
      </w:r>
      <w:r w:rsidR="00635EC4" w:rsidRPr="00635EC4">
        <w:rPr>
          <w:i/>
          <w:szCs w:val="24"/>
        </w:rPr>
        <w:t>any</w:t>
      </w:r>
      <w:r w:rsidR="00635EC4" w:rsidRPr="00635EC4">
        <w:rPr>
          <w:szCs w:val="24"/>
        </w:rPr>
        <w:t xml:space="preserve"> source</w:t>
      </w:r>
      <w:r w:rsidR="00635EC4">
        <w:rPr>
          <w:szCs w:val="24"/>
        </w:rPr>
        <w:t>. [Report at Par. 27</w:t>
      </w:r>
      <w:r w:rsidR="0049523B">
        <w:rPr>
          <w:szCs w:val="24"/>
        </w:rPr>
        <w:t>. Emphasis added.</w:t>
      </w:r>
      <w:r w:rsidR="00635EC4">
        <w:rPr>
          <w:szCs w:val="24"/>
        </w:rPr>
        <w:t xml:space="preserve">]  </w:t>
      </w:r>
      <w:r>
        <w:t xml:space="preserve">The full revenue decoupling proposal advanced by the Joint Parties recognizes found margin only to the extent that it may affect allowed revenue per customer.  The proposal provides no recognition of found revenue that </w:t>
      </w:r>
      <w:r w:rsidR="002406C0">
        <w:t>would be associated with growth in the number of customers.  Under the terms of the proposal, the full benefit of incremental fixed cost recovery associated with new c</w:t>
      </w:r>
      <w:r w:rsidR="004C45AF">
        <w:t>ustomers accrues solely to PSE.</w:t>
      </w:r>
    </w:p>
    <w:p w:rsidR="002406C0" w:rsidRDefault="002B5A5D" w:rsidP="002406C0">
      <w:pPr>
        <w:pStyle w:val="BodyTextIndent"/>
        <w:spacing w:line="480" w:lineRule="auto"/>
        <w:ind w:left="720" w:firstLine="720"/>
        <w:contextualSpacing/>
      </w:pPr>
      <w:r>
        <w:t xml:space="preserve">If full revenue decoupling is approved by the Commission, the mechanism proposed by the Joint Parties should be modified to incorporate any found margin associated with growth in customer count as a credit against the </w:t>
      </w:r>
      <w:r w:rsidR="00D34536" w:rsidRPr="00D34536">
        <w:t>RDA</w:t>
      </w:r>
      <w:r w:rsidRPr="00D34536">
        <w:t xml:space="preserve"> balancing accou</w:t>
      </w:r>
      <w:r w:rsidR="006771EB" w:rsidRPr="00D34536">
        <w:t>n</w:t>
      </w:r>
      <w:r w:rsidRPr="00D34536">
        <w:t>t.</w:t>
      </w:r>
    </w:p>
    <w:p w:rsidR="006771EB" w:rsidRPr="006771EB" w:rsidRDefault="006771EB" w:rsidP="006771EB">
      <w:pPr>
        <w:pStyle w:val="BodyTextIndent"/>
        <w:spacing w:line="480" w:lineRule="auto"/>
        <w:ind w:left="720" w:hanging="720"/>
        <w:contextualSpacing/>
        <w:rPr>
          <w:b/>
        </w:rPr>
      </w:pPr>
      <w:r w:rsidRPr="006771EB">
        <w:rPr>
          <w:b/>
        </w:rPr>
        <w:t>Q.</w:t>
      </w:r>
      <w:r w:rsidRPr="006771EB">
        <w:rPr>
          <w:b/>
        </w:rPr>
        <w:tab/>
        <w:t xml:space="preserve">If full revenue decoupling is adopted should it apply to all </w:t>
      </w:r>
      <w:r w:rsidR="009253C0">
        <w:rPr>
          <w:b/>
        </w:rPr>
        <w:t>gas</w:t>
      </w:r>
      <w:r w:rsidRPr="006771EB">
        <w:rPr>
          <w:b/>
        </w:rPr>
        <w:t xml:space="preserve"> rate schedules?</w:t>
      </w:r>
    </w:p>
    <w:p w:rsidR="006771EB" w:rsidRDefault="004C45AF" w:rsidP="006771EB">
      <w:pPr>
        <w:pStyle w:val="BodyTextIndent"/>
        <w:tabs>
          <w:tab w:val="left" w:pos="720"/>
        </w:tabs>
        <w:spacing w:line="480" w:lineRule="auto"/>
        <w:ind w:left="720" w:hanging="720"/>
        <w:contextualSpacing/>
      </w:pPr>
      <w:r>
        <w:t>A.</w:t>
      </w:r>
      <w:r>
        <w:tab/>
      </w:r>
      <w:r>
        <w:tab/>
        <w:t xml:space="preserve">No. </w:t>
      </w:r>
      <w:r w:rsidR="006771EB">
        <w:t xml:space="preserve"> The Joint Parties have already proposed to exclude</w:t>
      </w:r>
      <w:r w:rsidR="009658BA" w:rsidRPr="009658BA">
        <w:t xml:space="preserve"> </w:t>
      </w:r>
      <w:r w:rsidR="00D73BFC">
        <w:t>gas lighting,</w:t>
      </w:r>
      <w:r w:rsidR="009658BA">
        <w:t xml:space="preserve"> gas water heater rentals</w:t>
      </w:r>
      <w:r w:rsidR="00D73BFC">
        <w:t>, and special contracts</w:t>
      </w:r>
      <w:r>
        <w:t xml:space="preserve">.  </w:t>
      </w:r>
      <w:r w:rsidR="006771EB">
        <w:t xml:space="preserve">I </w:t>
      </w:r>
      <w:r w:rsidR="009658BA">
        <w:t xml:space="preserve">have no objections to </w:t>
      </w:r>
      <w:r w:rsidR="0096125E">
        <w:t>these</w:t>
      </w:r>
      <w:r w:rsidR="006771EB">
        <w:t xml:space="preserve"> exclusion</w:t>
      </w:r>
      <w:r w:rsidR="0096125E">
        <w:t>s</w:t>
      </w:r>
      <w:r w:rsidR="006771EB">
        <w:t xml:space="preserve">. </w:t>
      </w:r>
      <w:r w:rsidR="00B42C70">
        <w:t xml:space="preserve"> However, </w:t>
      </w:r>
      <w:r w:rsidR="009658BA">
        <w:t>the Joint Parties improperly include gas transportation customers in the proposed decoupling mechanism</w:t>
      </w:r>
      <w:r w:rsidR="00B42C70">
        <w:t>.</w:t>
      </w:r>
    </w:p>
    <w:p w:rsidR="00760725" w:rsidRDefault="00760725" w:rsidP="006771EB">
      <w:pPr>
        <w:pStyle w:val="BodyTextIndent"/>
        <w:tabs>
          <w:tab w:val="left" w:pos="720"/>
        </w:tabs>
        <w:spacing w:line="480" w:lineRule="auto"/>
        <w:ind w:left="720" w:hanging="720"/>
        <w:contextualSpacing/>
        <w:rPr>
          <w:b/>
        </w:rPr>
      </w:pPr>
      <w:r w:rsidRPr="00760725">
        <w:rPr>
          <w:b/>
        </w:rPr>
        <w:t>Q.</w:t>
      </w:r>
      <w:r w:rsidRPr="00760725">
        <w:rPr>
          <w:b/>
        </w:rPr>
        <w:tab/>
        <w:t>Why is it inappropriate to include gas transportation customers in the proposed PSE decoupling mechanism?</w:t>
      </w:r>
    </w:p>
    <w:p w:rsidR="00855BD3" w:rsidRDefault="00760725" w:rsidP="00760725">
      <w:pPr>
        <w:pStyle w:val="BodyTextIndent"/>
        <w:tabs>
          <w:tab w:val="left" w:pos="720"/>
        </w:tabs>
        <w:spacing w:line="480" w:lineRule="auto"/>
        <w:ind w:left="720" w:hanging="720"/>
        <w:contextualSpacing/>
        <w:rPr>
          <w:szCs w:val="24"/>
        </w:rPr>
      </w:pPr>
      <w:r w:rsidRPr="00760725">
        <w:t>A.</w:t>
      </w:r>
      <w:r w:rsidRPr="00760725">
        <w:tab/>
      </w:r>
      <w:r w:rsidRPr="00760725">
        <w:tab/>
        <w:t>There are several reasons.</w:t>
      </w:r>
      <w:r>
        <w:rPr>
          <w:szCs w:val="24"/>
        </w:rPr>
        <w:t xml:space="preserve">  </w:t>
      </w:r>
      <w:r w:rsidR="009658BA">
        <w:rPr>
          <w:szCs w:val="24"/>
        </w:rPr>
        <w:t>First, m</w:t>
      </w:r>
      <w:r w:rsidR="00003EA6" w:rsidRPr="00B42C70">
        <w:rPr>
          <w:szCs w:val="24"/>
        </w:rPr>
        <w:t xml:space="preserve">aintaining a “fixed-cost recovery per customer” target – as incorporated into the Joint Parties’ proposal – is not an appropriate rate design objective for classes of customers that have heterogeneous populations, and/or whose class composition shows a wide range of usage levels, </w:t>
      </w:r>
      <w:r w:rsidR="00003EA6" w:rsidRPr="00B42C70">
        <w:rPr>
          <w:szCs w:val="24"/>
        </w:rPr>
        <w:lastRenderedPageBreak/>
        <w:t xml:space="preserve">such as occurs with </w:t>
      </w:r>
      <w:r w:rsidR="009658BA">
        <w:rPr>
          <w:szCs w:val="24"/>
        </w:rPr>
        <w:t>gas transportation</w:t>
      </w:r>
      <w:r w:rsidR="00003EA6" w:rsidRPr="00B42C70">
        <w:rPr>
          <w:szCs w:val="24"/>
        </w:rPr>
        <w:t xml:space="preserve"> customers.  </w:t>
      </w:r>
      <w:r w:rsidR="00783526">
        <w:rPr>
          <w:szCs w:val="24"/>
        </w:rPr>
        <w:t>G</w:t>
      </w:r>
      <w:r w:rsidR="00003EA6" w:rsidRPr="00B42C70">
        <w:rPr>
          <w:szCs w:val="24"/>
        </w:rPr>
        <w:t xml:space="preserve">iven the </w:t>
      </w:r>
      <w:r w:rsidR="00003EA6" w:rsidRPr="00CC476E">
        <w:rPr>
          <w:szCs w:val="24"/>
        </w:rPr>
        <w:t xml:space="preserve">tremendous diversity among </w:t>
      </w:r>
      <w:r w:rsidR="009658BA">
        <w:rPr>
          <w:szCs w:val="24"/>
        </w:rPr>
        <w:t>gas transportation</w:t>
      </w:r>
      <w:r w:rsidR="00003EA6" w:rsidRPr="00CC476E">
        <w:rPr>
          <w:szCs w:val="24"/>
        </w:rPr>
        <w:t xml:space="preserve"> customers, </w:t>
      </w:r>
      <w:r w:rsidR="00644900" w:rsidRPr="00CC476E">
        <w:rPr>
          <w:szCs w:val="24"/>
        </w:rPr>
        <w:t>targeting “average fixed-cost recovery per customer” as a ratemaking metric for the</w:t>
      </w:r>
      <w:r w:rsidR="004C45AF" w:rsidRPr="00CC476E">
        <w:rPr>
          <w:szCs w:val="24"/>
        </w:rPr>
        <w:t xml:space="preserve">se customers is without merit. </w:t>
      </w:r>
      <w:r w:rsidR="00644900" w:rsidRPr="00CC476E">
        <w:rPr>
          <w:szCs w:val="24"/>
        </w:rPr>
        <w:t xml:space="preserve"> </w:t>
      </w:r>
      <w:r w:rsidR="00003EA6" w:rsidRPr="00B42C70">
        <w:rPr>
          <w:szCs w:val="24"/>
        </w:rPr>
        <w:t xml:space="preserve">Changes in the overall economy are far more likely to influence fixed-cost recovery per customer for </w:t>
      </w:r>
      <w:r w:rsidR="009658BA">
        <w:rPr>
          <w:szCs w:val="24"/>
        </w:rPr>
        <w:t>gas transportation</w:t>
      </w:r>
      <w:r w:rsidR="00003EA6" w:rsidRPr="00B42C70">
        <w:rPr>
          <w:szCs w:val="24"/>
        </w:rPr>
        <w:t xml:space="preserve"> customers than energy conservation programs.  Application of decoupling to these customers would result in undue </w:t>
      </w:r>
      <w:r w:rsidR="00003EA6" w:rsidRPr="00855BD3">
        <w:rPr>
          <w:szCs w:val="24"/>
        </w:rPr>
        <w:t>changes in rates in response to factors that are unr</w:t>
      </w:r>
      <w:r w:rsidR="004C45AF">
        <w:rPr>
          <w:szCs w:val="24"/>
        </w:rPr>
        <w:t>elated to energy conservation.</w:t>
      </w:r>
    </w:p>
    <w:p w:rsidR="00760725" w:rsidRDefault="009658BA" w:rsidP="00003EA6">
      <w:pPr>
        <w:pStyle w:val="BodyTextIndent"/>
        <w:spacing w:line="480" w:lineRule="auto"/>
        <w:ind w:left="720" w:firstLine="720"/>
        <w:rPr>
          <w:szCs w:val="24"/>
        </w:rPr>
      </w:pPr>
      <w:r>
        <w:rPr>
          <w:szCs w:val="24"/>
        </w:rPr>
        <w:t xml:space="preserve">Second, gas transportation customers do not take their gas supply service from PSE.  In this sense, they are comparable to PSE’s electric retail wheeling customers, who are properly excluded from the Joint Parties’ </w:t>
      </w:r>
      <w:r w:rsidR="00760725">
        <w:rPr>
          <w:szCs w:val="24"/>
        </w:rPr>
        <w:t>revenue decoupling proposal.  Consistent with this theme, gas transportation cus</w:t>
      </w:r>
      <w:r w:rsidR="0000391D">
        <w:rPr>
          <w:szCs w:val="24"/>
        </w:rPr>
        <w:t>tomers were not included in PSE’s Conservation Savings Adjustment Rate proposal filed in its last general rate case, nor were gas transportation customers included in PSE’s initial decoupling proposal filed in this proceeding.  The inclusion of gas transportation customers in the proposed decoupling mechanism did not surface until the Joint Parties made their supplemental filing.</w:t>
      </w:r>
    </w:p>
    <w:p w:rsidR="009658BA" w:rsidRPr="00855BD3" w:rsidRDefault="00760725" w:rsidP="00003EA6">
      <w:pPr>
        <w:pStyle w:val="BodyTextIndent"/>
        <w:spacing w:line="480" w:lineRule="auto"/>
        <w:ind w:left="720" w:firstLine="720"/>
        <w:rPr>
          <w:szCs w:val="24"/>
        </w:rPr>
      </w:pPr>
      <w:r>
        <w:rPr>
          <w:szCs w:val="24"/>
        </w:rPr>
        <w:t>Third,</w:t>
      </w:r>
      <w:r w:rsidR="0000391D">
        <w:rPr>
          <w:szCs w:val="24"/>
        </w:rPr>
        <w:t xml:space="preserve"> and most fundamentally, </w:t>
      </w:r>
      <w:r w:rsidRPr="00760725">
        <w:rPr>
          <w:szCs w:val="24"/>
          <w:u w:val="single"/>
        </w:rPr>
        <w:t xml:space="preserve">gas transportation customers </w:t>
      </w:r>
      <w:r w:rsidR="009658BA" w:rsidRPr="00760725">
        <w:rPr>
          <w:szCs w:val="24"/>
          <w:u w:val="single"/>
        </w:rPr>
        <w:t>are</w:t>
      </w:r>
      <w:r w:rsidR="009658BA" w:rsidRPr="009658BA">
        <w:rPr>
          <w:szCs w:val="24"/>
          <w:u w:val="single"/>
        </w:rPr>
        <w:t xml:space="preserve"> not even eligible </w:t>
      </w:r>
      <w:r w:rsidR="008430D8">
        <w:rPr>
          <w:szCs w:val="24"/>
          <w:u w:val="single"/>
        </w:rPr>
        <w:t>to participate in</w:t>
      </w:r>
      <w:r w:rsidR="009658BA" w:rsidRPr="009658BA">
        <w:rPr>
          <w:szCs w:val="24"/>
          <w:u w:val="single"/>
        </w:rPr>
        <w:t xml:space="preserve"> PSE’s energy efficiency programs</w:t>
      </w:r>
      <w:r w:rsidR="009658BA">
        <w:rPr>
          <w:szCs w:val="24"/>
        </w:rPr>
        <w:t>.</w:t>
      </w:r>
      <w:r w:rsidR="0000391D">
        <w:rPr>
          <w:rStyle w:val="FootnoteReference"/>
          <w:szCs w:val="24"/>
        </w:rPr>
        <w:footnoteReference w:id="9"/>
      </w:r>
      <w:r w:rsidR="009658BA">
        <w:rPr>
          <w:szCs w:val="24"/>
        </w:rPr>
        <w:t xml:space="preserve"> </w:t>
      </w:r>
      <w:r w:rsidR="00927A87">
        <w:rPr>
          <w:szCs w:val="24"/>
        </w:rPr>
        <w:t xml:space="preserve"> </w:t>
      </w:r>
      <w:r w:rsidR="009658BA">
        <w:rPr>
          <w:szCs w:val="24"/>
        </w:rPr>
        <w:t xml:space="preserve">Subjecting these </w:t>
      </w:r>
      <w:r>
        <w:rPr>
          <w:szCs w:val="24"/>
        </w:rPr>
        <w:t xml:space="preserve">customers to revenue decoupling under the guise of “removing PSE’s disincentive to support energy </w:t>
      </w:r>
      <w:r w:rsidR="00927A87">
        <w:rPr>
          <w:szCs w:val="24"/>
        </w:rPr>
        <w:t>efficiency” is patently absurd.</w:t>
      </w:r>
    </w:p>
    <w:p w:rsidR="00904D54" w:rsidRPr="0028635A" w:rsidRDefault="00904D54" w:rsidP="00E2004B">
      <w:pPr>
        <w:pStyle w:val="BodyTextIndent"/>
        <w:spacing w:line="480" w:lineRule="auto"/>
        <w:ind w:left="720" w:hanging="720"/>
        <w:rPr>
          <w:b/>
          <w:szCs w:val="24"/>
        </w:rPr>
      </w:pPr>
      <w:r w:rsidRPr="0028635A">
        <w:rPr>
          <w:b/>
          <w:szCs w:val="24"/>
        </w:rPr>
        <w:lastRenderedPageBreak/>
        <w:t>Q.</w:t>
      </w:r>
      <w:r w:rsidRPr="0028635A">
        <w:rPr>
          <w:b/>
          <w:szCs w:val="24"/>
        </w:rPr>
        <w:tab/>
      </w:r>
      <w:r w:rsidR="0000391D">
        <w:rPr>
          <w:b/>
          <w:szCs w:val="24"/>
        </w:rPr>
        <w:t>In addition to these fundamental disagreements with the Joint Parties’ proposal, do you have any technical concerns with proposed implementation of the revenue decoupling mechanism</w:t>
      </w:r>
      <w:r w:rsidRPr="0028635A">
        <w:rPr>
          <w:b/>
          <w:szCs w:val="24"/>
        </w:rPr>
        <w:t>?</w:t>
      </w:r>
    </w:p>
    <w:p w:rsidR="0028635A" w:rsidRDefault="004C45AF" w:rsidP="0028635A">
      <w:pPr>
        <w:pStyle w:val="BodyTextIndent"/>
        <w:spacing w:line="480" w:lineRule="auto"/>
        <w:ind w:left="720" w:hanging="720"/>
        <w:rPr>
          <w:szCs w:val="24"/>
        </w:rPr>
      </w:pPr>
      <w:r>
        <w:rPr>
          <w:szCs w:val="24"/>
        </w:rPr>
        <w:t>A.</w:t>
      </w:r>
      <w:r w:rsidR="00904D54">
        <w:rPr>
          <w:szCs w:val="24"/>
        </w:rPr>
        <w:tab/>
      </w:r>
      <w:r w:rsidR="00904D54">
        <w:rPr>
          <w:szCs w:val="24"/>
        </w:rPr>
        <w:tab/>
      </w:r>
      <w:r w:rsidR="0000391D">
        <w:rPr>
          <w:szCs w:val="24"/>
        </w:rPr>
        <w:t xml:space="preserve">Yes.  </w:t>
      </w:r>
      <w:r w:rsidR="00AA1DD3">
        <w:rPr>
          <w:szCs w:val="24"/>
        </w:rPr>
        <w:t xml:space="preserve">PSE’s non-residential </w:t>
      </w:r>
      <w:r w:rsidR="00783526">
        <w:rPr>
          <w:szCs w:val="24"/>
        </w:rPr>
        <w:t xml:space="preserve">gas </w:t>
      </w:r>
      <w:r w:rsidR="00AA1DD3">
        <w:rPr>
          <w:szCs w:val="24"/>
        </w:rPr>
        <w:t xml:space="preserve">rate schedules provide an option for contract firm demand, for which customers pay a demand charge.  It is my understanding that customers subscribing to this option must contract </w:t>
      </w:r>
      <w:r w:rsidR="004F4EE3">
        <w:rPr>
          <w:szCs w:val="24"/>
        </w:rPr>
        <w:t>on an annual basis</w:t>
      </w:r>
      <w:r w:rsidR="00AA1DD3">
        <w:rPr>
          <w:szCs w:val="24"/>
        </w:rPr>
        <w:t xml:space="preserve">.  Rather than treat contract firm demand </w:t>
      </w:r>
      <w:r w:rsidR="00281EB1">
        <w:rPr>
          <w:szCs w:val="24"/>
        </w:rPr>
        <w:t xml:space="preserve">revenues </w:t>
      </w:r>
      <w:r w:rsidR="00AA1DD3">
        <w:rPr>
          <w:szCs w:val="24"/>
        </w:rPr>
        <w:t>as fixed revenues, PSE includes these revenues i</w:t>
      </w:r>
      <w:r w:rsidR="0000391D">
        <w:rPr>
          <w:szCs w:val="24"/>
        </w:rPr>
        <w:t xml:space="preserve">n determining the “volumetric </w:t>
      </w:r>
      <w:r w:rsidR="00AA1DD3">
        <w:rPr>
          <w:szCs w:val="24"/>
        </w:rPr>
        <w:t>delivery revenue,” and will impute a reduction in these revenue</w:t>
      </w:r>
      <w:r w:rsidR="00281EB1">
        <w:rPr>
          <w:szCs w:val="24"/>
        </w:rPr>
        <w:t>s</w:t>
      </w:r>
      <w:r w:rsidR="00AA1DD3">
        <w:rPr>
          <w:szCs w:val="24"/>
        </w:rPr>
        <w:t xml:space="preserve"> whenever average throughput per customer declines </w:t>
      </w:r>
      <w:r w:rsidR="00281EB1">
        <w:rPr>
          <w:szCs w:val="24"/>
        </w:rPr>
        <w:t>– irrespective of the fact that customers have contracted for a fixed amount of firm service.  This treatment will assuredly overstate the imputed revenue impact of a change in average throughput per customer.</w:t>
      </w:r>
    </w:p>
    <w:p w:rsidR="00904D54" w:rsidRDefault="00281EB1" w:rsidP="0028635A">
      <w:pPr>
        <w:pStyle w:val="BodyTextIndent"/>
        <w:spacing w:line="480" w:lineRule="auto"/>
        <w:ind w:left="720" w:firstLine="720"/>
        <w:rPr>
          <w:szCs w:val="24"/>
        </w:rPr>
      </w:pPr>
      <w:r>
        <w:rPr>
          <w:szCs w:val="24"/>
        </w:rPr>
        <w:t>If a revenue decoupling</w:t>
      </w:r>
      <w:r w:rsidR="0028635A">
        <w:rPr>
          <w:szCs w:val="24"/>
        </w:rPr>
        <w:t xml:space="preserve"> mechanism </w:t>
      </w:r>
      <w:r>
        <w:rPr>
          <w:szCs w:val="24"/>
        </w:rPr>
        <w:t xml:space="preserve">is approved, it </w:t>
      </w:r>
      <w:r w:rsidR="00904D54">
        <w:rPr>
          <w:szCs w:val="24"/>
        </w:rPr>
        <w:t xml:space="preserve">should be </w:t>
      </w:r>
      <w:r w:rsidR="0028635A">
        <w:rPr>
          <w:szCs w:val="24"/>
        </w:rPr>
        <w:t>modified such</w:t>
      </w:r>
      <w:r w:rsidR="00904D54">
        <w:rPr>
          <w:szCs w:val="24"/>
        </w:rPr>
        <w:t xml:space="preserve"> that </w:t>
      </w:r>
      <w:r>
        <w:rPr>
          <w:szCs w:val="24"/>
        </w:rPr>
        <w:t>100% of the contract firm revenues are excluded from the revenue decoupling adjustment (i.e., are treated as unvarying with variations in Dth per customer).</w:t>
      </w:r>
    </w:p>
    <w:p w:rsidR="00314DE7" w:rsidRDefault="00DA338B" w:rsidP="004C45AF">
      <w:pPr>
        <w:pStyle w:val="BodyTextIndent"/>
        <w:spacing w:line="480" w:lineRule="auto"/>
        <w:ind w:left="720" w:hanging="720"/>
        <w:rPr>
          <w:b/>
        </w:rPr>
      </w:pPr>
      <w:r>
        <w:rPr>
          <w:b/>
        </w:rPr>
        <w:t>Q.</w:t>
      </w:r>
      <w:r w:rsidR="00314DE7">
        <w:rPr>
          <w:b/>
        </w:rPr>
        <w:tab/>
        <w:t xml:space="preserve">Does this conclude your </w:t>
      </w:r>
      <w:r w:rsidR="00230865">
        <w:rPr>
          <w:b/>
        </w:rPr>
        <w:t>response</w:t>
      </w:r>
      <w:r w:rsidR="00314DE7">
        <w:rPr>
          <w:b/>
        </w:rPr>
        <w:t xml:space="preserve"> testimony?</w:t>
      </w:r>
    </w:p>
    <w:p w:rsidR="00746AC0" w:rsidRDefault="00DA338B" w:rsidP="00581CD7">
      <w:pPr>
        <w:pStyle w:val="BodyTextIndent"/>
        <w:spacing w:line="480" w:lineRule="auto"/>
        <w:ind w:left="720" w:hanging="720"/>
      </w:pPr>
      <w:r>
        <w:t>A.</w:t>
      </w:r>
      <w:r>
        <w:tab/>
      </w:r>
      <w:r>
        <w:tab/>
        <w:t>Yes, it does.</w:t>
      </w:r>
    </w:p>
    <w:sectPr w:rsidR="00746AC0" w:rsidSect="00004EA0">
      <w:headerReference w:type="default" r:id="rId9"/>
      <w:footerReference w:type="default" r:id="rId10"/>
      <w:pgSz w:w="12240" w:h="15840"/>
      <w:pgMar w:top="1440" w:right="1800" w:bottom="1728" w:left="1800" w:header="720" w:footer="720"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5C" w:rsidRDefault="00D8325C">
      <w:r>
        <w:separator/>
      </w:r>
    </w:p>
  </w:endnote>
  <w:endnote w:type="continuationSeparator" w:id="0">
    <w:p w:rsidR="00D8325C" w:rsidRDefault="00D83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6D" w:rsidRDefault="00A03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B6D" w:rsidRDefault="00A03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6D" w:rsidRPr="0083706E" w:rsidRDefault="00A03B6D" w:rsidP="0083706E">
    <w:pPr>
      <w:pStyle w:val="Footer"/>
      <w:jc w:val="center"/>
      <w:rPr>
        <w:sz w:val="24"/>
        <w:szCs w:val="24"/>
      </w:rPr>
    </w:pPr>
    <w:r>
      <w:rPr>
        <w:rStyle w:val="PageNumber"/>
        <w:noProof/>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6D" w:rsidRPr="004A421F" w:rsidRDefault="00A03B6D" w:rsidP="00925F3E">
    <w:pPr>
      <w:pStyle w:val="Footer"/>
      <w:rPr>
        <w:rStyle w:val="PageNumber"/>
      </w:rPr>
    </w:pPr>
    <w:r w:rsidRPr="004A421F">
      <w:rPr>
        <w:rStyle w:val="PageNumber"/>
      </w:rPr>
      <w:t xml:space="preserve">Prefiled Response Testimony of Kevin C. Higgins </w:t>
    </w:r>
    <w:r w:rsidRPr="004A421F">
      <w:rPr>
        <w:rStyle w:val="PageNumber"/>
      </w:rPr>
      <w:tab/>
    </w:r>
    <w:r>
      <w:rPr>
        <w:rStyle w:val="PageNumber"/>
      </w:rPr>
      <w:tab/>
    </w:r>
    <w:r w:rsidRPr="004A421F">
      <w:rPr>
        <w:rStyle w:val="PageNumber"/>
      </w:rPr>
      <w:t>Exhibit No.__</w:t>
    </w:r>
    <w:r>
      <w:rPr>
        <w:rStyle w:val="PageNumber"/>
      </w:rPr>
      <w:t xml:space="preserve"> </w:t>
    </w:r>
    <w:r w:rsidRPr="004A421F">
      <w:rPr>
        <w:rStyle w:val="PageNumber"/>
      </w:rPr>
      <w:t>(KCH-</w:t>
    </w:r>
    <w:r>
      <w:rPr>
        <w:rStyle w:val="PageNumber"/>
      </w:rPr>
      <w:t>5</w:t>
    </w:r>
    <w:r w:rsidRPr="004A421F">
      <w:rPr>
        <w:rStyle w:val="PageNumber"/>
      </w:rPr>
      <w:t>T)</w:t>
    </w:r>
  </w:p>
  <w:p w:rsidR="00A03B6D" w:rsidRPr="004A421F" w:rsidRDefault="00A03B6D" w:rsidP="00925F3E">
    <w:pPr>
      <w:pStyle w:val="Footer"/>
      <w:jc w:val="right"/>
    </w:pPr>
    <w:r w:rsidRPr="004A421F">
      <w:rPr>
        <w:rStyle w:val="PageNumber"/>
      </w:rPr>
      <w:t xml:space="preserve">Page </w:t>
    </w:r>
    <w:r w:rsidRPr="00C02A44">
      <w:rPr>
        <w:rStyle w:val="PageNumber"/>
      </w:rPr>
      <w:fldChar w:fldCharType="begin"/>
    </w:r>
    <w:r w:rsidRPr="00C02A44">
      <w:rPr>
        <w:rStyle w:val="PageNumber"/>
      </w:rPr>
      <w:instrText xml:space="preserve"> PAGE   \* MERGEFORMAT </w:instrText>
    </w:r>
    <w:r w:rsidRPr="00C02A44">
      <w:rPr>
        <w:rStyle w:val="PageNumber"/>
      </w:rPr>
      <w:fldChar w:fldCharType="separate"/>
    </w:r>
    <w:r w:rsidR="006A005E">
      <w:rPr>
        <w:rStyle w:val="PageNumber"/>
        <w:noProof/>
      </w:rPr>
      <w:t>15</w:t>
    </w:r>
    <w:r w:rsidRPr="00C02A44">
      <w:rPr>
        <w:rStyle w:val="PageNumber"/>
      </w:rPr>
      <w:fldChar w:fldCharType="end"/>
    </w:r>
    <w:r w:rsidRPr="004A421F">
      <w:rPr>
        <w:rStyle w:val="PageNumber"/>
      </w:rPr>
      <w:t xml:space="preserve"> of </w:t>
    </w:r>
    <w:r>
      <w:rPr>
        <w:rStyle w:val="PageNumber"/>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5C" w:rsidRDefault="00D8325C">
      <w:r>
        <w:separator/>
      </w:r>
    </w:p>
  </w:footnote>
  <w:footnote w:type="continuationSeparator" w:id="0">
    <w:p w:rsidR="00D8325C" w:rsidRDefault="00D8325C">
      <w:r>
        <w:continuationSeparator/>
      </w:r>
    </w:p>
  </w:footnote>
  <w:footnote w:id="1">
    <w:p w:rsidR="00A03B6D" w:rsidRDefault="00A03B6D">
      <w:pPr>
        <w:pStyle w:val="FootnoteText"/>
      </w:pPr>
      <w:r>
        <w:rPr>
          <w:rStyle w:val="FootnoteReference"/>
        </w:rPr>
        <w:footnoteRef/>
      </w:r>
      <w:r>
        <w:t xml:space="preserve"> Kroger Exhibit No.__ (KCH-1T).</w:t>
      </w:r>
    </w:p>
  </w:footnote>
  <w:footnote w:id="2">
    <w:p w:rsidR="00A03B6D" w:rsidRDefault="00A03B6D">
      <w:pPr>
        <w:pStyle w:val="FootnoteText"/>
      </w:pPr>
      <w:r>
        <w:rPr>
          <w:rStyle w:val="FootnoteReference"/>
        </w:rPr>
        <w:footnoteRef/>
      </w:r>
      <w:r>
        <w:t xml:space="preserve"> Supplemental direct testimony of Katherine J. Barnard,  p. 7.</w:t>
      </w:r>
    </w:p>
  </w:footnote>
  <w:footnote w:id="3">
    <w:p w:rsidR="00A03B6D" w:rsidRDefault="00A03B6D">
      <w:pPr>
        <w:pStyle w:val="FootnoteText"/>
      </w:pPr>
      <w:r>
        <w:rPr>
          <w:rStyle w:val="FootnoteReference"/>
        </w:rPr>
        <w:footnoteRef/>
      </w:r>
      <w:r>
        <w:t xml:space="preserve"> Ibid., p. 11.</w:t>
      </w:r>
    </w:p>
  </w:footnote>
  <w:footnote w:id="4">
    <w:p w:rsidR="00A03B6D" w:rsidRDefault="00A03B6D">
      <w:pPr>
        <w:pStyle w:val="FootnoteText"/>
      </w:pPr>
      <w:r>
        <w:rPr>
          <w:rStyle w:val="FootnoteReference"/>
        </w:rPr>
        <w:footnoteRef/>
      </w:r>
      <w:r>
        <w:t xml:space="preserve"> Direct testimony of Janet K. Phelps, p. 8.</w:t>
      </w:r>
    </w:p>
  </w:footnote>
  <w:footnote w:id="5">
    <w:p w:rsidR="00A03B6D" w:rsidRDefault="00A03B6D">
      <w:pPr>
        <w:pStyle w:val="FootnoteText"/>
      </w:pPr>
      <w:r>
        <w:rPr>
          <w:rStyle w:val="FootnoteReference"/>
        </w:rPr>
        <w:footnoteRef/>
      </w:r>
      <w:r>
        <w:t xml:space="preserve"> The proposed exceptions are gas lighting, gas water heater rental, electric lighting, and electric retail wheeling.  The rates for these classes, however, would be subject to the proposed K-factor increases. Gas customers served under special contracts are also excluded from the decoupling proposal. </w:t>
      </w:r>
    </w:p>
  </w:footnote>
  <w:footnote w:id="6">
    <w:p w:rsidR="00A03B6D" w:rsidRDefault="00A03B6D">
      <w:pPr>
        <w:pStyle w:val="FootnoteText"/>
      </w:pPr>
      <w:r>
        <w:rPr>
          <w:rStyle w:val="FootnoteReference"/>
        </w:rPr>
        <w:footnoteRef/>
      </w:r>
      <w:r>
        <w:t xml:space="preserve"> </w:t>
      </w:r>
      <w:r w:rsidR="00D61E42">
        <w:t>Supplemental direct testimony of Katherine J. Barnard,  p. 7</w:t>
      </w:r>
      <w:r>
        <w:t>.</w:t>
      </w:r>
    </w:p>
  </w:footnote>
  <w:footnote w:id="7">
    <w:p w:rsidR="00A03B6D" w:rsidRDefault="00A03B6D">
      <w:pPr>
        <w:pStyle w:val="FootnoteText"/>
      </w:pPr>
      <w:r>
        <w:rPr>
          <w:rStyle w:val="FootnoteReference"/>
        </w:rPr>
        <w:footnoteRef/>
      </w:r>
      <w:r>
        <w:t xml:space="preserve"> This can be calculated from the information in PSE Exhibit No.__ (KJB-3).</w:t>
      </w:r>
    </w:p>
  </w:footnote>
  <w:footnote w:id="8">
    <w:p w:rsidR="00A03B6D" w:rsidRDefault="00A03B6D">
      <w:pPr>
        <w:pStyle w:val="FootnoteText"/>
      </w:pPr>
      <w:r>
        <w:rPr>
          <w:rStyle w:val="FootnoteReference"/>
        </w:rPr>
        <w:footnoteRef/>
      </w:r>
      <w:r>
        <w:t xml:space="preserve"> Supplemental direct testimony of Jon A. Piliaris, p. 19.</w:t>
      </w:r>
    </w:p>
  </w:footnote>
  <w:footnote w:id="9">
    <w:p w:rsidR="00A03B6D" w:rsidRDefault="00A03B6D">
      <w:pPr>
        <w:pStyle w:val="FootnoteText"/>
      </w:pPr>
      <w:r>
        <w:rPr>
          <w:rStyle w:val="FootnoteReference"/>
        </w:rPr>
        <w:footnoteRef/>
      </w:r>
      <w:r>
        <w:t xml:space="preserve"> PSE Response to Nucor Data Request 2.5.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6D" w:rsidRDefault="00A0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49"/>
    <w:multiLevelType w:val="hybridMultilevel"/>
    <w:tmpl w:val="6C4C0D4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401EFE"/>
    <w:multiLevelType w:val="singleLevel"/>
    <w:tmpl w:val="6F50BB18"/>
    <w:lvl w:ilvl="0">
      <w:start w:val="17"/>
      <w:numFmt w:val="upperLetter"/>
      <w:lvlText w:val="%1."/>
      <w:lvlJc w:val="left"/>
      <w:pPr>
        <w:tabs>
          <w:tab w:val="num" w:pos="675"/>
        </w:tabs>
        <w:ind w:left="675" w:hanging="675"/>
      </w:pPr>
      <w:rPr>
        <w:rFonts w:hint="default"/>
        <w:b w:val="0"/>
      </w:rPr>
    </w:lvl>
  </w:abstractNum>
  <w:abstractNum w:abstractNumId="2">
    <w:nsid w:val="01555186"/>
    <w:multiLevelType w:val="hybridMultilevel"/>
    <w:tmpl w:val="0D22553A"/>
    <w:lvl w:ilvl="0" w:tplc="F4AAAA8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3A3A3B"/>
    <w:multiLevelType w:val="singleLevel"/>
    <w:tmpl w:val="5AD06C3C"/>
    <w:lvl w:ilvl="0">
      <w:start w:val="2"/>
      <w:numFmt w:val="decimal"/>
      <w:lvlText w:val="(%1)"/>
      <w:lvlJc w:val="left"/>
      <w:pPr>
        <w:tabs>
          <w:tab w:val="num" w:pos="1080"/>
        </w:tabs>
        <w:ind w:left="1080" w:hanging="360"/>
      </w:pPr>
      <w:rPr>
        <w:rFonts w:hint="default"/>
      </w:rPr>
    </w:lvl>
  </w:abstractNum>
  <w:abstractNum w:abstractNumId="4">
    <w:nsid w:val="071E3E31"/>
    <w:multiLevelType w:val="singleLevel"/>
    <w:tmpl w:val="3D3A38FE"/>
    <w:lvl w:ilvl="0">
      <w:start w:val="1"/>
      <w:numFmt w:val="decimal"/>
      <w:lvlText w:val="(%1)"/>
      <w:lvlJc w:val="left"/>
      <w:pPr>
        <w:tabs>
          <w:tab w:val="num" w:pos="1440"/>
        </w:tabs>
        <w:ind w:left="1440" w:hanging="720"/>
      </w:pPr>
      <w:rPr>
        <w:rFonts w:hint="default"/>
      </w:rPr>
    </w:lvl>
  </w:abstractNum>
  <w:abstractNum w:abstractNumId="5">
    <w:nsid w:val="07864361"/>
    <w:multiLevelType w:val="hybridMultilevel"/>
    <w:tmpl w:val="3DCC1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2F29A8"/>
    <w:multiLevelType w:val="hybridMultilevel"/>
    <w:tmpl w:val="A748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D20AD9"/>
    <w:multiLevelType w:val="hybridMultilevel"/>
    <w:tmpl w:val="ACD4AE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1DD08A9"/>
    <w:multiLevelType w:val="hybridMultilevel"/>
    <w:tmpl w:val="CB2A98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907ED7"/>
    <w:multiLevelType w:val="singleLevel"/>
    <w:tmpl w:val="8CFC0D2E"/>
    <w:lvl w:ilvl="0">
      <w:start w:val="3"/>
      <w:numFmt w:val="decimal"/>
      <w:lvlText w:val="(%1)"/>
      <w:lvlJc w:val="left"/>
      <w:pPr>
        <w:tabs>
          <w:tab w:val="num" w:pos="990"/>
        </w:tabs>
        <w:ind w:left="990" w:hanging="360"/>
      </w:pPr>
      <w:rPr>
        <w:rFonts w:hint="default"/>
      </w:rPr>
    </w:lvl>
  </w:abstractNum>
  <w:abstractNum w:abstractNumId="10">
    <w:nsid w:val="16F3286F"/>
    <w:multiLevelType w:val="singleLevel"/>
    <w:tmpl w:val="DB784288"/>
    <w:lvl w:ilvl="0">
      <w:start w:val="1"/>
      <w:numFmt w:val="decimal"/>
      <w:lvlText w:val="(%1)"/>
      <w:lvlJc w:val="left"/>
      <w:pPr>
        <w:tabs>
          <w:tab w:val="num" w:pos="630"/>
        </w:tabs>
        <w:ind w:left="630" w:hanging="360"/>
      </w:pPr>
      <w:rPr>
        <w:rFonts w:hint="default"/>
      </w:rPr>
    </w:lvl>
  </w:abstractNum>
  <w:abstractNum w:abstractNumId="11">
    <w:nsid w:val="19685AEE"/>
    <w:multiLevelType w:val="singleLevel"/>
    <w:tmpl w:val="62C461D0"/>
    <w:lvl w:ilvl="0">
      <w:start w:val="1"/>
      <w:numFmt w:val="upperLetter"/>
      <w:lvlText w:val="%1."/>
      <w:lvlJc w:val="left"/>
      <w:pPr>
        <w:tabs>
          <w:tab w:val="num" w:pos="1440"/>
        </w:tabs>
        <w:ind w:left="1440" w:hanging="1440"/>
      </w:pPr>
      <w:rPr>
        <w:rFonts w:hint="default"/>
      </w:rPr>
    </w:lvl>
  </w:abstractNum>
  <w:abstractNum w:abstractNumId="12">
    <w:nsid w:val="1F6E7E03"/>
    <w:multiLevelType w:val="singleLevel"/>
    <w:tmpl w:val="01F2F960"/>
    <w:lvl w:ilvl="0">
      <w:start w:val="17"/>
      <w:numFmt w:val="upperLetter"/>
      <w:lvlText w:val="%1."/>
      <w:lvlJc w:val="left"/>
      <w:pPr>
        <w:tabs>
          <w:tab w:val="num" w:pos="720"/>
        </w:tabs>
        <w:ind w:left="720" w:hanging="720"/>
      </w:pPr>
      <w:rPr>
        <w:rFonts w:hint="default"/>
      </w:rPr>
    </w:lvl>
  </w:abstractNum>
  <w:abstractNum w:abstractNumId="13">
    <w:nsid w:val="1FC05272"/>
    <w:multiLevelType w:val="singleLevel"/>
    <w:tmpl w:val="04090015"/>
    <w:lvl w:ilvl="0">
      <w:start w:val="17"/>
      <w:numFmt w:val="upperLetter"/>
      <w:lvlText w:val="%1."/>
      <w:lvlJc w:val="left"/>
      <w:pPr>
        <w:tabs>
          <w:tab w:val="num" w:pos="360"/>
        </w:tabs>
        <w:ind w:left="360" w:hanging="360"/>
      </w:pPr>
      <w:rPr>
        <w:rFonts w:hint="default"/>
      </w:rPr>
    </w:lvl>
  </w:abstractNum>
  <w:abstractNum w:abstractNumId="14">
    <w:nsid w:val="23B809C8"/>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259879EC"/>
    <w:multiLevelType w:val="hybridMultilevel"/>
    <w:tmpl w:val="7A28C15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E67B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2D0C60DC"/>
    <w:multiLevelType w:val="hybridMultilevel"/>
    <w:tmpl w:val="48B82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A43B64"/>
    <w:multiLevelType w:val="singleLevel"/>
    <w:tmpl w:val="5940402A"/>
    <w:lvl w:ilvl="0">
      <w:start w:val="1"/>
      <w:numFmt w:val="lowerLetter"/>
      <w:lvlText w:val="(%1)"/>
      <w:lvlJc w:val="left"/>
      <w:pPr>
        <w:tabs>
          <w:tab w:val="num" w:pos="1080"/>
        </w:tabs>
        <w:ind w:left="1080" w:hanging="360"/>
      </w:pPr>
      <w:rPr>
        <w:rFonts w:hint="default"/>
      </w:rPr>
    </w:lvl>
  </w:abstractNum>
  <w:abstractNum w:abstractNumId="19">
    <w:nsid w:val="38740556"/>
    <w:multiLevelType w:val="singleLevel"/>
    <w:tmpl w:val="C0AC35B2"/>
    <w:lvl w:ilvl="0">
      <w:start w:val="17"/>
      <w:numFmt w:val="upperLetter"/>
      <w:lvlText w:val="%1."/>
      <w:lvlJc w:val="left"/>
      <w:pPr>
        <w:tabs>
          <w:tab w:val="num" w:pos="720"/>
        </w:tabs>
        <w:ind w:left="720" w:hanging="720"/>
      </w:pPr>
      <w:rPr>
        <w:rFonts w:hint="default"/>
      </w:rPr>
    </w:lvl>
  </w:abstractNum>
  <w:abstractNum w:abstractNumId="20">
    <w:nsid w:val="3A7673AF"/>
    <w:multiLevelType w:val="singleLevel"/>
    <w:tmpl w:val="85C2CAC4"/>
    <w:lvl w:ilvl="0">
      <w:start w:val="1"/>
      <w:numFmt w:val="upperLetter"/>
      <w:lvlText w:val="%1."/>
      <w:lvlJc w:val="left"/>
      <w:pPr>
        <w:tabs>
          <w:tab w:val="num" w:pos="1440"/>
        </w:tabs>
        <w:ind w:left="1440" w:hanging="1440"/>
      </w:pPr>
      <w:rPr>
        <w:rFonts w:hint="default"/>
      </w:rPr>
    </w:lvl>
  </w:abstractNum>
  <w:abstractNum w:abstractNumId="21">
    <w:nsid w:val="3CE01249"/>
    <w:multiLevelType w:val="singleLevel"/>
    <w:tmpl w:val="5C9E789A"/>
    <w:lvl w:ilvl="0">
      <w:start w:val="1"/>
      <w:numFmt w:val="upperLetter"/>
      <w:lvlText w:val="%1."/>
      <w:lvlJc w:val="left"/>
      <w:pPr>
        <w:tabs>
          <w:tab w:val="num" w:pos="1440"/>
        </w:tabs>
        <w:ind w:left="1440" w:hanging="1440"/>
      </w:pPr>
      <w:rPr>
        <w:rFonts w:hint="default"/>
      </w:rPr>
    </w:lvl>
  </w:abstractNum>
  <w:abstractNum w:abstractNumId="22">
    <w:nsid w:val="3D7328C2"/>
    <w:multiLevelType w:val="hybridMultilevel"/>
    <w:tmpl w:val="DE2CF2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DC44313"/>
    <w:multiLevelType w:val="singleLevel"/>
    <w:tmpl w:val="E26A83D6"/>
    <w:lvl w:ilvl="0">
      <w:start w:val="17"/>
      <w:numFmt w:val="upperLetter"/>
      <w:lvlText w:val="%1."/>
      <w:lvlJc w:val="left"/>
      <w:pPr>
        <w:tabs>
          <w:tab w:val="num" w:pos="720"/>
        </w:tabs>
        <w:ind w:left="720" w:hanging="720"/>
      </w:pPr>
      <w:rPr>
        <w:rFonts w:hint="default"/>
      </w:rPr>
    </w:lvl>
  </w:abstractNum>
  <w:abstractNum w:abstractNumId="24">
    <w:nsid w:val="3E4816C3"/>
    <w:multiLevelType w:val="singleLevel"/>
    <w:tmpl w:val="04090015"/>
    <w:lvl w:ilvl="0">
      <w:start w:val="17"/>
      <w:numFmt w:val="upperLetter"/>
      <w:lvlText w:val="%1."/>
      <w:lvlJc w:val="left"/>
      <w:pPr>
        <w:tabs>
          <w:tab w:val="num" w:pos="360"/>
        </w:tabs>
        <w:ind w:left="360" w:hanging="360"/>
      </w:pPr>
      <w:rPr>
        <w:rFonts w:hint="default"/>
      </w:rPr>
    </w:lvl>
  </w:abstractNum>
  <w:abstractNum w:abstractNumId="25">
    <w:nsid w:val="461D1B5F"/>
    <w:multiLevelType w:val="hybridMultilevel"/>
    <w:tmpl w:val="FF724D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71E16DE"/>
    <w:multiLevelType w:val="hybridMultilevel"/>
    <w:tmpl w:val="0C5C9E3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7508A1"/>
    <w:multiLevelType w:val="singleLevel"/>
    <w:tmpl w:val="70887016"/>
    <w:lvl w:ilvl="0">
      <w:start w:val="17"/>
      <w:numFmt w:val="upperLetter"/>
      <w:lvlText w:val="%1."/>
      <w:lvlJc w:val="left"/>
      <w:pPr>
        <w:tabs>
          <w:tab w:val="num" w:pos="720"/>
        </w:tabs>
        <w:ind w:left="720" w:hanging="720"/>
      </w:pPr>
      <w:rPr>
        <w:rFonts w:hint="default"/>
      </w:rPr>
    </w:lvl>
  </w:abstractNum>
  <w:abstractNum w:abstractNumId="28">
    <w:nsid w:val="4D8A708F"/>
    <w:multiLevelType w:val="hybridMultilevel"/>
    <w:tmpl w:val="A3382F00"/>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66D49BD"/>
    <w:multiLevelType w:val="hybridMultilevel"/>
    <w:tmpl w:val="5B125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49624B"/>
    <w:multiLevelType w:val="singleLevel"/>
    <w:tmpl w:val="436621EE"/>
    <w:lvl w:ilvl="0">
      <w:start w:val="17"/>
      <w:numFmt w:val="upperLetter"/>
      <w:lvlText w:val="%1."/>
      <w:lvlJc w:val="left"/>
      <w:pPr>
        <w:tabs>
          <w:tab w:val="num" w:pos="720"/>
        </w:tabs>
        <w:ind w:left="720" w:hanging="720"/>
      </w:pPr>
      <w:rPr>
        <w:rFonts w:hint="default"/>
      </w:rPr>
    </w:lvl>
  </w:abstractNum>
  <w:abstractNum w:abstractNumId="31">
    <w:nsid w:val="5936227C"/>
    <w:multiLevelType w:val="singleLevel"/>
    <w:tmpl w:val="34B6B0A6"/>
    <w:lvl w:ilvl="0">
      <w:start w:val="17"/>
      <w:numFmt w:val="upperLetter"/>
      <w:lvlText w:val="%1."/>
      <w:lvlJc w:val="left"/>
      <w:pPr>
        <w:tabs>
          <w:tab w:val="num" w:pos="720"/>
        </w:tabs>
        <w:ind w:left="720" w:hanging="720"/>
      </w:pPr>
      <w:rPr>
        <w:rFonts w:hint="default"/>
      </w:rPr>
    </w:lvl>
  </w:abstractNum>
  <w:abstractNum w:abstractNumId="32">
    <w:nsid w:val="651D622D"/>
    <w:multiLevelType w:val="singleLevel"/>
    <w:tmpl w:val="45C892D6"/>
    <w:lvl w:ilvl="0">
      <w:start w:val="1"/>
      <w:numFmt w:val="upperLetter"/>
      <w:lvlText w:val="%1."/>
      <w:lvlJc w:val="left"/>
      <w:pPr>
        <w:tabs>
          <w:tab w:val="num" w:pos="1440"/>
        </w:tabs>
        <w:ind w:left="1440" w:hanging="1440"/>
      </w:pPr>
      <w:rPr>
        <w:rFonts w:hint="default"/>
      </w:rPr>
    </w:lvl>
  </w:abstractNum>
  <w:abstractNum w:abstractNumId="33">
    <w:nsid w:val="6ABA3EDD"/>
    <w:multiLevelType w:val="hybridMultilevel"/>
    <w:tmpl w:val="37E4A40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ADE06D0"/>
    <w:multiLevelType w:val="hybridMultilevel"/>
    <w:tmpl w:val="05E46E4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934057"/>
    <w:multiLevelType w:val="hybridMultilevel"/>
    <w:tmpl w:val="12FC9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9F794F"/>
    <w:multiLevelType w:val="singleLevel"/>
    <w:tmpl w:val="04090015"/>
    <w:lvl w:ilvl="0">
      <w:start w:val="17"/>
      <w:numFmt w:val="upperLetter"/>
      <w:lvlText w:val="%1."/>
      <w:lvlJc w:val="left"/>
      <w:pPr>
        <w:tabs>
          <w:tab w:val="num" w:pos="360"/>
        </w:tabs>
        <w:ind w:left="360" w:hanging="360"/>
      </w:pPr>
      <w:rPr>
        <w:rFonts w:hint="default"/>
      </w:rPr>
    </w:lvl>
  </w:abstractNum>
  <w:abstractNum w:abstractNumId="37">
    <w:nsid w:val="6FC93962"/>
    <w:multiLevelType w:val="hybridMultilevel"/>
    <w:tmpl w:val="BD8A03D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C46404"/>
    <w:multiLevelType w:val="singleLevel"/>
    <w:tmpl w:val="4E72DF58"/>
    <w:lvl w:ilvl="0">
      <w:start w:val="17"/>
      <w:numFmt w:val="upperLetter"/>
      <w:lvlText w:val="%1."/>
      <w:lvlJc w:val="left"/>
      <w:pPr>
        <w:tabs>
          <w:tab w:val="num" w:pos="720"/>
        </w:tabs>
        <w:ind w:left="720" w:hanging="720"/>
      </w:pPr>
      <w:rPr>
        <w:rFonts w:hint="default"/>
      </w:rPr>
    </w:lvl>
  </w:abstractNum>
  <w:abstractNum w:abstractNumId="39">
    <w:nsid w:val="7649288F"/>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7C9222B"/>
    <w:multiLevelType w:val="hybridMultilevel"/>
    <w:tmpl w:val="E2C65384"/>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1">
    <w:nsid w:val="7A4154D8"/>
    <w:multiLevelType w:val="singleLevel"/>
    <w:tmpl w:val="471ED4B6"/>
    <w:lvl w:ilvl="0">
      <w:start w:val="17"/>
      <w:numFmt w:val="upperLetter"/>
      <w:lvlText w:val="%1."/>
      <w:lvlJc w:val="left"/>
      <w:pPr>
        <w:tabs>
          <w:tab w:val="num" w:pos="720"/>
        </w:tabs>
        <w:ind w:left="720" w:hanging="720"/>
      </w:pPr>
      <w:rPr>
        <w:rFonts w:hint="default"/>
      </w:rPr>
    </w:lvl>
  </w:abstractNum>
  <w:abstractNum w:abstractNumId="42">
    <w:nsid w:val="7E8C12B8"/>
    <w:multiLevelType w:val="singleLevel"/>
    <w:tmpl w:val="04090015"/>
    <w:lvl w:ilvl="0">
      <w:start w:val="17"/>
      <w:numFmt w:val="upperLetter"/>
      <w:lvlText w:val="%1."/>
      <w:lvlJc w:val="left"/>
      <w:pPr>
        <w:tabs>
          <w:tab w:val="num" w:pos="360"/>
        </w:tabs>
        <w:ind w:left="360" w:hanging="360"/>
      </w:pPr>
      <w:rPr>
        <w:rFonts w:hint="default"/>
      </w:rPr>
    </w:lvl>
  </w:abstractNum>
  <w:num w:numId="1">
    <w:abstractNumId w:val="10"/>
  </w:num>
  <w:num w:numId="2">
    <w:abstractNumId w:val="39"/>
  </w:num>
  <w:num w:numId="3">
    <w:abstractNumId w:val="1"/>
  </w:num>
  <w:num w:numId="4">
    <w:abstractNumId w:val="11"/>
  </w:num>
  <w:num w:numId="5">
    <w:abstractNumId w:val="42"/>
  </w:num>
  <w:num w:numId="6">
    <w:abstractNumId w:val="24"/>
  </w:num>
  <w:num w:numId="7">
    <w:abstractNumId w:val="23"/>
  </w:num>
  <w:num w:numId="8">
    <w:abstractNumId w:val="14"/>
  </w:num>
  <w:num w:numId="9">
    <w:abstractNumId w:val="16"/>
  </w:num>
  <w:num w:numId="10">
    <w:abstractNumId w:val="9"/>
  </w:num>
  <w:num w:numId="11">
    <w:abstractNumId w:val="3"/>
  </w:num>
  <w:num w:numId="12">
    <w:abstractNumId w:val="4"/>
  </w:num>
  <w:num w:numId="13">
    <w:abstractNumId w:val="41"/>
  </w:num>
  <w:num w:numId="14">
    <w:abstractNumId w:val="32"/>
  </w:num>
  <w:num w:numId="15">
    <w:abstractNumId w:val="38"/>
  </w:num>
  <w:num w:numId="16">
    <w:abstractNumId w:val="27"/>
  </w:num>
  <w:num w:numId="17">
    <w:abstractNumId w:val="19"/>
  </w:num>
  <w:num w:numId="18">
    <w:abstractNumId w:val="21"/>
  </w:num>
  <w:num w:numId="19">
    <w:abstractNumId w:val="12"/>
  </w:num>
  <w:num w:numId="20">
    <w:abstractNumId w:val="20"/>
  </w:num>
  <w:num w:numId="21">
    <w:abstractNumId w:val="36"/>
  </w:num>
  <w:num w:numId="22">
    <w:abstractNumId w:val="13"/>
  </w:num>
  <w:num w:numId="23">
    <w:abstractNumId w:val="30"/>
  </w:num>
  <w:num w:numId="24">
    <w:abstractNumId w:val="31"/>
  </w:num>
  <w:num w:numId="25">
    <w:abstractNumId w:val="18"/>
  </w:num>
  <w:num w:numId="26">
    <w:abstractNumId w:val="35"/>
  </w:num>
  <w:num w:numId="27">
    <w:abstractNumId w:val="33"/>
  </w:num>
  <w:num w:numId="28">
    <w:abstractNumId w:val="26"/>
  </w:num>
  <w:num w:numId="29">
    <w:abstractNumId w:val="37"/>
  </w:num>
  <w:num w:numId="30">
    <w:abstractNumId w:val="2"/>
  </w:num>
  <w:num w:numId="31">
    <w:abstractNumId w:val="8"/>
  </w:num>
  <w:num w:numId="32">
    <w:abstractNumId w:val="15"/>
  </w:num>
  <w:num w:numId="33">
    <w:abstractNumId w:val="28"/>
  </w:num>
  <w:num w:numId="34">
    <w:abstractNumId w:val="6"/>
  </w:num>
  <w:num w:numId="35">
    <w:abstractNumId w:val="0"/>
  </w:num>
  <w:num w:numId="36">
    <w:abstractNumId w:val="34"/>
  </w:num>
  <w:num w:numId="37">
    <w:abstractNumId w:val="7"/>
  </w:num>
  <w:num w:numId="38">
    <w:abstractNumId w:val="22"/>
  </w:num>
  <w:num w:numId="39">
    <w:abstractNumId w:val="40"/>
  </w:num>
  <w:num w:numId="40">
    <w:abstractNumId w:val="25"/>
  </w:num>
  <w:num w:numId="41">
    <w:abstractNumId w:val="17"/>
  </w:num>
  <w:num w:numId="42">
    <w:abstractNumId w:val="29"/>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v:stroke weight="3pt" linestyle="thinThin"/>
    </o:shapedefaults>
  </w:hdrShapeDefaults>
  <w:footnotePr>
    <w:footnote w:id="-1"/>
    <w:footnote w:id="0"/>
  </w:footnotePr>
  <w:endnotePr>
    <w:endnote w:id="-1"/>
    <w:endnote w:id="0"/>
  </w:endnotePr>
  <w:compat/>
  <w:rsids>
    <w:rsidRoot w:val="00710291"/>
    <w:rsid w:val="00000564"/>
    <w:rsid w:val="0000391D"/>
    <w:rsid w:val="00003EA6"/>
    <w:rsid w:val="00004EA0"/>
    <w:rsid w:val="00007D7F"/>
    <w:rsid w:val="00017FD9"/>
    <w:rsid w:val="00033CA5"/>
    <w:rsid w:val="0003440D"/>
    <w:rsid w:val="00043606"/>
    <w:rsid w:val="000461A6"/>
    <w:rsid w:val="00047EE1"/>
    <w:rsid w:val="0005716F"/>
    <w:rsid w:val="00060171"/>
    <w:rsid w:val="00060558"/>
    <w:rsid w:val="00072ACC"/>
    <w:rsid w:val="00074C19"/>
    <w:rsid w:val="000826FE"/>
    <w:rsid w:val="00083B76"/>
    <w:rsid w:val="00086256"/>
    <w:rsid w:val="000A576B"/>
    <w:rsid w:val="000B413A"/>
    <w:rsid w:val="000B51B8"/>
    <w:rsid w:val="000C027B"/>
    <w:rsid w:val="000C1C8D"/>
    <w:rsid w:val="000D266C"/>
    <w:rsid w:val="000D34DD"/>
    <w:rsid w:val="000D3F11"/>
    <w:rsid w:val="000D565B"/>
    <w:rsid w:val="000D787A"/>
    <w:rsid w:val="000D7E48"/>
    <w:rsid w:val="000E0B55"/>
    <w:rsid w:val="00103D10"/>
    <w:rsid w:val="00104842"/>
    <w:rsid w:val="001048E5"/>
    <w:rsid w:val="00105015"/>
    <w:rsid w:val="00105F16"/>
    <w:rsid w:val="00107FD4"/>
    <w:rsid w:val="0011335E"/>
    <w:rsid w:val="00116F36"/>
    <w:rsid w:val="001266D7"/>
    <w:rsid w:val="00136A34"/>
    <w:rsid w:val="0013711E"/>
    <w:rsid w:val="00137AF6"/>
    <w:rsid w:val="001467A5"/>
    <w:rsid w:val="00161F3A"/>
    <w:rsid w:val="0016547C"/>
    <w:rsid w:val="0017255C"/>
    <w:rsid w:val="00187EBA"/>
    <w:rsid w:val="0019131B"/>
    <w:rsid w:val="00192A63"/>
    <w:rsid w:val="00192C83"/>
    <w:rsid w:val="0019659C"/>
    <w:rsid w:val="001A2558"/>
    <w:rsid w:val="001C02C8"/>
    <w:rsid w:val="001C2693"/>
    <w:rsid w:val="001C4412"/>
    <w:rsid w:val="001C4594"/>
    <w:rsid w:val="001C4A64"/>
    <w:rsid w:val="001C5892"/>
    <w:rsid w:val="001C6D56"/>
    <w:rsid w:val="001D15E8"/>
    <w:rsid w:val="001D5799"/>
    <w:rsid w:val="001E352C"/>
    <w:rsid w:val="001E4D9D"/>
    <w:rsid w:val="001E7446"/>
    <w:rsid w:val="001E7DED"/>
    <w:rsid w:val="001F18D0"/>
    <w:rsid w:val="001F4274"/>
    <w:rsid w:val="001F66BC"/>
    <w:rsid w:val="00214735"/>
    <w:rsid w:val="00222CB3"/>
    <w:rsid w:val="00223D7D"/>
    <w:rsid w:val="00224E75"/>
    <w:rsid w:val="00226A4C"/>
    <w:rsid w:val="00230865"/>
    <w:rsid w:val="00233ED0"/>
    <w:rsid w:val="002406C0"/>
    <w:rsid w:val="0024401D"/>
    <w:rsid w:val="00245D96"/>
    <w:rsid w:val="00245E18"/>
    <w:rsid w:val="00247C9F"/>
    <w:rsid w:val="00251436"/>
    <w:rsid w:val="002549EC"/>
    <w:rsid w:val="0025580B"/>
    <w:rsid w:val="0026268B"/>
    <w:rsid w:val="00263BEC"/>
    <w:rsid w:val="00280737"/>
    <w:rsid w:val="002808C0"/>
    <w:rsid w:val="00281EB1"/>
    <w:rsid w:val="00283631"/>
    <w:rsid w:val="00284559"/>
    <w:rsid w:val="0028635A"/>
    <w:rsid w:val="002979E6"/>
    <w:rsid w:val="002A032B"/>
    <w:rsid w:val="002A1A7E"/>
    <w:rsid w:val="002B1D38"/>
    <w:rsid w:val="002B34EF"/>
    <w:rsid w:val="002B388E"/>
    <w:rsid w:val="002B5A5D"/>
    <w:rsid w:val="002C0C1A"/>
    <w:rsid w:val="002C0E0E"/>
    <w:rsid w:val="002C5AF1"/>
    <w:rsid w:val="002C616E"/>
    <w:rsid w:val="002D4BE2"/>
    <w:rsid w:val="002E3E9C"/>
    <w:rsid w:val="002E5DFB"/>
    <w:rsid w:val="002E6C01"/>
    <w:rsid w:val="002E7003"/>
    <w:rsid w:val="002F4B42"/>
    <w:rsid w:val="002F5B6A"/>
    <w:rsid w:val="00301521"/>
    <w:rsid w:val="003029DA"/>
    <w:rsid w:val="00303832"/>
    <w:rsid w:val="00303A68"/>
    <w:rsid w:val="00306E5B"/>
    <w:rsid w:val="00306E75"/>
    <w:rsid w:val="00310845"/>
    <w:rsid w:val="00311390"/>
    <w:rsid w:val="00314DE7"/>
    <w:rsid w:val="00317BDD"/>
    <w:rsid w:val="00327897"/>
    <w:rsid w:val="0033337B"/>
    <w:rsid w:val="003343DF"/>
    <w:rsid w:val="0033449E"/>
    <w:rsid w:val="003361A0"/>
    <w:rsid w:val="003522B7"/>
    <w:rsid w:val="00354110"/>
    <w:rsid w:val="003545FD"/>
    <w:rsid w:val="003670E5"/>
    <w:rsid w:val="00371003"/>
    <w:rsid w:val="00374255"/>
    <w:rsid w:val="00376713"/>
    <w:rsid w:val="00376CFE"/>
    <w:rsid w:val="00384FE0"/>
    <w:rsid w:val="00391C7B"/>
    <w:rsid w:val="00394721"/>
    <w:rsid w:val="003A056A"/>
    <w:rsid w:val="003A7F79"/>
    <w:rsid w:val="003B76E3"/>
    <w:rsid w:val="003C0D8C"/>
    <w:rsid w:val="003C12CA"/>
    <w:rsid w:val="003C6CA7"/>
    <w:rsid w:val="003D7090"/>
    <w:rsid w:val="003E31A8"/>
    <w:rsid w:val="003E4C1D"/>
    <w:rsid w:val="003F1D18"/>
    <w:rsid w:val="003F3ED3"/>
    <w:rsid w:val="003F44AB"/>
    <w:rsid w:val="003F4B8E"/>
    <w:rsid w:val="00403531"/>
    <w:rsid w:val="0040431A"/>
    <w:rsid w:val="00410CE1"/>
    <w:rsid w:val="00412A16"/>
    <w:rsid w:val="00424188"/>
    <w:rsid w:val="0042460F"/>
    <w:rsid w:val="0042581D"/>
    <w:rsid w:val="004262D6"/>
    <w:rsid w:val="00430CF5"/>
    <w:rsid w:val="00430E67"/>
    <w:rsid w:val="0043256D"/>
    <w:rsid w:val="00433DB0"/>
    <w:rsid w:val="00441513"/>
    <w:rsid w:val="00445419"/>
    <w:rsid w:val="004475F1"/>
    <w:rsid w:val="004476A4"/>
    <w:rsid w:val="00450F82"/>
    <w:rsid w:val="0045158A"/>
    <w:rsid w:val="00451608"/>
    <w:rsid w:val="0045357C"/>
    <w:rsid w:val="00453754"/>
    <w:rsid w:val="0045599D"/>
    <w:rsid w:val="004568CB"/>
    <w:rsid w:val="0045758B"/>
    <w:rsid w:val="00464EE8"/>
    <w:rsid w:val="00465774"/>
    <w:rsid w:val="00467877"/>
    <w:rsid w:val="004716F9"/>
    <w:rsid w:val="004739DB"/>
    <w:rsid w:val="00477C14"/>
    <w:rsid w:val="00482C6F"/>
    <w:rsid w:val="00483356"/>
    <w:rsid w:val="00483B07"/>
    <w:rsid w:val="0049523B"/>
    <w:rsid w:val="004A3E76"/>
    <w:rsid w:val="004A421F"/>
    <w:rsid w:val="004A6F01"/>
    <w:rsid w:val="004B0BC7"/>
    <w:rsid w:val="004B1805"/>
    <w:rsid w:val="004B5B36"/>
    <w:rsid w:val="004C2E81"/>
    <w:rsid w:val="004C45AF"/>
    <w:rsid w:val="004C45D3"/>
    <w:rsid w:val="004D02E7"/>
    <w:rsid w:val="004D2675"/>
    <w:rsid w:val="004D3773"/>
    <w:rsid w:val="004D3C71"/>
    <w:rsid w:val="004D4A52"/>
    <w:rsid w:val="004F4574"/>
    <w:rsid w:val="004F4EE3"/>
    <w:rsid w:val="004F7B28"/>
    <w:rsid w:val="00502F31"/>
    <w:rsid w:val="00502FF6"/>
    <w:rsid w:val="00513780"/>
    <w:rsid w:val="00513EEB"/>
    <w:rsid w:val="00515883"/>
    <w:rsid w:val="0052104E"/>
    <w:rsid w:val="005214E2"/>
    <w:rsid w:val="005249CB"/>
    <w:rsid w:val="00524A3B"/>
    <w:rsid w:val="0052716C"/>
    <w:rsid w:val="00532B15"/>
    <w:rsid w:val="0053543A"/>
    <w:rsid w:val="00537261"/>
    <w:rsid w:val="00554BE9"/>
    <w:rsid w:val="00556C14"/>
    <w:rsid w:val="00557A6E"/>
    <w:rsid w:val="00562C2C"/>
    <w:rsid w:val="00566F56"/>
    <w:rsid w:val="00571D53"/>
    <w:rsid w:val="00574D36"/>
    <w:rsid w:val="00581CD7"/>
    <w:rsid w:val="0058452F"/>
    <w:rsid w:val="00585F63"/>
    <w:rsid w:val="005978C4"/>
    <w:rsid w:val="005B1166"/>
    <w:rsid w:val="005C0C9A"/>
    <w:rsid w:val="005C6AFF"/>
    <w:rsid w:val="005D395B"/>
    <w:rsid w:val="005D4F02"/>
    <w:rsid w:val="005D71E3"/>
    <w:rsid w:val="005E1BF8"/>
    <w:rsid w:val="005E2DE7"/>
    <w:rsid w:val="005E61CC"/>
    <w:rsid w:val="005E7369"/>
    <w:rsid w:val="005F49A3"/>
    <w:rsid w:val="005F5526"/>
    <w:rsid w:val="005F6DD9"/>
    <w:rsid w:val="00604667"/>
    <w:rsid w:val="00604872"/>
    <w:rsid w:val="00611CC5"/>
    <w:rsid w:val="0061379C"/>
    <w:rsid w:val="00622372"/>
    <w:rsid w:val="00624232"/>
    <w:rsid w:val="006255E4"/>
    <w:rsid w:val="006341CA"/>
    <w:rsid w:val="00635EC4"/>
    <w:rsid w:val="0064359F"/>
    <w:rsid w:val="00644900"/>
    <w:rsid w:val="00650A4B"/>
    <w:rsid w:val="0065706D"/>
    <w:rsid w:val="00657764"/>
    <w:rsid w:val="00660312"/>
    <w:rsid w:val="006605EE"/>
    <w:rsid w:val="00661AAE"/>
    <w:rsid w:val="00662FD1"/>
    <w:rsid w:val="00663C9A"/>
    <w:rsid w:val="00672E9D"/>
    <w:rsid w:val="00673AB6"/>
    <w:rsid w:val="00674B07"/>
    <w:rsid w:val="00674C33"/>
    <w:rsid w:val="006757FC"/>
    <w:rsid w:val="006771EB"/>
    <w:rsid w:val="00677404"/>
    <w:rsid w:val="00690CBF"/>
    <w:rsid w:val="006919F0"/>
    <w:rsid w:val="00693B12"/>
    <w:rsid w:val="00696FE0"/>
    <w:rsid w:val="006A005E"/>
    <w:rsid w:val="006A0500"/>
    <w:rsid w:val="006A1C68"/>
    <w:rsid w:val="006A3241"/>
    <w:rsid w:val="006A4904"/>
    <w:rsid w:val="006A787B"/>
    <w:rsid w:val="006B0590"/>
    <w:rsid w:val="006B14EC"/>
    <w:rsid w:val="006B535B"/>
    <w:rsid w:val="006B7D31"/>
    <w:rsid w:val="006C15D5"/>
    <w:rsid w:val="006C4E0E"/>
    <w:rsid w:val="006C59C7"/>
    <w:rsid w:val="006C5ED2"/>
    <w:rsid w:val="006C723E"/>
    <w:rsid w:val="006D3A7D"/>
    <w:rsid w:val="006D5C8E"/>
    <w:rsid w:val="006D6B32"/>
    <w:rsid w:val="006E0702"/>
    <w:rsid w:val="006E5024"/>
    <w:rsid w:val="006E6A37"/>
    <w:rsid w:val="006F08BE"/>
    <w:rsid w:val="006F1AAF"/>
    <w:rsid w:val="006F50EC"/>
    <w:rsid w:val="006F51BD"/>
    <w:rsid w:val="006F72F9"/>
    <w:rsid w:val="00710291"/>
    <w:rsid w:val="0071144E"/>
    <w:rsid w:val="00715664"/>
    <w:rsid w:val="007162B1"/>
    <w:rsid w:val="00731DD5"/>
    <w:rsid w:val="00735067"/>
    <w:rsid w:val="00737DEB"/>
    <w:rsid w:val="007402D5"/>
    <w:rsid w:val="00746AC0"/>
    <w:rsid w:val="00746B05"/>
    <w:rsid w:val="0075161A"/>
    <w:rsid w:val="00754A25"/>
    <w:rsid w:val="00755026"/>
    <w:rsid w:val="0075781D"/>
    <w:rsid w:val="00757A69"/>
    <w:rsid w:val="00760725"/>
    <w:rsid w:val="0076516E"/>
    <w:rsid w:val="00766C92"/>
    <w:rsid w:val="00767927"/>
    <w:rsid w:val="00776BA8"/>
    <w:rsid w:val="00783526"/>
    <w:rsid w:val="00783693"/>
    <w:rsid w:val="007871C2"/>
    <w:rsid w:val="00794F4D"/>
    <w:rsid w:val="007970E7"/>
    <w:rsid w:val="007B3302"/>
    <w:rsid w:val="007B5FEA"/>
    <w:rsid w:val="007B6113"/>
    <w:rsid w:val="007B6971"/>
    <w:rsid w:val="007C2D28"/>
    <w:rsid w:val="007C4191"/>
    <w:rsid w:val="007D0706"/>
    <w:rsid w:val="007D4228"/>
    <w:rsid w:val="007E4AD3"/>
    <w:rsid w:val="007F38BA"/>
    <w:rsid w:val="008021AD"/>
    <w:rsid w:val="00803D62"/>
    <w:rsid w:val="00804048"/>
    <w:rsid w:val="00805CD4"/>
    <w:rsid w:val="00826F3D"/>
    <w:rsid w:val="0083288A"/>
    <w:rsid w:val="0083706E"/>
    <w:rsid w:val="008430D8"/>
    <w:rsid w:val="00843530"/>
    <w:rsid w:val="00843BFC"/>
    <w:rsid w:val="00845F1A"/>
    <w:rsid w:val="008466EB"/>
    <w:rsid w:val="00847103"/>
    <w:rsid w:val="00851B43"/>
    <w:rsid w:val="008547EF"/>
    <w:rsid w:val="00855BD3"/>
    <w:rsid w:val="008727F7"/>
    <w:rsid w:val="0087339B"/>
    <w:rsid w:val="00890438"/>
    <w:rsid w:val="00890778"/>
    <w:rsid w:val="0089662B"/>
    <w:rsid w:val="008A0541"/>
    <w:rsid w:val="008A3FFC"/>
    <w:rsid w:val="008A4838"/>
    <w:rsid w:val="008A589D"/>
    <w:rsid w:val="008A72F4"/>
    <w:rsid w:val="008B3333"/>
    <w:rsid w:val="008B5E58"/>
    <w:rsid w:val="008D0102"/>
    <w:rsid w:val="008D190C"/>
    <w:rsid w:val="008D1FDC"/>
    <w:rsid w:val="008D20FD"/>
    <w:rsid w:val="008D37EB"/>
    <w:rsid w:val="008E02E8"/>
    <w:rsid w:val="008E325F"/>
    <w:rsid w:val="008E410E"/>
    <w:rsid w:val="008E5A30"/>
    <w:rsid w:val="008F44A5"/>
    <w:rsid w:val="00904D54"/>
    <w:rsid w:val="00906191"/>
    <w:rsid w:val="00906753"/>
    <w:rsid w:val="009068A6"/>
    <w:rsid w:val="00906C28"/>
    <w:rsid w:val="009166D4"/>
    <w:rsid w:val="009178FB"/>
    <w:rsid w:val="009253C0"/>
    <w:rsid w:val="00925F3E"/>
    <w:rsid w:val="009263A8"/>
    <w:rsid w:val="00927A87"/>
    <w:rsid w:val="00931DE6"/>
    <w:rsid w:val="0094125C"/>
    <w:rsid w:val="00943E98"/>
    <w:rsid w:val="00944033"/>
    <w:rsid w:val="00945B4B"/>
    <w:rsid w:val="009465B1"/>
    <w:rsid w:val="00947798"/>
    <w:rsid w:val="00950F55"/>
    <w:rsid w:val="0096125E"/>
    <w:rsid w:val="009658BA"/>
    <w:rsid w:val="00974715"/>
    <w:rsid w:val="009769F7"/>
    <w:rsid w:val="00977F2B"/>
    <w:rsid w:val="00983B16"/>
    <w:rsid w:val="00991246"/>
    <w:rsid w:val="00991B48"/>
    <w:rsid w:val="009925CF"/>
    <w:rsid w:val="00995FBE"/>
    <w:rsid w:val="009A4252"/>
    <w:rsid w:val="009A7F66"/>
    <w:rsid w:val="009B7A73"/>
    <w:rsid w:val="009B7C71"/>
    <w:rsid w:val="009C0B92"/>
    <w:rsid w:val="009C74A7"/>
    <w:rsid w:val="009D1C08"/>
    <w:rsid w:val="009E3ACA"/>
    <w:rsid w:val="009E5FBA"/>
    <w:rsid w:val="009F552B"/>
    <w:rsid w:val="009F78AF"/>
    <w:rsid w:val="00A02DAF"/>
    <w:rsid w:val="00A02F7E"/>
    <w:rsid w:val="00A03B6D"/>
    <w:rsid w:val="00A055C8"/>
    <w:rsid w:val="00A06A7D"/>
    <w:rsid w:val="00A07759"/>
    <w:rsid w:val="00A12830"/>
    <w:rsid w:val="00A15B72"/>
    <w:rsid w:val="00A205A4"/>
    <w:rsid w:val="00A34259"/>
    <w:rsid w:val="00A36704"/>
    <w:rsid w:val="00A379E9"/>
    <w:rsid w:val="00A404DF"/>
    <w:rsid w:val="00A42F27"/>
    <w:rsid w:val="00A43625"/>
    <w:rsid w:val="00A45351"/>
    <w:rsid w:val="00A46AF8"/>
    <w:rsid w:val="00A50409"/>
    <w:rsid w:val="00A54588"/>
    <w:rsid w:val="00A54C0F"/>
    <w:rsid w:val="00A62648"/>
    <w:rsid w:val="00A727F7"/>
    <w:rsid w:val="00A77110"/>
    <w:rsid w:val="00A83129"/>
    <w:rsid w:val="00A84B83"/>
    <w:rsid w:val="00A91018"/>
    <w:rsid w:val="00A93601"/>
    <w:rsid w:val="00AA1DD3"/>
    <w:rsid w:val="00AB0B33"/>
    <w:rsid w:val="00AB2321"/>
    <w:rsid w:val="00AB293F"/>
    <w:rsid w:val="00AB3AF3"/>
    <w:rsid w:val="00AC3357"/>
    <w:rsid w:val="00AD05FB"/>
    <w:rsid w:val="00AD0E94"/>
    <w:rsid w:val="00AD781E"/>
    <w:rsid w:val="00AE08C1"/>
    <w:rsid w:val="00AE1369"/>
    <w:rsid w:val="00AE1D52"/>
    <w:rsid w:val="00AE1DB3"/>
    <w:rsid w:val="00AE2509"/>
    <w:rsid w:val="00AE5BAE"/>
    <w:rsid w:val="00AE6EEC"/>
    <w:rsid w:val="00AE77FE"/>
    <w:rsid w:val="00B00361"/>
    <w:rsid w:val="00B0104E"/>
    <w:rsid w:val="00B01E6A"/>
    <w:rsid w:val="00B1573E"/>
    <w:rsid w:val="00B15C33"/>
    <w:rsid w:val="00B201D3"/>
    <w:rsid w:val="00B22494"/>
    <w:rsid w:val="00B32216"/>
    <w:rsid w:val="00B35992"/>
    <w:rsid w:val="00B35E6B"/>
    <w:rsid w:val="00B40128"/>
    <w:rsid w:val="00B401EA"/>
    <w:rsid w:val="00B409B7"/>
    <w:rsid w:val="00B42453"/>
    <w:rsid w:val="00B42BE2"/>
    <w:rsid w:val="00B42C70"/>
    <w:rsid w:val="00B51FF7"/>
    <w:rsid w:val="00B53011"/>
    <w:rsid w:val="00B54AE2"/>
    <w:rsid w:val="00B607E7"/>
    <w:rsid w:val="00B63F84"/>
    <w:rsid w:val="00B66B12"/>
    <w:rsid w:val="00B8236E"/>
    <w:rsid w:val="00B8327D"/>
    <w:rsid w:val="00B8465D"/>
    <w:rsid w:val="00B84EC9"/>
    <w:rsid w:val="00B85AD9"/>
    <w:rsid w:val="00B93831"/>
    <w:rsid w:val="00B96E45"/>
    <w:rsid w:val="00BA2476"/>
    <w:rsid w:val="00BA4C76"/>
    <w:rsid w:val="00BB491E"/>
    <w:rsid w:val="00BB4B1A"/>
    <w:rsid w:val="00BB7281"/>
    <w:rsid w:val="00BC1ACA"/>
    <w:rsid w:val="00BD540B"/>
    <w:rsid w:val="00BE15E4"/>
    <w:rsid w:val="00BE28E7"/>
    <w:rsid w:val="00BE36B9"/>
    <w:rsid w:val="00BE4B6B"/>
    <w:rsid w:val="00BE51E0"/>
    <w:rsid w:val="00BF2ED1"/>
    <w:rsid w:val="00BF3E43"/>
    <w:rsid w:val="00BF4D7A"/>
    <w:rsid w:val="00BF5B11"/>
    <w:rsid w:val="00BF6F03"/>
    <w:rsid w:val="00C00A05"/>
    <w:rsid w:val="00C01BFC"/>
    <w:rsid w:val="00C02A44"/>
    <w:rsid w:val="00C0654E"/>
    <w:rsid w:val="00C13523"/>
    <w:rsid w:val="00C22F4D"/>
    <w:rsid w:val="00C259FE"/>
    <w:rsid w:val="00C31EB0"/>
    <w:rsid w:val="00C3387B"/>
    <w:rsid w:val="00C40B65"/>
    <w:rsid w:val="00C40D8C"/>
    <w:rsid w:val="00C428BD"/>
    <w:rsid w:val="00C43825"/>
    <w:rsid w:val="00C43D2E"/>
    <w:rsid w:val="00C4433F"/>
    <w:rsid w:val="00C44448"/>
    <w:rsid w:val="00C53455"/>
    <w:rsid w:val="00C73D71"/>
    <w:rsid w:val="00C741EB"/>
    <w:rsid w:val="00C76317"/>
    <w:rsid w:val="00C831A3"/>
    <w:rsid w:val="00C83957"/>
    <w:rsid w:val="00C877E3"/>
    <w:rsid w:val="00C9076F"/>
    <w:rsid w:val="00C923D7"/>
    <w:rsid w:val="00CA3CE5"/>
    <w:rsid w:val="00CA6758"/>
    <w:rsid w:val="00CA74E1"/>
    <w:rsid w:val="00CA7B88"/>
    <w:rsid w:val="00CB0C13"/>
    <w:rsid w:val="00CB66F4"/>
    <w:rsid w:val="00CB7BDA"/>
    <w:rsid w:val="00CC1B9C"/>
    <w:rsid w:val="00CC476E"/>
    <w:rsid w:val="00CD1457"/>
    <w:rsid w:val="00CD1B75"/>
    <w:rsid w:val="00CD5DE3"/>
    <w:rsid w:val="00CE10B0"/>
    <w:rsid w:val="00CE2DDF"/>
    <w:rsid w:val="00CE46F2"/>
    <w:rsid w:val="00CE5CA0"/>
    <w:rsid w:val="00CF5F85"/>
    <w:rsid w:val="00CF77B4"/>
    <w:rsid w:val="00D01637"/>
    <w:rsid w:val="00D076FE"/>
    <w:rsid w:val="00D11FAC"/>
    <w:rsid w:val="00D141A3"/>
    <w:rsid w:val="00D15347"/>
    <w:rsid w:val="00D208E3"/>
    <w:rsid w:val="00D230E0"/>
    <w:rsid w:val="00D25BEB"/>
    <w:rsid w:val="00D30249"/>
    <w:rsid w:val="00D320EA"/>
    <w:rsid w:val="00D34536"/>
    <w:rsid w:val="00D516AE"/>
    <w:rsid w:val="00D60981"/>
    <w:rsid w:val="00D61E42"/>
    <w:rsid w:val="00D6501A"/>
    <w:rsid w:val="00D6596C"/>
    <w:rsid w:val="00D7144F"/>
    <w:rsid w:val="00D73BFC"/>
    <w:rsid w:val="00D74E66"/>
    <w:rsid w:val="00D779C2"/>
    <w:rsid w:val="00D8325C"/>
    <w:rsid w:val="00D86A11"/>
    <w:rsid w:val="00D9630D"/>
    <w:rsid w:val="00D976A5"/>
    <w:rsid w:val="00D97741"/>
    <w:rsid w:val="00DA338B"/>
    <w:rsid w:val="00DA7BEA"/>
    <w:rsid w:val="00DA7F1E"/>
    <w:rsid w:val="00DB4E5E"/>
    <w:rsid w:val="00DD0768"/>
    <w:rsid w:val="00DD0DB1"/>
    <w:rsid w:val="00DD1302"/>
    <w:rsid w:val="00DD226A"/>
    <w:rsid w:val="00DD2C09"/>
    <w:rsid w:val="00DE4C7D"/>
    <w:rsid w:val="00DE6DDF"/>
    <w:rsid w:val="00DF2234"/>
    <w:rsid w:val="00DF73B0"/>
    <w:rsid w:val="00DF748F"/>
    <w:rsid w:val="00E03864"/>
    <w:rsid w:val="00E03E4E"/>
    <w:rsid w:val="00E13662"/>
    <w:rsid w:val="00E13FD9"/>
    <w:rsid w:val="00E2004B"/>
    <w:rsid w:val="00E2020C"/>
    <w:rsid w:val="00E22EF9"/>
    <w:rsid w:val="00E26BC2"/>
    <w:rsid w:val="00E27874"/>
    <w:rsid w:val="00E3213C"/>
    <w:rsid w:val="00E41964"/>
    <w:rsid w:val="00E42DFF"/>
    <w:rsid w:val="00E4425C"/>
    <w:rsid w:val="00E5606B"/>
    <w:rsid w:val="00E625F3"/>
    <w:rsid w:val="00E65549"/>
    <w:rsid w:val="00E71F18"/>
    <w:rsid w:val="00E766B8"/>
    <w:rsid w:val="00E7692F"/>
    <w:rsid w:val="00E873BF"/>
    <w:rsid w:val="00E92009"/>
    <w:rsid w:val="00E92DEE"/>
    <w:rsid w:val="00E95693"/>
    <w:rsid w:val="00E95D0C"/>
    <w:rsid w:val="00E97F4D"/>
    <w:rsid w:val="00EA5A22"/>
    <w:rsid w:val="00EA7BE9"/>
    <w:rsid w:val="00EB0786"/>
    <w:rsid w:val="00EB3FE1"/>
    <w:rsid w:val="00EB4B97"/>
    <w:rsid w:val="00EB5BC2"/>
    <w:rsid w:val="00EC3319"/>
    <w:rsid w:val="00EC4E3F"/>
    <w:rsid w:val="00ED1129"/>
    <w:rsid w:val="00ED32EF"/>
    <w:rsid w:val="00ED6DA2"/>
    <w:rsid w:val="00EE0F36"/>
    <w:rsid w:val="00EE2646"/>
    <w:rsid w:val="00EE2CBD"/>
    <w:rsid w:val="00EE2E4D"/>
    <w:rsid w:val="00EE3EF2"/>
    <w:rsid w:val="00EF0203"/>
    <w:rsid w:val="00EF3CFE"/>
    <w:rsid w:val="00EF50C8"/>
    <w:rsid w:val="00F01F60"/>
    <w:rsid w:val="00F07891"/>
    <w:rsid w:val="00F111AD"/>
    <w:rsid w:val="00F14589"/>
    <w:rsid w:val="00F26901"/>
    <w:rsid w:val="00F4010F"/>
    <w:rsid w:val="00F44E77"/>
    <w:rsid w:val="00F46201"/>
    <w:rsid w:val="00F539D5"/>
    <w:rsid w:val="00F55A35"/>
    <w:rsid w:val="00F6358D"/>
    <w:rsid w:val="00F74CF3"/>
    <w:rsid w:val="00F77780"/>
    <w:rsid w:val="00F800EF"/>
    <w:rsid w:val="00F827DF"/>
    <w:rsid w:val="00F87B71"/>
    <w:rsid w:val="00FA06E9"/>
    <w:rsid w:val="00FA10F2"/>
    <w:rsid w:val="00FA4BB4"/>
    <w:rsid w:val="00FB2DD3"/>
    <w:rsid w:val="00FB369E"/>
    <w:rsid w:val="00FB3996"/>
    <w:rsid w:val="00FB76A5"/>
    <w:rsid w:val="00FC1171"/>
    <w:rsid w:val="00FC5EF7"/>
    <w:rsid w:val="00FC6DF1"/>
    <w:rsid w:val="00FD2712"/>
    <w:rsid w:val="00FD3B5A"/>
    <w:rsid w:val="00FD4DA9"/>
    <w:rsid w:val="00FD4F9C"/>
    <w:rsid w:val="00FD5421"/>
    <w:rsid w:val="00FD6E10"/>
    <w:rsid w:val="00FE20E4"/>
    <w:rsid w:val="00FE414D"/>
    <w:rsid w:val="00FE5B0A"/>
    <w:rsid w:val="00FF013F"/>
    <w:rsid w:val="00FF2FD5"/>
    <w:rsid w:val="00FF6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3pt" linestyle="thinThi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270" w:hanging="270"/>
    </w:pPr>
    <w:rPr>
      <w:sz w:val="24"/>
    </w:r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paragraph" w:styleId="Title">
    <w:name w:val="Title"/>
    <w:basedOn w:val="Normal"/>
    <w:qFormat/>
    <w:pPr>
      <w:spacing w:line="480" w:lineRule="auto"/>
      <w:jc w:val="center"/>
    </w:pPr>
    <w:rPr>
      <w:b/>
      <w:sz w:val="24"/>
    </w:rPr>
  </w:style>
  <w:style w:type="paragraph" w:styleId="BodyText">
    <w:name w:val="Body Text"/>
    <w:basedOn w:val="Normal"/>
    <w:pPr>
      <w:spacing w:line="480" w:lineRule="auto"/>
    </w:pPr>
    <w:rPr>
      <w:sz w:val="24"/>
    </w:rPr>
  </w:style>
  <w:style w:type="paragraph" w:styleId="BodyTextIndent3">
    <w:name w:val="Body Text Indent 3"/>
    <w:basedOn w:val="Normal"/>
    <w:link w:val="BodyTextIndent3Char"/>
    <w:pPr>
      <w:spacing w:line="480" w:lineRule="auto"/>
      <w:ind w:left="720" w:hanging="720"/>
    </w:pPr>
    <w:rPr>
      <w:sz w:val="24"/>
    </w:rPr>
  </w:style>
  <w:style w:type="paragraph" w:styleId="BodyTextIndent2">
    <w:name w:val="Body Text Indent 2"/>
    <w:basedOn w:val="Normal"/>
    <w:pPr>
      <w:spacing w:line="480" w:lineRule="auto"/>
      <w:ind w:left="1440" w:hanging="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character" w:customStyle="1" w:styleId="BodyTextIndentChar">
    <w:name w:val="Body Text Indent Char"/>
    <w:basedOn w:val="DefaultParagraphFont"/>
    <w:link w:val="BodyTextIndent"/>
    <w:rsid w:val="001F4274"/>
    <w:rPr>
      <w:sz w:val="24"/>
    </w:rPr>
  </w:style>
  <w:style w:type="paragraph" w:styleId="TOC1">
    <w:name w:val="toc 1"/>
    <w:basedOn w:val="Normal"/>
    <w:next w:val="Normal"/>
    <w:autoRedefine/>
    <w:uiPriority w:val="39"/>
    <w:rsid w:val="00BA2476"/>
    <w:pPr>
      <w:tabs>
        <w:tab w:val="right" w:leader="dot" w:pos="8630"/>
      </w:tabs>
      <w:spacing w:line="480" w:lineRule="auto"/>
      <w:ind w:left="274"/>
    </w:pPr>
    <w:rPr>
      <w:sz w:val="24"/>
      <w:szCs w:val="24"/>
    </w:rPr>
  </w:style>
  <w:style w:type="character" w:customStyle="1" w:styleId="BodyTextIndent3Char">
    <w:name w:val="Body Text Indent 3 Char"/>
    <w:basedOn w:val="DefaultParagraphFont"/>
    <w:link w:val="BodyTextIndent3"/>
    <w:rsid w:val="006A0500"/>
    <w:rPr>
      <w:sz w:val="24"/>
    </w:rPr>
  </w:style>
  <w:style w:type="paragraph" w:customStyle="1" w:styleId="Default">
    <w:name w:val="Default"/>
    <w:rsid w:val="00A128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4476A4"/>
  </w:style>
  <w:style w:type="paragraph" w:styleId="ListParagraph">
    <w:name w:val="List Paragraph"/>
    <w:basedOn w:val="Normal"/>
    <w:uiPriority w:val="34"/>
    <w:qFormat/>
    <w:rsid w:val="0075781D"/>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F38BA"/>
  </w:style>
  <w:style w:type="character" w:customStyle="1" w:styleId="FooterChar">
    <w:name w:val="Footer Char"/>
    <w:basedOn w:val="DefaultParagraphFont"/>
    <w:link w:val="Footer"/>
    <w:uiPriority w:val="99"/>
    <w:rsid w:val="00C02A4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20B9A-4CBA-4C4A-806E-2E71575C9C79}"/>
</file>

<file path=customXml/itemProps2.xml><?xml version="1.0" encoding="utf-8"?>
<ds:datastoreItem xmlns:ds="http://schemas.openxmlformats.org/officeDocument/2006/customXml" ds:itemID="{BC305FD9-D891-44F5-B5A8-35E89FB63388}"/>
</file>

<file path=customXml/itemProps3.xml><?xml version="1.0" encoding="utf-8"?>
<ds:datastoreItem xmlns:ds="http://schemas.openxmlformats.org/officeDocument/2006/customXml" ds:itemID="{E94B37D6-824E-4693-AB79-1F13C11C9E6C}"/>
</file>

<file path=customXml/itemProps4.xml><?xml version="1.0" encoding="utf-8"?>
<ds:datastoreItem xmlns:ds="http://schemas.openxmlformats.org/officeDocument/2006/customXml" ds:itemID="{5175B067-30CE-4460-A04E-07BE0058941E}"/>
</file>

<file path=docProps/app.xml><?xml version="1.0" encoding="utf-8"?>
<Properties xmlns="http://schemas.openxmlformats.org/officeDocument/2006/extended-properties" xmlns:vt="http://schemas.openxmlformats.org/officeDocument/2006/docPropsVTypes">
  <Template>Normal.dotm</Template>
  <TotalTime>2</TotalTime>
  <Pages>17</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Brickfield Burchette Ritts &amp; Stone, PC</Company>
  <LinksUpToDate>false</LinksUpToDate>
  <CharactersWithSpaces>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Mohler</dc:creator>
  <cp:lastModifiedBy>Shaun.Mohler</cp:lastModifiedBy>
  <cp:revision>2</cp:revision>
  <cp:lastPrinted>2013-04-26T19:33:00Z</cp:lastPrinted>
  <dcterms:created xsi:type="dcterms:W3CDTF">2013-04-26T19:34:00Z</dcterms:created>
  <dcterms:modified xsi:type="dcterms:W3CDTF">2013-04-26T19:34:00Z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gFAAXJDLFUo5N7txdYW6PDknIDXZEfEP5EPOiAcHZPI78GbX9ovjtHaSeGwoKpoWEkKmBPSIX/4RjpJ0_x000d_
wFTGrxZ2mETdBwMzvT9DwHe9pCeJvrGAtW/3pX3z+DNniZ5L4XFKb1+8IPTnRd7ilUIG7GgcTm/Y_x000d_
goYq1iXVBQnI459hP2JkEsyfOnwZaGBR40soCoXQpcuABQTvgmAs9l56SMZE12N8Id4T9+e2oFc8_x000d_
lKQKLaUB/0gUFSWS6</vt:lpwstr>
  </property>
  <property fmtid="{D5CDD505-2E9C-101B-9397-08002B2CF9AE}" pid="3" name="MAIL_MSG_ID2">
    <vt:lpwstr>Q9FgVFrS8r6v4+yFZQ1Xpl/w8OB2EGG9YhZg01mkTYTf7vNsjB/wqi2SuZV_x000d_
F0lPe0D9bOPcmC7QeGcXaPNUANDdnW2Z7yvLNw==</vt:lpwstr>
  </property>
  <property fmtid="{D5CDD505-2E9C-101B-9397-08002B2CF9AE}" pid="4" name="RESPONSE_SENDER_NAME">
    <vt:lpwstr>sAAAGYoQX4c3X/JjUWcwMjVf0GmqggIxTsDKk8CPCn0h7Lg=</vt:lpwstr>
  </property>
  <property fmtid="{D5CDD505-2E9C-101B-9397-08002B2CF9AE}" pid="5" name="EMAIL_OWNER_ADDRESS">
    <vt:lpwstr>4AAA6DouqOs9baHMytjdcTd3+Z9SDtq1E51x82Mfua8wO/RE3UljaFw0Zg==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