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87" w:rsidRPr="008E791C" w:rsidRDefault="00165987" w:rsidP="00B56012">
      <w:pPr>
        <w:spacing w:line="240" w:lineRule="auto"/>
        <w:ind w:left="4320" w:firstLine="0"/>
        <w:rPr>
          <w:b/>
        </w:rPr>
      </w:pPr>
      <w:r w:rsidRPr="008E791C">
        <w:rPr>
          <w:b/>
        </w:rPr>
        <w:t>EXH. SEF-12T</w:t>
      </w:r>
      <w:r w:rsidRPr="008E791C">
        <w:rPr>
          <w:b/>
        </w:rPr>
        <w:br/>
        <w:t>DOCKETS UE-170033/UG-170034</w:t>
      </w:r>
      <w:r w:rsidRPr="008E791C">
        <w:rPr>
          <w:b/>
        </w:rPr>
        <w:br/>
        <w:t>2017 PSE GENERAL RATE CASE</w:t>
      </w:r>
      <w:r w:rsidRPr="008E791C">
        <w:rPr>
          <w:b/>
        </w:rPr>
        <w:br/>
        <w:t>WITNESS: SUSAN E. FREE</w:t>
      </w:r>
    </w:p>
    <w:p w:rsidR="00165987" w:rsidRPr="008E791C" w:rsidRDefault="00165987" w:rsidP="00B56012">
      <w:pPr>
        <w:spacing w:before="1200" w:line="240" w:lineRule="auto"/>
        <w:ind w:firstLine="0"/>
        <w:jc w:val="center"/>
        <w:rPr>
          <w:b/>
        </w:rPr>
      </w:pPr>
      <w:r w:rsidRPr="008E791C">
        <w:rPr>
          <w:b/>
        </w:rPr>
        <w:t>BEFORE THE</w:t>
      </w:r>
    </w:p>
    <w:p w:rsidR="00165987" w:rsidRPr="008E791C" w:rsidRDefault="00165987" w:rsidP="00B56012">
      <w:pPr>
        <w:spacing w:after="720" w:line="240" w:lineRule="auto"/>
        <w:ind w:firstLine="0"/>
        <w:jc w:val="center"/>
        <w:rPr>
          <w:b/>
        </w:rPr>
      </w:pPr>
      <w:r w:rsidRPr="008E791C">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165987" w:rsidRPr="008E791C" w:rsidTr="00CF5DC3">
        <w:trPr>
          <w:cantSplit/>
        </w:trPr>
        <w:tc>
          <w:tcPr>
            <w:tcW w:w="4418" w:type="dxa"/>
            <w:tcBorders>
              <w:bottom w:val="single" w:sz="4" w:space="0" w:color="auto"/>
              <w:right w:val="single" w:sz="4" w:space="0" w:color="auto"/>
            </w:tcBorders>
          </w:tcPr>
          <w:p w:rsidR="00165987" w:rsidRPr="008E791C" w:rsidRDefault="00165987" w:rsidP="00B56012">
            <w:pPr>
              <w:spacing w:line="240" w:lineRule="auto"/>
              <w:ind w:firstLine="0"/>
              <w:rPr>
                <w:b/>
              </w:rPr>
            </w:pPr>
            <w:r w:rsidRPr="008E791C">
              <w:rPr>
                <w:b/>
              </w:rPr>
              <w:t>WASHINGTON UTILITIES AND</w:t>
            </w:r>
          </w:p>
          <w:p w:rsidR="00165987" w:rsidRPr="008E791C" w:rsidRDefault="00165987" w:rsidP="00B56012">
            <w:pPr>
              <w:spacing w:after="240" w:line="240" w:lineRule="auto"/>
              <w:ind w:firstLine="0"/>
              <w:rPr>
                <w:b/>
              </w:rPr>
            </w:pPr>
            <w:r w:rsidRPr="008E791C">
              <w:rPr>
                <w:b/>
              </w:rPr>
              <w:t>TRANSPORTATION COMMISSION,</w:t>
            </w:r>
          </w:p>
          <w:p w:rsidR="00165987" w:rsidRPr="008E791C" w:rsidRDefault="00165987" w:rsidP="00B56012">
            <w:pPr>
              <w:spacing w:after="240" w:line="240" w:lineRule="auto"/>
              <w:ind w:left="2438" w:firstLine="0"/>
              <w:rPr>
                <w:b/>
              </w:rPr>
            </w:pPr>
            <w:r w:rsidRPr="008E791C">
              <w:rPr>
                <w:b/>
              </w:rPr>
              <w:t>Complainant,</w:t>
            </w:r>
          </w:p>
          <w:p w:rsidR="00165987" w:rsidRPr="008E791C" w:rsidRDefault="00165987" w:rsidP="00B56012">
            <w:pPr>
              <w:spacing w:after="240" w:line="240" w:lineRule="auto"/>
              <w:ind w:left="728" w:firstLine="0"/>
              <w:rPr>
                <w:b/>
              </w:rPr>
            </w:pPr>
            <w:r w:rsidRPr="008E791C">
              <w:rPr>
                <w:b/>
              </w:rPr>
              <w:t>v.</w:t>
            </w:r>
          </w:p>
          <w:p w:rsidR="00165987" w:rsidRPr="008E791C" w:rsidRDefault="00165987" w:rsidP="00B56012">
            <w:pPr>
              <w:spacing w:after="240" w:line="240" w:lineRule="auto"/>
              <w:ind w:left="8" w:firstLine="0"/>
              <w:rPr>
                <w:b/>
              </w:rPr>
            </w:pPr>
            <w:r w:rsidRPr="008E791C">
              <w:rPr>
                <w:b/>
              </w:rPr>
              <w:t>PUGET SOUND ENERGY,</w:t>
            </w:r>
          </w:p>
          <w:p w:rsidR="00165987" w:rsidRPr="008E791C" w:rsidRDefault="00165987" w:rsidP="00B56012">
            <w:pPr>
              <w:spacing w:after="240" w:line="240" w:lineRule="auto"/>
              <w:ind w:left="2438" w:firstLine="0"/>
              <w:rPr>
                <w:b/>
              </w:rPr>
            </w:pPr>
            <w:r w:rsidRPr="008E791C">
              <w:rPr>
                <w:b/>
              </w:rPr>
              <w:t>Respondent.</w:t>
            </w:r>
          </w:p>
        </w:tc>
        <w:tc>
          <w:tcPr>
            <w:tcW w:w="360" w:type="dxa"/>
            <w:tcBorders>
              <w:left w:val="single" w:sz="4" w:space="0" w:color="auto"/>
            </w:tcBorders>
          </w:tcPr>
          <w:p w:rsidR="00165987" w:rsidRPr="008E791C" w:rsidRDefault="00165987" w:rsidP="00B56012">
            <w:pPr>
              <w:spacing w:line="240" w:lineRule="auto"/>
              <w:rPr>
                <w:b/>
              </w:rPr>
            </w:pPr>
          </w:p>
        </w:tc>
        <w:tc>
          <w:tcPr>
            <w:tcW w:w="4423" w:type="dxa"/>
            <w:vAlign w:val="center"/>
          </w:tcPr>
          <w:p w:rsidR="00165987" w:rsidRPr="008E791C" w:rsidRDefault="00165987" w:rsidP="00B56012">
            <w:pPr>
              <w:spacing w:line="240" w:lineRule="auto"/>
              <w:ind w:left="198" w:firstLine="0"/>
              <w:rPr>
                <w:b/>
              </w:rPr>
            </w:pPr>
            <w:r w:rsidRPr="008E791C">
              <w:rPr>
                <w:b/>
              </w:rPr>
              <w:t>Docket UE-170033</w:t>
            </w:r>
          </w:p>
          <w:p w:rsidR="00165987" w:rsidRPr="008E791C" w:rsidRDefault="00165987" w:rsidP="00B56012">
            <w:pPr>
              <w:spacing w:line="240" w:lineRule="auto"/>
              <w:ind w:left="198" w:firstLine="0"/>
              <w:rPr>
                <w:b/>
              </w:rPr>
            </w:pPr>
            <w:r w:rsidRPr="008E791C">
              <w:rPr>
                <w:b/>
              </w:rPr>
              <w:t>Docket UG-170034</w:t>
            </w:r>
          </w:p>
        </w:tc>
      </w:tr>
    </w:tbl>
    <w:p w:rsidR="00165987" w:rsidRPr="008E791C" w:rsidRDefault="00165987" w:rsidP="00B56012">
      <w:pPr>
        <w:spacing w:before="720" w:line="240" w:lineRule="auto"/>
        <w:ind w:firstLine="0"/>
        <w:jc w:val="center"/>
        <w:rPr>
          <w:b/>
        </w:rPr>
      </w:pPr>
      <w:r w:rsidRPr="008E791C">
        <w:rPr>
          <w:b/>
        </w:rPr>
        <w:t>PREFILED REBUTTAL TESTIMONY (NONCONFIDENTIAL) OF</w:t>
      </w:r>
    </w:p>
    <w:p w:rsidR="00165987" w:rsidRPr="008E791C" w:rsidRDefault="00165987" w:rsidP="00B56012">
      <w:pPr>
        <w:spacing w:before="240" w:after="240" w:line="240" w:lineRule="auto"/>
        <w:ind w:firstLine="0"/>
        <w:jc w:val="center"/>
        <w:rPr>
          <w:b/>
        </w:rPr>
      </w:pPr>
      <w:r w:rsidRPr="008E791C">
        <w:rPr>
          <w:b/>
        </w:rPr>
        <w:t>SUSAN E. FREE</w:t>
      </w:r>
    </w:p>
    <w:p w:rsidR="00165987" w:rsidRPr="008E791C" w:rsidRDefault="00165987" w:rsidP="00B56012">
      <w:pPr>
        <w:spacing w:after="4080" w:line="240" w:lineRule="auto"/>
        <w:ind w:firstLine="0"/>
        <w:jc w:val="center"/>
        <w:rPr>
          <w:b/>
        </w:rPr>
      </w:pPr>
      <w:r w:rsidRPr="008E791C">
        <w:rPr>
          <w:b/>
        </w:rPr>
        <w:t>ON BEHALF OF PUGET SOUND ENERGY</w:t>
      </w:r>
    </w:p>
    <w:p w:rsidR="00165987" w:rsidRPr="008E791C" w:rsidRDefault="00165987" w:rsidP="00B56012">
      <w:pPr>
        <w:spacing w:line="240" w:lineRule="auto"/>
        <w:ind w:firstLine="0"/>
        <w:jc w:val="center"/>
        <w:rPr>
          <w:b/>
          <w:bCs/>
          <w:szCs w:val="24"/>
        </w:rPr>
      </w:pPr>
      <w:r w:rsidRPr="008E791C">
        <w:rPr>
          <w:b/>
        </w:rPr>
        <w:t>AUGUST 9, 2017</w:t>
      </w:r>
    </w:p>
    <w:p w:rsidR="00165987" w:rsidRPr="008E791C" w:rsidRDefault="00165987" w:rsidP="00B56012">
      <w:pPr>
        <w:spacing w:line="240" w:lineRule="auto"/>
        <w:ind w:firstLine="0"/>
        <w:jc w:val="center"/>
        <w:rPr>
          <w:b/>
          <w:bCs/>
          <w:szCs w:val="24"/>
        </w:rPr>
        <w:sectPr w:rsidR="00165987" w:rsidRPr="008E791C">
          <w:headerReference w:type="default" r:id="rId9"/>
          <w:footerReference w:type="default" r:id="rId10"/>
          <w:pgSz w:w="12240" w:h="15840" w:code="1"/>
          <w:pgMar w:top="1440" w:right="1440" w:bottom="1440" w:left="2160" w:header="720" w:footer="864" w:gutter="0"/>
          <w:pgNumType w:start="1"/>
          <w:cols w:space="720"/>
          <w:rtlGutter/>
        </w:sectPr>
      </w:pPr>
    </w:p>
    <w:p w:rsidR="00165987" w:rsidRPr="008E791C" w:rsidRDefault="00165987" w:rsidP="00B56012">
      <w:pPr>
        <w:spacing w:before="240" w:after="600" w:line="240" w:lineRule="auto"/>
        <w:ind w:left="547" w:right="547" w:firstLine="0"/>
        <w:jc w:val="center"/>
        <w:rPr>
          <w:b/>
          <w:bCs/>
          <w:szCs w:val="24"/>
        </w:rPr>
      </w:pPr>
      <w:r w:rsidRPr="008E791C">
        <w:rPr>
          <w:b/>
          <w:bCs/>
          <w:szCs w:val="24"/>
        </w:rPr>
        <w:lastRenderedPageBreak/>
        <w:t>PUGET SOUND ENERGY</w:t>
      </w:r>
    </w:p>
    <w:p w:rsidR="00165987" w:rsidRPr="008E791C" w:rsidRDefault="00165987" w:rsidP="00B56012">
      <w:pPr>
        <w:spacing w:before="240" w:after="600" w:line="240" w:lineRule="auto"/>
        <w:ind w:left="547" w:right="547" w:firstLine="0"/>
        <w:jc w:val="center"/>
        <w:rPr>
          <w:b/>
        </w:rPr>
      </w:pPr>
      <w:r w:rsidRPr="008E791C">
        <w:rPr>
          <w:b/>
        </w:rPr>
        <w:t>PREFILED REBUTTAL TESTIMONY (NONCONFIDENTIAL) OF</w:t>
      </w:r>
      <w:r w:rsidRPr="008E791C">
        <w:rPr>
          <w:b/>
        </w:rPr>
        <w:br/>
        <w:t>SUSAN E. FREE</w:t>
      </w:r>
    </w:p>
    <w:p w:rsidR="00165987" w:rsidRPr="008E791C" w:rsidRDefault="00165987" w:rsidP="00B56012">
      <w:pPr>
        <w:spacing w:before="240" w:after="600" w:line="240" w:lineRule="auto"/>
        <w:ind w:left="547" w:right="547" w:firstLine="0"/>
        <w:jc w:val="center"/>
        <w:rPr>
          <w:b/>
          <w:bCs/>
        </w:rPr>
      </w:pPr>
      <w:r w:rsidRPr="008E791C">
        <w:rPr>
          <w:b/>
          <w:bCs/>
        </w:rPr>
        <w:t>CONTENTS</w:t>
      </w:r>
    </w:p>
    <w:p w:rsidR="0042497B" w:rsidRPr="0042497B" w:rsidRDefault="00F8418D">
      <w:pPr>
        <w:pStyle w:val="TOC1"/>
        <w:rPr>
          <w:rFonts w:asciiTheme="minorHAnsi" w:eastAsiaTheme="minorEastAsia" w:hAnsiTheme="minorHAnsi" w:cstheme="minorBidi"/>
          <w:color w:val="auto"/>
          <w:sz w:val="22"/>
          <w:szCs w:val="22"/>
          <w:lang w:eastAsia="en-US"/>
        </w:rPr>
      </w:pPr>
      <w:r w:rsidRPr="0042497B">
        <w:rPr>
          <w:bCs/>
          <w:color w:val="auto"/>
        </w:rPr>
        <w:fldChar w:fldCharType="begin"/>
      </w:r>
      <w:r w:rsidRPr="0042497B">
        <w:rPr>
          <w:bCs/>
          <w:color w:val="auto"/>
        </w:rPr>
        <w:instrText xml:space="preserve"> TOC \o "1-5" \h \z \u </w:instrText>
      </w:r>
      <w:r w:rsidRPr="0042497B">
        <w:rPr>
          <w:bCs/>
          <w:color w:val="auto"/>
        </w:rPr>
        <w:fldChar w:fldCharType="separate"/>
      </w:r>
      <w:hyperlink w:anchor="_Toc489961819" w:history="1">
        <w:r w:rsidR="0042497B" w:rsidRPr="0042497B">
          <w:rPr>
            <w:rStyle w:val="Hyperlink"/>
            <w:color w:val="auto"/>
          </w:rPr>
          <w:t>I.</w:t>
        </w:r>
        <w:r w:rsidR="0042497B" w:rsidRPr="0042497B">
          <w:rPr>
            <w:rFonts w:asciiTheme="minorHAnsi" w:eastAsiaTheme="minorEastAsia" w:hAnsiTheme="minorHAnsi" w:cstheme="minorBidi"/>
            <w:color w:val="auto"/>
            <w:sz w:val="22"/>
            <w:szCs w:val="22"/>
            <w:lang w:eastAsia="en-US"/>
          </w:rPr>
          <w:tab/>
        </w:r>
        <w:r w:rsidR="0042497B" w:rsidRPr="0042497B">
          <w:rPr>
            <w:rStyle w:val="Hyperlink"/>
            <w:color w:val="auto"/>
          </w:rPr>
          <w:t>INTRODUCTION</w:t>
        </w:r>
        <w:r w:rsidR="0042497B" w:rsidRPr="0042497B">
          <w:rPr>
            <w:webHidden/>
            <w:color w:val="auto"/>
          </w:rPr>
          <w:tab/>
        </w:r>
        <w:r w:rsidR="0042497B" w:rsidRPr="0042497B">
          <w:rPr>
            <w:webHidden/>
            <w:color w:val="auto"/>
          </w:rPr>
          <w:fldChar w:fldCharType="begin"/>
        </w:r>
        <w:r w:rsidR="0042497B" w:rsidRPr="0042497B">
          <w:rPr>
            <w:webHidden/>
            <w:color w:val="auto"/>
          </w:rPr>
          <w:instrText xml:space="preserve"> PAGEREF _Toc489961819 \h </w:instrText>
        </w:r>
        <w:r w:rsidR="0042497B" w:rsidRPr="0042497B">
          <w:rPr>
            <w:webHidden/>
            <w:color w:val="auto"/>
          </w:rPr>
        </w:r>
        <w:r w:rsidR="0042497B" w:rsidRPr="0042497B">
          <w:rPr>
            <w:webHidden/>
            <w:color w:val="auto"/>
          </w:rPr>
          <w:fldChar w:fldCharType="separate"/>
        </w:r>
        <w:r w:rsidR="006B5E60">
          <w:rPr>
            <w:webHidden/>
            <w:color w:val="auto"/>
          </w:rPr>
          <w:t>1</w:t>
        </w:r>
        <w:r w:rsidR="0042497B" w:rsidRPr="0042497B">
          <w:rPr>
            <w:webHidden/>
            <w:color w:val="auto"/>
          </w:rPr>
          <w:fldChar w:fldCharType="end"/>
        </w:r>
      </w:hyperlink>
    </w:p>
    <w:p w:rsidR="0042497B" w:rsidRPr="0042497B" w:rsidRDefault="0042497B">
      <w:pPr>
        <w:pStyle w:val="TOC1"/>
        <w:rPr>
          <w:rFonts w:asciiTheme="minorHAnsi" w:eastAsiaTheme="minorEastAsia" w:hAnsiTheme="minorHAnsi" w:cstheme="minorBidi"/>
          <w:color w:val="auto"/>
          <w:sz w:val="22"/>
          <w:szCs w:val="22"/>
          <w:lang w:eastAsia="en-US"/>
        </w:rPr>
      </w:pPr>
      <w:hyperlink w:anchor="_Toc489961820" w:history="1">
        <w:r w:rsidRPr="0042497B">
          <w:rPr>
            <w:rStyle w:val="Hyperlink"/>
            <w:color w:val="auto"/>
          </w:rPr>
          <w:t>II.</w:t>
        </w:r>
        <w:r w:rsidRPr="0042497B">
          <w:rPr>
            <w:rFonts w:asciiTheme="minorHAnsi" w:eastAsiaTheme="minorEastAsia" w:hAnsiTheme="minorHAnsi" w:cstheme="minorBidi"/>
            <w:color w:val="auto"/>
            <w:sz w:val="22"/>
            <w:szCs w:val="22"/>
            <w:lang w:eastAsia="en-US"/>
          </w:rPr>
          <w:tab/>
        </w:r>
        <w:r w:rsidRPr="0042497B">
          <w:rPr>
            <w:rStyle w:val="Hyperlink"/>
            <w:color w:val="auto"/>
          </w:rPr>
          <w:t>COMPARISON BETWEEN PSE’S REVENUE DEFICIENCY AND OTHER PARTIES’ REVENUE DEFICIENCIES/SURPLUSES</w:t>
        </w:r>
        <w:r w:rsidRPr="0042497B">
          <w:rPr>
            <w:webHidden/>
            <w:color w:val="auto"/>
          </w:rPr>
          <w:tab/>
        </w:r>
        <w:r w:rsidRPr="0042497B">
          <w:rPr>
            <w:webHidden/>
            <w:color w:val="auto"/>
          </w:rPr>
          <w:fldChar w:fldCharType="begin"/>
        </w:r>
        <w:r w:rsidRPr="0042497B">
          <w:rPr>
            <w:webHidden/>
            <w:color w:val="auto"/>
          </w:rPr>
          <w:instrText xml:space="preserve"> PAGEREF _Toc489961820 \h </w:instrText>
        </w:r>
        <w:r w:rsidRPr="0042497B">
          <w:rPr>
            <w:webHidden/>
            <w:color w:val="auto"/>
          </w:rPr>
        </w:r>
        <w:r w:rsidRPr="0042497B">
          <w:rPr>
            <w:webHidden/>
            <w:color w:val="auto"/>
          </w:rPr>
          <w:fldChar w:fldCharType="separate"/>
        </w:r>
        <w:r w:rsidR="006B5E60">
          <w:rPr>
            <w:webHidden/>
            <w:color w:val="auto"/>
          </w:rPr>
          <w:t>2</w:t>
        </w:r>
        <w:r w:rsidRPr="0042497B">
          <w:rPr>
            <w:webHidden/>
            <w:color w:val="auto"/>
          </w:rPr>
          <w:fldChar w:fldCharType="end"/>
        </w:r>
      </w:hyperlink>
    </w:p>
    <w:p w:rsidR="0042497B" w:rsidRPr="0042497B" w:rsidRDefault="0042497B">
      <w:pPr>
        <w:pStyle w:val="TOC1"/>
        <w:rPr>
          <w:rFonts w:asciiTheme="minorHAnsi" w:eastAsiaTheme="minorEastAsia" w:hAnsiTheme="minorHAnsi" w:cstheme="minorBidi"/>
          <w:color w:val="auto"/>
          <w:sz w:val="22"/>
          <w:szCs w:val="22"/>
          <w:lang w:eastAsia="en-US"/>
        </w:rPr>
      </w:pPr>
      <w:hyperlink w:anchor="_Toc489961821" w:history="1">
        <w:r w:rsidRPr="0042497B">
          <w:rPr>
            <w:rStyle w:val="Hyperlink"/>
            <w:color w:val="auto"/>
          </w:rPr>
          <w:t>III.</w:t>
        </w:r>
        <w:r w:rsidRPr="0042497B">
          <w:rPr>
            <w:rFonts w:asciiTheme="minorHAnsi" w:eastAsiaTheme="minorEastAsia" w:hAnsiTheme="minorHAnsi" w:cstheme="minorBidi"/>
            <w:color w:val="auto"/>
            <w:sz w:val="22"/>
            <w:szCs w:val="22"/>
            <w:lang w:eastAsia="en-US"/>
          </w:rPr>
          <w:tab/>
        </w:r>
        <w:r w:rsidRPr="0042497B">
          <w:rPr>
            <w:rStyle w:val="Hyperlink"/>
            <w:color w:val="auto"/>
          </w:rPr>
          <w:t>NATURAL GAS AND COMMON ADJUSTMENTS THAT ARE UNCONTESTED BETWEEN PSE AND OTHER PARTIES</w:t>
        </w:r>
        <w:r w:rsidRPr="0042497B">
          <w:rPr>
            <w:webHidden/>
            <w:color w:val="auto"/>
          </w:rPr>
          <w:tab/>
        </w:r>
        <w:r w:rsidRPr="0042497B">
          <w:rPr>
            <w:webHidden/>
            <w:color w:val="auto"/>
          </w:rPr>
          <w:fldChar w:fldCharType="begin"/>
        </w:r>
        <w:r w:rsidRPr="0042497B">
          <w:rPr>
            <w:webHidden/>
            <w:color w:val="auto"/>
          </w:rPr>
          <w:instrText xml:space="preserve"> PAGEREF _Toc489961821 \h </w:instrText>
        </w:r>
        <w:r w:rsidRPr="0042497B">
          <w:rPr>
            <w:webHidden/>
            <w:color w:val="auto"/>
          </w:rPr>
        </w:r>
        <w:r w:rsidRPr="0042497B">
          <w:rPr>
            <w:webHidden/>
            <w:color w:val="auto"/>
          </w:rPr>
          <w:fldChar w:fldCharType="separate"/>
        </w:r>
        <w:r w:rsidR="006B5E60">
          <w:rPr>
            <w:webHidden/>
            <w:color w:val="auto"/>
          </w:rPr>
          <w:t>5</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2" w:history="1">
        <w:r w:rsidRPr="0042497B">
          <w:rPr>
            <w:rStyle w:val="Hyperlink"/>
            <w:color w:val="auto"/>
          </w:rPr>
          <w:t>A.</w:t>
        </w:r>
        <w:r w:rsidRPr="0042497B">
          <w:rPr>
            <w:rFonts w:asciiTheme="minorHAnsi" w:eastAsiaTheme="minorEastAsia" w:hAnsiTheme="minorHAnsi" w:cstheme="minorBidi"/>
            <w:color w:val="auto"/>
            <w:sz w:val="22"/>
            <w:szCs w:val="22"/>
            <w:lang w:eastAsia="en-US"/>
          </w:rPr>
          <w:tab/>
        </w:r>
        <w:r w:rsidRPr="0042497B">
          <w:rPr>
            <w:rStyle w:val="Hyperlink"/>
            <w:color w:val="auto"/>
          </w:rPr>
          <w:t>Tax Benefit of Proforma Interest, Adjustment KJB-20.05 and SEF-15.05</w:t>
        </w:r>
        <w:r w:rsidRPr="0042497B">
          <w:rPr>
            <w:webHidden/>
            <w:color w:val="auto"/>
          </w:rPr>
          <w:tab/>
        </w:r>
        <w:r w:rsidRPr="0042497B">
          <w:rPr>
            <w:webHidden/>
            <w:color w:val="auto"/>
          </w:rPr>
          <w:fldChar w:fldCharType="begin"/>
        </w:r>
        <w:r w:rsidRPr="0042497B">
          <w:rPr>
            <w:webHidden/>
            <w:color w:val="auto"/>
          </w:rPr>
          <w:instrText xml:space="preserve"> PAGEREF _Toc489961822 \h </w:instrText>
        </w:r>
        <w:r w:rsidRPr="0042497B">
          <w:rPr>
            <w:webHidden/>
            <w:color w:val="auto"/>
          </w:rPr>
        </w:r>
        <w:r w:rsidRPr="0042497B">
          <w:rPr>
            <w:webHidden/>
            <w:color w:val="auto"/>
          </w:rPr>
          <w:fldChar w:fldCharType="separate"/>
        </w:r>
        <w:r w:rsidR="006B5E60">
          <w:rPr>
            <w:webHidden/>
            <w:color w:val="auto"/>
          </w:rPr>
          <w:t>6</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3" w:history="1">
        <w:r w:rsidRPr="0042497B">
          <w:rPr>
            <w:rStyle w:val="Hyperlink"/>
            <w:color w:val="auto"/>
          </w:rPr>
          <w:t>B.</w:t>
        </w:r>
        <w:r w:rsidRPr="0042497B">
          <w:rPr>
            <w:rFonts w:asciiTheme="minorHAnsi" w:eastAsiaTheme="minorEastAsia" w:hAnsiTheme="minorHAnsi" w:cstheme="minorBidi"/>
            <w:color w:val="auto"/>
            <w:sz w:val="22"/>
            <w:szCs w:val="22"/>
            <w:lang w:eastAsia="en-US"/>
          </w:rPr>
          <w:tab/>
        </w:r>
        <w:r w:rsidRPr="0042497B">
          <w:rPr>
            <w:rStyle w:val="Hyperlink"/>
            <w:color w:val="auto"/>
          </w:rPr>
          <w:t>Payment Processing Costs, Adjustment KJB-20.20 and SEF-15.20</w:t>
        </w:r>
        <w:r w:rsidRPr="0042497B">
          <w:rPr>
            <w:webHidden/>
            <w:color w:val="auto"/>
          </w:rPr>
          <w:tab/>
        </w:r>
        <w:r w:rsidRPr="0042497B">
          <w:rPr>
            <w:webHidden/>
            <w:color w:val="auto"/>
          </w:rPr>
          <w:fldChar w:fldCharType="begin"/>
        </w:r>
        <w:r w:rsidRPr="0042497B">
          <w:rPr>
            <w:webHidden/>
            <w:color w:val="auto"/>
          </w:rPr>
          <w:instrText xml:space="preserve"> PAGEREF _Toc489961823 \h </w:instrText>
        </w:r>
        <w:r w:rsidRPr="0042497B">
          <w:rPr>
            <w:webHidden/>
            <w:color w:val="auto"/>
          </w:rPr>
        </w:r>
        <w:r w:rsidRPr="0042497B">
          <w:rPr>
            <w:webHidden/>
            <w:color w:val="auto"/>
          </w:rPr>
          <w:fldChar w:fldCharType="separate"/>
        </w:r>
        <w:r w:rsidR="006B5E60">
          <w:rPr>
            <w:webHidden/>
            <w:color w:val="auto"/>
          </w:rPr>
          <w:t>6</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4" w:history="1">
        <w:r w:rsidRPr="0042497B">
          <w:rPr>
            <w:rStyle w:val="Hyperlink"/>
            <w:color w:val="auto"/>
          </w:rPr>
          <w:t>C.</w:t>
        </w:r>
        <w:r w:rsidRPr="0042497B">
          <w:rPr>
            <w:rFonts w:asciiTheme="minorHAnsi" w:eastAsiaTheme="minorEastAsia" w:hAnsiTheme="minorHAnsi" w:cstheme="minorBidi"/>
            <w:color w:val="auto"/>
            <w:sz w:val="22"/>
            <w:szCs w:val="22"/>
            <w:lang w:eastAsia="en-US"/>
          </w:rPr>
          <w:tab/>
        </w:r>
        <w:r w:rsidRPr="0042497B">
          <w:rPr>
            <w:rStyle w:val="Hyperlink"/>
            <w:color w:val="auto"/>
          </w:rPr>
          <w:t>Changes by PSE at Supplemental Ignored by ICNU and NWIGU</w:t>
        </w:r>
        <w:r w:rsidRPr="0042497B">
          <w:rPr>
            <w:webHidden/>
            <w:color w:val="auto"/>
          </w:rPr>
          <w:tab/>
        </w:r>
        <w:r w:rsidRPr="0042497B">
          <w:rPr>
            <w:webHidden/>
            <w:color w:val="auto"/>
          </w:rPr>
          <w:fldChar w:fldCharType="begin"/>
        </w:r>
        <w:r w:rsidRPr="0042497B">
          <w:rPr>
            <w:webHidden/>
            <w:color w:val="auto"/>
          </w:rPr>
          <w:instrText xml:space="preserve"> PAGEREF _Toc489961824 \h </w:instrText>
        </w:r>
        <w:r w:rsidRPr="0042497B">
          <w:rPr>
            <w:webHidden/>
            <w:color w:val="auto"/>
          </w:rPr>
        </w:r>
        <w:r w:rsidRPr="0042497B">
          <w:rPr>
            <w:webHidden/>
            <w:color w:val="auto"/>
          </w:rPr>
          <w:fldChar w:fldCharType="separate"/>
        </w:r>
        <w:r w:rsidR="006B5E60">
          <w:rPr>
            <w:webHidden/>
            <w:color w:val="auto"/>
          </w:rPr>
          <w:t>7</w:t>
        </w:r>
        <w:r w:rsidRPr="0042497B">
          <w:rPr>
            <w:webHidden/>
            <w:color w:val="auto"/>
          </w:rPr>
          <w:fldChar w:fldCharType="end"/>
        </w:r>
      </w:hyperlink>
    </w:p>
    <w:p w:rsidR="0042497B" w:rsidRPr="0042497B" w:rsidRDefault="0042497B">
      <w:pPr>
        <w:pStyle w:val="TOC1"/>
        <w:rPr>
          <w:rFonts w:asciiTheme="minorHAnsi" w:eastAsiaTheme="minorEastAsia" w:hAnsiTheme="minorHAnsi" w:cstheme="minorBidi"/>
          <w:color w:val="auto"/>
          <w:sz w:val="22"/>
          <w:szCs w:val="22"/>
          <w:lang w:eastAsia="en-US"/>
        </w:rPr>
      </w:pPr>
      <w:hyperlink w:anchor="_Toc489961825" w:history="1">
        <w:r w:rsidRPr="0042497B">
          <w:rPr>
            <w:rStyle w:val="Hyperlink"/>
            <w:color w:val="auto"/>
          </w:rPr>
          <w:t>IV.</w:t>
        </w:r>
        <w:r w:rsidRPr="0042497B">
          <w:rPr>
            <w:rFonts w:asciiTheme="minorHAnsi" w:eastAsiaTheme="minorEastAsia" w:hAnsiTheme="minorHAnsi" w:cstheme="minorBidi"/>
            <w:color w:val="auto"/>
            <w:sz w:val="22"/>
            <w:szCs w:val="22"/>
            <w:lang w:eastAsia="en-US"/>
          </w:rPr>
          <w:tab/>
        </w:r>
        <w:r w:rsidRPr="0042497B">
          <w:rPr>
            <w:rStyle w:val="Hyperlink"/>
            <w:color w:val="auto"/>
          </w:rPr>
          <w:t>CERTAIN COMMON CONTESTED ADJUSTMENTS</w:t>
        </w:r>
        <w:r w:rsidRPr="0042497B">
          <w:rPr>
            <w:webHidden/>
            <w:color w:val="auto"/>
          </w:rPr>
          <w:tab/>
        </w:r>
        <w:r w:rsidRPr="0042497B">
          <w:rPr>
            <w:webHidden/>
            <w:color w:val="auto"/>
          </w:rPr>
          <w:fldChar w:fldCharType="begin"/>
        </w:r>
        <w:r w:rsidRPr="0042497B">
          <w:rPr>
            <w:webHidden/>
            <w:color w:val="auto"/>
          </w:rPr>
          <w:instrText xml:space="preserve"> PAGEREF _Toc489961825 \h </w:instrText>
        </w:r>
        <w:r w:rsidRPr="0042497B">
          <w:rPr>
            <w:webHidden/>
            <w:color w:val="auto"/>
          </w:rPr>
        </w:r>
        <w:r w:rsidRPr="0042497B">
          <w:rPr>
            <w:webHidden/>
            <w:color w:val="auto"/>
          </w:rPr>
          <w:fldChar w:fldCharType="separate"/>
        </w:r>
        <w:r w:rsidR="006B5E60">
          <w:rPr>
            <w:webHidden/>
            <w:color w:val="auto"/>
          </w:rPr>
          <w:t>8</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6" w:history="1">
        <w:r w:rsidRPr="0042497B">
          <w:rPr>
            <w:rStyle w:val="Hyperlink"/>
            <w:color w:val="auto"/>
          </w:rPr>
          <w:t>A.</w:t>
        </w:r>
        <w:r w:rsidRPr="0042497B">
          <w:rPr>
            <w:rFonts w:asciiTheme="minorHAnsi" w:eastAsiaTheme="minorEastAsia" w:hAnsiTheme="minorHAnsi" w:cstheme="minorBidi"/>
            <w:color w:val="auto"/>
            <w:sz w:val="22"/>
            <w:szCs w:val="22"/>
            <w:lang w:eastAsia="en-US"/>
          </w:rPr>
          <w:tab/>
        </w:r>
        <w:r w:rsidRPr="0042497B">
          <w:rPr>
            <w:rStyle w:val="Hyperlink"/>
            <w:color w:val="auto"/>
          </w:rPr>
          <w:t>Temperature Normalization, Adjustment KJB-20.02 and SEF-15.02</w:t>
        </w:r>
        <w:r w:rsidRPr="0042497B">
          <w:rPr>
            <w:webHidden/>
            <w:color w:val="auto"/>
          </w:rPr>
          <w:tab/>
        </w:r>
        <w:r w:rsidRPr="0042497B">
          <w:rPr>
            <w:webHidden/>
            <w:color w:val="auto"/>
          </w:rPr>
          <w:fldChar w:fldCharType="begin"/>
        </w:r>
        <w:r w:rsidRPr="0042497B">
          <w:rPr>
            <w:webHidden/>
            <w:color w:val="auto"/>
          </w:rPr>
          <w:instrText xml:space="preserve"> PAGEREF _Toc489961826 \h </w:instrText>
        </w:r>
        <w:r w:rsidRPr="0042497B">
          <w:rPr>
            <w:webHidden/>
            <w:color w:val="auto"/>
          </w:rPr>
        </w:r>
        <w:r w:rsidRPr="0042497B">
          <w:rPr>
            <w:webHidden/>
            <w:color w:val="auto"/>
          </w:rPr>
          <w:fldChar w:fldCharType="separate"/>
        </w:r>
        <w:r w:rsidR="006B5E60">
          <w:rPr>
            <w:webHidden/>
            <w:color w:val="auto"/>
          </w:rPr>
          <w:t>9</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7" w:history="1">
        <w:r w:rsidRPr="0042497B">
          <w:rPr>
            <w:rStyle w:val="Hyperlink"/>
            <w:color w:val="auto"/>
          </w:rPr>
          <w:t>B.</w:t>
        </w:r>
        <w:r w:rsidRPr="0042497B">
          <w:rPr>
            <w:rFonts w:asciiTheme="minorHAnsi" w:eastAsiaTheme="minorEastAsia" w:hAnsiTheme="minorHAnsi" w:cstheme="minorBidi"/>
            <w:color w:val="auto"/>
            <w:sz w:val="22"/>
            <w:szCs w:val="22"/>
            <w:lang w:eastAsia="en-US"/>
          </w:rPr>
          <w:tab/>
        </w:r>
        <w:r w:rsidRPr="0042497B">
          <w:rPr>
            <w:rStyle w:val="Hyperlink"/>
            <w:color w:val="auto"/>
          </w:rPr>
          <w:t>Depreciation Study, Adjustment KJB-20.06 and SEF-15.06</w:t>
        </w:r>
        <w:r w:rsidRPr="0042497B">
          <w:rPr>
            <w:webHidden/>
            <w:color w:val="auto"/>
          </w:rPr>
          <w:tab/>
        </w:r>
        <w:r w:rsidRPr="0042497B">
          <w:rPr>
            <w:webHidden/>
            <w:color w:val="auto"/>
          </w:rPr>
          <w:fldChar w:fldCharType="begin"/>
        </w:r>
        <w:r w:rsidRPr="0042497B">
          <w:rPr>
            <w:webHidden/>
            <w:color w:val="auto"/>
          </w:rPr>
          <w:instrText xml:space="preserve"> PAGEREF _Toc489961827 \h </w:instrText>
        </w:r>
        <w:r w:rsidRPr="0042497B">
          <w:rPr>
            <w:webHidden/>
            <w:color w:val="auto"/>
          </w:rPr>
        </w:r>
        <w:r w:rsidRPr="0042497B">
          <w:rPr>
            <w:webHidden/>
            <w:color w:val="auto"/>
          </w:rPr>
          <w:fldChar w:fldCharType="separate"/>
        </w:r>
        <w:r w:rsidR="006B5E60">
          <w:rPr>
            <w:webHidden/>
            <w:color w:val="auto"/>
          </w:rPr>
          <w:t>9</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8" w:history="1">
        <w:r w:rsidRPr="0042497B">
          <w:rPr>
            <w:rStyle w:val="Hyperlink"/>
            <w:color w:val="auto"/>
          </w:rPr>
          <w:t>C.</w:t>
        </w:r>
        <w:r w:rsidRPr="0042497B">
          <w:rPr>
            <w:rFonts w:asciiTheme="minorHAnsi" w:eastAsiaTheme="minorEastAsia" w:hAnsiTheme="minorHAnsi" w:cstheme="minorBidi"/>
            <w:color w:val="auto"/>
            <w:sz w:val="22"/>
            <w:szCs w:val="22"/>
            <w:lang w:eastAsia="en-US"/>
          </w:rPr>
          <w:tab/>
        </w:r>
        <w:r w:rsidRPr="0042497B">
          <w:rPr>
            <w:rStyle w:val="Hyperlink"/>
            <w:color w:val="auto"/>
          </w:rPr>
          <w:t>Rate Case Expenses, Adjustment KJB-20.12 and SEF-15.12</w:t>
        </w:r>
        <w:r w:rsidRPr="0042497B">
          <w:rPr>
            <w:webHidden/>
            <w:color w:val="auto"/>
          </w:rPr>
          <w:tab/>
        </w:r>
        <w:r w:rsidRPr="0042497B">
          <w:rPr>
            <w:webHidden/>
            <w:color w:val="auto"/>
          </w:rPr>
          <w:fldChar w:fldCharType="begin"/>
        </w:r>
        <w:r w:rsidRPr="0042497B">
          <w:rPr>
            <w:webHidden/>
            <w:color w:val="auto"/>
          </w:rPr>
          <w:instrText xml:space="preserve"> PAGEREF _Toc489961828 \h </w:instrText>
        </w:r>
        <w:r w:rsidRPr="0042497B">
          <w:rPr>
            <w:webHidden/>
            <w:color w:val="auto"/>
          </w:rPr>
        </w:r>
        <w:r w:rsidRPr="0042497B">
          <w:rPr>
            <w:webHidden/>
            <w:color w:val="auto"/>
          </w:rPr>
          <w:fldChar w:fldCharType="separate"/>
        </w:r>
        <w:r w:rsidR="006B5E60">
          <w:rPr>
            <w:webHidden/>
            <w:color w:val="auto"/>
          </w:rPr>
          <w:t>10</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29" w:history="1">
        <w:r w:rsidRPr="0042497B">
          <w:rPr>
            <w:rStyle w:val="Hyperlink"/>
            <w:color w:val="auto"/>
          </w:rPr>
          <w:t>D.</w:t>
        </w:r>
        <w:r w:rsidRPr="0042497B">
          <w:rPr>
            <w:rFonts w:asciiTheme="minorHAnsi" w:eastAsiaTheme="minorEastAsia" w:hAnsiTheme="minorHAnsi" w:cstheme="minorBidi"/>
            <w:color w:val="auto"/>
            <w:sz w:val="22"/>
            <w:szCs w:val="22"/>
            <w:lang w:eastAsia="en-US"/>
          </w:rPr>
          <w:tab/>
        </w:r>
        <w:r w:rsidRPr="0042497B">
          <w:rPr>
            <w:rStyle w:val="Hyperlink"/>
            <w:color w:val="auto"/>
          </w:rPr>
          <w:t>Deferred Gains and Losses on Property Sales, Adjustment SEF-15.13</w:t>
        </w:r>
        <w:r w:rsidRPr="0042497B">
          <w:rPr>
            <w:webHidden/>
            <w:color w:val="auto"/>
          </w:rPr>
          <w:tab/>
        </w:r>
        <w:r w:rsidRPr="0042497B">
          <w:rPr>
            <w:webHidden/>
            <w:color w:val="auto"/>
          </w:rPr>
          <w:fldChar w:fldCharType="begin"/>
        </w:r>
        <w:r w:rsidRPr="0042497B">
          <w:rPr>
            <w:webHidden/>
            <w:color w:val="auto"/>
          </w:rPr>
          <w:instrText xml:space="preserve"> PAGEREF _Toc489961829 \h </w:instrText>
        </w:r>
        <w:r w:rsidRPr="0042497B">
          <w:rPr>
            <w:webHidden/>
            <w:color w:val="auto"/>
          </w:rPr>
        </w:r>
        <w:r w:rsidRPr="0042497B">
          <w:rPr>
            <w:webHidden/>
            <w:color w:val="auto"/>
          </w:rPr>
          <w:fldChar w:fldCharType="separate"/>
        </w:r>
        <w:r w:rsidR="006B5E60">
          <w:rPr>
            <w:webHidden/>
            <w:color w:val="auto"/>
          </w:rPr>
          <w:t>13</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30" w:history="1">
        <w:r w:rsidRPr="0042497B">
          <w:rPr>
            <w:rStyle w:val="Hyperlink"/>
            <w:color w:val="auto"/>
          </w:rPr>
          <w:t>E.</w:t>
        </w:r>
        <w:r w:rsidRPr="0042497B">
          <w:rPr>
            <w:rFonts w:asciiTheme="minorHAnsi" w:eastAsiaTheme="minorEastAsia" w:hAnsiTheme="minorHAnsi" w:cstheme="minorBidi"/>
            <w:color w:val="auto"/>
            <w:sz w:val="22"/>
            <w:szCs w:val="22"/>
            <w:lang w:eastAsia="en-US"/>
          </w:rPr>
          <w:tab/>
        </w:r>
        <w:r w:rsidRPr="0042497B">
          <w:rPr>
            <w:rStyle w:val="Hyperlink"/>
            <w:color w:val="auto"/>
          </w:rPr>
          <w:t>Pension Plan, Adjustment KJB-20.16 and SEF-15.16</w:t>
        </w:r>
        <w:r w:rsidRPr="0042497B">
          <w:rPr>
            <w:webHidden/>
            <w:color w:val="auto"/>
          </w:rPr>
          <w:tab/>
        </w:r>
        <w:r w:rsidRPr="0042497B">
          <w:rPr>
            <w:webHidden/>
            <w:color w:val="auto"/>
          </w:rPr>
          <w:fldChar w:fldCharType="begin"/>
        </w:r>
        <w:r w:rsidRPr="0042497B">
          <w:rPr>
            <w:webHidden/>
            <w:color w:val="auto"/>
          </w:rPr>
          <w:instrText xml:space="preserve"> PAGEREF _Toc489961830 \h </w:instrText>
        </w:r>
        <w:r w:rsidRPr="0042497B">
          <w:rPr>
            <w:webHidden/>
            <w:color w:val="auto"/>
          </w:rPr>
        </w:r>
        <w:r w:rsidRPr="0042497B">
          <w:rPr>
            <w:webHidden/>
            <w:color w:val="auto"/>
          </w:rPr>
          <w:fldChar w:fldCharType="separate"/>
        </w:r>
        <w:r w:rsidR="006B5E60">
          <w:rPr>
            <w:webHidden/>
            <w:color w:val="auto"/>
          </w:rPr>
          <w:t>18</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31" w:history="1">
        <w:r w:rsidRPr="0042497B">
          <w:rPr>
            <w:rStyle w:val="Hyperlink"/>
            <w:color w:val="auto"/>
          </w:rPr>
          <w:t>F.</w:t>
        </w:r>
        <w:r w:rsidRPr="0042497B">
          <w:rPr>
            <w:rFonts w:asciiTheme="minorHAnsi" w:eastAsiaTheme="minorEastAsia" w:hAnsiTheme="minorHAnsi" w:cstheme="minorBidi"/>
            <w:color w:val="auto"/>
            <w:sz w:val="22"/>
            <w:szCs w:val="22"/>
            <w:lang w:eastAsia="en-US"/>
          </w:rPr>
          <w:tab/>
        </w:r>
        <w:r w:rsidRPr="0042497B">
          <w:rPr>
            <w:rStyle w:val="Hyperlink"/>
            <w:color w:val="auto"/>
          </w:rPr>
          <w:t>Environmental Remediation, Adjustment KJB-20.19 and SEF-15.19</w:t>
        </w:r>
        <w:r w:rsidRPr="0042497B">
          <w:rPr>
            <w:webHidden/>
            <w:color w:val="auto"/>
          </w:rPr>
          <w:tab/>
        </w:r>
        <w:r w:rsidRPr="0042497B">
          <w:rPr>
            <w:webHidden/>
            <w:color w:val="auto"/>
          </w:rPr>
          <w:fldChar w:fldCharType="begin"/>
        </w:r>
        <w:r w:rsidRPr="0042497B">
          <w:rPr>
            <w:webHidden/>
            <w:color w:val="auto"/>
          </w:rPr>
          <w:instrText xml:space="preserve"> PAGEREF _Toc489961831 \h </w:instrText>
        </w:r>
        <w:r w:rsidRPr="0042497B">
          <w:rPr>
            <w:webHidden/>
            <w:color w:val="auto"/>
          </w:rPr>
        </w:r>
        <w:r w:rsidRPr="0042497B">
          <w:rPr>
            <w:webHidden/>
            <w:color w:val="auto"/>
          </w:rPr>
          <w:fldChar w:fldCharType="separate"/>
        </w:r>
        <w:r w:rsidR="006B5E60">
          <w:rPr>
            <w:webHidden/>
            <w:color w:val="auto"/>
          </w:rPr>
          <w:t>18</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32" w:history="1">
        <w:r w:rsidRPr="0042497B">
          <w:rPr>
            <w:rStyle w:val="Hyperlink"/>
            <w:color w:val="auto"/>
          </w:rPr>
          <w:t>G.</w:t>
        </w:r>
        <w:r w:rsidRPr="0042497B">
          <w:rPr>
            <w:rFonts w:asciiTheme="minorHAnsi" w:eastAsiaTheme="minorEastAsia" w:hAnsiTheme="minorHAnsi" w:cstheme="minorBidi"/>
            <w:color w:val="auto"/>
            <w:sz w:val="22"/>
            <w:szCs w:val="22"/>
            <w:lang w:eastAsia="en-US"/>
          </w:rPr>
          <w:tab/>
        </w:r>
        <w:r w:rsidRPr="0042497B">
          <w:rPr>
            <w:rStyle w:val="Hyperlink"/>
            <w:color w:val="auto"/>
          </w:rPr>
          <w:t>Working Capital, Adjustment KJB-20.23 and SEF-15.23</w:t>
        </w:r>
        <w:r w:rsidRPr="0042497B">
          <w:rPr>
            <w:webHidden/>
            <w:color w:val="auto"/>
          </w:rPr>
          <w:tab/>
        </w:r>
        <w:r w:rsidRPr="0042497B">
          <w:rPr>
            <w:webHidden/>
            <w:color w:val="auto"/>
          </w:rPr>
          <w:fldChar w:fldCharType="begin"/>
        </w:r>
        <w:r w:rsidRPr="0042497B">
          <w:rPr>
            <w:webHidden/>
            <w:color w:val="auto"/>
          </w:rPr>
          <w:instrText xml:space="preserve"> PAGEREF _Toc489961832 \h </w:instrText>
        </w:r>
        <w:r w:rsidRPr="0042497B">
          <w:rPr>
            <w:webHidden/>
            <w:color w:val="auto"/>
          </w:rPr>
        </w:r>
        <w:r w:rsidRPr="0042497B">
          <w:rPr>
            <w:webHidden/>
            <w:color w:val="auto"/>
          </w:rPr>
          <w:fldChar w:fldCharType="separate"/>
        </w:r>
        <w:r w:rsidR="006B5E60">
          <w:rPr>
            <w:webHidden/>
            <w:color w:val="auto"/>
          </w:rPr>
          <w:t>39</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33" w:history="1">
        <w:r w:rsidRPr="0042497B">
          <w:rPr>
            <w:rStyle w:val="Hyperlink"/>
            <w:color w:val="auto"/>
          </w:rPr>
          <w:t>H.</w:t>
        </w:r>
        <w:r w:rsidRPr="0042497B">
          <w:rPr>
            <w:rFonts w:asciiTheme="minorHAnsi" w:eastAsiaTheme="minorEastAsia" w:hAnsiTheme="minorHAnsi" w:cstheme="minorBidi"/>
            <w:color w:val="auto"/>
            <w:sz w:val="22"/>
            <w:szCs w:val="22"/>
            <w:lang w:eastAsia="en-US"/>
          </w:rPr>
          <w:tab/>
        </w:r>
        <w:r w:rsidRPr="0042497B">
          <w:rPr>
            <w:rStyle w:val="Hyperlink"/>
            <w:color w:val="auto"/>
          </w:rPr>
          <w:t xml:space="preserve">Liquefied Natural Gas (“LNG”) and Leasing Costs, </w:t>
        </w:r>
        <w:r w:rsidRPr="0042497B">
          <w:rPr>
            <w:rStyle w:val="Hyperlink"/>
            <w:bCs/>
            <w:color w:val="auto"/>
          </w:rPr>
          <w:t xml:space="preserve">Commission </w:t>
        </w:r>
        <w:r w:rsidRPr="0042497B">
          <w:rPr>
            <w:rStyle w:val="Hyperlink"/>
            <w:color w:val="auto"/>
          </w:rPr>
          <w:t>Staff Adjustment 13.24E and 11.24G</w:t>
        </w:r>
        <w:r w:rsidRPr="0042497B">
          <w:rPr>
            <w:webHidden/>
            <w:color w:val="auto"/>
          </w:rPr>
          <w:tab/>
        </w:r>
        <w:r w:rsidRPr="0042497B">
          <w:rPr>
            <w:webHidden/>
            <w:color w:val="auto"/>
          </w:rPr>
          <w:fldChar w:fldCharType="begin"/>
        </w:r>
        <w:r w:rsidRPr="0042497B">
          <w:rPr>
            <w:webHidden/>
            <w:color w:val="auto"/>
          </w:rPr>
          <w:instrText xml:space="preserve"> PAGEREF _Toc489961833 \h </w:instrText>
        </w:r>
        <w:r w:rsidRPr="0042497B">
          <w:rPr>
            <w:webHidden/>
            <w:color w:val="auto"/>
          </w:rPr>
        </w:r>
        <w:r w:rsidRPr="0042497B">
          <w:rPr>
            <w:webHidden/>
            <w:color w:val="auto"/>
          </w:rPr>
          <w:fldChar w:fldCharType="separate"/>
        </w:r>
        <w:r w:rsidR="006B5E60">
          <w:rPr>
            <w:webHidden/>
            <w:color w:val="auto"/>
          </w:rPr>
          <w:t>50</w:t>
        </w:r>
        <w:r w:rsidRPr="0042497B">
          <w:rPr>
            <w:webHidden/>
            <w:color w:val="auto"/>
          </w:rPr>
          <w:fldChar w:fldCharType="end"/>
        </w:r>
      </w:hyperlink>
    </w:p>
    <w:p w:rsidR="0042497B" w:rsidRPr="0042497B" w:rsidRDefault="0042497B">
      <w:pPr>
        <w:pStyle w:val="TOC3"/>
        <w:rPr>
          <w:rFonts w:asciiTheme="minorHAnsi" w:eastAsiaTheme="minorEastAsia" w:hAnsiTheme="minorHAnsi" w:cstheme="minorBidi"/>
          <w:color w:val="auto"/>
          <w:sz w:val="22"/>
          <w:szCs w:val="22"/>
          <w:lang w:eastAsia="en-US"/>
        </w:rPr>
      </w:pPr>
      <w:hyperlink w:anchor="_Toc489961834" w:history="1">
        <w:r w:rsidRPr="0042497B">
          <w:rPr>
            <w:rStyle w:val="Hyperlink"/>
            <w:color w:val="auto"/>
          </w:rPr>
          <w:t>1.</w:t>
        </w:r>
        <w:r w:rsidRPr="0042497B">
          <w:rPr>
            <w:rFonts w:asciiTheme="minorHAnsi" w:eastAsiaTheme="minorEastAsia" w:hAnsiTheme="minorHAnsi" w:cstheme="minorBidi"/>
            <w:color w:val="auto"/>
            <w:sz w:val="22"/>
            <w:szCs w:val="22"/>
            <w:lang w:eastAsia="en-US"/>
          </w:rPr>
          <w:tab/>
        </w:r>
        <w:r w:rsidRPr="0042497B">
          <w:rPr>
            <w:rStyle w:val="Hyperlink"/>
            <w:color w:val="auto"/>
          </w:rPr>
          <w:t>Leasing Costs:</w:t>
        </w:r>
        <w:r w:rsidRPr="0042497B">
          <w:rPr>
            <w:webHidden/>
            <w:color w:val="auto"/>
          </w:rPr>
          <w:tab/>
        </w:r>
        <w:r w:rsidRPr="0042497B">
          <w:rPr>
            <w:webHidden/>
            <w:color w:val="auto"/>
          </w:rPr>
          <w:fldChar w:fldCharType="begin"/>
        </w:r>
        <w:r w:rsidRPr="0042497B">
          <w:rPr>
            <w:webHidden/>
            <w:color w:val="auto"/>
          </w:rPr>
          <w:instrText xml:space="preserve"> PAGEREF _Toc489961834 \h </w:instrText>
        </w:r>
        <w:r w:rsidRPr="0042497B">
          <w:rPr>
            <w:webHidden/>
            <w:color w:val="auto"/>
          </w:rPr>
        </w:r>
        <w:r w:rsidRPr="0042497B">
          <w:rPr>
            <w:webHidden/>
            <w:color w:val="auto"/>
          </w:rPr>
          <w:fldChar w:fldCharType="separate"/>
        </w:r>
        <w:r w:rsidR="006B5E60">
          <w:rPr>
            <w:webHidden/>
            <w:color w:val="auto"/>
          </w:rPr>
          <w:t>50</w:t>
        </w:r>
        <w:r w:rsidRPr="0042497B">
          <w:rPr>
            <w:webHidden/>
            <w:color w:val="auto"/>
          </w:rPr>
          <w:fldChar w:fldCharType="end"/>
        </w:r>
      </w:hyperlink>
    </w:p>
    <w:p w:rsidR="0042497B" w:rsidRPr="0042497B" w:rsidRDefault="0042497B">
      <w:pPr>
        <w:pStyle w:val="TOC3"/>
        <w:rPr>
          <w:rFonts w:asciiTheme="minorHAnsi" w:eastAsiaTheme="minorEastAsia" w:hAnsiTheme="minorHAnsi" w:cstheme="minorBidi"/>
          <w:color w:val="auto"/>
          <w:sz w:val="22"/>
          <w:szCs w:val="22"/>
          <w:lang w:eastAsia="en-US"/>
        </w:rPr>
      </w:pPr>
      <w:hyperlink w:anchor="_Toc489961835" w:history="1">
        <w:r w:rsidRPr="0042497B">
          <w:rPr>
            <w:rStyle w:val="Hyperlink"/>
            <w:color w:val="auto"/>
          </w:rPr>
          <w:t>2.</w:t>
        </w:r>
        <w:r w:rsidRPr="0042497B">
          <w:rPr>
            <w:rFonts w:asciiTheme="minorHAnsi" w:eastAsiaTheme="minorEastAsia" w:hAnsiTheme="minorHAnsi" w:cstheme="minorBidi"/>
            <w:color w:val="auto"/>
            <w:sz w:val="22"/>
            <w:szCs w:val="22"/>
            <w:lang w:eastAsia="en-US"/>
          </w:rPr>
          <w:tab/>
        </w:r>
        <w:r w:rsidRPr="0042497B">
          <w:rPr>
            <w:rStyle w:val="Hyperlink"/>
            <w:color w:val="auto"/>
          </w:rPr>
          <w:t>LNG Costs:</w:t>
        </w:r>
        <w:r w:rsidRPr="0042497B">
          <w:rPr>
            <w:webHidden/>
            <w:color w:val="auto"/>
          </w:rPr>
          <w:tab/>
        </w:r>
        <w:r w:rsidRPr="0042497B">
          <w:rPr>
            <w:webHidden/>
            <w:color w:val="auto"/>
          </w:rPr>
          <w:fldChar w:fldCharType="begin"/>
        </w:r>
        <w:r w:rsidRPr="0042497B">
          <w:rPr>
            <w:webHidden/>
            <w:color w:val="auto"/>
          </w:rPr>
          <w:instrText xml:space="preserve"> PAGEREF _Toc489961835 \h </w:instrText>
        </w:r>
        <w:r w:rsidRPr="0042497B">
          <w:rPr>
            <w:webHidden/>
            <w:color w:val="auto"/>
          </w:rPr>
        </w:r>
        <w:r w:rsidRPr="0042497B">
          <w:rPr>
            <w:webHidden/>
            <w:color w:val="auto"/>
          </w:rPr>
          <w:fldChar w:fldCharType="separate"/>
        </w:r>
        <w:r w:rsidR="006B5E60">
          <w:rPr>
            <w:webHidden/>
            <w:color w:val="auto"/>
          </w:rPr>
          <w:t>54</w:t>
        </w:r>
        <w:r w:rsidRPr="0042497B">
          <w:rPr>
            <w:webHidden/>
            <w:color w:val="auto"/>
          </w:rPr>
          <w:fldChar w:fldCharType="end"/>
        </w:r>
      </w:hyperlink>
    </w:p>
    <w:p w:rsidR="0042497B" w:rsidRPr="0042497B" w:rsidRDefault="0042497B">
      <w:pPr>
        <w:pStyle w:val="TOC2"/>
        <w:rPr>
          <w:rFonts w:asciiTheme="minorHAnsi" w:eastAsiaTheme="minorEastAsia" w:hAnsiTheme="minorHAnsi" w:cstheme="minorBidi"/>
          <w:color w:val="auto"/>
          <w:sz w:val="22"/>
          <w:szCs w:val="22"/>
          <w:lang w:eastAsia="en-US"/>
        </w:rPr>
      </w:pPr>
      <w:hyperlink w:anchor="_Toc489961836" w:history="1">
        <w:r w:rsidRPr="0042497B">
          <w:rPr>
            <w:rStyle w:val="Hyperlink"/>
            <w:color w:val="auto"/>
          </w:rPr>
          <w:t>I.</w:t>
        </w:r>
        <w:r w:rsidRPr="0042497B">
          <w:rPr>
            <w:rFonts w:asciiTheme="minorHAnsi" w:eastAsiaTheme="minorEastAsia" w:hAnsiTheme="minorHAnsi" w:cstheme="minorBidi"/>
            <w:color w:val="auto"/>
            <w:sz w:val="22"/>
            <w:szCs w:val="22"/>
            <w:lang w:eastAsia="en-US"/>
          </w:rPr>
          <w:tab/>
        </w:r>
        <w:r w:rsidRPr="0042497B">
          <w:rPr>
            <w:rStyle w:val="Hyperlink"/>
            <w:color w:val="auto"/>
          </w:rPr>
          <w:t>Greenwood Incident, NWIGU Adjustment IN-5</w:t>
        </w:r>
        <w:r w:rsidRPr="0042497B">
          <w:rPr>
            <w:webHidden/>
            <w:color w:val="auto"/>
          </w:rPr>
          <w:tab/>
        </w:r>
        <w:r w:rsidRPr="0042497B">
          <w:rPr>
            <w:webHidden/>
            <w:color w:val="auto"/>
          </w:rPr>
          <w:fldChar w:fldCharType="begin"/>
        </w:r>
        <w:r w:rsidRPr="0042497B">
          <w:rPr>
            <w:webHidden/>
            <w:color w:val="auto"/>
          </w:rPr>
          <w:instrText xml:space="preserve"> PAGEREF _Toc489961836 \h </w:instrText>
        </w:r>
        <w:r w:rsidRPr="0042497B">
          <w:rPr>
            <w:webHidden/>
            <w:color w:val="auto"/>
          </w:rPr>
        </w:r>
        <w:r w:rsidRPr="0042497B">
          <w:rPr>
            <w:webHidden/>
            <w:color w:val="auto"/>
          </w:rPr>
          <w:fldChar w:fldCharType="separate"/>
        </w:r>
        <w:r w:rsidR="006B5E60">
          <w:rPr>
            <w:webHidden/>
            <w:color w:val="auto"/>
          </w:rPr>
          <w:t>55</w:t>
        </w:r>
        <w:r w:rsidRPr="0042497B">
          <w:rPr>
            <w:webHidden/>
            <w:color w:val="auto"/>
          </w:rPr>
          <w:fldChar w:fldCharType="end"/>
        </w:r>
      </w:hyperlink>
    </w:p>
    <w:p w:rsidR="0042497B" w:rsidRPr="0042497B" w:rsidRDefault="0042497B">
      <w:pPr>
        <w:pStyle w:val="TOC1"/>
        <w:rPr>
          <w:rFonts w:asciiTheme="minorHAnsi" w:eastAsiaTheme="minorEastAsia" w:hAnsiTheme="minorHAnsi" w:cstheme="minorBidi"/>
          <w:color w:val="auto"/>
          <w:sz w:val="22"/>
          <w:szCs w:val="22"/>
          <w:lang w:eastAsia="en-US"/>
        </w:rPr>
      </w:pPr>
      <w:hyperlink w:anchor="_Toc489961837" w:history="1">
        <w:r w:rsidRPr="0042497B">
          <w:rPr>
            <w:rStyle w:val="Hyperlink"/>
            <w:color w:val="auto"/>
          </w:rPr>
          <w:t>V.</w:t>
        </w:r>
        <w:r w:rsidRPr="0042497B">
          <w:rPr>
            <w:rFonts w:asciiTheme="minorHAnsi" w:eastAsiaTheme="minorEastAsia" w:hAnsiTheme="minorHAnsi" w:cstheme="minorBidi"/>
            <w:color w:val="auto"/>
            <w:sz w:val="22"/>
            <w:szCs w:val="22"/>
            <w:lang w:eastAsia="en-US"/>
          </w:rPr>
          <w:tab/>
        </w:r>
        <w:r w:rsidRPr="0042497B">
          <w:rPr>
            <w:rStyle w:val="Hyperlink"/>
            <w:color w:val="auto"/>
          </w:rPr>
          <w:t>CHANGES BY PSE AT REBUTTAL</w:t>
        </w:r>
        <w:r w:rsidRPr="0042497B">
          <w:rPr>
            <w:webHidden/>
            <w:color w:val="auto"/>
          </w:rPr>
          <w:tab/>
        </w:r>
        <w:r w:rsidRPr="0042497B">
          <w:rPr>
            <w:webHidden/>
            <w:color w:val="auto"/>
          </w:rPr>
          <w:fldChar w:fldCharType="begin"/>
        </w:r>
        <w:r w:rsidRPr="0042497B">
          <w:rPr>
            <w:webHidden/>
            <w:color w:val="auto"/>
          </w:rPr>
          <w:instrText xml:space="preserve"> PAGEREF _Toc489961837 \h </w:instrText>
        </w:r>
        <w:r w:rsidRPr="0042497B">
          <w:rPr>
            <w:webHidden/>
            <w:color w:val="auto"/>
          </w:rPr>
        </w:r>
        <w:r w:rsidRPr="0042497B">
          <w:rPr>
            <w:webHidden/>
            <w:color w:val="auto"/>
          </w:rPr>
          <w:fldChar w:fldCharType="separate"/>
        </w:r>
        <w:r w:rsidR="006B5E60">
          <w:rPr>
            <w:webHidden/>
            <w:color w:val="auto"/>
          </w:rPr>
          <w:t>58</w:t>
        </w:r>
        <w:r w:rsidRPr="0042497B">
          <w:rPr>
            <w:webHidden/>
            <w:color w:val="auto"/>
          </w:rPr>
          <w:fldChar w:fldCharType="end"/>
        </w:r>
      </w:hyperlink>
    </w:p>
    <w:p w:rsidR="0042497B" w:rsidRPr="0042497B" w:rsidRDefault="0042497B">
      <w:pPr>
        <w:pStyle w:val="TOC1"/>
        <w:rPr>
          <w:rFonts w:asciiTheme="minorHAnsi" w:eastAsiaTheme="minorEastAsia" w:hAnsiTheme="minorHAnsi" w:cstheme="minorBidi"/>
          <w:color w:val="auto"/>
          <w:sz w:val="22"/>
          <w:szCs w:val="22"/>
          <w:lang w:eastAsia="en-US"/>
        </w:rPr>
      </w:pPr>
      <w:hyperlink w:anchor="_Toc489961838" w:history="1">
        <w:r w:rsidRPr="0042497B">
          <w:rPr>
            <w:rStyle w:val="Hyperlink"/>
            <w:color w:val="auto"/>
          </w:rPr>
          <w:t>VI.</w:t>
        </w:r>
        <w:r w:rsidRPr="0042497B">
          <w:rPr>
            <w:rFonts w:asciiTheme="minorHAnsi" w:eastAsiaTheme="minorEastAsia" w:hAnsiTheme="minorHAnsi" w:cstheme="minorBidi"/>
            <w:color w:val="auto"/>
            <w:sz w:val="22"/>
            <w:szCs w:val="22"/>
            <w:lang w:eastAsia="en-US"/>
          </w:rPr>
          <w:tab/>
        </w:r>
        <w:r w:rsidRPr="0042497B">
          <w:rPr>
            <w:rStyle w:val="Hyperlink"/>
            <w:color w:val="auto"/>
          </w:rPr>
          <w:t>MATERIALITY AND OTHER NON-REVENUE REQUIREMENT ISSUES</w:t>
        </w:r>
        <w:r w:rsidRPr="0042497B">
          <w:rPr>
            <w:webHidden/>
            <w:color w:val="auto"/>
          </w:rPr>
          <w:tab/>
        </w:r>
        <w:r w:rsidRPr="0042497B">
          <w:rPr>
            <w:webHidden/>
            <w:color w:val="auto"/>
          </w:rPr>
          <w:fldChar w:fldCharType="begin"/>
        </w:r>
        <w:r w:rsidRPr="0042497B">
          <w:rPr>
            <w:webHidden/>
            <w:color w:val="auto"/>
          </w:rPr>
          <w:instrText xml:space="preserve"> PAGEREF _Toc489961838 \h </w:instrText>
        </w:r>
        <w:r w:rsidRPr="0042497B">
          <w:rPr>
            <w:webHidden/>
            <w:color w:val="auto"/>
          </w:rPr>
        </w:r>
        <w:r w:rsidRPr="0042497B">
          <w:rPr>
            <w:webHidden/>
            <w:color w:val="auto"/>
          </w:rPr>
          <w:fldChar w:fldCharType="separate"/>
        </w:r>
        <w:r w:rsidR="006B5E60">
          <w:rPr>
            <w:webHidden/>
            <w:color w:val="auto"/>
          </w:rPr>
          <w:t>59</w:t>
        </w:r>
        <w:r w:rsidRPr="0042497B">
          <w:rPr>
            <w:webHidden/>
            <w:color w:val="auto"/>
          </w:rPr>
          <w:fldChar w:fldCharType="end"/>
        </w:r>
      </w:hyperlink>
    </w:p>
    <w:p w:rsidR="00165987" w:rsidRPr="0042497B" w:rsidRDefault="0042497B" w:rsidP="0042497B">
      <w:pPr>
        <w:pStyle w:val="TOC1"/>
        <w:rPr>
          <w:rFonts w:eastAsia="Times New Roman"/>
        </w:rPr>
      </w:pPr>
      <w:hyperlink w:anchor="_Toc489961839" w:history="1">
        <w:r w:rsidRPr="0042497B">
          <w:rPr>
            <w:rStyle w:val="Hyperlink"/>
            <w:color w:val="auto"/>
          </w:rPr>
          <w:t>VII.</w:t>
        </w:r>
        <w:r w:rsidRPr="0042497B">
          <w:rPr>
            <w:rFonts w:asciiTheme="minorHAnsi" w:eastAsiaTheme="minorEastAsia" w:hAnsiTheme="minorHAnsi" w:cstheme="minorBidi"/>
            <w:color w:val="auto"/>
            <w:sz w:val="22"/>
            <w:szCs w:val="22"/>
            <w:lang w:eastAsia="en-US"/>
          </w:rPr>
          <w:tab/>
        </w:r>
        <w:r w:rsidRPr="0042497B">
          <w:rPr>
            <w:rStyle w:val="Hyperlink"/>
            <w:color w:val="auto"/>
          </w:rPr>
          <w:t>CONCLUSION</w:t>
        </w:r>
        <w:r w:rsidRPr="0042497B">
          <w:rPr>
            <w:webHidden/>
            <w:color w:val="auto"/>
          </w:rPr>
          <w:tab/>
        </w:r>
        <w:r w:rsidRPr="0042497B">
          <w:rPr>
            <w:webHidden/>
            <w:color w:val="auto"/>
          </w:rPr>
          <w:fldChar w:fldCharType="begin"/>
        </w:r>
        <w:r w:rsidRPr="0042497B">
          <w:rPr>
            <w:webHidden/>
            <w:color w:val="auto"/>
          </w:rPr>
          <w:instrText xml:space="preserve"> PAGEREF _Toc489961839 \h </w:instrText>
        </w:r>
        <w:r w:rsidRPr="0042497B">
          <w:rPr>
            <w:webHidden/>
            <w:color w:val="auto"/>
          </w:rPr>
        </w:r>
        <w:r w:rsidRPr="0042497B">
          <w:rPr>
            <w:webHidden/>
            <w:color w:val="auto"/>
          </w:rPr>
          <w:fldChar w:fldCharType="separate"/>
        </w:r>
        <w:r w:rsidR="006B5E60">
          <w:rPr>
            <w:webHidden/>
            <w:color w:val="auto"/>
          </w:rPr>
          <w:t>59</w:t>
        </w:r>
        <w:r w:rsidRPr="0042497B">
          <w:rPr>
            <w:webHidden/>
            <w:color w:val="auto"/>
          </w:rPr>
          <w:fldChar w:fldCharType="end"/>
        </w:r>
      </w:hyperlink>
      <w:r w:rsidR="00F8418D" w:rsidRPr="0042497B">
        <w:rPr>
          <w:color w:val="auto"/>
        </w:rPr>
        <w:fldChar w:fldCharType="end"/>
      </w:r>
      <w:r w:rsidR="00165987" w:rsidRPr="008E791C">
        <w:br w:type="page"/>
      </w:r>
    </w:p>
    <w:p w:rsidR="00B108F3" w:rsidRPr="008E791C" w:rsidRDefault="00B108F3" w:rsidP="00B56012">
      <w:pPr>
        <w:pStyle w:val="TOC1"/>
        <w:jc w:val="center"/>
        <w:rPr>
          <w:b/>
          <w:bCs/>
          <w:color w:val="auto"/>
        </w:rPr>
      </w:pPr>
      <w:r w:rsidRPr="008E791C">
        <w:rPr>
          <w:b/>
          <w:bCs/>
          <w:color w:val="auto"/>
        </w:rPr>
        <w:lastRenderedPageBreak/>
        <w:t>LIST OF EXHIBITS</w:t>
      </w:r>
    </w:p>
    <w:p w:rsidR="00BF237A" w:rsidRPr="008E791C" w:rsidRDefault="00BF237A" w:rsidP="00B56012">
      <w:pPr>
        <w:pStyle w:val="TOC1"/>
        <w:ind w:left="1440" w:right="0" w:hanging="1440"/>
        <w:rPr>
          <w:bCs/>
          <w:color w:val="auto"/>
        </w:rPr>
      </w:pPr>
      <w:r w:rsidRPr="008E791C">
        <w:rPr>
          <w:bCs/>
          <w:color w:val="auto"/>
        </w:rPr>
        <w:t>Exh. SEF-</w:t>
      </w:r>
      <w:bookmarkStart w:id="0" w:name="SEF_13_GenRateInc"/>
      <w:r w:rsidRPr="008E791C">
        <w:rPr>
          <w:bCs/>
          <w:color w:val="auto"/>
        </w:rPr>
        <w:t>13</w:t>
      </w:r>
      <w:bookmarkEnd w:id="0"/>
      <w:r w:rsidR="00165987" w:rsidRPr="008E791C">
        <w:rPr>
          <w:bCs/>
          <w:color w:val="auto"/>
        </w:rPr>
        <w:tab/>
      </w:r>
      <w:r w:rsidR="006D3C45" w:rsidRPr="008E791C">
        <w:rPr>
          <w:bCs/>
          <w:color w:val="auto"/>
        </w:rPr>
        <w:t>Natural gas base rates general rate increase</w:t>
      </w:r>
    </w:p>
    <w:p w:rsidR="00B108F3" w:rsidRPr="008E791C" w:rsidRDefault="00B108F3" w:rsidP="00B56012">
      <w:pPr>
        <w:pStyle w:val="TOC1"/>
        <w:ind w:left="1440" w:right="0" w:hanging="1440"/>
        <w:rPr>
          <w:bCs/>
          <w:color w:val="auto"/>
        </w:rPr>
      </w:pPr>
      <w:r w:rsidRPr="008E791C">
        <w:rPr>
          <w:bCs/>
          <w:color w:val="auto"/>
        </w:rPr>
        <w:t>Exh. SEF-</w:t>
      </w:r>
      <w:bookmarkStart w:id="1" w:name="SEF_14_Summary"/>
      <w:r w:rsidRPr="008E791C">
        <w:rPr>
          <w:bCs/>
          <w:color w:val="auto"/>
        </w:rPr>
        <w:t>1</w:t>
      </w:r>
      <w:r w:rsidR="00F443FC" w:rsidRPr="008E791C">
        <w:rPr>
          <w:bCs/>
          <w:color w:val="auto"/>
        </w:rPr>
        <w:t>4</w:t>
      </w:r>
      <w:bookmarkEnd w:id="1"/>
      <w:r w:rsidRPr="008E791C">
        <w:rPr>
          <w:bCs/>
          <w:color w:val="auto"/>
        </w:rPr>
        <w:tab/>
      </w:r>
      <w:r w:rsidR="007D2306" w:rsidRPr="008E791C">
        <w:rPr>
          <w:bCs/>
          <w:color w:val="auto"/>
        </w:rPr>
        <w:t>Summary of</w:t>
      </w:r>
      <w:r w:rsidR="009C6954" w:rsidRPr="008E791C">
        <w:rPr>
          <w:bCs/>
          <w:color w:val="auto"/>
        </w:rPr>
        <w:t xml:space="preserve"> </w:t>
      </w:r>
      <w:r w:rsidR="007D2306" w:rsidRPr="008E791C">
        <w:rPr>
          <w:bCs/>
          <w:color w:val="auto"/>
        </w:rPr>
        <w:t>natural gas proforma and restating adjustments and their impact on the actual results of operations</w:t>
      </w:r>
    </w:p>
    <w:p w:rsidR="007D2306" w:rsidRPr="008E791C" w:rsidRDefault="007D2306" w:rsidP="00B56012">
      <w:pPr>
        <w:pStyle w:val="TOC1"/>
        <w:ind w:left="1440" w:right="0" w:hanging="1440"/>
        <w:rPr>
          <w:bCs/>
          <w:color w:val="auto"/>
        </w:rPr>
      </w:pPr>
      <w:r w:rsidRPr="008E791C">
        <w:rPr>
          <w:bCs/>
          <w:color w:val="auto"/>
        </w:rPr>
        <w:t>Exh. SEF-</w:t>
      </w:r>
      <w:bookmarkStart w:id="2" w:name="SEF_15_CommADj"/>
      <w:r w:rsidRPr="008E791C">
        <w:rPr>
          <w:bCs/>
          <w:color w:val="auto"/>
        </w:rPr>
        <w:t>1</w:t>
      </w:r>
      <w:r w:rsidR="00F443FC" w:rsidRPr="008E791C">
        <w:rPr>
          <w:bCs/>
          <w:color w:val="auto"/>
        </w:rPr>
        <w:t>5</w:t>
      </w:r>
      <w:bookmarkEnd w:id="2"/>
      <w:r w:rsidRPr="008E791C">
        <w:rPr>
          <w:bCs/>
          <w:color w:val="auto"/>
        </w:rPr>
        <w:tab/>
      </w:r>
      <w:r w:rsidR="00C46BC7" w:rsidRPr="008E791C">
        <w:rPr>
          <w:bCs/>
          <w:color w:val="auto"/>
        </w:rPr>
        <w:t>Individual adjustments – common assigned to natural gas</w:t>
      </w:r>
    </w:p>
    <w:p w:rsidR="00271277" w:rsidRPr="008E791C" w:rsidRDefault="00271277" w:rsidP="00B56012">
      <w:pPr>
        <w:pStyle w:val="TOC1"/>
        <w:ind w:left="1440" w:right="0" w:hanging="1440"/>
        <w:rPr>
          <w:bCs/>
          <w:color w:val="auto"/>
        </w:rPr>
      </w:pPr>
      <w:r w:rsidRPr="008E791C">
        <w:rPr>
          <w:bCs/>
          <w:color w:val="auto"/>
        </w:rPr>
        <w:t>Exh. SEF-</w:t>
      </w:r>
      <w:bookmarkStart w:id="3" w:name="SEF_16_GasAdj"/>
      <w:r w:rsidRPr="008E791C">
        <w:rPr>
          <w:bCs/>
          <w:color w:val="auto"/>
        </w:rPr>
        <w:t>1</w:t>
      </w:r>
      <w:r w:rsidR="00F443FC" w:rsidRPr="008E791C">
        <w:rPr>
          <w:bCs/>
          <w:color w:val="auto"/>
        </w:rPr>
        <w:t>6</w:t>
      </w:r>
      <w:bookmarkEnd w:id="3"/>
      <w:r w:rsidRPr="008E791C">
        <w:rPr>
          <w:bCs/>
          <w:color w:val="auto"/>
        </w:rPr>
        <w:tab/>
        <w:t xml:space="preserve">Individual </w:t>
      </w:r>
      <w:r w:rsidR="00C46BC7" w:rsidRPr="008E791C">
        <w:rPr>
          <w:bCs/>
          <w:color w:val="auto"/>
        </w:rPr>
        <w:t>a</w:t>
      </w:r>
      <w:r w:rsidRPr="008E791C">
        <w:rPr>
          <w:bCs/>
          <w:color w:val="auto"/>
        </w:rPr>
        <w:t xml:space="preserve">djustment – </w:t>
      </w:r>
      <w:r w:rsidR="00C46BC7" w:rsidRPr="008E791C">
        <w:rPr>
          <w:bCs/>
          <w:color w:val="auto"/>
        </w:rPr>
        <w:t>n</w:t>
      </w:r>
      <w:r w:rsidRPr="008E791C">
        <w:rPr>
          <w:bCs/>
          <w:color w:val="auto"/>
        </w:rPr>
        <w:t xml:space="preserve">atural </w:t>
      </w:r>
      <w:r w:rsidR="00C46BC7" w:rsidRPr="008E791C">
        <w:rPr>
          <w:bCs/>
          <w:color w:val="auto"/>
        </w:rPr>
        <w:t>g</w:t>
      </w:r>
      <w:r w:rsidRPr="008E791C">
        <w:rPr>
          <w:bCs/>
          <w:color w:val="auto"/>
        </w:rPr>
        <w:t xml:space="preserve">as </w:t>
      </w:r>
      <w:r w:rsidR="00C46BC7" w:rsidRPr="008E791C">
        <w:rPr>
          <w:bCs/>
          <w:color w:val="auto"/>
        </w:rPr>
        <w:t>o</w:t>
      </w:r>
      <w:r w:rsidRPr="008E791C">
        <w:rPr>
          <w:bCs/>
          <w:color w:val="auto"/>
        </w:rPr>
        <w:t>nly</w:t>
      </w:r>
    </w:p>
    <w:p w:rsidR="00F443FC" w:rsidRPr="008E791C" w:rsidRDefault="00F443FC" w:rsidP="00B56012">
      <w:pPr>
        <w:pStyle w:val="TOC1"/>
        <w:ind w:left="1440" w:right="0" w:hanging="1440"/>
        <w:rPr>
          <w:bCs/>
          <w:color w:val="auto"/>
        </w:rPr>
      </w:pPr>
      <w:r w:rsidRPr="008E791C">
        <w:rPr>
          <w:bCs/>
          <w:color w:val="auto"/>
        </w:rPr>
        <w:t>Exh. SEF-</w:t>
      </w:r>
      <w:bookmarkStart w:id="4" w:name="SEF_13_CompParties"/>
      <w:r w:rsidRPr="008E791C">
        <w:rPr>
          <w:bCs/>
          <w:color w:val="auto"/>
        </w:rPr>
        <w:t>17</w:t>
      </w:r>
      <w:bookmarkEnd w:id="4"/>
      <w:r w:rsidR="009C6954" w:rsidRPr="008E791C">
        <w:rPr>
          <w:bCs/>
          <w:color w:val="auto"/>
        </w:rPr>
        <w:t xml:space="preserve"> </w:t>
      </w:r>
      <w:r w:rsidRPr="008E791C">
        <w:rPr>
          <w:bCs/>
          <w:color w:val="auto"/>
        </w:rPr>
        <w:tab/>
        <w:t xml:space="preserve">Comparison of the natural gas revenue deficiencies by adjustment currently filed by </w:t>
      </w:r>
      <w:r w:rsidR="00EF6BC2" w:rsidRPr="008E791C">
        <w:rPr>
          <w:bCs/>
          <w:color w:val="auto"/>
        </w:rPr>
        <w:t xml:space="preserve">PSE </w:t>
      </w:r>
      <w:r w:rsidRPr="008E791C">
        <w:rPr>
          <w:bCs/>
          <w:color w:val="auto"/>
        </w:rPr>
        <w:t xml:space="preserve">and opposing </w:t>
      </w:r>
      <w:r w:rsidR="00300860" w:rsidRPr="008E791C">
        <w:rPr>
          <w:bCs/>
          <w:color w:val="auto"/>
        </w:rPr>
        <w:t>p</w:t>
      </w:r>
      <w:r w:rsidRPr="008E791C">
        <w:rPr>
          <w:bCs/>
          <w:color w:val="auto"/>
        </w:rPr>
        <w:t>arties</w:t>
      </w:r>
    </w:p>
    <w:p w:rsidR="009246C3" w:rsidRPr="008E791C" w:rsidRDefault="009246C3" w:rsidP="00B56012">
      <w:pPr>
        <w:pStyle w:val="TOC1"/>
        <w:ind w:left="1440" w:right="0" w:hanging="1440"/>
        <w:rPr>
          <w:bCs/>
          <w:color w:val="auto"/>
        </w:rPr>
      </w:pPr>
      <w:r w:rsidRPr="008E791C">
        <w:rPr>
          <w:bCs/>
          <w:color w:val="auto"/>
        </w:rPr>
        <w:t>Exh. SEF-</w:t>
      </w:r>
      <w:bookmarkStart w:id="5" w:name="StaffRespPSEDR27"/>
      <w:r w:rsidRPr="008E791C">
        <w:rPr>
          <w:bCs/>
          <w:color w:val="auto"/>
        </w:rPr>
        <w:t>18</w:t>
      </w:r>
      <w:bookmarkEnd w:id="5"/>
      <w:r w:rsidR="00165987" w:rsidRPr="008E791C">
        <w:rPr>
          <w:bCs/>
          <w:color w:val="auto"/>
        </w:rPr>
        <w:tab/>
      </w:r>
      <w:r w:rsidRPr="008E791C">
        <w:rPr>
          <w:bCs/>
          <w:color w:val="auto"/>
        </w:rPr>
        <w:t>Excerpts from Commission Staff</w:t>
      </w:r>
      <w:r w:rsidR="009C6954" w:rsidRPr="008E791C">
        <w:rPr>
          <w:bCs/>
          <w:color w:val="auto"/>
        </w:rPr>
        <w:t>’</w:t>
      </w:r>
      <w:r w:rsidRPr="008E791C">
        <w:rPr>
          <w:bCs/>
          <w:color w:val="auto"/>
        </w:rPr>
        <w:t>s Response to PSE Data Request No. 27 – Impact on Commission Staff</w:t>
      </w:r>
      <w:r w:rsidR="009C6954" w:rsidRPr="008E791C">
        <w:rPr>
          <w:bCs/>
          <w:color w:val="auto"/>
        </w:rPr>
        <w:t>’</w:t>
      </w:r>
      <w:r w:rsidRPr="008E791C">
        <w:rPr>
          <w:bCs/>
          <w:color w:val="auto"/>
        </w:rPr>
        <w:t>s natural gas revenue requirement for various corrections</w:t>
      </w:r>
    </w:p>
    <w:p w:rsidR="009246C3" w:rsidRPr="008E791C" w:rsidRDefault="009246C3" w:rsidP="00B56012">
      <w:pPr>
        <w:pStyle w:val="TOC1"/>
        <w:ind w:left="1440" w:right="0" w:hanging="1440"/>
        <w:rPr>
          <w:bCs/>
          <w:color w:val="auto"/>
        </w:rPr>
      </w:pPr>
      <w:r w:rsidRPr="008E791C">
        <w:rPr>
          <w:bCs/>
          <w:color w:val="auto"/>
        </w:rPr>
        <w:t>Exh. SEF-</w:t>
      </w:r>
      <w:bookmarkStart w:id="6" w:name="StaffRespPSEDR28"/>
      <w:r w:rsidRPr="008E791C">
        <w:rPr>
          <w:bCs/>
          <w:color w:val="auto"/>
        </w:rPr>
        <w:t>19</w:t>
      </w:r>
      <w:bookmarkEnd w:id="6"/>
      <w:r w:rsidR="00165987" w:rsidRPr="008E791C">
        <w:rPr>
          <w:bCs/>
          <w:color w:val="auto"/>
        </w:rPr>
        <w:tab/>
      </w:r>
      <w:r w:rsidRPr="008E791C">
        <w:rPr>
          <w:bCs/>
          <w:color w:val="auto"/>
        </w:rPr>
        <w:t>Excerpts from Commission Staff</w:t>
      </w:r>
      <w:r w:rsidR="009C6954" w:rsidRPr="008E791C">
        <w:rPr>
          <w:bCs/>
          <w:color w:val="auto"/>
        </w:rPr>
        <w:t>’</w:t>
      </w:r>
      <w:r w:rsidRPr="008E791C">
        <w:rPr>
          <w:bCs/>
          <w:color w:val="auto"/>
        </w:rPr>
        <w:t>s Response to PSE Data Request No. 28 – Impact on Commission Staff</w:t>
      </w:r>
      <w:r w:rsidR="009C6954" w:rsidRPr="008E791C">
        <w:rPr>
          <w:bCs/>
          <w:color w:val="auto"/>
        </w:rPr>
        <w:t>’</w:t>
      </w:r>
      <w:r w:rsidRPr="008E791C">
        <w:rPr>
          <w:bCs/>
          <w:color w:val="auto"/>
        </w:rPr>
        <w:t xml:space="preserve">s working capital calculation for various corrections </w:t>
      </w:r>
    </w:p>
    <w:p w:rsidR="005E2E4D" w:rsidRPr="008E791C" w:rsidRDefault="00AF0FA7" w:rsidP="00B56012">
      <w:pPr>
        <w:pStyle w:val="TOC1"/>
        <w:ind w:left="1440" w:right="0" w:hanging="1440"/>
        <w:rPr>
          <w:bCs/>
          <w:color w:val="auto"/>
        </w:rPr>
      </w:pPr>
      <w:r w:rsidRPr="008E791C">
        <w:rPr>
          <w:bCs/>
          <w:color w:val="auto"/>
        </w:rPr>
        <w:t>Exh. SEF-</w:t>
      </w:r>
      <w:bookmarkStart w:id="7" w:name="C_RC1_Compare"/>
      <w:r w:rsidR="009246C3" w:rsidRPr="008E791C">
        <w:rPr>
          <w:bCs/>
          <w:color w:val="auto"/>
        </w:rPr>
        <w:t>20</w:t>
      </w:r>
      <w:bookmarkEnd w:id="7"/>
      <w:r w:rsidRPr="008E791C">
        <w:rPr>
          <w:bCs/>
          <w:color w:val="auto"/>
        </w:rPr>
        <w:tab/>
        <w:t>Comparison of Test Year, Allowed and Total rate case costs per proceeding</w:t>
      </w:r>
    </w:p>
    <w:p w:rsidR="00E62F25" w:rsidRPr="008E791C" w:rsidRDefault="00E62F25" w:rsidP="00B56012">
      <w:pPr>
        <w:pStyle w:val="TOC1"/>
        <w:ind w:left="1440" w:right="0" w:hanging="1440"/>
        <w:rPr>
          <w:bCs/>
          <w:color w:val="auto"/>
        </w:rPr>
      </w:pPr>
      <w:r w:rsidRPr="008E791C">
        <w:rPr>
          <w:bCs/>
          <w:color w:val="auto"/>
        </w:rPr>
        <w:t>Exh. SEF-</w:t>
      </w:r>
      <w:bookmarkStart w:id="8" w:name="D_DGL1_TfrUtToNonut"/>
      <w:r w:rsidR="009246C3" w:rsidRPr="008E791C">
        <w:rPr>
          <w:bCs/>
          <w:color w:val="auto"/>
        </w:rPr>
        <w:t>21</w:t>
      </w:r>
      <w:bookmarkEnd w:id="8"/>
      <w:r w:rsidRPr="008E791C">
        <w:rPr>
          <w:bCs/>
          <w:color w:val="auto"/>
        </w:rPr>
        <w:tab/>
        <w:t>2014 system entry to transfer Kent property from utility to non-utility property at tim</w:t>
      </w:r>
      <w:r w:rsidR="009C6954" w:rsidRPr="008E791C">
        <w:rPr>
          <w:bCs/>
          <w:color w:val="auto"/>
        </w:rPr>
        <w:t>e</w:t>
      </w:r>
      <w:r w:rsidRPr="008E791C">
        <w:rPr>
          <w:bCs/>
          <w:color w:val="auto"/>
        </w:rPr>
        <w:t xml:space="preserve"> of sale</w:t>
      </w:r>
    </w:p>
    <w:p w:rsidR="00AF0FA7" w:rsidRPr="008E791C" w:rsidRDefault="005E2E4D" w:rsidP="00B56012">
      <w:pPr>
        <w:pStyle w:val="TOC1"/>
        <w:ind w:left="1440" w:right="0" w:hanging="1440"/>
        <w:rPr>
          <w:bCs/>
          <w:color w:val="auto"/>
        </w:rPr>
      </w:pPr>
      <w:r w:rsidRPr="008E791C">
        <w:rPr>
          <w:bCs/>
          <w:color w:val="auto"/>
        </w:rPr>
        <w:t>Exh. SEF-</w:t>
      </w:r>
      <w:bookmarkStart w:id="9" w:name="D_DGL1_DefGainEntries"/>
      <w:r w:rsidR="00E62F25" w:rsidRPr="008E791C">
        <w:rPr>
          <w:bCs/>
          <w:color w:val="auto"/>
        </w:rPr>
        <w:t>2</w:t>
      </w:r>
      <w:r w:rsidR="009246C3" w:rsidRPr="008E791C">
        <w:rPr>
          <w:bCs/>
          <w:color w:val="auto"/>
        </w:rPr>
        <w:t>2</w:t>
      </w:r>
      <w:bookmarkEnd w:id="9"/>
      <w:r w:rsidRPr="008E791C">
        <w:rPr>
          <w:bCs/>
          <w:color w:val="auto"/>
        </w:rPr>
        <w:tab/>
        <w:t>System entries for deferred gain on property sales</w:t>
      </w:r>
      <w:r w:rsidR="00AF0FA7" w:rsidRPr="008E791C">
        <w:rPr>
          <w:bCs/>
          <w:color w:val="auto"/>
        </w:rPr>
        <w:t xml:space="preserve"> </w:t>
      </w:r>
    </w:p>
    <w:p w:rsidR="00176FA9" w:rsidRPr="008E791C" w:rsidRDefault="00176FA9" w:rsidP="00B56012">
      <w:pPr>
        <w:pStyle w:val="TOC1"/>
        <w:ind w:left="1440" w:right="0" w:hanging="1440"/>
        <w:rPr>
          <w:bCs/>
          <w:color w:val="auto"/>
        </w:rPr>
      </w:pPr>
      <w:r w:rsidRPr="008E791C">
        <w:rPr>
          <w:bCs/>
          <w:color w:val="auto"/>
        </w:rPr>
        <w:t>Exh. SEF-</w:t>
      </w:r>
      <w:bookmarkStart w:id="10" w:name="F_ENV1_Assign"/>
      <w:r w:rsidR="005E2E4D" w:rsidRPr="008E791C">
        <w:rPr>
          <w:bCs/>
          <w:color w:val="auto"/>
        </w:rPr>
        <w:t>2</w:t>
      </w:r>
      <w:r w:rsidR="009246C3" w:rsidRPr="008E791C">
        <w:rPr>
          <w:bCs/>
          <w:color w:val="auto"/>
        </w:rPr>
        <w:t>3</w:t>
      </w:r>
      <w:bookmarkEnd w:id="10"/>
      <w:r w:rsidR="00A04C7C" w:rsidRPr="008E791C">
        <w:rPr>
          <w:bCs/>
          <w:color w:val="auto"/>
        </w:rPr>
        <w:tab/>
      </w:r>
      <w:r w:rsidRPr="008E791C">
        <w:rPr>
          <w:bCs/>
          <w:color w:val="auto"/>
        </w:rPr>
        <w:t>Comparison of PSE</w:t>
      </w:r>
      <w:r w:rsidR="009C6954" w:rsidRPr="008E791C">
        <w:rPr>
          <w:bCs/>
          <w:color w:val="auto"/>
        </w:rPr>
        <w:t>’</w:t>
      </w:r>
      <w:r w:rsidRPr="008E791C">
        <w:rPr>
          <w:bCs/>
          <w:color w:val="auto"/>
        </w:rPr>
        <w:t>s and Commission Staff</w:t>
      </w:r>
      <w:r w:rsidR="009C6954" w:rsidRPr="008E791C">
        <w:rPr>
          <w:bCs/>
          <w:color w:val="auto"/>
        </w:rPr>
        <w:t>’</w:t>
      </w:r>
      <w:r w:rsidRPr="008E791C">
        <w:rPr>
          <w:bCs/>
          <w:color w:val="auto"/>
        </w:rPr>
        <w:t>s method for allocating unassigned recoveries to specific sites for environmental remediation</w:t>
      </w:r>
    </w:p>
    <w:p w:rsidR="0004533D" w:rsidRPr="008E791C" w:rsidRDefault="0004533D" w:rsidP="00B56012">
      <w:pPr>
        <w:pStyle w:val="TOC1"/>
        <w:ind w:left="1440" w:right="0" w:hanging="1440"/>
        <w:rPr>
          <w:bCs/>
          <w:color w:val="auto"/>
        </w:rPr>
      </w:pPr>
      <w:r w:rsidRPr="008E791C">
        <w:rPr>
          <w:bCs/>
          <w:color w:val="auto"/>
        </w:rPr>
        <w:t>Exh. SEF-</w:t>
      </w:r>
      <w:bookmarkStart w:id="11" w:name="F_ENV2_LowRange"/>
      <w:r w:rsidR="005E2E4D" w:rsidRPr="008E791C">
        <w:rPr>
          <w:bCs/>
          <w:color w:val="auto"/>
        </w:rPr>
        <w:t>2</w:t>
      </w:r>
      <w:r w:rsidR="009246C3" w:rsidRPr="008E791C">
        <w:rPr>
          <w:bCs/>
          <w:color w:val="auto"/>
        </w:rPr>
        <w:t>4</w:t>
      </w:r>
      <w:bookmarkEnd w:id="11"/>
      <w:r w:rsidR="009C6954" w:rsidRPr="008E791C">
        <w:rPr>
          <w:bCs/>
          <w:color w:val="auto"/>
        </w:rPr>
        <w:t xml:space="preserve"> </w:t>
      </w:r>
      <w:r w:rsidR="00337C05" w:rsidRPr="008E791C">
        <w:rPr>
          <w:bCs/>
          <w:color w:val="auto"/>
        </w:rPr>
        <w:t>Determination of PSE</w:t>
      </w:r>
      <w:r w:rsidR="009C6954" w:rsidRPr="008E791C">
        <w:rPr>
          <w:bCs/>
          <w:color w:val="auto"/>
        </w:rPr>
        <w:t>’</w:t>
      </w:r>
      <w:r w:rsidR="00337C05" w:rsidRPr="008E791C">
        <w:rPr>
          <w:bCs/>
          <w:color w:val="auto"/>
        </w:rPr>
        <w:t xml:space="preserve">s </w:t>
      </w:r>
      <w:r w:rsidR="00073EE8" w:rsidRPr="008E791C">
        <w:rPr>
          <w:bCs/>
          <w:color w:val="auto"/>
        </w:rPr>
        <w:t xml:space="preserve">Electric </w:t>
      </w:r>
      <w:r w:rsidR="00337C05" w:rsidRPr="008E791C">
        <w:rPr>
          <w:bCs/>
          <w:color w:val="auto"/>
        </w:rPr>
        <w:t>Environmental Remediation Adjustment utilizing the low range of future cost esimates</w:t>
      </w:r>
    </w:p>
    <w:p w:rsidR="00705D70" w:rsidRPr="008E791C" w:rsidRDefault="00073EE8" w:rsidP="00B56012">
      <w:pPr>
        <w:pStyle w:val="TOC1"/>
        <w:ind w:left="1440" w:right="0" w:hanging="1440"/>
        <w:rPr>
          <w:bCs/>
          <w:color w:val="auto"/>
        </w:rPr>
      </w:pPr>
      <w:r w:rsidRPr="008E791C">
        <w:rPr>
          <w:bCs/>
          <w:color w:val="auto"/>
        </w:rPr>
        <w:t>Exh. SEF-</w:t>
      </w:r>
      <w:bookmarkStart w:id="12" w:name="F_ENV3_LowRangeGas"/>
      <w:r w:rsidR="00A04C7C" w:rsidRPr="008E791C">
        <w:rPr>
          <w:bCs/>
          <w:color w:val="auto"/>
        </w:rPr>
        <w:t>2</w:t>
      </w:r>
      <w:r w:rsidR="009246C3" w:rsidRPr="008E791C">
        <w:rPr>
          <w:bCs/>
          <w:color w:val="auto"/>
        </w:rPr>
        <w:t>5</w:t>
      </w:r>
      <w:bookmarkEnd w:id="12"/>
      <w:r w:rsidRPr="008E791C">
        <w:rPr>
          <w:bCs/>
          <w:color w:val="auto"/>
        </w:rPr>
        <w:t xml:space="preserve"> </w:t>
      </w:r>
      <w:r w:rsidR="00A04C7C" w:rsidRPr="008E791C">
        <w:rPr>
          <w:bCs/>
          <w:color w:val="auto"/>
        </w:rPr>
        <w:tab/>
      </w:r>
      <w:r w:rsidRPr="008E791C">
        <w:rPr>
          <w:bCs/>
          <w:color w:val="auto"/>
        </w:rPr>
        <w:t>Determination of PSE</w:t>
      </w:r>
      <w:r w:rsidR="009C6954" w:rsidRPr="008E791C">
        <w:rPr>
          <w:bCs/>
          <w:color w:val="auto"/>
        </w:rPr>
        <w:t>’</w:t>
      </w:r>
      <w:r w:rsidRPr="008E791C">
        <w:rPr>
          <w:bCs/>
          <w:color w:val="auto"/>
        </w:rPr>
        <w:t>s Gas Environmental Remediation Adjustment utilizing the low range of future cost esimates</w:t>
      </w:r>
    </w:p>
    <w:p w:rsidR="00176FA9" w:rsidRPr="008E791C" w:rsidRDefault="00176FA9" w:rsidP="00B56012">
      <w:pPr>
        <w:pStyle w:val="TOC1"/>
        <w:ind w:left="1440" w:right="0" w:hanging="1440"/>
        <w:rPr>
          <w:bCs/>
          <w:color w:val="auto"/>
        </w:rPr>
      </w:pPr>
      <w:r w:rsidRPr="008E791C">
        <w:rPr>
          <w:bCs/>
          <w:color w:val="auto"/>
        </w:rPr>
        <w:t>Exh. SEF-</w:t>
      </w:r>
      <w:bookmarkStart w:id="13" w:name="F_ENV4_1stSupp269"/>
      <w:r w:rsidR="00A04C7C" w:rsidRPr="008E791C">
        <w:rPr>
          <w:bCs/>
          <w:color w:val="auto"/>
        </w:rPr>
        <w:t>2</w:t>
      </w:r>
      <w:r w:rsidR="009246C3" w:rsidRPr="008E791C">
        <w:rPr>
          <w:bCs/>
          <w:color w:val="auto"/>
        </w:rPr>
        <w:t>6</w:t>
      </w:r>
      <w:bookmarkEnd w:id="13"/>
      <w:r w:rsidR="00A04C7C" w:rsidRPr="008E791C">
        <w:rPr>
          <w:bCs/>
          <w:color w:val="auto"/>
        </w:rPr>
        <w:tab/>
      </w:r>
      <w:r w:rsidR="00726C62" w:rsidRPr="008E791C">
        <w:rPr>
          <w:bCs/>
          <w:color w:val="auto"/>
        </w:rPr>
        <w:t xml:space="preserve">Attachment A to </w:t>
      </w:r>
      <w:r w:rsidRPr="008E791C">
        <w:rPr>
          <w:bCs/>
          <w:color w:val="auto"/>
        </w:rPr>
        <w:t>PSE</w:t>
      </w:r>
      <w:r w:rsidR="009C6954" w:rsidRPr="008E791C">
        <w:rPr>
          <w:bCs/>
          <w:color w:val="auto"/>
        </w:rPr>
        <w:t>’</w:t>
      </w:r>
      <w:r w:rsidRPr="008E791C">
        <w:rPr>
          <w:bCs/>
          <w:color w:val="auto"/>
        </w:rPr>
        <w:t xml:space="preserve">s First Supplemental Response to Commission Staff Data Request No. </w:t>
      </w:r>
      <w:r w:rsidR="00D019CB" w:rsidRPr="008E791C">
        <w:rPr>
          <w:bCs/>
          <w:color w:val="auto"/>
        </w:rPr>
        <w:t>269</w:t>
      </w:r>
    </w:p>
    <w:p w:rsidR="0022792A" w:rsidRPr="008E791C" w:rsidRDefault="00D019CB" w:rsidP="00B56012">
      <w:pPr>
        <w:pStyle w:val="TOC1"/>
        <w:ind w:left="1440" w:right="0" w:hanging="1440"/>
        <w:rPr>
          <w:bCs/>
          <w:color w:val="auto"/>
        </w:rPr>
      </w:pPr>
      <w:r w:rsidRPr="008E791C">
        <w:rPr>
          <w:bCs/>
          <w:color w:val="auto"/>
        </w:rPr>
        <w:t>Exh. SEF-</w:t>
      </w:r>
      <w:bookmarkStart w:id="14" w:name="F_ENV5_Sep1994"/>
      <w:r w:rsidR="00A04C7C" w:rsidRPr="008E791C">
        <w:rPr>
          <w:bCs/>
          <w:color w:val="auto"/>
        </w:rPr>
        <w:t>2</w:t>
      </w:r>
      <w:r w:rsidR="009246C3" w:rsidRPr="008E791C">
        <w:rPr>
          <w:bCs/>
          <w:color w:val="auto"/>
        </w:rPr>
        <w:t>7</w:t>
      </w:r>
      <w:bookmarkEnd w:id="14"/>
      <w:r w:rsidR="0022792A" w:rsidRPr="008E791C">
        <w:rPr>
          <w:bCs/>
          <w:color w:val="auto"/>
        </w:rPr>
        <w:t xml:space="preserve"> </w:t>
      </w:r>
      <w:r w:rsidR="00A04C7C" w:rsidRPr="008E791C">
        <w:rPr>
          <w:bCs/>
          <w:color w:val="auto"/>
        </w:rPr>
        <w:tab/>
      </w:r>
      <w:r w:rsidR="0022792A" w:rsidRPr="008E791C">
        <w:rPr>
          <w:bCs/>
          <w:color w:val="auto"/>
        </w:rPr>
        <w:t>Transmittal letter and report for WNG</w:t>
      </w:r>
      <w:r w:rsidR="009C6954" w:rsidRPr="008E791C">
        <w:rPr>
          <w:bCs/>
          <w:color w:val="auto"/>
        </w:rPr>
        <w:t>’</w:t>
      </w:r>
      <w:r w:rsidR="0022792A" w:rsidRPr="008E791C">
        <w:rPr>
          <w:bCs/>
          <w:color w:val="auto"/>
        </w:rPr>
        <w:t>s September 30, 1994 Environmental Remediation Quarterly Report filed December 23, 1994</w:t>
      </w:r>
    </w:p>
    <w:p w:rsidR="00662229" w:rsidRPr="008E791C" w:rsidRDefault="00662229" w:rsidP="00B56012">
      <w:pPr>
        <w:pStyle w:val="TOC1"/>
        <w:ind w:left="1440" w:right="0" w:hanging="1440"/>
        <w:rPr>
          <w:bCs/>
          <w:color w:val="auto"/>
        </w:rPr>
      </w:pPr>
      <w:r w:rsidRPr="008E791C">
        <w:rPr>
          <w:bCs/>
          <w:color w:val="auto"/>
        </w:rPr>
        <w:t>Exh. SEF-</w:t>
      </w:r>
      <w:bookmarkStart w:id="15" w:name="H_WC1_Summary"/>
      <w:bookmarkStart w:id="16" w:name="SEFwc1"/>
      <w:r w:rsidR="00A04C7C" w:rsidRPr="008E791C">
        <w:rPr>
          <w:bCs/>
          <w:color w:val="auto"/>
        </w:rPr>
        <w:t>2</w:t>
      </w:r>
      <w:r w:rsidR="009246C3" w:rsidRPr="008E791C">
        <w:rPr>
          <w:bCs/>
          <w:color w:val="auto"/>
        </w:rPr>
        <w:t>8</w:t>
      </w:r>
      <w:bookmarkEnd w:id="15"/>
      <w:bookmarkEnd w:id="16"/>
      <w:r w:rsidRPr="008E791C">
        <w:rPr>
          <w:bCs/>
          <w:color w:val="auto"/>
        </w:rPr>
        <w:t xml:space="preserve"> </w:t>
      </w:r>
      <w:r w:rsidR="00A04C7C" w:rsidRPr="008E791C">
        <w:rPr>
          <w:bCs/>
          <w:color w:val="auto"/>
        </w:rPr>
        <w:tab/>
      </w:r>
      <w:r w:rsidRPr="008E791C">
        <w:rPr>
          <w:bCs/>
          <w:color w:val="auto"/>
        </w:rPr>
        <w:t>Calculation of Working Capital</w:t>
      </w:r>
      <w:r w:rsidR="00D42E34" w:rsidRPr="008E791C">
        <w:rPr>
          <w:bCs/>
          <w:color w:val="auto"/>
        </w:rPr>
        <w:t xml:space="preserve"> - Summary</w:t>
      </w:r>
    </w:p>
    <w:p w:rsidR="00D42E34" w:rsidRPr="008E791C" w:rsidRDefault="00D42E34" w:rsidP="00B56012">
      <w:pPr>
        <w:pStyle w:val="TOC1"/>
        <w:ind w:left="1440" w:right="0" w:hanging="1440"/>
        <w:rPr>
          <w:bCs/>
          <w:color w:val="auto"/>
        </w:rPr>
      </w:pPr>
      <w:r w:rsidRPr="008E791C">
        <w:rPr>
          <w:bCs/>
          <w:color w:val="auto"/>
        </w:rPr>
        <w:t>Exh. SEF-</w:t>
      </w:r>
      <w:bookmarkStart w:id="17" w:name="H_WC2_Detail"/>
      <w:r w:rsidR="006D3C45" w:rsidRPr="008E791C">
        <w:rPr>
          <w:bCs/>
          <w:color w:val="auto"/>
        </w:rPr>
        <w:t>2</w:t>
      </w:r>
      <w:r w:rsidR="009246C3" w:rsidRPr="008E791C">
        <w:rPr>
          <w:bCs/>
          <w:color w:val="auto"/>
        </w:rPr>
        <w:t>9</w:t>
      </w:r>
      <w:r w:rsidRPr="008E791C">
        <w:rPr>
          <w:bCs/>
          <w:color w:val="auto"/>
        </w:rPr>
        <w:t xml:space="preserve"> </w:t>
      </w:r>
      <w:bookmarkEnd w:id="17"/>
      <w:r w:rsidR="00A04C7C" w:rsidRPr="008E791C">
        <w:rPr>
          <w:bCs/>
          <w:color w:val="auto"/>
        </w:rPr>
        <w:tab/>
      </w:r>
      <w:r w:rsidRPr="008E791C">
        <w:rPr>
          <w:bCs/>
          <w:color w:val="auto"/>
        </w:rPr>
        <w:t>Calculation of Working Capital - Detail</w:t>
      </w:r>
    </w:p>
    <w:p w:rsidR="005E4E8A" w:rsidRPr="008E791C" w:rsidRDefault="005E4E8A" w:rsidP="00B56012">
      <w:pPr>
        <w:pStyle w:val="TOC1"/>
        <w:ind w:left="1440" w:right="0" w:hanging="1440"/>
        <w:rPr>
          <w:bCs/>
          <w:color w:val="auto"/>
        </w:rPr>
      </w:pPr>
      <w:r w:rsidRPr="008E791C">
        <w:rPr>
          <w:bCs/>
          <w:color w:val="auto"/>
        </w:rPr>
        <w:lastRenderedPageBreak/>
        <w:t>Exh. SEF-</w:t>
      </w:r>
      <w:bookmarkStart w:id="18" w:name="H_WC4_DR11_CWIP"/>
      <w:r w:rsidR="00E62F25" w:rsidRPr="008E791C">
        <w:rPr>
          <w:bCs/>
          <w:color w:val="auto"/>
        </w:rPr>
        <w:t>3</w:t>
      </w:r>
      <w:r w:rsidR="006D3C45" w:rsidRPr="008E791C">
        <w:rPr>
          <w:bCs/>
          <w:color w:val="auto"/>
        </w:rPr>
        <w:t>0</w:t>
      </w:r>
      <w:r w:rsidRPr="008E791C">
        <w:rPr>
          <w:bCs/>
          <w:color w:val="auto"/>
        </w:rPr>
        <w:t xml:space="preserve"> </w:t>
      </w:r>
      <w:bookmarkEnd w:id="18"/>
      <w:r w:rsidR="00A04C7C" w:rsidRPr="008E791C">
        <w:rPr>
          <w:bCs/>
          <w:color w:val="auto"/>
        </w:rPr>
        <w:tab/>
      </w:r>
      <w:r w:rsidRPr="008E791C">
        <w:rPr>
          <w:bCs/>
          <w:color w:val="auto"/>
        </w:rPr>
        <w:t>Commission Staff</w:t>
      </w:r>
      <w:r w:rsidR="009C6954" w:rsidRPr="008E791C">
        <w:rPr>
          <w:bCs/>
          <w:color w:val="auto"/>
        </w:rPr>
        <w:t>’</w:t>
      </w:r>
      <w:r w:rsidRPr="008E791C">
        <w:rPr>
          <w:bCs/>
          <w:color w:val="auto"/>
        </w:rPr>
        <w:t>s Response to PSE Data Request No. 11.</w:t>
      </w:r>
    </w:p>
    <w:p w:rsidR="00E332AB" w:rsidRPr="008E791C" w:rsidRDefault="00A344EB" w:rsidP="00B56012">
      <w:pPr>
        <w:pStyle w:val="TOC1"/>
        <w:ind w:left="1440" w:right="0" w:hanging="1440"/>
        <w:rPr>
          <w:bCs/>
          <w:color w:val="auto"/>
        </w:rPr>
      </w:pPr>
      <w:r w:rsidRPr="008E791C">
        <w:rPr>
          <w:bCs/>
          <w:color w:val="auto"/>
        </w:rPr>
        <w:t>Exh. SEF-</w:t>
      </w:r>
      <w:bookmarkStart w:id="19" w:name="WC_Staff_8_14"/>
      <w:bookmarkStart w:id="20" w:name="H_WC5_DR10_OpRB_Adj"/>
      <w:r w:rsidR="00624A65" w:rsidRPr="008E791C">
        <w:rPr>
          <w:bCs/>
          <w:color w:val="auto"/>
        </w:rPr>
        <w:t>31</w:t>
      </w:r>
      <w:bookmarkEnd w:id="19"/>
      <w:r w:rsidRPr="008E791C">
        <w:rPr>
          <w:bCs/>
          <w:color w:val="auto"/>
        </w:rPr>
        <w:t xml:space="preserve"> </w:t>
      </w:r>
      <w:bookmarkEnd w:id="20"/>
      <w:r w:rsidR="00A04C7C" w:rsidRPr="008E791C">
        <w:rPr>
          <w:bCs/>
          <w:color w:val="auto"/>
        </w:rPr>
        <w:tab/>
      </w:r>
      <w:r w:rsidR="00E332AB" w:rsidRPr="008E791C">
        <w:rPr>
          <w:bCs/>
          <w:color w:val="auto"/>
        </w:rPr>
        <w:t>Commission Staff</w:t>
      </w:r>
      <w:r w:rsidR="009C6954" w:rsidRPr="008E791C">
        <w:rPr>
          <w:bCs/>
          <w:color w:val="auto"/>
        </w:rPr>
        <w:t>’</w:t>
      </w:r>
      <w:r w:rsidR="00E332AB" w:rsidRPr="008E791C">
        <w:rPr>
          <w:bCs/>
          <w:color w:val="auto"/>
        </w:rPr>
        <w:t>s Response to PSE Data Request Nos. 8 and 14 and a presentation of how to adjust for working capital outside of the working capital exhibit.</w:t>
      </w:r>
    </w:p>
    <w:p w:rsidR="00165987" w:rsidRPr="008E791C" w:rsidRDefault="00165987" w:rsidP="00B56012">
      <w:pPr>
        <w:spacing w:before="240" w:after="240" w:line="480" w:lineRule="auto"/>
        <w:ind w:left="540" w:right="540" w:firstLine="0"/>
        <w:jc w:val="center"/>
        <w:rPr>
          <w:b/>
          <w:bCs/>
          <w:szCs w:val="24"/>
        </w:rPr>
        <w:sectPr w:rsidR="00165987" w:rsidRPr="008E791C" w:rsidSect="00165987">
          <w:footerReference w:type="default" r:id="rId11"/>
          <w:footerReference w:type="first" r:id="rId12"/>
          <w:pgSz w:w="12240" w:h="15840" w:code="1"/>
          <w:pgMar w:top="1440" w:right="1440" w:bottom="1440" w:left="2160" w:header="864" w:footer="576" w:gutter="0"/>
          <w:lnNumType w:countBy="1"/>
          <w:pgNumType w:fmt="lowerRoman" w:start="1"/>
          <w:cols w:space="720"/>
        </w:sectPr>
      </w:pPr>
    </w:p>
    <w:p w:rsidR="00EF6BC2" w:rsidRPr="008E791C" w:rsidRDefault="00EF6BC2" w:rsidP="00B56012">
      <w:pPr>
        <w:spacing w:before="240" w:after="600" w:line="240" w:lineRule="auto"/>
        <w:ind w:left="547" w:right="547" w:firstLine="0"/>
        <w:jc w:val="center"/>
        <w:rPr>
          <w:b/>
          <w:bCs/>
          <w:szCs w:val="24"/>
        </w:rPr>
      </w:pPr>
      <w:r w:rsidRPr="008E791C">
        <w:rPr>
          <w:b/>
          <w:bCs/>
          <w:szCs w:val="24"/>
        </w:rPr>
        <w:lastRenderedPageBreak/>
        <w:t>PUGET SOUND ENERGY</w:t>
      </w:r>
    </w:p>
    <w:p w:rsidR="00EF6BC2" w:rsidRPr="008E791C" w:rsidRDefault="00EF6BC2" w:rsidP="00B56012">
      <w:pPr>
        <w:spacing w:before="240" w:after="600" w:line="240" w:lineRule="auto"/>
        <w:ind w:left="547" w:right="547" w:firstLine="0"/>
        <w:jc w:val="center"/>
        <w:rPr>
          <w:b/>
        </w:rPr>
      </w:pPr>
      <w:r w:rsidRPr="008E791C">
        <w:rPr>
          <w:b/>
        </w:rPr>
        <w:t>PREFILED REBUTTAL TESTIMONY (NONCONFIDENTIAL) OF</w:t>
      </w:r>
      <w:r w:rsidRPr="008E791C">
        <w:rPr>
          <w:b/>
        </w:rPr>
        <w:br/>
        <w:t>SUSAN E. FREE</w:t>
      </w:r>
    </w:p>
    <w:p w:rsidR="00EF6BC2" w:rsidRPr="008E791C" w:rsidRDefault="00EF6BC2" w:rsidP="00B56012">
      <w:pPr>
        <w:pStyle w:val="Heading1"/>
      </w:pPr>
      <w:bookmarkStart w:id="21" w:name="_Toc488931862"/>
      <w:bookmarkStart w:id="22" w:name="_Toc489961819"/>
      <w:r w:rsidRPr="008E791C">
        <w:t>I.</w:t>
      </w:r>
      <w:r w:rsidRPr="008E791C">
        <w:tab/>
        <w:t>INTRODUCTION</w:t>
      </w:r>
      <w:bookmarkEnd w:id="21"/>
      <w:bookmarkEnd w:id="22"/>
    </w:p>
    <w:p w:rsidR="00F8418D" w:rsidRPr="008E791C" w:rsidRDefault="00F8418D" w:rsidP="00B56012">
      <w:pPr>
        <w:pStyle w:val="question"/>
      </w:pPr>
      <w:r w:rsidRPr="008E791C">
        <w:t>Q.</w:t>
      </w:r>
      <w:r w:rsidRPr="008E791C">
        <w:tab/>
      </w:r>
      <w:r w:rsidR="00F5016E" w:rsidRPr="008E791C">
        <w:t xml:space="preserve">Are you the same </w:t>
      </w:r>
      <w:r w:rsidR="004661B1" w:rsidRPr="008E791C">
        <w:t xml:space="preserve">Susan E. Free </w:t>
      </w:r>
      <w:r w:rsidR="00F5016E" w:rsidRPr="008E791C">
        <w:t>who submitted prefiled direct testimony on January 13, 2017</w:t>
      </w:r>
      <w:r w:rsidR="00632256" w:rsidRPr="008E791C">
        <w:t>,</w:t>
      </w:r>
      <w:r w:rsidR="001F313C" w:rsidRPr="008E791C">
        <w:t xml:space="preserve"> </w:t>
      </w:r>
      <w:r w:rsidR="00AA2549" w:rsidRPr="008E791C">
        <w:t xml:space="preserve">and prefiled supplemental direct testimony on April 3, 2017, </w:t>
      </w:r>
      <w:r w:rsidR="00F5016E" w:rsidRPr="008E791C">
        <w:t>on behalf of Puget Sound Energy (</w:t>
      </w:r>
      <w:r w:rsidR="009C6954" w:rsidRPr="008E791C">
        <w:t>“</w:t>
      </w:r>
      <w:r w:rsidR="00F5016E" w:rsidRPr="008E791C">
        <w:t>PSE</w:t>
      </w:r>
      <w:r w:rsidR="009C6954" w:rsidRPr="008E791C">
        <w:t>”</w:t>
      </w:r>
      <w:r w:rsidR="00F5016E" w:rsidRPr="008E791C">
        <w:t>) in this proceeding?</w:t>
      </w:r>
    </w:p>
    <w:p w:rsidR="00F8418D" w:rsidRPr="008E791C" w:rsidRDefault="00F8418D" w:rsidP="00B56012">
      <w:pPr>
        <w:pStyle w:val="answer"/>
        <w:rPr>
          <w:rFonts w:eastAsia="SimSun"/>
        </w:rPr>
      </w:pPr>
      <w:r w:rsidRPr="008E791C">
        <w:rPr>
          <w:rFonts w:eastAsia="SimSun"/>
        </w:rPr>
        <w:t>A.</w:t>
      </w:r>
      <w:r w:rsidRPr="008E791C">
        <w:rPr>
          <w:rFonts w:eastAsia="SimSun"/>
        </w:rPr>
        <w:tab/>
      </w:r>
      <w:r w:rsidR="00F60B6E" w:rsidRPr="008E791C">
        <w:rPr>
          <w:rFonts w:eastAsia="SimSun"/>
        </w:rPr>
        <w:t>Yes.</w:t>
      </w:r>
    </w:p>
    <w:p w:rsidR="00F8418D" w:rsidRPr="008E791C" w:rsidRDefault="00F8418D" w:rsidP="00B56012">
      <w:pPr>
        <w:pStyle w:val="question"/>
      </w:pPr>
      <w:r w:rsidRPr="008E791C">
        <w:t>Q.</w:t>
      </w:r>
      <w:r w:rsidRPr="008E791C">
        <w:tab/>
        <w:t xml:space="preserve">What is the purpose of your </w:t>
      </w:r>
      <w:r w:rsidR="00632256" w:rsidRPr="008E791C">
        <w:t>rebuttal</w:t>
      </w:r>
      <w:r w:rsidR="00F5016E" w:rsidRPr="008E791C">
        <w:t xml:space="preserve"> </w:t>
      </w:r>
      <w:r w:rsidRPr="008E791C">
        <w:t>testimony?</w:t>
      </w:r>
    </w:p>
    <w:p w:rsidR="00F60B6E" w:rsidRPr="008E791C" w:rsidRDefault="00F8418D" w:rsidP="00B56012">
      <w:pPr>
        <w:pStyle w:val="answer"/>
      </w:pPr>
      <w:r w:rsidRPr="008E791C">
        <w:rPr>
          <w:rFonts w:eastAsia="SimSun"/>
        </w:rPr>
        <w:t>A.</w:t>
      </w:r>
      <w:r w:rsidRPr="008E791C">
        <w:rPr>
          <w:rFonts w:eastAsia="SimSun"/>
        </w:rPr>
        <w:tab/>
      </w:r>
      <w:r w:rsidR="00F60B6E" w:rsidRPr="008E791C">
        <w:t xml:space="preserve">My testimony presents the natural gas base rates revenue deficiency based on the updated restating and pro forma adjustments that </w:t>
      </w:r>
      <w:r w:rsidR="00EF6BC2" w:rsidRPr="008E791C">
        <w:t>PSE</w:t>
      </w:r>
      <w:r w:rsidR="00F60B6E" w:rsidRPr="008E791C">
        <w:t xml:space="preserve"> is proposing.</w:t>
      </w:r>
      <w:r w:rsidR="009C6954" w:rsidRPr="008E791C">
        <w:t xml:space="preserve"> </w:t>
      </w:r>
      <w:r w:rsidR="00F60B6E" w:rsidRPr="008E791C">
        <w:t>I also discuss most of the common adjustments that relate to both gas and electric operations.</w:t>
      </w:r>
      <w:r w:rsidR="009C6954" w:rsidRPr="008E791C">
        <w:t xml:space="preserve"> </w:t>
      </w:r>
      <w:r w:rsidR="00F60B6E" w:rsidRPr="008E791C">
        <w:t xml:space="preserve">I will present the uncontested adjustments between </w:t>
      </w:r>
      <w:r w:rsidR="00B41BEC" w:rsidRPr="008E791C">
        <w:t>p</w:t>
      </w:r>
      <w:r w:rsidR="00F60B6E" w:rsidRPr="008E791C">
        <w:t xml:space="preserve">arties and </w:t>
      </w:r>
      <w:r w:rsidR="00EF6BC2" w:rsidRPr="008E791C">
        <w:t>PSE</w:t>
      </w:r>
      <w:r w:rsidR="00F60B6E" w:rsidRPr="008E791C">
        <w:t xml:space="preserve"> and explain why some of these adjustments have a different impact on the revenue requirement calculation even though they are not contested.</w:t>
      </w:r>
      <w:r w:rsidR="009C6954" w:rsidRPr="008E791C">
        <w:t xml:space="preserve"> </w:t>
      </w:r>
      <w:r w:rsidR="00F60B6E" w:rsidRPr="008E791C">
        <w:t>I will also discuss specific restating and pro forma adjustments that are common to electric and natural gas and are contested by Commission Staff and other parties</w:t>
      </w:r>
      <w:r w:rsidR="006E0FF1" w:rsidRPr="008E791C">
        <w:t>.</w:t>
      </w:r>
    </w:p>
    <w:p w:rsidR="00D13C2F" w:rsidRPr="008E791C" w:rsidRDefault="006E0FF1" w:rsidP="00B56012">
      <w:pPr>
        <w:pStyle w:val="Heading1"/>
      </w:pPr>
      <w:bookmarkStart w:id="23" w:name="_Toc489961820"/>
      <w:r w:rsidRPr="008E791C">
        <w:lastRenderedPageBreak/>
        <w:t>II.</w:t>
      </w:r>
      <w:r w:rsidRPr="008E791C">
        <w:tab/>
      </w:r>
      <w:r w:rsidR="00D13C2F" w:rsidRPr="008E791C">
        <w:t xml:space="preserve">COMPARISON BETWEEN </w:t>
      </w:r>
      <w:r w:rsidR="00EF6BC2" w:rsidRPr="008E791C">
        <w:t>PSE</w:t>
      </w:r>
      <w:r w:rsidR="009C6954" w:rsidRPr="008E791C">
        <w:t>’</w:t>
      </w:r>
      <w:r w:rsidR="00D13C2F" w:rsidRPr="008E791C">
        <w:t>S REVENUE DEFICIENCY AND OTHER PARTIES</w:t>
      </w:r>
      <w:r w:rsidR="009C6954" w:rsidRPr="008E791C">
        <w:t>’</w:t>
      </w:r>
      <w:r w:rsidR="00D13C2F" w:rsidRPr="008E791C">
        <w:t xml:space="preserve"> REVENUE DEFICIENCIES</w:t>
      </w:r>
      <w:r w:rsidR="009C6954" w:rsidRPr="008E791C">
        <w:t>/SURPLUSES</w:t>
      </w:r>
      <w:bookmarkEnd w:id="23"/>
    </w:p>
    <w:p w:rsidR="001110FC" w:rsidRPr="008E791C" w:rsidRDefault="001110FC" w:rsidP="00B56012">
      <w:pPr>
        <w:pStyle w:val="question"/>
      </w:pPr>
      <w:bookmarkStart w:id="24" w:name="_Toc103413034"/>
      <w:bookmarkStart w:id="25" w:name="_Toc105471202"/>
      <w:bookmarkStart w:id="26" w:name="_Toc117411520"/>
      <w:bookmarkStart w:id="27" w:name="_Toc125892217"/>
      <w:bookmarkStart w:id="28" w:name="_Toc127283829"/>
      <w:bookmarkStart w:id="29" w:name="_Toc160546684"/>
      <w:bookmarkStart w:id="30" w:name="_Toc160885933"/>
      <w:bookmarkStart w:id="31" w:name="_Toc176837649"/>
      <w:bookmarkStart w:id="32" w:name="_Toc178136409"/>
      <w:bookmarkStart w:id="33" w:name="_Toc220493630"/>
      <w:bookmarkStart w:id="34" w:name="_Toc245279245"/>
      <w:r w:rsidRPr="008E791C">
        <w:t>Q.</w:t>
      </w:r>
      <w:r w:rsidRPr="008E791C">
        <w:tab/>
        <w:t xml:space="preserve">Have you prepared an exhibit showing </w:t>
      </w:r>
      <w:r w:rsidR="00EF6BC2" w:rsidRPr="008E791C">
        <w:t>PSE</w:t>
      </w:r>
      <w:r w:rsidR="009C6954" w:rsidRPr="008E791C">
        <w:t>’</w:t>
      </w:r>
      <w:r w:rsidRPr="008E791C">
        <w:t xml:space="preserve">s natural gas base rates revenue deficiency you </w:t>
      </w:r>
      <w:r w:rsidR="009C6954" w:rsidRPr="008E791C">
        <w:t xml:space="preserve">have calculated for </w:t>
      </w:r>
      <w:r w:rsidRPr="008E791C">
        <w:t>this rebuttal filing?</w:t>
      </w:r>
    </w:p>
    <w:p w:rsidR="001110FC" w:rsidRPr="008E791C" w:rsidRDefault="001110FC" w:rsidP="00B56012">
      <w:pPr>
        <w:pStyle w:val="answer"/>
      </w:pPr>
      <w:r w:rsidRPr="008E791C">
        <w:t>A.</w:t>
      </w:r>
      <w:r w:rsidRPr="008E791C">
        <w:tab/>
        <w:t>Yes.</w:t>
      </w:r>
      <w:r w:rsidR="009C6954" w:rsidRPr="008E791C">
        <w:t xml:space="preserve"> </w:t>
      </w:r>
      <w:r w:rsidRPr="008E791C">
        <w:t>I have updated my natural gas base rates revenue deficiency for this rebuttal filing in Exhibit SEF-</w:t>
      </w:r>
      <w:r w:rsidR="00313414">
        <w:t>13</w:t>
      </w:r>
      <w:r w:rsidRPr="008E791C">
        <w:t>.</w:t>
      </w:r>
      <w:r w:rsidR="009C6954" w:rsidRPr="008E791C">
        <w:t xml:space="preserve"> </w:t>
      </w:r>
      <w:r w:rsidRPr="008E791C">
        <w:t>I discuss the changes since the supplemental filing on April 3, 2017 later in my testimony.</w:t>
      </w:r>
      <w:r w:rsidR="009C6954" w:rsidRPr="008E791C">
        <w:t xml:space="preserve"> </w:t>
      </w:r>
      <w:r w:rsidRPr="008E791C">
        <w:t>Based on natural gas rate base of $1.771 billion and $123.0 million of pro</w:t>
      </w:r>
      <w:r w:rsidR="00BA3C64" w:rsidRPr="008E791C">
        <w:t xml:space="preserve"> </w:t>
      </w:r>
      <w:r w:rsidRPr="008E791C">
        <w:t>forma operating income, the natural gas base rates revenue requirement deficiency is $22.7 million.</w:t>
      </w:r>
      <w:r w:rsidR="009C6954" w:rsidRPr="008E791C">
        <w:t xml:space="preserve"> This represents a reduction of $0.1 million from the supplemental filing submitted on April 3, 2017. Accordingly, the overall natural gas revenue requirement surplus of </w:t>
      </w:r>
      <w:r w:rsidR="009234E7" w:rsidRPr="008E791C">
        <w:t>$29.3 million reported on page 2 of Exhibit JAP-45 is now $29.4 million.</w:t>
      </w:r>
    </w:p>
    <w:p w:rsidR="00F443FC" w:rsidRPr="008E791C" w:rsidRDefault="006E0FF1" w:rsidP="00B56012">
      <w:pPr>
        <w:pStyle w:val="question"/>
      </w:pPr>
      <w:r w:rsidRPr="008E791C">
        <w:t>Q.</w:t>
      </w:r>
      <w:r w:rsidR="00F443FC" w:rsidRPr="008E791C">
        <w:tab/>
        <w:t xml:space="preserve">Have you prepared exhibits which detail the updated restating and pro forma adjustments that </w:t>
      </w:r>
      <w:r w:rsidR="00EF6BC2" w:rsidRPr="008E791C">
        <w:t>PSE</w:t>
      </w:r>
      <w:r w:rsidR="00F443FC" w:rsidRPr="008E791C">
        <w:t xml:space="preserve"> is proposing?</w:t>
      </w:r>
    </w:p>
    <w:p w:rsidR="00F443FC" w:rsidRPr="008E791C" w:rsidRDefault="00F443FC" w:rsidP="00B56012">
      <w:pPr>
        <w:pStyle w:val="answer"/>
      </w:pPr>
      <w:r w:rsidRPr="008E791C">
        <w:rPr>
          <w:rFonts w:eastAsia="SimSun"/>
        </w:rPr>
        <w:t>A.</w:t>
      </w:r>
      <w:r w:rsidRPr="008E791C">
        <w:rPr>
          <w:rFonts w:eastAsia="SimSun"/>
        </w:rPr>
        <w:tab/>
        <w:t>Yes.</w:t>
      </w:r>
      <w:r w:rsidR="009C6954" w:rsidRPr="008E791C">
        <w:rPr>
          <w:rFonts w:eastAsia="SimSun"/>
        </w:rPr>
        <w:t xml:space="preserve"> </w:t>
      </w:r>
      <w:r w:rsidRPr="008E791C">
        <w:t>I have prepared Exhibit SEF-</w:t>
      </w:r>
      <w:r w:rsidR="00164C58">
        <w:t>14</w:t>
      </w:r>
      <w:r w:rsidRPr="008E791C">
        <w:t xml:space="preserve"> for this purpose.</w:t>
      </w:r>
      <w:r w:rsidR="009C6954" w:rsidRPr="008E791C">
        <w:t xml:space="preserve"> </w:t>
      </w:r>
      <w:r w:rsidRPr="008E791C">
        <w:t>I have also prepared Exhibit SEF-</w:t>
      </w:r>
      <w:r w:rsidR="00164C58">
        <w:t>15</w:t>
      </w:r>
      <w:r w:rsidRPr="008E791C">
        <w:t xml:space="preserve"> and SEF-</w:t>
      </w:r>
      <w:r w:rsidR="00164C58">
        <w:t>16,</w:t>
      </w:r>
      <w:r w:rsidRPr="008E791C">
        <w:t xml:space="preserve"> which contain the detail pages supporting the summarized adjustments in Exhibit SEF-</w:t>
      </w:r>
      <w:r w:rsidR="00164C58">
        <w:t>14</w:t>
      </w:r>
      <w:r w:rsidRPr="008E791C">
        <w:t>.</w:t>
      </w:r>
      <w:r w:rsidR="009C6954" w:rsidRPr="008E791C">
        <w:t xml:space="preserve"> </w:t>
      </w:r>
      <w:r w:rsidRPr="008E791C">
        <w:t>Exhibit SEF-</w:t>
      </w:r>
      <w:r w:rsidR="00164C58">
        <w:t>14</w:t>
      </w:r>
      <w:r w:rsidR="00164C58">
        <w:t xml:space="preserve"> </w:t>
      </w:r>
      <w:r w:rsidRPr="008E791C">
        <w:t>through SEF-</w:t>
      </w:r>
      <w:r w:rsidR="00164C58">
        <w:t>16</w:t>
      </w:r>
      <w:r w:rsidRPr="008E791C">
        <w:t xml:space="preserve"> are presented in the same format as my Exhibit</w:t>
      </w:r>
      <w:r w:rsidR="002A5705" w:rsidRPr="008E791C">
        <w:t>s</w:t>
      </w:r>
      <w:r w:rsidRPr="008E791C">
        <w:t xml:space="preserve"> SEF-</w:t>
      </w:r>
      <w:r w:rsidR="00673F05" w:rsidRPr="008E791C">
        <w:t>10</w:t>
      </w:r>
      <w:r w:rsidR="002A5705" w:rsidRPr="008E791C">
        <w:t>, SEF-11 and SEF-7</w:t>
      </w:r>
      <w:r w:rsidR="008C510E" w:rsidRPr="008E791C">
        <w:t>,</w:t>
      </w:r>
      <w:r w:rsidRPr="008E791C">
        <w:t xml:space="preserve"> and in the same format as Ms. Cheesman</w:t>
      </w:r>
      <w:r w:rsidR="009C6954" w:rsidRPr="008E791C">
        <w:t>’</w:t>
      </w:r>
      <w:r w:rsidRPr="008E791C">
        <w:t>s Exhibit MCC-7.</w:t>
      </w:r>
      <w:r w:rsidR="009C6954" w:rsidRPr="008E791C">
        <w:t xml:space="preserve"> </w:t>
      </w:r>
    </w:p>
    <w:p w:rsidR="00F60B6E" w:rsidRPr="008E791C" w:rsidRDefault="00F60B6E" w:rsidP="00B56012">
      <w:pPr>
        <w:pStyle w:val="question"/>
      </w:pPr>
      <w:r w:rsidRPr="008E791C">
        <w:lastRenderedPageBreak/>
        <w:t>Q.</w:t>
      </w:r>
      <w:r w:rsidRPr="008E791C">
        <w:tab/>
      </w:r>
      <w:bookmarkEnd w:id="24"/>
      <w:bookmarkEnd w:id="25"/>
      <w:bookmarkEnd w:id="26"/>
      <w:bookmarkEnd w:id="27"/>
      <w:bookmarkEnd w:id="28"/>
      <w:bookmarkEnd w:id="29"/>
      <w:bookmarkEnd w:id="30"/>
      <w:bookmarkEnd w:id="31"/>
      <w:bookmarkEnd w:id="32"/>
      <w:bookmarkEnd w:id="33"/>
      <w:r w:rsidRPr="008E791C">
        <w:t xml:space="preserve">Have you prepared a reconciliation between the revenue deficiency filed by </w:t>
      </w:r>
      <w:r w:rsidR="00EF6BC2" w:rsidRPr="008E791C">
        <w:t>PSE</w:t>
      </w:r>
      <w:r w:rsidRPr="008E791C">
        <w:t xml:space="preserve"> and </w:t>
      </w:r>
      <w:r w:rsidR="007A6B7C" w:rsidRPr="008E791C">
        <w:t>the revenue deficiency/surplus</w:t>
      </w:r>
      <w:r w:rsidRPr="008E791C">
        <w:t xml:space="preserve"> filed by </w:t>
      </w:r>
      <w:r w:rsidR="007A6B7C" w:rsidRPr="008E791C">
        <w:t>other parties</w:t>
      </w:r>
      <w:r w:rsidRPr="008E791C">
        <w:t>?</w:t>
      </w:r>
    </w:p>
    <w:p w:rsidR="00F60B6E" w:rsidRPr="008E791C" w:rsidRDefault="00F60B6E" w:rsidP="00B56012">
      <w:pPr>
        <w:pStyle w:val="answer"/>
        <w:tabs>
          <w:tab w:val="left" w:pos="1890"/>
        </w:tabs>
      </w:pPr>
      <w:r w:rsidRPr="008E791C">
        <w:t>A.</w:t>
      </w:r>
      <w:r w:rsidRPr="008E791C">
        <w:tab/>
        <w:t>Yes.</w:t>
      </w:r>
      <w:r w:rsidR="009C6954" w:rsidRPr="008E791C">
        <w:t xml:space="preserve"> </w:t>
      </w:r>
      <w:r w:rsidR="006E0FF1" w:rsidRPr="008E791C">
        <w:t xml:space="preserve">Table 1 below </w:t>
      </w:r>
      <w:r w:rsidRPr="008E791C">
        <w:t xml:space="preserve">highlights the differences between </w:t>
      </w:r>
      <w:r w:rsidR="00EF6BC2" w:rsidRPr="008E791C">
        <w:t xml:space="preserve">PSE </w:t>
      </w:r>
      <w:r w:rsidR="009C6954" w:rsidRPr="008E791C">
        <w:t>‘</w:t>
      </w:r>
      <w:r w:rsidRPr="008E791C">
        <w:t xml:space="preserve">s </w:t>
      </w:r>
      <w:r w:rsidR="00673F05" w:rsidRPr="008E791C">
        <w:t xml:space="preserve">supplemental </w:t>
      </w:r>
      <w:r w:rsidRPr="008E791C">
        <w:t xml:space="preserve">filing, </w:t>
      </w:r>
      <w:r w:rsidR="00EF6BC2" w:rsidRPr="008E791C">
        <w:t>PSE</w:t>
      </w:r>
      <w:r w:rsidR="009C6954" w:rsidRPr="008E791C">
        <w:t>’</w:t>
      </w:r>
      <w:r w:rsidRPr="008E791C">
        <w:t>s rebuttal filing and the opposing parties</w:t>
      </w:r>
      <w:r w:rsidR="009C6954" w:rsidRPr="008E791C">
        <w:t>’</w:t>
      </w:r>
      <w:r w:rsidRPr="008E791C">
        <w:t xml:space="preserve"> filing on June 30, 2017.</w:t>
      </w:r>
      <w:bookmarkEnd w:id="34"/>
    </w:p>
    <w:p w:rsidR="00F06938" w:rsidRPr="008E791C" w:rsidRDefault="00F06938" w:rsidP="00B56012">
      <w:pPr>
        <w:pStyle w:val="answer"/>
        <w:keepNext/>
        <w:keepLines/>
        <w:spacing w:after="60" w:line="240" w:lineRule="auto"/>
        <w:ind w:firstLine="0"/>
        <w:jc w:val="center"/>
        <w:rPr>
          <w:b/>
        </w:rPr>
      </w:pPr>
      <w:r w:rsidRPr="008E791C">
        <w:rPr>
          <w:b/>
        </w:rPr>
        <w:t>Table 1</w:t>
      </w:r>
      <w:r w:rsidR="006E0FF1" w:rsidRPr="008E791C">
        <w:rPr>
          <w:b/>
        </w:rPr>
        <w:t>.</w:t>
      </w:r>
      <w:r w:rsidRPr="008E791C">
        <w:rPr>
          <w:b/>
        </w:rPr>
        <w:t xml:space="preserve"> Summary of Natural Gas Base Rates Revenue</w:t>
      </w:r>
      <w:r w:rsidR="006E0FF1" w:rsidRPr="008E791C">
        <w:rPr>
          <w:b/>
        </w:rPr>
        <w:br/>
      </w:r>
      <w:r w:rsidRPr="008E791C">
        <w:rPr>
          <w:b/>
        </w:rPr>
        <w:t>Requirement Deficiencies (Surpluses)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B401AC" w:rsidRPr="008E791C" w:rsidTr="00AB036D">
        <w:tc>
          <w:tcPr>
            <w:tcW w:w="8136" w:type="dxa"/>
          </w:tcPr>
          <w:p w:rsidR="00B401AC" w:rsidRPr="008E791C" w:rsidRDefault="00AB036D" w:rsidP="00B56012">
            <w:pPr>
              <w:pStyle w:val="answer"/>
              <w:ind w:left="0" w:firstLine="0"/>
              <w:jc w:val="center"/>
            </w:pPr>
            <w:r w:rsidRPr="008E791C">
              <w:rPr>
                <w:noProof/>
                <w:lang w:eastAsia="en-US"/>
              </w:rPr>
              <w:drawing>
                <wp:inline distT="0" distB="0" distL="0" distR="0" wp14:anchorId="349E99F0" wp14:editId="43844BA7">
                  <wp:extent cx="4986506" cy="32918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86506" cy="3291840"/>
                          </a:xfrm>
                          <a:prstGeom prst="rect">
                            <a:avLst/>
                          </a:prstGeom>
                        </pic:spPr>
                      </pic:pic>
                    </a:graphicData>
                  </a:graphic>
                </wp:inline>
              </w:drawing>
            </w:r>
          </w:p>
        </w:tc>
      </w:tr>
    </w:tbl>
    <w:p w:rsidR="00F60B6E" w:rsidRPr="008E791C" w:rsidRDefault="00F60B6E" w:rsidP="00B56012">
      <w:pPr>
        <w:pStyle w:val="question"/>
      </w:pPr>
      <w:r w:rsidRPr="008E791C">
        <w:t>Q.</w:t>
      </w:r>
      <w:r w:rsidRPr="008E791C">
        <w:tab/>
        <w:t xml:space="preserve">What are the major differences between </w:t>
      </w:r>
      <w:r w:rsidR="006E0FF1" w:rsidRPr="008E791C">
        <w:t>PSE</w:t>
      </w:r>
      <w:r w:rsidR="009C6954" w:rsidRPr="008E791C">
        <w:t>’</w:t>
      </w:r>
      <w:r w:rsidRPr="008E791C">
        <w:t xml:space="preserve">s </w:t>
      </w:r>
      <w:r w:rsidR="009234E7" w:rsidRPr="008E791C">
        <w:t xml:space="preserve">base rates </w:t>
      </w:r>
      <w:r w:rsidR="0065105B" w:rsidRPr="008E791C">
        <w:t xml:space="preserve">natural </w:t>
      </w:r>
      <w:r w:rsidRPr="008E791C">
        <w:t xml:space="preserve">gas revenue deficiency and the </w:t>
      </w:r>
      <w:r w:rsidR="00B41BEC" w:rsidRPr="008E791C">
        <w:t>p</w:t>
      </w:r>
      <w:r w:rsidR="006F7B8C" w:rsidRPr="008E791C">
        <w:t>arties</w:t>
      </w:r>
      <w:r w:rsidR="009C6954" w:rsidRPr="008E791C">
        <w:t>’</w:t>
      </w:r>
      <w:r w:rsidRPr="008E791C">
        <w:t xml:space="preserve"> </w:t>
      </w:r>
      <w:r w:rsidR="009234E7" w:rsidRPr="008E791C">
        <w:t xml:space="preserve">base rates </w:t>
      </w:r>
      <w:r w:rsidRPr="008E791C">
        <w:t>revenue deficienc</w:t>
      </w:r>
      <w:r w:rsidR="009234E7" w:rsidRPr="008E791C">
        <w:t>ies/surpluses</w:t>
      </w:r>
      <w:r w:rsidRPr="008E791C">
        <w:t>?</w:t>
      </w:r>
    </w:p>
    <w:p w:rsidR="00D13C2F" w:rsidRPr="008E791C" w:rsidRDefault="00F60B6E" w:rsidP="00B56012">
      <w:pPr>
        <w:pStyle w:val="answer"/>
      </w:pPr>
      <w:r w:rsidRPr="008E791C">
        <w:t>A.</w:t>
      </w:r>
      <w:r w:rsidRPr="008E791C">
        <w:tab/>
        <w:t xml:space="preserve">Included in Exhibit </w:t>
      </w:r>
      <w:r w:rsidR="006F7B8C" w:rsidRPr="008E791C">
        <w:t>SEF-</w:t>
      </w:r>
      <w:r w:rsidR="00164C58">
        <w:t>17</w:t>
      </w:r>
      <w:r w:rsidRPr="008E791C">
        <w:t xml:space="preserve"> is a comparison of the revenue </w:t>
      </w:r>
      <w:r w:rsidR="009234E7" w:rsidRPr="008E791C">
        <w:t xml:space="preserve">deficiencies/surpluses </w:t>
      </w:r>
      <w:r w:rsidRPr="008E791C">
        <w:t xml:space="preserve">by adjustment currently filed by </w:t>
      </w:r>
      <w:r w:rsidR="006E0FF1" w:rsidRPr="008E791C">
        <w:t>PSE</w:t>
      </w:r>
      <w:r w:rsidRPr="008E791C">
        <w:t xml:space="preserve"> and </w:t>
      </w:r>
      <w:r w:rsidR="006F7B8C" w:rsidRPr="008E791C">
        <w:t xml:space="preserve">opposing </w:t>
      </w:r>
      <w:r w:rsidR="00B41BEC" w:rsidRPr="008E791C">
        <w:t>p</w:t>
      </w:r>
      <w:r w:rsidR="006F7B8C" w:rsidRPr="008E791C">
        <w:t>arties</w:t>
      </w:r>
      <w:r w:rsidRPr="008E791C">
        <w:t>.</w:t>
      </w:r>
      <w:r w:rsidR="009C6954" w:rsidRPr="008E791C">
        <w:t xml:space="preserve"> </w:t>
      </w:r>
      <w:r w:rsidRPr="008E791C">
        <w:t xml:space="preserve">The major differences between </w:t>
      </w:r>
      <w:r w:rsidR="006E0FF1" w:rsidRPr="008E791C">
        <w:t>PSE</w:t>
      </w:r>
      <w:r w:rsidRPr="008E791C">
        <w:t xml:space="preserve"> and </w:t>
      </w:r>
      <w:r w:rsidR="002A5705" w:rsidRPr="008E791C">
        <w:t xml:space="preserve">opposing parties </w:t>
      </w:r>
      <w:r w:rsidRPr="008E791C">
        <w:t xml:space="preserve">are the capital structure and the return on equity embedded in the rate of return along with the other differences highlighted </w:t>
      </w:r>
      <w:r w:rsidRPr="008E791C">
        <w:lastRenderedPageBreak/>
        <w:t>in the above table.</w:t>
      </w:r>
      <w:r w:rsidR="009C6954" w:rsidRPr="008E791C">
        <w:t xml:space="preserve"> </w:t>
      </w:r>
      <w:r w:rsidRPr="008E791C">
        <w:t xml:space="preserve">The capital structure and return on equity are discussed by Mr. </w:t>
      </w:r>
      <w:r w:rsidR="006F7B8C" w:rsidRPr="008E791C">
        <w:t>Doyle</w:t>
      </w:r>
      <w:r w:rsidRPr="008E791C">
        <w:t xml:space="preserve"> and Dr. </w:t>
      </w:r>
      <w:r w:rsidR="006F7B8C" w:rsidRPr="008E791C">
        <w:t>Morin</w:t>
      </w:r>
      <w:r w:rsidRPr="008E791C">
        <w:t xml:space="preserve"> in their prefiled rebuttal </w:t>
      </w:r>
      <w:r w:rsidR="009234E7" w:rsidRPr="008E791C">
        <w:t>testimonies</w:t>
      </w:r>
      <w:r w:rsidRPr="008E791C">
        <w:t xml:space="preserve">, Exhibit </w:t>
      </w:r>
      <w:r w:rsidR="006F7B8C" w:rsidRPr="008E791C">
        <w:t>DAD</w:t>
      </w:r>
      <w:r w:rsidRPr="008E791C">
        <w:t>-</w:t>
      </w:r>
      <w:r w:rsidR="00B108F3" w:rsidRPr="008E791C">
        <w:t>7</w:t>
      </w:r>
      <w:r w:rsidRPr="008E791C">
        <w:t xml:space="preserve">T and </w:t>
      </w:r>
      <w:r w:rsidR="009B38A7" w:rsidRPr="008E791C">
        <w:t xml:space="preserve">Exhibit </w:t>
      </w:r>
      <w:r w:rsidR="006F7B8C" w:rsidRPr="008E791C">
        <w:t>R</w:t>
      </w:r>
      <w:r w:rsidR="00B108F3" w:rsidRPr="008E791C">
        <w:t>A</w:t>
      </w:r>
      <w:r w:rsidR="006F7B8C" w:rsidRPr="008E791C">
        <w:t>M</w:t>
      </w:r>
      <w:r w:rsidRPr="008E791C">
        <w:t>-1</w:t>
      </w:r>
      <w:r w:rsidR="00B108F3" w:rsidRPr="008E791C">
        <w:t>2</w:t>
      </w:r>
      <w:r w:rsidRPr="008E791C">
        <w:t>T, respectively.</w:t>
      </w:r>
      <w:r w:rsidR="009C6954" w:rsidRPr="008E791C">
        <w:t xml:space="preserve"> </w:t>
      </w:r>
      <w:r w:rsidRPr="008E791C">
        <w:t>The other differences will be discussed in the relevant pro forma or restating adjustment discussions which occur later in my testimony.</w:t>
      </w:r>
    </w:p>
    <w:p w:rsidR="002B4AF8" w:rsidRPr="008E791C" w:rsidRDefault="002B4AF8" w:rsidP="00B56012">
      <w:pPr>
        <w:pStyle w:val="question"/>
      </w:pPr>
      <w:r w:rsidRPr="008E791C">
        <w:t>Q.</w:t>
      </w:r>
      <w:r w:rsidRPr="008E791C">
        <w:tab/>
        <w:t xml:space="preserve">Are you aware of any changes related to the natural gas </w:t>
      </w:r>
      <w:r w:rsidR="009234E7" w:rsidRPr="008E791C">
        <w:t xml:space="preserve">base rates </w:t>
      </w:r>
      <w:r w:rsidRPr="008E791C">
        <w:t>revenue requirement presentations of Commission Staff?</w:t>
      </w:r>
    </w:p>
    <w:p w:rsidR="002B4AF8" w:rsidRPr="008E791C" w:rsidRDefault="002B4AF8" w:rsidP="00B56012">
      <w:pPr>
        <w:pStyle w:val="answer"/>
        <w:rPr>
          <w:rFonts w:eastAsia="SimSun"/>
        </w:rPr>
      </w:pPr>
      <w:r w:rsidRPr="008E791C">
        <w:t>A.</w:t>
      </w:r>
      <w:r w:rsidRPr="008E791C">
        <w:tab/>
        <w:t>Yes.</w:t>
      </w:r>
      <w:r w:rsidR="009C6954" w:rsidRPr="008E791C">
        <w:t xml:space="preserve"> </w:t>
      </w:r>
      <w:r w:rsidRPr="008E791C">
        <w:t>During discovery, PSE received Commission Staff</w:t>
      </w:r>
      <w:r w:rsidR="009C6954" w:rsidRPr="008E791C">
        <w:t>’</w:t>
      </w:r>
      <w:r w:rsidRPr="008E791C">
        <w:t xml:space="preserve">s Response to PSE Data Request Nos. 27 and 28 which reflected revisions and corrections to </w:t>
      </w:r>
      <w:r w:rsidR="00313414" w:rsidRPr="008E791C">
        <w:rPr>
          <w:bCs/>
        </w:rPr>
        <w:t xml:space="preserve">Commission </w:t>
      </w:r>
      <w:r w:rsidRPr="008E791C">
        <w:t>Staff</w:t>
      </w:r>
      <w:r w:rsidR="009C6954" w:rsidRPr="008E791C">
        <w:t>’</w:t>
      </w:r>
      <w:r w:rsidRPr="008E791C">
        <w:t xml:space="preserve">s working capital calculation which impacted </w:t>
      </w:r>
      <w:r w:rsidR="00313414" w:rsidRPr="008E791C">
        <w:rPr>
          <w:bCs/>
        </w:rPr>
        <w:t xml:space="preserve">Commission </w:t>
      </w:r>
      <w:r w:rsidRPr="008E791C">
        <w:t>Staff</w:t>
      </w:r>
      <w:r w:rsidR="009C6954" w:rsidRPr="008E791C">
        <w:t>’</w:t>
      </w:r>
      <w:r w:rsidRPr="008E791C">
        <w:t>s natural gas revenue requirement filed on June 30, 2017</w:t>
      </w:r>
      <w:r w:rsidR="001176CD" w:rsidRPr="008E791C">
        <w:t xml:space="preserve">. </w:t>
      </w:r>
      <w:r w:rsidR="00313414" w:rsidRPr="008E791C">
        <w:rPr>
          <w:bCs/>
        </w:rPr>
        <w:t xml:space="preserve">Commission </w:t>
      </w:r>
      <w:r w:rsidR="00313414" w:rsidRPr="008E791C">
        <w:t>Staff</w:t>
      </w:r>
      <w:r w:rsidR="009C6954" w:rsidRPr="008E791C">
        <w:t>’</w:t>
      </w:r>
      <w:r w:rsidRPr="008E791C">
        <w:t xml:space="preserve">s data </w:t>
      </w:r>
      <w:r w:rsidR="009B38A7" w:rsidRPr="008E791C">
        <w:t xml:space="preserve">request </w:t>
      </w:r>
      <w:r w:rsidRPr="008E791C">
        <w:t>response provided updated work papers for Exhibits BAE-2 and BAE-3 (</w:t>
      </w:r>
      <w:r w:rsidR="00313414" w:rsidRPr="008E791C">
        <w:rPr>
          <w:bCs/>
        </w:rPr>
        <w:t xml:space="preserve">Commission </w:t>
      </w:r>
      <w:r w:rsidR="00313414" w:rsidRPr="008E791C">
        <w:t>Staff</w:t>
      </w:r>
      <w:r w:rsidRPr="008E791C">
        <w:t xml:space="preserve"> D</w:t>
      </w:r>
      <w:r w:rsidR="00DF3628" w:rsidRPr="008E791C">
        <w:t xml:space="preserve">ata </w:t>
      </w:r>
      <w:r w:rsidRPr="008E791C">
        <w:t>R</w:t>
      </w:r>
      <w:r w:rsidR="00DF3628" w:rsidRPr="008E791C">
        <w:t>equest</w:t>
      </w:r>
      <w:r w:rsidRPr="008E791C">
        <w:t xml:space="preserve"> 28) as well as certain pages within Exhibits MCC-7, MCC-8 and MCC-10 (</w:t>
      </w:r>
      <w:r w:rsidR="00313414" w:rsidRPr="008E791C">
        <w:rPr>
          <w:bCs/>
        </w:rPr>
        <w:t xml:space="preserve">Commission </w:t>
      </w:r>
      <w:r w:rsidR="00313414" w:rsidRPr="008E791C">
        <w:t>Staff</w:t>
      </w:r>
      <w:r w:rsidRPr="008E791C">
        <w:t xml:space="preserve"> </w:t>
      </w:r>
      <w:r w:rsidR="00DF3628" w:rsidRPr="008E791C">
        <w:t>Data Request</w:t>
      </w:r>
      <w:r w:rsidRPr="008E791C">
        <w:t xml:space="preserve"> 27).</w:t>
      </w:r>
      <w:r w:rsidR="009C6954" w:rsidRPr="008E791C">
        <w:t xml:space="preserve"> </w:t>
      </w:r>
      <w:r w:rsidRPr="008E791C">
        <w:t xml:space="preserve">I have provided an excerpt of </w:t>
      </w:r>
      <w:r w:rsidR="00313414" w:rsidRPr="008E791C">
        <w:rPr>
          <w:bCs/>
        </w:rPr>
        <w:t xml:space="preserve">Commission </w:t>
      </w:r>
      <w:r w:rsidR="00313414" w:rsidRPr="008E791C">
        <w:t>Staff</w:t>
      </w:r>
      <w:r w:rsidR="00DF3628" w:rsidRPr="008E791C">
        <w:t>’</w:t>
      </w:r>
      <w:r w:rsidRPr="008E791C">
        <w:t xml:space="preserve">s </w:t>
      </w:r>
      <w:r w:rsidR="00DF3628" w:rsidRPr="008E791C">
        <w:t>Data Requests</w:t>
      </w:r>
      <w:r w:rsidRPr="008E791C">
        <w:t xml:space="preserve"> 27 and 28 as Exhibits SEF-</w:t>
      </w:r>
      <w:r w:rsidR="00164C58">
        <w:t>18</w:t>
      </w:r>
      <w:r w:rsidRPr="008E791C">
        <w:t xml:space="preserve"> and SEF-</w:t>
      </w:r>
      <w:r w:rsidR="00164C58">
        <w:t>19</w:t>
      </w:r>
      <w:r w:rsidRPr="008E791C">
        <w:t>.</w:t>
      </w:r>
      <w:r w:rsidR="009C6954" w:rsidRPr="008E791C">
        <w:t xml:space="preserve"> </w:t>
      </w:r>
      <w:r w:rsidRPr="008E791C">
        <w:t xml:space="preserve">PSE is providing these data request responses as they will illustrate that PSE and Commission Staff have fewer differences in position related to working capital once </w:t>
      </w:r>
      <w:r w:rsidR="00313414" w:rsidRPr="008E791C">
        <w:rPr>
          <w:bCs/>
        </w:rPr>
        <w:t xml:space="preserve">Commission </w:t>
      </w:r>
      <w:r w:rsidR="00313414" w:rsidRPr="008E791C">
        <w:t>Staff</w:t>
      </w:r>
      <w:r w:rsidR="009C6954" w:rsidRPr="008E791C">
        <w:t>’</w:t>
      </w:r>
      <w:r w:rsidRPr="008E791C">
        <w:t>s Response to PSE Data Request Nos. 27 and 28 are taken into account</w:t>
      </w:r>
      <w:r w:rsidR="00965CEF" w:rsidRPr="008E791C">
        <w:t xml:space="preserve"> versus the way it is reflected in Table 1 above</w:t>
      </w:r>
      <w:r w:rsidRPr="008E791C">
        <w:t>.</w:t>
      </w:r>
      <w:r w:rsidR="009C6954" w:rsidRPr="008E791C">
        <w:t xml:space="preserve"> </w:t>
      </w:r>
      <w:r w:rsidR="00965CEF" w:rsidRPr="008E791C">
        <w:t>I will discuss this in more detail in the working ca</w:t>
      </w:r>
      <w:r w:rsidR="009B38A7" w:rsidRPr="008E791C">
        <w:t xml:space="preserve">pital discussion in Section </w:t>
      </w:r>
      <w:proofErr w:type="spellStart"/>
      <w:r w:rsidR="009B38A7" w:rsidRPr="008E791C">
        <w:t>IV.</w:t>
      </w:r>
      <w:r w:rsidR="00965CEF" w:rsidRPr="008E791C">
        <w:t>G</w:t>
      </w:r>
      <w:proofErr w:type="spellEnd"/>
      <w:r w:rsidR="00965CEF" w:rsidRPr="008E791C">
        <w:t>. below.</w:t>
      </w:r>
    </w:p>
    <w:p w:rsidR="00D13C2F" w:rsidRPr="008E791C" w:rsidRDefault="00B401AC" w:rsidP="00B56012">
      <w:pPr>
        <w:pStyle w:val="Heading1"/>
      </w:pPr>
      <w:bookmarkStart w:id="35" w:name="_Toc489961821"/>
      <w:r w:rsidRPr="008E791C">
        <w:lastRenderedPageBreak/>
        <w:t>III.</w:t>
      </w:r>
      <w:r w:rsidRPr="008E791C">
        <w:tab/>
      </w:r>
      <w:r w:rsidR="00D13C2F" w:rsidRPr="008E791C">
        <w:t xml:space="preserve">NATURAL GAS AND COMMON ADJUSTMENTS THAT ARE UNCONTESTED BETWEEN </w:t>
      </w:r>
      <w:r w:rsidR="006E0FF1" w:rsidRPr="008E791C">
        <w:t>PSE</w:t>
      </w:r>
      <w:r w:rsidR="00D13C2F" w:rsidRPr="008E791C">
        <w:t xml:space="preserve"> AND OTHER PARTIES</w:t>
      </w:r>
      <w:bookmarkEnd w:id="35"/>
    </w:p>
    <w:p w:rsidR="00DC7537" w:rsidRPr="008E791C" w:rsidRDefault="00DC7537" w:rsidP="00B56012">
      <w:pPr>
        <w:pStyle w:val="question"/>
      </w:pPr>
      <w:r w:rsidRPr="008E791C">
        <w:t>Q.</w:t>
      </w:r>
      <w:r w:rsidRPr="008E791C">
        <w:tab/>
        <w:t>Would you please provide a list of all gas and common adjustments that are uncontested between PSE and the parties?</w:t>
      </w:r>
    </w:p>
    <w:p w:rsidR="00DC7537" w:rsidRPr="008E791C" w:rsidRDefault="00DC7537" w:rsidP="00B56012">
      <w:pPr>
        <w:pStyle w:val="answer"/>
      </w:pPr>
      <w:r w:rsidRPr="008E791C">
        <w:t>A.</w:t>
      </w:r>
      <w:r w:rsidRPr="008E791C">
        <w:rPr>
          <w:b/>
        </w:rPr>
        <w:tab/>
      </w:r>
      <w:r w:rsidRPr="008E791C">
        <w:t>Yes.</w:t>
      </w:r>
      <w:r w:rsidR="009C6954" w:rsidRPr="008E791C">
        <w:t xml:space="preserve"> </w:t>
      </w:r>
      <w:r w:rsidR="005164EE" w:rsidRPr="008E791C">
        <w:t xml:space="preserve">Table 2 below </w:t>
      </w:r>
      <w:r w:rsidRPr="008E791C">
        <w:t xml:space="preserve">is a list of adjustments that are uncontested between PSE and the parties. </w:t>
      </w:r>
    </w:p>
    <w:p w:rsidR="00231D3D" w:rsidRPr="008E791C" w:rsidRDefault="006E0FF1" w:rsidP="00B56012">
      <w:pPr>
        <w:pStyle w:val="answer"/>
        <w:keepNext/>
        <w:keepLines/>
        <w:spacing w:after="60" w:line="240" w:lineRule="auto"/>
        <w:ind w:firstLine="0"/>
        <w:jc w:val="center"/>
        <w:rPr>
          <w:b/>
        </w:rPr>
      </w:pPr>
      <w:r w:rsidRPr="008E791C">
        <w:rPr>
          <w:b/>
        </w:rPr>
        <w:t xml:space="preserve">Table 2. </w:t>
      </w:r>
      <w:r w:rsidR="00F06938" w:rsidRPr="008E791C">
        <w:rPr>
          <w:b/>
        </w:rPr>
        <w:t>Listing of Uncontested Adjustments</w:t>
      </w:r>
    </w:p>
    <w:tbl>
      <w:tblPr>
        <w:tblW w:w="8254" w:type="dxa"/>
        <w:tblInd w:w="720" w:type="dxa"/>
        <w:tblLook w:val="04A0" w:firstRow="1" w:lastRow="0" w:firstColumn="1" w:lastColumn="0" w:noHBand="0" w:noVBand="1"/>
      </w:tblPr>
      <w:tblGrid>
        <w:gridCol w:w="4222"/>
        <w:gridCol w:w="1896"/>
        <w:gridCol w:w="2136"/>
      </w:tblGrid>
      <w:tr w:rsidR="00DC7537" w:rsidRPr="008E791C" w:rsidTr="00E04F69">
        <w:trPr>
          <w:trHeight w:val="330"/>
        </w:trPr>
        <w:tc>
          <w:tcPr>
            <w:tcW w:w="4222" w:type="dxa"/>
            <w:tcBorders>
              <w:top w:val="single" w:sz="8" w:space="0" w:color="auto"/>
              <w:left w:val="single" w:sz="8" w:space="0" w:color="auto"/>
              <w:bottom w:val="single" w:sz="8" w:space="0" w:color="auto"/>
              <w:right w:val="single" w:sz="8" w:space="0" w:color="auto"/>
            </w:tcBorders>
            <w:shd w:val="clear" w:color="000000" w:fill="D9D9D9"/>
            <w:noWrap/>
            <w:hideMark/>
          </w:tcPr>
          <w:p w:rsidR="00DC7537" w:rsidRPr="008E791C" w:rsidRDefault="00DC7537" w:rsidP="00B56012">
            <w:pPr>
              <w:keepNext/>
              <w:keepLines/>
              <w:spacing w:before="60" w:after="60" w:line="240" w:lineRule="auto"/>
              <w:ind w:firstLine="0"/>
              <w:jc w:val="center"/>
              <w:rPr>
                <w:b/>
                <w:bCs/>
                <w:color w:val="000000"/>
                <w:szCs w:val="24"/>
                <w:lang w:eastAsia="en-US"/>
              </w:rPr>
            </w:pPr>
            <w:r w:rsidRPr="008E791C">
              <w:rPr>
                <w:b/>
                <w:bCs/>
                <w:color w:val="000000"/>
                <w:szCs w:val="24"/>
                <w:lang w:eastAsia="en-US"/>
              </w:rPr>
              <w:t>Adjustment</w:t>
            </w:r>
          </w:p>
        </w:tc>
        <w:tc>
          <w:tcPr>
            <w:tcW w:w="1896" w:type="dxa"/>
            <w:tcBorders>
              <w:top w:val="single" w:sz="8" w:space="0" w:color="auto"/>
              <w:left w:val="nil"/>
              <w:bottom w:val="single" w:sz="8" w:space="0" w:color="auto"/>
              <w:right w:val="single" w:sz="8" w:space="0" w:color="auto"/>
            </w:tcBorders>
            <w:shd w:val="clear" w:color="000000" w:fill="D9D9D9"/>
            <w:noWrap/>
            <w:hideMark/>
          </w:tcPr>
          <w:p w:rsidR="00DC7537" w:rsidRPr="008E791C" w:rsidRDefault="00DC7537" w:rsidP="00B56012">
            <w:pPr>
              <w:keepNext/>
              <w:keepLines/>
              <w:spacing w:before="60" w:after="60" w:line="240" w:lineRule="auto"/>
              <w:ind w:firstLine="0"/>
              <w:jc w:val="center"/>
              <w:rPr>
                <w:b/>
                <w:bCs/>
                <w:color w:val="000000"/>
                <w:szCs w:val="24"/>
                <w:lang w:eastAsia="en-US"/>
              </w:rPr>
            </w:pPr>
            <w:proofErr w:type="spellStart"/>
            <w:r w:rsidRPr="008E791C">
              <w:rPr>
                <w:b/>
                <w:bCs/>
                <w:color w:val="000000"/>
                <w:szCs w:val="24"/>
                <w:lang w:eastAsia="en-US"/>
              </w:rPr>
              <w:t>NOI</w:t>
            </w:r>
            <w:proofErr w:type="spellEnd"/>
          </w:p>
        </w:tc>
        <w:tc>
          <w:tcPr>
            <w:tcW w:w="2136" w:type="dxa"/>
            <w:tcBorders>
              <w:top w:val="single" w:sz="8" w:space="0" w:color="auto"/>
              <w:left w:val="nil"/>
              <w:bottom w:val="single" w:sz="8" w:space="0" w:color="auto"/>
              <w:right w:val="single" w:sz="8" w:space="0" w:color="auto"/>
            </w:tcBorders>
            <w:shd w:val="clear" w:color="000000" w:fill="D9D9D9"/>
            <w:noWrap/>
            <w:hideMark/>
          </w:tcPr>
          <w:p w:rsidR="00DC7537" w:rsidRPr="008E791C" w:rsidRDefault="00DC7537" w:rsidP="00B56012">
            <w:pPr>
              <w:keepNext/>
              <w:keepLines/>
              <w:spacing w:before="60" w:after="60" w:line="240" w:lineRule="auto"/>
              <w:ind w:firstLine="0"/>
              <w:jc w:val="center"/>
              <w:rPr>
                <w:b/>
                <w:bCs/>
                <w:color w:val="000000"/>
                <w:szCs w:val="24"/>
                <w:lang w:eastAsia="en-US"/>
              </w:rPr>
            </w:pPr>
            <w:r w:rsidRPr="008E791C">
              <w:rPr>
                <w:b/>
                <w:bCs/>
                <w:color w:val="000000"/>
                <w:szCs w:val="24"/>
                <w:lang w:eastAsia="en-US"/>
              </w:rPr>
              <w:t>Rate Base</w:t>
            </w: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both"/>
              <w:rPr>
                <w:color w:val="000000"/>
                <w:szCs w:val="24"/>
                <w:lang w:eastAsia="en-US"/>
              </w:rPr>
            </w:pPr>
            <w:r w:rsidRPr="008E791C">
              <w:rPr>
                <w:color w:val="000000"/>
                <w:szCs w:val="24"/>
                <w:lang w:eastAsia="en-US"/>
              </w:rPr>
              <w:t>Actual Results of Operations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119,145,769</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$1,727,319,760</w:t>
            </w: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.01 - Revenues and Expenses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FF0000"/>
                <w:szCs w:val="24"/>
                <w:lang w:eastAsia="en-US"/>
              </w:rPr>
              <w:t>$</w:t>
            </w:r>
            <w:r w:rsidR="00DC7537" w:rsidRPr="008E791C">
              <w:rPr>
                <w:color w:val="FF0000"/>
                <w:szCs w:val="24"/>
                <w:lang w:eastAsia="en-US"/>
              </w:rPr>
              <w:t>(32,674,131)</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.03 - Pass-through Rev and Expenses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736,148</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.04 - Federal Income Tax</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700,822</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 xml:space="preserve">.05 - Tax Benefit of </w:t>
            </w:r>
            <w:proofErr w:type="spellStart"/>
            <w:r w:rsidR="00DC7537" w:rsidRPr="008E791C">
              <w:rPr>
                <w:color w:val="000000"/>
                <w:szCs w:val="24"/>
                <w:lang w:eastAsia="en-US"/>
              </w:rPr>
              <w:t>Proforma</w:t>
            </w:r>
            <w:proofErr w:type="spellEnd"/>
            <w:r w:rsidR="00DC7537" w:rsidRPr="008E791C">
              <w:rPr>
                <w:color w:val="000000"/>
                <w:szCs w:val="24"/>
                <w:lang w:eastAsia="en-US"/>
              </w:rPr>
              <w:t xml:space="preserve"> Interest</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18,</w:t>
            </w:r>
            <w:r w:rsidR="00B35EE5" w:rsidRPr="008E791C">
              <w:rPr>
                <w:color w:val="000000"/>
                <w:szCs w:val="24"/>
                <w:lang w:eastAsia="en-US"/>
              </w:rPr>
              <w:t>529</w:t>
            </w:r>
            <w:r w:rsidR="00DC7537" w:rsidRPr="008E791C">
              <w:rPr>
                <w:color w:val="000000"/>
                <w:szCs w:val="24"/>
                <w:lang w:eastAsia="en-US"/>
              </w:rPr>
              <w:t>,</w:t>
            </w:r>
            <w:r w:rsidR="00B35EE5" w:rsidRPr="008E791C">
              <w:rPr>
                <w:color w:val="000000"/>
                <w:szCs w:val="24"/>
                <w:lang w:eastAsia="en-US"/>
              </w:rPr>
              <w:t>101</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 xml:space="preserve">.07 - Normalize </w:t>
            </w:r>
            <w:proofErr w:type="spellStart"/>
            <w:r w:rsidR="00DC7537" w:rsidRPr="008E791C">
              <w:rPr>
                <w:color w:val="000000"/>
                <w:szCs w:val="24"/>
                <w:lang w:eastAsia="en-US"/>
              </w:rPr>
              <w:t>Inj</w:t>
            </w:r>
            <w:proofErr w:type="spellEnd"/>
            <w:r w:rsidR="00DC7537" w:rsidRPr="008E791C">
              <w:rPr>
                <w:color w:val="000000"/>
                <w:szCs w:val="24"/>
                <w:lang w:eastAsia="en-US"/>
              </w:rPr>
              <w:t xml:space="preserve"> &amp; Damages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FF0000"/>
                <w:szCs w:val="24"/>
                <w:lang w:eastAsia="en-US"/>
              </w:rPr>
              <w:t>$</w:t>
            </w:r>
            <w:r w:rsidR="00DC7537" w:rsidRPr="008E791C">
              <w:rPr>
                <w:color w:val="FF0000"/>
                <w:szCs w:val="24"/>
                <w:lang w:eastAsia="en-US"/>
              </w:rPr>
              <w:t>(57,738)</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Pr="008E791C">
              <w:rPr>
                <w:color w:val="000000"/>
                <w:szCs w:val="24"/>
                <w:lang w:eastAsia="en-US"/>
              </w:rPr>
              <w:t>.</w:t>
            </w:r>
            <w:r w:rsidR="00DC7537" w:rsidRPr="008E791C">
              <w:rPr>
                <w:color w:val="000000"/>
                <w:szCs w:val="24"/>
                <w:lang w:eastAsia="en-US"/>
              </w:rPr>
              <w:t>08 - Bad Debt</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35,240</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.09 - Incentive Pay</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104,023</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 xml:space="preserve">.10 - </w:t>
            </w:r>
            <w:proofErr w:type="spellStart"/>
            <w:r w:rsidR="00DC7537" w:rsidRPr="008E791C">
              <w:rPr>
                <w:color w:val="000000"/>
                <w:szCs w:val="24"/>
                <w:lang w:eastAsia="en-US"/>
              </w:rPr>
              <w:t>D&amp;O</w:t>
            </w:r>
            <w:proofErr w:type="spellEnd"/>
            <w:r w:rsidR="00DC7537" w:rsidRPr="008E791C">
              <w:rPr>
                <w:color w:val="000000"/>
                <w:szCs w:val="24"/>
                <w:lang w:eastAsia="en-US"/>
              </w:rPr>
              <w:t xml:space="preserve"> Insurance</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11,636</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.11 - Interest on Customer Deposits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FF0000"/>
                <w:szCs w:val="24"/>
                <w:lang w:eastAsia="en-US"/>
              </w:rPr>
              <w:t>$</w:t>
            </w:r>
            <w:r w:rsidR="00DC7537" w:rsidRPr="008E791C">
              <w:rPr>
                <w:color w:val="FF0000"/>
                <w:szCs w:val="24"/>
                <w:lang w:eastAsia="en-US"/>
              </w:rPr>
              <w:t>(50,137)</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Pr="008E791C">
              <w:rPr>
                <w:color w:val="000000"/>
                <w:szCs w:val="24"/>
                <w:lang w:eastAsia="en-US"/>
              </w:rPr>
              <w:t>.14 - Property &amp; Liabilit</w:t>
            </w:r>
            <w:r w:rsidR="00DC7537" w:rsidRPr="008E791C">
              <w:rPr>
                <w:color w:val="000000"/>
                <w:szCs w:val="24"/>
                <w:lang w:eastAsia="en-US"/>
              </w:rPr>
              <w:t>y Ins</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45,174</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.16 - Wage Increase</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FF0000"/>
                <w:szCs w:val="24"/>
                <w:lang w:eastAsia="en-US"/>
              </w:rPr>
            </w:pPr>
            <w:r w:rsidRPr="008E791C">
              <w:rPr>
                <w:color w:val="FF0000"/>
                <w:szCs w:val="24"/>
                <w:lang w:eastAsia="en-US"/>
              </w:rPr>
              <w:t>$</w:t>
            </w:r>
            <w:r w:rsidR="00DC7537" w:rsidRPr="008E791C">
              <w:rPr>
                <w:color w:val="FF0000"/>
                <w:szCs w:val="24"/>
                <w:lang w:eastAsia="en-US"/>
              </w:rPr>
              <w:t>(907,409)</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.17 - Investment Plan</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FF0000"/>
                <w:szCs w:val="24"/>
                <w:lang w:eastAsia="en-US"/>
              </w:rPr>
            </w:pPr>
            <w:r w:rsidRPr="008E791C">
              <w:rPr>
                <w:color w:val="FF0000"/>
                <w:szCs w:val="24"/>
                <w:lang w:eastAsia="en-US"/>
              </w:rPr>
              <w:t>$</w:t>
            </w:r>
            <w:r w:rsidR="00DC7537" w:rsidRPr="008E791C">
              <w:rPr>
                <w:color w:val="FF0000"/>
                <w:szCs w:val="24"/>
                <w:lang w:eastAsia="en-US"/>
              </w:rPr>
              <w:t>(46,689)</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.18 - Employee Insurance</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FF0000"/>
                <w:szCs w:val="24"/>
                <w:lang w:eastAsia="en-US"/>
              </w:rPr>
            </w:pPr>
            <w:r w:rsidRPr="008E791C">
              <w:rPr>
                <w:color w:val="FF0000"/>
                <w:szCs w:val="24"/>
                <w:lang w:eastAsia="en-US"/>
              </w:rPr>
              <w:t>$</w:t>
            </w:r>
            <w:r w:rsidR="00DC7537" w:rsidRPr="008E791C">
              <w:rPr>
                <w:color w:val="FF0000"/>
                <w:szCs w:val="24"/>
                <w:lang w:eastAsia="en-US"/>
              </w:rPr>
              <w:t>(58,781)</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6B3770"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tcPr>
          <w:p w:rsidR="006B3770" w:rsidRPr="008E791C" w:rsidRDefault="00070711"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6B3770" w:rsidRPr="008E791C">
              <w:rPr>
                <w:color w:val="000000"/>
                <w:szCs w:val="24"/>
                <w:lang w:eastAsia="en-US"/>
              </w:rPr>
              <w:t xml:space="preserve">.20 </w:t>
            </w:r>
            <w:r w:rsidR="006B3770" w:rsidRPr="008E791C">
              <w:rPr>
                <w:szCs w:val="24"/>
                <w:lang w:eastAsia="en-US"/>
              </w:rPr>
              <w:t xml:space="preserve">- </w:t>
            </w:r>
            <w:r w:rsidR="006B3770" w:rsidRPr="008E791C">
              <w:t>Payment Processing Costs</w:t>
            </w:r>
          </w:p>
        </w:tc>
        <w:tc>
          <w:tcPr>
            <w:tcW w:w="1896" w:type="dxa"/>
            <w:tcBorders>
              <w:top w:val="nil"/>
              <w:left w:val="nil"/>
              <w:bottom w:val="single" w:sz="8" w:space="0" w:color="auto"/>
              <w:right w:val="single" w:sz="8" w:space="0" w:color="auto"/>
            </w:tcBorders>
            <w:shd w:val="clear" w:color="auto" w:fill="auto"/>
            <w:noWrap/>
          </w:tcPr>
          <w:p w:rsidR="006B3770" w:rsidRPr="008E791C" w:rsidRDefault="008737B4" w:rsidP="00B56012">
            <w:pPr>
              <w:keepNext/>
              <w:keepLines/>
              <w:spacing w:before="60" w:after="60" w:line="240" w:lineRule="auto"/>
              <w:ind w:firstLine="0"/>
              <w:jc w:val="right"/>
              <w:rPr>
                <w:color w:val="FF0000"/>
                <w:szCs w:val="24"/>
                <w:lang w:eastAsia="en-US"/>
              </w:rPr>
            </w:pPr>
            <w:r w:rsidRPr="008E791C">
              <w:rPr>
                <w:color w:val="FF0000"/>
                <w:szCs w:val="24"/>
                <w:lang w:eastAsia="en-US"/>
              </w:rPr>
              <w:t>$</w:t>
            </w:r>
            <w:r w:rsidR="006B3770" w:rsidRPr="008E791C">
              <w:rPr>
                <w:color w:val="FF0000"/>
                <w:szCs w:val="24"/>
                <w:lang w:eastAsia="en-US"/>
              </w:rPr>
              <w:t>(1,449,117)</w:t>
            </w:r>
          </w:p>
        </w:tc>
        <w:tc>
          <w:tcPr>
            <w:tcW w:w="2136" w:type="dxa"/>
            <w:tcBorders>
              <w:top w:val="nil"/>
              <w:left w:val="nil"/>
              <w:bottom w:val="single" w:sz="8" w:space="0" w:color="auto"/>
              <w:right w:val="single" w:sz="8" w:space="0" w:color="auto"/>
            </w:tcBorders>
            <w:shd w:val="clear" w:color="auto" w:fill="auto"/>
            <w:noWrap/>
          </w:tcPr>
          <w:p w:rsidR="006B3770" w:rsidRPr="008E791C" w:rsidRDefault="006B3770" w:rsidP="00B56012">
            <w:pPr>
              <w:keepNext/>
              <w:keepLines/>
              <w:spacing w:before="60" w:after="60" w:line="240" w:lineRule="auto"/>
              <w:ind w:firstLine="0"/>
              <w:jc w:val="right"/>
              <w:rPr>
                <w:color w:val="000000"/>
                <w:szCs w:val="24"/>
                <w:lang w:eastAsia="en-US"/>
              </w:rPr>
            </w:pP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.21 - South King Service Center</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212,048</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7,</w:t>
            </w:r>
            <w:r w:rsidR="005F0E0A" w:rsidRPr="008E791C">
              <w:rPr>
                <w:color w:val="000000"/>
                <w:szCs w:val="24"/>
                <w:lang w:eastAsia="en-US"/>
              </w:rPr>
              <w:t>775</w:t>
            </w:r>
            <w:r w:rsidR="00DC7537" w:rsidRPr="008E791C">
              <w:rPr>
                <w:color w:val="000000"/>
                <w:szCs w:val="24"/>
                <w:lang w:eastAsia="en-US"/>
              </w:rPr>
              <w:t>,</w:t>
            </w:r>
            <w:r w:rsidR="005F0E0A" w:rsidRPr="008E791C">
              <w:rPr>
                <w:color w:val="000000"/>
                <w:szCs w:val="24"/>
                <w:lang w:eastAsia="en-US"/>
              </w:rPr>
              <w:t>116</w:t>
            </w:r>
          </w:p>
        </w:tc>
      </w:tr>
      <w:tr w:rsidR="00DC7537" w:rsidRPr="008E791C" w:rsidTr="00E04F69">
        <w:trPr>
          <w:trHeight w:val="402"/>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keepNext/>
              <w:keepLines/>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SEF_15_CommADj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15</w:t>
            </w:r>
            <w:r w:rsidRPr="008E791C">
              <w:rPr>
                <w:color w:val="000000"/>
                <w:szCs w:val="24"/>
                <w:lang w:eastAsia="en-US"/>
              </w:rPr>
              <w:fldChar w:fldCharType="end"/>
            </w:r>
            <w:r w:rsidR="00DC7537" w:rsidRPr="008E791C">
              <w:rPr>
                <w:color w:val="000000"/>
                <w:szCs w:val="24"/>
                <w:lang w:eastAsia="en-US"/>
              </w:rPr>
              <w:t>.22 - Excise Tax and UTC Filing Fee</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keepNext/>
              <w:keepLines/>
              <w:spacing w:before="60" w:after="60" w:line="240" w:lineRule="auto"/>
              <w:ind w:firstLine="0"/>
              <w:jc w:val="right"/>
              <w:rPr>
                <w:color w:val="000000"/>
                <w:szCs w:val="24"/>
                <w:lang w:eastAsia="en-US"/>
              </w:rPr>
            </w:pPr>
            <w:r w:rsidRPr="008E791C">
              <w:rPr>
                <w:color w:val="000000"/>
                <w:szCs w:val="24"/>
                <w:lang w:eastAsia="en-US"/>
              </w:rPr>
              <w:t>$</w:t>
            </w:r>
            <w:r w:rsidR="00DC7537" w:rsidRPr="008E791C">
              <w:rPr>
                <w:color w:val="000000"/>
                <w:szCs w:val="24"/>
                <w:lang w:eastAsia="en-US"/>
              </w:rPr>
              <w:t>33,509</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DC7537" w:rsidP="00B56012">
            <w:pPr>
              <w:keepNext/>
              <w:keepLines/>
              <w:spacing w:before="60" w:after="60" w:line="240" w:lineRule="auto"/>
              <w:ind w:firstLine="0"/>
              <w:jc w:val="right"/>
              <w:rPr>
                <w:color w:val="000000"/>
                <w:szCs w:val="24"/>
                <w:lang w:eastAsia="en-US"/>
              </w:rPr>
            </w:pPr>
          </w:p>
        </w:tc>
      </w:tr>
      <w:tr w:rsidR="00DC7537" w:rsidRPr="008E791C" w:rsidTr="00E04F69">
        <w:trPr>
          <w:trHeight w:val="330"/>
        </w:trPr>
        <w:tc>
          <w:tcPr>
            <w:tcW w:w="4222" w:type="dxa"/>
            <w:tcBorders>
              <w:top w:val="nil"/>
              <w:left w:val="single" w:sz="8" w:space="0" w:color="auto"/>
              <w:bottom w:val="single" w:sz="8" w:space="0" w:color="auto"/>
              <w:right w:val="single" w:sz="8" w:space="0" w:color="auto"/>
            </w:tcBorders>
            <w:shd w:val="clear" w:color="auto" w:fill="auto"/>
            <w:noWrap/>
            <w:hideMark/>
          </w:tcPr>
          <w:p w:rsidR="00DC7537" w:rsidRPr="008E791C" w:rsidRDefault="00E04F69" w:rsidP="00B56012">
            <w:pPr>
              <w:spacing w:before="60" w:after="60" w:line="240" w:lineRule="auto"/>
              <w:ind w:firstLine="0"/>
              <w:jc w:val="both"/>
              <w:rPr>
                <w:color w:val="000000"/>
                <w:szCs w:val="24"/>
                <w:lang w:eastAsia="en-US"/>
              </w:rPr>
            </w:pPr>
            <w:r w:rsidRPr="008E791C">
              <w:rPr>
                <w:color w:val="000000"/>
                <w:szCs w:val="24"/>
                <w:lang w:eastAsia="en-US"/>
              </w:rPr>
              <w:fldChar w:fldCharType="begin"/>
            </w:r>
            <w:r w:rsidRPr="008E791C">
              <w:rPr>
                <w:color w:val="000000"/>
                <w:szCs w:val="24"/>
                <w:lang w:eastAsia="en-US"/>
              </w:rPr>
              <w:instrText xml:space="preserve"> REF SEF_16_GasAdj \h </w:instrText>
            </w:r>
            <w:r w:rsidR="008737B4" w:rsidRPr="008E791C">
              <w:rPr>
                <w:color w:val="000000"/>
                <w:szCs w:val="24"/>
                <w:lang w:eastAsia="en-US"/>
              </w:rPr>
              <w:instrText xml:space="preserve"> \* MERGEFORMAT </w:instrText>
            </w:r>
            <w:r w:rsidRPr="008E791C">
              <w:rPr>
                <w:color w:val="000000"/>
                <w:szCs w:val="24"/>
                <w:lang w:eastAsia="en-US"/>
              </w:rPr>
            </w:r>
            <w:r w:rsidRPr="008E791C">
              <w:rPr>
                <w:color w:val="000000"/>
                <w:szCs w:val="24"/>
                <w:lang w:eastAsia="en-US"/>
              </w:rPr>
              <w:fldChar w:fldCharType="separate"/>
            </w:r>
            <w:r w:rsidR="006B5E60" w:rsidRPr="008E791C">
              <w:rPr>
                <w:bCs/>
              </w:rPr>
              <w:t>16</w:t>
            </w:r>
            <w:r w:rsidRPr="008E791C">
              <w:rPr>
                <w:color w:val="000000"/>
                <w:szCs w:val="24"/>
                <w:lang w:eastAsia="en-US"/>
              </w:rPr>
              <w:fldChar w:fldCharType="end"/>
            </w:r>
            <w:r w:rsidR="00DC7537" w:rsidRPr="008E791C">
              <w:rPr>
                <w:color w:val="000000"/>
                <w:szCs w:val="24"/>
                <w:lang w:eastAsia="en-US"/>
              </w:rPr>
              <w:t>.</w:t>
            </w:r>
            <w:r w:rsidRPr="008E791C">
              <w:rPr>
                <w:color w:val="000000"/>
                <w:szCs w:val="24"/>
                <w:lang w:eastAsia="en-US"/>
              </w:rPr>
              <w:t>0</w:t>
            </w:r>
            <w:r w:rsidR="00DC7537" w:rsidRPr="008E791C">
              <w:rPr>
                <w:color w:val="000000"/>
                <w:szCs w:val="24"/>
                <w:lang w:eastAsia="en-US"/>
              </w:rPr>
              <w:t>1 - Cost Recovery Mechanism</w:t>
            </w:r>
          </w:p>
        </w:tc>
        <w:tc>
          <w:tcPr>
            <w:tcW w:w="189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spacing w:before="60" w:after="60" w:line="240" w:lineRule="auto"/>
              <w:ind w:firstLine="0"/>
              <w:jc w:val="right"/>
              <w:rPr>
                <w:color w:val="FF0000"/>
                <w:szCs w:val="24"/>
                <w:lang w:eastAsia="en-US"/>
              </w:rPr>
            </w:pPr>
            <w:r w:rsidRPr="008E791C">
              <w:rPr>
                <w:color w:val="FF0000"/>
                <w:szCs w:val="24"/>
                <w:lang w:eastAsia="en-US"/>
              </w:rPr>
              <w:t>$</w:t>
            </w:r>
            <w:r w:rsidR="00DC7537" w:rsidRPr="008E791C">
              <w:rPr>
                <w:color w:val="FF0000"/>
                <w:szCs w:val="24"/>
                <w:lang w:eastAsia="en-US"/>
              </w:rPr>
              <w:t>(</w:t>
            </w:r>
            <w:r w:rsidR="006B3770" w:rsidRPr="008E791C">
              <w:rPr>
                <w:color w:val="FF0000"/>
                <w:szCs w:val="24"/>
                <w:lang w:eastAsia="en-US"/>
              </w:rPr>
              <w:t>4,003,724</w:t>
            </w:r>
            <w:r w:rsidR="00DC7537" w:rsidRPr="008E791C">
              <w:rPr>
                <w:color w:val="FF0000"/>
                <w:szCs w:val="24"/>
                <w:lang w:eastAsia="en-US"/>
              </w:rPr>
              <w:t>)</w:t>
            </w:r>
          </w:p>
        </w:tc>
        <w:tc>
          <w:tcPr>
            <w:tcW w:w="2136" w:type="dxa"/>
            <w:tcBorders>
              <w:top w:val="nil"/>
              <w:left w:val="nil"/>
              <w:bottom w:val="single" w:sz="8" w:space="0" w:color="auto"/>
              <w:right w:val="single" w:sz="8" w:space="0" w:color="auto"/>
            </w:tcBorders>
            <w:shd w:val="clear" w:color="auto" w:fill="auto"/>
            <w:noWrap/>
            <w:hideMark/>
          </w:tcPr>
          <w:p w:rsidR="00DC7537" w:rsidRPr="008E791C" w:rsidRDefault="008737B4" w:rsidP="00B56012">
            <w:pPr>
              <w:spacing w:before="60" w:after="60" w:line="240" w:lineRule="auto"/>
              <w:ind w:firstLine="0"/>
              <w:jc w:val="right"/>
              <w:rPr>
                <w:color w:val="000000"/>
                <w:szCs w:val="24"/>
                <w:lang w:eastAsia="en-US"/>
              </w:rPr>
            </w:pPr>
            <w:r w:rsidRPr="008E791C">
              <w:rPr>
                <w:color w:val="000000"/>
                <w:szCs w:val="24"/>
                <w:lang w:eastAsia="en-US"/>
              </w:rPr>
              <w:t>$</w:t>
            </w:r>
            <w:r w:rsidR="007A238A" w:rsidRPr="008E791C">
              <w:rPr>
                <w:color w:val="000000"/>
                <w:szCs w:val="24"/>
                <w:lang w:eastAsia="en-US"/>
              </w:rPr>
              <w:t>19,011,807</w:t>
            </w:r>
          </w:p>
        </w:tc>
      </w:tr>
    </w:tbl>
    <w:p w:rsidR="006326F6" w:rsidRPr="008E791C" w:rsidRDefault="006326F6" w:rsidP="00B56012">
      <w:pPr>
        <w:pStyle w:val="question"/>
      </w:pPr>
      <w:r w:rsidRPr="008E791C">
        <w:lastRenderedPageBreak/>
        <w:t>Q.</w:t>
      </w:r>
      <w:r w:rsidRPr="008E791C">
        <w:tab/>
        <w:t>Are there adjustments where PSE and other parties differ, but which are not contested?</w:t>
      </w:r>
    </w:p>
    <w:p w:rsidR="006326F6" w:rsidRPr="008E791C" w:rsidRDefault="006326F6" w:rsidP="00B56012">
      <w:pPr>
        <w:pStyle w:val="answer"/>
        <w:rPr>
          <w:rFonts w:eastAsia="SimSun"/>
        </w:rPr>
      </w:pPr>
      <w:r w:rsidRPr="008E791C">
        <w:rPr>
          <w:rFonts w:eastAsia="SimSun"/>
        </w:rPr>
        <w:t>A.</w:t>
      </w:r>
      <w:r w:rsidRPr="008E791C">
        <w:rPr>
          <w:rFonts w:eastAsia="SimSun"/>
        </w:rPr>
        <w:tab/>
        <w:t>Yes.</w:t>
      </w:r>
      <w:r w:rsidR="009C6954" w:rsidRPr="008E791C">
        <w:rPr>
          <w:rFonts w:eastAsia="SimSun"/>
        </w:rPr>
        <w:t xml:space="preserve"> </w:t>
      </w:r>
      <w:r w:rsidRPr="008E791C">
        <w:rPr>
          <w:rFonts w:eastAsia="SimSun"/>
        </w:rPr>
        <w:t>Below is a list of those adjustments and</w:t>
      </w:r>
      <w:r w:rsidR="00C56D8E" w:rsidRPr="008E791C">
        <w:rPr>
          <w:rFonts w:eastAsia="SimSun"/>
        </w:rPr>
        <w:t xml:space="preserve"> an</w:t>
      </w:r>
      <w:r w:rsidRPr="008E791C">
        <w:rPr>
          <w:rFonts w:eastAsia="SimSun"/>
        </w:rPr>
        <w:t xml:space="preserve"> explanation as to why PSE</w:t>
      </w:r>
      <w:r w:rsidR="009C6954" w:rsidRPr="008E791C">
        <w:rPr>
          <w:rFonts w:eastAsia="SimSun"/>
        </w:rPr>
        <w:t>’</w:t>
      </w:r>
      <w:r w:rsidRPr="008E791C">
        <w:rPr>
          <w:rFonts w:eastAsia="SimSun"/>
        </w:rPr>
        <w:t xml:space="preserve">s </w:t>
      </w:r>
      <w:r w:rsidR="0065105B" w:rsidRPr="008E791C">
        <w:rPr>
          <w:rFonts w:eastAsia="SimSun"/>
        </w:rPr>
        <w:t xml:space="preserve">adjustment has changed since its original filing or why the </w:t>
      </w:r>
      <w:r w:rsidRPr="008E791C">
        <w:rPr>
          <w:rFonts w:eastAsia="SimSun"/>
        </w:rPr>
        <w:t>adjustment differs from other parties</w:t>
      </w:r>
      <w:r w:rsidR="009C6954" w:rsidRPr="008E791C">
        <w:rPr>
          <w:rFonts w:eastAsia="SimSun"/>
        </w:rPr>
        <w:t>’</w:t>
      </w:r>
      <w:r w:rsidR="00D04753" w:rsidRPr="008E791C">
        <w:rPr>
          <w:rFonts w:eastAsia="SimSun"/>
        </w:rPr>
        <w:t xml:space="preserve"> adjustments</w:t>
      </w:r>
      <w:r w:rsidRPr="008E791C">
        <w:rPr>
          <w:rFonts w:eastAsia="SimSun"/>
        </w:rPr>
        <w:t>.</w:t>
      </w:r>
    </w:p>
    <w:p w:rsidR="006326F6" w:rsidRPr="008E791C" w:rsidRDefault="00D04753" w:rsidP="00B56012">
      <w:pPr>
        <w:pStyle w:val="Heading2"/>
      </w:pPr>
      <w:bookmarkStart w:id="36" w:name="_Toc489961822"/>
      <w:r w:rsidRPr="008E791C">
        <w:rPr>
          <w:u w:val="none"/>
        </w:rPr>
        <w:t>A.</w:t>
      </w:r>
      <w:r w:rsidRPr="008E791C">
        <w:rPr>
          <w:u w:val="none"/>
        </w:rPr>
        <w:tab/>
      </w:r>
      <w:r w:rsidR="006326F6" w:rsidRPr="008E791C">
        <w:t xml:space="preserve">Tax Benefit of </w:t>
      </w:r>
      <w:proofErr w:type="spellStart"/>
      <w:r w:rsidR="006326F6" w:rsidRPr="008E791C">
        <w:t>Proforma</w:t>
      </w:r>
      <w:proofErr w:type="spellEnd"/>
      <w:r w:rsidR="006326F6" w:rsidRPr="008E791C">
        <w:t xml:space="preserve"> Interest, Adjustment </w:t>
      </w:r>
      <w:r w:rsidR="00C46BC7" w:rsidRPr="008E791C">
        <w:t>KJB</w:t>
      </w:r>
      <w:r w:rsidR="00001B6B">
        <w:t>-</w:t>
      </w:r>
      <w:r w:rsidR="00EC0897" w:rsidRPr="008E791C">
        <w:t>20</w:t>
      </w:r>
      <w:r w:rsidR="00E04F69" w:rsidRPr="008E791C">
        <w:t>.</w:t>
      </w:r>
      <w:r w:rsidR="00C46BC7" w:rsidRPr="008E791C">
        <w:t>05 and SEF</w:t>
      </w:r>
      <w:r w:rsidR="00001B6B">
        <w:t>-15</w:t>
      </w:r>
      <w:r w:rsidR="006326F6" w:rsidRPr="008E791C">
        <w:t>.05</w:t>
      </w:r>
      <w:bookmarkEnd w:id="36"/>
    </w:p>
    <w:p w:rsidR="00C1478C" w:rsidRPr="008E791C" w:rsidRDefault="00C1478C" w:rsidP="00B56012">
      <w:pPr>
        <w:pStyle w:val="answer"/>
        <w:ind w:firstLine="0"/>
        <w:rPr>
          <w:rFonts w:eastAsia="SimSun"/>
        </w:rPr>
      </w:pPr>
      <w:r w:rsidRPr="008E791C">
        <w:rPr>
          <w:rFonts w:eastAsia="SimSun"/>
        </w:rPr>
        <w:t>Parties do not contest the way that the tax benefit of interest is calculated.</w:t>
      </w:r>
      <w:r w:rsidR="009C6954" w:rsidRPr="008E791C">
        <w:rPr>
          <w:rFonts w:eastAsia="SimSun"/>
        </w:rPr>
        <w:t xml:space="preserve"> </w:t>
      </w:r>
      <w:r w:rsidRPr="008E791C">
        <w:rPr>
          <w:rFonts w:eastAsia="SimSun"/>
        </w:rPr>
        <w:t>However, since rate base is a factor in determining th</w:t>
      </w:r>
      <w:r w:rsidR="00A406BF" w:rsidRPr="008E791C">
        <w:rPr>
          <w:rFonts w:eastAsia="SimSun"/>
        </w:rPr>
        <w:t xml:space="preserve">e tax benefit of interest, </w:t>
      </w:r>
      <w:r w:rsidRPr="008E791C">
        <w:rPr>
          <w:rFonts w:eastAsia="SimSun"/>
        </w:rPr>
        <w:t>the total amount of this adjustment will differ between PSE and other parties where there are differences associated with rate base items.</w:t>
      </w:r>
    </w:p>
    <w:p w:rsidR="00BD726F" w:rsidRPr="008E791C" w:rsidRDefault="00BD726F" w:rsidP="00B56012">
      <w:pPr>
        <w:pStyle w:val="Heading2"/>
      </w:pPr>
      <w:bookmarkStart w:id="37" w:name="_Toc489961823"/>
      <w:r w:rsidRPr="008E791C">
        <w:rPr>
          <w:u w:val="none"/>
        </w:rPr>
        <w:t>B.</w:t>
      </w:r>
      <w:r w:rsidR="00D04753" w:rsidRPr="008E791C">
        <w:rPr>
          <w:u w:val="none"/>
        </w:rPr>
        <w:tab/>
      </w:r>
      <w:r w:rsidRPr="008E791C">
        <w:t>Payment Processing Costs, Adjustment KJB-</w:t>
      </w:r>
      <w:r w:rsidR="00EC0897" w:rsidRPr="008E791C">
        <w:t>20</w:t>
      </w:r>
      <w:r w:rsidRPr="008E791C">
        <w:t>.20 and SEF-</w:t>
      </w:r>
      <w:r w:rsidR="00164C58">
        <w:t>15</w:t>
      </w:r>
      <w:r w:rsidRPr="008E791C">
        <w:t>.20</w:t>
      </w:r>
      <w:bookmarkEnd w:id="37"/>
    </w:p>
    <w:p w:rsidR="00BD726F" w:rsidRPr="008E791C" w:rsidRDefault="00BD726F" w:rsidP="00B56012">
      <w:pPr>
        <w:pStyle w:val="answer"/>
        <w:ind w:firstLine="0"/>
        <w:rPr>
          <w:rFonts w:eastAsia="SimSun"/>
        </w:rPr>
      </w:pPr>
      <w:r w:rsidRPr="008E791C">
        <w:t>PSE has accepted the lengthening of the Payment Processing Deferral from one year to three years that has been proposed by Commission Staff and Public Counsel.</w:t>
      </w:r>
      <w:r w:rsidR="009C6954" w:rsidRPr="008E791C">
        <w:t xml:space="preserve"> </w:t>
      </w:r>
      <w:r w:rsidR="00303154" w:rsidRPr="008E791C">
        <w:t>ICNU and NWIGU have indicated they are neutral related to this adjustment.</w:t>
      </w:r>
      <w:r w:rsidR="00E56AE7" w:rsidRPr="008E791C">
        <w:rPr>
          <w:rStyle w:val="FootnoteReference"/>
        </w:rPr>
        <w:footnoteReference w:id="2"/>
      </w:r>
      <w:r w:rsidR="009C6954" w:rsidRPr="008E791C">
        <w:t xml:space="preserve"> </w:t>
      </w:r>
      <w:r w:rsidRPr="008E791C">
        <w:t>Therefore, this adjustment is no longer contested and the change to net operating income for this adjustment is a decrease of $2,010,221 for electric and $1,449,117 for natural gas operations.</w:t>
      </w:r>
    </w:p>
    <w:p w:rsidR="00776FB6" w:rsidRPr="008E791C" w:rsidRDefault="00D04753" w:rsidP="00B56012">
      <w:pPr>
        <w:pStyle w:val="Heading2"/>
      </w:pPr>
      <w:bookmarkStart w:id="38" w:name="_Toc489961824"/>
      <w:r w:rsidRPr="008E791C">
        <w:rPr>
          <w:u w:val="none"/>
        </w:rPr>
        <w:lastRenderedPageBreak/>
        <w:t>C.</w:t>
      </w:r>
      <w:r w:rsidRPr="008E791C">
        <w:rPr>
          <w:u w:val="none"/>
        </w:rPr>
        <w:tab/>
      </w:r>
      <w:r w:rsidR="00776FB6" w:rsidRPr="008E791C">
        <w:t xml:space="preserve">Changes by PSE at Supplemental </w:t>
      </w:r>
      <w:r w:rsidRPr="008E791C">
        <w:t>I</w:t>
      </w:r>
      <w:r w:rsidR="00776FB6" w:rsidRPr="008E791C">
        <w:t>gnored by ICNU and NWIGU</w:t>
      </w:r>
      <w:bookmarkEnd w:id="38"/>
    </w:p>
    <w:p w:rsidR="00776FB6" w:rsidRPr="008E791C" w:rsidRDefault="00776FB6" w:rsidP="00B56012">
      <w:pPr>
        <w:pStyle w:val="question"/>
      </w:pPr>
      <w:r w:rsidRPr="008E791C">
        <w:t>Q.</w:t>
      </w:r>
      <w:r w:rsidRPr="008E791C">
        <w:tab/>
        <w:t>Are there other adjustments to natural gas operations where ICNU and NWIGU differ</w:t>
      </w:r>
      <w:r w:rsidR="00442099" w:rsidRPr="008E791C">
        <w:t xml:space="preserve"> from PSE</w:t>
      </w:r>
      <w:r w:rsidRPr="008E791C">
        <w:t xml:space="preserve"> that were not described as differences by Mr. Mullins?</w:t>
      </w:r>
    </w:p>
    <w:p w:rsidR="00776FB6" w:rsidRPr="008E791C" w:rsidRDefault="00776FB6" w:rsidP="00B56012">
      <w:pPr>
        <w:pStyle w:val="answer"/>
        <w:rPr>
          <w:rFonts w:eastAsia="SimSun"/>
        </w:rPr>
      </w:pPr>
      <w:r w:rsidRPr="008E791C">
        <w:t>A.</w:t>
      </w:r>
      <w:r w:rsidRPr="008E791C">
        <w:tab/>
        <w:t>Yes.</w:t>
      </w:r>
      <w:r w:rsidR="009C6954" w:rsidRPr="008E791C">
        <w:t xml:space="preserve"> </w:t>
      </w:r>
      <w:r w:rsidRPr="008E791C">
        <w:t>After reviewing Mr. Mullins</w:t>
      </w:r>
      <w:r w:rsidR="009C6954" w:rsidRPr="008E791C">
        <w:t>’</w:t>
      </w:r>
      <w:r w:rsidRPr="008E791C">
        <w:t xml:space="preserve"> work papers, it became apparent that there are other adjustments to natural gas operations where ICNU and NWIGU differ from PSE, but that were not described as differences by Mr. Mullins.</w:t>
      </w:r>
      <w:r w:rsidR="009C6954" w:rsidRPr="008E791C">
        <w:t xml:space="preserve"> </w:t>
      </w:r>
      <w:r w:rsidRPr="008E791C">
        <w:t xml:space="preserve">It appears that Mr. Mullins has ignored the updates made by </w:t>
      </w:r>
      <w:r w:rsidR="006E0FF1" w:rsidRPr="008E791C">
        <w:t>PSE</w:t>
      </w:r>
      <w:r w:rsidRPr="008E791C">
        <w:t xml:space="preserve"> in its supplemental filing and did not specifically accept or reject these updates.</w:t>
      </w:r>
      <w:r w:rsidR="009C6954" w:rsidRPr="008E791C">
        <w:t xml:space="preserve"> </w:t>
      </w:r>
    </w:p>
    <w:p w:rsidR="00776FB6" w:rsidRPr="008E791C" w:rsidRDefault="00776FB6" w:rsidP="00B56012">
      <w:pPr>
        <w:pStyle w:val="question"/>
      </w:pPr>
      <w:r w:rsidRPr="008E791C">
        <w:t>Q.</w:t>
      </w:r>
      <w:r w:rsidRPr="008E791C">
        <w:tab/>
        <w:t>What adjustments were updated at supplemental and ignored by Mr. Mullins?</w:t>
      </w:r>
    </w:p>
    <w:p w:rsidR="00776FB6" w:rsidRPr="008E791C" w:rsidRDefault="00776FB6" w:rsidP="00B56012">
      <w:pPr>
        <w:pStyle w:val="answer"/>
        <w:rPr>
          <w:rFonts w:eastAsia="SimSun"/>
        </w:rPr>
      </w:pPr>
      <w:r w:rsidRPr="008E791C">
        <w:t>A.</w:t>
      </w:r>
      <w:r w:rsidRPr="008E791C">
        <w:tab/>
        <w:t>The following natural gas adjustments were changed in PSE</w:t>
      </w:r>
      <w:r w:rsidR="009C6954" w:rsidRPr="008E791C">
        <w:t>’</w:t>
      </w:r>
      <w:r w:rsidRPr="008E791C">
        <w:t xml:space="preserve"> </w:t>
      </w:r>
      <w:r w:rsidR="009B38A7" w:rsidRPr="008E791C">
        <w:t xml:space="preserve">supplemental filing </w:t>
      </w:r>
      <w:r w:rsidRPr="008E791C">
        <w:t xml:space="preserve">made on April 3, 2017 for the reasons discussed in my </w:t>
      </w:r>
      <w:r w:rsidR="009B38A7" w:rsidRPr="008E791C">
        <w:t>prefiled supplemental testimony</w:t>
      </w:r>
      <w:r w:rsidRPr="008E791C">
        <w:t>, Exhibit SEF-8T:</w:t>
      </w:r>
    </w:p>
    <w:p w:rsidR="008737B4" w:rsidRPr="008E791C" w:rsidRDefault="00776FB6" w:rsidP="00B56012">
      <w:pPr>
        <w:spacing w:line="240" w:lineRule="auto"/>
        <w:ind w:left="1440" w:firstLine="0"/>
        <w:jc w:val="both"/>
      </w:pPr>
      <w:r w:rsidRPr="008E791C">
        <w:t>SEF-11.02 Temperature Normalization</w:t>
      </w:r>
    </w:p>
    <w:p w:rsidR="008737B4" w:rsidRPr="008E791C" w:rsidRDefault="00776FB6" w:rsidP="00B56012">
      <w:pPr>
        <w:spacing w:line="240" w:lineRule="auto"/>
        <w:ind w:left="1440" w:firstLine="0"/>
        <w:jc w:val="both"/>
      </w:pPr>
      <w:r w:rsidRPr="008E791C">
        <w:t>SEF-11.08 Bad Debt Expense</w:t>
      </w:r>
    </w:p>
    <w:p w:rsidR="008737B4" w:rsidRPr="008E791C" w:rsidRDefault="00776FB6" w:rsidP="00B56012">
      <w:pPr>
        <w:spacing w:line="240" w:lineRule="auto"/>
        <w:ind w:left="1440" w:firstLine="0"/>
        <w:jc w:val="both"/>
      </w:pPr>
      <w:r w:rsidRPr="008E791C">
        <w:t>SEF-11.09 Incentive Pay</w:t>
      </w:r>
    </w:p>
    <w:p w:rsidR="008737B4" w:rsidRPr="008E791C" w:rsidRDefault="00776FB6" w:rsidP="00B56012">
      <w:pPr>
        <w:spacing w:line="240" w:lineRule="auto"/>
        <w:ind w:left="1440" w:firstLine="0"/>
        <w:jc w:val="both"/>
      </w:pPr>
      <w:r w:rsidRPr="008E791C">
        <w:t>SEF-11.11 Interest on Customer Deposits</w:t>
      </w:r>
    </w:p>
    <w:p w:rsidR="008737B4" w:rsidRPr="008E791C" w:rsidRDefault="00776FB6" w:rsidP="00B56012">
      <w:pPr>
        <w:spacing w:line="240" w:lineRule="auto"/>
        <w:ind w:left="1440" w:firstLine="0"/>
        <w:jc w:val="both"/>
      </w:pPr>
      <w:r w:rsidRPr="008E791C">
        <w:t>SEF-11.16 Wage Increase</w:t>
      </w:r>
    </w:p>
    <w:p w:rsidR="00776FB6" w:rsidRPr="008E791C" w:rsidRDefault="00776FB6" w:rsidP="00B56012">
      <w:pPr>
        <w:spacing w:after="360" w:line="240" w:lineRule="auto"/>
        <w:ind w:left="1440" w:firstLine="0"/>
        <w:jc w:val="both"/>
      </w:pPr>
      <w:r w:rsidRPr="008E791C">
        <w:t>SEF-11.17 Investment</w:t>
      </w:r>
    </w:p>
    <w:p w:rsidR="00776FB6" w:rsidRPr="008E791C" w:rsidRDefault="00776FB6" w:rsidP="00B56012">
      <w:pPr>
        <w:pStyle w:val="answer"/>
        <w:ind w:firstLine="0"/>
        <w:rPr>
          <w:rFonts w:eastAsia="SimSun"/>
        </w:rPr>
      </w:pPr>
      <w:r w:rsidRPr="008E791C">
        <w:t xml:space="preserve">Commission Staff </w:t>
      </w:r>
      <w:r w:rsidR="009B38A7" w:rsidRPr="008E791C">
        <w:t xml:space="preserve">filed testimony addressing </w:t>
      </w:r>
      <w:r w:rsidRPr="008E791C">
        <w:t>temperature normalization</w:t>
      </w:r>
      <w:r w:rsidR="009B38A7" w:rsidRPr="008E791C">
        <w:t>, but other than that, no party</w:t>
      </w:r>
      <w:r w:rsidRPr="008E791C">
        <w:t xml:space="preserve"> provided testimony contesting t</w:t>
      </w:r>
      <w:r w:rsidR="009B38A7" w:rsidRPr="008E791C">
        <w:t>hese adjustments, including Mr. </w:t>
      </w:r>
      <w:r w:rsidRPr="008E791C">
        <w:t>Mullins for ICNU and NWIGU.</w:t>
      </w:r>
      <w:r w:rsidR="009C6954" w:rsidRPr="008E791C">
        <w:t xml:space="preserve"> </w:t>
      </w:r>
      <w:r w:rsidRPr="008E791C">
        <w:t xml:space="preserve">Absent testimony directly contesting these adjustments, </w:t>
      </w:r>
      <w:r w:rsidR="006E0FF1" w:rsidRPr="008E791C">
        <w:t>PSE</w:t>
      </w:r>
      <w:r w:rsidRPr="008E791C">
        <w:t xml:space="preserve"> must assume that it was an oversight on the part of Mr. Mullins.</w:t>
      </w:r>
      <w:r w:rsidR="009C6954" w:rsidRPr="008E791C">
        <w:t xml:space="preserve"> </w:t>
      </w:r>
      <w:r w:rsidRPr="008E791C">
        <w:lastRenderedPageBreak/>
        <w:t xml:space="preserve">Therefore, any differences in the proposed revenue requirement between PSE and ICNU and NWIGU resulting from these adjustments should be rejected and </w:t>
      </w:r>
      <w:r w:rsidR="006E0FF1" w:rsidRPr="008E791C">
        <w:t>PSE</w:t>
      </w:r>
      <w:r w:rsidR="009C6954" w:rsidRPr="008E791C">
        <w:t>’</w:t>
      </w:r>
      <w:r w:rsidRPr="008E791C">
        <w:t>s adjustment should be approved.</w:t>
      </w:r>
    </w:p>
    <w:p w:rsidR="00680EDB" w:rsidRPr="008E791C" w:rsidRDefault="008737B4" w:rsidP="00B56012">
      <w:pPr>
        <w:pStyle w:val="Heading1"/>
      </w:pPr>
      <w:bookmarkStart w:id="39" w:name="_Toc489961825"/>
      <w:r w:rsidRPr="008E791C">
        <w:t>I</w:t>
      </w:r>
      <w:r w:rsidR="009C6954" w:rsidRPr="008E791C">
        <w:t>V</w:t>
      </w:r>
      <w:r w:rsidRPr="008E791C">
        <w:t>.</w:t>
      </w:r>
      <w:r w:rsidRPr="008E791C">
        <w:tab/>
      </w:r>
      <w:r w:rsidR="006326F6" w:rsidRPr="008E791C">
        <w:t xml:space="preserve">CERTAIN COMMON </w:t>
      </w:r>
      <w:r w:rsidR="0085465A" w:rsidRPr="008E791C">
        <w:t>CONTESTED ADJUSTMENTS</w:t>
      </w:r>
      <w:bookmarkEnd w:id="39"/>
    </w:p>
    <w:p w:rsidR="00680EDB" w:rsidRPr="008E791C" w:rsidRDefault="00680EDB" w:rsidP="00B56012">
      <w:pPr>
        <w:pStyle w:val="question"/>
      </w:pPr>
      <w:r w:rsidRPr="008E791C">
        <w:t>Q.</w:t>
      </w:r>
      <w:r w:rsidRPr="008E791C">
        <w:tab/>
        <w:t xml:space="preserve">Would you please describe the difference between </w:t>
      </w:r>
      <w:r w:rsidR="006E0FF1" w:rsidRPr="008E791C">
        <w:t>PSE</w:t>
      </w:r>
      <w:r w:rsidRPr="008E791C">
        <w:t xml:space="preserve"> and other parties on the contested adjustments you are </w:t>
      </w:r>
      <w:r w:rsidR="008942CA" w:rsidRPr="008E791C">
        <w:t xml:space="preserve">addressing </w:t>
      </w:r>
      <w:r w:rsidRPr="008E791C">
        <w:t>in your testimony?</w:t>
      </w:r>
    </w:p>
    <w:p w:rsidR="00680EDB" w:rsidRPr="008E791C" w:rsidRDefault="00680EDB" w:rsidP="00B56012">
      <w:pPr>
        <w:pStyle w:val="answer"/>
      </w:pPr>
      <w:r w:rsidRPr="008E791C">
        <w:t>A.</w:t>
      </w:r>
      <w:r w:rsidRPr="008E791C">
        <w:rPr>
          <w:b/>
        </w:rPr>
        <w:tab/>
      </w:r>
      <w:r w:rsidRPr="008E791C">
        <w:t xml:space="preserve">The impact on natural gas net operating income and rate base for each </w:t>
      </w:r>
      <w:r w:rsidR="006E0FF1" w:rsidRPr="008E791C">
        <w:t>PSE adjustment</w:t>
      </w:r>
      <w:r w:rsidRPr="008E791C">
        <w:t xml:space="preserve"> is summarized on Exhibit SEF-</w:t>
      </w:r>
      <w:r w:rsidR="00164C58">
        <w:t>14</w:t>
      </w:r>
      <w:r w:rsidRPr="008E791C">
        <w:t>.</w:t>
      </w:r>
      <w:r w:rsidR="009C6954" w:rsidRPr="008E791C">
        <w:t xml:space="preserve"> </w:t>
      </w:r>
      <w:r w:rsidR="000F7B1B" w:rsidRPr="008E791C">
        <w:t>A</w:t>
      </w:r>
      <w:r w:rsidRPr="008E791C">
        <w:t xml:space="preserve">ll </w:t>
      </w:r>
      <w:r w:rsidR="000F7B1B" w:rsidRPr="008E791C">
        <w:t xml:space="preserve">of </w:t>
      </w:r>
      <w:r w:rsidRPr="008E791C">
        <w:t xml:space="preserve">the contested adjustments I will discuss are common to both electric and </w:t>
      </w:r>
      <w:r w:rsidR="000F7B1B" w:rsidRPr="008E791C">
        <w:t xml:space="preserve">natural </w:t>
      </w:r>
      <w:r w:rsidRPr="008E791C">
        <w:t>gas</w:t>
      </w:r>
      <w:r w:rsidR="00D04753" w:rsidRPr="008E791C">
        <w:t>,</w:t>
      </w:r>
      <w:r w:rsidR="000F7B1B" w:rsidRPr="008E791C">
        <w:t xml:space="preserve"> and I will discuss why the Commission should adopt </w:t>
      </w:r>
      <w:r w:rsidR="00691BE3" w:rsidRPr="008E791C">
        <w:t>PSE</w:t>
      </w:r>
      <w:r w:rsidR="009C6954" w:rsidRPr="008E791C">
        <w:t>’</w:t>
      </w:r>
      <w:r w:rsidR="00691BE3" w:rsidRPr="008E791C">
        <w:t xml:space="preserve">s </w:t>
      </w:r>
      <w:r w:rsidR="000F7B1B" w:rsidRPr="008E791C">
        <w:t>proposed adjustments</w:t>
      </w:r>
      <w:r w:rsidRPr="008E791C">
        <w:t>.</w:t>
      </w:r>
      <w:r w:rsidR="009C6954" w:rsidRPr="008E791C">
        <w:t xml:space="preserve"> </w:t>
      </w:r>
      <w:r w:rsidR="000F7B1B" w:rsidRPr="008E791C">
        <w:t xml:space="preserve">Additionally, </w:t>
      </w:r>
      <w:r w:rsidRPr="008E791C">
        <w:t xml:space="preserve">I am presenting the </w:t>
      </w:r>
      <w:r w:rsidR="000F7B1B" w:rsidRPr="008E791C">
        <w:t xml:space="preserve">impact of these adjustments on natural gas operations and am presenting the </w:t>
      </w:r>
      <w:r w:rsidRPr="008E791C">
        <w:t>overall impact on the natural gas revenue deficiency in my testimony.</w:t>
      </w:r>
      <w:r w:rsidR="009C6954" w:rsidRPr="008E791C">
        <w:t xml:space="preserve"> </w:t>
      </w:r>
      <w:r w:rsidR="000F7B1B" w:rsidRPr="008E791C">
        <w:t xml:space="preserve">PSE witness Ms. Katherine J. Barnard will be presenting the electric only </w:t>
      </w:r>
      <w:r w:rsidR="00D04753" w:rsidRPr="008E791C">
        <w:t xml:space="preserve">adjustments </w:t>
      </w:r>
      <w:r w:rsidR="000F7B1B" w:rsidRPr="008E791C">
        <w:t xml:space="preserve">and </w:t>
      </w:r>
      <w:r w:rsidR="00F35CBF" w:rsidRPr="008E791C">
        <w:t>the remaining</w:t>
      </w:r>
      <w:r w:rsidR="000F7B1B" w:rsidRPr="008E791C">
        <w:t xml:space="preserve"> common adjustments that are contested between PSE and the parties</w:t>
      </w:r>
      <w:r w:rsidR="00231D3D" w:rsidRPr="008E791C">
        <w:t>,</w:t>
      </w:r>
      <w:r w:rsidR="000F7B1B" w:rsidRPr="008E791C">
        <w:t xml:space="preserve"> and </w:t>
      </w:r>
      <w:r w:rsidR="00231D3D" w:rsidRPr="008E791C">
        <w:t xml:space="preserve">she explains </w:t>
      </w:r>
      <w:r w:rsidR="000F7B1B" w:rsidRPr="008E791C">
        <w:t xml:space="preserve">why the Commission should adopt </w:t>
      </w:r>
      <w:r w:rsidR="00691BE3" w:rsidRPr="008E791C">
        <w:t>PSE</w:t>
      </w:r>
      <w:r w:rsidR="009C6954" w:rsidRPr="008E791C">
        <w:t>’</w:t>
      </w:r>
      <w:r w:rsidR="00691BE3" w:rsidRPr="008E791C">
        <w:t xml:space="preserve">s </w:t>
      </w:r>
      <w:r w:rsidR="000F7B1B" w:rsidRPr="008E791C">
        <w:t>proposed adjustments.</w:t>
      </w:r>
      <w:r w:rsidR="009C6954" w:rsidRPr="008E791C">
        <w:t xml:space="preserve"> </w:t>
      </w:r>
      <w:r w:rsidR="000F7B1B" w:rsidRPr="008E791C">
        <w:t>M</w:t>
      </w:r>
      <w:r w:rsidR="00F06D9E" w:rsidRPr="008E791C">
        <w:t>s</w:t>
      </w:r>
      <w:r w:rsidR="000F7B1B" w:rsidRPr="008E791C">
        <w:t>. Barnard will also present the impact of those adjustments on electric operations and will present PSE</w:t>
      </w:r>
      <w:r w:rsidR="009C6954" w:rsidRPr="008E791C">
        <w:t>’</w:t>
      </w:r>
      <w:r w:rsidR="000F7B1B" w:rsidRPr="008E791C">
        <w:t>s base rates revenue deficiency for electric.</w:t>
      </w:r>
    </w:p>
    <w:p w:rsidR="00F06D9E" w:rsidRPr="008E791C" w:rsidRDefault="00D04753" w:rsidP="00B56012">
      <w:pPr>
        <w:pStyle w:val="Heading2"/>
      </w:pPr>
      <w:bookmarkStart w:id="40" w:name="_Toc489961826"/>
      <w:r w:rsidRPr="008E791C">
        <w:rPr>
          <w:u w:val="none"/>
        </w:rPr>
        <w:lastRenderedPageBreak/>
        <w:t>A.</w:t>
      </w:r>
      <w:r w:rsidRPr="008E791C">
        <w:rPr>
          <w:u w:val="none"/>
        </w:rPr>
        <w:tab/>
      </w:r>
      <w:r w:rsidR="00F06D9E" w:rsidRPr="008E791C">
        <w:t xml:space="preserve">Temperature Normalization, Adjustment </w:t>
      </w:r>
      <w:r w:rsidR="00C46BC7" w:rsidRPr="008E791C">
        <w:t>KJB</w:t>
      </w:r>
      <w:r w:rsidR="00001B6B">
        <w:t>-</w:t>
      </w:r>
      <w:r w:rsidR="00E04F69" w:rsidRPr="008E791C">
        <w:t>2</w:t>
      </w:r>
      <w:r w:rsidR="00EC0897" w:rsidRPr="008E791C">
        <w:t>0</w:t>
      </w:r>
      <w:r w:rsidR="00E04F69" w:rsidRPr="008E791C">
        <w:t>.</w:t>
      </w:r>
      <w:r w:rsidR="00C46BC7" w:rsidRPr="008E791C">
        <w:t>02 and SEF</w:t>
      </w:r>
      <w:r w:rsidR="00001B6B">
        <w:t>-15</w:t>
      </w:r>
      <w:r w:rsidR="00F06D9E" w:rsidRPr="008E791C">
        <w:t>.02</w:t>
      </w:r>
      <w:bookmarkEnd w:id="40"/>
    </w:p>
    <w:p w:rsidR="00803263" w:rsidRPr="008E791C" w:rsidRDefault="00803263" w:rsidP="00B56012">
      <w:pPr>
        <w:pStyle w:val="question"/>
      </w:pPr>
      <w:r w:rsidRPr="008E791C">
        <w:t>Q.</w:t>
      </w:r>
      <w:r w:rsidRPr="008E791C">
        <w:tab/>
      </w:r>
      <w:r w:rsidR="0097689B" w:rsidRPr="008E791C">
        <w:t>Please explain</w:t>
      </w:r>
      <w:r w:rsidR="00A375F0" w:rsidRPr="008E791C">
        <w:t xml:space="preserve"> the difference between </w:t>
      </w:r>
      <w:r w:rsidR="006E0FF1" w:rsidRPr="008E791C">
        <w:t>PSE</w:t>
      </w:r>
      <w:r w:rsidR="00A375F0" w:rsidRPr="008E791C">
        <w:t xml:space="preserve"> and Commission Staff </w:t>
      </w:r>
      <w:r w:rsidR="00876E8C" w:rsidRPr="008E791C">
        <w:t>with respect to</w:t>
      </w:r>
      <w:r w:rsidR="00A375F0" w:rsidRPr="008E791C">
        <w:t xml:space="preserve"> </w:t>
      </w:r>
      <w:r w:rsidR="00F675CD" w:rsidRPr="008E791C">
        <w:t>the temperature normalization</w:t>
      </w:r>
      <w:r w:rsidR="00A375F0" w:rsidRPr="008E791C">
        <w:t xml:space="preserve"> adjustment.</w:t>
      </w:r>
    </w:p>
    <w:p w:rsidR="00803263" w:rsidRPr="008E791C" w:rsidRDefault="008737B4" w:rsidP="00B56012">
      <w:pPr>
        <w:pStyle w:val="answer"/>
      </w:pPr>
      <w:r w:rsidRPr="008E791C">
        <w:t>A.</w:t>
      </w:r>
      <w:r w:rsidR="00A375F0" w:rsidRPr="008E791C">
        <w:tab/>
        <w:t>Commission Staff recommends this adjustment be calculated using the system level weather normalization.</w:t>
      </w:r>
      <w:r w:rsidR="009C6954" w:rsidRPr="008E791C">
        <w:t xml:space="preserve"> </w:t>
      </w:r>
      <w:r w:rsidR="00E373D7" w:rsidRPr="008E791C">
        <w:t xml:space="preserve">Please see the Rebuttal Testimony of Dr. Chun K. Chang, Exhibit </w:t>
      </w:r>
      <w:r w:rsidR="00231D3D" w:rsidRPr="008E791C">
        <w:t>CKC</w:t>
      </w:r>
      <w:r w:rsidR="00E373D7" w:rsidRPr="008E791C">
        <w:t>-3T</w:t>
      </w:r>
      <w:r w:rsidR="00876E8C" w:rsidRPr="008E791C">
        <w:t>,</w:t>
      </w:r>
      <w:r w:rsidR="00E373D7" w:rsidRPr="008E791C">
        <w:t xml:space="preserve"> for the reasons why the Commission should disregard Commission Staff</w:t>
      </w:r>
      <w:r w:rsidR="009C6954" w:rsidRPr="008E791C">
        <w:t>’</w:t>
      </w:r>
      <w:r w:rsidR="00E373D7" w:rsidRPr="008E791C">
        <w:t xml:space="preserve">s recommendation and accept </w:t>
      </w:r>
      <w:r w:rsidR="006E0FF1" w:rsidRPr="008E791C">
        <w:t>PSE</w:t>
      </w:r>
      <w:r w:rsidR="009C6954" w:rsidRPr="008E791C">
        <w:t>’</w:t>
      </w:r>
      <w:r w:rsidR="00E373D7" w:rsidRPr="008E791C">
        <w:t>s adjustment as proposed.</w:t>
      </w:r>
      <w:r w:rsidR="009C6954" w:rsidRPr="008E791C">
        <w:t xml:space="preserve"> </w:t>
      </w:r>
      <w:r w:rsidR="00A375F0" w:rsidRPr="008E791C">
        <w:t>This adjustment has not changed since PSE</w:t>
      </w:r>
      <w:r w:rsidR="009C6954" w:rsidRPr="008E791C">
        <w:t>’</w:t>
      </w:r>
      <w:r w:rsidR="00A375F0" w:rsidRPr="008E791C">
        <w:t xml:space="preserve">s </w:t>
      </w:r>
      <w:r w:rsidR="009B38A7" w:rsidRPr="008E791C">
        <w:t>s</w:t>
      </w:r>
      <w:r w:rsidR="00A375F0" w:rsidRPr="008E791C">
        <w:t>upplemental filing</w:t>
      </w:r>
      <w:r w:rsidR="00E94406" w:rsidRPr="008E791C">
        <w:t xml:space="preserve"> and increases </w:t>
      </w:r>
      <w:r w:rsidR="0065105B" w:rsidRPr="008E791C">
        <w:t xml:space="preserve">natural gas </w:t>
      </w:r>
      <w:r w:rsidR="00E94406" w:rsidRPr="008E791C">
        <w:t>net operating income by $16,046,445</w:t>
      </w:r>
      <w:r w:rsidR="00A375F0" w:rsidRPr="008E791C">
        <w:t>.</w:t>
      </w:r>
      <w:r w:rsidR="009C6954" w:rsidRPr="008E791C">
        <w:t xml:space="preserve"> </w:t>
      </w:r>
    </w:p>
    <w:p w:rsidR="00803263" w:rsidRPr="008E791C" w:rsidRDefault="00876E8C" w:rsidP="00B56012">
      <w:pPr>
        <w:pStyle w:val="Heading2"/>
      </w:pPr>
      <w:bookmarkStart w:id="41" w:name="_Toc489961827"/>
      <w:r w:rsidRPr="008E791C">
        <w:rPr>
          <w:u w:val="none"/>
        </w:rPr>
        <w:t>B.</w:t>
      </w:r>
      <w:r w:rsidRPr="008E791C">
        <w:rPr>
          <w:u w:val="none"/>
        </w:rPr>
        <w:tab/>
      </w:r>
      <w:r w:rsidR="00803263" w:rsidRPr="008E791C">
        <w:t xml:space="preserve">Depreciation Study, Adjustment </w:t>
      </w:r>
      <w:r w:rsidR="00C46BC7" w:rsidRPr="008E791C">
        <w:t>KJB</w:t>
      </w:r>
      <w:r w:rsidR="00001B6B">
        <w:t>-</w:t>
      </w:r>
      <w:r w:rsidR="00E04F69" w:rsidRPr="008E791C">
        <w:t>2</w:t>
      </w:r>
      <w:r w:rsidR="00EC0897" w:rsidRPr="008E791C">
        <w:t>0</w:t>
      </w:r>
      <w:r w:rsidR="00E04F69" w:rsidRPr="008E791C">
        <w:t>.</w:t>
      </w:r>
      <w:r w:rsidR="00C46BC7" w:rsidRPr="008E791C">
        <w:t>06 and SEF</w:t>
      </w:r>
      <w:r w:rsidR="00001B6B">
        <w:t>-15</w:t>
      </w:r>
      <w:r w:rsidR="00803263" w:rsidRPr="008E791C">
        <w:t>.06</w:t>
      </w:r>
      <w:bookmarkEnd w:id="41"/>
    </w:p>
    <w:p w:rsidR="00803263" w:rsidRPr="008E791C" w:rsidRDefault="00803263" w:rsidP="00B56012">
      <w:pPr>
        <w:pStyle w:val="question"/>
      </w:pPr>
      <w:r w:rsidRPr="008E791C">
        <w:t>Q.</w:t>
      </w:r>
      <w:r w:rsidRPr="008E791C">
        <w:tab/>
      </w:r>
      <w:r w:rsidR="00DC644D" w:rsidRPr="008E791C">
        <w:t xml:space="preserve">Has PSE changed its adjustment for natural gas depreciation expense </w:t>
      </w:r>
      <w:r w:rsidR="0032551C" w:rsidRPr="008E791C">
        <w:t>in its rebuttal filing?</w:t>
      </w:r>
    </w:p>
    <w:p w:rsidR="00803263" w:rsidRPr="008E791C" w:rsidRDefault="008737B4" w:rsidP="00B56012">
      <w:pPr>
        <w:pStyle w:val="answer"/>
      </w:pPr>
      <w:r w:rsidRPr="008E791C">
        <w:t>A.</w:t>
      </w:r>
      <w:r w:rsidR="0032551C" w:rsidRPr="008E791C">
        <w:tab/>
        <w:t>No.</w:t>
      </w:r>
      <w:r w:rsidR="009C6954" w:rsidRPr="008E791C">
        <w:t xml:space="preserve"> </w:t>
      </w:r>
      <w:r w:rsidR="0032551C" w:rsidRPr="008E791C">
        <w:t xml:space="preserve">Public Counsel </w:t>
      </w:r>
      <w:r w:rsidR="009B38A7" w:rsidRPr="008E791C">
        <w:t>w</w:t>
      </w:r>
      <w:r w:rsidR="00C90FAD" w:rsidRPr="008E791C">
        <w:t>itness</w:t>
      </w:r>
      <w:r w:rsidR="0032551C" w:rsidRPr="008E791C">
        <w:t xml:space="preserve"> Ms. Roxie M. McCullar proposes changes to PSE</w:t>
      </w:r>
      <w:r w:rsidR="009C6954" w:rsidRPr="008E791C">
        <w:t>’</w:t>
      </w:r>
      <w:r w:rsidR="0032551C" w:rsidRPr="008E791C">
        <w:t>s natural gas and common depreciation rates.</w:t>
      </w:r>
      <w:r w:rsidR="009C6954" w:rsidRPr="008E791C">
        <w:t xml:space="preserve"> </w:t>
      </w:r>
      <w:r w:rsidR="0032551C" w:rsidRPr="008E791C">
        <w:t>Mr. John J. Spanos in Exhibit JJS-04T and Ms. Katherine J. Barnard in Exhibit KJB-17T each discuss why Ms. McCullar</w:t>
      </w:r>
      <w:r w:rsidR="009C6954" w:rsidRPr="008E791C">
        <w:t>’</w:t>
      </w:r>
      <w:r w:rsidR="0032551C" w:rsidRPr="008E791C">
        <w:t>s recommendations should be rejected.</w:t>
      </w:r>
      <w:r w:rsidR="009C6954" w:rsidRPr="008E791C">
        <w:t xml:space="preserve"> </w:t>
      </w:r>
      <w:r w:rsidR="009234E7" w:rsidRPr="008E791C">
        <w:t>Additionally, Ms. Barnard discusses errors in the way Mr. Ralph C. Smith, for Public Counsel, has applied the depreciation rates recom</w:t>
      </w:r>
      <w:r w:rsidR="008942CA" w:rsidRPr="008E791C">
        <w:t>mended by Ms. McCullar and why</w:t>
      </w:r>
      <w:r w:rsidR="009234E7" w:rsidRPr="008E791C">
        <w:t xml:space="preserve"> his proposed changes should be rejected. </w:t>
      </w:r>
      <w:r w:rsidR="0032551C" w:rsidRPr="008E791C">
        <w:t>Accordingly, PSE has not changed its natural gas depreciation adjustment in this rebuttal filing.</w:t>
      </w:r>
    </w:p>
    <w:p w:rsidR="00803263" w:rsidRPr="008E791C" w:rsidRDefault="00876E8C" w:rsidP="00B56012">
      <w:pPr>
        <w:pStyle w:val="Heading2"/>
      </w:pPr>
      <w:bookmarkStart w:id="42" w:name="_Toc489961828"/>
      <w:r w:rsidRPr="008E791C">
        <w:rPr>
          <w:u w:val="none"/>
        </w:rPr>
        <w:lastRenderedPageBreak/>
        <w:t>C.</w:t>
      </w:r>
      <w:r w:rsidRPr="008E791C">
        <w:rPr>
          <w:u w:val="none"/>
        </w:rPr>
        <w:tab/>
      </w:r>
      <w:r w:rsidR="00803263" w:rsidRPr="008E791C">
        <w:t xml:space="preserve">Rate Case Expenses, Adjustment </w:t>
      </w:r>
      <w:r w:rsidR="00C46BC7" w:rsidRPr="008E791C">
        <w:t>KJB</w:t>
      </w:r>
      <w:r w:rsidR="00001B6B">
        <w:t>-</w:t>
      </w:r>
      <w:r w:rsidR="00E04F69" w:rsidRPr="008E791C">
        <w:t>2</w:t>
      </w:r>
      <w:r w:rsidR="00EC0897" w:rsidRPr="008E791C">
        <w:t>0</w:t>
      </w:r>
      <w:r w:rsidR="00E04F69" w:rsidRPr="008E791C">
        <w:t>.</w:t>
      </w:r>
      <w:r w:rsidR="00C46BC7" w:rsidRPr="008E791C">
        <w:t>12 and SEF</w:t>
      </w:r>
      <w:r w:rsidR="00001B6B">
        <w:t>-15</w:t>
      </w:r>
      <w:r w:rsidR="00803263" w:rsidRPr="008E791C">
        <w:t>.12</w:t>
      </w:r>
      <w:bookmarkEnd w:id="42"/>
    </w:p>
    <w:p w:rsidR="00A04C7C" w:rsidRPr="008E791C" w:rsidRDefault="008737B4" w:rsidP="00B56012">
      <w:pPr>
        <w:pStyle w:val="question"/>
      </w:pPr>
      <w:r w:rsidRPr="008E791C">
        <w:t>Q.</w:t>
      </w:r>
      <w:r w:rsidR="00A04C7C" w:rsidRPr="008E791C">
        <w:tab/>
      </w:r>
      <w:r w:rsidR="00DC644D" w:rsidRPr="008E791C">
        <w:t>Please provide the background related to the rate case expense adjustment</w:t>
      </w:r>
      <w:r w:rsidR="00A04C7C" w:rsidRPr="008E791C">
        <w:t xml:space="preserve">. </w:t>
      </w:r>
    </w:p>
    <w:p w:rsidR="00A63F4C" w:rsidRPr="008E791C" w:rsidRDefault="008737B4" w:rsidP="00B56012">
      <w:pPr>
        <w:pStyle w:val="answer"/>
      </w:pPr>
      <w:r w:rsidRPr="008E791C">
        <w:t>A.</w:t>
      </w:r>
      <w:r w:rsidR="00A04C7C" w:rsidRPr="008E791C">
        <w:tab/>
      </w:r>
      <w:r w:rsidR="00313414" w:rsidRPr="008E791C">
        <w:rPr>
          <w:bCs/>
        </w:rPr>
        <w:t xml:space="preserve">Commission </w:t>
      </w:r>
      <w:r w:rsidR="00313414" w:rsidRPr="008E791C">
        <w:t>Staff</w:t>
      </w:r>
      <w:r w:rsidR="009C6954" w:rsidRPr="008E791C">
        <w:t>’</w:t>
      </w:r>
      <w:r w:rsidR="00A04C7C" w:rsidRPr="008E791C">
        <w:t>s proposed adjustment is not consistent with the Commission</w:t>
      </w:r>
      <w:r w:rsidR="009C6954" w:rsidRPr="008E791C">
        <w:t>’</w:t>
      </w:r>
      <w:r w:rsidR="00A04C7C" w:rsidRPr="008E791C">
        <w:t>s long established requirement to normalize rate case expenses.</w:t>
      </w:r>
      <w:r w:rsidR="009C6954" w:rsidRPr="008E791C">
        <w:t xml:space="preserve"> </w:t>
      </w:r>
      <w:r w:rsidR="00A04C7C" w:rsidRPr="008E791C">
        <w:t xml:space="preserve">The current method </w:t>
      </w:r>
      <w:r w:rsidR="00A949C8" w:rsidRPr="008E791C">
        <w:t xml:space="preserve">to normalize a representative level of rate case expenses </w:t>
      </w:r>
      <w:r w:rsidR="00A04C7C" w:rsidRPr="008E791C">
        <w:t xml:space="preserve">was proposed by Commission Staff and approved in </w:t>
      </w:r>
      <w:r w:rsidR="00231D3D" w:rsidRPr="008E791C">
        <w:t>PSE</w:t>
      </w:r>
      <w:r w:rsidR="009C6954" w:rsidRPr="008E791C">
        <w:t>’</w:t>
      </w:r>
      <w:r w:rsidR="00231D3D" w:rsidRPr="008E791C">
        <w:t xml:space="preserve">s </w:t>
      </w:r>
      <w:r w:rsidR="00A04C7C" w:rsidRPr="008E791C">
        <w:t xml:space="preserve">2004 </w:t>
      </w:r>
      <w:r w:rsidR="00A949C8" w:rsidRPr="008E791C">
        <w:t>g</w:t>
      </w:r>
      <w:r w:rsidR="00A04C7C" w:rsidRPr="008E791C">
        <w:t xml:space="preserve">eneral </w:t>
      </w:r>
      <w:r w:rsidR="00A949C8" w:rsidRPr="008E791C">
        <w:t>r</w:t>
      </w:r>
      <w:r w:rsidR="00A04C7C" w:rsidRPr="008E791C">
        <w:t>ate case.</w:t>
      </w:r>
      <w:r w:rsidR="009C6954" w:rsidRPr="008E791C">
        <w:t xml:space="preserve"> </w:t>
      </w:r>
      <w:r w:rsidR="00A949C8" w:rsidRPr="008E791C">
        <w:t xml:space="preserve">The method for determining a representative level of rate case expenses was further defined in </w:t>
      </w:r>
      <w:r w:rsidR="00231D3D" w:rsidRPr="008E791C">
        <w:t>PSE</w:t>
      </w:r>
      <w:r w:rsidR="009C6954" w:rsidRPr="008E791C">
        <w:t>’</w:t>
      </w:r>
      <w:r w:rsidR="00231D3D" w:rsidRPr="008E791C">
        <w:t xml:space="preserve">s </w:t>
      </w:r>
      <w:r w:rsidR="00A949C8" w:rsidRPr="008E791C">
        <w:t>2006 general rate case.</w:t>
      </w:r>
      <w:r w:rsidR="009C6954" w:rsidRPr="008E791C">
        <w:t xml:space="preserve"> </w:t>
      </w:r>
      <w:r w:rsidR="00A04C7C" w:rsidRPr="008E791C">
        <w:t xml:space="preserve">Since then, </w:t>
      </w:r>
      <w:r w:rsidR="006E0FF1" w:rsidRPr="008E791C">
        <w:t>PSE</w:t>
      </w:r>
      <w:r w:rsidR="00A04C7C" w:rsidRPr="008E791C">
        <w:t xml:space="preserve"> has used this normalized approach, which was presented and approved in </w:t>
      </w:r>
      <w:r w:rsidR="00231D3D" w:rsidRPr="008E791C">
        <w:t>PSE</w:t>
      </w:r>
      <w:r w:rsidR="009C6954" w:rsidRPr="008E791C">
        <w:t>’</w:t>
      </w:r>
      <w:r w:rsidR="00231D3D" w:rsidRPr="008E791C">
        <w:t xml:space="preserve">s </w:t>
      </w:r>
      <w:r w:rsidR="00A949C8" w:rsidRPr="008E791C">
        <w:t xml:space="preserve">2006, </w:t>
      </w:r>
      <w:r w:rsidR="00A04C7C" w:rsidRPr="008E791C">
        <w:t xml:space="preserve">2007, 2009 and the 2011 </w:t>
      </w:r>
      <w:r w:rsidR="005204FC" w:rsidRPr="008E791C">
        <w:t>g</w:t>
      </w:r>
      <w:r w:rsidR="00A04C7C" w:rsidRPr="008E791C">
        <w:t xml:space="preserve">eneral </w:t>
      </w:r>
      <w:r w:rsidR="005204FC" w:rsidRPr="008E791C">
        <w:t>r</w:t>
      </w:r>
      <w:r w:rsidR="00A04C7C" w:rsidRPr="008E791C">
        <w:t xml:space="preserve">ate </w:t>
      </w:r>
      <w:r w:rsidR="005204FC" w:rsidRPr="008E791C">
        <w:t>c</w:t>
      </w:r>
      <w:r w:rsidR="00A04C7C" w:rsidRPr="008E791C">
        <w:t>ases.</w:t>
      </w:r>
      <w:r w:rsidR="009C6954" w:rsidRPr="008E791C">
        <w:t xml:space="preserve"> </w:t>
      </w:r>
      <w:r w:rsidR="00A04C7C" w:rsidRPr="008E791C">
        <w:t>Normalization of expenses to provide a smoothing effect for fluctuating costs that are not consistent from year to year is a common practice.</w:t>
      </w:r>
      <w:r w:rsidR="009C6954" w:rsidRPr="008E791C">
        <w:t xml:space="preserve"> </w:t>
      </w:r>
      <w:r w:rsidR="00A949C8" w:rsidRPr="008E791C">
        <w:t>This adjustment recognizes that rate case expenses by their nature are incurred after the test year, are incurred on an irregular basis, are highly variable and that in order to normalize the test year, a representative amount of rate case expense is determined.</w:t>
      </w:r>
      <w:r w:rsidR="009C6954" w:rsidRPr="008E791C">
        <w:t xml:space="preserve"> </w:t>
      </w:r>
      <w:r w:rsidR="00A949C8" w:rsidRPr="008E791C">
        <w:t>Since the 2006 general rate case, that representative basis has been the average cost of the prior two general rate cases.</w:t>
      </w:r>
      <w:r w:rsidR="009C6954" w:rsidRPr="008E791C">
        <w:t xml:space="preserve"> </w:t>
      </w:r>
      <w:r w:rsidR="00A949C8" w:rsidRPr="008E791C">
        <w:t>Then, the amount is normalized over a representative period between cases.</w:t>
      </w:r>
      <w:r w:rsidR="009C6954" w:rsidRPr="008E791C">
        <w:t xml:space="preserve"> </w:t>
      </w:r>
    </w:p>
    <w:p w:rsidR="00A63F4C" w:rsidRPr="008E791C" w:rsidRDefault="00A63F4C" w:rsidP="00B56012">
      <w:pPr>
        <w:pStyle w:val="question"/>
      </w:pPr>
      <w:r w:rsidRPr="008E791C">
        <w:t>Q.</w:t>
      </w:r>
      <w:r w:rsidRPr="008E791C">
        <w:tab/>
        <w:t>What normalization period has been used in past cases?</w:t>
      </w:r>
    </w:p>
    <w:p w:rsidR="00A63F4C" w:rsidRPr="008E791C" w:rsidRDefault="00A63F4C" w:rsidP="00B56012">
      <w:pPr>
        <w:pStyle w:val="answer"/>
      </w:pPr>
      <w:r w:rsidRPr="008E791C">
        <w:t>A.</w:t>
      </w:r>
      <w:r w:rsidRPr="008E791C">
        <w:tab/>
      </w:r>
      <w:r w:rsidR="00A949C8" w:rsidRPr="008E791C">
        <w:t>The normalization period has changed over the years.</w:t>
      </w:r>
      <w:r w:rsidR="009C6954" w:rsidRPr="008E791C">
        <w:t xml:space="preserve"> </w:t>
      </w:r>
      <w:r w:rsidR="00A949C8" w:rsidRPr="008E791C">
        <w:t>The 2004 general rate case set it at three years.</w:t>
      </w:r>
      <w:r w:rsidR="009C6954" w:rsidRPr="008E791C">
        <w:t xml:space="preserve"> </w:t>
      </w:r>
      <w:r w:rsidR="00A949C8" w:rsidRPr="008E791C">
        <w:t xml:space="preserve">In the 2006 general rate case, two years was used, and in the </w:t>
      </w:r>
      <w:r w:rsidR="00EF25FF" w:rsidRPr="008E791C">
        <w:t>2011</w:t>
      </w:r>
      <w:r w:rsidR="00A949C8" w:rsidRPr="008E791C">
        <w:t xml:space="preserve"> rate case, the normalization period for power cost only rate cases </w:t>
      </w:r>
      <w:r w:rsidR="00A949C8" w:rsidRPr="008E791C">
        <w:lastRenderedPageBreak/>
        <w:t>(</w:t>
      </w:r>
      <w:r w:rsidR="009C6954" w:rsidRPr="008E791C">
        <w:t>“</w:t>
      </w:r>
      <w:r w:rsidR="00A949C8" w:rsidRPr="008E791C">
        <w:t>PCORC</w:t>
      </w:r>
      <w:r w:rsidR="009C6954" w:rsidRPr="008E791C">
        <w:t>”</w:t>
      </w:r>
      <w:r w:rsidR="00A949C8" w:rsidRPr="008E791C">
        <w:t xml:space="preserve">) was lengthened to four years in recognition of the slowed paced at which PSE was then filing </w:t>
      </w:r>
      <w:proofErr w:type="spellStart"/>
      <w:r w:rsidR="00A949C8" w:rsidRPr="008E791C">
        <w:t>PCORCs</w:t>
      </w:r>
      <w:proofErr w:type="spellEnd"/>
      <w:r w:rsidR="00A949C8" w:rsidRPr="008E791C">
        <w:t>.</w:t>
      </w:r>
      <w:r w:rsidR="009C6954" w:rsidRPr="008E791C">
        <w:t xml:space="preserve"> </w:t>
      </w:r>
    </w:p>
    <w:p w:rsidR="00A63F4C" w:rsidRPr="008E791C" w:rsidRDefault="00A63F4C" w:rsidP="00B56012">
      <w:pPr>
        <w:pStyle w:val="question"/>
      </w:pPr>
      <w:r w:rsidRPr="008E791C">
        <w:t>Q.</w:t>
      </w:r>
      <w:r w:rsidRPr="008E791C">
        <w:tab/>
        <w:t>What normalization period does PSE propose in this case?</w:t>
      </w:r>
    </w:p>
    <w:p w:rsidR="00A949C8" w:rsidRPr="008E791C" w:rsidRDefault="00A63F4C" w:rsidP="00B56012">
      <w:pPr>
        <w:pStyle w:val="answer"/>
      </w:pPr>
      <w:r w:rsidRPr="008E791C">
        <w:t>A.</w:t>
      </w:r>
      <w:r w:rsidRPr="008E791C">
        <w:tab/>
      </w:r>
      <w:r w:rsidR="00A949C8" w:rsidRPr="008E791C">
        <w:t>PSE</w:t>
      </w:r>
      <w:r w:rsidR="009C6954" w:rsidRPr="008E791C">
        <w:t>’</w:t>
      </w:r>
      <w:r w:rsidR="00A949C8" w:rsidRPr="008E791C">
        <w:t xml:space="preserve">s </w:t>
      </w:r>
      <w:r w:rsidR="009234E7" w:rsidRPr="008E791C">
        <w:t xml:space="preserve">proposed </w:t>
      </w:r>
      <w:r w:rsidR="00A949C8" w:rsidRPr="008E791C">
        <w:t>adjustment follows this long</w:t>
      </w:r>
      <w:r w:rsidR="009234E7" w:rsidRPr="008E791C">
        <w:t>-</w:t>
      </w:r>
      <w:r w:rsidR="00A949C8" w:rsidRPr="008E791C">
        <w:t xml:space="preserve">standing </w:t>
      </w:r>
      <w:r w:rsidR="00DC644D" w:rsidRPr="008E791C">
        <w:t>methodology.</w:t>
      </w:r>
      <w:r w:rsidR="009C6954" w:rsidRPr="008E791C">
        <w:t xml:space="preserve"> </w:t>
      </w:r>
      <w:r w:rsidR="00DC644D" w:rsidRPr="008E791C">
        <w:t xml:space="preserve">Although PSE has not filed a general rate case every two years in the recent past, no change was made to the normalization period for rate case expenses as PSE </w:t>
      </w:r>
      <w:r w:rsidR="00876E8C" w:rsidRPr="008E791C">
        <w:t>is</w:t>
      </w:r>
      <w:r w:rsidR="00DC644D" w:rsidRPr="008E791C">
        <w:t xml:space="preserve"> not propos</w:t>
      </w:r>
      <w:r w:rsidR="00876E8C" w:rsidRPr="008E791C">
        <w:t>ing</w:t>
      </w:r>
      <w:r w:rsidR="00DC644D" w:rsidRPr="008E791C">
        <w:t xml:space="preserve"> another </w:t>
      </w:r>
      <w:r w:rsidR="00876E8C" w:rsidRPr="008E791C">
        <w:t xml:space="preserve">rate case </w:t>
      </w:r>
      <w:r w:rsidR="009C6954" w:rsidRPr="008E791C">
        <w:t>“</w:t>
      </w:r>
      <w:r w:rsidR="00DC644D" w:rsidRPr="008E791C">
        <w:t>stay out</w:t>
      </w:r>
      <w:r w:rsidR="009C6954" w:rsidRPr="008E791C">
        <w:t>”</w:t>
      </w:r>
      <w:r w:rsidR="00DC644D" w:rsidRPr="008E791C">
        <w:t xml:space="preserve"> in this proceeding</w:t>
      </w:r>
      <w:r w:rsidR="00374D31" w:rsidRPr="008E791C">
        <w:t>.</w:t>
      </w:r>
      <w:r w:rsidR="009C6954" w:rsidRPr="008E791C">
        <w:t xml:space="preserve"> </w:t>
      </w:r>
      <w:r w:rsidR="00374D31" w:rsidRPr="008E791C">
        <w:t xml:space="preserve">The last five years, with the multi-year rate plan and </w:t>
      </w:r>
      <w:r w:rsidR="009C6954" w:rsidRPr="008E791C">
        <w:t>“</w:t>
      </w:r>
      <w:r w:rsidR="00374D31" w:rsidRPr="008E791C">
        <w:t>stay-out</w:t>
      </w:r>
      <w:r w:rsidR="009C6954" w:rsidRPr="008E791C">
        <w:t>”</w:t>
      </w:r>
      <w:r w:rsidR="00374D31" w:rsidRPr="008E791C">
        <w:t xml:space="preserve"> requirements</w:t>
      </w:r>
      <w:r w:rsidRPr="008E791C">
        <w:t>,</w:t>
      </w:r>
      <w:r w:rsidR="00374D31" w:rsidRPr="008E791C">
        <w:t xml:space="preserve"> are not representative of </w:t>
      </w:r>
      <w:r w:rsidR="00DC644D" w:rsidRPr="008E791C">
        <w:t>PSE</w:t>
      </w:r>
      <w:r w:rsidR="009C6954" w:rsidRPr="008E791C">
        <w:t>’</w:t>
      </w:r>
      <w:r w:rsidR="00DC644D" w:rsidRPr="008E791C">
        <w:t xml:space="preserve">s general rate case frequency </w:t>
      </w:r>
      <w:r w:rsidR="00374D31" w:rsidRPr="008E791C">
        <w:t>on a going forward basis.</w:t>
      </w:r>
      <w:r w:rsidR="009C6954" w:rsidRPr="008E791C">
        <w:t xml:space="preserve"> </w:t>
      </w:r>
      <w:r w:rsidR="00374D31" w:rsidRPr="008E791C">
        <w:t>Therefore,</w:t>
      </w:r>
      <w:r w:rsidR="00DC644D" w:rsidRPr="008E791C">
        <w:t xml:space="preserve"> a change to the normalization period is not warranted.</w:t>
      </w:r>
      <w:r w:rsidR="009C6954" w:rsidRPr="008E791C">
        <w:t xml:space="preserve"> </w:t>
      </w:r>
      <w:r w:rsidR="00DC644D" w:rsidRPr="008E791C">
        <w:t xml:space="preserve">Likewise, although in the recent past PSE has filed </w:t>
      </w:r>
      <w:proofErr w:type="spellStart"/>
      <w:r w:rsidR="00DC644D" w:rsidRPr="008E791C">
        <w:t>PCORCs</w:t>
      </w:r>
      <w:proofErr w:type="spellEnd"/>
      <w:r w:rsidR="00DC644D" w:rsidRPr="008E791C">
        <w:t xml:space="preserve"> more frequently than every four years, PSE did not propose to shorten the normalization period for </w:t>
      </w:r>
      <w:proofErr w:type="spellStart"/>
      <w:r w:rsidR="00DC644D" w:rsidRPr="008E791C">
        <w:t>PCORCs</w:t>
      </w:r>
      <w:proofErr w:type="spellEnd"/>
      <w:r w:rsidR="00DC644D" w:rsidRPr="008E791C">
        <w:t xml:space="preserve"> because not enough information is available to establish that </w:t>
      </w:r>
      <w:r w:rsidR="00EC0897" w:rsidRPr="008E791C">
        <w:t xml:space="preserve">the existing </w:t>
      </w:r>
      <w:r w:rsidR="00DC644D" w:rsidRPr="008E791C">
        <w:t xml:space="preserve">normalization period </w:t>
      </w:r>
      <w:r w:rsidR="00374D31" w:rsidRPr="008E791C">
        <w:t>will not</w:t>
      </w:r>
      <w:r w:rsidR="00DC644D" w:rsidRPr="008E791C">
        <w:t xml:space="preserve"> continue to be reasonable in the future.</w:t>
      </w:r>
      <w:r w:rsidR="009C6954" w:rsidRPr="008E791C">
        <w:t xml:space="preserve"> </w:t>
      </w:r>
    </w:p>
    <w:p w:rsidR="00DC644D" w:rsidRPr="008E791C" w:rsidRDefault="008737B4" w:rsidP="00B56012">
      <w:pPr>
        <w:pStyle w:val="question"/>
      </w:pPr>
      <w:r w:rsidRPr="008E791C">
        <w:t>Q.</w:t>
      </w:r>
      <w:r w:rsidR="00DC644D" w:rsidRPr="008E791C">
        <w:tab/>
        <w:t xml:space="preserve">Please explain why the Commission Staff adjustment to Rate Case Expense should not be accepted. </w:t>
      </w:r>
    </w:p>
    <w:p w:rsidR="00A63F4C" w:rsidRPr="008E791C" w:rsidRDefault="00DC644D" w:rsidP="00B56012">
      <w:pPr>
        <w:pStyle w:val="answer"/>
      </w:pPr>
      <w:r w:rsidRPr="008E791C">
        <w:t>A.</w:t>
      </w:r>
      <w:r w:rsidRPr="008E791C">
        <w:tab/>
      </w:r>
      <w:r w:rsidR="00A04C7C" w:rsidRPr="008E791C">
        <w:t>Ms. Cheesman</w:t>
      </w:r>
      <w:r w:rsidR="00A63F4C" w:rsidRPr="008E791C">
        <w:t xml:space="preserve"> reli</w:t>
      </w:r>
      <w:r w:rsidR="00A04C7C" w:rsidRPr="008E791C">
        <w:t>e</w:t>
      </w:r>
      <w:r w:rsidR="00A63F4C" w:rsidRPr="008E791C">
        <w:t>s</w:t>
      </w:r>
      <w:r w:rsidR="00A04C7C" w:rsidRPr="008E791C">
        <w:t xml:space="preserve"> on the test year balance of FERC 928 regulatory expense </w:t>
      </w:r>
      <w:r w:rsidR="00A63F4C" w:rsidRPr="008E791C">
        <w:t xml:space="preserve">because she claims it is </w:t>
      </w:r>
      <w:r w:rsidR="00A04C7C" w:rsidRPr="008E791C">
        <w:t>representative of the last six years of expenses</w:t>
      </w:r>
      <w:r w:rsidR="001176CD" w:rsidRPr="008E791C">
        <w:t xml:space="preserve">. </w:t>
      </w:r>
      <w:r w:rsidR="00A63F4C" w:rsidRPr="008E791C">
        <w:t>However, her adjustment</w:t>
      </w:r>
      <w:r w:rsidR="00A04C7C" w:rsidRPr="008E791C">
        <w:t xml:space="preserve"> ignores the fact that PSE has not filed a general rate case since 2011 due to the multi-year rate plan and</w:t>
      </w:r>
      <w:r w:rsidR="00231D3D" w:rsidRPr="008E791C">
        <w:t>,</w:t>
      </w:r>
      <w:r w:rsidR="00A04C7C" w:rsidRPr="008E791C">
        <w:t xml:space="preserve"> therefore</w:t>
      </w:r>
      <w:r w:rsidR="00231D3D" w:rsidRPr="008E791C">
        <w:t>,</w:t>
      </w:r>
      <w:r w:rsidR="00A04C7C" w:rsidRPr="008E791C">
        <w:t xml:space="preserve"> the </w:t>
      </w:r>
      <w:r w:rsidR="00231D3D" w:rsidRPr="008E791C">
        <w:t>six-</w:t>
      </w:r>
      <w:r w:rsidR="00A04C7C" w:rsidRPr="008E791C">
        <w:t xml:space="preserve">year average is not </w:t>
      </w:r>
      <w:r w:rsidR="005204FC" w:rsidRPr="008E791C">
        <w:t xml:space="preserve">a </w:t>
      </w:r>
      <w:r w:rsidR="00A04C7C" w:rsidRPr="008E791C">
        <w:t>representative</w:t>
      </w:r>
      <w:r w:rsidR="005204FC" w:rsidRPr="008E791C">
        <w:t xml:space="preserve"> comparison for purposes of this adjustment</w:t>
      </w:r>
      <w:r w:rsidR="00A04C7C" w:rsidRPr="008E791C">
        <w:t>.</w:t>
      </w:r>
      <w:r w:rsidR="009C6954" w:rsidRPr="008E791C">
        <w:t xml:space="preserve"> </w:t>
      </w:r>
    </w:p>
    <w:p w:rsidR="00A04C7C" w:rsidRPr="008E791C" w:rsidRDefault="00A63F4C" w:rsidP="00B56012">
      <w:pPr>
        <w:pStyle w:val="answer"/>
      </w:pPr>
      <w:r w:rsidRPr="008E791C">
        <w:lastRenderedPageBreak/>
        <w:tab/>
      </w:r>
      <w:r w:rsidR="00A04C7C" w:rsidRPr="008E791C">
        <w:t xml:space="preserve">Additionally, </w:t>
      </w:r>
      <w:r w:rsidR="00231D3D" w:rsidRPr="008E791C">
        <w:t>Ms. Cheesman</w:t>
      </w:r>
      <w:r w:rsidR="009C6954" w:rsidRPr="008E791C">
        <w:t>’</w:t>
      </w:r>
      <w:r w:rsidR="00231D3D" w:rsidRPr="008E791C">
        <w:t xml:space="preserve">s </w:t>
      </w:r>
      <w:r w:rsidR="00A04C7C" w:rsidRPr="008E791C">
        <w:t xml:space="preserve">use of the entire FERC 928 regulatory expense </w:t>
      </w:r>
      <w:r w:rsidR="00231D3D" w:rsidRPr="008E791C">
        <w:t xml:space="preserve">masks </w:t>
      </w:r>
      <w:r w:rsidR="00A04C7C" w:rsidRPr="008E791C">
        <w:t>the issue</w:t>
      </w:r>
      <w:r w:rsidR="00231D3D" w:rsidRPr="008E791C">
        <w:t>.</w:t>
      </w:r>
      <w:r w:rsidR="009C6954" w:rsidRPr="008E791C">
        <w:t xml:space="preserve"> </w:t>
      </w:r>
      <w:r w:rsidR="00231D3D" w:rsidRPr="008E791C">
        <w:t>R</w:t>
      </w:r>
      <w:r w:rsidR="00A04C7C" w:rsidRPr="008E791C">
        <w:t>ather than comparing the level of</w:t>
      </w:r>
      <w:r w:rsidR="00BB2AB5" w:rsidRPr="008E791C">
        <w:t xml:space="preserve"> general</w:t>
      </w:r>
      <w:r w:rsidR="00A04C7C" w:rsidRPr="008E791C">
        <w:t xml:space="preserve"> rate case expense in the test year to the</w:t>
      </w:r>
      <w:r w:rsidR="009C6954" w:rsidRPr="008E791C">
        <w:t xml:space="preserve"> </w:t>
      </w:r>
      <w:r w:rsidR="00A04C7C" w:rsidRPr="008E791C">
        <w:t>average level of general rate case expenses, she utilizes the entire FERC 928 regulatory expense account</w:t>
      </w:r>
      <w:r w:rsidR="001176CD" w:rsidRPr="008E791C">
        <w:t xml:space="preserve">. </w:t>
      </w:r>
      <w:r w:rsidRPr="008E791C">
        <w:t>This is improper because</w:t>
      </w:r>
      <w:r w:rsidR="00A04C7C" w:rsidRPr="008E791C">
        <w:t xml:space="preserve"> more than 80</w:t>
      </w:r>
      <w:r w:rsidRPr="008E791C">
        <w:t xml:space="preserve"> percent</w:t>
      </w:r>
      <w:r w:rsidR="00A04C7C" w:rsidRPr="008E791C">
        <w:t xml:space="preserve"> of the account balance in any given year is related to regulatory fees</w:t>
      </w:r>
      <w:r w:rsidR="00231D3D" w:rsidRPr="008E791C">
        <w:t>,</w:t>
      </w:r>
      <w:r w:rsidR="00A04C7C" w:rsidRPr="008E791C">
        <w:t xml:space="preserve"> not filing related expenses.</w:t>
      </w:r>
      <w:r w:rsidR="009C6954" w:rsidRPr="008E791C">
        <w:t xml:space="preserve"> </w:t>
      </w:r>
      <w:r w:rsidR="00A04C7C" w:rsidRPr="008E791C">
        <w:t xml:space="preserve">It is not reasonable to assume that the test period </w:t>
      </w:r>
      <w:r w:rsidR="00BB2AB5" w:rsidRPr="008E791C">
        <w:t>general rate case</w:t>
      </w:r>
      <w:r w:rsidR="00A04C7C" w:rsidRPr="008E791C">
        <w:t xml:space="preserve"> expense of $269,000</w:t>
      </w:r>
      <w:r w:rsidR="00F04E4E" w:rsidRPr="008E791C">
        <w:t xml:space="preserve">, which represents only </w:t>
      </w:r>
      <w:r w:rsidR="00BB2AB5" w:rsidRPr="008E791C">
        <w:t>three percent</w:t>
      </w:r>
      <w:r w:rsidR="00F04E4E" w:rsidRPr="008E791C">
        <w:t xml:space="preserve"> of the FERC 928 test year total,</w:t>
      </w:r>
      <w:r w:rsidR="00A04C7C" w:rsidRPr="008E791C">
        <w:t xml:space="preserve"> is representative of the costs associated with adjudicating a rate</w:t>
      </w:r>
      <w:r w:rsidR="00F04E4E" w:rsidRPr="008E791C">
        <w:t xml:space="preserve"> </w:t>
      </w:r>
      <w:r w:rsidR="00A04C7C" w:rsidRPr="008E791C">
        <w:t>case</w:t>
      </w:r>
      <w:r w:rsidR="00BB2AB5" w:rsidRPr="008E791C">
        <w:t>.</w:t>
      </w:r>
      <w:r w:rsidR="009C6954" w:rsidRPr="008E791C">
        <w:t xml:space="preserve"> </w:t>
      </w:r>
      <w:r w:rsidR="009A2630" w:rsidRPr="008E791C">
        <w:t>T</w:t>
      </w:r>
      <w:r w:rsidR="00A04C7C" w:rsidRPr="008E791C">
        <w:t>herefore</w:t>
      </w:r>
      <w:r w:rsidR="009A2630" w:rsidRPr="008E791C">
        <w:t>,</w:t>
      </w:r>
      <w:r w:rsidR="00A04C7C" w:rsidRPr="008E791C">
        <w:t xml:space="preserve"> the </w:t>
      </w:r>
      <w:r w:rsidR="00BB2AB5" w:rsidRPr="008E791C">
        <w:t>C</w:t>
      </w:r>
      <w:r w:rsidR="00A04C7C" w:rsidRPr="008E791C">
        <w:t xml:space="preserve">ommission should approve the continuation of </w:t>
      </w:r>
      <w:r w:rsidR="006E0FF1" w:rsidRPr="008E791C">
        <w:t>PSE</w:t>
      </w:r>
      <w:r w:rsidR="009C6954" w:rsidRPr="008E791C">
        <w:t>’</w:t>
      </w:r>
      <w:r w:rsidR="00A04C7C" w:rsidRPr="008E791C">
        <w:t xml:space="preserve">s rate case expense adjustment as calculated by </w:t>
      </w:r>
      <w:r w:rsidR="006E0FF1" w:rsidRPr="008E791C">
        <w:t>PSE.</w:t>
      </w:r>
    </w:p>
    <w:p w:rsidR="00A63F4C" w:rsidRPr="008E791C" w:rsidRDefault="00A04C7C" w:rsidP="00B56012">
      <w:pPr>
        <w:pStyle w:val="answer"/>
        <w:ind w:firstLine="0"/>
      </w:pPr>
      <w:r w:rsidRPr="008E791C">
        <w:t>Ms. Cheesman in part supports her recommendation based on PSE</w:t>
      </w:r>
      <w:r w:rsidR="009C6954" w:rsidRPr="008E791C">
        <w:t>’</w:t>
      </w:r>
      <w:r w:rsidRPr="008E791C">
        <w:t xml:space="preserve">s </w:t>
      </w:r>
      <w:r w:rsidR="00F04E4E" w:rsidRPr="008E791C">
        <w:t>R</w:t>
      </w:r>
      <w:r w:rsidRPr="008E791C">
        <w:t xml:space="preserve">esponse to Data Request </w:t>
      </w:r>
      <w:r w:rsidR="00F04E4E" w:rsidRPr="008E791C">
        <w:t xml:space="preserve">No. </w:t>
      </w:r>
      <w:r w:rsidRPr="008E791C">
        <w:t>382</w:t>
      </w:r>
      <w:r w:rsidR="00231D3D" w:rsidRPr="008E791C">
        <w:t>,</w:t>
      </w:r>
      <w:r w:rsidRPr="008E791C">
        <w:t xml:space="preserve"> which requested </w:t>
      </w:r>
      <w:r w:rsidR="006E0FF1" w:rsidRPr="008E791C">
        <w:t>PSE</w:t>
      </w:r>
      <w:r w:rsidRPr="008E791C">
        <w:t xml:space="preserve"> </w:t>
      </w:r>
      <w:r w:rsidR="00A63F4C" w:rsidRPr="008E791C">
        <w:t xml:space="preserve">to </w:t>
      </w:r>
      <w:r w:rsidRPr="008E791C">
        <w:t>provide a breakdown of FERC account 928 for calendar yea</w:t>
      </w:r>
      <w:r w:rsidR="00F04E4E" w:rsidRPr="008E791C">
        <w:t>rs 2011, 2013 and the test year</w:t>
      </w:r>
      <w:r w:rsidR="001176CD" w:rsidRPr="008E791C">
        <w:t xml:space="preserve">. </w:t>
      </w:r>
      <w:r w:rsidR="00A63F4C" w:rsidRPr="008E791C">
        <w:t xml:space="preserve">According to Ms. Cheesman, </w:t>
      </w:r>
      <w:r w:rsidRPr="008E791C">
        <w:t>the average expenses related to UTC filings (including general rate</w:t>
      </w:r>
      <w:r w:rsidR="00F04E4E" w:rsidRPr="008E791C">
        <w:t xml:space="preserve"> </w:t>
      </w:r>
      <w:r w:rsidRPr="008E791C">
        <w:t xml:space="preserve">case filings) represented about </w:t>
      </w:r>
      <w:r w:rsidR="009A2630" w:rsidRPr="008E791C">
        <w:t>ten percent</w:t>
      </w:r>
      <w:r w:rsidRPr="008E791C">
        <w:t xml:space="preserve"> of the overall balance in each of those years</w:t>
      </w:r>
      <w:r w:rsidR="001176CD" w:rsidRPr="008E791C">
        <w:t xml:space="preserve">. </w:t>
      </w:r>
      <w:r w:rsidR="00A63F4C" w:rsidRPr="008E791C">
        <w:t xml:space="preserve">She </w:t>
      </w:r>
      <w:r w:rsidRPr="008E791C">
        <w:t>then</w:t>
      </w:r>
      <w:r w:rsidR="009A2630" w:rsidRPr="008E791C">
        <w:t xml:space="preserve"> assumes</w:t>
      </w:r>
      <w:r w:rsidRPr="008E791C">
        <w:t xml:space="preserve"> the test year level of FERC 928 is reasonable because UTC filings represent approximately </w:t>
      </w:r>
      <w:r w:rsidR="00BB2AB5" w:rsidRPr="008E791C">
        <w:t>ten percent</w:t>
      </w:r>
      <w:r w:rsidRPr="008E791C">
        <w:t xml:space="preserve"> of the test year balance.</w:t>
      </w:r>
      <w:r w:rsidR="009C6954" w:rsidRPr="008E791C">
        <w:t xml:space="preserve"> </w:t>
      </w:r>
    </w:p>
    <w:p w:rsidR="00A63F4C" w:rsidRPr="008E791C" w:rsidRDefault="00A63F4C" w:rsidP="00B56012">
      <w:pPr>
        <w:pStyle w:val="question"/>
      </w:pPr>
      <w:r w:rsidRPr="008E791C">
        <w:t>Q.</w:t>
      </w:r>
      <w:r w:rsidRPr="008E791C">
        <w:tab/>
        <w:t>Is Ms. Cheesman’</w:t>
      </w:r>
      <w:r w:rsidR="001176CD" w:rsidRPr="008E791C">
        <w:t>s assu</w:t>
      </w:r>
      <w:r w:rsidRPr="008E791C">
        <w:t>mption correct?</w:t>
      </w:r>
    </w:p>
    <w:p w:rsidR="00A04C7C" w:rsidRPr="008E791C" w:rsidRDefault="00A63F4C" w:rsidP="00B56012">
      <w:pPr>
        <w:pStyle w:val="answer"/>
      </w:pPr>
      <w:r w:rsidRPr="008E791C">
        <w:t>A.</w:t>
      </w:r>
      <w:r w:rsidRPr="008E791C">
        <w:tab/>
        <w:t>No</w:t>
      </w:r>
      <w:r w:rsidR="001176CD" w:rsidRPr="008E791C">
        <w:t xml:space="preserve">. </w:t>
      </w:r>
      <w:r w:rsidR="00A04C7C" w:rsidRPr="008E791C">
        <w:t xml:space="preserve">This is an incorrect assumption for </w:t>
      </w:r>
      <w:r w:rsidR="00231D3D" w:rsidRPr="008E791C">
        <w:t>two</w:t>
      </w:r>
      <w:r w:rsidR="00A04C7C" w:rsidRPr="008E791C">
        <w:t xml:space="preserve"> reasons.</w:t>
      </w:r>
      <w:r w:rsidR="009C6954" w:rsidRPr="008E791C">
        <w:t xml:space="preserve"> </w:t>
      </w:r>
      <w:r w:rsidR="00A04C7C" w:rsidRPr="008E791C">
        <w:t xml:space="preserve">First, </w:t>
      </w:r>
      <w:r w:rsidR="000C071D" w:rsidRPr="008E791C">
        <w:t>Ms. Cheesman picks selective years for her average and does not disclose that there is a wide variance in the three years she has se</w:t>
      </w:r>
      <w:r w:rsidR="00FC00AD" w:rsidRPr="008E791C">
        <w:t xml:space="preserve">lected with the low being </w:t>
      </w:r>
      <w:r w:rsidR="00BB2AB5" w:rsidRPr="008E791C">
        <w:t>five percent</w:t>
      </w:r>
      <w:r w:rsidR="00FC00AD" w:rsidRPr="008E791C">
        <w:t xml:space="preserve"> and the high being </w:t>
      </w:r>
      <w:r w:rsidR="00D306E1" w:rsidRPr="008E791C">
        <w:t xml:space="preserve">three times higher at </w:t>
      </w:r>
      <w:r w:rsidR="00BB2AB5" w:rsidRPr="008E791C">
        <w:t>fifteen percent</w:t>
      </w:r>
      <w:r w:rsidR="00FC00AD" w:rsidRPr="008E791C">
        <w:t>.</w:t>
      </w:r>
      <w:r w:rsidR="009C6954" w:rsidRPr="008E791C">
        <w:t xml:space="preserve"> </w:t>
      </w:r>
      <w:r w:rsidR="00FC00AD" w:rsidRPr="008E791C">
        <w:t xml:space="preserve">This wide range demonstrates the </w:t>
      </w:r>
      <w:r w:rsidR="00FC00AD" w:rsidRPr="008E791C">
        <w:lastRenderedPageBreak/>
        <w:t>variability of the costs and the need for a normalizing adjustment.</w:t>
      </w:r>
      <w:r w:rsidR="009C6954" w:rsidRPr="008E791C">
        <w:t xml:space="preserve"> </w:t>
      </w:r>
      <w:r w:rsidR="000C071D" w:rsidRPr="008E791C">
        <w:t xml:space="preserve">Second, </w:t>
      </w:r>
      <w:r w:rsidRPr="008E791C">
        <w:t>Ms. Cheesman</w:t>
      </w:r>
      <w:r w:rsidR="00A04C7C" w:rsidRPr="008E791C">
        <w:t xml:space="preserve"> fails to recognize that many of the costs associated with a general rate</w:t>
      </w:r>
      <w:r w:rsidR="00A33718" w:rsidRPr="008E791C">
        <w:t xml:space="preserve"> </w:t>
      </w:r>
      <w:r w:rsidR="00A04C7C" w:rsidRPr="008E791C">
        <w:t>case fall outside of a test year period and rarely are captured entirely within the calendar year of filing.</w:t>
      </w:r>
      <w:r w:rsidR="009C6954" w:rsidRPr="008E791C">
        <w:t xml:space="preserve"> </w:t>
      </w:r>
      <w:r w:rsidR="0034496B" w:rsidRPr="008E791C">
        <w:t xml:space="preserve">For example, using the test year for the current case fails to pick up costs for discovery such as the </w:t>
      </w:r>
      <w:r w:rsidR="00BB2AB5" w:rsidRPr="008E791C">
        <w:t>more than 1</w:t>
      </w:r>
      <w:r w:rsidR="009234E7" w:rsidRPr="008E791C">
        <w:t>,</w:t>
      </w:r>
      <w:r w:rsidR="00BB2AB5" w:rsidRPr="008E791C">
        <w:t>000</w:t>
      </w:r>
      <w:r w:rsidR="0034496B" w:rsidRPr="008E791C">
        <w:t xml:space="preserve"> data requests PSE responded to in this case, nor does it pick up the costs for prehearing conferences, preparation of rebuttal testimony or the hearing.</w:t>
      </w:r>
      <w:r w:rsidR="009C6954" w:rsidRPr="008E791C">
        <w:t xml:space="preserve"> </w:t>
      </w:r>
      <w:r w:rsidR="00DC644D" w:rsidRPr="008E791C">
        <w:t>I have included</w:t>
      </w:r>
      <w:r w:rsidR="00A04C7C" w:rsidRPr="008E791C">
        <w:t xml:space="preserve"> Exhibit SEF-</w:t>
      </w:r>
      <w:r w:rsidR="00164C58">
        <w:t>20</w:t>
      </w:r>
      <w:r w:rsidR="00A04C7C" w:rsidRPr="008E791C">
        <w:t xml:space="preserve"> that demonstrates the relationship of a rate case procedural calendar to when the rate case expenditures are made </w:t>
      </w:r>
      <w:r w:rsidRPr="008E791C">
        <w:t xml:space="preserve">relative </w:t>
      </w:r>
      <w:r w:rsidR="00A04C7C" w:rsidRPr="008E791C">
        <w:t>to that calendar and</w:t>
      </w:r>
      <w:r w:rsidRPr="008E791C">
        <w:t>,</w:t>
      </w:r>
      <w:r w:rsidR="00A04C7C" w:rsidRPr="008E791C">
        <w:t xml:space="preserve"> specifically</w:t>
      </w:r>
      <w:r w:rsidRPr="008E791C">
        <w:t>,</w:t>
      </w:r>
      <w:r w:rsidR="00A04C7C" w:rsidRPr="008E791C">
        <w:t xml:space="preserve"> to the rel</w:t>
      </w:r>
      <w:r w:rsidRPr="008E791C">
        <w:t>ative</w:t>
      </w:r>
      <w:r w:rsidR="00A04C7C" w:rsidRPr="008E791C">
        <w:t xml:space="preserve"> test year within that proceeding.</w:t>
      </w:r>
      <w:r w:rsidR="009C6954" w:rsidRPr="008E791C">
        <w:t xml:space="preserve"> </w:t>
      </w:r>
      <w:r w:rsidR="00A04C7C" w:rsidRPr="008E791C">
        <w:t xml:space="preserve">This </w:t>
      </w:r>
      <w:r w:rsidR="0034496B" w:rsidRPr="008E791C">
        <w:t>e</w:t>
      </w:r>
      <w:r w:rsidR="00A04C7C" w:rsidRPr="008E791C">
        <w:t xml:space="preserve">xhibit demonstrates that the bulk of rate case expenses are spent in between test years. So while it </w:t>
      </w:r>
      <w:r w:rsidR="00A33718" w:rsidRPr="008E791C">
        <w:t>may be</w:t>
      </w:r>
      <w:r w:rsidR="00A04C7C" w:rsidRPr="008E791C">
        <w:t xml:space="preserve"> true that test year rate case expenses are relatively consistent with 2011</w:t>
      </w:r>
      <w:r w:rsidR="00A33718" w:rsidRPr="008E791C">
        <w:t xml:space="preserve"> and 2013</w:t>
      </w:r>
      <w:r w:rsidR="00AC2636" w:rsidRPr="008E791C">
        <w:rPr>
          <w:rStyle w:val="FootnoteReference"/>
        </w:rPr>
        <w:footnoteReference w:id="3"/>
      </w:r>
      <w:r w:rsidR="00440DFF" w:rsidRPr="008E791C">
        <w:t>, Ms. </w:t>
      </w:r>
      <w:r w:rsidR="00A04C7C" w:rsidRPr="008E791C">
        <w:t>Cheesman</w:t>
      </w:r>
      <w:r w:rsidR="009C6954" w:rsidRPr="008E791C">
        <w:t>’</w:t>
      </w:r>
      <w:r w:rsidR="00A04C7C" w:rsidRPr="008E791C">
        <w:t xml:space="preserve">s request does not fully reflect the actual costs associated with preparing and adjudicating a rate case and therefore </w:t>
      </w:r>
      <w:r w:rsidR="00BB2AB5" w:rsidRPr="008E791C">
        <w:t xml:space="preserve">her adjustment </w:t>
      </w:r>
      <w:r w:rsidR="00A04C7C" w:rsidRPr="008E791C">
        <w:t>should be rejected.</w:t>
      </w:r>
      <w:r w:rsidR="009C6954" w:rsidRPr="008E791C">
        <w:t xml:space="preserve"> </w:t>
      </w:r>
    </w:p>
    <w:p w:rsidR="0082145C" w:rsidRPr="008E791C" w:rsidRDefault="009A2630" w:rsidP="00B56012">
      <w:pPr>
        <w:pStyle w:val="Heading2"/>
      </w:pPr>
      <w:bookmarkStart w:id="43" w:name="_Toc489961829"/>
      <w:r w:rsidRPr="008E791C">
        <w:rPr>
          <w:u w:val="none"/>
        </w:rPr>
        <w:t>D.</w:t>
      </w:r>
      <w:r w:rsidRPr="008E791C">
        <w:rPr>
          <w:u w:val="none"/>
        </w:rPr>
        <w:tab/>
      </w:r>
      <w:r w:rsidR="0082145C" w:rsidRPr="008E791C">
        <w:t>Deferred Gains and Losses on Property Sales, Adjustment SEF</w:t>
      </w:r>
      <w:r w:rsidR="00001B6B">
        <w:t>-15</w:t>
      </w:r>
      <w:r w:rsidR="0082145C" w:rsidRPr="008E791C">
        <w:t>.13</w:t>
      </w:r>
      <w:bookmarkEnd w:id="43"/>
    </w:p>
    <w:p w:rsidR="00AF1E95" w:rsidRPr="008E791C" w:rsidRDefault="00AF1E95" w:rsidP="00B56012">
      <w:pPr>
        <w:pStyle w:val="question"/>
      </w:pPr>
      <w:r w:rsidRPr="008E791C">
        <w:t>Q.</w:t>
      </w:r>
      <w:r w:rsidRPr="008E791C">
        <w:tab/>
        <w:t>Have you updated this adjustment in this rebuttal filing?</w:t>
      </w:r>
    </w:p>
    <w:p w:rsidR="00AF1E95" w:rsidRPr="008E791C" w:rsidRDefault="00AF1E95" w:rsidP="00B56012">
      <w:pPr>
        <w:pStyle w:val="answer"/>
      </w:pPr>
      <w:r w:rsidRPr="008E791C">
        <w:t>A.</w:t>
      </w:r>
      <w:r w:rsidRPr="008E791C">
        <w:tab/>
        <w:t xml:space="preserve">No. For the reasons stated below, PSE believes the Commission should accept </w:t>
      </w:r>
      <w:r w:rsidR="006E0FF1" w:rsidRPr="008E791C">
        <w:t>PSE</w:t>
      </w:r>
      <w:r w:rsidR="009C6954" w:rsidRPr="008E791C">
        <w:t>’</w:t>
      </w:r>
      <w:r w:rsidRPr="008E791C">
        <w:t xml:space="preserve">s adjustment as filed and so I have not updated this adjustment. </w:t>
      </w:r>
    </w:p>
    <w:p w:rsidR="00FB3767" w:rsidRPr="008E791C" w:rsidRDefault="00FB3767" w:rsidP="00B56012">
      <w:pPr>
        <w:pStyle w:val="question"/>
      </w:pPr>
      <w:r w:rsidRPr="008E791C">
        <w:lastRenderedPageBreak/>
        <w:t>Q.</w:t>
      </w:r>
      <w:r w:rsidRPr="008E791C">
        <w:tab/>
        <w:t>Please explain the change Commission Staff is recommending to this adjustment.</w:t>
      </w:r>
    </w:p>
    <w:p w:rsidR="00FB3767" w:rsidRPr="008E791C" w:rsidRDefault="00FB3767" w:rsidP="00B56012">
      <w:pPr>
        <w:pStyle w:val="answer"/>
      </w:pPr>
      <w:r w:rsidRPr="008E791C">
        <w:t>A.</w:t>
      </w:r>
      <w:r w:rsidRPr="008E791C">
        <w:tab/>
      </w:r>
      <w:r w:rsidR="00D259DA" w:rsidRPr="008E791C">
        <w:t>Ms. Cheesman recommends removing $280,362 of a deferred loss from this adjustment because she believes that PSE is seeking to recover a deferred loss associated with the sale of a property that she believes was non-utility property.</w:t>
      </w:r>
    </w:p>
    <w:p w:rsidR="00F71F79" w:rsidRPr="008E791C" w:rsidRDefault="00F71F79" w:rsidP="00B56012">
      <w:pPr>
        <w:pStyle w:val="question"/>
      </w:pPr>
      <w:r w:rsidRPr="008E791C">
        <w:t>Q.</w:t>
      </w:r>
      <w:r w:rsidRPr="008E791C">
        <w:tab/>
        <w:t>Does PSE agree with Ms. Cheesman</w:t>
      </w:r>
      <w:r w:rsidR="009C6954" w:rsidRPr="008E791C">
        <w:t>’</w:t>
      </w:r>
      <w:r w:rsidRPr="008E791C">
        <w:t>s assessment of this loss?</w:t>
      </w:r>
    </w:p>
    <w:p w:rsidR="00DD1136" w:rsidRPr="008E791C" w:rsidRDefault="00F71F79" w:rsidP="00B56012">
      <w:pPr>
        <w:pStyle w:val="answer"/>
      </w:pPr>
      <w:r w:rsidRPr="008E791C">
        <w:t>A.</w:t>
      </w:r>
      <w:r w:rsidRPr="008E791C">
        <w:rPr>
          <w:b/>
        </w:rPr>
        <w:tab/>
      </w:r>
      <w:r w:rsidRPr="008E791C">
        <w:t>No.</w:t>
      </w:r>
      <w:r w:rsidRPr="008E791C">
        <w:rPr>
          <w:b/>
        </w:rPr>
        <w:t xml:space="preserve"> </w:t>
      </w:r>
      <w:r w:rsidRPr="008E791C">
        <w:t>The transaction in question involves a real property parcel located in Kent, Washington used to install a high pressure gas main</w:t>
      </w:r>
      <w:r w:rsidR="001176CD" w:rsidRPr="008E791C">
        <w:t xml:space="preserve">. </w:t>
      </w:r>
      <w:r w:rsidR="00514577" w:rsidRPr="008E791C">
        <w:t>The property</w:t>
      </w:r>
      <w:r w:rsidRPr="008E791C">
        <w:t xml:space="preserve"> was </w:t>
      </w:r>
      <w:r w:rsidR="003D61E7" w:rsidRPr="008E791C">
        <w:t>used and useful from</w:t>
      </w:r>
      <w:r w:rsidR="00B2610F" w:rsidRPr="008E791C">
        <w:t xml:space="preserve"> 2004</w:t>
      </w:r>
      <w:r w:rsidR="009A2630" w:rsidRPr="008E791C">
        <w:t>,</w:t>
      </w:r>
      <w:r w:rsidR="00B2610F" w:rsidRPr="008E791C">
        <w:t xml:space="preserve"> when</w:t>
      </w:r>
      <w:r w:rsidR="009C6954" w:rsidRPr="008E791C">
        <w:t xml:space="preserve"> </w:t>
      </w:r>
      <w:r w:rsidR="003D61E7" w:rsidRPr="008E791C">
        <w:t xml:space="preserve">it was </w:t>
      </w:r>
      <w:r w:rsidR="00DD1136" w:rsidRPr="008E791C">
        <w:t>purchased</w:t>
      </w:r>
      <w:r w:rsidR="003D61E7" w:rsidRPr="008E791C">
        <w:t xml:space="preserve">, </w:t>
      </w:r>
      <w:r w:rsidR="00DD1136" w:rsidRPr="008E791C">
        <w:t xml:space="preserve">placed in service </w:t>
      </w:r>
      <w:r w:rsidR="003D61E7" w:rsidRPr="008E791C">
        <w:t>and recorded in FERC 101</w:t>
      </w:r>
      <w:r w:rsidR="009A2630" w:rsidRPr="008E791C">
        <w:t>,</w:t>
      </w:r>
      <w:r w:rsidR="00DD1136" w:rsidRPr="008E791C">
        <w:t xml:space="preserve"> and</w:t>
      </w:r>
      <w:r w:rsidR="00B2610F" w:rsidRPr="008E791C">
        <w:t xml:space="preserve"> </w:t>
      </w:r>
      <w:r w:rsidR="009A2630" w:rsidRPr="008E791C">
        <w:t>it remained</w:t>
      </w:r>
      <w:r w:rsidR="00B2610F" w:rsidRPr="008E791C">
        <w:t xml:space="preserve"> </w:t>
      </w:r>
      <w:r w:rsidR="00DF6544" w:rsidRPr="008E791C">
        <w:t>used and useful and recorded in FERC 101</w:t>
      </w:r>
      <w:r w:rsidRPr="008E791C">
        <w:t xml:space="preserve"> until 2014 when it was sold.</w:t>
      </w:r>
    </w:p>
    <w:p w:rsidR="00CF3C9D" w:rsidRPr="008E791C" w:rsidRDefault="00CF3C9D" w:rsidP="00B56012">
      <w:pPr>
        <w:pStyle w:val="question"/>
      </w:pPr>
      <w:r w:rsidRPr="008E791C">
        <w:t>Q.</w:t>
      </w:r>
      <w:r w:rsidRPr="008E791C">
        <w:tab/>
        <w:t>Why does Ms. Cheesman believe that this property was not used and useful and in utility operations for the entire time PSE owned this property?</w:t>
      </w:r>
    </w:p>
    <w:p w:rsidR="002A5D40" w:rsidRPr="008E791C" w:rsidRDefault="00DD1136" w:rsidP="00B56012">
      <w:pPr>
        <w:pStyle w:val="answer"/>
      </w:pPr>
      <w:r w:rsidRPr="008E791C">
        <w:t>A.</w:t>
      </w:r>
      <w:r w:rsidRPr="008E791C">
        <w:tab/>
      </w:r>
      <w:r w:rsidR="00DF6544" w:rsidRPr="008E791C">
        <w:t xml:space="preserve">It is not clear what information Ms. Cheesman is relying on to state that the property was booked in non-utility property for more than a decade, which is not </w:t>
      </w:r>
      <w:r w:rsidR="00DD0024" w:rsidRPr="008E791C">
        <w:t>correct</w:t>
      </w:r>
      <w:r w:rsidR="001176CD" w:rsidRPr="008E791C">
        <w:t xml:space="preserve">. </w:t>
      </w:r>
      <w:r w:rsidR="002A5D40" w:rsidRPr="008E791C">
        <w:t>Ms. Cheesman indicates that the property was recorded in non-utility plant for more than a decade</w:t>
      </w:r>
      <w:r w:rsidR="002A5D40" w:rsidRPr="008E791C">
        <w:rPr>
          <w:rStyle w:val="FootnoteReference"/>
        </w:rPr>
        <w:footnoteReference w:id="4"/>
      </w:r>
      <w:r w:rsidR="002A5D40" w:rsidRPr="008E791C">
        <w:t xml:space="preserve"> despite the opposite being </w:t>
      </w:r>
      <w:r w:rsidR="00514577" w:rsidRPr="008E791C">
        <w:t>stated in PSE’s response to the data request on which Ms. Cheesman relies</w:t>
      </w:r>
      <w:r w:rsidR="001176CD" w:rsidRPr="008E791C">
        <w:t xml:space="preserve">. </w:t>
      </w:r>
      <w:r w:rsidR="00514577" w:rsidRPr="008E791C">
        <w:t>O</w:t>
      </w:r>
      <w:r w:rsidR="002A5D40" w:rsidRPr="008E791C">
        <w:t xml:space="preserve">n page 2 of </w:t>
      </w:r>
      <w:r w:rsidR="00514577" w:rsidRPr="008E791C">
        <w:t xml:space="preserve">part of PSE’s response, provided as </w:t>
      </w:r>
      <w:r w:rsidR="002A5D40" w:rsidRPr="008E791C">
        <w:t>Exhibit MCC-17</w:t>
      </w:r>
      <w:r w:rsidR="00514577" w:rsidRPr="008E791C">
        <w:t>,</w:t>
      </w:r>
      <w:r w:rsidR="002A5D40" w:rsidRPr="008E791C">
        <w:t xml:space="preserve"> </w:t>
      </w:r>
      <w:r w:rsidR="00514577" w:rsidRPr="008E791C">
        <w:t>PSE reported the proper</w:t>
      </w:r>
      <w:r w:rsidR="008E791C">
        <w:t>ty</w:t>
      </w:r>
      <w:r w:rsidR="00514577" w:rsidRPr="008E791C">
        <w:t xml:space="preserve"> was </w:t>
      </w:r>
      <w:r w:rsidR="009C6954" w:rsidRPr="008E791C">
        <w:t>“</w:t>
      </w:r>
      <w:r w:rsidR="002A5D40" w:rsidRPr="008E791C">
        <w:t>Held in utility plant</w:t>
      </w:r>
      <w:r w:rsidR="00514577" w:rsidRPr="008E791C">
        <w:t>,</w:t>
      </w:r>
      <w:r w:rsidR="009C6954" w:rsidRPr="008E791C">
        <w:t>”</w:t>
      </w:r>
      <w:r w:rsidR="002A5D40" w:rsidRPr="008E791C">
        <w:t xml:space="preserve"> </w:t>
      </w:r>
      <w:r w:rsidR="00514577" w:rsidRPr="008E791C">
        <w:t xml:space="preserve">which </w:t>
      </w:r>
      <w:r w:rsidR="00DF6544" w:rsidRPr="008E791C">
        <w:t xml:space="preserve">is </w:t>
      </w:r>
      <w:r w:rsidR="002A5D40" w:rsidRPr="008E791C">
        <w:t xml:space="preserve">a reference to the FERC account (FERC 101) in which the </w:t>
      </w:r>
      <w:r w:rsidR="002A5D40" w:rsidRPr="008E791C">
        <w:lastRenderedPageBreak/>
        <w:t>property was booked.</w:t>
      </w:r>
      <w:r w:rsidR="009C6954" w:rsidRPr="008E791C">
        <w:t xml:space="preserve"> </w:t>
      </w:r>
      <w:r w:rsidR="002A5D40" w:rsidRPr="008E791C">
        <w:t>In order for there to be no doubt, Exhibit SEF-</w:t>
      </w:r>
      <w:r w:rsidR="00164C58">
        <w:t>21</w:t>
      </w:r>
      <w:r w:rsidR="002A5D40" w:rsidRPr="008E791C">
        <w:t xml:space="preserve"> provides a copy of the journal entry </w:t>
      </w:r>
      <w:r w:rsidR="0034496B" w:rsidRPr="008E791C">
        <w:t>showing</w:t>
      </w:r>
      <w:r w:rsidR="002A5D40" w:rsidRPr="008E791C">
        <w:t xml:space="preserve"> that the property was moved from utility property to non-utility property in 2014 at the time it was sold.</w:t>
      </w:r>
    </w:p>
    <w:p w:rsidR="00F71F79" w:rsidRPr="008E791C" w:rsidRDefault="00F71F79" w:rsidP="00B56012">
      <w:pPr>
        <w:pStyle w:val="answer"/>
        <w:ind w:firstLine="0"/>
      </w:pPr>
      <w:r w:rsidRPr="008E791C">
        <w:t xml:space="preserve">Ms. Cheesman </w:t>
      </w:r>
      <w:r w:rsidR="00DF6544" w:rsidRPr="008E791C">
        <w:t xml:space="preserve">appears to be </w:t>
      </w:r>
      <w:r w:rsidRPr="008E791C">
        <w:t xml:space="preserve">basing her claim that the property was non-utility property on </w:t>
      </w:r>
      <w:r w:rsidR="00DD0024" w:rsidRPr="008E791C">
        <w:t xml:space="preserve">Exhibit MCC-17, </w:t>
      </w:r>
      <w:r w:rsidRPr="008E791C">
        <w:t>PSE</w:t>
      </w:r>
      <w:r w:rsidR="009C6954" w:rsidRPr="008E791C">
        <w:t>’</w:t>
      </w:r>
      <w:r w:rsidRPr="008E791C">
        <w:t xml:space="preserve">s Response to </w:t>
      </w:r>
      <w:r w:rsidR="0095409A" w:rsidRPr="008E791C">
        <w:t>Commission</w:t>
      </w:r>
      <w:r w:rsidRPr="008E791C">
        <w:t xml:space="preserve"> Staff Data Request No. 372</w:t>
      </w:r>
      <w:r w:rsidR="00DD0024" w:rsidRPr="008E791C">
        <w:t>,</w:t>
      </w:r>
      <w:r w:rsidRPr="008E791C">
        <w:t xml:space="preserve"> which included a copy of the journal entry showing the proceeds from </w:t>
      </w:r>
      <w:r w:rsidR="00514577" w:rsidRPr="008E791C">
        <w:t xml:space="preserve">the </w:t>
      </w:r>
      <w:r w:rsidRPr="008E791C">
        <w:t>sale and original cost being posted to FERC 121 Non-Utility Property accounts</w:t>
      </w:r>
      <w:r w:rsidR="001176CD" w:rsidRPr="008E791C">
        <w:t xml:space="preserve">. </w:t>
      </w:r>
      <w:r w:rsidR="00514577" w:rsidRPr="008E791C">
        <w:t xml:space="preserve">It appears, Ms. Cheesman puts more reliance on only one of the journal entries provided than on the fact that PSE stated the property was in service and in utility plant from the time it was owned until the time it was sold. </w:t>
      </w:r>
      <w:r w:rsidR="0020444F" w:rsidRPr="008E791C">
        <w:t xml:space="preserve">PSE stated in that response that </w:t>
      </w:r>
      <w:r w:rsidR="009C6954" w:rsidRPr="008E791C">
        <w:t>“</w:t>
      </w:r>
      <w:r w:rsidR="0020444F" w:rsidRPr="008E791C">
        <w:t>the property was held in utility plant in service from 2004 when it was owned until 2014 when it was sold.</w:t>
      </w:r>
      <w:r w:rsidR="009C6954" w:rsidRPr="008E791C">
        <w:t>”</w:t>
      </w:r>
      <w:r w:rsidR="0020444F" w:rsidRPr="008E791C">
        <w:rPr>
          <w:rStyle w:val="FootnoteReference"/>
        </w:rPr>
        <w:footnoteReference w:id="5"/>
      </w:r>
      <w:r w:rsidR="009C6954" w:rsidRPr="008E791C">
        <w:t xml:space="preserve"> </w:t>
      </w:r>
      <w:r w:rsidR="00514577" w:rsidRPr="008E791C">
        <w:t xml:space="preserve"> </w:t>
      </w:r>
      <w:r w:rsidR="00C200A7" w:rsidRPr="008E791C">
        <w:t>In</w:t>
      </w:r>
      <w:r w:rsidR="00CF3C9D" w:rsidRPr="008E791C">
        <w:t xml:space="preserve"> </w:t>
      </w:r>
      <w:r w:rsidR="0095409A" w:rsidRPr="008E791C">
        <w:t>PSE</w:t>
      </w:r>
      <w:r w:rsidR="009C6954" w:rsidRPr="008E791C">
        <w:t>’</w:t>
      </w:r>
      <w:r w:rsidR="0095409A" w:rsidRPr="008E791C">
        <w:t xml:space="preserve">s </w:t>
      </w:r>
      <w:r w:rsidR="00CF3C9D" w:rsidRPr="008E791C">
        <w:t>response</w:t>
      </w:r>
      <w:r w:rsidR="001B417F" w:rsidRPr="008E791C">
        <w:t xml:space="preserve"> to the data request</w:t>
      </w:r>
      <w:r w:rsidR="00CF3C9D" w:rsidRPr="008E791C">
        <w:t xml:space="preserve">, PSE provided the initial entry recorded </w:t>
      </w:r>
      <w:r w:rsidR="00673501" w:rsidRPr="008E791C">
        <w:t xml:space="preserve">to a non-utility account on which Ms. Cheesman is basing her claim, but </w:t>
      </w:r>
      <w:r w:rsidR="00514577" w:rsidRPr="008E791C">
        <w:t xml:space="preserve">PSE </w:t>
      </w:r>
      <w:r w:rsidR="00673501" w:rsidRPr="008E791C">
        <w:t>also</w:t>
      </w:r>
      <w:r w:rsidR="00CF3C9D" w:rsidRPr="008E791C">
        <w:t xml:space="preserve"> provide</w:t>
      </w:r>
      <w:r w:rsidR="00673501" w:rsidRPr="008E791C">
        <w:t>d</w:t>
      </w:r>
      <w:r w:rsidR="00CF3C9D" w:rsidRPr="008E791C">
        <w:t xml:space="preserve"> the additional downstream journal entries that are required to be booked at the same time in order to recognize the transactions in the appropriate FERC accounts.</w:t>
      </w:r>
    </w:p>
    <w:p w:rsidR="00514577" w:rsidRPr="008E791C" w:rsidRDefault="00514577" w:rsidP="00B56012">
      <w:pPr>
        <w:pStyle w:val="question"/>
      </w:pPr>
      <w:r w:rsidRPr="008E791C">
        <w:t>Q.</w:t>
      </w:r>
      <w:r w:rsidRPr="008E791C">
        <w:tab/>
        <w:t>Please describe PSE’s procedure for recording land sales transactions.</w:t>
      </w:r>
    </w:p>
    <w:p w:rsidR="00F71F79" w:rsidRPr="008E791C" w:rsidRDefault="00514577" w:rsidP="00B56012">
      <w:pPr>
        <w:pStyle w:val="answer"/>
      </w:pPr>
      <w:r w:rsidRPr="008E791C">
        <w:t>A.</w:t>
      </w:r>
      <w:r w:rsidRPr="008E791C">
        <w:tab/>
      </w:r>
      <w:r w:rsidR="009A429B" w:rsidRPr="008E791C">
        <w:t>The following documentation</w:t>
      </w:r>
      <w:r w:rsidR="00F71F79" w:rsidRPr="008E791C">
        <w:t xml:space="preserve"> </w:t>
      </w:r>
      <w:r w:rsidR="0034496B" w:rsidRPr="008E791C">
        <w:t xml:space="preserve">from </w:t>
      </w:r>
      <w:r w:rsidR="00F71F79" w:rsidRPr="008E791C">
        <w:t>PSE</w:t>
      </w:r>
      <w:r w:rsidR="009C6954" w:rsidRPr="008E791C">
        <w:t>’</w:t>
      </w:r>
      <w:r w:rsidR="00F71F79" w:rsidRPr="008E791C">
        <w:t>s Controller</w:t>
      </w:r>
      <w:r w:rsidR="009C6954" w:rsidRPr="008E791C">
        <w:t>’</w:t>
      </w:r>
      <w:r w:rsidR="00F71F79" w:rsidRPr="008E791C">
        <w:t>s Manual</w:t>
      </w:r>
      <w:r w:rsidR="001B417F" w:rsidRPr="008E791C">
        <w:t>,</w:t>
      </w:r>
      <w:r w:rsidR="00F71F79" w:rsidRPr="008E791C">
        <w:t xml:space="preserve"> </w:t>
      </w:r>
      <w:r w:rsidR="00CF3C9D" w:rsidRPr="008E791C">
        <w:t xml:space="preserve">which was provided </w:t>
      </w:r>
      <w:r w:rsidR="001B417F" w:rsidRPr="008E791C">
        <w:t>to parties in discovery,</w:t>
      </w:r>
      <w:r w:rsidR="009C6954" w:rsidRPr="008E791C">
        <w:t xml:space="preserve"> </w:t>
      </w:r>
      <w:r w:rsidR="009A429B" w:rsidRPr="008E791C">
        <w:t>provides PSE</w:t>
      </w:r>
      <w:r w:rsidR="009C6954" w:rsidRPr="008E791C">
        <w:t>’</w:t>
      </w:r>
      <w:r w:rsidR="009A429B" w:rsidRPr="008E791C">
        <w:t>s accounting process for recording land sales transactions</w:t>
      </w:r>
      <w:r w:rsidR="00F71F79" w:rsidRPr="008E791C">
        <w:t xml:space="preserve">; </w:t>
      </w:r>
    </w:p>
    <w:p w:rsidR="00F71F79" w:rsidRPr="008E791C" w:rsidRDefault="00F71F79" w:rsidP="00B56012">
      <w:pPr>
        <w:pStyle w:val="Quote"/>
      </w:pPr>
      <w:r w:rsidRPr="008E791C">
        <w:lastRenderedPageBreak/>
        <w:t>Utility Property should be transferred to Nonutility Property when there is no longer a plan to use the property in Utility Operations.</w:t>
      </w:r>
      <w:r w:rsidR="009C6954" w:rsidRPr="008E791C">
        <w:t xml:space="preserve"> </w:t>
      </w:r>
      <w:r w:rsidRPr="008E791C">
        <w:rPr>
          <w:i/>
        </w:rPr>
        <w:t>All land sale orders (</w:t>
      </w:r>
      <w:proofErr w:type="spellStart"/>
      <w:r w:rsidRPr="008E791C">
        <w:rPr>
          <w:i/>
        </w:rPr>
        <w:t>LBSA</w:t>
      </w:r>
      <w:proofErr w:type="spellEnd"/>
      <w:r w:rsidRPr="008E791C">
        <w:rPr>
          <w:i/>
        </w:rPr>
        <w:t xml:space="preserve">) are set up in </w:t>
      </w:r>
      <w:proofErr w:type="spellStart"/>
      <w:r w:rsidRPr="008E791C">
        <w:rPr>
          <w:i/>
        </w:rPr>
        <w:t>PowerPlant</w:t>
      </w:r>
      <w:proofErr w:type="spellEnd"/>
      <w:r w:rsidRPr="008E791C">
        <w:rPr>
          <w:i/>
        </w:rPr>
        <w:t xml:space="preserve"> to automatically post costs to the nonutility account (121) before continuing to calculate the gain or loss.</w:t>
      </w:r>
      <w:r w:rsidR="009C6954" w:rsidRPr="008E791C">
        <w:rPr>
          <w:i/>
        </w:rPr>
        <w:t xml:space="preserve"> </w:t>
      </w:r>
      <w:r w:rsidRPr="008E791C">
        <w:rPr>
          <w:i/>
        </w:rPr>
        <w:t xml:space="preserve">It does not make any difference which account (101 - Plant in service or 105 – Future Use) the land is in at the time of sale, the cost in the </w:t>
      </w:r>
      <w:proofErr w:type="spellStart"/>
      <w:r w:rsidRPr="008E791C">
        <w:rPr>
          <w:i/>
        </w:rPr>
        <w:t>LBSA</w:t>
      </w:r>
      <w:proofErr w:type="spellEnd"/>
      <w:r w:rsidRPr="008E791C">
        <w:rPr>
          <w:i/>
        </w:rPr>
        <w:t xml:space="preserve"> order will go to FERC Account 121 – Nonutility Property.</w:t>
      </w:r>
      <w:r w:rsidR="009C6954" w:rsidRPr="008E791C">
        <w:rPr>
          <w:i/>
        </w:rPr>
        <w:t xml:space="preserve"> </w:t>
      </w:r>
      <w:r w:rsidRPr="008E791C">
        <w:rPr>
          <w:i/>
        </w:rPr>
        <w:t>At month end when the gain/loss is calculated, the costs in the Account 121 – Nonutility Property will be transferred to the appropriate gain/loss account.</w:t>
      </w:r>
      <w:r w:rsidR="0034496B" w:rsidRPr="008E791C">
        <w:rPr>
          <w:rStyle w:val="FootnoteReference"/>
          <w:i/>
        </w:rPr>
        <w:footnoteReference w:id="6"/>
      </w:r>
    </w:p>
    <w:p w:rsidR="0095409A" w:rsidRPr="008E791C" w:rsidRDefault="001B417F" w:rsidP="00B56012">
      <w:pPr>
        <w:pStyle w:val="answer"/>
        <w:ind w:firstLine="0"/>
      </w:pPr>
      <w:r w:rsidRPr="008E791C">
        <w:t>I</w:t>
      </w:r>
      <w:r w:rsidR="00C200A7" w:rsidRPr="008E791C">
        <w:t>t is an administrative</w:t>
      </w:r>
      <w:r w:rsidR="007C34F6" w:rsidRPr="008E791C">
        <w:t xml:space="preserve"> processing</w:t>
      </w:r>
      <w:r w:rsidR="00C200A7" w:rsidRPr="008E791C">
        <w:t xml:space="preserve"> function of PSE</w:t>
      </w:r>
      <w:r w:rsidR="009C6954" w:rsidRPr="008E791C">
        <w:t>’</w:t>
      </w:r>
      <w:r w:rsidR="00C200A7" w:rsidRPr="008E791C">
        <w:t>s property accounting system that resulted in the original cost and net proceeds being booked to a non-utility SAP account number</w:t>
      </w:r>
      <w:r w:rsidR="007C34F6" w:rsidRPr="008E791C">
        <w:t xml:space="preserve">, not because </w:t>
      </w:r>
      <w:r w:rsidR="009A429B" w:rsidRPr="008E791C">
        <w:t>the property</w:t>
      </w:r>
      <w:r w:rsidR="007C34F6" w:rsidRPr="008E791C">
        <w:t xml:space="preserve"> was </w:t>
      </w:r>
      <w:r w:rsidR="009A429B" w:rsidRPr="008E791C">
        <w:t>ever held as</w:t>
      </w:r>
      <w:r w:rsidR="007C34F6" w:rsidRPr="008E791C">
        <w:t xml:space="preserve"> non-utility property</w:t>
      </w:r>
      <w:r w:rsidR="00C200A7" w:rsidRPr="008E791C">
        <w:t>.</w:t>
      </w:r>
      <w:r w:rsidR="009C6954" w:rsidRPr="008E791C">
        <w:t xml:space="preserve"> </w:t>
      </w:r>
      <w:r w:rsidR="009A429B" w:rsidRPr="008E791C">
        <w:t>This is why</w:t>
      </w:r>
      <w:r w:rsidR="009C6954" w:rsidRPr="008E791C">
        <w:t xml:space="preserve"> </w:t>
      </w:r>
      <w:r w:rsidR="009E25B6" w:rsidRPr="008E791C">
        <w:t xml:space="preserve">the property and net proceeds were originally booked to non-utility plant and </w:t>
      </w:r>
      <w:r w:rsidR="009234E7" w:rsidRPr="008E791C">
        <w:t xml:space="preserve">the resulting loss was transferred to the appropriate FERC 187 Account </w:t>
      </w:r>
      <w:r w:rsidR="0020444F" w:rsidRPr="008E791C">
        <w:t>in the same month</w:t>
      </w:r>
      <w:r w:rsidR="009E25B6" w:rsidRPr="008E791C">
        <w:t xml:space="preserve"> the property was sold</w:t>
      </w:r>
      <w:r w:rsidR="009A429B" w:rsidRPr="008E791C">
        <w:t>.</w:t>
      </w:r>
      <w:r w:rsidR="0020444F" w:rsidRPr="008E791C">
        <w:rPr>
          <w:rStyle w:val="FootnoteReference"/>
        </w:rPr>
        <w:footnoteReference w:id="7"/>
      </w:r>
      <w:r w:rsidR="009C6954" w:rsidRPr="008E791C">
        <w:t xml:space="preserve"> </w:t>
      </w:r>
      <w:r w:rsidR="0095409A" w:rsidRPr="008E791C">
        <w:t>Because the property was used and useful and in service from the time it was purchased to the time it was sold, PSE has appropriately included the deferred loss in its adjustment</w:t>
      </w:r>
      <w:r w:rsidR="000B5FEA" w:rsidRPr="008E791C">
        <w:t>,</w:t>
      </w:r>
      <w:r w:rsidR="0095409A" w:rsidRPr="008E791C">
        <w:t xml:space="preserve"> and Commission Staff</w:t>
      </w:r>
      <w:r w:rsidR="009C6954" w:rsidRPr="008E791C">
        <w:t>’</w:t>
      </w:r>
      <w:r w:rsidR="0095409A" w:rsidRPr="008E791C">
        <w:t>s adjustment should not be accepted.</w:t>
      </w:r>
    </w:p>
    <w:p w:rsidR="0095409A" w:rsidRPr="008E791C" w:rsidRDefault="0095409A" w:rsidP="00B56012">
      <w:pPr>
        <w:pStyle w:val="question"/>
      </w:pPr>
      <w:r w:rsidRPr="008E791C">
        <w:t>Q.</w:t>
      </w:r>
      <w:r w:rsidRPr="008E791C">
        <w:tab/>
        <w:t>Do you have any other concerns with Ms. Cheesman</w:t>
      </w:r>
      <w:r w:rsidR="009C6954" w:rsidRPr="008E791C">
        <w:t>’</w:t>
      </w:r>
      <w:r w:rsidRPr="008E791C">
        <w:t>s testimony related to gas deferred gains and losses?</w:t>
      </w:r>
    </w:p>
    <w:p w:rsidR="00AF1E95" w:rsidRPr="008E791C" w:rsidRDefault="0095409A" w:rsidP="00B56012">
      <w:pPr>
        <w:pStyle w:val="answer"/>
      </w:pPr>
      <w:r w:rsidRPr="008E791C">
        <w:t>A.</w:t>
      </w:r>
      <w:r w:rsidRPr="008E791C">
        <w:tab/>
        <w:t>Yes.</w:t>
      </w:r>
      <w:r w:rsidR="009C6954" w:rsidRPr="008E791C">
        <w:t xml:space="preserve"> </w:t>
      </w:r>
      <w:r w:rsidRPr="008E791C">
        <w:t xml:space="preserve">On page 22 of her testimony, she states </w:t>
      </w:r>
      <w:r w:rsidR="009C6954" w:rsidRPr="008E791C">
        <w:t>“</w:t>
      </w:r>
      <w:r w:rsidRPr="008E791C">
        <w:t xml:space="preserve">it is very important that utilities do not count proceeds, and possibly gains, as non-utility property but then count </w:t>
      </w:r>
      <w:r w:rsidRPr="008E791C">
        <w:lastRenderedPageBreak/>
        <w:t>losses as utility property.</w:t>
      </w:r>
      <w:r w:rsidR="009C6954" w:rsidRPr="008E791C">
        <w:t xml:space="preserve">” </w:t>
      </w:r>
      <w:r w:rsidRPr="008E791C">
        <w:t>Ms.</w:t>
      </w:r>
      <w:r w:rsidR="0034496B" w:rsidRPr="008E791C">
        <w:t xml:space="preserve"> Cheesman</w:t>
      </w:r>
      <w:r w:rsidR="009C6954" w:rsidRPr="008E791C">
        <w:t>’</w:t>
      </w:r>
      <w:r w:rsidR="0034496B" w:rsidRPr="008E791C">
        <w:t>s innuendos lack support and should be disregarded by the Commission</w:t>
      </w:r>
      <w:r w:rsidR="001176CD" w:rsidRPr="008E791C">
        <w:t xml:space="preserve">. </w:t>
      </w:r>
      <w:r w:rsidR="0034496B" w:rsidRPr="008E791C">
        <w:t xml:space="preserve">PSE </w:t>
      </w:r>
      <w:r w:rsidR="00514577" w:rsidRPr="008E791C">
        <w:t>does not count</w:t>
      </w:r>
      <w:r w:rsidR="0034496B" w:rsidRPr="008E791C">
        <w:t xml:space="preserve"> proceeds and gains as n</w:t>
      </w:r>
      <w:r w:rsidR="00514577" w:rsidRPr="008E791C">
        <w:t xml:space="preserve">on-utility property </w:t>
      </w:r>
      <w:r w:rsidR="008E791C">
        <w:t>and then count</w:t>
      </w:r>
      <w:r w:rsidR="0034496B" w:rsidRPr="008E791C">
        <w:t xml:space="preserve"> losses as utility property</w:t>
      </w:r>
      <w:r w:rsidR="00514577" w:rsidRPr="008E791C">
        <w:t xml:space="preserve"> and there is no evidence supporting such a practice</w:t>
      </w:r>
      <w:r w:rsidR="001176CD" w:rsidRPr="008E791C">
        <w:t xml:space="preserve">. </w:t>
      </w:r>
      <w:r w:rsidR="009E25B6" w:rsidRPr="008E791C">
        <w:t>As an example of a deferred gain bein</w:t>
      </w:r>
      <w:r w:rsidR="00AF6327" w:rsidRPr="008E791C">
        <w:t>g</w:t>
      </w:r>
      <w:r w:rsidR="009E25B6" w:rsidRPr="008E791C">
        <w:t xml:space="preserve"> processed in the same manner as the loss on the Kent property, I have provided</w:t>
      </w:r>
      <w:r w:rsidR="005E2E4D" w:rsidRPr="008E791C">
        <w:t xml:space="preserve"> Exhibit SEF-</w:t>
      </w:r>
      <w:r w:rsidR="00164C58">
        <w:t>22</w:t>
      </w:r>
      <w:r w:rsidR="000B5FEA" w:rsidRPr="008E791C">
        <w:t>,</w:t>
      </w:r>
      <w:r w:rsidR="005E2E4D" w:rsidRPr="008E791C">
        <w:t xml:space="preserve"> </w:t>
      </w:r>
      <w:r w:rsidR="009E25B6" w:rsidRPr="008E791C">
        <w:t>which cont</w:t>
      </w:r>
      <w:r w:rsidR="00AF6327" w:rsidRPr="008E791C">
        <w:t>a</w:t>
      </w:r>
      <w:r w:rsidR="009E25B6" w:rsidRPr="008E791C">
        <w:t xml:space="preserve">ins </w:t>
      </w:r>
      <w:r w:rsidR="005E2E4D" w:rsidRPr="008E791C">
        <w:t>a copy of the system entries associated with this deferred gain.</w:t>
      </w:r>
      <w:r w:rsidR="009C6954" w:rsidRPr="008E791C">
        <w:t xml:space="preserve"> </w:t>
      </w:r>
      <w:r w:rsidR="009E25B6" w:rsidRPr="008E791C">
        <w:t>The same accounting procedures were followed where the property was transferred to non-utility at the time it was sold</w:t>
      </w:r>
      <w:r w:rsidR="000B5FEA" w:rsidRPr="008E791C">
        <w:t>,</w:t>
      </w:r>
      <w:r w:rsidR="009E25B6" w:rsidRPr="008E791C">
        <w:t xml:space="preserve"> and the initial </w:t>
      </w:r>
      <w:proofErr w:type="spellStart"/>
      <w:r w:rsidR="009E25B6" w:rsidRPr="008E791C">
        <w:t>PowerPlant</w:t>
      </w:r>
      <w:proofErr w:type="spellEnd"/>
      <w:r w:rsidR="009E25B6" w:rsidRPr="008E791C">
        <w:t xml:space="preserve"> interface entry to record the gain was posted to </w:t>
      </w:r>
      <w:r w:rsidR="0019108F" w:rsidRPr="008E791C">
        <w:t>a</w:t>
      </w:r>
      <w:r w:rsidR="009E25B6" w:rsidRPr="008E791C">
        <w:t xml:space="preserve"> non-utility account.</w:t>
      </w:r>
      <w:r w:rsidR="009C6954" w:rsidRPr="008E791C">
        <w:t xml:space="preserve"> </w:t>
      </w:r>
      <w:r w:rsidR="009E25B6" w:rsidRPr="008E791C">
        <w:t>Then, the gain was manually transferred to the appropriate electric FERC 256 account.</w:t>
      </w:r>
      <w:r w:rsidR="009C6954" w:rsidRPr="008E791C">
        <w:t xml:space="preserve"> </w:t>
      </w:r>
      <w:r w:rsidR="0034496B" w:rsidRPr="008E791C">
        <w:t>In summary, PSE is following the same procedure</w:t>
      </w:r>
      <w:r w:rsidR="0019108F" w:rsidRPr="008E791C">
        <w:t>s</w:t>
      </w:r>
      <w:r w:rsidR="0034496B" w:rsidRPr="008E791C">
        <w:t xml:space="preserve"> as set forth in its Controller</w:t>
      </w:r>
      <w:r w:rsidR="009C6954" w:rsidRPr="008E791C">
        <w:t>’</w:t>
      </w:r>
      <w:r w:rsidR="0034496B" w:rsidRPr="008E791C">
        <w:t>s Manual whether the transaction results in a deferred gain or a deferred loss.</w:t>
      </w:r>
    </w:p>
    <w:p w:rsidR="00AF1E95" w:rsidRPr="008E791C" w:rsidRDefault="00AF1E95" w:rsidP="00B56012">
      <w:pPr>
        <w:pStyle w:val="question"/>
      </w:pPr>
      <w:r w:rsidRPr="008E791C">
        <w:t>Q.</w:t>
      </w:r>
      <w:r w:rsidRPr="008E791C">
        <w:tab/>
        <w:t xml:space="preserve">Should the Commission accept </w:t>
      </w:r>
      <w:r w:rsidR="00313414" w:rsidRPr="008E791C">
        <w:rPr>
          <w:bCs/>
        </w:rPr>
        <w:t xml:space="preserve">Commission </w:t>
      </w:r>
      <w:r w:rsidR="00313414" w:rsidRPr="008E791C">
        <w:t>Staff</w:t>
      </w:r>
      <w:r w:rsidR="009C6954" w:rsidRPr="008E791C">
        <w:t>’</w:t>
      </w:r>
      <w:r w:rsidRPr="008E791C">
        <w:t>s proposed adjustment to natural gas deferred gains and losses?</w:t>
      </w:r>
    </w:p>
    <w:p w:rsidR="009D3492" w:rsidRPr="008E791C" w:rsidRDefault="00AF1E95" w:rsidP="00B56012">
      <w:pPr>
        <w:pStyle w:val="answer"/>
      </w:pPr>
      <w:r w:rsidRPr="008E791C">
        <w:t>A</w:t>
      </w:r>
      <w:r w:rsidR="002A20FD" w:rsidRPr="008E791C">
        <w:t>.</w:t>
      </w:r>
      <w:r w:rsidRPr="008E791C">
        <w:tab/>
        <w:t>No.</w:t>
      </w:r>
      <w:r w:rsidR="009C6954" w:rsidRPr="008E791C">
        <w:t xml:space="preserve"> </w:t>
      </w:r>
      <w:r w:rsidRPr="008E791C">
        <w:t xml:space="preserve">PSE has demonstrated that for the </w:t>
      </w:r>
      <w:r w:rsidR="0034496B" w:rsidRPr="008E791C">
        <w:t xml:space="preserve">entire </w:t>
      </w:r>
      <w:r w:rsidRPr="008E791C">
        <w:t>time the property was owned, it was used and useful for utility operations and was recorded in utility plant in service.</w:t>
      </w:r>
      <w:r w:rsidR="009C6954" w:rsidRPr="008E791C">
        <w:t xml:space="preserve"> </w:t>
      </w:r>
      <w:r w:rsidRPr="008E791C">
        <w:t xml:space="preserve">PSE has also demonstrated that it followed its own internal accounting processes in </w:t>
      </w:r>
      <w:r w:rsidR="002A20FD" w:rsidRPr="008E791C">
        <w:t>the way it booked</w:t>
      </w:r>
      <w:r w:rsidRPr="008E791C">
        <w:t xml:space="preserve"> the loss </w:t>
      </w:r>
      <w:r w:rsidR="002A20FD" w:rsidRPr="008E791C">
        <w:t xml:space="preserve">to </w:t>
      </w:r>
      <w:r w:rsidR="009E25B6" w:rsidRPr="008E791C">
        <w:t xml:space="preserve">a </w:t>
      </w:r>
      <w:r w:rsidR="002A20FD" w:rsidRPr="008E791C">
        <w:t xml:space="preserve">FERC 121 </w:t>
      </w:r>
      <w:r w:rsidR="009E25B6" w:rsidRPr="008E791C">
        <w:t xml:space="preserve">non-utility account </w:t>
      </w:r>
      <w:r w:rsidR="002A20FD" w:rsidRPr="008E791C">
        <w:t>and</w:t>
      </w:r>
      <w:r w:rsidR="000B5FEA" w:rsidRPr="008E791C">
        <w:t>,</w:t>
      </w:r>
      <w:r w:rsidR="002A20FD" w:rsidRPr="008E791C">
        <w:t xml:space="preserve"> within the same month </w:t>
      </w:r>
      <w:r w:rsidR="00473E52" w:rsidRPr="008E791C">
        <w:t>that the property was sold</w:t>
      </w:r>
      <w:r w:rsidR="000B5FEA" w:rsidRPr="008E791C">
        <w:t>,</w:t>
      </w:r>
      <w:r w:rsidR="00473E52" w:rsidRPr="008E791C">
        <w:t xml:space="preserve"> </w:t>
      </w:r>
      <w:r w:rsidR="002A20FD" w:rsidRPr="008E791C">
        <w:t xml:space="preserve">transferred </w:t>
      </w:r>
      <w:r w:rsidR="00473E52" w:rsidRPr="008E791C">
        <w:t xml:space="preserve">the loss </w:t>
      </w:r>
      <w:r w:rsidR="002A20FD" w:rsidRPr="008E791C">
        <w:t>to</w:t>
      </w:r>
      <w:r w:rsidR="00473E52" w:rsidRPr="008E791C">
        <w:t xml:space="preserve"> a</w:t>
      </w:r>
      <w:r w:rsidR="002A20FD" w:rsidRPr="008E791C">
        <w:t xml:space="preserve"> </w:t>
      </w:r>
      <w:r w:rsidRPr="008E791C">
        <w:t>FERC 187</w:t>
      </w:r>
      <w:r w:rsidR="00473E52" w:rsidRPr="008E791C">
        <w:t xml:space="preserve"> account</w:t>
      </w:r>
      <w:r w:rsidRPr="008E791C">
        <w:t>.</w:t>
      </w:r>
      <w:r w:rsidR="009C6954" w:rsidRPr="008E791C">
        <w:t xml:space="preserve"> </w:t>
      </w:r>
      <w:r w:rsidRPr="008E791C">
        <w:t>Therefore, the deferred loss is appropriate for recovery</w:t>
      </w:r>
      <w:r w:rsidR="00514577" w:rsidRPr="008E791C">
        <w:t>,</w:t>
      </w:r>
      <w:r w:rsidRPr="008E791C">
        <w:t xml:space="preserve"> and Commission Staff</w:t>
      </w:r>
      <w:r w:rsidR="009C6954" w:rsidRPr="008E791C">
        <w:t>’</w:t>
      </w:r>
      <w:r w:rsidRPr="008E791C">
        <w:t>s recommendation to disallow it should not be accepted.</w:t>
      </w:r>
    </w:p>
    <w:p w:rsidR="00803263" w:rsidRPr="008E791C" w:rsidRDefault="000B5FEA" w:rsidP="00B56012">
      <w:pPr>
        <w:pStyle w:val="Heading2"/>
      </w:pPr>
      <w:bookmarkStart w:id="44" w:name="_Toc489961830"/>
      <w:r w:rsidRPr="008E791C">
        <w:rPr>
          <w:u w:val="none"/>
        </w:rPr>
        <w:lastRenderedPageBreak/>
        <w:t>E.</w:t>
      </w:r>
      <w:r w:rsidRPr="008E791C">
        <w:rPr>
          <w:u w:val="none"/>
        </w:rPr>
        <w:tab/>
      </w:r>
      <w:r w:rsidR="00803263" w:rsidRPr="008E791C">
        <w:t xml:space="preserve">Pension Plan, Adjustment </w:t>
      </w:r>
      <w:r w:rsidR="0082145C" w:rsidRPr="008E791C">
        <w:t>KJB</w:t>
      </w:r>
      <w:r w:rsidR="00001B6B">
        <w:t>-</w:t>
      </w:r>
      <w:r w:rsidR="00E04F69" w:rsidRPr="008E791C">
        <w:t>2</w:t>
      </w:r>
      <w:r w:rsidR="00EC0897" w:rsidRPr="008E791C">
        <w:t>0</w:t>
      </w:r>
      <w:r w:rsidR="00E04F69" w:rsidRPr="008E791C">
        <w:t>.</w:t>
      </w:r>
      <w:r w:rsidR="0082145C" w:rsidRPr="008E791C">
        <w:t>16 and SEF</w:t>
      </w:r>
      <w:r w:rsidR="00001B6B">
        <w:t>-15</w:t>
      </w:r>
      <w:r w:rsidR="00803263" w:rsidRPr="008E791C">
        <w:t>.16</w:t>
      </w:r>
      <w:bookmarkEnd w:id="44"/>
    </w:p>
    <w:p w:rsidR="00945DF1" w:rsidRPr="008E791C" w:rsidRDefault="00945DF1" w:rsidP="00B56012">
      <w:pPr>
        <w:pStyle w:val="question"/>
      </w:pPr>
      <w:r w:rsidRPr="008E791C">
        <w:t>Q.</w:t>
      </w:r>
      <w:r w:rsidRPr="008E791C">
        <w:tab/>
        <w:t>Has PSE changed its adjustment for natural gas pension expense in its rebuttal filing?</w:t>
      </w:r>
    </w:p>
    <w:p w:rsidR="00945DF1" w:rsidRPr="008E791C" w:rsidRDefault="00CC3417" w:rsidP="00B56012">
      <w:pPr>
        <w:pStyle w:val="answer"/>
      </w:pPr>
      <w:r w:rsidRPr="008E791C">
        <w:t>A.</w:t>
      </w:r>
      <w:r w:rsidR="00945DF1" w:rsidRPr="008E791C">
        <w:tab/>
        <w:t>No.</w:t>
      </w:r>
      <w:r w:rsidR="009C6954" w:rsidRPr="008E791C">
        <w:t xml:space="preserve"> </w:t>
      </w:r>
      <w:r w:rsidR="00945DF1" w:rsidRPr="008E791C">
        <w:t>Ms. Katherine J. Barnard in her Prefiled Rebuttal Testimony, Exhibit KJB-17T</w:t>
      </w:r>
      <w:r w:rsidR="00514577" w:rsidRPr="008E791C">
        <w:t>,</w:t>
      </w:r>
      <w:r w:rsidR="00945DF1" w:rsidRPr="008E791C">
        <w:t xml:space="preserve"> explains the proposals made by Public Counsel, ICNU and NWIGU for this adjustment and why their proposals should be rejected.</w:t>
      </w:r>
      <w:r w:rsidR="009C6954" w:rsidRPr="008E791C">
        <w:t xml:space="preserve"> </w:t>
      </w:r>
      <w:r w:rsidR="00945DF1" w:rsidRPr="008E791C">
        <w:t>Accordingly, PSE has not changed its natural gas pension adjustment in this rebuttal filing.</w:t>
      </w:r>
    </w:p>
    <w:p w:rsidR="00680EDB" w:rsidRPr="008E791C" w:rsidRDefault="000B5FEA" w:rsidP="00B56012">
      <w:pPr>
        <w:pStyle w:val="Heading2"/>
      </w:pPr>
      <w:bookmarkStart w:id="45" w:name="_Toc489961831"/>
      <w:r w:rsidRPr="008E791C">
        <w:rPr>
          <w:u w:val="none"/>
        </w:rPr>
        <w:t>F.</w:t>
      </w:r>
      <w:r w:rsidRPr="008E791C">
        <w:rPr>
          <w:u w:val="none"/>
        </w:rPr>
        <w:tab/>
      </w:r>
      <w:r w:rsidR="00803263" w:rsidRPr="008E791C">
        <w:t xml:space="preserve">Environmental Remediation, Adjustment </w:t>
      </w:r>
      <w:r w:rsidR="0082145C" w:rsidRPr="008E791C">
        <w:t>KJB</w:t>
      </w:r>
      <w:r w:rsidR="00001B6B">
        <w:t>-</w:t>
      </w:r>
      <w:r w:rsidR="00E04F69" w:rsidRPr="008E791C">
        <w:t>2</w:t>
      </w:r>
      <w:r w:rsidR="00EC0897" w:rsidRPr="008E791C">
        <w:t>0</w:t>
      </w:r>
      <w:r w:rsidR="00E04F69" w:rsidRPr="008E791C">
        <w:t>.</w:t>
      </w:r>
      <w:r w:rsidR="0082145C" w:rsidRPr="008E791C">
        <w:t>19 and SEF</w:t>
      </w:r>
      <w:r w:rsidR="00001B6B">
        <w:t>-15</w:t>
      </w:r>
      <w:r w:rsidR="00803263" w:rsidRPr="008E791C">
        <w:t>.19</w:t>
      </w:r>
      <w:bookmarkEnd w:id="45"/>
    </w:p>
    <w:p w:rsidR="00537ADF" w:rsidRPr="008E791C" w:rsidRDefault="00CC3417" w:rsidP="00B56012">
      <w:pPr>
        <w:pStyle w:val="question"/>
      </w:pPr>
      <w:r w:rsidRPr="008E791C">
        <w:t>Q.</w:t>
      </w:r>
      <w:r w:rsidR="00537ADF" w:rsidRPr="008E791C">
        <w:tab/>
        <w:t>Do you agree with Ms. O</w:t>
      </w:r>
      <w:r w:rsidR="009C6954" w:rsidRPr="008E791C">
        <w:t>’</w:t>
      </w:r>
      <w:r w:rsidR="00537ADF" w:rsidRPr="008E791C">
        <w:t>Connell</w:t>
      </w:r>
      <w:r w:rsidR="008E791C">
        <w:t>’s</w:t>
      </w:r>
      <w:r w:rsidR="00537ADF" w:rsidRPr="008E791C">
        <w:t xml:space="preserve"> </w:t>
      </w:r>
      <w:r w:rsidR="00514577" w:rsidRPr="008E791C">
        <w:t xml:space="preserve">view of PSE’s </w:t>
      </w:r>
      <w:r w:rsidR="00537ADF" w:rsidRPr="008E791C">
        <w:t>unassigned insurance recoveries</w:t>
      </w:r>
      <w:r w:rsidR="00514577" w:rsidRPr="008E791C">
        <w:t xml:space="preserve"> for environmental remediation</w:t>
      </w:r>
      <w:r w:rsidR="00537ADF" w:rsidRPr="008E791C">
        <w:t>?</w:t>
      </w:r>
      <w:r w:rsidR="00514577" w:rsidRPr="008E791C">
        <w:rPr>
          <w:rStyle w:val="FootnoteReference"/>
        </w:rPr>
        <w:footnoteReference w:id="8"/>
      </w:r>
    </w:p>
    <w:p w:rsidR="00514577" w:rsidRPr="008E791C" w:rsidRDefault="00537ADF" w:rsidP="00B56012">
      <w:pPr>
        <w:pStyle w:val="answer"/>
      </w:pPr>
      <w:r w:rsidRPr="008E791C">
        <w:t>A.</w:t>
      </w:r>
      <w:r w:rsidRPr="008E791C">
        <w:tab/>
        <w:t>No.</w:t>
      </w:r>
      <w:r w:rsidR="009C6954" w:rsidRPr="008E791C">
        <w:t xml:space="preserve"> </w:t>
      </w:r>
      <w:r w:rsidRPr="008E791C">
        <w:t>Ms. O</w:t>
      </w:r>
      <w:r w:rsidR="009C6954" w:rsidRPr="008E791C">
        <w:t>’</w:t>
      </w:r>
      <w:r w:rsidRPr="008E791C">
        <w:t>Connell indicates that PSE</w:t>
      </w:r>
      <w:r w:rsidR="009C6954" w:rsidRPr="008E791C">
        <w:t>’</w:t>
      </w:r>
      <w:r w:rsidRPr="008E791C">
        <w:t>s practice of holding certain insurance recoveries</w:t>
      </w:r>
      <w:r w:rsidR="00514577" w:rsidRPr="008E791C">
        <w:t xml:space="preserve"> for environmental remediation costs </w:t>
      </w:r>
      <w:r w:rsidRPr="008E791C">
        <w:t xml:space="preserve">as unassigned means </w:t>
      </w:r>
      <w:r w:rsidR="009C6954" w:rsidRPr="008E791C">
        <w:t>“</w:t>
      </w:r>
      <w:r w:rsidRPr="008E791C">
        <w:t>they can be used at the Company</w:t>
      </w:r>
      <w:r w:rsidR="009C6954" w:rsidRPr="008E791C">
        <w:t>’</w:t>
      </w:r>
      <w:r w:rsidRPr="008E791C">
        <w:t>s discretion to offset the costs of any project</w:t>
      </w:r>
      <w:r w:rsidR="00AC2636" w:rsidRPr="008E791C">
        <w:t>.</w:t>
      </w:r>
      <w:r w:rsidR="009C6954" w:rsidRPr="008E791C">
        <w:t xml:space="preserve">” </w:t>
      </w:r>
      <w:r w:rsidRPr="008E791C">
        <w:t>Ms.</w:t>
      </w:r>
      <w:r w:rsidR="00514577" w:rsidRPr="008E791C">
        <w:t> </w:t>
      </w:r>
      <w:r w:rsidRPr="008E791C">
        <w:t>O</w:t>
      </w:r>
      <w:r w:rsidR="009C6954" w:rsidRPr="008E791C">
        <w:t>’</w:t>
      </w:r>
      <w:r w:rsidRPr="008E791C">
        <w:t>Connell</w:t>
      </w:r>
      <w:r w:rsidR="009C6954" w:rsidRPr="008E791C">
        <w:t>’</w:t>
      </w:r>
      <w:r w:rsidRPr="008E791C">
        <w:t xml:space="preserve">s interpretation of why PSE held the insurance recoveries as unassigned </w:t>
      </w:r>
      <w:r w:rsidR="00514577" w:rsidRPr="008E791C">
        <w:t xml:space="preserve">misunderstands </w:t>
      </w:r>
      <w:r w:rsidRPr="008E791C">
        <w:t>the reasons PSE held the recoveries in this way.</w:t>
      </w:r>
      <w:r w:rsidR="009C6954" w:rsidRPr="008E791C">
        <w:t xml:space="preserve"> </w:t>
      </w:r>
    </w:p>
    <w:p w:rsidR="00514577" w:rsidRPr="008E791C" w:rsidRDefault="00514577" w:rsidP="00B56012">
      <w:pPr>
        <w:pStyle w:val="question"/>
      </w:pPr>
      <w:r w:rsidRPr="008E791C">
        <w:t>Q.</w:t>
      </w:r>
      <w:r w:rsidRPr="008E791C">
        <w:tab/>
        <w:t>Why does PSE elect to not assign some insurance recoveries?</w:t>
      </w:r>
    </w:p>
    <w:p w:rsidR="00537ADF" w:rsidRPr="008E791C" w:rsidRDefault="00514577" w:rsidP="00B56012">
      <w:pPr>
        <w:pStyle w:val="answer"/>
      </w:pPr>
      <w:r w:rsidRPr="008E791C">
        <w:t>A.</w:t>
      </w:r>
      <w:r w:rsidRPr="008E791C">
        <w:tab/>
      </w:r>
      <w:r w:rsidR="00537ADF" w:rsidRPr="008E791C">
        <w:t xml:space="preserve">As discussed in more detail in the </w:t>
      </w:r>
      <w:r w:rsidR="00823699" w:rsidRPr="008E791C">
        <w:t xml:space="preserve">Prefiled </w:t>
      </w:r>
      <w:r w:rsidR="00537ADF" w:rsidRPr="008E791C">
        <w:t>Rebuttal Testimony of Mr. Steven R. Secrist, Exhibit SRS-1T</w:t>
      </w:r>
      <w:r w:rsidR="008C510E" w:rsidRPr="008E791C">
        <w:t>,</w:t>
      </w:r>
      <w:r w:rsidR="00537ADF" w:rsidRPr="008E791C">
        <w:t xml:space="preserve"> the insurance recoveries were held as unassigned </w:t>
      </w:r>
      <w:r w:rsidR="00AC2636" w:rsidRPr="008E791C">
        <w:t>because many of PSE</w:t>
      </w:r>
      <w:r w:rsidR="009C6954" w:rsidRPr="008E791C">
        <w:t>’</w:t>
      </w:r>
      <w:r w:rsidR="00AC2636" w:rsidRPr="008E791C">
        <w:t xml:space="preserve">s insurance policies covered past, current and future costs </w:t>
      </w:r>
      <w:r w:rsidR="00AC2636" w:rsidRPr="008E791C">
        <w:lastRenderedPageBreak/>
        <w:t>for multiple sites and because at the time of recovery, allocating the recoveries to a specific site would be premature until all cleanup costs were known for a particular site.</w:t>
      </w:r>
      <w:r w:rsidR="009C6954" w:rsidRPr="008E791C">
        <w:t xml:space="preserve"> </w:t>
      </w:r>
      <w:r w:rsidR="00AC2636" w:rsidRPr="008E791C">
        <w:t>Thus, prematurely assigning recoveries to a particular site when cleanup costs were not fully known could harm</w:t>
      </w:r>
      <w:r w:rsidR="00537ADF" w:rsidRPr="008E791C">
        <w:t xml:space="preserve"> PSE and its predecessors in litigation and settlement positions with PSE</w:t>
      </w:r>
      <w:r w:rsidR="00E26124" w:rsidRPr="008E791C">
        <w:t>’S</w:t>
      </w:r>
      <w:r w:rsidR="00537ADF" w:rsidRPr="008E791C">
        <w:t xml:space="preserve"> insurers.</w:t>
      </w:r>
      <w:r w:rsidR="009C6954" w:rsidRPr="008E791C">
        <w:t xml:space="preserve"> </w:t>
      </w:r>
      <w:r w:rsidR="00537ADF" w:rsidRPr="008E791C">
        <w:t xml:space="preserve">By not </w:t>
      </w:r>
      <w:r w:rsidR="00AC2636" w:rsidRPr="008E791C">
        <w:t xml:space="preserve">prematurely </w:t>
      </w:r>
      <w:r w:rsidR="00537ADF" w:rsidRPr="008E791C">
        <w:t xml:space="preserve">assigning recoveries to specific projects in settlement agreements and subsequently in the tracking of those recoveries, PSE was able to </w:t>
      </w:r>
      <w:r w:rsidR="00AC2636" w:rsidRPr="008E791C">
        <w:t xml:space="preserve">appropriately </w:t>
      </w:r>
      <w:r w:rsidR="00537ADF" w:rsidRPr="008E791C">
        <w:t>optimize the amount of recoveries received through litigation and settlement.</w:t>
      </w:r>
      <w:r w:rsidR="009C6954" w:rsidRPr="008E791C">
        <w:t xml:space="preserve"> </w:t>
      </w:r>
      <w:r w:rsidR="00537ADF" w:rsidRPr="008E791C">
        <w:t>Through insurance buyback agreements, PSE was able to secure recoveries that were not allocable to specific sites, but to groups of sites that covered past and future expenses.</w:t>
      </w:r>
    </w:p>
    <w:p w:rsidR="00537ADF" w:rsidRPr="008E791C" w:rsidRDefault="00CC3417" w:rsidP="00B56012">
      <w:pPr>
        <w:pStyle w:val="question"/>
      </w:pPr>
      <w:r w:rsidRPr="008E791C">
        <w:t>Q.</w:t>
      </w:r>
      <w:r w:rsidR="005A2C1F" w:rsidRPr="008E791C">
        <w:tab/>
      </w:r>
      <w:r w:rsidR="00537ADF" w:rsidRPr="008E791C">
        <w:t>Do you agree with Ms. O</w:t>
      </w:r>
      <w:r w:rsidR="009C6954" w:rsidRPr="008E791C">
        <w:t>’</w:t>
      </w:r>
      <w:r w:rsidR="00537ADF" w:rsidRPr="008E791C">
        <w:t xml:space="preserve">Connell that assigning the unassigned insurance recoveries to specific projects would result in a more accurate accounting of </w:t>
      </w:r>
      <w:r w:rsidR="006E0FF1" w:rsidRPr="008E791C">
        <w:t>PSE</w:t>
      </w:r>
      <w:r w:rsidR="009C6954" w:rsidRPr="008E791C">
        <w:t>’</w:t>
      </w:r>
      <w:r w:rsidR="00537ADF" w:rsidRPr="008E791C">
        <w:t>s obligations</w:t>
      </w:r>
      <w:r w:rsidR="00537ADF" w:rsidRPr="008E791C">
        <w:rPr>
          <w:rStyle w:val="FootnoteReference"/>
        </w:rPr>
        <w:footnoteReference w:id="9"/>
      </w:r>
      <w:r w:rsidR="00537ADF" w:rsidRPr="008E791C">
        <w:t>?</w:t>
      </w:r>
    </w:p>
    <w:p w:rsidR="00537ADF" w:rsidRPr="008E791C" w:rsidRDefault="005A2C1F" w:rsidP="00B56012">
      <w:pPr>
        <w:pStyle w:val="answer"/>
      </w:pPr>
      <w:r w:rsidRPr="008E791C">
        <w:t>A.</w:t>
      </w:r>
      <w:r w:rsidRPr="008E791C">
        <w:tab/>
      </w:r>
      <w:r w:rsidR="00537ADF" w:rsidRPr="008E791C">
        <w:t>No.</w:t>
      </w:r>
      <w:r w:rsidR="009C6954" w:rsidRPr="008E791C">
        <w:t xml:space="preserve"> </w:t>
      </w:r>
      <w:r w:rsidR="00537ADF" w:rsidRPr="008E791C">
        <w:t xml:space="preserve">In fact, </w:t>
      </w:r>
      <w:r w:rsidR="00D2550D" w:rsidRPr="008E791C">
        <w:t xml:space="preserve">from an accounting perspective, </w:t>
      </w:r>
      <w:r w:rsidR="00537ADF" w:rsidRPr="008E791C">
        <w:t xml:space="preserve">it is clearer if the </w:t>
      </w:r>
      <w:r w:rsidR="00663958" w:rsidRPr="008E791C">
        <w:t xml:space="preserve">project </w:t>
      </w:r>
      <w:r w:rsidR="00537ADF" w:rsidRPr="008E791C">
        <w:t>costs and recoveries are tracked separately</w:t>
      </w:r>
      <w:r w:rsidR="001176CD" w:rsidRPr="008E791C">
        <w:t xml:space="preserve">. </w:t>
      </w:r>
      <w:r w:rsidR="00537ADF" w:rsidRPr="008E791C">
        <w:t>During the test year, PSE had existing deferrals of environmental remediation costs totaling $9.5 million for electric and $72.2 million for gas and had recoveries of $5.3 million for electric and $50.3 million for gas</w:t>
      </w:r>
      <w:r w:rsidR="0034496B" w:rsidRPr="008E791C">
        <w:t>.</w:t>
      </w:r>
      <w:r w:rsidR="00537ADF" w:rsidRPr="008E791C">
        <w:rPr>
          <w:rStyle w:val="FootnoteReference"/>
        </w:rPr>
        <w:footnoteReference w:id="10"/>
      </w:r>
      <w:r w:rsidR="009C6954" w:rsidRPr="008E791C">
        <w:t xml:space="preserve"> </w:t>
      </w:r>
      <w:r w:rsidR="00E26124" w:rsidRPr="008E791C">
        <w:t xml:space="preserve"> </w:t>
      </w:r>
      <w:r w:rsidR="00537ADF" w:rsidRPr="008E791C">
        <w:t>Ignoring Ms. O</w:t>
      </w:r>
      <w:r w:rsidR="009C6954" w:rsidRPr="008E791C">
        <w:t>’</w:t>
      </w:r>
      <w:r w:rsidR="00537ADF" w:rsidRPr="008E791C">
        <w:t>Connell</w:t>
      </w:r>
      <w:r w:rsidR="009C6954" w:rsidRPr="008E791C">
        <w:t>’</w:t>
      </w:r>
      <w:r w:rsidR="00537ADF" w:rsidRPr="008E791C">
        <w:t xml:space="preserve">s other recommendations to write off certain </w:t>
      </w:r>
      <w:r w:rsidR="00537ADF" w:rsidRPr="008E791C">
        <w:lastRenderedPageBreak/>
        <w:t xml:space="preserve">balances, </w:t>
      </w:r>
      <w:r w:rsidR="00E26124" w:rsidRPr="008E791C">
        <w:t xml:space="preserve">which I will address later, </w:t>
      </w:r>
      <w:r w:rsidR="00537ADF" w:rsidRPr="008E791C">
        <w:t>if the recoveries were netted against the deferred costs as Ms. O</w:t>
      </w:r>
      <w:r w:rsidR="009C6954" w:rsidRPr="008E791C">
        <w:t>’</w:t>
      </w:r>
      <w:r w:rsidR="00537ADF" w:rsidRPr="008E791C">
        <w:t>Connell recommends, PSE</w:t>
      </w:r>
      <w:r w:rsidR="009C6954" w:rsidRPr="008E791C">
        <w:t>’</w:t>
      </w:r>
      <w:r w:rsidR="00537ADF" w:rsidRPr="008E791C">
        <w:t>s books would only reflect deferred costs of $4.2 million for electric and $21.7 million for gas</w:t>
      </w:r>
      <w:r w:rsidR="001176CD" w:rsidRPr="008E791C">
        <w:t xml:space="preserve">. </w:t>
      </w:r>
      <w:r w:rsidR="00E26124" w:rsidRPr="008E791C">
        <w:t xml:space="preserve">This </w:t>
      </w:r>
      <w:r w:rsidR="00537ADF" w:rsidRPr="008E791C">
        <w:t xml:space="preserve">is less informative than knowing </w:t>
      </w:r>
      <w:r w:rsidR="00E26124" w:rsidRPr="008E791C">
        <w:t xml:space="preserve">the amount of </w:t>
      </w:r>
      <w:r w:rsidR="00537ADF" w:rsidRPr="008E791C">
        <w:t>the origina</w:t>
      </w:r>
      <w:r w:rsidR="00E26124" w:rsidRPr="008E791C">
        <w:t>l costs and original recoveries</w:t>
      </w:r>
      <w:r w:rsidR="001176CD" w:rsidRPr="008E791C">
        <w:t xml:space="preserve">. </w:t>
      </w:r>
      <w:r w:rsidR="00537ADF" w:rsidRPr="008E791C">
        <w:t xml:space="preserve">While at some point deferred costs can be settled and recoveries can be applied and accounts closed, it does not provide clarity to net recoveries against deferred </w:t>
      </w:r>
      <w:r w:rsidR="00E26124" w:rsidRPr="008E791C">
        <w:t xml:space="preserve">cost </w:t>
      </w:r>
      <w:r w:rsidR="00537ADF" w:rsidRPr="008E791C">
        <w:t xml:space="preserve">balances that have the potential to incur additional future </w:t>
      </w:r>
      <w:r w:rsidR="00E26124" w:rsidRPr="008E791C">
        <w:t xml:space="preserve">costs, </w:t>
      </w:r>
      <w:r w:rsidR="00D2550D" w:rsidRPr="008E791C">
        <w:t>particularly if doing so would harm PSE in</w:t>
      </w:r>
      <w:r w:rsidR="00537ADF" w:rsidRPr="008E791C">
        <w:t xml:space="preserve"> litigation or negotiations with existing insurers.</w:t>
      </w:r>
      <w:r w:rsidR="009C6954" w:rsidRPr="008E791C">
        <w:t xml:space="preserve"> </w:t>
      </w:r>
      <w:r w:rsidR="00537ADF" w:rsidRPr="008E791C">
        <w:t>Further, zeroing out deferred costs by offsetting them with recoveries would artificially mask the amount of total costs deferred on sites where remediation is not complete.</w:t>
      </w:r>
      <w:r w:rsidR="009C6954" w:rsidRPr="008E791C">
        <w:t xml:space="preserve"> </w:t>
      </w:r>
      <w:r w:rsidR="00537ADF" w:rsidRPr="008E791C">
        <w:t>Therefore, the more appropriate way to handle the accounting for deferred costs and recoveries is to only apply recoveries to sites when the potential for significant additional costs or recoveries is low.</w:t>
      </w:r>
      <w:r w:rsidR="009C6954" w:rsidRPr="008E791C">
        <w:t xml:space="preserve"> </w:t>
      </w:r>
      <w:r w:rsidR="00537ADF" w:rsidRPr="008E791C">
        <w:t>Exhibit SEF-</w:t>
      </w:r>
      <w:r w:rsidR="00164C58">
        <w:t>23</w:t>
      </w:r>
      <w:r w:rsidR="00537ADF" w:rsidRPr="008E791C">
        <w:t xml:space="preserve"> contains a listing of the gas and electric environmental remediation deferral accounts and a comparison of PSE</w:t>
      </w:r>
      <w:r w:rsidR="009C6954" w:rsidRPr="008E791C">
        <w:t>’</w:t>
      </w:r>
      <w:r w:rsidR="00537ADF" w:rsidRPr="008E791C">
        <w:t xml:space="preserve">s and </w:t>
      </w:r>
      <w:r w:rsidR="00313414" w:rsidRPr="008E791C">
        <w:rPr>
          <w:bCs/>
        </w:rPr>
        <w:t xml:space="preserve">Commission </w:t>
      </w:r>
      <w:r w:rsidR="00313414" w:rsidRPr="008E791C">
        <w:t>Staff</w:t>
      </w:r>
      <w:r w:rsidR="009C6954" w:rsidRPr="008E791C">
        <w:t>’</w:t>
      </w:r>
      <w:r w:rsidR="00537ADF" w:rsidRPr="008E791C">
        <w:t>s</w:t>
      </w:r>
      <w:r w:rsidR="009C6954" w:rsidRPr="008E791C">
        <w:t xml:space="preserve"> </w:t>
      </w:r>
      <w:r w:rsidR="00537ADF" w:rsidRPr="008E791C">
        <w:t>recommendations of which environmental deferral accounts should have recoveries applied to them and their balances closed.</w:t>
      </w:r>
      <w:r w:rsidR="003B18F3" w:rsidRPr="008E791C">
        <w:rPr>
          <w:rStyle w:val="FootnoteReference"/>
        </w:rPr>
        <w:footnoteReference w:id="11"/>
      </w:r>
      <w:r w:rsidR="009C6954" w:rsidRPr="008E791C">
        <w:t xml:space="preserve"> </w:t>
      </w:r>
      <w:r w:rsidR="00537ADF" w:rsidRPr="008E791C">
        <w:t>In the end, whether or not PSE</w:t>
      </w:r>
      <w:r w:rsidR="009C6954" w:rsidRPr="008E791C">
        <w:t>’</w:t>
      </w:r>
      <w:r w:rsidR="00537ADF" w:rsidRPr="008E791C">
        <w:t xml:space="preserve">s or </w:t>
      </w:r>
      <w:r w:rsidR="00313414" w:rsidRPr="008E791C">
        <w:rPr>
          <w:bCs/>
        </w:rPr>
        <w:t xml:space="preserve">Commission </w:t>
      </w:r>
      <w:r w:rsidR="00313414" w:rsidRPr="008E791C">
        <w:t>Staff</w:t>
      </w:r>
      <w:r w:rsidR="009C6954" w:rsidRPr="008E791C">
        <w:t>’</w:t>
      </w:r>
      <w:r w:rsidR="00AF6327" w:rsidRPr="008E791C">
        <w:t>s</w:t>
      </w:r>
      <w:r w:rsidR="00537ADF" w:rsidRPr="008E791C">
        <w:t xml:space="preserve"> recommendations for assignment of unallocated recoveries is utilized, the total amounts set in rates does not change; however, PSE</w:t>
      </w:r>
      <w:r w:rsidR="009C6954" w:rsidRPr="008E791C">
        <w:t>’</w:t>
      </w:r>
      <w:r w:rsidR="00537ADF" w:rsidRPr="008E791C">
        <w:t xml:space="preserve">s recommendation </w:t>
      </w:r>
      <w:r w:rsidR="00537ADF" w:rsidRPr="008E791C">
        <w:lastRenderedPageBreak/>
        <w:t>provides a more sensible allocation based on the actual conditions of the remediation sites being tracked.</w:t>
      </w:r>
    </w:p>
    <w:p w:rsidR="00537ADF" w:rsidRPr="008E791C" w:rsidRDefault="00CC3417" w:rsidP="00B56012">
      <w:pPr>
        <w:pStyle w:val="question"/>
      </w:pPr>
      <w:r w:rsidRPr="008E791C">
        <w:t>Q.</w:t>
      </w:r>
      <w:r w:rsidR="00176FA9" w:rsidRPr="008E791C">
        <w:tab/>
      </w:r>
      <w:r w:rsidR="00537ADF" w:rsidRPr="008E791C">
        <w:t>Commission Staff, Public Counsel, ICNU and NWIGU all recommend that PSE should pass back 100</w:t>
      </w:r>
      <w:r w:rsidR="00E26124" w:rsidRPr="008E791C">
        <w:t xml:space="preserve"> percent</w:t>
      </w:r>
      <w:r w:rsidR="00537ADF" w:rsidRPr="008E791C">
        <w:t xml:space="preserve"> of the insurance recoveries now, rather than reserving a portion to be passed back to offset the costs of remediation in the future.</w:t>
      </w:r>
      <w:r w:rsidR="00823699" w:rsidRPr="008E791C">
        <w:rPr>
          <w:rStyle w:val="FootnoteReference"/>
        </w:rPr>
        <w:footnoteReference w:id="12"/>
      </w:r>
      <w:r w:rsidR="009C6954" w:rsidRPr="008E791C">
        <w:t xml:space="preserve"> </w:t>
      </w:r>
      <w:r w:rsidR="00537ADF" w:rsidRPr="008E791C">
        <w:t>Should their approach be accepted?</w:t>
      </w:r>
    </w:p>
    <w:p w:rsidR="00537ADF" w:rsidRPr="008E791C" w:rsidRDefault="00BE4BDB" w:rsidP="00B56012">
      <w:pPr>
        <w:pStyle w:val="answer"/>
      </w:pPr>
      <w:r w:rsidRPr="008E791C">
        <w:t>A.</w:t>
      </w:r>
      <w:r w:rsidRPr="008E791C">
        <w:tab/>
      </w:r>
      <w:r w:rsidR="00537ADF" w:rsidRPr="008E791C">
        <w:t>No.</w:t>
      </w:r>
      <w:r w:rsidR="009C6954" w:rsidRPr="008E791C">
        <w:t xml:space="preserve"> </w:t>
      </w:r>
      <w:r w:rsidR="00537ADF" w:rsidRPr="008E791C">
        <w:t>As stated in the Prefiled Rebuttal Testimony of . Steven R. Secrist, Exhibit SRS-1T</w:t>
      </w:r>
      <w:r w:rsidR="008C510E" w:rsidRPr="008E791C">
        <w:t>,</w:t>
      </w:r>
      <w:r w:rsidR="00537ADF" w:rsidRPr="008E791C">
        <w:t xml:space="preserve"> PSE has substantially exhausted its ability to recover insurance on legacy policies held by PSE</w:t>
      </w:r>
      <w:r w:rsidR="009C6954" w:rsidRPr="008E791C">
        <w:t>’</w:t>
      </w:r>
      <w:r w:rsidR="00537ADF" w:rsidRPr="008E791C">
        <w:t>s predecessors and the prospect of significant additional recoveries is low.</w:t>
      </w:r>
      <w:r w:rsidR="009C6954" w:rsidRPr="008E791C">
        <w:t xml:space="preserve"> </w:t>
      </w:r>
      <w:r w:rsidR="00537ADF" w:rsidRPr="008E791C">
        <w:t>However, PSE</w:t>
      </w:r>
      <w:r w:rsidR="007218AC" w:rsidRPr="008E791C">
        <w:t xml:space="preserve"> continue</w:t>
      </w:r>
      <w:r w:rsidR="00537ADF" w:rsidRPr="008E791C">
        <w:t>s</w:t>
      </w:r>
      <w:r w:rsidR="007218AC" w:rsidRPr="008E791C">
        <w:t xml:space="preserve"> to incur costs for</w:t>
      </w:r>
      <w:r w:rsidR="00537ADF" w:rsidRPr="008E791C">
        <w:t xml:space="preserve"> environmental remediation projects.</w:t>
      </w:r>
      <w:r w:rsidR="009C6954" w:rsidRPr="008E791C">
        <w:t xml:space="preserve"> </w:t>
      </w:r>
      <w:r w:rsidR="00537ADF" w:rsidRPr="008E791C">
        <w:t>Given this situation, PSE has proposed to allocate a portion of the proceeds currently recovered to the existing deferred costs and to reserve the remaining insurance recoveries to use to offset future remediation costs to be requested in future proceedings. Providing all of the recoveries now does not provide a proper matching of the underlying costs for which the recoveries were received.</w:t>
      </w:r>
      <w:r w:rsidR="009C6954" w:rsidRPr="008E791C">
        <w:t xml:space="preserve"> </w:t>
      </w:r>
      <w:r w:rsidR="007218AC" w:rsidRPr="008E791C">
        <w:t>The insurance policies and third-party recoveries PSE has obtained are intended to cover costs for past, present, and future environmental remediation on the covered sites.</w:t>
      </w:r>
      <w:r w:rsidR="009C6954" w:rsidRPr="008E791C">
        <w:t xml:space="preserve"> </w:t>
      </w:r>
      <w:r w:rsidR="007218AC" w:rsidRPr="008E791C">
        <w:t>Applying all of these proceeds to past and current costs</w:t>
      </w:r>
      <w:r w:rsidR="00537ADF" w:rsidRPr="008E791C">
        <w:t xml:space="preserve"> would unnecessarily harm future customers who would be responsible for paying for remediation costs without receiving the </w:t>
      </w:r>
      <w:r w:rsidR="00537ADF" w:rsidRPr="008E791C">
        <w:lastRenderedPageBreak/>
        <w:t>offsetting benefit of related insurance recoveries.</w:t>
      </w:r>
      <w:r w:rsidR="009C6954" w:rsidRPr="008E791C">
        <w:t xml:space="preserve"> </w:t>
      </w:r>
      <w:r w:rsidR="00537ADF" w:rsidRPr="008E791C">
        <w:t>Likewise, existing customers would receive a disproportionate amount of the insurance recoveries while only paying a portion of the related remediation costs.</w:t>
      </w:r>
    </w:p>
    <w:p w:rsidR="00537ADF" w:rsidRPr="008E791C" w:rsidRDefault="00CC3417" w:rsidP="00B56012">
      <w:pPr>
        <w:pStyle w:val="question"/>
      </w:pPr>
      <w:r w:rsidRPr="008E791C">
        <w:t>Q.</w:t>
      </w:r>
      <w:r w:rsidR="00BE4BDB" w:rsidRPr="008E791C">
        <w:tab/>
      </w:r>
      <w:r w:rsidR="00537ADF" w:rsidRPr="008E791C">
        <w:t xml:space="preserve">Mr. Ralph C. Smith for Public Counsel </w:t>
      </w:r>
      <w:r w:rsidR="0034496B" w:rsidRPr="008E791C">
        <w:t xml:space="preserve">claims </w:t>
      </w:r>
      <w:r w:rsidR="00537ADF" w:rsidRPr="008E791C">
        <w:t>that PSE indicated that the actual unassigned insurance recoveries received to date do not represent future remediation or monitoring obligations.</w:t>
      </w:r>
      <w:r w:rsidR="00CF5DC3" w:rsidRPr="008E791C">
        <w:rPr>
          <w:rStyle w:val="FootnoteReference"/>
        </w:rPr>
        <w:footnoteReference w:id="13"/>
      </w:r>
      <w:r w:rsidR="009C6954" w:rsidRPr="008E791C">
        <w:t xml:space="preserve"> </w:t>
      </w:r>
      <w:r w:rsidR="00537ADF" w:rsidRPr="008E791C">
        <w:t>Is this an accurate portrayal?</w:t>
      </w:r>
    </w:p>
    <w:p w:rsidR="00537ADF" w:rsidRPr="008E791C" w:rsidRDefault="00CC3417" w:rsidP="00B56012">
      <w:pPr>
        <w:pStyle w:val="answer"/>
      </w:pPr>
      <w:r w:rsidRPr="008E791C">
        <w:t>A.</w:t>
      </w:r>
      <w:r w:rsidR="00BE4BDB" w:rsidRPr="008E791C">
        <w:tab/>
      </w:r>
      <w:r w:rsidR="00537ADF" w:rsidRPr="008E791C">
        <w:t>No.</w:t>
      </w:r>
      <w:r w:rsidR="009C6954" w:rsidRPr="008E791C">
        <w:t xml:space="preserve"> </w:t>
      </w:r>
      <w:r w:rsidR="00537ADF" w:rsidRPr="008E791C">
        <w:t>Mr. Smith cites to page 12 of his Exhibit RCS-9</w:t>
      </w:r>
      <w:r w:rsidR="00A375DE" w:rsidRPr="008E791C">
        <w:t>,</w:t>
      </w:r>
      <w:r w:rsidR="00537ADF" w:rsidRPr="008E791C">
        <w:t xml:space="preserve"> which contains PSE</w:t>
      </w:r>
      <w:r w:rsidR="009C6954" w:rsidRPr="008E791C">
        <w:t>’</w:t>
      </w:r>
      <w:r w:rsidR="00537ADF" w:rsidRPr="008E791C">
        <w:t xml:space="preserve">s Response to </w:t>
      </w:r>
      <w:r w:rsidR="00313414" w:rsidRPr="008E791C">
        <w:rPr>
          <w:bCs/>
        </w:rPr>
        <w:t xml:space="preserve">Commission </w:t>
      </w:r>
      <w:r w:rsidR="00313414" w:rsidRPr="008E791C">
        <w:t xml:space="preserve">Staff </w:t>
      </w:r>
      <w:r w:rsidR="00537ADF" w:rsidRPr="008E791C">
        <w:t>Data Request No. 284</w:t>
      </w:r>
      <w:r w:rsidR="00A375DE" w:rsidRPr="008E791C">
        <w:t>.</w:t>
      </w:r>
      <w:r w:rsidR="009C6954" w:rsidRPr="008E791C">
        <w:t xml:space="preserve"> </w:t>
      </w:r>
      <w:r w:rsidR="00A375DE" w:rsidRPr="008E791C">
        <w:t xml:space="preserve">That data request </w:t>
      </w:r>
      <w:r w:rsidR="00537ADF" w:rsidRPr="008E791C">
        <w:t>asked how much of the future obligations were identified in the recoveries received.</w:t>
      </w:r>
      <w:r w:rsidR="009C6954" w:rsidRPr="008E791C">
        <w:t xml:space="preserve"> </w:t>
      </w:r>
      <w:r w:rsidR="00537ADF" w:rsidRPr="008E791C">
        <w:t xml:space="preserve">Because obligations are a completely different category than recoveries, PSE indicated that the recoveries being pointed to in the </w:t>
      </w:r>
      <w:r w:rsidR="00583D79" w:rsidRPr="008E791C">
        <w:t xml:space="preserve">data request </w:t>
      </w:r>
      <w:r w:rsidR="00537ADF" w:rsidRPr="008E791C">
        <w:t>did not represent obligations – meaning, there were no obligations recorded within the recoveries account balance that was being referenced in the question.</w:t>
      </w:r>
      <w:r w:rsidR="009C6954" w:rsidRPr="008E791C">
        <w:t xml:space="preserve"> </w:t>
      </w:r>
      <w:r w:rsidR="00537ADF" w:rsidRPr="008E791C">
        <w:t>Mr. Smith</w:t>
      </w:r>
      <w:r w:rsidR="009C6954" w:rsidRPr="008E791C">
        <w:t>’</w:t>
      </w:r>
      <w:r w:rsidR="00583D79" w:rsidRPr="008E791C">
        <w:t>s testimony is misleading because it attempts to</w:t>
      </w:r>
      <w:r w:rsidR="00537ADF" w:rsidRPr="008E791C">
        <w:t xml:space="preserve"> present PSE</w:t>
      </w:r>
      <w:r w:rsidR="009C6954" w:rsidRPr="008E791C">
        <w:t>’</w:t>
      </w:r>
      <w:r w:rsidR="00537ADF" w:rsidRPr="008E791C">
        <w:t xml:space="preserve">s response </w:t>
      </w:r>
      <w:r w:rsidR="00583D79" w:rsidRPr="008E791C">
        <w:t>to mean</w:t>
      </w:r>
      <w:r w:rsidR="00537ADF" w:rsidRPr="008E791C">
        <w:t xml:space="preserve"> that the insurance recoveries received were not designated to recover future cost obligations.</w:t>
      </w:r>
      <w:r w:rsidR="009C6954" w:rsidRPr="008E791C">
        <w:t xml:space="preserve"> </w:t>
      </w:r>
      <w:r w:rsidR="00537ADF" w:rsidRPr="008E791C">
        <w:t xml:space="preserve">Please see the </w:t>
      </w:r>
      <w:r w:rsidR="00A375DE" w:rsidRPr="008E791C">
        <w:t xml:space="preserve">Prefiled </w:t>
      </w:r>
      <w:r w:rsidR="00537ADF" w:rsidRPr="008E791C">
        <w:t>Rebuttal Testimony of Steven R. Secrist</w:t>
      </w:r>
      <w:r w:rsidR="00A375DE" w:rsidRPr="008E791C">
        <w:t>, Exhibit SRS-1T, which</w:t>
      </w:r>
      <w:r w:rsidR="00537ADF" w:rsidRPr="008E791C">
        <w:t xml:space="preserve"> discusses the applicability of the insurance recoveries and how they were obtained through PSE</w:t>
      </w:r>
      <w:r w:rsidR="009C6954" w:rsidRPr="008E791C">
        <w:t>’</w:t>
      </w:r>
      <w:r w:rsidR="00537ADF" w:rsidRPr="008E791C">
        <w:t>s release of claims for all current and future obligations.</w:t>
      </w:r>
      <w:r w:rsidR="009C6954" w:rsidRPr="008E791C">
        <w:t xml:space="preserve"> </w:t>
      </w:r>
      <w:r w:rsidR="00537ADF" w:rsidRPr="008E791C">
        <w:t>Mr. Smith</w:t>
      </w:r>
      <w:r w:rsidR="009C6954" w:rsidRPr="008E791C">
        <w:t>’</w:t>
      </w:r>
      <w:r w:rsidR="00537ADF" w:rsidRPr="008E791C">
        <w:t xml:space="preserve">s misrepresentation of what the insurance </w:t>
      </w:r>
      <w:r w:rsidR="00583D79" w:rsidRPr="008E791C">
        <w:t xml:space="preserve">proceeds </w:t>
      </w:r>
      <w:r w:rsidR="00537ADF" w:rsidRPr="008E791C">
        <w:t>cover and his use of this to justify inclusion in rates now of 100</w:t>
      </w:r>
      <w:r w:rsidR="00E26124" w:rsidRPr="008E791C">
        <w:t xml:space="preserve"> percent</w:t>
      </w:r>
      <w:r w:rsidR="00537ADF" w:rsidRPr="008E791C">
        <w:t xml:space="preserve"> of the recoveries should be rejected.</w:t>
      </w:r>
    </w:p>
    <w:p w:rsidR="00537ADF" w:rsidRPr="008E791C" w:rsidRDefault="00CC3417" w:rsidP="00B56012">
      <w:pPr>
        <w:pStyle w:val="question"/>
      </w:pPr>
      <w:r w:rsidRPr="008E791C">
        <w:lastRenderedPageBreak/>
        <w:t>Q.</w:t>
      </w:r>
      <w:r w:rsidR="00004068" w:rsidRPr="008E791C">
        <w:tab/>
      </w:r>
      <w:r w:rsidR="00537ADF" w:rsidRPr="008E791C">
        <w:t>Ms. O</w:t>
      </w:r>
      <w:r w:rsidR="009C6954" w:rsidRPr="008E791C">
        <w:t>’</w:t>
      </w:r>
      <w:r w:rsidR="00537ADF" w:rsidRPr="008E791C">
        <w:t>Connell claims that PSE</w:t>
      </w:r>
      <w:r w:rsidR="009C6954" w:rsidRPr="008E791C">
        <w:t>’</w:t>
      </w:r>
      <w:r w:rsidR="00537ADF" w:rsidRPr="008E791C">
        <w:t>s proposal to pass back a pro-rated portion of the insurance recoveries is an arbitrarily-sized contingency fund and departs from Commission guidance.</w:t>
      </w:r>
      <w:r w:rsidR="00823699" w:rsidRPr="008E791C">
        <w:rPr>
          <w:rStyle w:val="FootnoteReference"/>
        </w:rPr>
        <w:footnoteReference w:id="14"/>
      </w:r>
      <w:r w:rsidR="009C6954" w:rsidRPr="008E791C">
        <w:t xml:space="preserve"> </w:t>
      </w:r>
      <w:r w:rsidR="00537ADF" w:rsidRPr="008E791C">
        <w:t>Do you agree?</w:t>
      </w:r>
    </w:p>
    <w:p w:rsidR="00537ADF" w:rsidRPr="008E791C" w:rsidRDefault="00004068" w:rsidP="00B56012">
      <w:pPr>
        <w:pStyle w:val="answer"/>
      </w:pPr>
      <w:r w:rsidRPr="008E791C">
        <w:t>A.</w:t>
      </w:r>
      <w:r w:rsidRPr="008E791C">
        <w:tab/>
      </w:r>
      <w:r w:rsidR="00537ADF" w:rsidRPr="008E791C">
        <w:t>No</w:t>
      </w:r>
      <w:r w:rsidR="001176CD" w:rsidRPr="008E791C">
        <w:t xml:space="preserve">. </w:t>
      </w:r>
      <w:r w:rsidR="00B8571D" w:rsidRPr="008E791C">
        <w:t>I disagree with her claim for several reasons</w:t>
      </w:r>
      <w:r w:rsidR="001176CD" w:rsidRPr="008E791C">
        <w:t xml:space="preserve">. </w:t>
      </w:r>
      <w:r w:rsidR="00537ADF" w:rsidRPr="008E791C">
        <w:t>First, Ms. O</w:t>
      </w:r>
      <w:r w:rsidR="009C6954" w:rsidRPr="008E791C">
        <w:t>’</w:t>
      </w:r>
      <w:r w:rsidR="00537ADF" w:rsidRPr="008E791C">
        <w:t xml:space="preserve">Connell </w:t>
      </w:r>
      <w:r w:rsidR="00B8571D" w:rsidRPr="008E791C">
        <w:t xml:space="preserve">ignores </w:t>
      </w:r>
      <w:r w:rsidR="00537ADF" w:rsidRPr="008E791C">
        <w:t>relevant parts of the prevailing Commission orders on PSE</w:t>
      </w:r>
      <w:r w:rsidR="009C6954" w:rsidRPr="008E791C">
        <w:t>’</w:t>
      </w:r>
      <w:r w:rsidR="00537ADF" w:rsidRPr="008E791C">
        <w:t>s accounting for environmental remediation.</w:t>
      </w:r>
      <w:r w:rsidR="009C6954" w:rsidRPr="008E791C">
        <w:t xml:space="preserve"> </w:t>
      </w:r>
      <w:r w:rsidR="00537ADF" w:rsidRPr="008E791C">
        <w:t>She states that the orders explicitly instruct that deferred amounts should be net of all recoveries before being eligible for amortization and recovery in rates.</w:t>
      </w:r>
      <w:r w:rsidR="00537ADF" w:rsidRPr="008E791C">
        <w:rPr>
          <w:rStyle w:val="FootnoteReference"/>
        </w:rPr>
        <w:footnoteReference w:id="15"/>
      </w:r>
      <w:r w:rsidR="009C6954" w:rsidRPr="008E791C">
        <w:t xml:space="preserve"> </w:t>
      </w:r>
      <w:r w:rsidR="00C87979" w:rsidRPr="008E791C">
        <w:t>However</w:t>
      </w:r>
      <w:r w:rsidR="00537ADF" w:rsidRPr="008E791C">
        <w:t xml:space="preserve">, there is language in multiple orders that state </w:t>
      </w:r>
      <w:r w:rsidR="00537ADF" w:rsidRPr="008E791C">
        <w:rPr>
          <w:i/>
        </w:rPr>
        <w:t>all costs</w:t>
      </w:r>
      <w:r w:rsidR="00537ADF" w:rsidRPr="008E791C">
        <w:t xml:space="preserve"> and recoveries must be known prior to requesting recovery.</w:t>
      </w:r>
      <w:r w:rsidR="00537ADF" w:rsidRPr="008E791C">
        <w:rPr>
          <w:rStyle w:val="FootnoteReference"/>
        </w:rPr>
        <w:footnoteReference w:id="16"/>
      </w:r>
      <w:r w:rsidR="009C6954" w:rsidRPr="008E791C">
        <w:t xml:space="preserve"> </w:t>
      </w:r>
      <w:r w:rsidR="00537ADF" w:rsidRPr="008E791C">
        <w:t>As an example, Ms. O</w:t>
      </w:r>
      <w:r w:rsidR="009C6954" w:rsidRPr="008E791C">
        <w:t>’</w:t>
      </w:r>
      <w:r w:rsidR="00537ADF" w:rsidRPr="008E791C">
        <w:t xml:space="preserve">Connell cites to </w:t>
      </w:r>
      <w:r w:rsidR="00C87979" w:rsidRPr="008E791C">
        <w:t xml:space="preserve">a Commission accounting order </w:t>
      </w:r>
      <w:r w:rsidR="00537ADF" w:rsidRPr="008E791C">
        <w:t>which states that:</w:t>
      </w:r>
    </w:p>
    <w:p w:rsidR="00537ADF" w:rsidRPr="008E791C" w:rsidRDefault="00537ADF" w:rsidP="00B56012">
      <w:pPr>
        <w:pStyle w:val="Quote"/>
      </w:pPr>
      <w:r w:rsidRPr="008E791C">
        <w:t>Costs that are deferred will be reduced by any insurance or third party proceeds before being eligible for amortization.</w:t>
      </w:r>
      <w:r w:rsidR="00C87979" w:rsidRPr="008E791C">
        <w:rPr>
          <w:rStyle w:val="FootnoteReference"/>
        </w:rPr>
        <w:footnoteReference w:id="17"/>
      </w:r>
    </w:p>
    <w:p w:rsidR="00537ADF" w:rsidRPr="008E791C" w:rsidRDefault="00537ADF" w:rsidP="00B56012">
      <w:pPr>
        <w:pStyle w:val="answer"/>
        <w:ind w:firstLine="0"/>
      </w:pPr>
      <w:r w:rsidRPr="008E791C">
        <w:t>However, Ms. O</w:t>
      </w:r>
      <w:r w:rsidR="009C6954" w:rsidRPr="008E791C">
        <w:t>’</w:t>
      </w:r>
      <w:r w:rsidRPr="008E791C">
        <w:t xml:space="preserve">Connell </w:t>
      </w:r>
      <w:r w:rsidR="00583D79" w:rsidRPr="008E791C">
        <w:t>omits</w:t>
      </w:r>
      <w:r w:rsidRPr="008E791C">
        <w:t xml:space="preserve"> </w:t>
      </w:r>
      <w:r w:rsidR="00823699" w:rsidRPr="008E791C">
        <w:t xml:space="preserve">reference to the </w:t>
      </w:r>
      <w:r w:rsidRPr="008E791C">
        <w:t>next condition shown in paragraph (e) of the order that states:</w:t>
      </w:r>
    </w:p>
    <w:p w:rsidR="00537ADF" w:rsidRPr="008E791C" w:rsidRDefault="00537ADF" w:rsidP="00B56012">
      <w:pPr>
        <w:pStyle w:val="Quote"/>
      </w:pPr>
      <w:r w:rsidRPr="008E791C">
        <w:t xml:space="preserve">Allowed net deferred costs will be amortized over a five year period on the date </w:t>
      </w:r>
      <w:r w:rsidRPr="008E791C">
        <w:rPr>
          <w:i/>
        </w:rPr>
        <w:t>all costs</w:t>
      </w:r>
      <w:r w:rsidRPr="008E791C">
        <w:t xml:space="preserve"> net of recoveries become known and </w:t>
      </w:r>
      <w:r w:rsidRPr="008E791C">
        <w:lastRenderedPageBreak/>
        <w:t>declared prudent.</w:t>
      </w:r>
      <w:r w:rsidR="009C6954" w:rsidRPr="008E791C">
        <w:t xml:space="preserve"> </w:t>
      </w:r>
      <w:r w:rsidRPr="008E791C">
        <w:t>The deferrals will be consistent with the Commission</w:t>
      </w:r>
      <w:r w:rsidR="009C6954" w:rsidRPr="008E791C">
        <w:t>’</w:t>
      </w:r>
      <w:r w:rsidRPr="008E791C">
        <w:t>s Merger Order in Docket UE-960195.</w:t>
      </w:r>
      <w:r w:rsidR="00C87979" w:rsidRPr="008E791C">
        <w:rPr>
          <w:rStyle w:val="FootnoteReference"/>
        </w:rPr>
        <w:footnoteReference w:id="18"/>
      </w:r>
    </w:p>
    <w:p w:rsidR="00B8571D" w:rsidRPr="008E791C" w:rsidRDefault="00B8571D" w:rsidP="00B56012">
      <w:pPr>
        <w:pStyle w:val="question"/>
      </w:pPr>
      <w:r w:rsidRPr="008E791C">
        <w:t>Q.</w:t>
      </w:r>
      <w:r w:rsidRPr="008E791C">
        <w:tab/>
        <w:t>Are all costs net of recoveries known?</w:t>
      </w:r>
    </w:p>
    <w:p w:rsidR="00B8571D" w:rsidRPr="008E791C" w:rsidRDefault="00B8571D" w:rsidP="00B56012">
      <w:pPr>
        <w:pStyle w:val="answer"/>
      </w:pPr>
      <w:r w:rsidRPr="008E791C">
        <w:t>A.</w:t>
      </w:r>
      <w:r w:rsidRPr="008E791C">
        <w:tab/>
        <w:t>No</w:t>
      </w:r>
      <w:r w:rsidR="001176CD" w:rsidRPr="008E791C">
        <w:t xml:space="preserve">. </w:t>
      </w:r>
      <w:r w:rsidR="00537ADF" w:rsidRPr="008E791C">
        <w:t>As mentioned earlier in my testimony, all costs of many of PSE</w:t>
      </w:r>
      <w:r w:rsidR="009C6954" w:rsidRPr="008E791C">
        <w:t>’</w:t>
      </w:r>
      <w:r w:rsidR="00537ADF" w:rsidRPr="008E791C">
        <w:t>s remediation sites are not fully known.</w:t>
      </w:r>
      <w:r w:rsidR="009C6954" w:rsidRPr="008E791C">
        <w:t xml:space="preserve"> </w:t>
      </w:r>
      <w:r w:rsidR="00537ADF" w:rsidRPr="008E791C">
        <w:t>As evidenced by PSE</w:t>
      </w:r>
      <w:r w:rsidR="009C6954" w:rsidRPr="008E791C">
        <w:t>’</w:t>
      </w:r>
      <w:r w:rsidR="00537ADF" w:rsidRPr="008E791C">
        <w:t xml:space="preserve">s history, environmental remediation projects </w:t>
      </w:r>
      <w:r w:rsidR="009A28EE" w:rsidRPr="008E791C">
        <w:t>can take several decades</w:t>
      </w:r>
      <w:r w:rsidR="00537ADF" w:rsidRPr="008E791C">
        <w:t xml:space="preserve"> to fully resolve</w:t>
      </w:r>
      <w:r w:rsidR="009A28EE" w:rsidRPr="008E791C">
        <w:t>,</w:t>
      </w:r>
      <w:r w:rsidR="00537ADF" w:rsidRPr="008E791C">
        <w:t xml:space="preserve"> and even then, there are often changes that require additional work based on reopeners and requirements of state and federal laws.</w:t>
      </w:r>
      <w:r w:rsidR="009C6954" w:rsidRPr="008E791C">
        <w:t xml:space="preserve"> </w:t>
      </w:r>
      <w:r w:rsidR="00537ADF" w:rsidRPr="008E791C">
        <w:t>The intention of the environmental remediation orders was a reasonable one, to net recoveries against costs, and once all costs and recoveries are known, approval and amortization could begin.</w:t>
      </w:r>
      <w:r w:rsidR="009C6954" w:rsidRPr="008E791C">
        <w:t xml:space="preserve"> </w:t>
      </w:r>
      <w:r w:rsidR="00537ADF" w:rsidRPr="008E791C">
        <w:t>In reality, however, it is PSE</w:t>
      </w:r>
      <w:r w:rsidR="009C6954" w:rsidRPr="008E791C">
        <w:t>’</w:t>
      </w:r>
      <w:r w:rsidR="00537ADF" w:rsidRPr="008E791C">
        <w:t>s experience that for some sites, not all costs can be known with certainty even once the projects have been closed.</w:t>
      </w:r>
      <w:r w:rsidR="009C6954" w:rsidRPr="008E791C">
        <w:t xml:space="preserve"> </w:t>
      </w:r>
      <w:r w:rsidR="00537ADF" w:rsidRPr="008E791C">
        <w:t>The one thing that is certain at this time is that insurance recoveries on PSE</w:t>
      </w:r>
      <w:r w:rsidR="009C6954" w:rsidRPr="008E791C">
        <w:t>’</w:t>
      </w:r>
      <w:r w:rsidR="00537ADF" w:rsidRPr="008E791C">
        <w:t>s legacy policies have been exhausted.</w:t>
      </w:r>
      <w:r w:rsidR="009C6954" w:rsidRPr="008E791C">
        <w:t xml:space="preserve"> </w:t>
      </w:r>
    </w:p>
    <w:p w:rsidR="00B8571D" w:rsidRPr="008E791C" w:rsidRDefault="00B8571D" w:rsidP="00B56012">
      <w:pPr>
        <w:pStyle w:val="question"/>
      </w:pPr>
      <w:r w:rsidRPr="008E791C">
        <w:t>Q.</w:t>
      </w:r>
      <w:r w:rsidRPr="008E791C">
        <w:tab/>
        <w:t>How should the Commission proceed on the costs and recoveries for environmental remediation that span several decades?</w:t>
      </w:r>
    </w:p>
    <w:p w:rsidR="00537ADF" w:rsidRPr="008E791C" w:rsidRDefault="00B8571D" w:rsidP="00B56012">
      <w:pPr>
        <w:pStyle w:val="answer"/>
      </w:pPr>
      <w:r w:rsidRPr="008E791C">
        <w:t>A.</w:t>
      </w:r>
      <w:r w:rsidRPr="008E791C">
        <w:tab/>
        <w:t>B</w:t>
      </w:r>
      <w:r w:rsidR="00537ADF" w:rsidRPr="008E791C">
        <w:t>ased on current Commission guidance, there are really two choices.</w:t>
      </w:r>
      <w:r w:rsidR="009C6954" w:rsidRPr="008E791C">
        <w:t xml:space="preserve"> </w:t>
      </w:r>
      <w:r w:rsidR="00537ADF" w:rsidRPr="008E791C">
        <w:t>Continue to hold recoveries until all costs are known</w:t>
      </w:r>
      <w:r w:rsidR="00583D79" w:rsidRPr="008E791C">
        <w:t>—which could be decades from now—</w:t>
      </w:r>
      <w:r w:rsidR="00537ADF" w:rsidRPr="008E791C">
        <w:t xml:space="preserve"> and then request the net deferrals be set in rates, or as PSE is proposing, approve costs to date to be set in rates and net against those costs a commensurate amount of recoveries.</w:t>
      </w:r>
      <w:r w:rsidR="009C6954" w:rsidRPr="008E791C">
        <w:t xml:space="preserve"> </w:t>
      </w:r>
      <w:r w:rsidR="00537ADF" w:rsidRPr="008E791C">
        <w:t>PSE</w:t>
      </w:r>
      <w:r w:rsidR="009C6954" w:rsidRPr="008E791C">
        <w:t>’</w:t>
      </w:r>
      <w:r w:rsidR="00583D79" w:rsidRPr="008E791C">
        <w:t>s</w:t>
      </w:r>
      <w:r w:rsidR="00537ADF" w:rsidRPr="008E791C">
        <w:t xml:space="preserve"> proposal strikes a reasonable balance given current </w:t>
      </w:r>
      <w:r w:rsidR="00537ADF" w:rsidRPr="008E791C">
        <w:lastRenderedPageBreak/>
        <w:t>Commission guidance based on the reality of environmental remediation projects and the complicated process of optimizing recoveries for the benefit of customers.</w:t>
      </w:r>
      <w:r w:rsidR="009C6954" w:rsidRPr="008E791C">
        <w:t xml:space="preserve"> </w:t>
      </w:r>
      <w:r w:rsidR="00537ADF" w:rsidRPr="008E791C">
        <w:t>Additionally, it properly addresses the matching of the benefits of existing insurance recoveries to the current and future costs for which the recoveries were received and best addresses the intergenerational aspects of complex</w:t>
      </w:r>
      <w:r w:rsidR="009A28EE" w:rsidRPr="008E791C">
        <w:t>,</w:t>
      </w:r>
      <w:r w:rsidR="00537ADF" w:rsidRPr="008E791C">
        <w:t xml:space="preserve"> ongoing</w:t>
      </w:r>
      <w:r w:rsidR="009A28EE" w:rsidRPr="008E791C">
        <w:t>,</w:t>
      </w:r>
      <w:r w:rsidR="00537ADF" w:rsidRPr="008E791C">
        <w:t xml:space="preserve"> remediation projects</w:t>
      </w:r>
      <w:r w:rsidR="00583D79" w:rsidRPr="008E791C">
        <w:t>,</w:t>
      </w:r>
      <w:r w:rsidR="00537ADF" w:rsidRPr="008E791C">
        <w:t xml:space="preserve"> the handling of which has been determined prudent by Commission Staff.</w:t>
      </w:r>
    </w:p>
    <w:p w:rsidR="00B8571D" w:rsidRPr="008E791C" w:rsidRDefault="00B8571D" w:rsidP="00B56012">
      <w:pPr>
        <w:pStyle w:val="question"/>
      </w:pPr>
      <w:r w:rsidRPr="008E791C">
        <w:t>Q.</w:t>
      </w:r>
      <w:r w:rsidRPr="008E791C">
        <w:tab/>
        <w:t>How do you respond to the additional Commission guidance identified by Ms. O’Connell?</w:t>
      </w:r>
    </w:p>
    <w:p w:rsidR="00537ADF" w:rsidRPr="008E791C" w:rsidRDefault="00B8571D" w:rsidP="00B56012">
      <w:pPr>
        <w:pStyle w:val="Answer0"/>
      </w:pPr>
      <w:r w:rsidRPr="008E791C">
        <w:t>A.</w:t>
      </w:r>
      <w:r w:rsidRPr="008E791C">
        <w:tab/>
      </w:r>
      <w:r w:rsidR="00537ADF" w:rsidRPr="008E791C">
        <w:t>Ms. O</w:t>
      </w:r>
      <w:r w:rsidR="009C6954" w:rsidRPr="008E791C">
        <w:t>’</w:t>
      </w:r>
      <w:r w:rsidR="00537ADF" w:rsidRPr="008E791C">
        <w:t xml:space="preserve">Connell cites guidance </w:t>
      </w:r>
      <w:r w:rsidR="00C87979" w:rsidRPr="008E791C">
        <w:t xml:space="preserve">from the Commission </w:t>
      </w:r>
      <w:r w:rsidRPr="008E791C">
        <w:t xml:space="preserve">that </w:t>
      </w:r>
      <w:r w:rsidR="00537ADF" w:rsidRPr="008E791C">
        <w:t>states:</w:t>
      </w:r>
    </w:p>
    <w:p w:rsidR="00537ADF" w:rsidRPr="008E791C" w:rsidRDefault="00537ADF" w:rsidP="00B56012">
      <w:pPr>
        <w:pStyle w:val="Quote"/>
      </w:pPr>
      <w:r w:rsidRPr="008E791C">
        <w:t xml:space="preserve">Any recovery of insurance proceeds.…would be treated </w:t>
      </w:r>
      <w:r w:rsidRPr="008E791C">
        <w:rPr>
          <w:i/>
        </w:rPr>
        <w:t>in a manner that corresponds</w:t>
      </w:r>
      <w:r w:rsidRPr="008E791C">
        <w:rPr>
          <w:b/>
        </w:rPr>
        <w:t xml:space="preserve"> </w:t>
      </w:r>
      <w:r w:rsidRPr="008E791C">
        <w:t>with the treatment of the underlying costs to which the recovery relates.</w:t>
      </w:r>
      <w:r w:rsidRPr="008E791C">
        <w:rPr>
          <w:rStyle w:val="FootnoteReference"/>
        </w:rPr>
        <w:footnoteReference w:id="19"/>
      </w:r>
    </w:p>
    <w:p w:rsidR="00537ADF" w:rsidRPr="008E791C" w:rsidRDefault="00C87979" w:rsidP="00B56012">
      <w:pPr>
        <w:pStyle w:val="answer"/>
        <w:ind w:firstLine="0"/>
      </w:pPr>
      <w:r w:rsidRPr="008E791C">
        <w:t>T</w:t>
      </w:r>
      <w:r w:rsidR="00537ADF" w:rsidRPr="008E791C">
        <w:t xml:space="preserve">his Commission guidance </w:t>
      </w:r>
      <w:r w:rsidRPr="008E791C">
        <w:t xml:space="preserve">is </w:t>
      </w:r>
      <w:r w:rsidR="00537ADF" w:rsidRPr="008E791C">
        <w:t xml:space="preserve">relevant in </w:t>
      </w:r>
      <w:r w:rsidRPr="008E791C">
        <w:t xml:space="preserve">determining </w:t>
      </w:r>
      <w:r w:rsidR="00537ADF" w:rsidRPr="008E791C">
        <w:t>how to handle the existing situation where recoveries are known but not all cost are known.</w:t>
      </w:r>
      <w:r w:rsidR="009C6954" w:rsidRPr="008E791C">
        <w:t xml:space="preserve"> </w:t>
      </w:r>
      <w:r w:rsidR="00537ADF" w:rsidRPr="008E791C">
        <w:t xml:space="preserve">Matching of the recoveries to the past and future cost can be considered to be corresponding treatment in conformity with the citation above. </w:t>
      </w:r>
    </w:p>
    <w:p w:rsidR="00537ADF" w:rsidRPr="008E791C" w:rsidRDefault="00537ADF" w:rsidP="00B56012">
      <w:pPr>
        <w:pStyle w:val="answer"/>
        <w:ind w:firstLine="0"/>
      </w:pPr>
      <w:r w:rsidRPr="008E791C">
        <w:t>Finally, it is worth noting that Ms. O</w:t>
      </w:r>
      <w:r w:rsidR="009C6954" w:rsidRPr="008E791C">
        <w:t>’</w:t>
      </w:r>
      <w:r w:rsidRPr="008E791C">
        <w:t xml:space="preserve">Connell again narrowly cites to a section of </w:t>
      </w:r>
      <w:r w:rsidR="00C87979" w:rsidRPr="008E791C">
        <w:t xml:space="preserve">another </w:t>
      </w:r>
      <w:r w:rsidRPr="008E791C">
        <w:t>Commission order which reads:</w:t>
      </w:r>
    </w:p>
    <w:p w:rsidR="00537ADF" w:rsidRPr="008E791C" w:rsidRDefault="00537ADF" w:rsidP="00B56012">
      <w:pPr>
        <w:pStyle w:val="Quote"/>
      </w:pPr>
      <w:r w:rsidRPr="008E791C">
        <w:lastRenderedPageBreak/>
        <w:t>Deferred costs will be reduced by any insurance proceeds or payments from other responsible parties recovered by Petitioner in respect of such c</w:t>
      </w:r>
      <w:r w:rsidR="00EA4F7C" w:rsidRPr="008E791C">
        <w:t>o</w:t>
      </w:r>
      <w:r w:rsidRPr="008E791C">
        <w:t>sts….</w:t>
      </w:r>
      <w:r w:rsidR="00C87979" w:rsidRPr="008E791C">
        <w:rPr>
          <w:rStyle w:val="FootnoteReference"/>
        </w:rPr>
        <w:footnoteReference w:id="20"/>
      </w:r>
    </w:p>
    <w:p w:rsidR="00537ADF" w:rsidRPr="008E791C" w:rsidRDefault="00537ADF" w:rsidP="00B56012">
      <w:pPr>
        <w:pStyle w:val="answer"/>
        <w:ind w:firstLine="0"/>
      </w:pPr>
      <w:r w:rsidRPr="008E791C">
        <w:t xml:space="preserve">Again, she </w:t>
      </w:r>
      <w:r w:rsidR="00583D79" w:rsidRPr="008E791C">
        <w:t>omits</w:t>
      </w:r>
      <w:r w:rsidRPr="008E791C">
        <w:t xml:space="preserve"> another relevant section in part b on the same page, which provides guidance that would allow discretion in how rates can be set related to environmental costs:</w:t>
      </w:r>
    </w:p>
    <w:p w:rsidR="00EA4F7C" w:rsidRPr="008E791C" w:rsidRDefault="00537ADF" w:rsidP="00B56012">
      <w:pPr>
        <w:pStyle w:val="Quote"/>
      </w:pPr>
      <w:r w:rsidRPr="008E791C">
        <w:t>Deferred costs will be recovered in rates using an appropriate method as determined in such proceedings</w:t>
      </w:r>
      <w:r w:rsidR="00C87979" w:rsidRPr="008E791C">
        <w:rPr>
          <w:rStyle w:val="FootnoteReference"/>
        </w:rPr>
        <w:footnoteReference w:id="21"/>
      </w:r>
    </w:p>
    <w:p w:rsidR="00537ADF" w:rsidRPr="008E791C" w:rsidRDefault="00537ADF" w:rsidP="00B56012">
      <w:pPr>
        <w:pStyle w:val="answer"/>
        <w:ind w:firstLine="0"/>
      </w:pPr>
      <w:r w:rsidRPr="008E791C">
        <w:t xml:space="preserve">Therefore, based on the foregoing and given </w:t>
      </w:r>
      <w:r w:rsidR="00EA4F7C" w:rsidRPr="008E791C">
        <w:t xml:space="preserve">the </w:t>
      </w:r>
      <w:r w:rsidRPr="008E791C">
        <w:t>existing Commission guidance and the current set of circumstances associated with PSE</w:t>
      </w:r>
      <w:r w:rsidR="009C6954" w:rsidRPr="008E791C">
        <w:t>’</w:t>
      </w:r>
      <w:r w:rsidRPr="008E791C">
        <w:t>s environmental remediation program costs and recoveries, PSE</w:t>
      </w:r>
      <w:r w:rsidR="009C6954" w:rsidRPr="008E791C">
        <w:t>’</w:t>
      </w:r>
      <w:r w:rsidRPr="008E791C">
        <w:t>s balanced and reasonable proposal for reserving a portion of unassigned recoveries for future remediation costs should be accepted.</w:t>
      </w:r>
    </w:p>
    <w:p w:rsidR="00537ADF" w:rsidRPr="008E791C" w:rsidRDefault="00CC3417" w:rsidP="00B56012">
      <w:pPr>
        <w:pStyle w:val="question"/>
      </w:pPr>
      <w:r w:rsidRPr="008E791C">
        <w:lastRenderedPageBreak/>
        <w:t>Q.</w:t>
      </w:r>
      <w:r w:rsidR="00004068" w:rsidRPr="008E791C">
        <w:tab/>
      </w:r>
      <w:r w:rsidR="00537ADF" w:rsidRPr="008E791C">
        <w:t>On page 15 of her Response Testimony, Ms. O</w:t>
      </w:r>
      <w:r w:rsidR="009C6954" w:rsidRPr="008E791C">
        <w:t>’</w:t>
      </w:r>
      <w:r w:rsidR="00537ADF" w:rsidRPr="008E791C">
        <w:t>Connell states that PSE</w:t>
      </w:r>
      <w:r w:rsidR="009C6954" w:rsidRPr="008E791C">
        <w:t>’</w:t>
      </w:r>
      <w:r w:rsidR="00537ADF" w:rsidRPr="008E791C">
        <w:t>s underlying rationale for reserving unassigned recoveries is based on Generally Accepted Accounting Principles (</w:t>
      </w:r>
      <w:r w:rsidR="009C6954" w:rsidRPr="008E791C">
        <w:t>“</w:t>
      </w:r>
      <w:r w:rsidR="00537ADF" w:rsidRPr="008E791C">
        <w:t>GAAP</w:t>
      </w:r>
      <w:r w:rsidR="009C6954" w:rsidRPr="008E791C">
        <w:t>”</w:t>
      </w:r>
      <w:r w:rsidR="00537ADF" w:rsidRPr="008E791C">
        <w:t>) under Financial Accounting Standards Board Accounting Standards Codification No. 410-30-25 Asset Retirement and Environmental Obligations (</w:t>
      </w:r>
      <w:r w:rsidR="009C6954" w:rsidRPr="008E791C">
        <w:t>“</w:t>
      </w:r>
      <w:r w:rsidR="00537ADF" w:rsidRPr="008E791C">
        <w:t>ASC 410-30-25</w:t>
      </w:r>
      <w:r w:rsidR="009C6954" w:rsidRPr="008E791C">
        <w:t>”</w:t>
      </w:r>
      <w:r w:rsidR="00537ADF" w:rsidRPr="008E791C">
        <w:t>).</w:t>
      </w:r>
      <w:r w:rsidR="00823699" w:rsidRPr="008E791C">
        <w:rPr>
          <w:rStyle w:val="FootnoteReference"/>
        </w:rPr>
        <w:footnoteReference w:id="22"/>
      </w:r>
      <w:r w:rsidR="009C6954" w:rsidRPr="008E791C">
        <w:t xml:space="preserve"> </w:t>
      </w:r>
      <w:r w:rsidR="00537ADF" w:rsidRPr="008E791C">
        <w:t>Is that true?</w:t>
      </w:r>
    </w:p>
    <w:p w:rsidR="00537ADF" w:rsidRPr="008E791C" w:rsidRDefault="00004068" w:rsidP="00B56012">
      <w:pPr>
        <w:pStyle w:val="answer"/>
      </w:pPr>
      <w:r w:rsidRPr="008E791C">
        <w:t>A.</w:t>
      </w:r>
      <w:r w:rsidRPr="008E791C">
        <w:tab/>
      </w:r>
      <w:r w:rsidR="00537ADF" w:rsidRPr="008E791C">
        <w:t>No.</w:t>
      </w:r>
      <w:r w:rsidR="009C6954" w:rsidRPr="008E791C">
        <w:t xml:space="preserve"> </w:t>
      </w:r>
      <w:r w:rsidR="00537ADF" w:rsidRPr="008E791C">
        <w:t>PSE</w:t>
      </w:r>
      <w:r w:rsidR="009C6954" w:rsidRPr="008E791C">
        <w:t>’</w:t>
      </w:r>
      <w:r w:rsidR="00537ADF" w:rsidRPr="008E791C">
        <w:t xml:space="preserve">s rationale for reserving unassigned recoveries is based on the reasons set forth in the preceding </w:t>
      </w:r>
      <w:r w:rsidR="00EA4F7C" w:rsidRPr="008E791C">
        <w:t>answer</w:t>
      </w:r>
      <w:r w:rsidR="001176CD" w:rsidRPr="008E791C">
        <w:t xml:space="preserve">. </w:t>
      </w:r>
      <w:r w:rsidR="00537ADF" w:rsidRPr="008E791C">
        <w:t>PSE</w:t>
      </w:r>
      <w:r w:rsidR="009C6954" w:rsidRPr="008E791C">
        <w:t>’</w:t>
      </w:r>
      <w:r w:rsidR="00537ADF" w:rsidRPr="008E791C">
        <w:t>s use of the estimates of future costs that are developed in order to conform with ASC 410-30-25 is merely the means by which PSE established a reasonable measure for how much of the recoveries to reserve to offset future costs</w:t>
      </w:r>
      <w:r w:rsidR="001176CD" w:rsidRPr="008E791C">
        <w:t xml:space="preserve">. </w:t>
      </w:r>
      <w:r w:rsidR="00537ADF" w:rsidRPr="008E791C">
        <w:t>PSE estimated the total costs for each project by taking the existing costs at September 3</w:t>
      </w:r>
      <w:r w:rsidR="00663958" w:rsidRPr="008E791C">
        <w:t>0</w:t>
      </w:r>
      <w:r w:rsidR="00537ADF" w:rsidRPr="008E791C">
        <w:t>, 2016</w:t>
      </w:r>
      <w:r w:rsidR="00EA4F7C" w:rsidRPr="008E791C">
        <w:t>,</w:t>
      </w:r>
      <w:r w:rsidR="00537ADF" w:rsidRPr="008E791C">
        <w:t xml:space="preserve"> and adding to it the mid-range of the future cost estimate.</w:t>
      </w:r>
      <w:r w:rsidR="00537ADF" w:rsidRPr="008E791C">
        <w:rPr>
          <w:rStyle w:val="FootnoteReference"/>
        </w:rPr>
        <w:footnoteReference w:id="23"/>
      </w:r>
      <w:r w:rsidR="009C6954" w:rsidRPr="008E791C">
        <w:t xml:space="preserve"> </w:t>
      </w:r>
      <w:r w:rsidR="00B8571D" w:rsidRPr="008E791C">
        <w:t xml:space="preserve"> </w:t>
      </w:r>
      <w:r w:rsidR="00537ADF" w:rsidRPr="008E791C">
        <w:t>The existing costs for all projects were then divided by the total estimated cost for all projects to develop the percentage of proceeds to pass back with the existing costs being requested for recovery in this case</w:t>
      </w:r>
      <w:r w:rsidR="001176CD" w:rsidRPr="008E791C">
        <w:t xml:space="preserve">. </w:t>
      </w:r>
      <w:r w:rsidR="00537ADF" w:rsidRPr="008E791C">
        <w:t>The remaining recoveries PSE proposes be held to cover the estimated future costs</w:t>
      </w:r>
      <w:r w:rsidR="001176CD" w:rsidRPr="008E791C">
        <w:t xml:space="preserve">. </w:t>
      </w:r>
      <w:r w:rsidR="00537ADF" w:rsidRPr="008E791C">
        <w:t>These future costs are known to exist based on the highly regulated and formal process that exists related to managing environmental remediation projects.</w:t>
      </w:r>
      <w:r w:rsidR="00537ADF" w:rsidRPr="008E791C">
        <w:rPr>
          <w:rStyle w:val="FootnoteReference"/>
        </w:rPr>
        <w:footnoteReference w:id="24"/>
      </w:r>
      <w:r w:rsidR="009C6954" w:rsidRPr="008E791C">
        <w:t xml:space="preserve"> </w:t>
      </w:r>
      <w:r w:rsidR="00B8571D" w:rsidRPr="008E791C">
        <w:t xml:space="preserve"> </w:t>
      </w:r>
      <w:r w:rsidR="00537ADF" w:rsidRPr="008E791C">
        <w:t>The estimates are measured by third party environmental experts who provide a range of costs based on their expertise in the industry</w:t>
      </w:r>
      <w:r w:rsidR="001176CD" w:rsidRPr="008E791C">
        <w:t xml:space="preserve">. </w:t>
      </w:r>
      <w:r w:rsidR="00537ADF" w:rsidRPr="008E791C">
        <w:t xml:space="preserve">PSE utilized the mid-point of the </w:t>
      </w:r>
      <w:r w:rsidR="00537ADF" w:rsidRPr="008E791C">
        <w:lastRenderedPageBreak/>
        <w:t>range to develop its proration.</w:t>
      </w:r>
      <w:r w:rsidR="009C6954" w:rsidRPr="008E791C">
        <w:t xml:space="preserve"> </w:t>
      </w:r>
      <w:r w:rsidR="00537ADF" w:rsidRPr="008E791C">
        <w:t>Use of the future cost estimates developed for conformity with ASC 410-30-25 presents a reasonable basis for calculating the portion of unassigned recoveries that can be reserved for future costs and the portion that can be applied to current costs.</w:t>
      </w:r>
    </w:p>
    <w:p w:rsidR="00537ADF" w:rsidRPr="008E791C" w:rsidRDefault="00CC3417" w:rsidP="00B56012">
      <w:pPr>
        <w:pStyle w:val="question"/>
      </w:pPr>
      <w:r w:rsidRPr="008E791C">
        <w:t>Q.</w:t>
      </w:r>
      <w:r w:rsidR="00004068" w:rsidRPr="008E791C">
        <w:tab/>
      </w:r>
      <w:r w:rsidR="00537ADF" w:rsidRPr="008E791C">
        <w:t>Do you agree with the way that Mr. Bradley G. Mullins for ICNU and NWIGU is questioning the legitimacy of PSE</w:t>
      </w:r>
      <w:r w:rsidR="009C6954" w:rsidRPr="008E791C">
        <w:t>’</w:t>
      </w:r>
      <w:r w:rsidR="00537ADF" w:rsidRPr="008E791C">
        <w:t>s net environmental remediation deferrals</w:t>
      </w:r>
      <w:r w:rsidR="00823699" w:rsidRPr="008E791C">
        <w:t>?</w:t>
      </w:r>
      <w:r w:rsidR="00537ADF" w:rsidRPr="008E791C">
        <w:rPr>
          <w:rStyle w:val="FootnoteReference"/>
        </w:rPr>
        <w:footnoteReference w:id="25"/>
      </w:r>
    </w:p>
    <w:p w:rsidR="00537ADF" w:rsidRPr="008E791C" w:rsidRDefault="00CC3417" w:rsidP="00B56012">
      <w:pPr>
        <w:pStyle w:val="answer"/>
      </w:pPr>
      <w:r w:rsidRPr="008E791C">
        <w:t>A.</w:t>
      </w:r>
      <w:r w:rsidR="00004068" w:rsidRPr="008E791C">
        <w:tab/>
      </w:r>
      <w:r w:rsidR="00C87979" w:rsidRPr="008E791C">
        <w:t>No</w:t>
      </w:r>
      <w:r w:rsidR="00537ADF" w:rsidRPr="008E791C">
        <w:t>.</w:t>
      </w:r>
      <w:r w:rsidR="009C6954" w:rsidRPr="008E791C">
        <w:t xml:space="preserve"> </w:t>
      </w:r>
      <w:r w:rsidR="00537ADF" w:rsidRPr="008E791C">
        <w:t>Other parties were able to research the relevant prevailing orders and determine that in general all costs are subject to prudency review for recovery purposes.</w:t>
      </w:r>
      <w:r w:rsidR="00537ADF" w:rsidRPr="008E791C">
        <w:rPr>
          <w:rStyle w:val="FootnoteReference"/>
        </w:rPr>
        <w:footnoteReference w:id="26"/>
      </w:r>
      <w:r w:rsidR="009C6954" w:rsidRPr="008E791C">
        <w:t xml:space="preserve"> </w:t>
      </w:r>
      <w:r w:rsidR="00537ADF" w:rsidRPr="008E791C">
        <w:t xml:space="preserve">It is unclear why Mr. Mullins </w:t>
      </w:r>
      <w:r w:rsidR="00583D79" w:rsidRPr="008E791C">
        <w:t>did not</w:t>
      </w:r>
      <w:r w:rsidR="00537ADF" w:rsidRPr="008E791C">
        <w:t xml:space="preserve"> conduct similar research before accusing </w:t>
      </w:r>
      <w:r w:rsidR="006E0FF1" w:rsidRPr="008E791C">
        <w:t>PSE</w:t>
      </w:r>
      <w:r w:rsidR="00537ADF" w:rsidRPr="008E791C">
        <w:t xml:space="preserve"> of having illegitimate deferrals. </w:t>
      </w:r>
    </w:p>
    <w:p w:rsidR="00537ADF" w:rsidRPr="008E791C" w:rsidRDefault="00CC3417" w:rsidP="00B56012">
      <w:pPr>
        <w:pStyle w:val="question"/>
      </w:pPr>
      <w:r w:rsidRPr="008E791C">
        <w:t>Q.</w:t>
      </w:r>
      <w:r w:rsidR="00004068" w:rsidRPr="008E791C">
        <w:tab/>
      </w:r>
      <w:r w:rsidR="00537ADF" w:rsidRPr="008E791C">
        <w:t>Can you please respond to Mr. Mullins</w:t>
      </w:r>
      <w:r w:rsidR="009C6954" w:rsidRPr="008E791C">
        <w:t>’</w:t>
      </w:r>
      <w:r w:rsidR="00537ADF" w:rsidRPr="008E791C">
        <w:t xml:space="preserve"> comments about PSE</w:t>
      </w:r>
      <w:r w:rsidR="009C6954" w:rsidRPr="008E791C">
        <w:t>’</w:t>
      </w:r>
      <w:r w:rsidR="00537ADF" w:rsidRPr="008E791C">
        <w:t>s method for setting aside insurance recoveries as being speculative?</w:t>
      </w:r>
      <w:r w:rsidR="00537ADF" w:rsidRPr="008E791C">
        <w:rPr>
          <w:rStyle w:val="FootnoteReference"/>
        </w:rPr>
        <w:footnoteReference w:id="27"/>
      </w:r>
    </w:p>
    <w:p w:rsidR="00537ADF" w:rsidRPr="008E791C" w:rsidRDefault="00CC3417" w:rsidP="00B56012">
      <w:pPr>
        <w:pStyle w:val="answer"/>
        <w:rPr>
          <w:color w:val="FF0000"/>
        </w:rPr>
      </w:pPr>
      <w:r w:rsidRPr="008E791C">
        <w:t>A.</w:t>
      </w:r>
      <w:r w:rsidR="00004068" w:rsidRPr="008E791C">
        <w:tab/>
      </w:r>
      <w:r w:rsidR="00537ADF" w:rsidRPr="008E791C">
        <w:t>Yes.</w:t>
      </w:r>
      <w:r w:rsidR="009C6954" w:rsidRPr="008E791C">
        <w:t xml:space="preserve"> </w:t>
      </w:r>
      <w:r w:rsidR="00537ADF" w:rsidRPr="008E791C">
        <w:t>As stated above, the need to expend additional funds on remediation sites is known to exist and the estimates of those future costs are measured by third party environmental experts who provide a range of costs based on their expertise in the industry.</w:t>
      </w:r>
      <w:r w:rsidR="009C6954" w:rsidRPr="008E791C">
        <w:t xml:space="preserve"> </w:t>
      </w:r>
      <w:r w:rsidR="00537ADF" w:rsidRPr="008E791C">
        <w:t>Mr. Mullins believes that the wide range of costs is a basis for not approving the method for determining the allocation.</w:t>
      </w:r>
      <w:r w:rsidR="009C6954" w:rsidRPr="008E791C">
        <w:t xml:space="preserve"> </w:t>
      </w:r>
      <w:r w:rsidR="00537ADF" w:rsidRPr="008E791C">
        <w:t xml:space="preserve">To address this, in its original filing, PSE advocated using the middle of the range of estimated </w:t>
      </w:r>
      <w:r w:rsidR="00B8571D" w:rsidRPr="008E791C">
        <w:lastRenderedPageBreak/>
        <w:t xml:space="preserve">environmental remediation </w:t>
      </w:r>
      <w:r w:rsidR="00537ADF" w:rsidRPr="008E791C">
        <w:t>costs for purposes of calculating the allocation</w:t>
      </w:r>
      <w:r w:rsidR="001176CD" w:rsidRPr="008E791C">
        <w:t xml:space="preserve">. </w:t>
      </w:r>
      <w:r w:rsidR="00537ADF" w:rsidRPr="008E791C">
        <w:t>However, if the Commission is concerned about the wide range of estimated costs, the low end of the range could be utilized to calculate the allocation</w:t>
      </w:r>
      <w:r w:rsidR="001176CD" w:rsidRPr="008E791C">
        <w:t xml:space="preserve">. </w:t>
      </w:r>
      <w:r w:rsidR="00537ADF" w:rsidRPr="008E791C">
        <w:t xml:space="preserve">Doing so would result in a reduction to operating expense of approximately $200,000 for electric and </w:t>
      </w:r>
      <w:r w:rsidR="00D37FB7" w:rsidRPr="008E791C">
        <w:t>close to $8</w:t>
      </w:r>
      <w:r w:rsidR="00537ADF" w:rsidRPr="008E791C">
        <w:t>00,000 for natural gas operations</w:t>
      </w:r>
      <w:r w:rsidR="001176CD" w:rsidRPr="008E791C">
        <w:t xml:space="preserve">. </w:t>
      </w:r>
      <w:r w:rsidR="0004533D" w:rsidRPr="008E791C">
        <w:t xml:space="preserve">I have </w:t>
      </w:r>
      <w:r w:rsidR="00C87979" w:rsidRPr="008E791C">
        <w:t xml:space="preserve">prepared </w:t>
      </w:r>
      <w:r w:rsidR="0004533D" w:rsidRPr="008E791C">
        <w:t>Exhibit</w:t>
      </w:r>
      <w:r w:rsidR="00C87979" w:rsidRPr="008E791C">
        <w:t>s</w:t>
      </w:r>
      <w:r w:rsidR="0004533D" w:rsidRPr="008E791C">
        <w:t xml:space="preserve"> SEF-</w:t>
      </w:r>
      <w:r w:rsidR="00164C58">
        <w:t>24</w:t>
      </w:r>
      <w:r w:rsidR="00073EE8" w:rsidRPr="008E791C">
        <w:t xml:space="preserve"> and SEF-</w:t>
      </w:r>
      <w:r w:rsidR="00164C58">
        <w:t>25</w:t>
      </w:r>
      <w:r w:rsidR="00073EE8" w:rsidRPr="008E791C">
        <w:t xml:space="preserve"> showing the calculation for these impacts.</w:t>
      </w:r>
    </w:p>
    <w:p w:rsidR="00537ADF" w:rsidRPr="008E791C" w:rsidRDefault="00CC3417" w:rsidP="00B56012">
      <w:pPr>
        <w:pStyle w:val="question"/>
      </w:pPr>
      <w:r w:rsidRPr="008E791C">
        <w:t>Q.</w:t>
      </w:r>
      <w:r w:rsidR="00004068" w:rsidRPr="008E791C">
        <w:tab/>
      </w:r>
      <w:r w:rsidR="00537ADF" w:rsidRPr="008E791C">
        <w:t>Do you agree with Ms. O</w:t>
      </w:r>
      <w:r w:rsidR="009C6954" w:rsidRPr="008E791C">
        <w:t>’</w:t>
      </w:r>
      <w:r w:rsidR="00537ADF" w:rsidRPr="008E791C">
        <w:t>Connell</w:t>
      </w:r>
      <w:r w:rsidR="009C6954" w:rsidRPr="008E791C">
        <w:t>’</w:t>
      </w:r>
      <w:r w:rsidR="00537ADF" w:rsidRPr="008E791C">
        <w:t>s recommendation to disallow $5.6 million of deferred costs associated with the Tacoma Historical Coal Gasification Plant situated on the Tacoma Tide Flats (</w:t>
      </w:r>
      <w:r w:rsidR="009C6954" w:rsidRPr="008E791C">
        <w:t>“</w:t>
      </w:r>
      <w:r w:rsidR="00537ADF" w:rsidRPr="008E791C">
        <w:t>Tacoma Tar Pits</w:t>
      </w:r>
      <w:r w:rsidR="009C6954" w:rsidRPr="008E791C">
        <w:t>”</w:t>
      </w:r>
      <w:r w:rsidR="00537ADF" w:rsidRPr="008E791C">
        <w:t>)</w:t>
      </w:r>
      <w:r w:rsidR="00537ADF" w:rsidRPr="008E791C">
        <w:rPr>
          <w:rStyle w:val="FootnoteReference"/>
        </w:rPr>
        <w:footnoteReference w:id="28"/>
      </w:r>
      <w:r w:rsidR="00537ADF" w:rsidRPr="008E791C">
        <w:t>?</w:t>
      </w:r>
    </w:p>
    <w:p w:rsidR="00616D71" w:rsidRPr="008E791C" w:rsidRDefault="00CC3417" w:rsidP="00B56012">
      <w:pPr>
        <w:pStyle w:val="answer"/>
      </w:pPr>
      <w:r w:rsidRPr="008E791C">
        <w:t>A.</w:t>
      </w:r>
      <w:r w:rsidR="00004068" w:rsidRPr="008E791C">
        <w:tab/>
      </w:r>
      <w:r w:rsidR="00537ADF" w:rsidRPr="008E791C">
        <w:t>No.</w:t>
      </w:r>
      <w:r w:rsidR="009C6954" w:rsidRPr="008E791C">
        <w:t xml:space="preserve"> </w:t>
      </w:r>
      <w:r w:rsidR="00616D71" w:rsidRPr="008E791C">
        <w:t>Ms. O</w:t>
      </w:r>
      <w:r w:rsidR="009C6954" w:rsidRPr="008E791C">
        <w:t>’</w:t>
      </w:r>
      <w:r w:rsidR="00616D71" w:rsidRPr="008E791C">
        <w:t>Connell is using flawed logic to conclude that there should be a $5.6 million write off of the Tacoma Tar Pits deferral.</w:t>
      </w:r>
      <w:r w:rsidR="009C6954" w:rsidRPr="008E791C">
        <w:t xml:space="preserve"> </w:t>
      </w:r>
      <w:r w:rsidR="00616D71" w:rsidRPr="008E791C">
        <w:t>PSE should not be required to write off expenses or recoveries that it has prudently incurred or received related to its deferred environmental remediation orders.</w:t>
      </w:r>
      <w:r w:rsidR="009C6954" w:rsidRPr="008E791C">
        <w:t xml:space="preserve"> </w:t>
      </w:r>
    </w:p>
    <w:p w:rsidR="00616D71" w:rsidRPr="008E791C" w:rsidRDefault="00616D71" w:rsidP="00B56012">
      <w:pPr>
        <w:pStyle w:val="question"/>
      </w:pPr>
      <w:r w:rsidRPr="008E791C">
        <w:t>Q.</w:t>
      </w:r>
      <w:r w:rsidRPr="008E791C">
        <w:tab/>
        <w:t>Can you please provide a background of the Tacoma Tar Pits deferral and Ms. O</w:t>
      </w:r>
      <w:r w:rsidR="009C6954" w:rsidRPr="008E791C">
        <w:t>’</w:t>
      </w:r>
      <w:r w:rsidRPr="008E791C">
        <w:t>Connell</w:t>
      </w:r>
      <w:r w:rsidR="009C6954" w:rsidRPr="008E791C">
        <w:t>’</w:t>
      </w:r>
      <w:r w:rsidRPr="008E791C">
        <w:t>s proposal?</w:t>
      </w:r>
    </w:p>
    <w:p w:rsidR="00537ADF" w:rsidRPr="008E791C" w:rsidRDefault="00616D71" w:rsidP="00B56012">
      <w:pPr>
        <w:pStyle w:val="answer"/>
      </w:pPr>
      <w:r w:rsidRPr="008E791C">
        <w:t>A.</w:t>
      </w:r>
      <w:r w:rsidRPr="008E791C">
        <w:tab/>
        <w:t>To understand this issue, i</w:t>
      </w:r>
      <w:r w:rsidR="00537ADF" w:rsidRPr="008E791C">
        <w:t>t is important to understand the insurance litigation that occurred related to the Tacoma Tar Pits and other remediation sites.</w:t>
      </w:r>
      <w:r w:rsidR="009C6954" w:rsidRPr="008E791C">
        <w:t xml:space="preserve"> </w:t>
      </w:r>
      <w:r w:rsidR="00537ADF" w:rsidRPr="008E791C">
        <w:t xml:space="preserve">As is described in the Prefiled Rebuttal Testimony of Mr. </w:t>
      </w:r>
      <w:r w:rsidR="005C5D55" w:rsidRPr="008E791C">
        <w:t>Steven R. Secrist, Exhibit SRS-1T</w:t>
      </w:r>
      <w:r w:rsidR="00537ADF" w:rsidRPr="008E791C">
        <w:t>, during the early to mid-1990s, a PSE predecessor company, Washington Natural Gas (</w:t>
      </w:r>
      <w:r w:rsidR="009C6954" w:rsidRPr="008E791C">
        <w:t>“</w:t>
      </w:r>
      <w:proofErr w:type="spellStart"/>
      <w:r w:rsidR="00537ADF" w:rsidRPr="008E791C">
        <w:t>WNG</w:t>
      </w:r>
      <w:proofErr w:type="spellEnd"/>
      <w:r w:rsidR="009C6954" w:rsidRPr="008E791C">
        <w:t>”</w:t>
      </w:r>
      <w:r w:rsidR="00537ADF" w:rsidRPr="008E791C">
        <w:t>)</w:t>
      </w:r>
      <w:r w:rsidR="005C5D55" w:rsidRPr="008E791C">
        <w:t>,</w:t>
      </w:r>
      <w:r w:rsidR="00537ADF" w:rsidRPr="008E791C">
        <w:t xml:space="preserve"> engaged in extensive and aggressive insurance litigation </w:t>
      </w:r>
      <w:r w:rsidR="00537ADF" w:rsidRPr="008E791C">
        <w:lastRenderedPageBreak/>
        <w:t xml:space="preserve">to recover from legacy insurers </w:t>
      </w:r>
      <w:r w:rsidR="005C5D55" w:rsidRPr="008E791C">
        <w:t xml:space="preserve">costs </w:t>
      </w:r>
      <w:r w:rsidR="00537ADF" w:rsidRPr="008E791C">
        <w:t xml:space="preserve">related to </w:t>
      </w:r>
      <w:r w:rsidR="005C5D55" w:rsidRPr="008E791C">
        <w:t xml:space="preserve">past </w:t>
      </w:r>
      <w:r w:rsidR="00537ADF" w:rsidRPr="008E791C">
        <w:t>and future remediation obligations</w:t>
      </w:r>
      <w:r w:rsidR="005C5D55" w:rsidRPr="008E791C">
        <w:t xml:space="preserve"> at manufactured gas plant sites</w:t>
      </w:r>
      <w:r w:rsidR="00537ADF" w:rsidRPr="008E791C">
        <w:t>, the largest by far of which was the Tacoma Tar Pits site.</w:t>
      </w:r>
      <w:r w:rsidR="009C6954" w:rsidRPr="008E791C">
        <w:t xml:space="preserve"> </w:t>
      </w:r>
      <w:r w:rsidR="00537ADF" w:rsidRPr="008E791C">
        <w:t xml:space="preserve">The litigation encompassed dozens of insurers and lasted many years during which time </w:t>
      </w:r>
      <w:proofErr w:type="spellStart"/>
      <w:r w:rsidR="00537ADF" w:rsidRPr="008E791C">
        <w:t>WNG</w:t>
      </w:r>
      <w:proofErr w:type="spellEnd"/>
      <w:r w:rsidR="00537ADF" w:rsidRPr="008E791C">
        <w:t xml:space="preserve"> engaged in settlement discussions with the multitude of insurers.</w:t>
      </w:r>
      <w:r w:rsidR="009C6954" w:rsidRPr="008E791C">
        <w:t xml:space="preserve"> </w:t>
      </w:r>
      <w:r w:rsidR="00537ADF" w:rsidRPr="008E791C">
        <w:t xml:space="preserve">In pre-trial negotiations, many of the insurers settled with </w:t>
      </w:r>
      <w:proofErr w:type="spellStart"/>
      <w:r w:rsidR="00537ADF" w:rsidRPr="008E791C">
        <w:t>WNG</w:t>
      </w:r>
      <w:proofErr w:type="spellEnd"/>
      <w:r w:rsidR="00537ADF" w:rsidRPr="008E791C">
        <w:t xml:space="preserve"> and prior to the 1993 trial</w:t>
      </w:r>
      <w:r w:rsidR="005C5D55" w:rsidRPr="008E791C">
        <w:t>,</w:t>
      </w:r>
      <w:r w:rsidR="00537ADF" w:rsidRPr="008E791C">
        <w:t xml:space="preserve"> </w:t>
      </w:r>
      <w:proofErr w:type="spellStart"/>
      <w:r w:rsidR="00537ADF" w:rsidRPr="008E791C">
        <w:t>WNG</w:t>
      </w:r>
      <w:proofErr w:type="spellEnd"/>
      <w:r w:rsidR="00537ADF" w:rsidRPr="008E791C">
        <w:t xml:space="preserve"> had already received $7.6 million</w:t>
      </w:r>
      <w:r w:rsidR="0017692E" w:rsidRPr="008E791C">
        <w:t xml:space="preserve"> in settlement proceeds</w:t>
      </w:r>
      <w:r w:rsidR="00537ADF" w:rsidRPr="008E791C">
        <w:t>.</w:t>
      </w:r>
      <w:r w:rsidR="009C6954" w:rsidRPr="008E791C">
        <w:t xml:space="preserve"> </w:t>
      </w:r>
      <w:proofErr w:type="spellStart"/>
      <w:r w:rsidR="00537ADF" w:rsidRPr="008E791C">
        <w:t>WNG</w:t>
      </w:r>
      <w:proofErr w:type="spellEnd"/>
      <w:r w:rsidR="00537ADF" w:rsidRPr="008E791C">
        <w:t xml:space="preserve"> then went to trial against the four remaining insurers and in October 1993, received a favorable verdict.</w:t>
      </w:r>
      <w:r w:rsidR="009C6954" w:rsidRPr="008E791C">
        <w:t xml:space="preserve"> </w:t>
      </w:r>
      <w:r w:rsidR="00537ADF" w:rsidRPr="008E791C">
        <w:t>The trial defendants all filed appeals.</w:t>
      </w:r>
      <w:r w:rsidR="009C6954" w:rsidRPr="008E791C">
        <w:t xml:space="preserve"> </w:t>
      </w:r>
      <w:r w:rsidR="00537ADF" w:rsidRPr="008E791C">
        <w:t xml:space="preserve">During post-trial adjudication, </w:t>
      </w:r>
      <w:proofErr w:type="spellStart"/>
      <w:r w:rsidR="00537ADF" w:rsidRPr="008E791C">
        <w:t>WNG</w:t>
      </w:r>
      <w:proofErr w:type="spellEnd"/>
      <w:r w:rsidR="00537ADF" w:rsidRPr="008E791C">
        <w:t xml:space="preserve"> and the trial defendants were able to reach settlement and $29 million of </w:t>
      </w:r>
      <w:r w:rsidR="00B8571D" w:rsidRPr="008E791C">
        <w:t xml:space="preserve">additional </w:t>
      </w:r>
      <w:r w:rsidR="00537ADF" w:rsidRPr="008E791C">
        <w:t>recoveries was received</w:t>
      </w:r>
      <w:r w:rsidR="007A0E09" w:rsidRPr="008E791C">
        <w:t xml:space="preserve"> for the Tacoma Tar Pits site</w:t>
      </w:r>
      <w:r w:rsidR="00537ADF" w:rsidRPr="008E791C">
        <w:t>.</w:t>
      </w:r>
    </w:p>
    <w:p w:rsidR="00537ADF" w:rsidRPr="008E791C" w:rsidRDefault="00537ADF" w:rsidP="00B56012">
      <w:pPr>
        <w:pStyle w:val="answer"/>
        <w:ind w:firstLine="0"/>
      </w:pPr>
      <w:r w:rsidRPr="008E791C">
        <w:t xml:space="preserve">In developing her recommendation to order PSE to write-off $5.6 million of prudently incurred </w:t>
      </w:r>
      <w:r w:rsidR="00B61568" w:rsidRPr="008E791C">
        <w:t xml:space="preserve">and deferred </w:t>
      </w:r>
      <w:r w:rsidRPr="008E791C">
        <w:t>costs, Ms. O</w:t>
      </w:r>
      <w:r w:rsidR="009C6954" w:rsidRPr="008E791C">
        <w:t>’</w:t>
      </w:r>
      <w:r w:rsidRPr="008E791C">
        <w:t xml:space="preserve">Connell again points to very narrow information provided by </w:t>
      </w:r>
      <w:r w:rsidR="006E0FF1" w:rsidRPr="008E791C">
        <w:t>PSE</w:t>
      </w:r>
      <w:r w:rsidRPr="008E791C">
        <w:t xml:space="preserve"> and ignores other</w:t>
      </w:r>
      <w:r w:rsidR="00C87979" w:rsidRPr="008E791C">
        <w:t xml:space="preserve"> relevant</w:t>
      </w:r>
      <w:r w:rsidRPr="008E791C">
        <w:t xml:space="preserve"> information that </w:t>
      </w:r>
      <w:r w:rsidR="00C87979" w:rsidRPr="008E791C">
        <w:t>undermine</w:t>
      </w:r>
      <w:r w:rsidR="00B8571D" w:rsidRPr="008E791C">
        <w:t>s</w:t>
      </w:r>
      <w:r w:rsidRPr="008E791C">
        <w:t xml:space="preserve"> her recommendation.</w:t>
      </w:r>
      <w:r w:rsidR="009C6954" w:rsidRPr="008E791C">
        <w:t xml:space="preserve"> </w:t>
      </w:r>
    </w:p>
    <w:p w:rsidR="00B8571D" w:rsidRPr="008E791C" w:rsidRDefault="00B8571D" w:rsidP="00B56012">
      <w:pPr>
        <w:pStyle w:val="question"/>
      </w:pPr>
      <w:r w:rsidRPr="008E791C">
        <w:t>Q.</w:t>
      </w:r>
      <w:r w:rsidRPr="008E791C">
        <w:tab/>
        <w:t>Please elaborate on the incomplete information Ms. O’Connell relies on to propose a disallowance of $5.6 million.</w:t>
      </w:r>
    </w:p>
    <w:p w:rsidR="00305CCA" w:rsidRPr="008E791C" w:rsidRDefault="00B8571D" w:rsidP="00B56012">
      <w:pPr>
        <w:pStyle w:val="Answer0"/>
      </w:pPr>
      <w:r w:rsidRPr="008E791C">
        <w:t>A.</w:t>
      </w:r>
      <w:r w:rsidRPr="008E791C">
        <w:tab/>
        <w:t xml:space="preserve">Ms. O’Connell </w:t>
      </w:r>
      <w:r w:rsidR="00537ADF" w:rsidRPr="008E791C">
        <w:t>pairs two numbers together – $29 million of recoveries received in 1995 and $34.6 million of deferred costs reported in 1998 – and erroneously presents them as if they are the totality of the information related to the Tacoma Tar Pits remediation site.</w:t>
      </w:r>
      <w:r w:rsidR="009C6954" w:rsidRPr="008E791C">
        <w:t xml:space="preserve"> </w:t>
      </w:r>
      <w:r w:rsidR="00537ADF" w:rsidRPr="008E791C">
        <w:t xml:space="preserve">She points to a letter </w:t>
      </w:r>
      <w:r w:rsidR="00DF6324" w:rsidRPr="008E791C">
        <w:t>from</w:t>
      </w:r>
      <w:r w:rsidR="00537ADF" w:rsidRPr="008E791C">
        <w:t xml:space="preserve"> Mr. Secrist to the </w:t>
      </w:r>
      <w:r w:rsidR="00DF6324" w:rsidRPr="008E791C">
        <w:t xml:space="preserve">Commission </w:t>
      </w:r>
      <w:r w:rsidR="00537ADF" w:rsidRPr="008E791C">
        <w:t xml:space="preserve">in November 1995 </w:t>
      </w:r>
      <w:r w:rsidR="0017692E" w:rsidRPr="008E791C">
        <w:t>(</w:t>
      </w:r>
      <w:r w:rsidR="009C6954" w:rsidRPr="008E791C">
        <w:t>“</w:t>
      </w:r>
      <w:r w:rsidR="0017692E" w:rsidRPr="008E791C">
        <w:t>November 1995 letter</w:t>
      </w:r>
      <w:r w:rsidR="009C6954" w:rsidRPr="008E791C">
        <w:t>”</w:t>
      </w:r>
      <w:r w:rsidR="0017692E" w:rsidRPr="008E791C">
        <w:t>)</w:t>
      </w:r>
      <w:r w:rsidR="00DF6324" w:rsidRPr="008E791C">
        <w:t>,</w:t>
      </w:r>
      <w:r w:rsidR="0017692E" w:rsidRPr="008E791C">
        <w:t xml:space="preserve"> </w:t>
      </w:r>
      <w:r w:rsidR="00537ADF" w:rsidRPr="008E791C">
        <w:t xml:space="preserve">which stated that the </w:t>
      </w:r>
      <w:r w:rsidR="00537ADF" w:rsidRPr="008E791C">
        <w:lastRenderedPageBreak/>
        <w:t xml:space="preserve">$29 million would </w:t>
      </w:r>
      <w:r w:rsidR="009C6954" w:rsidRPr="008E791C">
        <w:t>“</w:t>
      </w:r>
      <w:r w:rsidR="00537ADF" w:rsidRPr="008E791C">
        <w:t xml:space="preserve">pay substantially all </w:t>
      </w:r>
      <w:r w:rsidR="00537ADF" w:rsidRPr="008E791C">
        <w:rPr>
          <w:u w:val="single"/>
        </w:rPr>
        <w:t>unreimbursed</w:t>
      </w:r>
      <w:r w:rsidR="00537ADF" w:rsidRPr="008E791C">
        <w:t xml:space="preserve"> remediation costs incurred by </w:t>
      </w:r>
      <w:proofErr w:type="spellStart"/>
      <w:r w:rsidR="00537ADF" w:rsidRPr="008E791C">
        <w:t>WNG</w:t>
      </w:r>
      <w:proofErr w:type="spellEnd"/>
      <w:r w:rsidR="00537ADF" w:rsidRPr="008E791C">
        <w:t xml:space="preserve"> for the remediation of the Tacoma Tar Pits site</w:t>
      </w:r>
      <w:r w:rsidR="00DF6324" w:rsidRPr="008E791C">
        <w:t>.</w:t>
      </w:r>
      <w:r w:rsidR="009C6954" w:rsidRPr="008E791C">
        <w:t>”</w:t>
      </w:r>
      <w:r w:rsidR="0017692E" w:rsidRPr="008E791C">
        <w:rPr>
          <w:rStyle w:val="FootnoteReference"/>
        </w:rPr>
        <w:footnoteReference w:id="29"/>
      </w:r>
      <w:r w:rsidR="009C6954" w:rsidRPr="008E791C">
        <w:t xml:space="preserve"> </w:t>
      </w:r>
      <w:r w:rsidR="00537ADF" w:rsidRPr="008E791C">
        <w:t xml:space="preserve">She then points to the opening </w:t>
      </w:r>
      <w:r w:rsidR="0017692E" w:rsidRPr="008E791C">
        <w:t xml:space="preserve">system </w:t>
      </w:r>
      <w:r w:rsidR="00537ADF" w:rsidRPr="008E791C">
        <w:t>conversion entry on PSE</w:t>
      </w:r>
      <w:r w:rsidR="009C6954" w:rsidRPr="008E791C">
        <w:t>’</w:t>
      </w:r>
      <w:r w:rsidR="00537ADF" w:rsidRPr="008E791C">
        <w:t>s books that occurs in September 1998</w:t>
      </w:r>
      <w:r w:rsidR="00537ADF" w:rsidRPr="008E791C">
        <w:rPr>
          <w:rStyle w:val="FootnoteReference"/>
        </w:rPr>
        <w:footnoteReference w:id="30"/>
      </w:r>
      <w:r w:rsidR="00537ADF" w:rsidRPr="008E791C">
        <w:t xml:space="preserve"> reflecting net deferred costs of $34.6 million for Tacoma Tar Pits. And by netting only the $29 million of recoveries against the $34.6 million of costs, she </w:t>
      </w:r>
      <w:r w:rsidR="00C87979" w:rsidRPr="008E791C">
        <w:t>apparently assumes</w:t>
      </w:r>
      <w:r w:rsidR="00537ADF" w:rsidRPr="008E791C">
        <w:t xml:space="preserve"> that the $34.6 million of costs </w:t>
      </w:r>
      <w:r w:rsidR="0017692E" w:rsidRPr="008E791C">
        <w:t xml:space="preserve">included in one account </w:t>
      </w:r>
      <w:r w:rsidR="00537ADF" w:rsidRPr="008E791C">
        <w:t>on PSE</w:t>
      </w:r>
      <w:r w:rsidR="009C6954" w:rsidRPr="008E791C">
        <w:t>’</w:t>
      </w:r>
      <w:r w:rsidR="00537ADF" w:rsidRPr="008E791C">
        <w:t xml:space="preserve">s </w:t>
      </w:r>
      <w:r w:rsidR="0017692E" w:rsidRPr="008E791C">
        <w:t xml:space="preserve">general ledger </w:t>
      </w:r>
      <w:r w:rsidR="00C87979" w:rsidRPr="008E791C">
        <w:t>three</w:t>
      </w:r>
      <w:r w:rsidR="00537ADF" w:rsidRPr="008E791C">
        <w:t xml:space="preserve"> years </w:t>
      </w:r>
      <w:r w:rsidR="00B61568" w:rsidRPr="008E791C">
        <w:t xml:space="preserve">after the recoveries are received </w:t>
      </w:r>
      <w:r w:rsidR="00537ADF" w:rsidRPr="008E791C">
        <w:t xml:space="preserve">are the same </w:t>
      </w:r>
      <w:r w:rsidR="009C6954" w:rsidRPr="008E791C">
        <w:t>“</w:t>
      </w:r>
      <w:r w:rsidR="00537ADF" w:rsidRPr="008E791C">
        <w:t>unreimbursed costs</w:t>
      </w:r>
      <w:r w:rsidR="009C6954" w:rsidRPr="008E791C">
        <w:t>”</w:t>
      </w:r>
      <w:r w:rsidR="00537ADF" w:rsidRPr="008E791C">
        <w:t xml:space="preserve"> referenced in Mr. </w:t>
      </w:r>
      <w:proofErr w:type="spellStart"/>
      <w:r w:rsidR="00537ADF" w:rsidRPr="008E791C">
        <w:t>Secrist</w:t>
      </w:r>
      <w:r w:rsidR="009C6954" w:rsidRPr="008E791C">
        <w:t>’</w:t>
      </w:r>
      <w:r w:rsidR="00537ADF" w:rsidRPr="008E791C">
        <w:t>s</w:t>
      </w:r>
      <w:proofErr w:type="spellEnd"/>
      <w:r w:rsidR="00537ADF" w:rsidRPr="008E791C">
        <w:t xml:space="preserve"> November 1995 letter.</w:t>
      </w:r>
      <w:r w:rsidR="009C6954" w:rsidRPr="008E791C">
        <w:t xml:space="preserve"> </w:t>
      </w:r>
      <w:r w:rsidR="00537ADF" w:rsidRPr="008E791C">
        <w:t xml:space="preserve">In fact, she </w:t>
      </w:r>
      <w:r w:rsidR="00C87979" w:rsidRPr="008E791C">
        <w:t>testifies</w:t>
      </w:r>
      <w:r w:rsidR="00537ADF" w:rsidRPr="008E791C">
        <w:t xml:space="preserve"> that </w:t>
      </w:r>
      <w:r w:rsidR="009C6954" w:rsidRPr="008E791C">
        <w:t>“</w:t>
      </w:r>
      <w:r w:rsidR="00B965FD" w:rsidRPr="008E791C">
        <w:t>[t]</w:t>
      </w:r>
      <w:r w:rsidR="00537ADF" w:rsidRPr="008E791C">
        <w:t>he company documented to the Commission that the recovery would offset all or substantially all of the remediation obligation</w:t>
      </w:r>
      <w:r w:rsidR="009C6954" w:rsidRPr="008E791C">
        <w:t>”</w:t>
      </w:r>
      <w:r w:rsidR="00537ADF" w:rsidRPr="008E791C">
        <w:t xml:space="preserve"> and uses this as the basis for her write-off</w:t>
      </w:r>
      <w:r w:rsidR="00C87979" w:rsidRPr="008E791C">
        <w:t>.</w:t>
      </w:r>
      <w:r w:rsidR="00537ADF" w:rsidRPr="008E791C">
        <w:rPr>
          <w:rStyle w:val="FootnoteReference"/>
        </w:rPr>
        <w:footnoteReference w:id="31"/>
      </w:r>
      <w:r w:rsidR="009C6954" w:rsidRPr="008E791C">
        <w:t xml:space="preserve"> </w:t>
      </w:r>
      <w:r w:rsidR="00C87979" w:rsidRPr="008E791C">
        <w:t>Ms. O</w:t>
      </w:r>
      <w:r w:rsidR="009C6954" w:rsidRPr="008E791C">
        <w:t>’</w:t>
      </w:r>
      <w:r w:rsidR="00C87979" w:rsidRPr="008E791C">
        <w:t>Connell</w:t>
      </w:r>
      <w:r w:rsidR="009C6954" w:rsidRPr="008E791C">
        <w:t>’</w:t>
      </w:r>
      <w:r w:rsidR="00C87979" w:rsidRPr="008E791C">
        <w:t xml:space="preserve">s testimony ignores </w:t>
      </w:r>
      <w:r w:rsidR="00537ADF" w:rsidRPr="008E791C">
        <w:t xml:space="preserve">the </w:t>
      </w:r>
      <w:r w:rsidR="004F69B2" w:rsidRPr="008E791C">
        <w:t xml:space="preserve">language in Mr. </w:t>
      </w:r>
      <w:proofErr w:type="spellStart"/>
      <w:r w:rsidR="004F69B2" w:rsidRPr="008E791C">
        <w:t>Secrist</w:t>
      </w:r>
      <w:r w:rsidR="009C6954" w:rsidRPr="008E791C">
        <w:t>’</w:t>
      </w:r>
      <w:r w:rsidR="004F69B2" w:rsidRPr="008E791C">
        <w:t>s</w:t>
      </w:r>
      <w:proofErr w:type="spellEnd"/>
      <w:r w:rsidR="004F69B2" w:rsidRPr="008E791C">
        <w:t xml:space="preserve"> November 1995 letter that </w:t>
      </w:r>
      <w:r w:rsidR="00537ADF" w:rsidRPr="008E791C">
        <w:t xml:space="preserve">the </w:t>
      </w:r>
      <w:r w:rsidR="004F69B2" w:rsidRPr="008E791C">
        <w:t xml:space="preserve">$29 million would pay substantially all </w:t>
      </w:r>
      <w:r w:rsidR="00537ADF" w:rsidRPr="008E791C">
        <w:rPr>
          <w:b/>
          <w:u w:val="single"/>
        </w:rPr>
        <w:t>unreimbursed</w:t>
      </w:r>
      <w:r w:rsidR="00537ADF" w:rsidRPr="008E791C">
        <w:t xml:space="preserve"> </w:t>
      </w:r>
      <w:r w:rsidR="004F69B2" w:rsidRPr="008E791C">
        <w:t xml:space="preserve">remediation </w:t>
      </w:r>
      <w:r w:rsidR="00537ADF" w:rsidRPr="008E791C">
        <w:t>costs</w:t>
      </w:r>
      <w:r w:rsidR="004F69B2" w:rsidRPr="008E791C">
        <w:t xml:space="preserve"> incurred by </w:t>
      </w:r>
      <w:proofErr w:type="spellStart"/>
      <w:r w:rsidR="004F69B2" w:rsidRPr="008E791C">
        <w:t>WNG</w:t>
      </w:r>
      <w:proofErr w:type="spellEnd"/>
      <w:r w:rsidR="00537ADF" w:rsidRPr="008E791C">
        <w:t>.</w:t>
      </w:r>
      <w:r w:rsidR="009C6954" w:rsidRPr="008E791C">
        <w:t xml:space="preserve"> </w:t>
      </w:r>
      <w:r w:rsidR="00537ADF" w:rsidRPr="008E791C">
        <w:t xml:space="preserve">She erroneously </w:t>
      </w:r>
      <w:r w:rsidR="004F69B2" w:rsidRPr="008E791C">
        <w:t xml:space="preserve">presents </w:t>
      </w:r>
      <w:r w:rsidR="00537ADF" w:rsidRPr="008E791C">
        <w:t xml:space="preserve">the $34.6 million as the </w:t>
      </w:r>
      <w:r w:rsidR="009C6954" w:rsidRPr="008E791C">
        <w:t>“</w:t>
      </w:r>
      <w:r w:rsidR="00537ADF" w:rsidRPr="008E791C">
        <w:t>unreimbursed costs</w:t>
      </w:r>
      <w:r w:rsidR="009C6954" w:rsidRPr="008E791C">
        <w:t>”</w:t>
      </w:r>
      <w:r w:rsidR="00305CCA" w:rsidRPr="008E791C">
        <w:t>.</w:t>
      </w:r>
    </w:p>
    <w:p w:rsidR="0017692E" w:rsidRPr="008E791C" w:rsidRDefault="0017692E" w:rsidP="00B56012">
      <w:pPr>
        <w:pStyle w:val="question"/>
      </w:pPr>
      <w:r w:rsidRPr="008E791C">
        <w:lastRenderedPageBreak/>
        <w:t>Q</w:t>
      </w:r>
      <w:r w:rsidR="00F066B0" w:rsidRPr="008E791C">
        <w:t>.</w:t>
      </w:r>
      <w:r w:rsidRPr="008E791C">
        <w:tab/>
        <w:t xml:space="preserve">What is the amount of unreimbursed cost that </w:t>
      </w:r>
      <w:r w:rsidR="00DE595C" w:rsidRPr="008E791C">
        <w:t>is</w:t>
      </w:r>
      <w:r w:rsidRPr="008E791C">
        <w:t xml:space="preserve"> being referred to in the November 1995 letter?</w:t>
      </w:r>
    </w:p>
    <w:p w:rsidR="00F066B0" w:rsidRPr="008E791C" w:rsidRDefault="00F066B0" w:rsidP="00B56012">
      <w:pPr>
        <w:pStyle w:val="answer"/>
      </w:pPr>
      <w:r w:rsidRPr="008E791C">
        <w:t>A.</w:t>
      </w:r>
      <w:r w:rsidRPr="008E791C">
        <w:tab/>
      </w:r>
      <w:r w:rsidR="00B61568" w:rsidRPr="008E791C">
        <w:t>Based on information included in Ms. O</w:t>
      </w:r>
      <w:r w:rsidR="009C6954" w:rsidRPr="008E791C">
        <w:t>’</w:t>
      </w:r>
      <w:r w:rsidR="00B61568" w:rsidRPr="008E791C">
        <w:t>Connell</w:t>
      </w:r>
      <w:r w:rsidR="009C6954" w:rsidRPr="008E791C">
        <w:t>’</w:t>
      </w:r>
      <w:r w:rsidR="00B61568" w:rsidRPr="008E791C">
        <w:t>s own exhibits, t</w:t>
      </w:r>
      <w:r w:rsidRPr="008E791C">
        <w:t>he amount of unreimbursed costs referenced in the November 1995 letter is approximately $27 million</w:t>
      </w:r>
      <w:r w:rsidR="00B965FD" w:rsidRPr="008E791C">
        <w:t xml:space="preserve">, which takes into account </w:t>
      </w:r>
      <w:r w:rsidR="004F69B2" w:rsidRPr="008E791C">
        <w:t>the earlier recovery of over $7 million in pre-trial settlements</w:t>
      </w:r>
      <w:r w:rsidRPr="008E791C">
        <w:t>.</w:t>
      </w:r>
      <w:r w:rsidR="009C6954" w:rsidRPr="008E791C">
        <w:t xml:space="preserve"> </w:t>
      </w:r>
    </w:p>
    <w:p w:rsidR="00F066B0" w:rsidRPr="008E791C" w:rsidRDefault="00F066B0" w:rsidP="00B56012">
      <w:pPr>
        <w:pStyle w:val="question"/>
      </w:pPr>
      <w:r w:rsidRPr="008E791C">
        <w:t>Q.</w:t>
      </w:r>
      <w:r w:rsidRPr="008E791C">
        <w:tab/>
        <w:t>Was this information available to Ms. O</w:t>
      </w:r>
      <w:r w:rsidR="009C6954" w:rsidRPr="008E791C">
        <w:t>’</w:t>
      </w:r>
      <w:r w:rsidRPr="008E791C">
        <w:t>Connell?</w:t>
      </w:r>
    </w:p>
    <w:p w:rsidR="00C57357" w:rsidRPr="008E791C" w:rsidRDefault="00F066B0" w:rsidP="00B56012">
      <w:pPr>
        <w:pStyle w:val="answer"/>
      </w:pPr>
      <w:r w:rsidRPr="008E791C">
        <w:t>A.</w:t>
      </w:r>
      <w:r w:rsidRPr="008E791C">
        <w:tab/>
        <w:t>Yes.</w:t>
      </w:r>
      <w:r w:rsidR="009C6954" w:rsidRPr="008E791C">
        <w:t xml:space="preserve"> </w:t>
      </w:r>
      <w:r w:rsidR="00305CCA" w:rsidRPr="008E791C">
        <w:t>Ms. O</w:t>
      </w:r>
      <w:r w:rsidR="009C6954" w:rsidRPr="008E791C">
        <w:t>’</w:t>
      </w:r>
      <w:r w:rsidR="00305CCA" w:rsidRPr="008E791C">
        <w:t>Connell does not mention the $7.6 million of recoveries received from pre-trial defendants that are also applicable to Tacoma Tar Pits</w:t>
      </w:r>
      <w:r w:rsidR="004739A4" w:rsidRPr="008E791C">
        <w:t>, which are shown in her exhibit.</w:t>
      </w:r>
      <w:r w:rsidR="00305CCA" w:rsidRPr="008E791C">
        <w:rPr>
          <w:rStyle w:val="FootnoteReference"/>
        </w:rPr>
        <w:footnoteReference w:id="32"/>
      </w:r>
      <w:r w:rsidR="009C6954" w:rsidRPr="008E791C">
        <w:t xml:space="preserve"> </w:t>
      </w:r>
      <w:r w:rsidR="00305CCA" w:rsidRPr="008E791C">
        <w:t>When properly taken into consideration, the $7.6 million of settlements funds from the pre-trial defendants along with the $29 million of settlement funds from the post-trial defendants</w:t>
      </w:r>
      <w:r w:rsidR="00B965FD" w:rsidRPr="008E791C">
        <w:t>,</w:t>
      </w:r>
      <w:r w:rsidR="00C57357" w:rsidRPr="008E791C">
        <w:t xml:space="preserve"> totals $36.6 million</w:t>
      </w:r>
      <w:r w:rsidR="001176CD" w:rsidRPr="008E791C">
        <w:t xml:space="preserve">. </w:t>
      </w:r>
      <w:r w:rsidR="005D7B7D" w:rsidRPr="008E791C">
        <w:t xml:space="preserve">This does in fact </w:t>
      </w:r>
      <w:r w:rsidR="00305CCA" w:rsidRPr="008E791C">
        <w:t>substantially cover the roughly $34 million of deferred remediation costs that would have existed at that time.</w:t>
      </w:r>
      <w:r w:rsidR="005164EE" w:rsidRPr="008E791C">
        <w:t xml:space="preserve"> </w:t>
      </w:r>
      <w:r w:rsidR="000221A9" w:rsidRPr="008E791C">
        <w:t xml:space="preserve">Table </w:t>
      </w:r>
      <w:r w:rsidR="005164EE" w:rsidRPr="008E791C">
        <w:t>3</w:t>
      </w:r>
      <w:r w:rsidR="000221A9" w:rsidRPr="008E791C">
        <w:t xml:space="preserve"> depicts this as follows</w:t>
      </w:r>
      <w:r w:rsidR="00C57357" w:rsidRPr="008E791C">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E35EC9" w:rsidRPr="008E791C" w:rsidTr="00E35EC9">
        <w:tc>
          <w:tcPr>
            <w:tcW w:w="6696" w:type="dxa"/>
          </w:tcPr>
          <w:p w:rsidR="00E35EC9" w:rsidRPr="008E791C" w:rsidRDefault="00E35EC9" w:rsidP="00B56012">
            <w:pPr>
              <w:spacing w:after="240"/>
              <w:ind w:firstLine="0"/>
              <w:jc w:val="center"/>
            </w:pPr>
            <w:r w:rsidRPr="008E791C">
              <w:rPr>
                <w:noProof/>
                <w:lang w:eastAsia="en-US"/>
              </w:rPr>
              <w:lastRenderedPageBreak/>
              <w:drawing>
                <wp:inline distT="0" distB="0" distL="0" distR="0" wp14:anchorId="455719BD" wp14:editId="398339DB">
                  <wp:extent cx="3566160" cy="3264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6160" cy="3264910"/>
                          </a:xfrm>
                          <a:prstGeom prst="rect">
                            <a:avLst/>
                          </a:prstGeom>
                        </pic:spPr>
                      </pic:pic>
                    </a:graphicData>
                  </a:graphic>
                </wp:inline>
              </w:drawing>
            </w:r>
          </w:p>
        </w:tc>
      </w:tr>
    </w:tbl>
    <w:p w:rsidR="00D916CF" w:rsidRPr="008E791C" w:rsidRDefault="00D916CF" w:rsidP="00B56012">
      <w:pPr>
        <w:pStyle w:val="question"/>
      </w:pPr>
      <w:r w:rsidRPr="008E791C">
        <w:t>Q.</w:t>
      </w:r>
      <w:r w:rsidRPr="008E791C">
        <w:tab/>
        <w:t xml:space="preserve">Do you have any other reason to believe that the </w:t>
      </w:r>
      <w:r w:rsidR="00F066B0" w:rsidRPr="008E791C">
        <w:t>unreimbursed costs referenced in the November 1995 letter were $27 million</w:t>
      </w:r>
      <w:r w:rsidRPr="008E791C">
        <w:t>?</w:t>
      </w:r>
    </w:p>
    <w:p w:rsidR="00E53B8E" w:rsidRPr="008E791C" w:rsidRDefault="00D916CF" w:rsidP="00B56012">
      <w:pPr>
        <w:pStyle w:val="answer"/>
      </w:pPr>
      <w:r w:rsidRPr="008E791C">
        <w:t>A.</w:t>
      </w:r>
      <w:r w:rsidRPr="008E791C">
        <w:tab/>
        <w:t>Yes.</w:t>
      </w:r>
      <w:r w:rsidR="009C6954" w:rsidRPr="008E791C">
        <w:t xml:space="preserve"> </w:t>
      </w:r>
      <w:r w:rsidRPr="008E791C">
        <w:t xml:space="preserve">PSE has </w:t>
      </w:r>
      <w:r w:rsidR="00E53B8E" w:rsidRPr="008E791C">
        <w:t>a copy</w:t>
      </w:r>
      <w:r w:rsidRPr="008E791C">
        <w:t xml:space="preserve"> of the </w:t>
      </w:r>
      <w:r w:rsidR="00E53B8E" w:rsidRPr="008E791C">
        <w:t xml:space="preserve">September 1994 </w:t>
      </w:r>
      <w:r w:rsidRPr="008E791C">
        <w:t>quarterly</w:t>
      </w:r>
      <w:r w:rsidR="00E53B8E" w:rsidRPr="008E791C">
        <w:t xml:space="preserve"> report</w:t>
      </w:r>
      <w:r w:rsidRPr="008E791C">
        <w:t xml:space="preserve"> </w:t>
      </w:r>
      <w:r w:rsidR="00E53B8E" w:rsidRPr="008E791C">
        <w:t>that provides some additional information on the status of Tacoma Tar Pits leading up to the final settlement.</w:t>
      </w:r>
      <w:r w:rsidR="009C6954" w:rsidRPr="008E791C">
        <w:t xml:space="preserve"> </w:t>
      </w:r>
      <w:r w:rsidR="00E53B8E" w:rsidRPr="008E791C">
        <w:t xml:space="preserve">I have included a copy of the </w:t>
      </w:r>
      <w:r w:rsidR="0022792A" w:rsidRPr="008E791C">
        <w:t xml:space="preserve">report and </w:t>
      </w:r>
      <w:r w:rsidR="00E53B8E" w:rsidRPr="008E791C">
        <w:t>transmittal letter</w:t>
      </w:r>
      <w:r w:rsidR="0022792A" w:rsidRPr="008E791C">
        <w:t xml:space="preserve"> in Exhibit SEF-</w:t>
      </w:r>
      <w:r w:rsidR="00164C58">
        <w:t>27</w:t>
      </w:r>
      <w:r w:rsidR="008C510E" w:rsidRPr="008E791C">
        <w:t>,</w:t>
      </w:r>
      <w:r w:rsidR="00E53B8E" w:rsidRPr="008E791C">
        <w:t xml:space="preserve"> </w:t>
      </w:r>
      <w:r w:rsidR="0022792A" w:rsidRPr="008E791C">
        <w:t xml:space="preserve">wherein </w:t>
      </w:r>
      <w:r w:rsidR="00C41857" w:rsidRPr="008E791C">
        <w:t>PSE reports</w:t>
      </w:r>
      <w:r w:rsidR="00E53B8E" w:rsidRPr="008E791C">
        <w:t>:</w:t>
      </w:r>
    </w:p>
    <w:p w:rsidR="00D916CF" w:rsidRPr="008E791C" w:rsidRDefault="00E53B8E" w:rsidP="00B56012">
      <w:pPr>
        <w:pStyle w:val="Quote"/>
      </w:pPr>
      <w:r w:rsidRPr="008E791C">
        <w:t>The current clean up cost estimate, less recoveries from insurance settlements and third parties, totals $27 million.</w:t>
      </w:r>
      <w:r w:rsidR="009C6954" w:rsidRPr="008E791C">
        <w:t xml:space="preserve"> </w:t>
      </w:r>
      <w:r w:rsidR="009C0CDB" w:rsidRPr="008E791C">
        <w:t>This amount does not include attorney fees incurred in the insurance litigation nor interest.</w:t>
      </w:r>
    </w:p>
    <w:p w:rsidR="009C0CDB" w:rsidRPr="008E791C" w:rsidRDefault="009C0CDB" w:rsidP="00B56012">
      <w:pPr>
        <w:pStyle w:val="answer"/>
        <w:ind w:firstLine="0"/>
      </w:pPr>
      <w:r w:rsidRPr="008E791C">
        <w:t xml:space="preserve">Therefore, it is clear, that the $7.6 million in pre-trial settlement funds </w:t>
      </w:r>
      <w:r w:rsidR="00F066B0" w:rsidRPr="008E791C">
        <w:t>was</w:t>
      </w:r>
      <w:r w:rsidRPr="008E791C">
        <w:t xml:space="preserve"> considered when determining </w:t>
      </w:r>
      <w:r w:rsidR="00F066B0" w:rsidRPr="008E791C">
        <w:t>the amount of unreimbursed costs referenced in the November 1995 letter.</w:t>
      </w:r>
      <w:r w:rsidR="009C6954" w:rsidRPr="008E791C">
        <w:t xml:space="preserve"> </w:t>
      </w:r>
      <w:r w:rsidR="00F066B0" w:rsidRPr="008E791C">
        <w:t>Doing so results in $29 million of recoveries in comparison to $27 million (not $34 million) of unreimbursed costs.</w:t>
      </w:r>
    </w:p>
    <w:p w:rsidR="00537ADF" w:rsidRPr="008E791C" w:rsidRDefault="00CC3417" w:rsidP="00B56012">
      <w:pPr>
        <w:pStyle w:val="question"/>
      </w:pPr>
      <w:r w:rsidRPr="008E791C">
        <w:lastRenderedPageBreak/>
        <w:t>Q.</w:t>
      </w:r>
      <w:r w:rsidRPr="008E791C">
        <w:tab/>
      </w:r>
      <w:r w:rsidR="00537ADF" w:rsidRPr="008E791C">
        <w:t>Are there any other reasons PSE continued to carry the Tacoma Tar Pits deferred costs on its books separately from the recoveries?</w:t>
      </w:r>
    </w:p>
    <w:p w:rsidR="00537ADF" w:rsidRPr="008E791C" w:rsidRDefault="00CC3417" w:rsidP="00B56012">
      <w:pPr>
        <w:pStyle w:val="answer"/>
      </w:pPr>
      <w:r w:rsidRPr="008E791C">
        <w:t>A.</w:t>
      </w:r>
      <w:r w:rsidR="00004068" w:rsidRPr="008E791C">
        <w:tab/>
      </w:r>
      <w:r w:rsidR="00537ADF" w:rsidRPr="008E791C">
        <w:t>Yes.</w:t>
      </w:r>
      <w:r w:rsidR="009C6954" w:rsidRPr="008E791C">
        <w:t xml:space="preserve"> </w:t>
      </w:r>
      <w:r w:rsidR="00537ADF" w:rsidRPr="008E791C">
        <w:t xml:space="preserve">As described in Mr. </w:t>
      </w:r>
      <w:proofErr w:type="spellStart"/>
      <w:r w:rsidR="00537ADF" w:rsidRPr="008E791C">
        <w:t>Secrist</w:t>
      </w:r>
      <w:r w:rsidR="009C6954" w:rsidRPr="008E791C">
        <w:t>’</w:t>
      </w:r>
      <w:r w:rsidR="00537ADF" w:rsidRPr="008E791C">
        <w:t>s</w:t>
      </w:r>
      <w:proofErr w:type="spellEnd"/>
      <w:r w:rsidR="00537ADF" w:rsidRPr="008E791C">
        <w:t xml:space="preserve"> </w:t>
      </w:r>
      <w:proofErr w:type="spellStart"/>
      <w:r w:rsidR="005D7B7D" w:rsidRPr="008E791C">
        <w:t>prefiled</w:t>
      </w:r>
      <w:proofErr w:type="spellEnd"/>
      <w:r w:rsidR="005D7B7D" w:rsidRPr="008E791C">
        <w:t xml:space="preserve"> rebuttal testimony</w:t>
      </w:r>
      <w:r w:rsidR="00537ADF" w:rsidRPr="008E791C">
        <w:t xml:space="preserve">, </w:t>
      </w:r>
      <w:r w:rsidR="00B41BEC" w:rsidRPr="008E791C">
        <w:t>PSE carries deferred costs separately from its recoveries because</w:t>
      </w:r>
      <w:r w:rsidR="00C41857" w:rsidRPr="008E791C">
        <w:t>,</w:t>
      </w:r>
      <w:r w:rsidR="00B41BEC" w:rsidRPr="008E791C">
        <w:t xml:space="preserve"> for most of the insurance recoveries it received, the recoveries were not assigned to a particular site.</w:t>
      </w:r>
      <w:r w:rsidR="009C6954" w:rsidRPr="008E791C">
        <w:t xml:space="preserve"> </w:t>
      </w:r>
      <w:r w:rsidR="00B41BEC" w:rsidRPr="008E791C">
        <w:t>In addition, for many of its remediation sites, the costs for completing the remediation are unknown and therefore allocation would be premature.</w:t>
      </w:r>
      <w:r w:rsidR="009C6954" w:rsidRPr="008E791C">
        <w:t xml:space="preserve"> </w:t>
      </w:r>
      <w:r w:rsidR="00B41BEC" w:rsidRPr="008E791C">
        <w:t xml:space="preserve">For example, </w:t>
      </w:r>
      <w:r w:rsidR="005D7B7D" w:rsidRPr="008E791C">
        <w:t xml:space="preserve">although PSE anticipated that the Tar Pits site remediation was nearly complete </w:t>
      </w:r>
      <w:r w:rsidR="00B41BEC" w:rsidRPr="008E791C">
        <w:t>in 1998, the EPA directed PSE to address benzene concentrations in groundwater that exceeded the Record of Decision cleanup criteria at the Tacoma Tar Pits site.</w:t>
      </w:r>
      <w:r w:rsidR="009C6954" w:rsidRPr="008E791C">
        <w:t xml:space="preserve"> </w:t>
      </w:r>
      <w:r w:rsidR="00B41BEC" w:rsidRPr="008E791C">
        <w:t>PSE was required to install a groundwater capture and treatment system</w:t>
      </w:r>
      <w:r w:rsidR="009C6954" w:rsidRPr="008E791C">
        <w:t xml:space="preserve"> </w:t>
      </w:r>
      <w:r w:rsidR="00B41BEC" w:rsidRPr="008E791C">
        <w:t>As a result, this EPA required action has required PSE to incur additional remediation costs from the operation, maintenance and monitoring of this system since that time.</w:t>
      </w:r>
      <w:r w:rsidR="009C6954" w:rsidRPr="008E791C">
        <w:t xml:space="preserve"> </w:t>
      </w:r>
      <w:r w:rsidR="00B41BEC" w:rsidRPr="008E791C">
        <w:t>This is particularly important in insurance litigation because prematurely declaring a site as complete could impair PSE</w:t>
      </w:r>
      <w:r w:rsidR="009C6954" w:rsidRPr="008E791C">
        <w:t>’</w:t>
      </w:r>
      <w:r w:rsidR="00B41BEC" w:rsidRPr="008E791C">
        <w:t>s ability to fully recover from its</w:t>
      </w:r>
      <w:r w:rsidR="005D7B7D" w:rsidRPr="008E791C">
        <w:t xml:space="preserve"> insurers if future costs turn</w:t>
      </w:r>
      <w:r w:rsidR="00B41BEC" w:rsidRPr="008E791C">
        <w:t xml:space="preserve"> out to be greater than previously believed.</w:t>
      </w:r>
      <w:r w:rsidR="009C6954" w:rsidRPr="008E791C">
        <w:t xml:space="preserve"> </w:t>
      </w:r>
      <w:r w:rsidR="00B41BEC" w:rsidRPr="008E791C">
        <w:t>By not allocating recoveries until cleanup costs are fully known, it preserves PSE</w:t>
      </w:r>
      <w:r w:rsidR="009C6954" w:rsidRPr="008E791C">
        <w:t>’</w:t>
      </w:r>
      <w:r w:rsidR="00B41BEC" w:rsidRPr="008E791C">
        <w:t>s ability to fully recover from insurers.</w:t>
      </w:r>
      <w:r w:rsidR="009C6954" w:rsidRPr="008E791C">
        <w:t xml:space="preserve"> </w:t>
      </w:r>
    </w:p>
    <w:p w:rsidR="00537ADF" w:rsidRPr="008E791C" w:rsidRDefault="00CC3417" w:rsidP="00B56012">
      <w:pPr>
        <w:pStyle w:val="question"/>
      </w:pPr>
      <w:r w:rsidRPr="008E791C">
        <w:lastRenderedPageBreak/>
        <w:t>Q.</w:t>
      </w:r>
      <w:r w:rsidRPr="008E791C">
        <w:tab/>
      </w:r>
      <w:r w:rsidR="00537ADF" w:rsidRPr="008E791C">
        <w:t>Should the Commission accept parties position to pass back 100</w:t>
      </w:r>
      <w:r w:rsidR="005D7B7D" w:rsidRPr="008E791C">
        <w:t xml:space="preserve"> percent</w:t>
      </w:r>
      <w:r w:rsidR="00537ADF" w:rsidRPr="008E791C">
        <w:t xml:space="preserve"> of the unassigned proceeds to customers now or accept Commission Staff</w:t>
      </w:r>
      <w:r w:rsidR="009C6954" w:rsidRPr="008E791C">
        <w:t>’</w:t>
      </w:r>
      <w:r w:rsidR="00537ADF" w:rsidRPr="008E791C">
        <w:t>s position to write-off net cost of the Tacoma Tar Pits project?</w:t>
      </w:r>
    </w:p>
    <w:p w:rsidR="00537ADF" w:rsidRPr="008E791C" w:rsidRDefault="00CC3417" w:rsidP="00B56012">
      <w:pPr>
        <w:pStyle w:val="answer"/>
      </w:pPr>
      <w:r w:rsidRPr="008E791C">
        <w:t>A.</w:t>
      </w:r>
      <w:r w:rsidR="00004068" w:rsidRPr="008E791C">
        <w:tab/>
      </w:r>
      <w:r w:rsidR="00537ADF" w:rsidRPr="008E791C">
        <w:t>No.</w:t>
      </w:r>
      <w:r w:rsidR="009C6954" w:rsidRPr="008E791C">
        <w:t xml:space="preserve"> </w:t>
      </w:r>
      <w:r w:rsidR="00537ADF" w:rsidRPr="008E791C">
        <w:t>For all of the reasons stated above, the Commission should reject these positions.</w:t>
      </w:r>
    </w:p>
    <w:p w:rsidR="00537ADF" w:rsidRPr="008E791C" w:rsidRDefault="00CC3417" w:rsidP="00B56012">
      <w:pPr>
        <w:pStyle w:val="question"/>
      </w:pPr>
      <w:r w:rsidRPr="008E791C">
        <w:t>Q.</w:t>
      </w:r>
      <w:r w:rsidRPr="008E791C">
        <w:tab/>
      </w:r>
      <w:r w:rsidR="00537ADF" w:rsidRPr="008E791C">
        <w:t>Ms. O</w:t>
      </w:r>
      <w:r w:rsidR="009C6954" w:rsidRPr="008E791C">
        <w:t>’</w:t>
      </w:r>
      <w:r w:rsidR="00537ADF" w:rsidRPr="008E791C">
        <w:t>Connell recommends disallowance of approximately $200,000 for certain internal employee costs that were netted against the unassigned insurance recoveries account.</w:t>
      </w:r>
      <w:r w:rsidR="00537ADF" w:rsidRPr="008E791C">
        <w:rPr>
          <w:rStyle w:val="FootnoteReference"/>
        </w:rPr>
        <w:footnoteReference w:id="33"/>
      </w:r>
      <w:r w:rsidR="009C6954" w:rsidRPr="008E791C">
        <w:t xml:space="preserve"> </w:t>
      </w:r>
      <w:r w:rsidR="00537ADF" w:rsidRPr="008E791C">
        <w:t>Do you agree with her recommendation?</w:t>
      </w:r>
    </w:p>
    <w:p w:rsidR="00537ADF" w:rsidRPr="008E791C" w:rsidRDefault="00CC3417" w:rsidP="00B56012">
      <w:pPr>
        <w:pStyle w:val="answer"/>
      </w:pPr>
      <w:r w:rsidRPr="008E791C">
        <w:t>A.</w:t>
      </w:r>
      <w:r w:rsidR="00004068" w:rsidRPr="008E791C">
        <w:tab/>
      </w:r>
      <w:r w:rsidR="00537ADF" w:rsidRPr="008E791C">
        <w:t>Yes.</w:t>
      </w:r>
      <w:r w:rsidR="009C6954" w:rsidRPr="008E791C">
        <w:t xml:space="preserve"> </w:t>
      </w:r>
      <w:r w:rsidR="00537ADF" w:rsidRPr="008E791C">
        <w:t>I agree that the Commission orders were clear that there should not have been internal employee costs charged to the remediation deferrals.</w:t>
      </w:r>
      <w:r w:rsidR="009C6954" w:rsidRPr="008E791C">
        <w:t xml:space="preserve"> </w:t>
      </w:r>
      <w:r w:rsidR="00537ADF" w:rsidRPr="008E791C">
        <w:t>Therefore, PSE has accepted Ms. O</w:t>
      </w:r>
      <w:r w:rsidR="009C6954" w:rsidRPr="008E791C">
        <w:t>’</w:t>
      </w:r>
      <w:r w:rsidR="00537ADF" w:rsidRPr="008E791C">
        <w:t>Connell</w:t>
      </w:r>
      <w:r w:rsidR="009C6954" w:rsidRPr="008E791C">
        <w:t>’</w:t>
      </w:r>
      <w:r w:rsidR="00537ADF" w:rsidRPr="008E791C">
        <w:t>s recommendation and has made this adjustment in this rebuttal filing.</w:t>
      </w:r>
    </w:p>
    <w:p w:rsidR="00537ADF" w:rsidRPr="008E791C" w:rsidRDefault="00CC3417" w:rsidP="00B56012">
      <w:pPr>
        <w:pStyle w:val="question"/>
      </w:pPr>
      <w:r w:rsidRPr="008E791C">
        <w:t>Q.</w:t>
      </w:r>
      <w:r w:rsidRPr="008E791C">
        <w:tab/>
      </w:r>
      <w:r w:rsidR="00537ADF" w:rsidRPr="008E791C">
        <w:t>Do you agree with Ms. O</w:t>
      </w:r>
      <w:r w:rsidR="009C6954" w:rsidRPr="008E791C">
        <w:t>’</w:t>
      </w:r>
      <w:r w:rsidR="00537ADF" w:rsidRPr="008E791C">
        <w:t>Connell</w:t>
      </w:r>
      <w:r w:rsidR="009C6954" w:rsidRPr="008E791C">
        <w:t>’</w:t>
      </w:r>
      <w:r w:rsidR="00537ADF" w:rsidRPr="008E791C">
        <w:t>s recommendation to treat PSE</w:t>
      </w:r>
      <w:r w:rsidR="009C6954" w:rsidRPr="008E791C">
        <w:t>’</w:t>
      </w:r>
      <w:r w:rsidR="00537ADF" w:rsidRPr="008E791C">
        <w:t>s net deferred costs for gas environmental deferrals as working capital for ratemaking purposes?</w:t>
      </w:r>
      <w:r w:rsidR="00537ADF" w:rsidRPr="008E791C">
        <w:rPr>
          <w:rStyle w:val="FootnoteReference"/>
        </w:rPr>
        <w:footnoteReference w:id="34"/>
      </w:r>
    </w:p>
    <w:p w:rsidR="00537ADF" w:rsidRPr="008E791C" w:rsidRDefault="00CC3417" w:rsidP="00B56012">
      <w:pPr>
        <w:pStyle w:val="answer"/>
      </w:pPr>
      <w:r w:rsidRPr="008E791C">
        <w:t>A.</w:t>
      </w:r>
      <w:r w:rsidR="00004068" w:rsidRPr="008E791C">
        <w:tab/>
      </w:r>
      <w:r w:rsidR="00537ADF" w:rsidRPr="008E791C">
        <w:t>Yes.</w:t>
      </w:r>
      <w:r w:rsidR="009C6954" w:rsidRPr="008E791C">
        <w:t xml:space="preserve"> </w:t>
      </w:r>
      <w:r w:rsidR="00537ADF" w:rsidRPr="008E791C">
        <w:t>I appreciate Ms. O</w:t>
      </w:r>
      <w:r w:rsidR="009C6954" w:rsidRPr="008E791C">
        <w:t>’</w:t>
      </w:r>
      <w:r w:rsidR="00537ADF" w:rsidRPr="008E791C">
        <w:t>Connell</w:t>
      </w:r>
      <w:r w:rsidR="009C6954" w:rsidRPr="008E791C">
        <w:t>’</w:t>
      </w:r>
      <w:r w:rsidR="00537ADF" w:rsidRPr="008E791C">
        <w:t xml:space="preserve">s recognition that circumstances have changed since </w:t>
      </w:r>
      <w:proofErr w:type="spellStart"/>
      <w:r w:rsidR="00537ADF" w:rsidRPr="008E791C">
        <w:t>WNG</w:t>
      </w:r>
      <w:proofErr w:type="spellEnd"/>
      <w:r w:rsidR="00537ADF" w:rsidRPr="008E791C">
        <w:t xml:space="preserve"> lost the ability to treat its gas net environmental deferrals as working capital in Docket UG-920840 and for the reasons she states in her testimony, I agree that it is appropriate to now include these accounts in working capital</w:t>
      </w:r>
      <w:r w:rsidR="004F69B2" w:rsidRPr="008E791C">
        <w:t>,</w:t>
      </w:r>
      <w:r w:rsidR="00537ADF" w:rsidRPr="008E791C">
        <w:t xml:space="preserve"> </w:t>
      </w:r>
      <w:r w:rsidR="00537ADF" w:rsidRPr="008E791C">
        <w:lastRenderedPageBreak/>
        <w:t>which is consistent with the treatment of PSE</w:t>
      </w:r>
      <w:r w:rsidR="009C6954" w:rsidRPr="008E791C">
        <w:t>’</w:t>
      </w:r>
      <w:r w:rsidR="00537ADF" w:rsidRPr="008E791C">
        <w:t>s electric net environmental deferrals.</w:t>
      </w:r>
      <w:r w:rsidR="009C6954" w:rsidRPr="008E791C">
        <w:t xml:space="preserve"> </w:t>
      </w:r>
      <w:r w:rsidR="00537ADF" w:rsidRPr="008E791C">
        <w:t>Therefore, as is discussed in more detail in the working capital section below, I have incorporated this change into this rebuttal filing.</w:t>
      </w:r>
    </w:p>
    <w:p w:rsidR="00537ADF" w:rsidRPr="008E791C" w:rsidRDefault="00CC3417" w:rsidP="00B56012">
      <w:pPr>
        <w:pStyle w:val="question"/>
      </w:pPr>
      <w:r w:rsidRPr="008E791C">
        <w:t>Q.</w:t>
      </w:r>
      <w:r w:rsidRPr="008E791C">
        <w:tab/>
      </w:r>
      <w:r w:rsidR="00537ADF" w:rsidRPr="008E791C">
        <w:t>Do you agree with Ms. O</w:t>
      </w:r>
      <w:r w:rsidR="009C6954" w:rsidRPr="008E791C">
        <w:t>’</w:t>
      </w:r>
      <w:r w:rsidR="00537ADF" w:rsidRPr="008E791C">
        <w:t>Connell</w:t>
      </w:r>
      <w:r w:rsidR="009C6954" w:rsidRPr="008E791C">
        <w:t>’</w:t>
      </w:r>
      <w:r w:rsidR="00537ADF" w:rsidRPr="008E791C">
        <w:t>s calculation of the working capital treatment?</w:t>
      </w:r>
      <w:r w:rsidR="00537ADF" w:rsidRPr="008E791C">
        <w:rPr>
          <w:rStyle w:val="FootnoteReference"/>
        </w:rPr>
        <w:footnoteReference w:id="35"/>
      </w:r>
    </w:p>
    <w:p w:rsidR="00537ADF" w:rsidRPr="008E791C" w:rsidRDefault="00CC3417" w:rsidP="00B56012">
      <w:pPr>
        <w:pStyle w:val="answer"/>
      </w:pPr>
      <w:r w:rsidRPr="008E791C">
        <w:t>A.</w:t>
      </w:r>
      <w:r w:rsidR="00004068" w:rsidRPr="008E791C">
        <w:tab/>
      </w:r>
      <w:r w:rsidR="00537ADF" w:rsidRPr="008E791C">
        <w:t>No</w:t>
      </w:r>
      <w:r w:rsidR="001176CD" w:rsidRPr="008E791C">
        <w:t xml:space="preserve">. </w:t>
      </w:r>
      <w:r w:rsidR="005D7B7D" w:rsidRPr="008E791C">
        <w:t>Every general rate case adjustment contains a potential impact on working capital, but it is not appropriate to make adjustments to working capital for the pacts of rate case adjustments</w:t>
      </w:r>
      <w:r w:rsidR="001176CD" w:rsidRPr="008E791C">
        <w:t xml:space="preserve">. </w:t>
      </w:r>
      <w:r w:rsidR="00537ADF" w:rsidRPr="008E791C">
        <w:t>It is worthy of noting that Mr. McGuire and Mr. Hancock did not propose adjustments to working capital for the Colstrip 1 and 2 regulatory asset or the placement of PSE</w:t>
      </w:r>
      <w:r w:rsidR="009C6954" w:rsidRPr="008E791C">
        <w:t>’</w:t>
      </w:r>
      <w:r w:rsidR="00537ADF" w:rsidRPr="008E791C">
        <w:t>s Hydro Treasury Grants in an interest bearing account both of which represent changes to PSE</w:t>
      </w:r>
      <w:r w:rsidR="009C6954" w:rsidRPr="008E791C">
        <w:t>’</w:t>
      </w:r>
      <w:r w:rsidR="00537ADF" w:rsidRPr="008E791C">
        <w:t>s net utility plant in service in rate base to non-operating items.</w:t>
      </w:r>
      <w:r w:rsidR="009C6954" w:rsidRPr="008E791C">
        <w:t xml:space="preserve"> </w:t>
      </w:r>
      <w:r w:rsidR="00537ADF" w:rsidRPr="008E791C">
        <w:t>I presume that is because they understand that it is not appropriate to make adjustments to working capital for the impacts of rate case adjustments.</w:t>
      </w:r>
      <w:r w:rsidR="009C6954" w:rsidRPr="008E791C">
        <w:t xml:space="preserve"> </w:t>
      </w:r>
      <w:r w:rsidR="00537ADF" w:rsidRPr="008E791C">
        <w:t>For instance, the change to revenues for the temperature normalization adjustment would presumably also change PSE</w:t>
      </w:r>
      <w:r w:rsidR="009C6954" w:rsidRPr="008E791C">
        <w:t>’</w:t>
      </w:r>
      <w:r w:rsidR="00537ADF" w:rsidRPr="008E791C">
        <w:t>s balance of customer accounts receivable, a working capital item.</w:t>
      </w:r>
      <w:r w:rsidR="009C6954" w:rsidRPr="008E791C">
        <w:t xml:space="preserve"> </w:t>
      </w:r>
      <w:r w:rsidR="00537ADF" w:rsidRPr="008E791C">
        <w:t xml:space="preserve">Even the </w:t>
      </w:r>
      <w:r w:rsidR="00F97C77" w:rsidRPr="008E791C">
        <w:t>general rate case</w:t>
      </w:r>
      <w:r w:rsidR="00537ADF" w:rsidRPr="008E791C">
        <w:t xml:space="preserve"> surplus or deficiency granted in a rate case could also be construed to require an adjustment to working capital for the change that would occur to retained earnings within average invested capital.</w:t>
      </w:r>
      <w:r w:rsidR="009C6954" w:rsidRPr="008E791C">
        <w:t xml:space="preserve"> </w:t>
      </w:r>
      <w:r w:rsidR="00537ADF" w:rsidRPr="008E791C">
        <w:t>However, the Commission does not require that an adjustment be made to a utility</w:t>
      </w:r>
      <w:r w:rsidR="009C6954" w:rsidRPr="008E791C">
        <w:t>’</w:t>
      </w:r>
      <w:r w:rsidR="00537ADF" w:rsidRPr="008E791C">
        <w:t>s working capital for any of these items as it would be overly complicated and unnecessary.</w:t>
      </w:r>
      <w:r w:rsidR="009C6954" w:rsidRPr="008E791C">
        <w:t xml:space="preserve"> </w:t>
      </w:r>
      <w:r w:rsidR="0020087E" w:rsidRPr="008E791C">
        <w:t xml:space="preserve">Also, the </w:t>
      </w:r>
      <w:r w:rsidR="0020087E" w:rsidRPr="008E791C">
        <w:lastRenderedPageBreak/>
        <w:t>additional net revenue PSE will receive in rates from this case to cover the net amortization expense that Ms. O</w:t>
      </w:r>
      <w:r w:rsidR="009C6954" w:rsidRPr="008E791C">
        <w:t>’</w:t>
      </w:r>
      <w:r w:rsidR="0020087E" w:rsidRPr="008E791C">
        <w:t>Connell is using to adjust working capital would also have an impact on working capital that Ms. O</w:t>
      </w:r>
      <w:r w:rsidR="009C6954" w:rsidRPr="008E791C">
        <w:t>’</w:t>
      </w:r>
      <w:r w:rsidR="0020087E" w:rsidRPr="008E791C">
        <w:t>Connell did not consider in her proposed adjustment.</w:t>
      </w:r>
      <w:r w:rsidR="009C6954" w:rsidRPr="008E791C">
        <w:t xml:space="preserve"> </w:t>
      </w:r>
      <w:r w:rsidR="0020087E" w:rsidRPr="008E791C">
        <w:t>In fact, all things being equal, the impact is directly offsetting to Ms. O</w:t>
      </w:r>
      <w:r w:rsidR="009C6954" w:rsidRPr="008E791C">
        <w:t>’</w:t>
      </w:r>
      <w:r w:rsidR="0020087E" w:rsidRPr="008E791C">
        <w:t>Connell</w:t>
      </w:r>
      <w:r w:rsidR="009C6954" w:rsidRPr="008E791C">
        <w:t>’</w:t>
      </w:r>
      <w:r w:rsidR="0020087E" w:rsidRPr="008E791C">
        <w:t>s adjustment because the additional revenue would increase accounts receivable or cash balances, both of which are in working capital.</w:t>
      </w:r>
      <w:r w:rsidR="009C6954" w:rsidRPr="008E791C">
        <w:t xml:space="preserve"> </w:t>
      </w:r>
      <w:r w:rsidR="0020087E" w:rsidRPr="008E791C">
        <w:t>Accordingly, because the impacts on working capital of the additional revenue and the additional amortization are offsetting, there is no need for an adjustment.</w:t>
      </w:r>
      <w:r w:rsidR="009C6954" w:rsidRPr="008E791C">
        <w:t xml:space="preserve"> </w:t>
      </w:r>
      <w:r w:rsidR="0020087E" w:rsidRPr="008E791C">
        <w:t xml:space="preserve">It is this type of example that </w:t>
      </w:r>
      <w:r w:rsidR="00CC5E19" w:rsidRPr="008E791C">
        <w:t xml:space="preserve">justifies </w:t>
      </w:r>
      <w:r w:rsidR="00473002" w:rsidRPr="008E791C">
        <w:t xml:space="preserve">why </w:t>
      </w:r>
      <w:r w:rsidR="0020087E" w:rsidRPr="008E791C">
        <w:t>there is a long</w:t>
      </w:r>
      <w:r w:rsidR="009234E7" w:rsidRPr="008E791C">
        <w:t>-</w:t>
      </w:r>
      <w:r w:rsidR="0020087E" w:rsidRPr="008E791C">
        <w:t xml:space="preserve">standing tradition to not make adjustments to working capital and </w:t>
      </w:r>
      <w:r w:rsidR="00473002" w:rsidRPr="008E791C">
        <w:t>f</w:t>
      </w:r>
      <w:r w:rsidR="00537ADF" w:rsidRPr="008E791C">
        <w:t>or these reasons, the Commission should reject Ms. O</w:t>
      </w:r>
      <w:r w:rsidR="009C6954" w:rsidRPr="008E791C">
        <w:t>’</w:t>
      </w:r>
      <w:r w:rsidR="00537ADF" w:rsidRPr="008E791C">
        <w:t>Connell</w:t>
      </w:r>
      <w:r w:rsidR="009C6954" w:rsidRPr="008E791C">
        <w:t>’</w:t>
      </w:r>
      <w:r w:rsidR="00537ADF" w:rsidRPr="008E791C">
        <w:t>s proposal to make a pro</w:t>
      </w:r>
      <w:r w:rsidR="006452C3" w:rsidRPr="008E791C">
        <w:t xml:space="preserve"> </w:t>
      </w:r>
      <w:r w:rsidR="00537ADF" w:rsidRPr="008E791C">
        <w:t>forma adjustment to working capital related to rate year environmental remediation amortization.</w:t>
      </w:r>
    </w:p>
    <w:p w:rsidR="00537ADF" w:rsidRPr="008E791C" w:rsidRDefault="00CC3417" w:rsidP="00B56012">
      <w:pPr>
        <w:pStyle w:val="question"/>
      </w:pPr>
      <w:r w:rsidRPr="008E791C">
        <w:t>Q.</w:t>
      </w:r>
      <w:r w:rsidRPr="008E791C">
        <w:tab/>
      </w:r>
      <w:r w:rsidR="00537ADF" w:rsidRPr="008E791C">
        <w:t>Do you agree with Ms. O</w:t>
      </w:r>
      <w:r w:rsidR="009C6954" w:rsidRPr="008E791C">
        <w:t>’</w:t>
      </w:r>
      <w:r w:rsidR="00537ADF" w:rsidRPr="008E791C">
        <w:t>Connell</w:t>
      </w:r>
      <w:r w:rsidR="009C6954" w:rsidRPr="008E791C">
        <w:t>’</w:t>
      </w:r>
      <w:r w:rsidR="00537ADF" w:rsidRPr="008E791C">
        <w:t>s recommendations for improving the quarterly reporting for PSE</w:t>
      </w:r>
      <w:r w:rsidR="009C6954" w:rsidRPr="008E791C">
        <w:t>’</w:t>
      </w:r>
      <w:r w:rsidR="00537ADF" w:rsidRPr="008E791C">
        <w:t>s environmental remediation program?</w:t>
      </w:r>
      <w:r w:rsidR="00537ADF" w:rsidRPr="008E791C">
        <w:rPr>
          <w:rStyle w:val="FootnoteReference"/>
        </w:rPr>
        <w:footnoteReference w:id="36"/>
      </w:r>
    </w:p>
    <w:p w:rsidR="0082145C" w:rsidRPr="008E791C" w:rsidRDefault="00CC3417" w:rsidP="00B56012">
      <w:pPr>
        <w:pStyle w:val="answer"/>
      </w:pPr>
      <w:r w:rsidRPr="008E791C">
        <w:t>A.</w:t>
      </w:r>
      <w:r w:rsidR="0082145C" w:rsidRPr="008E791C">
        <w:tab/>
      </w:r>
      <w:r w:rsidR="005D7B7D" w:rsidRPr="008E791C">
        <w:t>I generally agree</w:t>
      </w:r>
      <w:r w:rsidR="001176CD" w:rsidRPr="008E791C">
        <w:t xml:space="preserve">. </w:t>
      </w:r>
      <w:r w:rsidR="0082145C" w:rsidRPr="008E791C">
        <w:t xml:space="preserve">However, PSE </w:t>
      </w:r>
      <w:r w:rsidR="005D7B7D" w:rsidRPr="008E791C">
        <w:t xml:space="preserve">proposes </w:t>
      </w:r>
      <w:r w:rsidR="0082145C" w:rsidRPr="008E791C">
        <w:t>to change Ms. O</w:t>
      </w:r>
      <w:r w:rsidR="009C6954" w:rsidRPr="008E791C">
        <w:t>’</w:t>
      </w:r>
      <w:r w:rsidR="0082145C" w:rsidRPr="008E791C">
        <w:t>Connell</w:t>
      </w:r>
      <w:r w:rsidR="009C6954" w:rsidRPr="008E791C">
        <w:t>’</w:t>
      </w:r>
      <w:r w:rsidR="0082145C" w:rsidRPr="008E791C">
        <w:t>s recommendation 1) (f)</w:t>
      </w:r>
      <w:r w:rsidR="00D0676D" w:rsidRPr="008E791C">
        <w:t xml:space="preserve">, which </w:t>
      </w:r>
      <w:r w:rsidR="0082145C" w:rsidRPr="008E791C">
        <w:t>would require PSE to reduce the balance of corresponding project costs with recoveries it receives.</w:t>
      </w:r>
      <w:r w:rsidR="009C6954" w:rsidRPr="008E791C">
        <w:t xml:space="preserve"> </w:t>
      </w:r>
      <w:r w:rsidR="0082145C" w:rsidRPr="008E791C">
        <w:t xml:space="preserve">PSE continues to </w:t>
      </w:r>
      <w:r w:rsidR="005D7B7D" w:rsidRPr="008E791C">
        <w:t xml:space="preserve">believe </w:t>
      </w:r>
      <w:r w:rsidR="0082145C" w:rsidRPr="008E791C">
        <w:t>that directly reducing deferred project costs with recoveries decreases PSE</w:t>
      </w:r>
      <w:r w:rsidR="009C6954" w:rsidRPr="008E791C">
        <w:t>’</w:t>
      </w:r>
      <w:r w:rsidR="0082145C" w:rsidRPr="008E791C">
        <w:t xml:space="preserve">s ability to achieve </w:t>
      </w:r>
      <w:r w:rsidR="00CC5E19" w:rsidRPr="008E791C">
        <w:t>optimal</w:t>
      </w:r>
      <w:r w:rsidR="0082145C" w:rsidRPr="008E791C">
        <w:t xml:space="preserve"> benefits for customers.</w:t>
      </w:r>
      <w:r w:rsidR="009C6954" w:rsidRPr="008E791C">
        <w:t xml:space="preserve"> </w:t>
      </w:r>
      <w:r w:rsidR="0082145C" w:rsidRPr="008E791C">
        <w:t xml:space="preserve">Being able to present multiple projects without assigning direct recovery to each project is </w:t>
      </w:r>
      <w:r w:rsidR="005D7B7D" w:rsidRPr="008E791C">
        <w:t xml:space="preserve">important </w:t>
      </w:r>
      <w:r w:rsidR="00D0676D" w:rsidRPr="008E791C">
        <w:t xml:space="preserve">as PSE </w:t>
      </w:r>
      <w:r w:rsidR="00D0676D" w:rsidRPr="008E791C">
        <w:lastRenderedPageBreak/>
        <w:t>pursues insurance recoveries as Mr. Secrist discusses in his rebuttal testimony.</w:t>
      </w:r>
      <w:r w:rsidR="009C6954" w:rsidRPr="008E791C">
        <w:t xml:space="preserve"> </w:t>
      </w:r>
      <w:r w:rsidR="005D7B7D" w:rsidRPr="008E791C">
        <w:t>R</w:t>
      </w:r>
      <w:r w:rsidR="0082145C" w:rsidRPr="008E791C">
        <w:t xml:space="preserve">eporting </w:t>
      </w:r>
      <w:r w:rsidR="005D7B7D" w:rsidRPr="008E791C">
        <w:t>o</w:t>
      </w:r>
      <w:r w:rsidR="0082145C" w:rsidRPr="008E791C">
        <w:t>f these recoveries can continue to be done at the aggregate level and determination of application of proceeds can be done in the rate proceeding in which the net deferrals are requested for recovery following the process I outlined earlier in my testimony and in my Exhibit SEF-</w:t>
      </w:r>
      <w:r w:rsidR="00164C58">
        <w:t>23</w:t>
      </w:r>
      <w:r w:rsidR="0082145C" w:rsidRPr="008E791C">
        <w:t>.</w:t>
      </w:r>
      <w:r w:rsidR="009C6954" w:rsidRPr="008E791C">
        <w:t xml:space="preserve"> </w:t>
      </w:r>
      <w:r w:rsidR="0082145C" w:rsidRPr="008E791C">
        <w:t>Aside from that requested change to Ms. O</w:t>
      </w:r>
      <w:r w:rsidR="009C6954" w:rsidRPr="008E791C">
        <w:t>’</w:t>
      </w:r>
      <w:r w:rsidR="0082145C" w:rsidRPr="008E791C">
        <w:t>Connell</w:t>
      </w:r>
      <w:r w:rsidR="009C6954" w:rsidRPr="008E791C">
        <w:t>’</w:t>
      </w:r>
      <w:r w:rsidR="0082145C" w:rsidRPr="008E791C">
        <w:t>s recommendations, PSE can work with Commission Staff to determine the format of the reports that they would like to see that would presumably follow the guidelines outlined in Ms. O</w:t>
      </w:r>
      <w:r w:rsidR="009C6954" w:rsidRPr="008E791C">
        <w:t>’</w:t>
      </w:r>
      <w:r w:rsidR="0082145C" w:rsidRPr="008E791C">
        <w:t>Connell</w:t>
      </w:r>
      <w:r w:rsidR="009C6954" w:rsidRPr="008E791C">
        <w:t>’</w:t>
      </w:r>
      <w:r w:rsidR="0082145C" w:rsidRPr="008E791C">
        <w:t xml:space="preserve">s </w:t>
      </w:r>
      <w:r w:rsidR="00D0676D" w:rsidRPr="008E791C">
        <w:t>t</w:t>
      </w:r>
      <w:r w:rsidR="0082145C" w:rsidRPr="008E791C">
        <w:t>estimony.</w:t>
      </w:r>
    </w:p>
    <w:p w:rsidR="005071A1" w:rsidRPr="008E791C" w:rsidRDefault="005071A1" w:rsidP="00B56012">
      <w:pPr>
        <w:pStyle w:val="question"/>
      </w:pPr>
      <w:r w:rsidRPr="008E791C">
        <w:t xml:space="preserve">Q. </w:t>
      </w:r>
      <w:r w:rsidR="00A56213" w:rsidRPr="008E791C">
        <w:tab/>
      </w:r>
      <w:r w:rsidRPr="008E791C">
        <w:t xml:space="preserve">Please explain the differences between </w:t>
      </w:r>
      <w:r w:rsidR="006E0FF1" w:rsidRPr="008E791C">
        <w:t>PSE</w:t>
      </w:r>
      <w:r w:rsidR="009C6954" w:rsidRPr="008E791C">
        <w:t>’</w:t>
      </w:r>
      <w:r w:rsidRPr="008E791C">
        <w:t>s supplemental filing and rebuttal filing.</w:t>
      </w:r>
    </w:p>
    <w:p w:rsidR="005071A1" w:rsidRPr="008E791C" w:rsidRDefault="00CC3417" w:rsidP="00B56012">
      <w:pPr>
        <w:pStyle w:val="answer"/>
      </w:pPr>
      <w:r w:rsidRPr="008E791C">
        <w:t>A.</w:t>
      </w:r>
      <w:r w:rsidR="005071A1" w:rsidRPr="008E791C">
        <w:rPr>
          <w:b/>
        </w:rPr>
        <w:tab/>
      </w:r>
      <w:r w:rsidR="005071A1" w:rsidRPr="008E791C">
        <w:t xml:space="preserve">Since its supplemental filing, </w:t>
      </w:r>
      <w:r w:rsidR="006C3ABA" w:rsidRPr="008E791C">
        <w:t>PSE has updated its</w:t>
      </w:r>
      <w:r w:rsidR="005071A1" w:rsidRPr="008E791C">
        <w:t xml:space="preserve"> estimates of the future costs for PSE</w:t>
      </w:r>
      <w:r w:rsidR="009C6954" w:rsidRPr="008E791C">
        <w:t>’</w:t>
      </w:r>
      <w:r w:rsidR="005071A1" w:rsidRPr="008E791C">
        <w:t>s environmental remediation sites</w:t>
      </w:r>
      <w:r w:rsidR="006C3ABA" w:rsidRPr="008E791C">
        <w:t>, based on consultant</w:t>
      </w:r>
      <w:r w:rsidR="009C6954" w:rsidRPr="008E791C">
        <w:t>’</w:t>
      </w:r>
      <w:r w:rsidR="006C3ABA" w:rsidRPr="008E791C">
        <w:t>s recommendations</w:t>
      </w:r>
      <w:r w:rsidR="005071A1" w:rsidRPr="008E791C">
        <w:t>.</w:t>
      </w:r>
      <w:r w:rsidR="009C6954" w:rsidRPr="008E791C">
        <w:t xml:space="preserve"> </w:t>
      </w:r>
      <w:r w:rsidR="005071A1" w:rsidRPr="008E791C">
        <w:t xml:space="preserve">Therefore, </w:t>
      </w:r>
      <w:r w:rsidR="00A56213" w:rsidRPr="008E791C">
        <w:t xml:space="preserve">as discussed on page 25 of my </w:t>
      </w:r>
      <w:r w:rsidR="005D7B7D" w:rsidRPr="008E791C">
        <w:t xml:space="preserve">prefiled direct testimony, </w:t>
      </w:r>
      <w:r w:rsidR="00A56213" w:rsidRPr="008E791C">
        <w:t>PSE has</w:t>
      </w:r>
      <w:r w:rsidR="005071A1" w:rsidRPr="008E791C">
        <w:t xml:space="preserve"> update</w:t>
      </w:r>
      <w:r w:rsidR="00A56213" w:rsidRPr="008E791C">
        <w:t>d</w:t>
      </w:r>
      <w:r w:rsidR="005071A1" w:rsidRPr="008E791C">
        <w:t xml:space="preserve"> these estimate</w:t>
      </w:r>
      <w:r w:rsidR="00A56213" w:rsidRPr="008E791C">
        <w:t>d</w:t>
      </w:r>
      <w:r w:rsidR="005071A1" w:rsidRPr="008E791C">
        <w:t xml:space="preserve"> future costs to </w:t>
      </w:r>
      <w:r w:rsidR="00A56213" w:rsidRPr="008E791C">
        <w:t>the current estimates</w:t>
      </w:r>
      <w:r w:rsidR="005071A1" w:rsidRPr="008E791C">
        <w:t xml:space="preserve"> for this adjustment.</w:t>
      </w:r>
      <w:r w:rsidR="009C6954" w:rsidRPr="008E791C">
        <w:t xml:space="preserve"> </w:t>
      </w:r>
    </w:p>
    <w:p w:rsidR="005071A1" w:rsidRPr="008E791C" w:rsidRDefault="00A56213" w:rsidP="00B56012">
      <w:pPr>
        <w:pStyle w:val="answer"/>
        <w:ind w:firstLine="0"/>
      </w:pPr>
      <w:r w:rsidRPr="008E791C">
        <w:t>Additionally, d</w:t>
      </w:r>
      <w:r w:rsidR="005071A1" w:rsidRPr="008E791C">
        <w:t>uring preparation of PSE</w:t>
      </w:r>
      <w:r w:rsidR="009C6954" w:rsidRPr="008E791C">
        <w:t>’</w:t>
      </w:r>
      <w:r w:rsidR="005071A1" w:rsidRPr="008E791C">
        <w:t xml:space="preserve">s </w:t>
      </w:r>
      <w:r w:rsidR="004F69B2" w:rsidRPr="008E791C">
        <w:t>R</w:t>
      </w:r>
      <w:r w:rsidR="005071A1" w:rsidRPr="008E791C">
        <w:t xml:space="preserve">esponse to ICNU </w:t>
      </w:r>
      <w:r w:rsidR="004F69B2" w:rsidRPr="008E791C">
        <w:t>D</w:t>
      </w:r>
      <w:r w:rsidR="005071A1" w:rsidRPr="008E791C">
        <w:t xml:space="preserve">ata </w:t>
      </w:r>
      <w:r w:rsidR="004F69B2" w:rsidRPr="008E791C">
        <w:t>R</w:t>
      </w:r>
      <w:r w:rsidR="00440DFF" w:rsidRPr="008E791C">
        <w:t>equest No. </w:t>
      </w:r>
      <w:r w:rsidR="005071A1" w:rsidRPr="008E791C">
        <w:t>55, it was discovered that</w:t>
      </w:r>
      <w:r w:rsidRPr="008E791C">
        <w:t xml:space="preserve"> when classifying sites for the future cost estimates,</w:t>
      </w:r>
      <w:r w:rsidR="005071A1" w:rsidRPr="008E791C">
        <w:t xml:space="preserve"> the </w:t>
      </w:r>
      <w:r w:rsidR="005071A1" w:rsidRPr="008E791C">
        <w:rPr>
          <w:i/>
        </w:rPr>
        <w:t>City of Olympia v. PSE</w:t>
      </w:r>
      <w:r w:rsidR="005071A1" w:rsidRPr="008E791C">
        <w:t xml:space="preserve"> environmental remediation site was categorized as gas when it should have been categorized as electric.</w:t>
      </w:r>
      <w:r w:rsidR="009C6954" w:rsidRPr="008E791C">
        <w:t xml:space="preserve"> </w:t>
      </w:r>
      <w:r w:rsidRPr="008E791C">
        <w:t xml:space="preserve">PSE </w:t>
      </w:r>
      <w:r w:rsidR="00CC5E19" w:rsidRPr="008E791C">
        <w:t xml:space="preserve">has </w:t>
      </w:r>
      <w:r w:rsidRPr="008E791C">
        <w:t>made this correction in its rebuttal filing.</w:t>
      </w:r>
      <w:r w:rsidR="009C6954" w:rsidRPr="008E791C">
        <w:t xml:space="preserve"> </w:t>
      </w:r>
    </w:p>
    <w:p w:rsidR="005071A1" w:rsidRPr="008E791C" w:rsidRDefault="005071A1" w:rsidP="00B56012">
      <w:pPr>
        <w:pStyle w:val="answer"/>
        <w:ind w:firstLine="0"/>
      </w:pPr>
      <w:r w:rsidRPr="008E791C">
        <w:t>Also in the original filing</w:t>
      </w:r>
      <w:r w:rsidR="00A56213" w:rsidRPr="008E791C">
        <w:t>,</w:t>
      </w:r>
      <w:r w:rsidRPr="008E791C">
        <w:t xml:space="preserve"> </w:t>
      </w:r>
      <w:r w:rsidR="006E0FF1" w:rsidRPr="008E791C">
        <w:t>PSE</w:t>
      </w:r>
      <w:r w:rsidRPr="008E791C">
        <w:t xml:space="preserve"> had </w:t>
      </w:r>
      <w:r w:rsidR="00A56213" w:rsidRPr="008E791C">
        <w:t>applied insurance recoveries of</w:t>
      </w:r>
      <w:r w:rsidRPr="008E791C">
        <w:t xml:space="preserve"> $92,940 </w:t>
      </w:r>
      <w:r w:rsidR="00A56213" w:rsidRPr="008E791C">
        <w:t>directly to</w:t>
      </w:r>
      <w:r w:rsidRPr="008E791C">
        <w:t xml:space="preserve"> </w:t>
      </w:r>
      <w:r w:rsidR="004F69B2" w:rsidRPr="008E791C">
        <w:t>t</w:t>
      </w:r>
      <w:r w:rsidRPr="008E791C">
        <w:t xml:space="preserve">he </w:t>
      </w:r>
      <w:r w:rsidRPr="008E791C">
        <w:rPr>
          <w:i/>
        </w:rPr>
        <w:t>City of Olympia v</w:t>
      </w:r>
      <w:r w:rsidR="004F69B2" w:rsidRPr="008E791C">
        <w:rPr>
          <w:i/>
        </w:rPr>
        <w:t>.</w:t>
      </w:r>
      <w:r w:rsidRPr="008E791C">
        <w:rPr>
          <w:i/>
        </w:rPr>
        <w:t xml:space="preserve"> PSE</w:t>
      </w:r>
      <w:r w:rsidRPr="008E791C">
        <w:t xml:space="preserve"> Plum St</w:t>
      </w:r>
      <w:r w:rsidR="00CC5E19" w:rsidRPr="008E791C">
        <w:t>.</w:t>
      </w:r>
      <w:r w:rsidRPr="008E791C">
        <w:t xml:space="preserve"> Station </w:t>
      </w:r>
      <w:r w:rsidR="00A56213" w:rsidRPr="008E791C">
        <w:t>as if it were a third party reimbursement</w:t>
      </w:r>
      <w:r w:rsidRPr="008E791C">
        <w:t xml:space="preserve">. </w:t>
      </w:r>
      <w:r w:rsidR="00A56213" w:rsidRPr="008E791C">
        <w:t xml:space="preserve">This amount is more appropriately included in the unapplied </w:t>
      </w:r>
      <w:r w:rsidR="00A56213" w:rsidRPr="008E791C">
        <w:lastRenderedPageBreak/>
        <w:t>insurance recoveries.</w:t>
      </w:r>
      <w:r w:rsidR="009C6954" w:rsidRPr="008E791C">
        <w:t xml:space="preserve"> </w:t>
      </w:r>
      <w:r w:rsidR="00A56213" w:rsidRPr="008E791C">
        <w:t>PSE has also made this correction in this rebuttal filing to be consistent with Ms. O</w:t>
      </w:r>
      <w:r w:rsidR="009C6954" w:rsidRPr="008E791C">
        <w:t>’</w:t>
      </w:r>
      <w:r w:rsidR="00A56213" w:rsidRPr="008E791C">
        <w:t>Connell</w:t>
      </w:r>
      <w:r w:rsidR="009C6954" w:rsidRPr="008E791C">
        <w:t>’</w:t>
      </w:r>
      <w:r w:rsidR="00A56213" w:rsidRPr="008E791C">
        <w:t>s treatment of these proceeds.</w:t>
      </w:r>
    </w:p>
    <w:p w:rsidR="005C2A29" w:rsidRPr="008E791C" w:rsidRDefault="00A56213" w:rsidP="00B56012">
      <w:pPr>
        <w:pStyle w:val="answer"/>
        <w:ind w:firstLine="0"/>
      </w:pPr>
      <w:r w:rsidRPr="008E791C">
        <w:t xml:space="preserve">As </w:t>
      </w:r>
      <w:r w:rsidR="005C2A29" w:rsidRPr="008E791C">
        <w:t>discussed above, PSE has accepted Commission Staff</w:t>
      </w:r>
      <w:r w:rsidR="009C6954" w:rsidRPr="008E791C">
        <w:t>’</w:t>
      </w:r>
      <w:r w:rsidR="005C2A29" w:rsidRPr="008E791C">
        <w:t>s recommendation to remove internal e</w:t>
      </w:r>
      <w:r w:rsidR="005071A1" w:rsidRPr="008E791C">
        <w:t xml:space="preserve">mployee costs </w:t>
      </w:r>
      <w:r w:rsidR="005C2A29" w:rsidRPr="008E791C">
        <w:t xml:space="preserve">that </w:t>
      </w:r>
      <w:r w:rsidR="005071A1" w:rsidRPr="008E791C">
        <w:t xml:space="preserve">were booked to offset </w:t>
      </w:r>
      <w:r w:rsidR="005C2A29" w:rsidRPr="008E791C">
        <w:t>i</w:t>
      </w:r>
      <w:r w:rsidR="005071A1" w:rsidRPr="008E791C">
        <w:t>nsurance</w:t>
      </w:r>
      <w:r w:rsidR="005C2A29" w:rsidRPr="008E791C">
        <w:t xml:space="preserve"> recoveries</w:t>
      </w:r>
      <w:r w:rsidR="005071A1" w:rsidRPr="008E791C">
        <w:t xml:space="preserve"> in the amount of $209,796.52 for Tacoma Tar Pits and $366.95 for Gas Work</w:t>
      </w:r>
      <w:r w:rsidR="005C2A29" w:rsidRPr="008E791C">
        <w:t>s</w:t>
      </w:r>
      <w:r w:rsidR="005071A1" w:rsidRPr="008E791C">
        <w:t xml:space="preserve"> Park.</w:t>
      </w:r>
      <w:r w:rsidR="009C6954" w:rsidRPr="008E791C">
        <w:t xml:space="preserve"> </w:t>
      </w:r>
    </w:p>
    <w:p w:rsidR="005071A1" w:rsidRPr="008E791C" w:rsidRDefault="005C2A29" w:rsidP="00B56012">
      <w:pPr>
        <w:pStyle w:val="answer"/>
        <w:ind w:firstLine="0"/>
      </w:pPr>
      <w:r w:rsidRPr="008E791C">
        <w:t>The impact of making these adjustments results in a decrease in net operating income of $925</w:t>
      </w:r>
      <w:r w:rsidR="00D37FB7" w:rsidRPr="008E791C">
        <w:t>,</w:t>
      </w:r>
      <w:r w:rsidRPr="008E791C">
        <w:t xml:space="preserve">460 for electric and $5,592,128 for natural gas operations. </w:t>
      </w:r>
    </w:p>
    <w:p w:rsidR="00B5640F" w:rsidRPr="008E791C" w:rsidRDefault="00BD726F" w:rsidP="00B56012">
      <w:pPr>
        <w:pStyle w:val="Heading2"/>
      </w:pPr>
      <w:bookmarkStart w:id="46" w:name="_Toc489961832"/>
      <w:r w:rsidRPr="008E791C">
        <w:rPr>
          <w:u w:val="none"/>
        </w:rPr>
        <w:t>G</w:t>
      </w:r>
      <w:r w:rsidR="006C3ABA" w:rsidRPr="008E791C">
        <w:rPr>
          <w:u w:val="none"/>
        </w:rPr>
        <w:t>.</w:t>
      </w:r>
      <w:r w:rsidR="006C3ABA" w:rsidRPr="008E791C">
        <w:rPr>
          <w:u w:val="none"/>
        </w:rPr>
        <w:tab/>
      </w:r>
      <w:r w:rsidR="00B5640F" w:rsidRPr="008E791C">
        <w:t xml:space="preserve">Working Capital, Adjustment </w:t>
      </w:r>
      <w:r w:rsidR="00326995" w:rsidRPr="008E791C">
        <w:t>KJB</w:t>
      </w:r>
      <w:r w:rsidR="00F647C3">
        <w:t>-</w:t>
      </w:r>
      <w:r w:rsidR="00E04F69" w:rsidRPr="008E791C">
        <w:t>2</w:t>
      </w:r>
      <w:r w:rsidR="00EC0897" w:rsidRPr="008E791C">
        <w:t>0</w:t>
      </w:r>
      <w:r w:rsidR="00E04F69" w:rsidRPr="008E791C">
        <w:t>.</w:t>
      </w:r>
      <w:r w:rsidR="00326995" w:rsidRPr="008E791C">
        <w:t>23 and SEF</w:t>
      </w:r>
      <w:r w:rsidR="00F647C3">
        <w:t>-15</w:t>
      </w:r>
      <w:r w:rsidR="00B5640F" w:rsidRPr="008E791C">
        <w:t>.</w:t>
      </w:r>
      <w:r w:rsidR="00326995" w:rsidRPr="008E791C">
        <w:t>23</w:t>
      </w:r>
      <w:bookmarkEnd w:id="46"/>
    </w:p>
    <w:p w:rsidR="00D13C2F" w:rsidRPr="008E791C" w:rsidRDefault="00CC3417" w:rsidP="00B56012">
      <w:pPr>
        <w:pStyle w:val="question"/>
      </w:pPr>
      <w:r w:rsidRPr="008E791C">
        <w:t>Q.</w:t>
      </w:r>
      <w:r w:rsidRPr="008E791C">
        <w:tab/>
      </w:r>
      <w:r w:rsidR="004235B9" w:rsidRPr="008E791C">
        <w:t>Have you reviewed the working capital calculation prepared by Commission Staff?</w:t>
      </w:r>
    </w:p>
    <w:p w:rsidR="00F1135C" w:rsidRPr="008E791C" w:rsidRDefault="00764EF7" w:rsidP="00B56012">
      <w:pPr>
        <w:pStyle w:val="answer"/>
      </w:pPr>
      <w:r w:rsidRPr="008E791C">
        <w:t>A.</w:t>
      </w:r>
      <w:r w:rsidRPr="008E791C">
        <w:tab/>
      </w:r>
      <w:r w:rsidR="004235B9" w:rsidRPr="008E791C">
        <w:t>Yes</w:t>
      </w:r>
      <w:r w:rsidR="001176CD" w:rsidRPr="008E791C">
        <w:t xml:space="preserve">. </w:t>
      </w:r>
      <w:r w:rsidRPr="008E791C">
        <w:t>Commission Staff utilizes the Investor Supplied Working Capital method</w:t>
      </w:r>
      <w:r w:rsidR="00F1135C" w:rsidRPr="008E791C">
        <w:t xml:space="preserve"> (</w:t>
      </w:r>
      <w:r w:rsidR="009C6954" w:rsidRPr="008E791C">
        <w:t>“</w:t>
      </w:r>
      <w:proofErr w:type="spellStart"/>
      <w:r w:rsidR="00F1135C" w:rsidRPr="008E791C">
        <w:t>ISWC</w:t>
      </w:r>
      <w:proofErr w:type="spellEnd"/>
      <w:r w:rsidR="009C6954" w:rsidRPr="008E791C">
        <w:t>”</w:t>
      </w:r>
      <w:r w:rsidR="00F1135C" w:rsidRPr="008E791C">
        <w:t>)</w:t>
      </w:r>
      <w:r w:rsidRPr="008E791C">
        <w:t xml:space="preserve">, sometimes referred to as the Balance Sheet approach, which is the same method used by </w:t>
      </w:r>
      <w:r w:rsidR="006E0FF1" w:rsidRPr="008E791C">
        <w:t>PSE</w:t>
      </w:r>
      <w:r w:rsidR="001176CD" w:rsidRPr="008E791C">
        <w:t xml:space="preserve">. </w:t>
      </w:r>
      <w:r w:rsidR="00983957" w:rsidRPr="008E791C">
        <w:t>My understanding of this</w:t>
      </w:r>
      <w:r w:rsidRPr="008E791C">
        <w:t xml:space="preserve"> method </w:t>
      </w:r>
      <w:r w:rsidR="00983957" w:rsidRPr="008E791C">
        <w:t xml:space="preserve">is that it </w:t>
      </w:r>
      <w:r w:rsidRPr="008E791C">
        <w:t xml:space="preserve">calculates working capital by </w:t>
      </w:r>
      <w:r w:rsidR="00983957" w:rsidRPr="008E791C">
        <w:t xml:space="preserve">determining how much of </w:t>
      </w:r>
      <w:r w:rsidR="006E0FF1" w:rsidRPr="008E791C">
        <w:t>PSE</w:t>
      </w:r>
      <w:r w:rsidR="009C6954" w:rsidRPr="008E791C">
        <w:t>’</w:t>
      </w:r>
      <w:r w:rsidR="00983957" w:rsidRPr="008E791C">
        <w:t xml:space="preserve">s capital </w:t>
      </w:r>
      <w:r w:rsidR="0055657B" w:rsidRPr="008E791C">
        <w:t>(</w:t>
      </w:r>
      <w:r w:rsidR="009C6954" w:rsidRPr="008E791C">
        <w:t>“</w:t>
      </w:r>
      <w:r w:rsidR="0055657B" w:rsidRPr="008E791C">
        <w:t>Average Invested Capital</w:t>
      </w:r>
      <w:r w:rsidR="009C6954" w:rsidRPr="008E791C">
        <w:t>”</w:t>
      </w:r>
      <w:r w:rsidR="0055657B" w:rsidRPr="008E791C">
        <w:t xml:space="preserve">) </w:t>
      </w:r>
      <w:r w:rsidR="00983957" w:rsidRPr="008E791C">
        <w:t xml:space="preserve">has been invested in operating </w:t>
      </w:r>
      <w:r w:rsidR="0055657B" w:rsidRPr="008E791C">
        <w:t>and</w:t>
      </w:r>
      <w:r w:rsidR="00983957" w:rsidRPr="008E791C">
        <w:t xml:space="preserve"> non-operating activities</w:t>
      </w:r>
      <w:r w:rsidR="0055657B" w:rsidRPr="008E791C">
        <w:t xml:space="preserve"> (</w:t>
      </w:r>
      <w:r w:rsidR="009C6954" w:rsidRPr="008E791C">
        <w:t>“</w:t>
      </w:r>
      <w:r w:rsidR="0055657B" w:rsidRPr="008E791C">
        <w:t>Total Average Investments</w:t>
      </w:r>
      <w:r w:rsidR="009C6954" w:rsidRPr="008E791C">
        <w:t>”</w:t>
      </w:r>
      <w:r w:rsidR="0055657B" w:rsidRPr="008E791C">
        <w:t>)</w:t>
      </w:r>
      <w:r w:rsidR="00983957" w:rsidRPr="008E791C">
        <w:t>, and the remainder, if positive, is the amount of working capital</w:t>
      </w:r>
      <w:r w:rsidR="0055657B" w:rsidRPr="008E791C">
        <w:t xml:space="preserve"> </w:t>
      </w:r>
      <w:r w:rsidR="00983957" w:rsidRPr="008E791C">
        <w:t xml:space="preserve">experienced by </w:t>
      </w:r>
      <w:r w:rsidR="006E0FF1" w:rsidRPr="008E791C">
        <w:t>PSE</w:t>
      </w:r>
      <w:r w:rsidR="00983957" w:rsidRPr="008E791C">
        <w:t xml:space="preserve"> during the test year</w:t>
      </w:r>
      <w:r w:rsidR="001176CD" w:rsidRPr="008E791C">
        <w:t xml:space="preserve">. </w:t>
      </w:r>
      <w:r w:rsidR="00983957" w:rsidRPr="008E791C">
        <w:t>This working capital is then allocated between the portion that is required by the utility business</w:t>
      </w:r>
      <w:r w:rsidR="004235B9" w:rsidRPr="008E791C">
        <w:t xml:space="preserve"> (which is split between electric and gas)</w:t>
      </w:r>
      <w:r w:rsidR="00983957" w:rsidRPr="008E791C">
        <w:t xml:space="preserve"> and the portion that is required by non-utility operations</w:t>
      </w:r>
      <w:r w:rsidR="001176CD" w:rsidRPr="008E791C">
        <w:t xml:space="preserve">. </w:t>
      </w:r>
      <w:r w:rsidR="00983957" w:rsidRPr="008E791C">
        <w:t>The portion allocated to utility operations is know</w:t>
      </w:r>
      <w:r w:rsidR="0055657B" w:rsidRPr="008E791C">
        <w:t>n</w:t>
      </w:r>
      <w:r w:rsidR="00983957" w:rsidRPr="008E791C">
        <w:t xml:space="preserve"> as Investor </w:t>
      </w:r>
      <w:r w:rsidR="00983957" w:rsidRPr="008E791C">
        <w:lastRenderedPageBreak/>
        <w:t>Supplied Working Capital</w:t>
      </w:r>
      <w:r w:rsidR="001176CD" w:rsidRPr="008E791C">
        <w:t xml:space="preserve">. </w:t>
      </w:r>
      <w:r w:rsidR="004235B9" w:rsidRPr="008E791C">
        <w:t xml:space="preserve">The electric and gas </w:t>
      </w:r>
      <w:proofErr w:type="spellStart"/>
      <w:r w:rsidR="004235B9" w:rsidRPr="008E791C">
        <w:t>ISWC</w:t>
      </w:r>
      <w:proofErr w:type="spellEnd"/>
      <w:r w:rsidR="004235B9" w:rsidRPr="008E791C">
        <w:t xml:space="preserve"> is then added to the electric and gas rate base, respectively.</w:t>
      </w:r>
    </w:p>
    <w:p w:rsidR="00764EF7" w:rsidRPr="008E791C" w:rsidRDefault="00F1135C" w:rsidP="00B56012">
      <w:pPr>
        <w:pStyle w:val="question"/>
      </w:pPr>
      <w:r w:rsidRPr="008E791C">
        <w:t>Q.</w:t>
      </w:r>
      <w:r w:rsidRPr="008E791C">
        <w:tab/>
        <w:t xml:space="preserve">What is another way to think about how to determine </w:t>
      </w:r>
      <w:proofErr w:type="spellStart"/>
      <w:r w:rsidRPr="008E791C">
        <w:t>ISWC</w:t>
      </w:r>
      <w:proofErr w:type="spellEnd"/>
      <w:r w:rsidRPr="008E791C">
        <w:t>?</w:t>
      </w:r>
    </w:p>
    <w:p w:rsidR="005164EE" w:rsidRPr="008E791C" w:rsidRDefault="00F1135C" w:rsidP="00B56012">
      <w:pPr>
        <w:pStyle w:val="answer"/>
      </w:pPr>
      <w:r w:rsidRPr="008E791C">
        <w:t>A.</w:t>
      </w:r>
      <w:r w:rsidRPr="008E791C">
        <w:tab/>
      </w:r>
      <w:r w:rsidR="00F45A1F" w:rsidRPr="008E791C">
        <w:t>Fundamentally, Average Invested Capital is either invested in Total Average Investments or in Working Capital</w:t>
      </w:r>
      <w:r w:rsidR="00C34FCE" w:rsidRPr="008E791C">
        <w:t>.</w:t>
      </w:r>
      <w:r w:rsidR="009C6954" w:rsidRPr="008E791C">
        <w:t xml:space="preserve"> </w:t>
      </w:r>
      <w:r w:rsidR="00F45A1F" w:rsidRPr="008E791C">
        <w:t xml:space="preserve">Working Capital is allocated between </w:t>
      </w:r>
      <w:r w:rsidR="008E268D" w:rsidRPr="008E791C">
        <w:t>Utility</w:t>
      </w:r>
      <w:r w:rsidR="0055657B" w:rsidRPr="008E791C">
        <w:t xml:space="preserve"> (electric and gas)</w:t>
      </w:r>
      <w:r w:rsidR="00F45A1F" w:rsidRPr="008E791C">
        <w:t xml:space="preserve"> and Non-Utility Operations based on the ratio of how Total Average Investments</w:t>
      </w:r>
      <w:r w:rsidR="00B92B85" w:rsidRPr="008E791C">
        <w:t xml:space="preserve"> (less Construction Work in Progress or </w:t>
      </w:r>
      <w:r w:rsidR="009C6954" w:rsidRPr="008E791C">
        <w:t>“</w:t>
      </w:r>
      <w:proofErr w:type="spellStart"/>
      <w:r w:rsidR="00B92B85" w:rsidRPr="008E791C">
        <w:t>CWIP</w:t>
      </w:r>
      <w:proofErr w:type="spellEnd"/>
      <w:r w:rsidR="009C6954" w:rsidRPr="008E791C">
        <w:t>”</w:t>
      </w:r>
      <w:r w:rsidR="00B92B85" w:rsidRPr="008E791C">
        <w:t>)</w:t>
      </w:r>
      <w:r w:rsidR="00F45A1F" w:rsidRPr="008E791C">
        <w:t xml:space="preserve"> breaks down between Operating </w:t>
      </w:r>
      <w:r w:rsidR="0055657B" w:rsidRPr="008E791C">
        <w:t xml:space="preserve">(electric and gas) </w:t>
      </w:r>
      <w:r w:rsidR="00F45A1F" w:rsidRPr="008E791C">
        <w:t>and Non-Operating.</w:t>
      </w:r>
    </w:p>
    <w:p w:rsidR="005164EE" w:rsidRPr="008E791C" w:rsidRDefault="00F1135C" w:rsidP="00B56012">
      <w:pPr>
        <w:pStyle w:val="answer"/>
        <w:ind w:firstLine="0"/>
      </w:pPr>
      <w:r w:rsidRPr="008E791C">
        <w:t xml:space="preserve">Because </w:t>
      </w:r>
      <w:r w:rsidR="004E5D0B" w:rsidRPr="008E791C">
        <w:t xml:space="preserve">the </w:t>
      </w:r>
      <w:proofErr w:type="spellStart"/>
      <w:r w:rsidR="004E5D0B" w:rsidRPr="008E791C">
        <w:t>ISWC</w:t>
      </w:r>
      <w:proofErr w:type="spellEnd"/>
      <w:r w:rsidR="004E5D0B" w:rsidRPr="008E791C">
        <w:t xml:space="preserve"> approach is a </w:t>
      </w:r>
      <w:r w:rsidRPr="008E791C">
        <w:t xml:space="preserve">balance sheet approach, </w:t>
      </w:r>
      <w:r w:rsidR="008E268D" w:rsidRPr="008E791C">
        <w:t>it can also be thought of a</w:t>
      </w:r>
      <w:r w:rsidRPr="008E791C">
        <w:t xml:space="preserve">s a specific list of balance sheet accounts that </w:t>
      </w:r>
      <w:r w:rsidR="004E5D0B" w:rsidRPr="008E791C">
        <w:t>total up to</w:t>
      </w:r>
      <w:r w:rsidRPr="008E791C">
        <w:t xml:space="preserve"> working capital.</w:t>
      </w:r>
      <w:r w:rsidR="009C6954" w:rsidRPr="008E791C">
        <w:t xml:space="preserve"> </w:t>
      </w:r>
      <w:r w:rsidR="004E5D0B" w:rsidRPr="008E791C">
        <w:t>This</w:t>
      </w:r>
      <w:r w:rsidRPr="008E791C">
        <w:t xml:space="preserve"> total is </w:t>
      </w:r>
      <w:r w:rsidR="004E5D0B" w:rsidRPr="008E791C">
        <w:t xml:space="preserve">then </w:t>
      </w:r>
      <w:r w:rsidRPr="008E791C">
        <w:t>allocated to</w:t>
      </w:r>
      <w:r w:rsidR="0055657B" w:rsidRPr="008E791C">
        <w:t xml:space="preserve"> electric and gas</w:t>
      </w:r>
      <w:r w:rsidRPr="008E791C">
        <w:t xml:space="preserve"> </w:t>
      </w:r>
      <w:proofErr w:type="spellStart"/>
      <w:r w:rsidRPr="008E791C">
        <w:t>ISWC</w:t>
      </w:r>
      <w:proofErr w:type="spellEnd"/>
      <w:r w:rsidRPr="008E791C">
        <w:t xml:space="preserve"> or non-utility working capital based on the portion of </w:t>
      </w:r>
      <w:r w:rsidR="0055657B" w:rsidRPr="008E791C">
        <w:t xml:space="preserve">electric and gas </w:t>
      </w:r>
      <w:r w:rsidRPr="008E791C">
        <w:t>operating and non-operating investment</w:t>
      </w:r>
      <w:r w:rsidR="00B92B85" w:rsidRPr="008E791C">
        <w:t xml:space="preserve"> (excluding </w:t>
      </w:r>
      <w:proofErr w:type="spellStart"/>
      <w:r w:rsidR="00B92B85" w:rsidRPr="008E791C">
        <w:t>CWIP</w:t>
      </w:r>
      <w:proofErr w:type="spellEnd"/>
      <w:r w:rsidR="00B92B85" w:rsidRPr="008E791C">
        <w:t>)</w:t>
      </w:r>
      <w:r w:rsidRPr="008E791C">
        <w:t xml:space="preserve"> to total investment</w:t>
      </w:r>
      <w:r w:rsidR="00B92B85" w:rsidRPr="008E791C">
        <w:t xml:space="preserve"> (excluding </w:t>
      </w:r>
      <w:proofErr w:type="spellStart"/>
      <w:r w:rsidR="00B92B85" w:rsidRPr="008E791C">
        <w:t>CWIP</w:t>
      </w:r>
      <w:proofErr w:type="spellEnd"/>
      <w:r w:rsidR="00B92B85" w:rsidRPr="008E791C">
        <w:t>)</w:t>
      </w:r>
      <w:r w:rsidRPr="008E791C">
        <w:t>.</w:t>
      </w:r>
      <w:r w:rsidR="009C6954" w:rsidRPr="008E791C">
        <w:t xml:space="preserve"> </w:t>
      </w:r>
      <w:r w:rsidRPr="008E791C">
        <w:t xml:space="preserve">Working capital </w:t>
      </w:r>
      <w:r w:rsidR="002B3064" w:rsidRPr="008E791C">
        <w:t>plus</w:t>
      </w:r>
      <w:r w:rsidRPr="008E791C">
        <w:t xml:space="preserve"> total investment ties back to </w:t>
      </w:r>
      <w:r w:rsidR="006E0FF1" w:rsidRPr="008E791C">
        <w:t>PSE</w:t>
      </w:r>
      <w:r w:rsidR="009C6954" w:rsidRPr="008E791C">
        <w:t>’</w:t>
      </w:r>
      <w:r w:rsidRPr="008E791C">
        <w:t>s capital</w:t>
      </w:r>
      <w:r w:rsidR="002B3064" w:rsidRPr="008E791C">
        <w:t xml:space="preserve"> available for investment</w:t>
      </w:r>
      <w:r w:rsidRPr="008E791C">
        <w:t>.</w:t>
      </w:r>
    </w:p>
    <w:p w:rsidR="002B3064" w:rsidRPr="008E791C" w:rsidRDefault="00F45A1F" w:rsidP="00B56012">
      <w:pPr>
        <w:pStyle w:val="answer"/>
        <w:ind w:firstLine="0"/>
      </w:pPr>
      <w:r w:rsidRPr="008E791C">
        <w:t>And b</w:t>
      </w:r>
      <w:r w:rsidR="004E5D0B" w:rsidRPr="008E791C">
        <w:t xml:space="preserve">ecause it is a balanced approach, </w:t>
      </w:r>
      <w:r w:rsidR="002B3064" w:rsidRPr="008E791C">
        <w:t>all of a Company</w:t>
      </w:r>
      <w:r w:rsidR="009C6954" w:rsidRPr="008E791C">
        <w:t>’</w:t>
      </w:r>
      <w:r w:rsidR="002B3064" w:rsidRPr="008E791C">
        <w:t>s</w:t>
      </w:r>
      <w:r w:rsidR="004E5D0B" w:rsidRPr="008E791C">
        <w:t xml:space="preserve"> balance sheet accounts </w:t>
      </w:r>
      <w:r w:rsidR="002B3064" w:rsidRPr="008E791C">
        <w:t>are</w:t>
      </w:r>
      <w:r w:rsidR="004E5D0B" w:rsidRPr="008E791C">
        <w:t xml:space="preserve"> included in one of these three categories – Average Invested Capital, Total </w:t>
      </w:r>
      <w:r w:rsidR="002B3064" w:rsidRPr="008E791C">
        <w:t xml:space="preserve">Average </w:t>
      </w:r>
      <w:r w:rsidR="004E5D0B" w:rsidRPr="008E791C">
        <w:t>Investment</w:t>
      </w:r>
      <w:r w:rsidR="002B3064" w:rsidRPr="008E791C">
        <w:t xml:space="preserve">s, or </w:t>
      </w:r>
      <w:r w:rsidR="004E5D0B" w:rsidRPr="008E791C">
        <w:t xml:space="preserve">Working </w:t>
      </w:r>
      <w:r w:rsidR="002B3064" w:rsidRPr="008E791C">
        <w:t>C</w:t>
      </w:r>
      <w:r w:rsidR="004E5D0B" w:rsidRPr="008E791C">
        <w:t>apital</w:t>
      </w:r>
      <w:r w:rsidR="002B3064" w:rsidRPr="008E791C">
        <w:t>.</w:t>
      </w:r>
    </w:p>
    <w:p w:rsidR="00F45A1F" w:rsidRPr="008E791C" w:rsidRDefault="00F45A1F" w:rsidP="00B56012">
      <w:pPr>
        <w:pStyle w:val="question"/>
      </w:pPr>
      <w:r w:rsidRPr="008E791C">
        <w:t>Q.</w:t>
      </w:r>
      <w:r w:rsidRPr="008E791C">
        <w:tab/>
        <w:t>Please further explain each of the three categories.</w:t>
      </w:r>
    </w:p>
    <w:p w:rsidR="005164EE" w:rsidRPr="008E791C" w:rsidRDefault="00F45A1F" w:rsidP="00B56012">
      <w:pPr>
        <w:pStyle w:val="answer"/>
        <w:rPr>
          <w:rFonts w:eastAsia="SimSun"/>
        </w:rPr>
      </w:pPr>
      <w:r w:rsidRPr="008E791C">
        <w:rPr>
          <w:rFonts w:eastAsia="SimSun"/>
        </w:rPr>
        <w:t>A.</w:t>
      </w:r>
      <w:r w:rsidRPr="008E791C">
        <w:rPr>
          <w:rFonts w:eastAsia="SimSun"/>
        </w:rPr>
        <w:tab/>
        <w:t>The following provides a more detailed description of each of the three categories:</w:t>
      </w:r>
    </w:p>
    <w:p w:rsidR="005164EE" w:rsidRPr="008E791C" w:rsidRDefault="00F45A1F" w:rsidP="00B56012">
      <w:pPr>
        <w:pStyle w:val="answer"/>
        <w:keepNext/>
        <w:ind w:firstLine="0"/>
        <w:rPr>
          <w:rFonts w:eastAsia="SimSun"/>
        </w:rPr>
      </w:pPr>
      <w:r w:rsidRPr="008E791C">
        <w:rPr>
          <w:rFonts w:eastAsia="SimSun"/>
          <w:b/>
          <w:u w:val="single"/>
        </w:rPr>
        <w:lastRenderedPageBreak/>
        <w:t>Average Invested Capital</w:t>
      </w:r>
    </w:p>
    <w:p w:rsidR="005164EE" w:rsidRPr="008E791C" w:rsidRDefault="00F45A1F" w:rsidP="00B56012">
      <w:pPr>
        <w:pStyle w:val="answer"/>
        <w:ind w:firstLine="0"/>
        <w:rPr>
          <w:rFonts w:eastAsia="SimSun"/>
        </w:rPr>
      </w:pPr>
      <w:r w:rsidRPr="008E791C">
        <w:rPr>
          <w:rFonts w:eastAsia="SimSun"/>
        </w:rPr>
        <w:t xml:space="preserve">Average Invested Capital is made up of </w:t>
      </w:r>
      <w:r w:rsidR="00C2532F" w:rsidRPr="008E791C">
        <w:rPr>
          <w:rFonts w:eastAsia="SimSun"/>
        </w:rPr>
        <w:t xml:space="preserve">the funds available for investment and is comprised of all of the </w:t>
      </w:r>
      <w:r w:rsidRPr="008E791C">
        <w:rPr>
          <w:rFonts w:eastAsia="SimSun"/>
        </w:rPr>
        <w:t xml:space="preserve">balance sheet accounts related to a </w:t>
      </w:r>
      <w:r w:rsidR="005D7B7D" w:rsidRPr="008E791C">
        <w:rPr>
          <w:rFonts w:eastAsia="SimSun"/>
        </w:rPr>
        <w:t>c</w:t>
      </w:r>
      <w:r w:rsidRPr="008E791C">
        <w:rPr>
          <w:rFonts w:eastAsia="SimSun"/>
        </w:rPr>
        <w:t>ompany</w:t>
      </w:r>
      <w:r w:rsidR="009C6954" w:rsidRPr="008E791C">
        <w:rPr>
          <w:rFonts w:eastAsia="SimSun"/>
        </w:rPr>
        <w:t>’</w:t>
      </w:r>
      <w:r w:rsidRPr="008E791C">
        <w:rPr>
          <w:rFonts w:eastAsia="SimSun"/>
        </w:rPr>
        <w:t>s</w:t>
      </w:r>
      <w:r w:rsidR="00A73253" w:rsidRPr="008E791C">
        <w:rPr>
          <w:rFonts w:eastAsia="SimSun"/>
        </w:rPr>
        <w:t xml:space="preserve"> capital – in other words its debt and equity accounts.</w:t>
      </w:r>
    </w:p>
    <w:p w:rsidR="005164EE" w:rsidRPr="008E791C" w:rsidRDefault="00C2532F" w:rsidP="00B56012">
      <w:pPr>
        <w:pStyle w:val="answer"/>
        <w:ind w:firstLine="0"/>
        <w:rPr>
          <w:rFonts w:eastAsia="SimSun"/>
          <w:b/>
          <w:u w:val="single"/>
        </w:rPr>
      </w:pPr>
      <w:r w:rsidRPr="008E791C">
        <w:rPr>
          <w:rFonts w:eastAsia="SimSun"/>
          <w:b/>
          <w:u w:val="single"/>
        </w:rPr>
        <w:t>Total Average Investment</w:t>
      </w:r>
    </w:p>
    <w:p w:rsidR="005164EE" w:rsidRPr="008E791C" w:rsidRDefault="00C2532F" w:rsidP="00B56012">
      <w:pPr>
        <w:pStyle w:val="answer"/>
        <w:ind w:firstLine="0"/>
        <w:rPr>
          <w:rFonts w:eastAsia="SimSun"/>
        </w:rPr>
      </w:pPr>
      <w:r w:rsidRPr="008E791C">
        <w:rPr>
          <w:rFonts w:eastAsia="SimSun"/>
        </w:rPr>
        <w:t>Total Average Investment is the amount of the Average Invested Capital that has been invested in items other than working capital and is comprised of all of the balance sheet accounts that are not included in working capital</w:t>
      </w:r>
      <w:r w:rsidR="008E268D" w:rsidRPr="008E791C">
        <w:rPr>
          <w:rFonts w:eastAsia="SimSun"/>
        </w:rPr>
        <w:t xml:space="preserve"> or Average Invested Capital</w:t>
      </w:r>
      <w:r w:rsidRPr="008E791C">
        <w:rPr>
          <w:rFonts w:eastAsia="SimSun"/>
        </w:rPr>
        <w:t>.</w:t>
      </w:r>
      <w:r w:rsidR="009C6954" w:rsidRPr="008E791C">
        <w:rPr>
          <w:rFonts w:eastAsia="SimSun"/>
        </w:rPr>
        <w:t xml:space="preserve"> </w:t>
      </w:r>
      <w:r w:rsidRPr="008E791C">
        <w:rPr>
          <w:rFonts w:eastAsia="SimSun"/>
        </w:rPr>
        <w:t xml:space="preserve">It is further broken down into </w:t>
      </w:r>
      <w:r w:rsidR="004A5895" w:rsidRPr="008E791C">
        <w:rPr>
          <w:rFonts w:eastAsia="SimSun"/>
        </w:rPr>
        <w:t>three</w:t>
      </w:r>
      <w:r w:rsidRPr="008E791C">
        <w:rPr>
          <w:rFonts w:eastAsia="SimSun"/>
        </w:rPr>
        <w:t xml:space="preserve"> subcategories:</w:t>
      </w:r>
    </w:p>
    <w:p w:rsidR="005164EE" w:rsidRPr="008E791C" w:rsidRDefault="00C2532F" w:rsidP="00B56012">
      <w:pPr>
        <w:pStyle w:val="answer"/>
        <w:ind w:left="1440" w:firstLine="0"/>
        <w:rPr>
          <w:rFonts w:eastAsia="SimSun"/>
          <w:b/>
          <w:u w:val="single"/>
        </w:rPr>
      </w:pPr>
      <w:r w:rsidRPr="008E791C">
        <w:rPr>
          <w:rFonts w:eastAsia="SimSun"/>
          <w:b/>
          <w:u w:val="single"/>
        </w:rPr>
        <w:t>Operating Investment</w:t>
      </w:r>
    </w:p>
    <w:p w:rsidR="005164EE" w:rsidRPr="008E791C" w:rsidRDefault="00C2532F" w:rsidP="00B56012">
      <w:pPr>
        <w:pStyle w:val="answer"/>
        <w:ind w:left="1440" w:firstLine="0"/>
        <w:rPr>
          <w:rFonts w:eastAsia="SimSun"/>
        </w:rPr>
      </w:pPr>
      <w:r w:rsidRPr="008E791C">
        <w:rPr>
          <w:rFonts w:eastAsia="SimSun"/>
        </w:rPr>
        <w:t>Operating Investment is made up of investments made in the utility business.</w:t>
      </w:r>
      <w:r w:rsidR="009C6954" w:rsidRPr="008E791C">
        <w:rPr>
          <w:rFonts w:eastAsia="SimSun"/>
        </w:rPr>
        <w:t xml:space="preserve"> </w:t>
      </w:r>
      <w:r w:rsidRPr="008E791C">
        <w:rPr>
          <w:rFonts w:eastAsia="SimSun"/>
        </w:rPr>
        <w:t>In PSE</w:t>
      </w:r>
      <w:r w:rsidR="009C6954" w:rsidRPr="008E791C">
        <w:rPr>
          <w:rFonts w:eastAsia="SimSun"/>
        </w:rPr>
        <w:t>’</w:t>
      </w:r>
      <w:r w:rsidRPr="008E791C">
        <w:rPr>
          <w:rFonts w:eastAsia="SimSun"/>
        </w:rPr>
        <w:t>s presentation</w:t>
      </w:r>
      <w:r w:rsidR="008E268D" w:rsidRPr="008E791C">
        <w:rPr>
          <w:rFonts w:eastAsia="SimSun"/>
        </w:rPr>
        <w:t xml:space="preserve"> in its original filing</w:t>
      </w:r>
      <w:r w:rsidRPr="008E791C">
        <w:rPr>
          <w:rFonts w:eastAsia="SimSun"/>
        </w:rPr>
        <w:t>, this subcategory contain</w:t>
      </w:r>
      <w:r w:rsidR="00CC5E19" w:rsidRPr="008E791C">
        <w:rPr>
          <w:rFonts w:eastAsia="SimSun"/>
        </w:rPr>
        <w:t>ed</w:t>
      </w:r>
      <w:r w:rsidRPr="008E791C">
        <w:rPr>
          <w:rFonts w:eastAsia="SimSun"/>
        </w:rPr>
        <w:t xml:space="preserve"> all of PSE</w:t>
      </w:r>
      <w:r w:rsidR="009C6954" w:rsidRPr="008E791C">
        <w:rPr>
          <w:rFonts w:eastAsia="SimSun"/>
        </w:rPr>
        <w:t>’</w:t>
      </w:r>
      <w:r w:rsidRPr="008E791C">
        <w:rPr>
          <w:rFonts w:eastAsia="SimSun"/>
        </w:rPr>
        <w:t xml:space="preserve">s balance sheet accounts that are included in </w:t>
      </w:r>
      <w:r w:rsidR="0055657B" w:rsidRPr="008E791C">
        <w:rPr>
          <w:rFonts w:eastAsia="SimSun"/>
        </w:rPr>
        <w:t xml:space="preserve">its electric and gas </w:t>
      </w:r>
      <w:r w:rsidRPr="008E791C">
        <w:rPr>
          <w:rFonts w:eastAsia="SimSun"/>
        </w:rPr>
        <w:t>rate base as well as other accounts that are utility related but that are not in rate base</w:t>
      </w:r>
      <w:r w:rsidR="004235B9" w:rsidRPr="008E791C">
        <w:rPr>
          <w:rFonts w:eastAsia="SimSun"/>
        </w:rPr>
        <w:t xml:space="preserve"> or working capital</w:t>
      </w:r>
      <w:r w:rsidRPr="008E791C">
        <w:rPr>
          <w:rFonts w:eastAsia="SimSun"/>
        </w:rPr>
        <w:t xml:space="preserve"> and do not earn </w:t>
      </w:r>
      <w:r w:rsidR="004A5895" w:rsidRPr="008E791C">
        <w:rPr>
          <w:rFonts w:eastAsia="SimSun"/>
        </w:rPr>
        <w:t xml:space="preserve">or pay </w:t>
      </w:r>
      <w:r w:rsidRPr="008E791C">
        <w:rPr>
          <w:rFonts w:eastAsia="SimSun"/>
        </w:rPr>
        <w:t>interest.</w:t>
      </w:r>
      <w:r w:rsidR="009C6954" w:rsidRPr="008E791C">
        <w:rPr>
          <w:rFonts w:eastAsia="SimSun"/>
        </w:rPr>
        <w:t xml:space="preserve"> </w:t>
      </w:r>
      <w:r w:rsidRPr="008E791C">
        <w:rPr>
          <w:rFonts w:eastAsia="SimSun"/>
        </w:rPr>
        <w:t>In Commission Staff</w:t>
      </w:r>
      <w:r w:rsidR="009C6954" w:rsidRPr="008E791C">
        <w:rPr>
          <w:rFonts w:eastAsia="SimSun"/>
        </w:rPr>
        <w:t>’</w:t>
      </w:r>
      <w:r w:rsidRPr="008E791C">
        <w:rPr>
          <w:rFonts w:eastAsia="SimSun"/>
        </w:rPr>
        <w:t>s presentation</w:t>
      </w:r>
      <w:r w:rsidR="008E268D" w:rsidRPr="008E791C">
        <w:rPr>
          <w:rFonts w:eastAsia="SimSun"/>
        </w:rPr>
        <w:t xml:space="preserve"> in their response filing</w:t>
      </w:r>
      <w:r w:rsidRPr="008E791C">
        <w:rPr>
          <w:rFonts w:eastAsia="SimSun"/>
        </w:rPr>
        <w:t xml:space="preserve">, this subcategory only contains the accounts that are included in </w:t>
      </w:r>
      <w:r w:rsidR="0055657B" w:rsidRPr="008E791C">
        <w:rPr>
          <w:rFonts w:eastAsia="SimSun"/>
        </w:rPr>
        <w:t xml:space="preserve">electric and gas </w:t>
      </w:r>
      <w:r w:rsidRPr="008E791C">
        <w:rPr>
          <w:rFonts w:eastAsia="SimSun"/>
        </w:rPr>
        <w:t>rate base.</w:t>
      </w:r>
    </w:p>
    <w:p w:rsidR="005164EE" w:rsidRPr="008E791C" w:rsidRDefault="00C2532F" w:rsidP="00B56012">
      <w:pPr>
        <w:pStyle w:val="answer"/>
        <w:ind w:left="1440" w:firstLine="0"/>
        <w:rPr>
          <w:rFonts w:eastAsia="SimSun"/>
          <w:b/>
          <w:u w:val="single"/>
        </w:rPr>
      </w:pPr>
      <w:r w:rsidRPr="008E791C">
        <w:rPr>
          <w:rFonts w:eastAsia="SimSun"/>
          <w:b/>
          <w:u w:val="single"/>
        </w:rPr>
        <w:t>Non-Operating Investment</w:t>
      </w:r>
    </w:p>
    <w:p w:rsidR="005164EE" w:rsidRPr="008E791C" w:rsidRDefault="00C2532F" w:rsidP="00B56012">
      <w:pPr>
        <w:pStyle w:val="answer"/>
        <w:ind w:left="1440" w:firstLine="0"/>
        <w:rPr>
          <w:rFonts w:eastAsia="SimSun"/>
        </w:rPr>
      </w:pPr>
      <w:r w:rsidRPr="008E791C">
        <w:rPr>
          <w:rFonts w:eastAsia="SimSun"/>
        </w:rPr>
        <w:t xml:space="preserve">Non-Operating Investment is made up of investment made in non-utility operations, items that specifically earn or pay interest, or items that are not </w:t>
      </w:r>
      <w:r w:rsidRPr="008E791C">
        <w:rPr>
          <w:rFonts w:eastAsia="SimSun"/>
        </w:rPr>
        <w:lastRenderedPageBreak/>
        <w:t>allowed for rate making purposes.</w:t>
      </w:r>
      <w:r w:rsidR="009C6954" w:rsidRPr="008E791C">
        <w:rPr>
          <w:rFonts w:eastAsia="SimSun"/>
        </w:rPr>
        <w:t xml:space="preserve"> </w:t>
      </w:r>
      <w:r w:rsidR="004A5895" w:rsidRPr="008E791C">
        <w:rPr>
          <w:rFonts w:eastAsia="SimSun"/>
        </w:rPr>
        <w:t>Commission Staff</w:t>
      </w:r>
      <w:r w:rsidR="009C6954" w:rsidRPr="008E791C">
        <w:rPr>
          <w:rFonts w:eastAsia="SimSun"/>
        </w:rPr>
        <w:t>’</w:t>
      </w:r>
      <w:r w:rsidR="004A5895" w:rsidRPr="008E791C">
        <w:rPr>
          <w:rFonts w:eastAsia="SimSun"/>
        </w:rPr>
        <w:t xml:space="preserve">s presentation </w:t>
      </w:r>
      <w:r w:rsidR="008E268D" w:rsidRPr="008E791C">
        <w:rPr>
          <w:rFonts w:eastAsia="SimSun"/>
        </w:rPr>
        <w:t xml:space="preserve">in its response testimony </w:t>
      </w:r>
      <w:r w:rsidR="004A5895" w:rsidRPr="008E791C">
        <w:rPr>
          <w:rFonts w:eastAsia="SimSun"/>
        </w:rPr>
        <w:t xml:space="preserve">includes </w:t>
      </w:r>
      <w:proofErr w:type="spellStart"/>
      <w:r w:rsidR="004A5895" w:rsidRPr="008E791C">
        <w:rPr>
          <w:rFonts w:eastAsia="SimSun"/>
        </w:rPr>
        <w:t>CWIP</w:t>
      </w:r>
      <w:proofErr w:type="spellEnd"/>
      <w:r w:rsidR="004A5895" w:rsidRPr="008E791C">
        <w:rPr>
          <w:rFonts w:eastAsia="SimSun"/>
        </w:rPr>
        <w:t xml:space="preserve"> accounts in Non-Operating, while PSE</w:t>
      </w:r>
      <w:r w:rsidR="009C6954" w:rsidRPr="008E791C">
        <w:rPr>
          <w:rFonts w:eastAsia="SimSun"/>
        </w:rPr>
        <w:t>’</w:t>
      </w:r>
      <w:r w:rsidR="004A5895" w:rsidRPr="008E791C">
        <w:rPr>
          <w:rFonts w:eastAsia="SimSun"/>
        </w:rPr>
        <w:t>s presentation does not</w:t>
      </w:r>
      <w:r w:rsidR="0055657B" w:rsidRPr="008E791C">
        <w:rPr>
          <w:rFonts w:eastAsia="SimSun"/>
        </w:rPr>
        <w:t>,</w:t>
      </w:r>
      <w:r w:rsidR="004A5895" w:rsidRPr="008E791C">
        <w:rPr>
          <w:rFonts w:eastAsia="SimSun"/>
        </w:rPr>
        <w:t xml:space="preserve"> the reason for which is explained below.</w:t>
      </w:r>
    </w:p>
    <w:p w:rsidR="005164EE" w:rsidRPr="008E791C" w:rsidRDefault="004A5895" w:rsidP="00B56012">
      <w:pPr>
        <w:pStyle w:val="answer"/>
        <w:ind w:left="1440" w:firstLine="0"/>
        <w:rPr>
          <w:rFonts w:eastAsia="SimSun"/>
          <w:b/>
          <w:u w:val="single"/>
        </w:rPr>
      </w:pPr>
      <w:r w:rsidRPr="008E791C">
        <w:rPr>
          <w:rFonts w:eastAsia="SimSun"/>
          <w:b/>
          <w:u w:val="single"/>
        </w:rPr>
        <w:t>Construction Work in Progress</w:t>
      </w:r>
    </w:p>
    <w:p w:rsidR="004A5895" w:rsidRPr="008E791C" w:rsidRDefault="004A5895" w:rsidP="00B56012">
      <w:pPr>
        <w:pStyle w:val="answer"/>
        <w:ind w:left="1440" w:firstLine="0"/>
        <w:rPr>
          <w:rFonts w:eastAsia="SimSun"/>
        </w:rPr>
      </w:pPr>
      <w:r w:rsidRPr="008E791C">
        <w:rPr>
          <w:rFonts w:eastAsia="SimSun"/>
        </w:rPr>
        <w:t xml:space="preserve">Since PSE began consistently using the investor supplied working capital calculation in the early 1980s, </w:t>
      </w:r>
      <w:proofErr w:type="spellStart"/>
      <w:r w:rsidRPr="008E791C">
        <w:rPr>
          <w:rFonts w:eastAsia="SimSun"/>
        </w:rPr>
        <w:t>CWIP</w:t>
      </w:r>
      <w:proofErr w:type="spellEnd"/>
      <w:r w:rsidRPr="008E791C">
        <w:rPr>
          <w:rFonts w:eastAsia="SimSun"/>
        </w:rPr>
        <w:t xml:space="preserve"> accounts have been held separate from Operating and Non-Operating investment when determining the ratios used to allocate working capital.</w:t>
      </w:r>
      <w:r w:rsidR="009C6954" w:rsidRPr="008E791C">
        <w:rPr>
          <w:rFonts w:eastAsia="SimSun"/>
        </w:rPr>
        <w:t xml:space="preserve"> </w:t>
      </w:r>
      <w:r w:rsidR="008F7397" w:rsidRPr="008E791C">
        <w:rPr>
          <w:rFonts w:eastAsia="SimSun"/>
        </w:rPr>
        <w:t xml:space="preserve">However, </w:t>
      </w:r>
      <w:r w:rsidRPr="008E791C">
        <w:rPr>
          <w:rFonts w:eastAsia="SimSun"/>
        </w:rPr>
        <w:t>Commission Staff</w:t>
      </w:r>
      <w:r w:rsidR="009C6954" w:rsidRPr="008E791C">
        <w:rPr>
          <w:rFonts w:eastAsia="SimSun"/>
        </w:rPr>
        <w:t>’</w:t>
      </w:r>
      <w:r w:rsidRPr="008E791C">
        <w:rPr>
          <w:rFonts w:eastAsia="SimSun"/>
        </w:rPr>
        <w:t xml:space="preserve">s presentation includes </w:t>
      </w:r>
      <w:proofErr w:type="spellStart"/>
      <w:r w:rsidRPr="008E791C">
        <w:rPr>
          <w:rFonts w:eastAsia="SimSun"/>
        </w:rPr>
        <w:t>CWIP</w:t>
      </w:r>
      <w:proofErr w:type="spellEnd"/>
      <w:r w:rsidRPr="008E791C">
        <w:rPr>
          <w:rFonts w:eastAsia="SimSun"/>
        </w:rPr>
        <w:t xml:space="preserve"> accounts in non-operating for purposes of allocating work capital.</w:t>
      </w:r>
    </w:p>
    <w:p w:rsidR="005164EE" w:rsidRPr="008E791C" w:rsidRDefault="004A5895" w:rsidP="00B56012">
      <w:pPr>
        <w:pStyle w:val="answer"/>
        <w:ind w:firstLine="0"/>
        <w:rPr>
          <w:rFonts w:eastAsia="SimSun"/>
          <w:b/>
          <w:u w:val="single"/>
        </w:rPr>
      </w:pPr>
      <w:r w:rsidRPr="008E791C">
        <w:rPr>
          <w:rFonts w:eastAsia="SimSun"/>
          <w:b/>
          <w:u w:val="single"/>
        </w:rPr>
        <w:t>Working Capital</w:t>
      </w:r>
    </w:p>
    <w:p w:rsidR="005F1D85" w:rsidRPr="008E791C" w:rsidRDefault="00BA246B" w:rsidP="00B56012">
      <w:pPr>
        <w:pStyle w:val="answer"/>
        <w:ind w:firstLine="0"/>
        <w:rPr>
          <w:rFonts w:eastAsia="SimSun"/>
          <w:b/>
          <w:u w:val="single"/>
        </w:rPr>
      </w:pPr>
      <w:r w:rsidRPr="008E791C">
        <w:rPr>
          <w:rFonts w:eastAsia="SimSun"/>
        </w:rPr>
        <w:t>In the aggregate, W</w:t>
      </w:r>
      <w:r w:rsidR="004A5895" w:rsidRPr="008E791C">
        <w:rPr>
          <w:rFonts w:eastAsia="SimSun"/>
        </w:rPr>
        <w:t xml:space="preserve">orking Capital </w:t>
      </w:r>
      <w:r w:rsidRPr="008E791C">
        <w:rPr>
          <w:rFonts w:eastAsia="SimSun"/>
        </w:rPr>
        <w:t>is the difference between Average Invested Capital and Total Average Investments</w:t>
      </w:r>
      <w:r w:rsidR="00252929" w:rsidRPr="008E791C">
        <w:rPr>
          <w:rFonts w:eastAsia="SimSun"/>
        </w:rPr>
        <w:t>.</w:t>
      </w:r>
      <w:r w:rsidR="009C6954" w:rsidRPr="008E791C">
        <w:rPr>
          <w:rFonts w:eastAsia="SimSun"/>
        </w:rPr>
        <w:t xml:space="preserve"> </w:t>
      </w:r>
      <w:r w:rsidR="00252929" w:rsidRPr="008E791C">
        <w:rPr>
          <w:rFonts w:eastAsia="SimSun"/>
        </w:rPr>
        <w:t xml:space="preserve">At a detailed level, it </w:t>
      </w:r>
      <w:r w:rsidRPr="008E791C">
        <w:rPr>
          <w:rFonts w:eastAsia="SimSun"/>
        </w:rPr>
        <w:t>is comprised</w:t>
      </w:r>
      <w:r w:rsidR="004A5895" w:rsidRPr="008E791C">
        <w:rPr>
          <w:rFonts w:eastAsia="SimSun"/>
        </w:rPr>
        <w:t xml:space="preserve"> </w:t>
      </w:r>
      <w:r w:rsidRPr="008E791C">
        <w:rPr>
          <w:rFonts w:eastAsia="SimSun"/>
        </w:rPr>
        <w:t xml:space="preserve">of </w:t>
      </w:r>
      <w:r w:rsidR="004A5895" w:rsidRPr="008E791C">
        <w:rPr>
          <w:rFonts w:eastAsia="SimSun"/>
        </w:rPr>
        <w:t>balance sheet accounts</w:t>
      </w:r>
      <w:r w:rsidR="003F36AD" w:rsidRPr="008E791C">
        <w:rPr>
          <w:rFonts w:eastAsia="SimSun"/>
        </w:rPr>
        <w:t xml:space="preserve"> that are allowed for ratemaking purposes but</w:t>
      </w:r>
      <w:r w:rsidR="004A5895" w:rsidRPr="008E791C">
        <w:rPr>
          <w:rFonts w:eastAsia="SimSun"/>
        </w:rPr>
        <w:t xml:space="preserve"> that </w:t>
      </w:r>
      <w:r w:rsidR="003F36AD" w:rsidRPr="008E791C">
        <w:rPr>
          <w:rFonts w:eastAsia="SimSun"/>
        </w:rPr>
        <w:t>are</w:t>
      </w:r>
      <w:r w:rsidR="004A5895" w:rsidRPr="008E791C">
        <w:rPr>
          <w:rFonts w:eastAsia="SimSun"/>
        </w:rPr>
        <w:t xml:space="preserve"> not afforded a separate return through rate base </w:t>
      </w:r>
      <w:r w:rsidRPr="008E791C">
        <w:rPr>
          <w:rFonts w:eastAsia="SimSun"/>
        </w:rPr>
        <w:t>and on which PSE does not earn or pay interest.</w:t>
      </w:r>
    </w:p>
    <w:p w:rsidR="00374822" w:rsidRPr="008E791C" w:rsidRDefault="00374822" w:rsidP="00B56012">
      <w:pPr>
        <w:pStyle w:val="question"/>
      </w:pPr>
      <w:r w:rsidRPr="008E791C">
        <w:t>Q.</w:t>
      </w:r>
      <w:r w:rsidRPr="008E791C">
        <w:tab/>
        <w:t xml:space="preserve">Have you prepared an exhibit detailing </w:t>
      </w:r>
      <w:r w:rsidR="006E0FF1" w:rsidRPr="008E791C">
        <w:t>PSE</w:t>
      </w:r>
      <w:r w:rsidR="009C6954" w:rsidRPr="008E791C">
        <w:t>’</w:t>
      </w:r>
      <w:r w:rsidRPr="008E791C">
        <w:t>s proposed working capital for this rebuttal filing?</w:t>
      </w:r>
    </w:p>
    <w:p w:rsidR="00374822" w:rsidRPr="008E791C" w:rsidRDefault="00374822" w:rsidP="00B56012">
      <w:pPr>
        <w:pStyle w:val="answer"/>
        <w:rPr>
          <w:rFonts w:eastAsia="SimSun"/>
          <w:b/>
        </w:rPr>
      </w:pPr>
      <w:r w:rsidRPr="008E791C">
        <w:rPr>
          <w:rFonts w:eastAsia="SimSun"/>
        </w:rPr>
        <w:t>A.</w:t>
      </w:r>
      <w:r w:rsidRPr="008E791C">
        <w:rPr>
          <w:rFonts w:eastAsia="SimSun"/>
        </w:rPr>
        <w:tab/>
        <w:t>Yes.</w:t>
      </w:r>
      <w:r w:rsidR="009C6954" w:rsidRPr="008E791C">
        <w:rPr>
          <w:rFonts w:eastAsia="SimSun"/>
        </w:rPr>
        <w:t xml:space="preserve"> </w:t>
      </w:r>
      <w:r w:rsidR="00D42E34" w:rsidRPr="008E791C">
        <w:rPr>
          <w:rFonts w:eastAsia="SimSun"/>
        </w:rPr>
        <w:t xml:space="preserve">I have adopted Ms. </w:t>
      </w:r>
      <w:proofErr w:type="spellStart"/>
      <w:r w:rsidR="00D42E34" w:rsidRPr="008E791C">
        <w:rPr>
          <w:rFonts w:eastAsia="SimSun"/>
        </w:rPr>
        <w:t>Erdahl</w:t>
      </w:r>
      <w:r w:rsidR="009C6954" w:rsidRPr="008E791C">
        <w:rPr>
          <w:rFonts w:eastAsia="SimSun"/>
        </w:rPr>
        <w:t>’</w:t>
      </w:r>
      <w:r w:rsidR="00D42E34" w:rsidRPr="008E791C">
        <w:rPr>
          <w:rFonts w:eastAsia="SimSun"/>
        </w:rPr>
        <w:t>s</w:t>
      </w:r>
      <w:proofErr w:type="spellEnd"/>
      <w:r w:rsidR="00D42E34" w:rsidRPr="008E791C">
        <w:rPr>
          <w:rFonts w:eastAsia="SimSun"/>
        </w:rPr>
        <w:t xml:space="preserve"> proposed presentation and have utilized her format in preparing my updated exhibits.</w:t>
      </w:r>
      <w:r w:rsidR="009C6954" w:rsidRPr="008E791C">
        <w:rPr>
          <w:rFonts w:eastAsia="SimSun"/>
        </w:rPr>
        <w:t xml:space="preserve"> </w:t>
      </w:r>
      <w:r w:rsidRPr="008E791C">
        <w:rPr>
          <w:rFonts w:eastAsia="SimSun"/>
        </w:rPr>
        <w:t>I will detail the changes that have been made between PSE</w:t>
      </w:r>
      <w:r w:rsidR="009C6954" w:rsidRPr="008E791C">
        <w:rPr>
          <w:rFonts w:eastAsia="SimSun"/>
        </w:rPr>
        <w:t>’</w:t>
      </w:r>
      <w:r w:rsidRPr="008E791C">
        <w:rPr>
          <w:rFonts w:eastAsia="SimSun"/>
        </w:rPr>
        <w:t xml:space="preserve">s original and rebuttal filings for working capital and provide </w:t>
      </w:r>
      <w:r w:rsidRPr="008E791C">
        <w:rPr>
          <w:rFonts w:eastAsia="SimSun"/>
        </w:rPr>
        <w:lastRenderedPageBreak/>
        <w:t>a summary for the differences I am aware of between PSE</w:t>
      </w:r>
      <w:r w:rsidR="009C6954" w:rsidRPr="008E791C">
        <w:rPr>
          <w:rFonts w:eastAsia="SimSun"/>
        </w:rPr>
        <w:t>’</w:t>
      </w:r>
      <w:r w:rsidRPr="008E791C">
        <w:rPr>
          <w:rFonts w:eastAsia="SimSun"/>
        </w:rPr>
        <w:t>s rebuttal position and Commission Staff</w:t>
      </w:r>
      <w:r w:rsidR="009C6954" w:rsidRPr="008E791C">
        <w:rPr>
          <w:rFonts w:eastAsia="SimSun"/>
        </w:rPr>
        <w:t>’</w:t>
      </w:r>
      <w:r w:rsidRPr="008E791C">
        <w:rPr>
          <w:rFonts w:eastAsia="SimSun"/>
        </w:rPr>
        <w:t>s response position</w:t>
      </w:r>
      <w:r w:rsidR="00EF3841" w:rsidRPr="008E791C">
        <w:rPr>
          <w:rFonts w:eastAsia="SimSun"/>
        </w:rPr>
        <w:t xml:space="preserve"> as detailed in </w:t>
      </w:r>
      <w:r w:rsidR="00313414" w:rsidRPr="008E791C">
        <w:rPr>
          <w:bCs/>
        </w:rPr>
        <w:t xml:space="preserve">Commission </w:t>
      </w:r>
      <w:r w:rsidR="00313414" w:rsidRPr="008E791C">
        <w:t>Staff</w:t>
      </w:r>
      <w:r w:rsidR="009C6954" w:rsidRPr="008E791C">
        <w:rPr>
          <w:rFonts w:eastAsia="SimSun"/>
        </w:rPr>
        <w:t>’</w:t>
      </w:r>
      <w:r w:rsidR="00EF3841" w:rsidRPr="008E791C">
        <w:rPr>
          <w:rFonts w:eastAsia="SimSun"/>
        </w:rPr>
        <w:t>s Response to PSE Data Request No. 28 that is included in Exhibit SEF-</w:t>
      </w:r>
      <w:r w:rsidR="00164C58">
        <w:rPr>
          <w:rFonts w:eastAsia="SimSun"/>
        </w:rPr>
        <w:t>19</w:t>
      </w:r>
      <w:r w:rsidRPr="008E791C">
        <w:rPr>
          <w:rFonts w:eastAsia="SimSun"/>
        </w:rPr>
        <w:t>.</w:t>
      </w:r>
      <w:r w:rsidR="009C6954" w:rsidRPr="008E791C">
        <w:rPr>
          <w:rFonts w:eastAsia="SimSun"/>
        </w:rPr>
        <w:t xml:space="preserve"> </w:t>
      </w:r>
      <w:r w:rsidRPr="008E791C">
        <w:rPr>
          <w:rFonts w:eastAsia="SimSun"/>
        </w:rPr>
        <w:t>Please see Exhibit SEF-</w:t>
      </w:r>
      <w:r w:rsidR="00164C58">
        <w:rPr>
          <w:rFonts w:eastAsia="SimSun"/>
        </w:rPr>
        <w:t>28</w:t>
      </w:r>
      <w:r w:rsidRPr="008E791C">
        <w:rPr>
          <w:rFonts w:eastAsia="SimSun"/>
        </w:rPr>
        <w:t xml:space="preserve"> </w:t>
      </w:r>
      <w:r w:rsidR="00D42E34" w:rsidRPr="008E791C">
        <w:rPr>
          <w:rFonts w:eastAsia="SimSun"/>
        </w:rPr>
        <w:t>and SEF-</w:t>
      </w:r>
      <w:r w:rsidR="00164C58">
        <w:rPr>
          <w:rFonts w:eastAsia="SimSun"/>
        </w:rPr>
        <w:t>29</w:t>
      </w:r>
      <w:r w:rsidRPr="008E791C">
        <w:rPr>
          <w:rFonts w:eastAsia="SimSun"/>
        </w:rPr>
        <w:t>for PSE</w:t>
      </w:r>
      <w:r w:rsidR="009C6954" w:rsidRPr="008E791C">
        <w:rPr>
          <w:rFonts w:eastAsia="SimSun"/>
        </w:rPr>
        <w:t>’</w:t>
      </w:r>
      <w:r w:rsidRPr="008E791C">
        <w:rPr>
          <w:rFonts w:eastAsia="SimSun"/>
        </w:rPr>
        <w:t xml:space="preserve">s revised </w:t>
      </w:r>
      <w:r w:rsidR="00D42E34" w:rsidRPr="008E791C">
        <w:rPr>
          <w:rFonts w:eastAsia="SimSun"/>
        </w:rPr>
        <w:t xml:space="preserve">summarized and detailed </w:t>
      </w:r>
      <w:r w:rsidRPr="008E791C">
        <w:rPr>
          <w:rFonts w:eastAsia="SimSun"/>
        </w:rPr>
        <w:t xml:space="preserve">working capital calculation and the resulting adjustment to the test period </w:t>
      </w:r>
      <w:r w:rsidR="00EF3841" w:rsidRPr="008E791C">
        <w:rPr>
          <w:rFonts w:eastAsia="SimSun"/>
        </w:rPr>
        <w:t>that were included</w:t>
      </w:r>
      <w:r w:rsidRPr="008E791C">
        <w:rPr>
          <w:rFonts w:eastAsia="SimSun"/>
        </w:rPr>
        <w:t xml:space="preserve"> in the original filing.</w:t>
      </w:r>
    </w:p>
    <w:p w:rsidR="009513F4" w:rsidRPr="008E791C" w:rsidRDefault="009E2C83" w:rsidP="00B56012">
      <w:pPr>
        <w:pStyle w:val="question"/>
      </w:pPr>
      <w:r w:rsidRPr="008E791C">
        <w:t>Q.</w:t>
      </w:r>
      <w:r w:rsidRPr="008E791C">
        <w:tab/>
        <w:t>Please describe the fundamental differences between PSE and Commission Staff related to working capital.</w:t>
      </w:r>
    </w:p>
    <w:p w:rsidR="005164EE" w:rsidRPr="008E791C" w:rsidRDefault="00E41682" w:rsidP="00B56012">
      <w:pPr>
        <w:pStyle w:val="answer"/>
        <w:rPr>
          <w:rFonts w:eastAsia="SimSun"/>
        </w:rPr>
      </w:pPr>
      <w:r w:rsidRPr="008E791C">
        <w:rPr>
          <w:rFonts w:eastAsia="SimSun"/>
        </w:rPr>
        <w:t>A.</w:t>
      </w:r>
      <w:r w:rsidRPr="008E791C">
        <w:rPr>
          <w:rFonts w:eastAsia="SimSun"/>
        </w:rPr>
        <w:tab/>
        <w:t>Based on this rebuttal filing</w:t>
      </w:r>
      <w:r w:rsidR="00EF3841" w:rsidRPr="008E791C">
        <w:rPr>
          <w:rFonts w:eastAsia="SimSun"/>
        </w:rPr>
        <w:t xml:space="preserve"> and the amounts reflected in Exhibit</w:t>
      </w:r>
      <w:r w:rsidR="00F16E2F" w:rsidRPr="008E791C">
        <w:rPr>
          <w:rFonts w:eastAsia="SimSun"/>
        </w:rPr>
        <w:t xml:space="preserve"> SEF</w:t>
      </w:r>
      <w:r w:rsidR="00EF3841" w:rsidRPr="008E791C">
        <w:rPr>
          <w:rFonts w:eastAsia="SimSun"/>
        </w:rPr>
        <w:t>-</w:t>
      </w:r>
      <w:r w:rsidR="00164C58">
        <w:rPr>
          <w:rFonts w:eastAsia="SimSun"/>
        </w:rPr>
        <w:t>19</w:t>
      </w:r>
      <w:r w:rsidRPr="008E791C">
        <w:rPr>
          <w:rFonts w:eastAsia="SimSun"/>
        </w:rPr>
        <w:t xml:space="preserve">, there </w:t>
      </w:r>
      <w:r w:rsidR="00C65316" w:rsidRPr="008E791C">
        <w:rPr>
          <w:rFonts w:eastAsia="SimSun"/>
        </w:rPr>
        <w:t>remain</w:t>
      </w:r>
      <w:r w:rsidR="00B96E00" w:rsidRPr="008E791C">
        <w:rPr>
          <w:rFonts w:eastAsia="SimSun"/>
        </w:rPr>
        <w:t xml:space="preserve"> only</w:t>
      </w:r>
      <w:r w:rsidRPr="008E791C">
        <w:rPr>
          <w:rFonts w:eastAsia="SimSun"/>
        </w:rPr>
        <w:t xml:space="preserve"> two fundamental differences between PSE and Commission Staff</w:t>
      </w:r>
      <w:r w:rsidR="00C65316" w:rsidRPr="008E791C">
        <w:rPr>
          <w:rFonts w:eastAsia="SimSun"/>
        </w:rPr>
        <w:t xml:space="preserve"> on working capital</w:t>
      </w:r>
      <w:r w:rsidRPr="008E791C">
        <w:rPr>
          <w:rFonts w:eastAsia="SimSun"/>
        </w:rPr>
        <w:t>:</w:t>
      </w:r>
    </w:p>
    <w:p w:rsidR="005164EE" w:rsidRPr="008E791C" w:rsidRDefault="00E41682" w:rsidP="00B56012">
      <w:pPr>
        <w:pStyle w:val="answer"/>
        <w:ind w:left="1440"/>
        <w:rPr>
          <w:rFonts w:eastAsia="SimSun"/>
          <w:b/>
          <w:u w:val="single"/>
        </w:rPr>
      </w:pPr>
      <w:r w:rsidRPr="008E791C">
        <w:rPr>
          <w:rFonts w:eastAsia="SimSun"/>
          <w:b/>
        </w:rPr>
        <w:t>1.</w:t>
      </w:r>
      <w:r w:rsidR="005164EE" w:rsidRPr="008E791C">
        <w:rPr>
          <w:rFonts w:eastAsia="SimSun"/>
          <w:b/>
        </w:rPr>
        <w:tab/>
      </w:r>
      <w:r w:rsidRPr="008E791C">
        <w:rPr>
          <w:rFonts w:eastAsia="SimSun"/>
          <w:b/>
          <w:u w:val="single"/>
        </w:rPr>
        <w:t xml:space="preserve">Account </w:t>
      </w:r>
      <w:r w:rsidR="00C34FCE" w:rsidRPr="008E791C">
        <w:rPr>
          <w:rFonts w:eastAsia="SimSun"/>
          <w:b/>
          <w:u w:val="single"/>
        </w:rPr>
        <w:t>c</w:t>
      </w:r>
      <w:r w:rsidRPr="008E791C">
        <w:rPr>
          <w:rFonts w:eastAsia="SimSun"/>
          <w:b/>
          <w:u w:val="single"/>
        </w:rPr>
        <w:t>ategorization</w:t>
      </w:r>
    </w:p>
    <w:p w:rsidR="00CC5E19" w:rsidRPr="008E791C" w:rsidRDefault="009E2C83" w:rsidP="00B56012">
      <w:pPr>
        <w:pStyle w:val="answer"/>
        <w:ind w:firstLine="0"/>
        <w:rPr>
          <w:rFonts w:eastAsia="SimSun"/>
        </w:rPr>
      </w:pPr>
      <w:r w:rsidRPr="008E791C">
        <w:rPr>
          <w:rFonts w:eastAsia="SimSun"/>
        </w:rPr>
        <w:t>As mentioned above, Commission Staff argues that there should be no Operating subsection in the Total Average Investments category.</w:t>
      </w:r>
      <w:r w:rsidR="009C6954" w:rsidRPr="008E791C">
        <w:rPr>
          <w:rFonts w:eastAsia="SimSun"/>
        </w:rPr>
        <w:t xml:space="preserve"> </w:t>
      </w:r>
      <w:r w:rsidR="00D42E34" w:rsidRPr="008E791C">
        <w:rPr>
          <w:rFonts w:eastAsia="SimSun"/>
        </w:rPr>
        <w:t xml:space="preserve">In its rebuttal filing, </w:t>
      </w:r>
      <w:r w:rsidRPr="008E791C">
        <w:rPr>
          <w:rFonts w:eastAsia="SimSun"/>
        </w:rPr>
        <w:t>PSE has agreed with this approach.</w:t>
      </w:r>
      <w:r w:rsidR="009C6954" w:rsidRPr="008E791C">
        <w:rPr>
          <w:rFonts w:eastAsia="SimSun"/>
        </w:rPr>
        <w:t xml:space="preserve"> </w:t>
      </w:r>
      <w:r w:rsidR="00EF3841" w:rsidRPr="008E791C">
        <w:rPr>
          <w:rFonts w:eastAsia="SimSun"/>
        </w:rPr>
        <w:t>Between PSE</w:t>
      </w:r>
      <w:r w:rsidR="009C6954" w:rsidRPr="008E791C">
        <w:rPr>
          <w:rFonts w:eastAsia="SimSun"/>
        </w:rPr>
        <w:t>’</w:t>
      </w:r>
      <w:r w:rsidR="00EF3841" w:rsidRPr="008E791C">
        <w:rPr>
          <w:rFonts w:eastAsia="SimSun"/>
        </w:rPr>
        <w:t>s</w:t>
      </w:r>
      <w:r w:rsidR="00D42E34" w:rsidRPr="008E791C">
        <w:rPr>
          <w:rFonts w:eastAsia="SimSun"/>
        </w:rPr>
        <w:t xml:space="preserve"> </w:t>
      </w:r>
      <w:r w:rsidR="00EF3841" w:rsidRPr="008E791C">
        <w:rPr>
          <w:rFonts w:eastAsia="SimSun"/>
        </w:rPr>
        <w:t xml:space="preserve">adoption of </w:t>
      </w:r>
      <w:r w:rsidR="006724B4" w:rsidRPr="008E791C">
        <w:rPr>
          <w:rFonts w:eastAsia="SimSun"/>
        </w:rPr>
        <w:t xml:space="preserve">(i) </w:t>
      </w:r>
      <w:r w:rsidR="00D42E34" w:rsidRPr="008E791C">
        <w:rPr>
          <w:rFonts w:eastAsia="SimSun"/>
        </w:rPr>
        <w:t xml:space="preserve">many of the changes in account treatment that were </w:t>
      </w:r>
      <w:r w:rsidR="00EF3841" w:rsidRPr="008E791C">
        <w:rPr>
          <w:rFonts w:eastAsia="SimSun"/>
        </w:rPr>
        <w:t>originally proposed</w:t>
      </w:r>
      <w:r w:rsidR="00CC5E19" w:rsidRPr="008E791C">
        <w:rPr>
          <w:rFonts w:eastAsia="SimSun"/>
        </w:rPr>
        <w:t xml:space="preserve"> by </w:t>
      </w:r>
      <w:r w:rsidR="00313414" w:rsidRPr="008E791C">
        <w:rPr>
          <w:bCs/>
        </w:rPr>
        <w:t xml:space="preserve">Commission </w:t>
      </w:r>
      <w:r w:rsidR="00313414" w:rsidRPr="008E791C">
        <w:t>Staff</w:t>
      </w:r>
      <w:r w:rsidR="00EF3841" w:rsidRPr="008E791C">
        <w:rPr>
          <w:rFonts w:eastAsia="SimSun"/>
        </w:rPr>
        <w:t xml:space="preserve">, </w:t>
      </w:r>
      <w:r w:rsidR="006724B4" w:rsidRPr="008E791C">
        <w:rPr>
          <w:rFonts w:eastAsia="SimSun"/>
        </w:rPr>
        <w:t xml:space="preserve">(ii) </w:t>
      </w:r>
      <w:r w:rsidR="00EF3841" w:rsidRPr="008E791C">
        <w:rPr>
          <w:rFonts w:eastAsia="SimSun"/>
        </w:rPr>
        <w:t>account re</w:t>
      </w:r>
      <w:r w:rsidR="006724B4" w:rsidRPr="008E791C">
        <w:rPr>
          <w:rFonts w:eastAsia="SimSun"/>
        </w:rPr>
        <w:t>-</w:t>
      </w:r>
      <w:r w:rsidR="00EF3841" w:rsidRPr="008E791C">
        <w:rPr>
          <w:rFonts w:eastAsia="SimSun"/>
        </w:rPr>
        <w:t>categorizations made by PSE at rebuttal</w:t>
      </w:r>
      <w:r w:rsidR="006724B4" w:rsidRPr="008E791C">
        <w:rPr>
          <w:rFonts w:eastAsia="SimSun"/>
        </w:rPr>
        <w:t>,</w:t>
      </w:r>
      <w:r w:rsidR="00EF3841" w:rsidRPr="008E791C">
        <w:rPr>
          <w:rFonts w:eastAsia="SimSun"/>
        </w:rPr>
        <w:t xml:space="preserve"> and </w:t>
      </w:r>
      <w:r w:rsidR="006724B4" w:rsidRPr="008E791C">
        <w:rPr>
          <w:rFonts w:eastAsia="SimSun"/>
        </w:rPr>
        <w:t xml:space="preserve">(iii) </w:t>
      </w:r>
      <w:r w:rsidR="00EF3841" w:rsidRPr="008E791C">
        <w:rPr>
          <w:rFonts w:eastAsia="SimSun"/>
        </w:rPr>
        <w:t>the account re</w:t>
      </w:r>
      <w:r w:rsidR="006724B4" w:rsidRPr="008E791C">
        <w:rPr>
          <w:rFonts w:eastAsia="SimSun"/>
        </w:rPr>
        <w:t>-</w:t>
      </w:r>
      <w:r w:rsidR="00EF3841" w:rsidRPr="008E791C">
        <w:rPr>
          <w:rFonts w:eastAsia="SimSun"/>
        </w:rPr>
        <w:t xml:space="preserve">categorizations made </w:t>
      </w:r>
      <w:r w:rsidR="00D42E34" w:rsidRPr="008E791C">
        <w:rPr>
          <w:rFonts w:eastAsia="SimSun"/>
        </w:rPr>
        <w:t>by Commission Staff</w:t>
      </w:r>
      <w:r w:rsidR="00EF3841" w:rsidRPr="008E791C">
        <w:rPr>
          <w:rFonts w:eastAsia="SimSun"/>
        </w:rPr>
        <w:t xml:space="preserve"> reflected in Exhibit SEF-</w:t>
      </w:r>
      <w:r w:rsidR="00164C58">
        <w:rPr>
          <w:rFonts w:eastAsia="SimSun"/>
        </w:rPr>
        <w:t>19</w:t>
      </w:r>
      <w:r w:rsidR="00EF3841" w:rsidRPr="008E791C">
        <w:rPr>
          <w:rFonts w:eastAsia="SimSun"/>
        </w:rPr>
        <w:t>, PSE and Commission Staff are now in alignment related to the working capital treatment for all accounts except three categories</w:t>
      </w:r>
      <w:r w:rsidR="00CC5E19" w:rsidRPr="008E791C">
        <w:rPr>
          <w:rFonts w:eastAsia="SimSun"/>
        </w:rPr>
        <w:t>.</w:t>
      </w:r>
    </w:p>
    <w:p w:rsidR="00CC5E19" w:rsidRPr="008E791C" w:rsidRDefault="00CC5E19" w:rsidP="00B56012">
      <w:pPr>
        <w:pStyle w:val="answer"/>
        <w:ind w:firstLine="0"/>
        <w:rPr>
          <w:rFonts w:eastAsia="SimSun"/>
        </w:rPr>
      </w:pPr>
      <w:r w:rsidRPr="008E791C">
        <w:rPr>
          <w:rFonts w:eastAsia="SimSun"/>
        </w:rPr>
        <w:t xml:space="preserve">PSE disagrees with all of the below adjustments proposed by </w:t>
      </w:r>
      <w:r w:rsidR="00313414" w:rsidRPr="008E791C">
        <w:rPr>
          <w:bCs/>
        </w:rPr>
        <w:t xml:space="preserve">Commission </w:t>
      </w:r>
      <w:r w:rsidR="00313414" w:rsidRPr="008E791C">
        <w:t>Staff</w:t>
      </w:r>
      <w:r w:rsidRPr="008E791C">
        <w:rPr>
          <w:rFonts w:eastAsia="SimSun"/>
        </w:rPr>
        <w:t xml:space="preserve"> for reasons stated earlier and </w:t>
      </w:r>
      <w:r w:rsidR="005D7B7D" w:rsidRPr="008E791C">
        <w:rPr>
          <w:rFonts w:eastAsia="SimSun"/>
        </w:rPr>
        <w:t xml:space="preserve">stated </w:t>
      </w:r>
      <w:r w:rsidRPr="008E791C">
        <w:rPr>
          <w:rFonts w:eastAsia="SimSun"/>
        </w:rPr>
        <w:t>by Ms. Barnard</w:t>
      </w:r>
      <w:r w:rsidR="005D7B7D" w:rsidRPr="008E791C">
        <w:rPr>
          <w:rFonts w:eastAsia="SimSun"/>
        </w:rPr>
        <w:t xml:space="preserve"> in her prefiled rebuttal </w:t>
      </w:r>
      <w:r w:rsidR="005D7B7D" w:rsidRPr="008E791C">
        <w:rPr>
          <w:rFonts w:eastAsia="SimSun"/>
        </w:rPr>
        <w:lastRenderedPageBreak/>
        <w:t>testimony</w:t>
      </w:r>
      <w:r w:rsidR="001176CD" w:rsidRPr="008E791C">
        <w:rPr>
          <w:rFonts w:eastAsia="SimSun"/>
        </w:rPr>
        <w:t xml:space="preserve">. </w:t>
      </w:r>
      <w:r w:rsidRPr="008E791C">
        <w:rPr>
          <w:rFonts w:eastAsia="SimSun"/>
        </w:rPr>
        <w:t xml:space="preserve">However, if the Commission were to accept </w:t>
      </w:r>
      <w:r w:rsidR="00313414" w:rsidRPr="008E791C">
        <w:rPr>
          <w:bCs/>
        </w:rPr>
        <w:t xml:space="preserve">Commission </w:t>
      </w:r>
      <w:r w:rsidR="00313414" w:rsidRPr="008E791C">
        <w:t>Staff</w:t>
      </w:r>
      <w:r w:rsidRPr="008E791C">
        <w:rPr>
          <w:rFonts w:eastAsia="SimSun"/>
        </w:rPr>
        <w:t>’s adjustments, the following corrections must be considered.</w:t>
      </w:r>
    </w:p>
    <w:p w:rsidR="005164EE" w:rsidRPr="008E791C" w:rsidRDefault="005164EE" w:rsidP="00B56012">
      <w:pPr>
        <w:pStyle w:val="answer"/>
        <w:spacing w:before="0" w:after="280" w:line="240" w:lineRule="auto"/>
        <w:ind w:left="2160"/>
        <w:rPr>
          <w:rFonts w:eastAsia="SimSun"/>
        </w:rPr>
      </w:pPr>
      <w:r w:rsidRPr="008E791C">
        <w:rPr>
          <w:rFonts w:eastAsia="SimSun"/>
        </w:rPr>
        <w:t>a.</w:t>
      </w:r>
      <w:r w:rsidRPr="008E791C">
        <w:rPr>
          <w:rFonts w:eastAsia="SimSun"/>
        </w:rPr>
        <w:tab/>
      </w:r>
      <w:r w:rsidR="00EF3841" w:rsidRPr="008E791C">
        <w:rPr>
          <w:rFonts w:eastAsia="SimSun"/>
        </w:rPr>
        <w:t xml:space="preserve">Tacoma Tar Pits accounts – Commission Staff is treating the portion of the </w:t>
      </w:r>
      <w:r w:rsidR="00BA6140" w:rsidRPr="008E791C">
        <w:rPr>
          <w:rFonts w:eastAsia="SimSun"/>
        </w:rPr>
        <w:t>Tacoma Tar Pits accounts that it recommends be written off as non-operating investment.</w:t>
      </w:r>
      <w:r w:rsidR="009C6954" w:rsidRPr="008E791C">
        <w:rPr>
          <w:rFonts w:eastAsia="SimSun"/>
        </w:rPr>
        <w:t xml:space="preserve"> </w:t>
      </w:r>
      <w:r w:rsidR="00BA6140" w:rsidRPr="008E791C">
        <w:rPr>
          <w:rFonts w:eastAsia="SimSun"/>
        </w:rPr>
        <w:t>PSE treats these amounts as working capital.</w:t>
      </w:r>
      <w:r w:rsidR="009C6954" w:rsidRPr="008E791C">
        <w:rPr>
          <w:rFonts w:eastAsia="SimSun"/>
        </w:rPr>
        <w:t xml:space="preserve"> </w:t>
      </w:r>
      <w:r w:rsidR="00BA6140" w:rsidRPr="008E791C">
        <w:rPr>
          <w:rFonts w:eastAsia="SimSun"/>
        </w:rPr>
        <w:t xml:space="preserve">I discuss more fully below why, given their proposal, </w:t>
      </w:r>
      <w:r w:rsidR="00313414" w:rsidRPr="008E791C">
        <w:rPr>
          <w:bCs/>
        </w:rPr>
        <w:t xml:space="preserve">Commission </w:t>
      </w:r>
      <w:r w:rsidR="00313414" w:rsidRPr="008E791C">
        <w:t>Staff</w:t>
      </w:r>
      <w:r w:rsidR="009C6954" w:rsidRPr="008E791C">
        <w:rPr>
          <w:rFonts w:eastAsia="SimSun"/>
        </w:rPr>
        <w:t>’</w:t>
      </w:r>
      <w:r w:rsidR="00BA6140" w:rsidRPr="008E791C">
        <w:rPr>
          <w:rFonts w:eastAsia="SimSun"/>
        </w:rPr>
        <w:t>s proposed treatment of these balances as non-operating investment is incorrect.</w:t>
      </w:r>
    </w:p>
    <w:p w:rsidR="005164EE" w:rsidRPr="008E791C" w:rsidRDefault="005164EE" w:rsidP="00B56012">
      <w:pPr>
        <w:pStyle w:val="answer"/>
        <w:spacing w:before="0" w:after="280" w:line="240" w:lineRule="auto"/>
        <w:ind w:left="2160"/>
        <w:rPr>
          <w:rFonts w:eastAsia="SimSun"/>
        </w:rPr>
      </w:pPr>
      <w:r w:rsidRPr="008E791C">
        <w:rPr>
          <w:rFonts w:eastAsia="SimSun"/>
        </w:rPr>
        <w:t>b.</w:t>
      </w:r>
      <w:r w:rsidRPr="008E791C">
        <w:rPr>
          <w:rFonts w:eastAsia="SimSun"/>
        </w:rPr>
        <w:tab/>
      </w:r>
      <w:r w:rsidR="00BA6140" w:rsidRPr="008E791C">
        <w:rPr>
          <w:rFonts w:eastAsia="SimSun"/>
        </w:rPr>
        <w:t xml:space="preserve">PSE disagrees with the manner in which Commission Staff has adjusted the working capital calculation for </w:t>
      </w:r>
      <w:r w:rsidR="005D7B7D" w:rsidRPr="008E791C">
        <w:rPr>
          <w:rFonts w:eastAsia="SimSun"/>
        </w:rPr>
        <w:t xml:space="preserve">its </w:t>
      </w:r>
      <w:r w:rsidR="00BA6140" w:rsidRPr="008E791C">
        <w:rPr>
          <w:rFonts w:eastAsia="SimSun"/>
        </w:rPr>
        <w:t>proposed treatment for PSE</w:t>
      </w:r>
      <w:r w:rsidR="009C6954" w:rsidRPr="008E791C">
        <w:rPr>
          <w:rFonts w:eastAsia="SimSun"/>
        </w:rPr>
        <w:t>’</w:t>
      </w:r>
      <w:r w:rsidR="00BA6140" w:rsidRPr="008E791C">
        <w:rPr>
          <w:rFonts w:eastAsia="SimSun"/>
        </w:rPr>
        <w:t>s storm deferral mechanism.</w:t>
      </w:r>
      <w:r w:rsidR="009C6954" w:rsidRPr="008E791C">
        <w:rPr>
          <w:rFonts w:eastAsia="SimSun"/>
        </w:rPr>
        <w:t xml:space="preserve"> </w:t>
      </w:r>
      <w:r w:rsidR="00BA6140" w:rsidRPr="008E791C">
        <w:rPr>
          <w:rFonts w:eastAsia="SimSun"/>
        </w:rPr>
        <w:t>I discuss m</w:t>
      </w:r>
      <w:r w:rsidR="005D7B7D" w:rsidRPr="008E791C">
        <w:rPr>
          <w:rFonts w:eastAsia="SimSun"/>
        </w:rPr>
        <w:t>ore fully below why, given the</w:t>
      </w:r>
      <w:r w:rsidR="00BA6140" w:rsidRPr="008E791C">
        <w:rPr>
          <w:rFonts w:eastAsia="SimSun"/>
        </w:rPr>
        <w:t xml:space="preserve"> proposal, </w:t>
      </w:r>
      <w:r w:rsidR="00313414" w:rsidRPr="008E791C">
        <w:rPr>
          <w:bCs/>
        </w:rPr>
        <w:t xml:space="preserve">Commission </w:t>
      </w:r>
      <w:r w:rsidR="00313414" w:rsidRPr="008E791C">
        <w:t>Staff</w:t>
      </w:r>
      <w:r w:rsidR="009C6954" w:rsidRPr="008E791C">
        <w:rPr>
          <w:rFonts w:eastAsia="SimSun"/>
        </w:rPr>
        <w:t>’</w:t>
      </w:r>
      <w:r w:rsidR="00BA6140" w:rsidRPr="008E791C">
        <w:rPr>
          <w:rFonts w:eastAsia="SimSun"/>
        </w:rPr>
        <w:t>s proposed treatment of the rate year end of period balances being removed 100</w:t>
      </w:r>
      <w:r w:rsidR="005D7B7D" w:rsidRPr="008E791C">
        <w:rPr>
          <w:rFonts w:eastAsia="SimSun"/>
        </w:rPr>
        <w:t xml:space="preserve"> percent</w:t>
      </w:r>
      <w:r w:rsidR="00BA6140" w:rsidRPr="008E791C">
        <w:rPr>
          <w:rFonts w:eastAsia="SimSun"/>
        </w:rPr>
        <w:t xml:space="preserve"> from electric wor</w:t>
      </w:r>
      <w:r w:rsidR="006724B4" w:rsidRPr="008E791C">
        <w:rPr>
          <w:rFonts w:eastAsia="SimSun"/>
        </w:rPr>
        <w:t>k</w:t>
      </w:r>
      <w:r w:rsidR="00BA6140" w:rsidRPr="008E791C">
        <w:rPr>
          <w:rFonts w:eastAsia="SimSun"/>
        </w:rPr>
        <w:t>ing capital is incorrect.</w:t>
      </w:r>
    </w:p>
    <w:p w:rsidR="00BA6140" w:rsidRPr="008E791C" w:rsidRDefault="005164EE" w:rsidP="00B56012">
      <w:pPr>
        <w:pStyle w:val="answer"/>
        <w:spacing w:before="0" w:after="280" w:line="240" w:lineRule="auto"/>
        <w:ind w:left="2160"/>
        <w:rPr>
          <w:rFonts w:eastAsia="SimSun"/>
        </w:rPr>
      </w:pPr>
      <w:r w:rsidRPr="008E791C">
        <w:rPr>
          <w:rFonts w:eastAsia="SimSun"/>
        </w:rPr>
        <w:t>c.</w:t>
      </w:r>
      <w:r w:rsidRPr="008E791C">
        <w:rPr>
          <w:rFonts w:eastAsia="SimSun"/>
        </w:rPr>
        <w:tab/>
      </w:r>
      <w:r w:rsidR="00BA6140" w:rsidRPr="008E791C">
        <w:rPr>
          <w:rFonts w:eastAsia="SimSun"/>
        </w:rPr>
        <w:t>PSE disagrees with the manner in which Commission Staff has made a pro</w:t>
      </w:r>
      <w:r w:rsidR="006724B4" w:rsidRPr="008E791C">
        <w:rPr>
          <w:rFonts w:eastAsia="SimSun"/>
        </w:rPr>
        <w:t xml:space="preserve"> </w:t>
      </w:r>
      <w:r w:rsidR="00BA6140" w:rsidRPr="008E791C">
        <w:rPr>
          <w:rFonts w:eastAsia="SimSun"/>
        </w:rPr>
        <w:t xml:space="preserve">forma adjustment to working capital calculation for </w:t>
      </w:r>
      <w:r w:rsidR="005D7B7D" w:rsidRPr="008E791C">
        <w:rPr>
          <w:rFonts w:eastAsia="SimSun"/>
        </w:rPr>
        <w:t xml:space="preserve">its </w:t>
      </w:r>
      <w:r w:rsidR="00BA6140" w:rsidRPr="008E791C">
        <w:rPr>
          <w:rFonts w:eastAsia="SimSun"/>
        </w:rPr>
        <w:t>proposed rate year amortization of the environmental deferral accounts.</w:t>
      </w:r>
      <w:r w:rsidR="009C6954" w:rsidRPr="008E791C">
        <w:rPr>
          <w:rFonts w:eastAsia="SimSun"/>
        </w:rPr>
        <w:t xml:space="preserve"> </w:t>
      </w:r>
      <w:r w:rsidR="00BA6140" w:rsidRPr="008E791C">
        <w:rPr>
          <w:rFonts w:eastAsia="SimSun"/>
        </w:rPr>
        <w:t xml:space="preserve">I discuss more fully below why, given </w:t>
      </w:r>
      <w:r w:rsidR="005D7B7D" w:rsidRPr="008E791C">
        <w:rPr>
          <w:rFonts w:eastAsia="SimSun"/>
        </w:rPr>
        <w:t xml:space="preserve">its </w:t>
      </w:r>
      <w:r w:rsidR="00BA6140" w:rsidRPr="008E791C">
        <w:rPr>
          <w:rFonts w:eastAsia="SimSun"/>
        </w:rPr>
        <w:t xml:space="preserve">proposal, </w:t>
      </w:r>
      <w:r w:rsidR="00313414" w:rsidRPr="008E791C">
        <w:rPr>
          <w:bCs/>
        </w:rPr>
        <w:t xml:space="preserve">Commission </w:t>
      </w:r>
      <w:r w:rsidR="00313414" w:rsidRPr="008E791C">
        <w:t>Staff</w:t>
      </w:r>
      <w:r w:rsidR="009C6954" w:rsidRPr="008E791C">
        <w:rPr>
          <w:rFonts w:eastAsia="SimSun"/>
        </w:rPr>
        <w:t>’</w:t>
      </w:r>
      <w:r w:rsidR="00BA6140" w:rsidRPr="008E791C">
        <w:rPr>
          <w:rFonts w:eastAsia="SimSun"/>
        </w:rPr>
        <w:t>s proposed pro</w:t>
      </w:r>
      <w:r w:rsidR="006724B4" w:rsidRPr="008E791C">
        <w:rPr>
          <w:rFonts w:eastAsia="SimSun"/>
        </w:rPr>
        <w:t xml:space="preserve"> </w:t>
      </w:r>
      <w:r w:rsidR="00BA6140" w:rsidRPr="008E791C">
        <w:rPr>
          <w:rFonts w:eastAsia="SimSun"/>
        </w:rPr>
        <w:t>forma adjustment is inappropriate</w:t>
      </w:r>
      <w:r w:rsidR="006724B4" w:rsidRPr="008E791C">
        <w:rPr>
          <w:rFonts w:eastAsia="SimSun"/>
        </w:rPr>
        <w:t>.</w:t>
      </w:r>
      <w:r w:rsidR="009C6954" w:rsidRPr="008E791C">
        <w:rPr>
          <w:rFonts w:eastAsia="SimSun"/>
        </w:rPr>
        <w:t xml:space="preserve"> </w:t>
      </w:r>
      <w:r w:rsidR="006724B4" w:rsidRPr="008E791C">
        <w:rPr>
          <w:rFonts w:eastAsia="SimSun"/>
        </w:rPr>
        <w:t xml:space="preserve">If </w:t>
      </w:r>
      <w:r w:rsidR="00BA6140" w:rsidRPr="008E791C">
        <w:rPr>
          <w:rFonts w:eastAsia="SimSun"/>
        </w:rPr>
        <w:t xml:space="preserve">it were to </w:t>
      </w:r>
      <w:r w:rsidR="006724B4" w:rsidRPr="008E791C">
        <w:rPr>
          <w:rFonts w:eastAsia="SimSun"/>
        </w:rPr>
        <w:t xml:space="preserve">be </w:t>
      </w:r>
      <w:r w:rsidR="00BA6140" w:rsidRPr="008E791C">
        <w:rPr>
          <w:rFonts w:eastAsia="SimSun"/>
        </w:rPr>
        <w:t xml:space="preserve">accepted, </w:t>
      </w:r>
      <w:r w:rsidR="006724B4" w:rsidRPr="008E791C">
        <w:rPr>
          <w:rFonts w:eastAsia="SimSun"/>
        </w:rPr>
        <w:t xml:space="preserve">it </w:t>
      </w:r>
      <w:r w:rsidR="00BA6140" w:rsidRPr="008E791C">
        <w:rPr>
          <w:rFonts w:eastAsia="SimSun"/>
        </w:rPr>
        <w:t>requires a correction to the way in which the working capital adjustment is applied.</w:t>
      </w:r>
    </w:p>
    <w:p w:rsidR="005164EE" w:rsidRPr="008E791C" w:rsidRDefault="00E41682" w:rsidP="00B56012">
      <w:pPr>
        <w:pStyle w:val="answer"/>
        <w:ind w:firstLine="0"/>
        <w:rPr>
          <w:rFonts w:eastAsia="SimSun"/>
        </w:rPr>
      </w:pPr>
      <w:r w:rsidRPr="008E791C">
        <w:rPr>
          <w:rFonts w:eastAsia="SimSun"/>
          <w:b/>
        </w:rPr>
        <w:t>2.</w:t>
      </w:r>
      <w:r w:rsidR="005164EE" w:rsidRPr="008E791C">
        <w:rPr>
          <w:rFonts w:eastAsia="SimSun"/>
          <w:b/>
        </w:rPr>
        <w:tab/>
      </w:r>
      <w:r w:rsidRPr="008E791C">
        <w:rPr>
          <w:rFonts w:eastAsia="SimSun"/>
          <w:b/>
          <w:u w:val="single"/>
        </w:rPr>
        <w:t>Calculation of working capital ratios.</w:t>
      </w:r>
    </w:p>
    <w:p w:rsidR="00E41682" w:rsidRPr="008E791C" w:rsidRDefault="00E41682" w:rsidP="00B56012">
      <w:pPr>
        <w:pStyle w:val="answer"/>
        <w:ind w:firstLine="0"/>
        <w:rPr>
          <w:rFonts w:eastAsia="SimSun"/>
        </w:rPr>
      </w:pPr>
      <w:r w:rsidRPr="008E791C">
        <w:rPr>
          <w:rFonts w:eastAsia="SimSun"/>
        </w:rPr>
        <w:t xml:space="preserve">For purposes of calculating the working capital ratios, Commission Staff assigns </w:t>
      </w:r>
      <w:proofErr w:type="spellStart"/>
      <w:r w:rsidRPr="008E791C">
        <w:rPr>
          <w:rFonts w:eastAsia="SimSun"/>
        </w:rPr>
        <w:t>CWIP</w:t>
      </w:r>
      <w:proofErr w:type="spellEnd"/>
      <w:r w:rsidRPr="008E791C">
        <w:rPr>
          <w:rFonts w:eastAsia="SimSun"/>
        </w:rPr>
        <w:t xml:space="preserve"> to non-operating investment</w:t>
      </w:r>
      <w:r w:rsidR="005D7B7D" w:rsidRPr="008E791C">
        <w:rPr>
          <w:rFonts w:eastAsia="SimSun"/>
        </w:rPr>
        <w:t>,</w:t>
      </w:r>
      <w:r w:rsidRPr="008E791C">
        <w:rPr>
          <w:rFonts w:eastAsia="SimSun"/>
        </w:rPr>
        <w:t xml:space="preserve"> which results in an increase to the </w:t>
      </w:r>
      <w:r w:rsidR="00B96E00" w:rsidRPr="008E791C">
        <w:rPr>
          <w:rFonts w:eastAsia="SimSun"/>
        </w:rPr>
        <w:t>portion of working capital assigned to non-utility business</w:t>
      </w:r>
      <w:r w:rsidRPr="008E791C">
        <w:rPr>
          <w:rFonts w:eastAsia="SimSun"/>
        </w:rPr>
        <w:t>.</w:t>
      </w:r>
      <w:r w:rsidR="009C6954" w:rsidRPr="008E791C">
        <w:rPr>
          <w:rFonts w:eastAsia="SimSun"/>
        </w:rPr>
        <w:t xml:space="preserve"> </w:t>
      </w:r>
      <w:r w:rsidR="00B96E00" w:rsidRPr="008E791C">
        <w:rPr>
          <w:rFonts w:eastAsia="SimSun"/>
        </w:rPr>
        <w:t xml:space="preserve">Using the method that can be traced back at least thirty years, </w:t>
      </w:r>
      <w:r w:rsidRPr="008E791C">
        <w:rPr>
          <w:rFonts w:eastAsia="SimSun"/>
        </w:rPr>
        <w:t xml:space="preserve">PSE removes </w:t>
      </w:r>
      <w:proofErr w:type="spellStart"/>
      <w:r w:rsidR="00B96E00" w:rsidRPr="008E791C">
        <w:rPr>
          <w:rFonts w:eastAsia="SimSun"/>
        </w:rPr>
        <w:t>CWIP</w:t>
      </w:r>
      <w:proofErr w:type="spellEnd"/>
      <w:r w:rsidR="00B96E00" w:rsidRPr="008E791C">
        <w:rPr>
          <w:rFonts w:eastAsia="SimSun"/>
        </w:rPr>
        <w:t xml:space="preserve"> from the calculation of the working capital ratios.</w:t>
      </w:r>
    </w:p>
    <w:p w:rsidR="00E41682" w:rsidRPr="008E791C" w:rsidRDefault="005E4E8A" w:rsidP="00B56012">
      <w:pPr>
        <w:pStyle w:val="question"/>
      </w:pPr>
      <w:r w:rsidRPr="008E791C">
        <w:lastRenderedPageBreak/>
        <w:t>Q.</w:t>
      </w:r>
      <w:r w:rsidRPr="008E791C">
        <w:tab/>
        <w:t xml:space="preserve">Can you please further explain how Commission Staff and PSE differ on their treatment of </w:t>
      </w:r>
      <w:proofErr w:type="spellStart"/>
      <w:r w:rsidRPr="008E791C">
        <w:t>CWIP</w:t>
      </w:r>
      <w:proofErr w:type="spellEnd"/>
      <w:r w:rsidRPr="008E791C">
        <w:t>?</w:t>
      </w:r>
    </w:p>
    <w:p w:rsidR="006E66A7" w:rsidRPr="008E791C" w:rsidRDefault="005E4E8A" w:rsidP="00B56012">
      <w:pPr>
        <w:pStyle w:val="answer"/>
        <w:rPr>
          <w:rFonts w:eastAsia="SimSun"/>
        </w:rPr>
      </w:pPr>
      <w:r w:rsidRPr="008E791C">
        <w:rPr>
          <w:rFonts w:eastAsia="SimSun"/>
        </w:rPr>
        <w:t>A.</w:t>
      </w:r>
      <w:r w:rsidRPr="008E791C">
        <w:rPr>
          <w:rFonts w:eastAsia="SimSun"/>
        </w:rPr>
        <w:tab/>
        <w:t>Yes.</w:t>
      </w:r>
      <w:r w:rsidR="009C6954" w:rsidRPr="008E791C">
        <w:rPr>
          <w:rFonts w:eastAsia="SimSun"/>
        </w:rPr>
        <w:t xml:space="preserve"> </w:t>
      </w:r>
      <w:r w:rsidRPr="008E791C">
        <w:rPr>
          <w:rFonts w:eastAsia="SimSun"/>
        </w:rPr>
        <w:t xml:space="preserve">Commission Staff believes that </w:t>
      </w:r>
      <w:proofErr w:type="spellStart"/>
      <w:r w:rsidRPr="008E791C">
        <w:rPr>
          <w:rFonts w:eastAsia="SimSun"/>
        </w:rPr>
        <w:t>CWIP</w:t>
      </w:r>
      <w:proofErr w:type="spellEnd"/>
      <w:r w:rsidRPr="008E791C">
        <w:rPr>
          <w:rFonts w:eastAsia="SimSun"/>
        </w:rPr>
        <w:t xml:space="preserve"> should be considered as non-operating investment for purposes of calcula</w:t>
      </w:r>
      <w:r w:rsidR="00C842AF" w:rsidRPr="008E791C">
        <w:rPr>
          <w:rFonts w:eastAsia="SimSun"/>
        </w:rPr>
        <w:t>ting the working capital ratios</w:t>
      </w:r>
      <w:r w:rsidR="00AE2BCB" w:rsidRPr="008E791C">
        <w:rPr>
          <w:rFonts w:eastAsia="SimSun"/>
        </w:rPr>
        <w:t xml:space="preserve"> (</w:t>
      </w:r>
      <w:r w:rsidR="009C6954" w:rsidRPr="008E791C">
        <w:rPr>
          <w:rFonts w:eastAsia="SimSun"/>
        </w:rPr>
        <w:t>“</w:t>
      </w:r>
      <w:r w:rsidR="00AE2BCB" w:rsidRPr="008E791C">
        <w:rPr>
          <w:rFonts w:eastAsia="SimSun"/>
        </w:rPr>
        <w:t>allocation calculation</w:t>
      </w:r>
      <w:r w:rsidR="009C6954" w:rsidRPr="008E791C">
        <w:rPr>
          <w:rFonts w:eastAsia="SimSun"/>
        </w:rPr>
        <w:t>”</w:t>
      </w:r>
      <w:r w:rsidR="00AE2BCB" w:rsidRPr="008E791C">
        <w:rPr>
          <w:rFonts w:eastAsia="SimSun"/>
        </w:rPr>
        <w:t>)</w:t>
      </w:r>
      <w:r w:rsidR="00C842AF" w:rsidRPr="008E791C">
        <w:rPr>
          <w:rFonts w:eastAsia="SimSun"/>
        </w:rPr>
        <w:t xml:space="preserve"> because it is not used and useful, and it accrues a return through the allowance of funds used during construction (</w:t>
      </w:r>
      <w:r w:rsidR="009C6954" w:rsidRPr="008E791C">
        <w:rPr>
          <w:rFonts w:eastAsia="SimSun"/>
        </w:rPr>
        <w:t>“</w:t>
      </w:r>
      <w:proofErr w:type="spellStart"/>
      <w:r w:rsidR="00C842AF" w:rsidRPr="008E791C">
        <w:rPr>
          <w:rFonts w:eastAsia="SimSun"/>
        </w:rPr>
        <w:t>AFUDC</w:t>
      </w:r>
      <w:proofErr w:type="spellEnd"/>
      <w:r w:rsidR="009C6954" w:rsidRPr="008E791C">
        <w:rPr>
          <w:rFonts w:eastAsia="SimSun"/>
        </w:rPr>
        <w:t>”</w:t>
      </w:r>
      <w:r w:rsidR="00C842AF" w:rsidRPr="008E791C">
        <w:rPr>
          <w:rFonts w:eastAsia="SimSun"/>
        </w:rPr>
        <w:t>) calculation</w:t>
      </w:r>
      <w:r w:rsidR="00C842AF" w:rsidRPr="008E791C">
        <w:rPr>
          <w:rStyle w:val="FootnoteReference"/>
          <w:rFonts w:eastAsia="SimSun"/>
          <w:position w:val="0"/>
          <w:sz w:val="24"/>
        </w:rPr>
        <w:t>.</w:t>
      </w:r>
      <w:r w:rsidR="005D7B7D" w:rsidRPr="008E791C">
        <w:rPr>
          <w:rStyle w:val="FootnoteReference"/>
          <w:rFonts w:eastAsia="SimSun"/>
        </w:rPr>
        <w:footnoteReference w:id="37"/>
      </w:r>
      <w:r w:rsidR="009C6954" w:rsidRPr="008E791C">
        <w:rPr>
          <w:rStyle w:val="FootnoteReference"/>
          <w:rFonts w:eastAsia="SimSun"/>
          <w:position w:val="0"/>
          <w:sz w:val="24"/>
        </w:rPr>
        <w:t xml:space="preserve"> </w:t>
      </w:r>
      <w:r w:rsidR="005D7B7D" w:rsidRPr="008E791C">
        <w:rPr>
          <w:rStyle w:val="FootnoteReference"/>
          <w:rFonts w:eastAsia="SimSun"/>
          <w:position w:val="0"/>
          <w:sz w:val="24"/>
        </w:rPr>
        <w:t xml:space="preserve"> </w:t>
      </w:r>
      <w:r w:rsidR="00313414" w:rsidRPr="008E791C">
        <w:rPr>
          <w:bCs/>
        </w:rPr>
        <w:t xml:space="preserve">Commission </w:t>
      </w:r>
      <w:r w:rsidR="00313414" w:rsidRPr="008E791C">
        <w:t>Staff</w:t>
      </w:r>
      <w:r w:rsidR="00C842AF" w:rsidRPr="008E791C">
        <w:rPr>
          <w:rFonts w:eastAsia="SimSun"/>
        </w:rPr>
        <w:t xml:space="preserve"> also state</w:t>
      </w:r>
      <w:r w:rsidR="006724B4" w:rsidRPr="008E791C">
        <w:rPr>
          <w:rFonts w:eastAsia="SimSun"/>
        </w:rPr>
        <w:t>s</w:t>
      </w:r>
      <w:r w:rsidR="00C842AF" w:rsidRPr="008E791C">
        <w:rPr>
          <w:rFonts w:eastAsia="SimSun"/>
        </w:rPr>
        <w:t xml:space="preserve"> that other Washington utilities treat it this way</w:t>
      </w:r>
      <w:r w:rsidR="001176CD" w:rsidRPr="008E791C">
        <w:rPr>
          <w:rFonts w:eastAsia="SimSun"/>
        </w:rPr>
        <w:t xml:space="preserve">. </w:t>
      </w:r>
      <w:r w:rsidR="006724B4" w:rsidRPr="008E791C">
        <w:rPr>
          <w:rFonts w:eastAsia="SimSun"/>
        </w:rPr>
        <w:t xml:space="preserve">While this may be true for some companies, </w:t>
      </w:r>
      <w:r w:rsidR="00C842AF" w:rsidRPr="008E791C">
        <w:rPr>
          <w:rFonts w:eastAsia="SimSun"/>
        </w:rPr>
        <w:t xml:space="preserve">Avista Corporation calculates </w:t>
      </w:r>
      <w:r w:rsidR="006724B4" w:rsidRPr="008E791C">
        <w:rPr>
          <w:rFonts w:eastAsia="SimSun"/>
        </w:rPr>
        <w:t>its</w:t>
      </w:r>
      <w:r w:rsidR="00C842AF" w:rsidRPr="008E791C">
        <w:rPr>
          <w:rFonts w:eastAsia="SimSun"/>
        </w:rPr>
        <w:t xml:space="preserve"> allocation of working capital</w:t>
      </w:r>
      <w:r w:rsidR="00845E05" w:rsidRPr="008E791C">
        <w:rPr>
          <w:rFonts w:eastAsia="SimSun"/>
        </w:rPr>
        <w:t xml:space="preserve"> in the same manner as PSE, which is to </w:t>
      </w:r>
      <w:r w:rsidR="00C842AF" w:rsidRPr="008E791C">
        <w:rPr>
          <w:rFonts w:eastAsia="SimSun"/>
        </w:rPr>
        <w:t>exclu</w:t>
      </w:r>
      <w:r w:rsidR="00845E05" w:rsidRPr="008E791C">
        <w:rPr>
          <w:rFonts w:eastAsia="SimSun"/>
        </w:rPr>
        <w:t>de</w:t>
      </w:r>
      <w:r w:rsidR="00C842AF" w:rsidRPr="008E791C">
        <w:rPr>
          <w:rFonts w:eastAsia="SimSun"/>
        </w:rPr>
        <w:t xml:space="preserve"> </w:t>
      </w:r>
      <w:proofErr w:type="spellStart"/>
      <w:r w:rsidR="00C842AF" w:rsidRPr="008E791C">
        <w:rPr>
          <w:rFonts w:eastAsia="SimSun"/>
        </w:rPr>
        <w:t>CWIP</w:t>
      </w:r>
      <w:proofErr w:type="spellEnd"/>
      <w:r w:rsidR="00845E05" w:rsidRPr="008E791C">
        <w:rPr>
          <w:rFonts w:eastAsia="SimSun"/>
        </w:rPr>
        <w:t xml:space="preserve"> from the calculation</w:t>
      </w:r>
      <w:r w:rsidR="00C842AF" w:rsidRPr="008E791C">
        <w:rPr>
          <w:rFonts w:eastAsia="SimSun"/>
        </w:rPr>
        <w:t>.</w:t>
      </w:r>
      <w:r w:rsidR="00C842AF" w:rsidRPr="008E791C">
        <w:rPr>
          <w:rStyle w:val="FootnoteReference"/>
          <w:rFonts w:eastAsia="SimSun"/>
        </w:rPr>
        <w:footnoteReference w:id="38"/>
      </w:r>
    </w:p>
    <w:p w:rsidR="006E66A7" w:rsidRPr="008E791C" w:rsidRDefault="006E66A7" w:rsidP="00B56012">
      <w:pPr>
        <w:pStyle w:val="question"/>
      </w:pPr>
      <w:r w:rsidRPr="008E791C">
        <w:t>Q.</w:t>
      </w:r>
      <w:r w:rsidRPr="008E791C">
        <w:tab/>
        <w:t xml:space="preserve">Why does PSE not include </w:t>
      </w:r>
      <w:proofErr w:type="spellStart"/>
      <w:r w:rsidRPr="008E791C">
        <w:t>CWIP</w:t>
      </w:r>
      <w:proofErr w:type="spellEnd"/>
      <w:r w:rsidRPr="008E791C">
        <w:t xml:space="preserve"> in the working capital allocation calculation?</w:t>
      </w:r>
    </w:p>
    <w:p w:rsidR="005E4E8A" w:rsidRPr="008E791C" w:rsidRDefault="006E66A7" w:rsidP="00B56012">
      <w:pPr>
        <w:pStyle w:val="answer"/>
        <w:rPr>
          <w:rFonts w:eastAsia="SimSun"/>
        </w:rPr>
      </w:pPr>
      <w:r w:rsidRPr="008E791C">
        <w:rPr>
          <w:rFonts w:eastAsia="SimSun"/>
        </w:rPr>
        <w:t>A.</w:t>
      </w:r>
      <w:r w:rsidRPr="008E791C">
        <w:rPr>
          <w:rFonts w:eastAsia="SimSun"/>
        </w:rPr>
        <w:tab/>
        <w:t>PSE</w:t>
      </w:r>
      <w:r w:rsidR="009C6954" w:rsidRPr="008E791C">
        <w:rPr>
          <w:rFonts w:eastAsia="SimSun"/>
        </w:rPr>
        <w:t>’</w:t>
      </w:r>
      <w:r w:rsidRPr="008E791C">
        <w:rPr>
          <w:rFonts w:eastAsia="SimSun"/>
        </w:rPr>
        <w:t xml:space="preserve">s exclusion of </w:t>
      </w:r>
      <w:proofErr w:type="spellStart"/>
      <w:r w:rsidRPr="008E791C">
        <w:rPr>
          <w:rFonts w:eastAsia="SimSun"/>
        </w:rPr>
        <w:t>CWIP</w:t>
      </w:r>
      <w:proofErr w:type="spellEnd"/>
      <w:r w:rsidRPr="008E791C">
        <w:rPr>
          <w:rFonts w:eastAsia="SimSun"/>
        </w:rPr>
        <w:t xml:space="preserve"> in the working capital allocation calculation stems from</w:t>
      </w:r>
      <w:r w:rsidR="009C6954" w:rsidRPr="008E791C">
        <w:rPr>
          <w:rFonts w:eastAsia="SimSun"/>
        </w:rPr>
        <w:t xml:space="preserve"> </w:t>
      </w:r>
      <w:r w:rsidR="00AE2BCB" w:rsidRPr="008E791C">
        <w:rPr>
          <w:rFonts w:eastAsia="SimSun"/>
        </w:rPr>
        <w:t>Cause 8</w:t>
      </w:r>
      <w:r w:rsidR="00C52321" w:rsidRPr="008E791C">
        <w:rPr>
          <w:rFonts w:eastAsia="SimSun"/>
        </w:rPr>
        <w:t>3</w:t>
      </w:r>
      <w:r w:rsidR="00AE2BCB" w:rsidRPr="008E791C">
        <w:rPr>
          <w:rFonts w:eastAsia="SimSun"/>
        </w:rPr>
        <w:t>-</w:t>
      </w:r>
      <w:r w:rsidR="00C52321" w:rsidRPr="008E791C">
        <w:rPr>
          <w:rFonts w:eastAsia="SimSun"/>
        </w:rPr>
        <w:t>54</w:t>
      </w:r>
      <w:r w:rsidR="00AE2BCB" w:rsidRPr="008E791C">
        <w:rPr>
          <w:rFonts w:eastAsia="SimSun"/>
        </w:rPr>
        <w:t>.</w:t>
      </w:r>
      <w:r w:rsidR="00C52321" w:rsidRPr="008E791C">
        <w:rPr>
          <w:rStyle w:val="FootnoteReference"/>
          <w:rFonts w:eastAsia="SimSun"/>
        </w:rPr>
        <w:footnoteReference w:id="39"/>
      </w:r>
      <w:r w:rsidR="009C6954" w:rsidRPr="008E791C">
        <w:rPr>
          <w:rFonts w:eastAsia="SimSun"/>
        </w:rPr>
        <w:t xml:space="preserve"> </w:t>
      </w:r>
      <w:r w:rsidR="00AE2BCB" w:rsidRPr="008E791C">
        <w:rPr>
          <w:rFonts w:eastAsia="SimSun"/>
        </w:rPr>
        <w:t>In that case, Commission Staff witness Merton</w:t>
      </w:r>
      <w:r w:rsidR="008A3321" w:rsidRPr="008E791C">
        <w:rPr>
          <w:rFonts w:eastAsia="SimSun"/>
        </w:rPr>
        <w:t xml:space="preserve"> Lott recommended this approach in his investor supplied working capital calculation.</w:t>
      </w:r>
      <w:r w:rsidR="009C6954" w:rsidRPr="008E791C">
        <w:rPr>
          <w:rFonts w:eastAsia="SimSun"/>
        </w:rPr>
        <w:t xml:space="preserve"> </w:t>
      </w:r>
      <w:r w:rsidR="006E0FF1" w:rsidRPr="008E791C">
        <w:t>PSE</w:t>
      </w:r>
      <w:r w:rsidR="008A3321" w:rsidRPr="008E791C">
        <w:rPr>
          <w:rFonts w:eastAsia="SimSun"/>
        </w:rPr>
        <w:t xml:space="preserve"> at that </w:t>
      </w:r>
      <w:r w:rsidR="008A3321" w:rsidRPr="008E791C">
        <w:rPr>
          <w:rFonts w:eastAsia="SimSun"/>
        </w:rPr>
        <w:lastRenderedPageBreak/>
        <w:t>time had filed a lead lag study.</w:t>
      </w:r>
      <w:r w:rsidR="009C6954" w:rsidRPr="008E791C">
        <w:rPr>
          <w:rFonts w:eastAsia="SimSun"/>
        </w:rPr>
        <w:t xml:space="preserve"> </w:t>
      </w:r>
      <w:r w:rsidR="008A3321" w:rsidRPr="008E791C">
        <w:rPr>
          <w:rFonts w:eastAsia="SimSun"/>
        </w:rPr>
        <w:t>Without expressly commenting on the allocation calculation, the Commission</w:t>
      </w:r>
      <w:r w:rsidR="009C6954" w:rsidRPr="008E791C">
        <w:rPr>
          <w:rFonts w:eastAsia="SimSun"/>
        </w:rPr>
        <w:t>’</w:t>
      </w:r>
      <w:r w:rsidR="008A3321" w:rsidRPr="008E791C">
        <w:rPr>
          <w:rFonts w:eastAsia="SimSun"/>
        </w:rPr>
        <w:t xml:space="preserve">s order in that case accepted </w:t>
      </w:r>
      <w:r w:rsidR="00313414" w:rsidRPr="008E791C">
        <w:rPr>
          <w:bCs/>
        </w:rPr>
        <w:t xml:space="preserve">Commission </w:t>
      </w:r>
      <w:r w:rsidR="00313414" w:rsidRPr="008E791C">
        <w:t>Staff</w:t>
      </w:r>
      <w:r w:rsidR="009C6954" w:rsidRPr="008E791C">
        <w:rPr>
          <w:rFonts w:eastAsia="SimSun"/>
        </w:rPr>
        <w:t>’</w:t>
      </w:r>
      <w:r w:rsidR="008A3321" w:rsidRPr="008E791C">
        <w:rPr>
          <w:rFonts w:eastAsia="SimSun"/>
        </w:rPr>
        <w:t xml:space="preserve">s investor supplied working capital over </w:t>
      </w:r>
      <w:r w:rsidR="006E0FF1" w:rsidRPr="008E791C">
        <w:t>PSE</w:t>
      </w:r>
      <w:r w:rsidR="009C6954" w:rsidRPr="008E791C">
        <w:rPr>
          <w:rFonts w:eastAsia="SimSun"/>
        </w:rPr>
        <w:t>’</w:t>
      </w:r>
      <w:r w:rsidR="008A3321" w:rsidRPr="008E791C">
        <w:rPr>
          <w:rFonts w:eastAsia="SimSun"/>
        </w:rPr>
        <w:t>s lead lag study.</w:t>
      </w:r>
    </w:p>
    <w:p w:rsidR="004A7FAE" w:rsidRPr="008E791C" w:rsidRDefault="004A7FAE" w:rsidP="00B56012">
      <w:pPr>
        <w:pStyle w:val="question"/>
      </w:pPr>
      <w:r w:rsidRPr="008E791C">
        <w:t>Q.</w:t>
      </w:r>
      <w:r w:rsidRPr="008E791C">
        <w:tab/>
        <w:t xml:space="preserve">Does </w:t>
      </w:r>
      <w:r w:rsidR="006E0FF1" w:rsidRPr="008E791C">
        <w:t>PSE</w:t>
      </w:r>
      <w:r w:rsidRPr="008E791C">
        <w:t xml:space="preserve"> earn </w:t>
      </w:r>
      <w:proofErr w:type="spellStart"/>
      <w:r w:rsidRPr="008E791C">
        <w:t>AFUDC</w:t>
      </w:r>
      <w:proofErr w:type="spellEnd"/>
      <w:r w:rsidRPr="008E791C">
        <w:t xml:space="preserve"> on all of its </w:t>
      </w:r>
      <w:proofErr w:type="spellStart"/>
      <w:r w:rsidRPr="008E791C">
        <w:t>CWIP</w:t>
      </w:r>
      <w:proofErr w:type="spellEnd"/>
      <w:r w:rsidRPr="008E791C">
        <w:t>?</w:t>
      </w:r>
    </w:p>
    <w:p w:rsidR="004A7FAE" w:rsidRPr="008E791C" w:rsidRDefault="004A7FAE" w:rsidP="00B56012">
      <w:pPr>
        <w:pStyle w:val="answer"/>
        <w:rPr>
          <w:rFonts w:eastAsia="SimSun"/>
        </w:rPr>
      </w:pPr>
      <w:r w:rsidRPr="008E791C">
        <w:rPr>
          <w:rFonts w:eastAsia="SimSun"/>
        </w:rPr>
        <w:t>A.</w:t>
      </w:r>
      <w:r w:rsidRPr="008E791C">
        <w:rPr>
          <w:rFonts w:eastAsia="SimSun"/>
        </w:rPr>
        <w:tab/>
        <w:t>No.</w:t>
      </w:r>
      <w:r w:rsidR="009C6954" w:rsidRPr="008E791C">
        <w:rPr>
          <w:rFonts w:eastAsia="SimSun"/>
        </w:rPr>
        <w:t xml:space="preserve"> </w:t>
      </w:r>
      <w:r w:rsidRPr="008E791C">
        <w:rPr>
          <w:rFonts w:eastAsia="SimSun"/>
        </w:rPr>
        <w:t xml:space="preserve">Certain construction projects are short lived and so are not eligible for </w:t>
      </w:r>
      <w:proofErr w:type="spellStart"/>
      <w:r w:rsidRPr="008E791C">
        <w:rPr>
          <w:rFonts w:eastAsia="SimSun"/>
        </w:rPr>
        <w:t>CWIP</w:t>
      </w:r>
      <w:proofErr w:type="spellEnd"/>
      <w:r w:rsidRPr="008E791C">
        <w:rPr>
          <w:rFonts w:eastAsia="SimSun"/>
        </w:rPr>
        <w:t>.</w:t>
      </w:r>
      <w:r w:rsidR="009C6954" w:rsidRPr="008E791C">
        <w:rPr>
          <w:rFonts w:eastAsia="SimSun"/>
        </w:rPr>
        <w:t xml:space="preserve"> </w:t>
      </w:r>
      <w:r w:rsidRPr="008E791C">
        <w:rPr>
          <w:rFonts w:eastAsia="SimSun"/>
        </w:rPr>
        <w:t>This means roughly 20</w:t>
      </w:r>
      <w:r w:rsidR="005D7B7D" w:rsidRPr="008E791C">
        <w:rPr>
          <w:rFonts w:eastAsia="SimSun"/>
        </w:rPr>
        <w:t xml:space="preserve"> percent</w:t>
      </w:r>
      <w:r w:rsidRPr="008E791C">
        <w:rPr>
          <w:rFonts w:eastAsia="SimSun"/>
        </w:rPr>
        <w:t xml:space="preserve"> of PSE</w:t>
      </w:r>
      <w:r w:rsidR="009C6954" w:rsidRPr="008E791C">
        <w:rPr>
          <w:rFonts w:eastAsia="SimSun"/>
        </w:rPr>
        <w:t>’</w:t>
      </w:r>
      <w:r w:rsidRPr="008E791C">
        <w:rPr>
          <w:rFonts w:eastAsia="SimSun"/>
        </w:rPr>
        <w:t xml:space="preserve">s </w:t>
      </w:r>
      <w:proofErr w:type="spellStart"/>
      <w:r w:rsidRPr="008E791C">
        <w:rPr>
          <w:rFonts w:eastAsia="SimSun"/>
        </w:rPr>
        <w:t>CWIP</w:t>
      </w:r>
      <w:proofErr w:type="spellEnd"/>
      <w:r w:rsidRPr="008E791C">
        <w:rPr>
          <w:rFonts w:eastAsia="SimSun"/>
        </w:rPr>
        <w:t xml:space="preserve"> does not earn </w:t>
      </w:r>
      <w:proofErr w:type="spellStart"/>
      <w:r w:rsidRPr="008E791C">
        <w:rPr>
          <w:rFonts w:eastAsia="SimSun"/>
        </w:rPr>
        <w:t>AFUDC</w:t>
      </w:r>
      <w:proofErr w:type="spellEnd"/>
      <w:r w:rsidRPr="008E791C">
        <w:rPr>
          <w:rFonts w:eastAsia="SimSun"/>
        </w:rPr>
        <w:t>.</w:t>
      </w:r>
    </w:p>
    <w:p w:rsidR="004A7FAE" w:rsidRPr="008E791C" w:rsidRDefault="004A7FAE" w:rsidP="00B56012">
      <w:pPr>
        <w:pStyle w:val="question"/>
      </w:pPr>
      <w:r w:rsidRPr="008E791C">
        <w:t>Q.</w:t>
      </w:r>
      <w:r w:rsidRPr="008E791C">
        <w:tab/>
        <w:t xml:space="preserve">Do you think it is appropriate to exclude </w:t>
      </w:r>
      <w:proofErr w:type="spellStart"/>
      <w:r w:rsidRPr="008E791C">
        <w:t>CWIP</w:t>
      </w:r>
      <w:proofErr w:type="spellEnd"/>
      <w:r w:rsidRPr="008E791C">
        <w:t xml:space="preserve"> from the working capital allocation calculation?</w:t>
      </w:r>
    </w:p>
    <w:p w:rsidR="004A7FAE" w:rsidRPr="008E791C" w:rsidRDefault="004A7FAE" w:rsidP="00B56012">
      <w:pPr>
        <w:pStyle w:val="answer"/>
        <w:rPr>
          <w:rFonts w:eastAsia="SimSun"/>
        </w:rPr>
      </w:pPr>
      <w:r w:rsidRPr="008E791C">
        <w:rPr>
          <w:rFonts w:eastAsia="SimSun"/>
        </w:rPr>
        <w:t>A.</w:t>
      </w:r>
      <w:r w:rsidRPr="008E791C">
        <w:rPr>
          <w:rFonts w:eastAsia="SimSun"/>
        </w:rPr>
        <w:tab/>
        <w:t>Yes.</w:t>
      </w:r>
      <w:r w:rsidR="009C6954" w:rsidRPr="008E791C">
        <w:rPr>
          <w:rFonts w:eastAsia="SimSun"/>
        </w:rPr>
        <w:t xml:space="preserve"> </w:t>
      </w:r>
      <w:proofErr w:type="spellStart"/>
      <w:r w:rsidRPr="008E791C">
        <w:rPr>
          <w:rFonts w:eastAsia="SimSun"/>
        </w:rPr>
        <w:t>CWIP</w:t>
      </w:r>
      <w:proofErr w:type="spellEnd"/>
      <w:r w:rsidRPr="008E791C">
        <w:rPr>
          <w:rFonts w:eastAsia="SimSun"/>
        </w:rPr>
        <w:t xml:space="preserve"> is different than most other accounts because it will eventually be included in </w:t>
      </w:r>
      <w:r w:rsidR="006E0FF1" w:rsidRPr="008E791C">
        <w:t>PSE</w:t>
      </w:r>
      <w:r w:rsidR="009C6954" w:rsidRPr="008E791C">
        <w:rPr>
          <w:rFonts w:eastAsia="SimSun"/>
        </w:rPr>
        <w:t>’</w:t>
      </w:r>
      <w:r w:rsidRPr="008E791C">
        <w:rPr>
          <w:rFonts w:eastAsia="SimSun"/>
        </w:rPr>
        <w:t>s rate base investments as plant in service</w:t>
      </w:r>
      <w:r w:rsidR="00B17DEC" w:rsidRPr="008E791C">
        <w:rPr>
          <w:rFonts w:eastAsia="SimSun"/>
        </w:rPr>
        <w:t xml:space="preserve"> and is clearly related to utility business</w:t>
      </w:r>
      <w:r w:rsidRPr="008E791C">
        <w:rPr>
          <w:rFonts w:eastAsia="SimSun"/>
        </w:rPr>
        <w:t>.</w:t>
      </w:r>
      <w:r w:rsidR="009C6954" w:rsidRPr="008E791C">
        <w:rPr>
          <w:rFonts w:eastAsia="SimSun"/>
        </w:rPr>
        <w:t xml:space="preserve"> </w:t>
      </w:r>
      <w:r w:rsidR="00B17DEC" w:rsidRPr="008E791C">
        <w:rPr>
          <w:rFonts w:eastAsia="SimSun"/>
        </w:rPr>
        <w:t xml:space="preserve">Additionally, it does not all earn </w:t>
      </w:r>
      <w:proofErr w:type="spellStart"/>
      <w:r w:rsidR="00B17DEC" w:rsidRPr="008E791C">
        <w:rPr>
          <w:rFonts w:eastAsia="SimSun"/>
        </w:rPr>
        <w:t>AFUDC</w:t>
      </w:r>
      <w:proofErr w:type="spellEnd"/>
      <w:r w:rsidR="00B17DEC" w:rsidRPr="008E791C">
        <w:rPr>
          <w:rFonts w:eastAsia="SimSun"/>
        </w:rPr>
        <w:t>.</w:t>
      </w:r>
      <w:r w:rsidR="009C6954" w:rsidRPr="008E791C">
        <w:rPr>
          <w:rFonts w:eastAsia="SimSun"/>
        </w:rPr>
        <w:t xml:space="preserve"> </w:t>
      </w:r>
      <w:r w:rsidR="00B17DEC" w:rsidRPr="008E791C">
        <w:rPr>
          <w:rFonts w:eastAsia="SimSun"/>
        </w:rPr>
        <w:t xml:space="preserve">Finally, Commission Staff has previously provided this method for excluding it from the allocation calculation in order to recognize the uniqueness of </w:t>
      </w:r>
      <w:proofErr w:type="spellStart"/>
      <w:r w:rsidR="00B17DEC" w:rsidRPr="008E791C">
        <w:rPr>
          <w:rFonts w:eastAsia="SimSun"/>
        </w:rPr>
        <w:t>CWIP</w:t>
      </w:r>
      <w:proofErr w:type="spellEnd"/>
      <w:r w:rsidR="00B17DEC" w:rsidRPr="008E791C">
        <w:rPr>
          <w:rFonts w:eastAsia="SimSun"/>
        </w:rPr>
        <w:t>.</w:t>
      </w:r>
      <w:r w:rsidR="009C6954" w:rsidRPr="008E791C">
        <w:rPr>
          <w:rFonts w:eastAsia="SimSun"/>
        </w:rPr>
        <w:t xml:space="preserve"> </w:t>
      </w:r>
      <w:r w:rsidR="00B17DEC" w:rsidRPr="008E791C">
        <w:rPr>
          <w:rFonts w:eastAsia="SimSun"/>
        </w:rPr>
        <w:t>For these reasons, the Commission should not change the long-standing method that PSE has followed.</w:t>
      </w:r>
    </w:p>
    <w:p w:rsidR="004235B9" w:rsidRPr="008E791C" w:rsidRDefault="004235B9" w:rsidP="00B56012">
      <w:pPr>
        <w:pStyle w:val="question"/>
      </w:pPr>
      <w:r w:rsidRPr="008E791C">
        <w:t>Q.</w:t>
      </w:r>
      <w:r w:rsidRPr="008E791C">
        <w:tab/>
        <w:t xml:space="preserve">Did you find any errors when reviewing the way Commission Staff included </w:t>
      </w:r>
      <w:r w:rsidR="005D7B7D" w:rsidRPr="008E791C">
        <w:t>its</w:t>
      </w:r>
      <w:r w:rsidRPr="008E791C">
        <w:t xml:space="preserve"> working capital adjustments in the determination of </w:t>
      </w:r>
      <w:r w:rsidR="005D7B7D" w:rsidRPr="008E791C">
        <w:t>its</w:t>
      </w:r>
      <w:r w:rsidRPr="008E791C">
        <w:t xml:space="preserve"> revenue requirement?</w:t>
      </w:r>
    </w:p>
    <w:p w:rsidR="005164EE" w:rsidRPr="008E791C" w:rsidRDefault="004235B9" w:rsidP="00B56012">
      <w:pPr>
        <w:pStyle w:val="answer"/>
        <w:rPr>
          <w:rFonts w:eastAsia="SimSun"/>
        </w:rPr>
      </w:pPr>
      <w:r w:rsidRPr="008E791C">
        <w:rPr>
          <w:rFonts w:eastAsia="SimSun"/>
        </w:rPr>
        <w:t>A.</w:t>
      </w:r>
      <w:r w:rsidRPr="008E791C">
        <w:rPr>
          <w:rFonts w:eastAsia="SimSun"/>
        </w:rPr>
        <w:tab/>
      </w:r>
      <w:r w:rsidR="009513F4" w:rsidRPr="008E791C">
        <w:rPr>
          <w:rFonts w:eastAsia="SimSun"/>
        </w:rPr>
        <w:t>Yes.</w:t>
      </w:r>
      <w:r w:rsidR="009C6954" w:rsidRPr="008E791C">
        <w:rPr>
          <w:rFonts w:eastAsia="SimSun"/>
        </w:rPr>
        <w:t xml:space="preserve"> </w:t>
      </w:r>
      <w:r w:rsidR="009513F4" w:rsidRPr="008E791C">
        <w:rPr>
          <w:rFonts w:eastAsia="SimSun"/>
        </w:rPr>
        <w:t xml:space="preserve">I found </w:t>
      </w:r>
      <w:r w:rsidR="00BA6140" w:rsidRPr="008E791C">
        <w:rPr>
          <w:rFonts w:eastAsia="SimSun"/>
        </w:rPr>
        <w:t xml:space="preserve">two </w:t>
      </w:r>
      <w:r w:rsidR="009513F4" w:rsidRPr="008E791C">
        <w:rPr>
          <w:rFonts w:eastAsia="SimSun"/>
        </w:rPr>
        <w:t>errors when reviewing Commission Staff</w:t>
      </w:r>
      <w:r w:rsidR="009C6954" w:rsidRPr="008E791C">
        <w:rPr>
          <w:rFonts w:eastAsia="SimSun"/>
        </w:rPr>
        <w:t>’</w:t>
      </w:r>
      <w:r w:rsidR="009513F4" w:rsidRPr="008E791C">
        <w:rPr>
          <w:rFonts w:eastAsia="SimSun"/>
        </w:rPr>
        <w:t xml:space="preserve">s adjustments </w:t>
      </w:r>
      <w:r w:rsidR="00BA6140" w:rsidRPr="008E791C">
        <w:rPr>
          <w:rFonts w:eastAsia="SimSun"/>
        </w:rPr>
        <w:t>as presented in Exhibit SEF-</w:t>
      </w:r>
      <w:r w:rsidR="00164C58">
        <w:rPr>
          <w:rFonts w:eastAsia="SimSun"/>
        </w:rPr>
        <w:t>19</w:t>
      </w:r>
      <w:r w:rsidR="009513F4" w:rsidRPr="008E791C">
        <w:rPr>
          <w:rFonts w:eastAsia="SimSun"/>
        </w:rPr>
        <w:t>.</w:t>
      </w:r>
      <w:r w:rsidR="009C6954" w:rsidRPr="008E791C">
        <w:rPr>
          <w:rFonts w:eastAsia="SimSun"/>
        </w:rPr>
        <w:t xml:space="preserve"> </w:t>
      </w:r>
    </w:p>
    <w:p w:rsidR="005164EE" w:rsidRPr="008E791C" w:rsidRDefault="009513F4" w:rsidP="00B56012">
      <w:pPr>
        <w:pStyle w:val="answer"/>
        <w:keepNext/>
        <w:spacing w:after="280" w:line="240" w:lineRule="auto"/>
        <w:ind w:firstLine="0"/>
        <w:rPr>
          <w:rFonts w:eastAsia="SimSun"/>
        </w:rPr>
      </w:pPr>
      <w:r w:rsidRPr="008E791C">
        <w:rPr>
          <w:rFonts w:eastAsia="SimSun"/>
          <w:b/>
          <w:u w:val="single"/>
        </w:rPr>
        <w:lastRenderedPageBreak/>
        <w:t xml:space="preserve">Working Capital </w:t>
      </w:r>
      <w:r w:rsidR="00C34FCE" w:rsidRPr="008E791C">
        <w:rPr>
          <w:rFonts w:eastAsia="SimSun"/>
          <w:b/>
          <w:u w:val="single"/>
        </w:rPr>
        <w:t>a</w:t>
      </w:r>
      <w:r w:rsidRPr="008E791C">
        <w:rPr>
          <w:rFonts w:eastAsia="SimSun"/>
          <w:b/>
          <w:u w:val="single"/>
        </w:rPr>
        <w:t xml:space="preserve">djustment for </w:t>
      </w:r>
      <w:r w:rsidR="00C34FCE" w:rsidRPr="008E791C">
        <w:rPr>
          <w:rFonts w:eastAsia="SimSun"/>
          <w:b/>
          <w:u w:val="single"/>
        </w:rPr>
        <w:t>s</w:t>
      </w:r>
      <w:r w:rsidRPr="008E791C">
        <w:rPr>
          <w:rFonts w:eastAsia="SimSun"/>
          <w:b/>
          <w:u w:val="single"/>
        </w:rPr>
        <w:t xml:space="preserve">torm and </w:t>
      </w:r>
      <w:r w:rsidR="00F97C77" w:rsidRPr="008E791C">
        <w:rPr>
          <w:rFonts w:eastAsia="SimSun"/>
          <w:b/>
          <w:u w:val="single"/>
        </w:rPr>
        <w:t>pro forma</w:t>
      </w:r>
      <w:r w:rsidRPr="008E791C">
        <w:rPr>
          <w:rFonts w:eastAsia="SimSun"/>
          <w:b/>
          <w:u w:val="single"/>
        </w:rPr>
        <w:t xml:space="preserve"> </w:t>
      </w:r>
      <w:r w:rsidR="00C34FCE" w:rsidRPr="008E791C">
        <w:rPr>
          <w:rFonts w:eastAsia="SimSun"/>
          <w:b/>
          <w:u w:val="single"/>
        </w:rPr>
        <w:t>e</w:t>
      </w:r>
      <w:r w:rsidRPr="008E791C">
        <w:rPr>
          <w:rFonts w:eastAsia="SimSun"/>
          <w:b/>
          <w:u w:val="single"/>
        </w:rPr>
        <w:t xml:space="preserve">nvironmental </w:t>
      </w:r>
      <w:r w:rsidR="00C34FCE" w:rsidRPr="008E791C">
        <w:rPr>
          <w:rFonts w:eastAsia="SimSun"/>
          <w:b/>
          <w:u w:val="single"/>
        </w:rPr>
        <w:t>r</w:t>
      </w:r>
      <w:r w:rsidRPr="008E791C">
        <w:rPr>
          <w:rFonts w:eastAsia="SimSun"/>
          <w:b/>
          <w:u w:val="single"/>
        </w:rPr>
        <w:t xml:space="preserve">emediation </w:t>
      </w:r>
      <w:r w:rsidR="00C34FCE" w:rsidRPr="008E791C">
        <w:rPr>
          <w:rFonts w:eastAsia="SimSun"/>
          <w:b/>
          <w:u w:val="single"/>
        </w:rPr>
        <w:t>a</w:t>
      </w:r>
      <w:r w:rsidRPr="008E791C">
        <w:rPr>
          <w:rFonts w:eastAsia="SimSun"/>
          <w:b/>
          <w:u w:val="single"/>
        </w:rPr>
        <w:t>mortization</w:t>
      </w:r>
    </w:p>
    <w:p w:rsidR="005164EE" w:rsidRPr="008E791C" w:rsidRDefault="00C665A7" w:rsidP="00B56012">
      <w:pPr>
        <w:pStyle w:val="answer"/>
        <w:ind w:firstLine="0"/>
        <w:rPr>
          <w:rFonts w:eastAsia="SimSun"/>
        </w:rPr>
      </w:pPr>
      <w:r w:rsidRPr="008E791C">
        <w:rPr>
          <w:rFonts w:eastAsia="SimSun"/>
        </w:rPr>
        <w:t>Mr. Thomas E. Schooley propose</w:t>
      </w:r>
      <w:r w:rsidR="004B7D1B" w:rsidRPr="008E791C">
        <w:rPr>
          <w:rFonts w:eastAsia="SimSun"/>
        </w:rPr>
        <w:t>s an inappropriate adjustment</w:t>
      </w:r>
      <w:r w:rsidRPr="008E791C">
        <w:rPr>
          <w:rFonts w:eastAsia="SimSun"/>
        </w:rPr>
        <w:t xml:space="preserve"> to working capital and include</w:t>
      </w:r>
      <w:r w:rsidR="004B7D1B" w:rsidRPr="008E791C">
        <w:rPr>
          <w:rFonts w:eastAsia="SimSun"/>
        </w:rPr>
        <w:t>s</w:t>
      </w:r>
      <w:r w:rsidRPr="008E791C">
        <w:rPr>
          <w:rFonts w:eastAsia="SimSun"/>
        </w:rPr>
        <w:t xml:space="preserve"> </w:t>
      </w:r>
      <w:r w:rsidR="004B7D1B" w:rsidRPr="008E791C">
        <w:rPr>
          <w:rFonts w:eastAsia="SimSun"/>
        </w:rPr>
        <w:t>his adjustment</w:t>
      </w:r>
      <w:r w:rsidRPr="008E791C">
        <w:rPr>
          <w:rFonts w:eastAsia="SimSun"/>
        </w:rPr>
        <w:t xml:space="preserve"> without following Ms. </w:t>
      </w:r>
      <w:proofErr w:type="spellStart"/>
      <w:r w:rsidRPr="008E791C">
        <w:rPr>
          <w:rFonts w:eastAsia="SimSun"/>
        </w:rPr>
        <w:t>Erdahl</w:t>
      </w:r>
      <w:r w:rsidR="009C6954" w:rsidRPr="008E791C">
        <w:rPr>
          <w:rFonts w:eastAsia="SimSun"/>
        </w:rPr>
        <w:t>’</w:t>
      </w:r>
      <w:r w:rsidRPr="008E791C">
        <w:rPr>
          <w:rFonts w:eastAsia="SimSun"/>
        </w:rPr>
        <w:t>s</w:t>
      </w:r>
      <w:proofErr w:type="spellEnd"/>
      <w:r w:rsidRPr="008E791C">
        <w:rPr>
          <w:rFonts w:eastAsia="SimSun"/>
        </w:rPr>
        <w:t xml:space="preserve"> recommended working capital allocations between electric, gas and non-utility</w:t>
      </w:r>
      <w:r w:rsidR="001176CD" w:rsidRPr="008E791C">
        <w:rPr>
          <w:rFonts w:eastAsia="SimSun"/>
        </w:rPr>
        <w:t xml:space="preserve">. In her rebuttal testimony, </w:t>
      </w:r>
      <w:r w:rsidR="007F776F" w:rsidRPr="008E791C">
        <w:rPr>
          <w:rFonts w:eastAsia="SimSun"/>
        </w:rPr>
        <w:t>Ms. Katherine J. Barnard addresses why Mr. Schooley</w:t>
      </w:r>
      <w:r w:rsidR="009C6954" w:rsidRPr="008E791C">
        <w:rPr>
          <w:rFonts w:eastAsia="SimSun"/>
        </w:rPr>
        <w:t>’</w:t>
      </w:r>
      <w:r w:rsidR="007F776F" w:rsidRPr="008E791C">
        <w:rPr>
          <w:rFonts w:eastAsia="SimSun"/>
        </w:rPr>
        <w:t xml:space="preserve">s </w:t>
      </w:r>
      <w:r w:rsidR="00FC2A51" w:rsidRPr="008E791C">
        <w:rPr>
          <w:rFonts w:eastAsia="SimSun"/>
        </w:rPr>
        <w:t xml:space="preserve">storm </w:t>
      </w:r>
      <w:r w:rsidR="007F776F" w:rsidRPr="008E791C">
        <w:rPr>
          <w:rFonts w:eastAsia="SimSun"/>
        </w:rPr>
        <w:t>adjustment</w:t>
      </w:r>
      <w:r w:rsidR="00C34FCE" w:rsidRPr="008E791C">
        <w:rPr>
          <w:rFonts w:eastAsia="SimSun"/>
        </w:rPr>
        <w:t>,</w:t>
      </w:r>
      <w:r w:rsidR="007F776F" w:rsidRPr="008E791C">
        <w:rPr>
          <w:rFonts w:eastAsia="SimSun"/>
        </w:rPr>
        <w:t xml:space="preserve"> </w:t>
      </w:r>
      <w:r w:rsidR="00FC2A51" w:rsidRPr="008E791C">
        <w:rPr>
          <w:rFonts w:eastAsia="SimSun"/>
        </w:rPr>
        <w:t xml:space="preserve">as well as his adjustment </w:t>
      </w:r>
      <w:r w:rsidR="007F776F" w:rsidRPr="008E791C">
        <w:rPr>
          <w:rFonts w:eastAsia="SimSun"/>
        </w:rPr>
        <w:t>to working capital for storm</w:t>
      </w:r>
      <w:r w:rsidR="00C34FCE" w:rsidRPr="008E791C">
        <w:rPr>
          <w:rFonts w:eastAsia="SimSun"/>
        </w:rPr>
        <w:t>,</w:t>
      </w:r>
      <w:r w:rsidR="007F776F" w:rsidRPr="008E791C">
        <w:rPr>
          <w:rFonts w:eastAsia="SimSun"/>
        </w:rPr>
        <w:t xml:space="preserve"> is inappropriate.</w:t>
      </w:r>
      <w:r w:rsidR="009C6954" w:rsidRPr="008E791C">
        <w:rPr>
          <w:rFonts w:eastAsia="SimSun"/>
        </w:rPr>
        <w:t xml:space="preserve"> </w:t>
      </w:r>
      <w:r w:rsidR="007F776F" w:rsidRPr="008E791C">
        <w:rPr>
          <w:rFonts w:eastAsia="SimSun"/>
        </w:rPr>
        <w:t xml:space="preserve">However, if the Commission were to decide in favor of </w:t>
      </w:r>
      <w:r w:rsidR="004B7D1B" w:rsidRPr="008E791C">
        <w:rPr>
          <w:rFonts w:eastAsia="SimSun"/>
        </w:rPr>
        <w:t>this working capital adjustment</w:t>
      </w:r>
      <w:r w:rsidR="007F776F" w:rsidRPr="008E791C">
        <w:rPr>
          <w:rFonts w:eastAsia="SimSun"/>
        </w:rPr>
        <w:t xml:space="preserve">, there are errors in the way </w:t>
      </w:r>
      <w:r w:rsidR="004B7D1B" w:rsidRPr="008E791C">
        <w:rPr>
          <w:rFonts w:eastAsia="SimSun"/>
        </w:rPr>
        <w:t xml:space="preserve">it has </w:t>
      </w:r>
      <w:r w:rsidR="007F776F" w:rsidRPr="008E791C">
        <w:rPr>
          <w:rFonts w:eastAsia="SimSun"/>
        </w:rPr>
        <w:t>been used to adjust the working capital and the revenue requirement in the exhibits of Ms. Melissa C. Cheesman.</w:t>
      </w:r>
      <w:r w:rsidR="009C6954" w:rsidRPr="008E791C">
        <w:rPr>
          <w:rFonts w:eastAsia="SimSun"/>
        </w:rPr>
        <w:t xml:space="preserve"> </w:t>
      </w:r>
      <w:r w:rsidR="00D37FB7" w:rsidRPr="008E791C">
        <w:rPr>
          <w:rFonts w:eastAsia="SimSun"/>
        </w:rPr>
        <w:t>First, the balances Mr. </w:t>
      </w:r>
      <w:r w:rsidR="007F776F" w:rsidRPr="008E791C">
        <w:rPr>
          <w:rFonts w:eastAsia="SimSun"/>
        </w:rPr>
        <w:t xml:space="preserve">Schooley uses to adjust working capital are not the same balances that are included in the original </w:t>
      </w:r>
      <w:r w:rsidR="004B7D1B" w:rsidRPr="008E791C">
        <w:rPr>
          <w:rFonts w:eastAsia="SimSun"/>
        </w:rPr>
        <w:t xml:space="preserve">working capital </w:t>
      </w:r>
      <w:r w:rsidR="007F776F" w:rsidRPr="008E791C">
        <w:rPr>
          <w:rFonts w:eastAsia="SimSun"/>
        </w:rPr>
        <w:t>calculation.</w:t>
      </w:r>
      <w:r w:rsidR="009C6954" w:rsidRPr="008E791C">
        <w:rPr>
          <w:rFonts w:eastAsia="SimSun"/>
        </w:rPr>
        <w:t xml:space="preserve"> </w:t>
      </w:r>
      <w:r w:rsidR="007F776F" w:rsidRPr="008E791C">
        <w:rPr>
          <w:rFonts w:eastAsia="SimSun"/>
        </w:rPr>
        <w:t xml:space="preserve">The test year </w:t>
      </w:r>
      <w:r w:rsidR="00F97C77" w:rsidRPr="008E791C">
        <w:rPr>
          <w:rFonts w:eastAsia="SimSun"/>
        </w:rPr>
        <w:t>average</w:t>
      </w:r>
      <w:r w:rsidR="00A546E9" w:rsidRPr="008E791C">
        <w:rPr>
          <w:rFonts w:eastAsia="SimSun"/>
        </w:rPr>
        <w:t xml:space="preserve"> of monthly averages (</w:t>
      </w:r>
      <w:r w:rsidR="009C6954" w:rsidRPr="008E791C">
        <w:rPr>
          <w:rFonts w:eastAsia="SimSun"/>
        </w:rPr>
        <w:t>“</w:t>
      </w:r>
      <w:r w:rsidR="007F776F" w:rsidRPr="008E791C">
        <w:rPr>
          <w:rFonts w:eastAsia="SimSun"/>
        </w:rPr>
        <w:t>AMA</w:t>
      </w:r>
      <w:r w:rsidR="009C6954" w:rsidRPr="008E791C">
        <w:rPr>
          <w:rFonts w:eastAsia="SimSun"/>
        </w:rPr>
        <w:t>”</w:t>
      </w:r>
      <w:r w:rsidR="00A546E9" w:rsidRPr="008E791C">
        <w:rPr>
          <w:rFonts w:eastAsia="SimSun"/>
        </w:rPr>
        <w:t>)</w:t>
      </w:r>
      <w:r w:rsidR="007F776F" w:rsidRPr="008E791C">
        <w:rPr>
          <w:rFonts w:eastAsia="SimSun"/>
        </w:rPr>
        <w:t xml:space="preserve"> balances of the storm deferrals should be used to calculate the adjustment to working capital.</w:t>
      </w:r>
      <w:r w:rsidR="009C6954" w:rsidRPr="008E791C">
        <w:rPr>
          <w:rFonts w:eastAsia="SimSun"/>
        </w:rPr>
        <w:t xml:space="preserve"> </w:t>
      </w:r>
      <w:r w:rsidR="007F776F" w:rsidRPr="008E791C">
        <w:rPr>
          <w:rFonts w:eastAsia="SimSun"/>
        </w:rPr>
        <w:t>Additionally, the amount of working capital that would be adjusted must be allocated to electric, gas and non-utility following the ending working capital ratios that result from the Commission</w:t>
      </w:r>
      <w:r w:rsidR="009C6954" w:rsidRPr="008E791C">
        <w:rPr>
          <w:rFonts w:eastAsia="SimSun"/>
        </w:rPr>
        <w:t>’</w:t>
      </w:r>
      <w:r w:rsidR="007F776F" w:rsidRPr="008E791C">
        <w:rPr>
          <w:rFonts w:eastAsia="SimSun"/>
        </w:rPr>
        <w:t xml:space="preserve">s decisions related to the contested items in the working capital adjustment </w:t>
      </w:r>
      <w:r w:rsidR="00CC5E19" w:rsidRPr="008E791C">
        <w:rPr>
          <w:rFonts w:eastAsia="SimSun"/>
        </w:rPr>
        <w:t xml:space="preserve">as </w:t>
      </w:r>
      <w:r w:rsidR="007F776F" w:rsidRPr="008E791C">
        <w:rPr>
          <w:rFonts w:eastAsia="SimSun"/>
        </w:rPr>
        <w:t>discussed in this section.</w:t>
      </w:r>
      <w:r w:rsidR="009C6954" w:rsidRPr="008E791C">
        <w:rPr>
          <w:rFonts w:eastAsia="SimSun"/>
        </w:rPr>
        <w:t xml:space="preserve"> </w:t>
      </w:r>
      <w:r w:rsidR="007F776F" w:rsidRPr="008E791C">
        <w:rPr>
          <w:rFonts w:eastAsia="SimSun"/>
        </w:rPr>
        <w:t>This allocation should also be followed if Ms. O</w:t>
      </w:r>
      <w:r w:rsidR="009C6954" w:rsidRPr="008E791C">
        <w:rPr>
          <w:rFonts w:eastAsia="SimSun"/>
        </w:rPr>
        <w:t>’</w:t>
      </w:r>
      <w:r w:rsidR="007F776F" w:rsidRPr="008E791C">
        <w:rPr>
          <w:rFonts w:eastAsia="SimSun"/>
        </w:rPr>
        <w:t>Connell</w:t>
      </w:r>
      <w:r w:rsidR="009C6954" w:rsidRPr="008E791C">
        <w:rPr>
          <w:rFonts w:eastAsia="SimSun"/>
        </w:rPr>
        <w:t>’</w:t>
      </w:r>
      <w:r w:rsidR="007F776F" w:rsidRPr="008E791C">
        <w:rPr>
          <w:rFonts w:eastAsia="SimSun"/>
        </w:rPr>
        <w:t>s adjustment is accepted.</w:t>
      </w:r>
      <w:r w:rsidR="009C6954" w:rsidRPr="008E791C">
        <w:rPr>
          <w:rFonts w:eastAsia="SimSun"/>
        </w:rPr>
        <w:t xml:space="preserve"> </w:t>
      </w:r>
      <w:r w:rsidR="00E332AB" w:rsidRPr="008E791C">
        <w:rPr>
          <w:rFonts w:eastAsia="SimSun"/>
        </w:rPr>
        <w:t>I have included Exhibit SEF-</w:t>
      </w:r>
      <w:r w:rsidR="00164C58">
        <w:rPr>
          <w:rFonts w:eastAsia="SimSun"/>
        </w:rPr>
        <w:t>31</w:t>
      </w:r>
      <w:r w:rsidR="00A546E9" w:rsidRPr="008E791C">
        <w:rPr>
          <w:rFonts w:eastAsia="SimSun"/>
        </w:rPr>
        <w:t>,</w:t>
      </w:r>
      <w:r w:rsidR="00E332AB" w:rsidRPr="008E791C">
        <w:rPr>
          <w:rFonts w:eastAsia="SimSun"/>
        </w:rPr>
        <w:t xml:space="preserve"> which includes Commission Staff</w:t>
      </w:r>
      <w:r w:rsidR="009C6954" w:rsidRPr="008E791C">
        <w:rPr>
          <w:rFonts w:eastAsia="SimSun"/>
        </w:rPr>
        <w:t>’</w:t>
      </w:r>
      <w:r w:rsidR="00E332AB" w:rsidRPr="008E791C">
        <w:rPr>
          <w:rFonts w:eastAsia="SimSun"/>
        </w:rPr>
        <w:t xml:space="preserve">s Response to PSE Data Request Nos. 8 and 14 </w:t>
      </w:r>
      <w:r w:rsidR="00C34FCE" w:rsidRPr="008E791C">
        <w:rPr>
          <w:rFonts w:eastAsia="SimSun"/>
        </w:rPr>
        <w:t xml:space="preserve">and </w:t>
      </w:r>
      <w:r w:rsidR="00E332AB" w:rsidRPr="008E791C">
        <w:rPr>
          <w:rFonts w:eastAsia="SimSun"/>
        </w:rPr>
        <w:t>provides Commission Staff</w:t>
      </w:r>
      <w:r w:rsidR="009C6954" w:rsidRPr="008E791C">
        <w:rPr>
          <w:rFonts w:eastAsia="SimSun"/>
        </w:rPr>
        <w:t>’</w:t>
      </w:r>
      <w:r w:rsidR="00E332AB" w:rsidRPr="008E791C">
        <w:rPr>
          <w:rFonts w:eastAsia="SimSun"/>
        </w:rPr>
        <w:t xml:space="preserve">s </w:t>
      </w:r>
      <w:r w:rsidR="00A546E9" w:rsidRPr="008E791C">
        <w:rPr>
          <w:rFonts w:eastAsia="SimSun"/>
        </w:rPr>
        <w:t>confirmation</w:t>
      </w:r>
      <w:r w:rsidR="00E332AB" w:rsidRPr="008E791C">
        <w:rPr>
          <w:rFonts w:eastAsia="SimSun"/>
        </w:rPr>
        <w:t xml:space="preserve"> that an alternative way</w:t>
      </w:r>
      <w:r w:rsidR="001176CD" w:rsidRPr="008E791C">
        <w:rPr>
          <w:rFonts w:eastAsia="SimSun"/>
        </w:rPr>
        <w:t>,</w:t>
      </w:r>
      <w:r w:rsidR="00E332AB" w:rsidRPr="008E791C">
        <w:rPr>
          <w:rFonts w:eastAsia="SimSun"/>
        </w:rPr>
        <w:t xml:space="preserve"> </w:t>
      </w:r>
      <w:r w:rsidR="00C34FCE" w:rsidRPr="008E791C">
        <w:rPr>
          <w:rFonts w:eastAsia="SimSun"/>
        </w:rPr>
        <w:t xml:space="preserve">different </w:t>
      </w:r>
      <w:r w:rsidR="001176CD" w:rsidRPr="008E791C">
        <w:rPr>
          <w:rFonts w:eastAsia="SimSun"/>
        </w:rPr>
        <w:t xml:space="preserve">from </w:t>
      </w:r>
      <w:r w:rsidR="00075F33" w:rsidRPr="008E791C">
        <w:rPr>
          <w:rFonts w:eastAsia="SimSun"/>
        </w:rPr>
        <w:t>the way their adjustment was made</w:t>
      </w:r>
      <w:r w:rsidR="001176CD" w:rsidRPr="008E791C">
        <w:rPr>
          <w:rFonts w:eastAsia="SimSun"/>
        </w:rPr>
        <w:t>,</w:t>
      </w:r>
      <w:r w:rsidR="00075F33" w:rsidRPr="008E791C">
        <w:rPr>
          <w:rFonts w:eastAsia="SimSun"/>
        </w:rPr>
        <w:t xml:space="preserve"> </w:t>
      </w:r>
      <w:r w:rsidR="00E332AB" w:rsidRPr="008E791C">
        <w:rPr>
          <w:rFonts w:eastAsia="SimSun"/>
        </w:rPr>
        <w:t>may be more appropriate.</w:t>
      </w:r>
      <w:r w:rsidR="009C6954" w:rsidRPr="008E791C">
        <w:rPr>
          <w:rFonts w:eastAsia="SimSun"/>
        </w:rPr>
        <w:t xml:space="preserve"> </w:t>
      </w:r>
      <w:r w:rsidR="004B7D1B" w:rsidRPr="008E791C">
        <w:rPr>
          <w:rFonts w:eastAsia="SimSun"/>
        </w:rPr>
        <w:t>Page 3 of Exhibit</w:t>
      </w:r>
      <w:r w:rsidR="00B50E00" w:rsidRPr="008E791C">
        <w:rPr>
          <w:rFonts w:eastAsia="SimSun"/>
        </w:rPr>
        <w:t> 31</w:t>
      </w:r>
      <w:r w:rsidR="00C90FAD" w:rsidRPr="008E791C">
        <w:rPr>
          <w:rFonts w:eastAsia="SimSun"/>
        </w:rPr>
        <w:t xml:space="preserve"> </w:t>
      </w:r>
      <w:r w:rsidR="004B7D1B" w:rsidRPr="008E791C">
        <w:rPr>
          <w:rFonts w:eastAsia="SimSun"/>
        </w:rPr>
        <w:t xml:space="preserve">shows the working capital adjustment for </w:t>
      </w:r>
      <w:r w:rsidR="004B7D1B" w:rsidRPr="008E791C">
        <w:rPr>
          <w:rFonts w:eastAsia="SimSun"/>
        </w:rPr>
        <w:lastRenderedPageBreak/>
        <w:t>Storm as recommended by Commission Staff and shows the correct way to calculate the adjustment to working capital if the Commission were to accept Mr. Schooley</w:t>
      </w:r>
      <w:r w:rsidR="009C6954" w:rsidRPr="008E791C">
        <w:rPr>
          <w:rFonts w:eastAsia="SimSun"/>
        </w:rPr>
        <w:t>’</w:t>
      </w:r>
      <w:r w:rsidR="004B7D1B" w:rsidRPr="008E791C">
        <w:rPr>
          <w:rFonts w:eastAsia="SimSun"/>
        </w:rPr>
        <w:t>s adjustment.</w:t>
      </w:r>
      <w:r w:rsidR="009C6954" w:rsidRPr="008E791C">
        <w:rPr>
          <w:rFonts w:eastAsia="SimSun"/>
        </w:rPr>
        <w:t xml:space="preserve"> </w:t>
      </w:r>
      <w:r w:rsidR="004B7D1B" w:rsidRPr="008E791C">
        <w:rPr>
          <w:rFonts w:eastAsia="SimSun"/>
        </w:rPr>
        <w:t xml:space="preserve">Ultimately, the working capital ratios shown in Column (d) on page 3 </w:t>
      </w:r>
      <w:r w:rsidR="00CC5E19" w:rsidRPr="008E791C">
        <w:rPr>
          <w:rFonts w:eastAsia="SimSun"/>
        </w:rPr>
        <w:t>of Exhibit SEF-</w:t>
      </w:r>
      <w:r w:rsidR="00164C58">
        <w:rPr>
          <w:rFonts w:eastAsia="SimSun"/>
        </w:rPr>
        <w:t>31</w:t>
      </w:r>
      <w:r w:rsidR="00CC5E19" w:rsidRPr="008E791C">
        <w:rPr>
          <w:rFonts w:eastAsia="SimSun"/>
        </w:rPr>
        <w:t xml:space="preserve"> </w:t>
      </w:r>
      <w:r w:rsidR="00AF0FA7" w:rsidRPr="008E791C">
        <w:rPr>
          <w:rFonts w:eastAsia="SimSun"/>
        </w:rPr>
        <w:t>need to be applied to the balances being written off and removed from working capital.</w:t>
      </w:r>
      <w:r w:rsidR="009C6954" w:rsidRPr="008E791C">
        <w:rPr>
          <w:rFonts w:eastAsia="SimSun"/>
        </w:rPr>
        <w:t xml:space="preserve"> </w:t>
      </w:r>
      <w:r w:rsidR="00B908BF" w:rsidRPr="008E791C">
        <w:rPr>
          <w:rFonts w:eastAsia="SimSun"/>
        </w:rPr>
        <w:t>Although PSE does not agree with Ms. O</w:t>
      </w:r>
      <w:r w:rsidR="009C6954" w:rsidRPr="008E791C">
        <w:rPr>
          <w:rFonts w:eastAsia="SimSun"/>
        </w:rPr>
        <w:t>’</w:t>
      </w:r>
      <w:r w:rsidR="00B908BF" w:rsidRPr="008E791C">
        <w:rPr>
          <w:rFonts w:eastAsia="SimSun"/>
        </w:rPr>
        <w:t>Connell</w:t>
      </w:r>
      <w:r w:rsidR="009C6954" w:rsidRPr="008E791C">
        <w:rPr>
          <w:rFonts w:eastAsia="SimSun"/>
        </w:rPr>
        <w:t>’</w:t>
      </w:r>
      <w:r w:rsidR="00B908BF" w:rsidRPr="008E791C">
        <w:rPr>
          <w:rFonts w:eastAsia="SimSun"/>
        </w:rPr>
        <w:t>s pro</w:t>
      </w:r>
      <w:r w:rsidR="00C34FCE" w:rsidRPr="008E791C">
        <w:rPr>
          <w:rFonts w:eastAsia="SimSun"/>
        </w:rPr>
        <w:t xml:space="preserve"> </w:t>
      </w:r>
      <w:r w:rsidR="00B908BF" w:rsidRPr="008E791C">
        <w:rPr>
          <w:rFonts w:eastAsia="SimSun"/>
        </w:rPr>
        <w:t xml:space="preserve">forma adjustment to working capital discussed in section </w:t>
      </w:r>
      <w:proofErr w:type="spellStart"/>
      <w:r w:rsidR="00B908BF" w:rsidRPr="008E791C">
        <w:rPr>
          <w:rFonts w:eastAsia="SimSun"/>
        </w:rPr>
        <w:t>IV</w:t>
      </w:r>
      <w:r w:rsidR="00EA3D4A" w:rsidRPr="008E791C">
        <w:rPr>
          <w:rFonts w:eastAsia="SimSun"/>
        </w:rPr>
        <w:t>.</w:t>
      </w:r>
      <w:r w:rsidR="00B908BF" w:rsidRPr="008E791C">
        <w:rPr>
          <w:rFonts w:eastAsia="SimSun"/>
        </w:rPr>
        <w:t>F</w:t>
      </w:r>
      <w:proofErr w:type="spellEnd"/>
      <w:r w:rsidR="00EA3D4A" w:rsidRPr="008E791C">
        <w:rPr>
          <w:rFonts w:eastAsia="SimSun"/>
        </w:rPr>
        <w:t>.</w:t>
      </w:r>
      <w:r w:rsidR="00B908BF" w:rsidRPr="008E791C">
        <w:rPr>
          <w:rFonts w:eastAsia="SimSun"/>
        </w:rPr>
        <w:t xml:space="preserve"> above, if the Commission were to accept it, the working capital ratios would also have to be applied to the amount of the total working capital adjustment before removing the adjustment from electric and gas working capital.</w:t>
      </w:r>
    </w:p>
    <w:p w:rsidR="005164EE" w:rsidRPr="008E791C" w:rsidRDefault="00FC2A51" w:rsidP="00B56012">
      <w:pPr>
        <w:pStyle w:val="answer"/>
        <w:ind w:firstLine="0"/>
        <w:rPr>
          <w:rFonts w:eastAsia="SimSun"/>
        </w:rPr>
      </w:pPr>
      <w:r w:rsidRPr="008E791C">
        <w:rPr>
          <w:rFonts w:eastAsia="SimSun"/>
          <w:b/>
          <w:u w:val="single"/>
        </w:rPr>
        <w:t>Treatment of the recommended write-off of Tacoma Tar Pits deferral</w:t>
      </w:r>
    </w:p>
    <w:p w:rsidR="0085507D" w:rsidRPr="008E791C" w:rsidRDefault="00FC2A51" w:rsidP="00B56012">
      <w:pPr>
        <w:pStyle w:val="answer"/>
        <w:ind w:firstLine="0"/>
        <w:rPr>
          <w:rFonts w:eastAsia="SimSun"/>
        </w:rPr>
      </w:pPr>
      <w:r w:rsidRPr="008E791C">
        <w:rPr>
          <w:rFonts w:eastAsia="SimSun"/>
        </w:rPr>
        <w:t xml:space="preserve">I discuss above in section </w:t>
      </w:r>
      <w:proofErr w:type="spellStart"/>
      <w:r w:rsidRPr="008E791C">
        <w:rPr>
          <w:rFonts w:eastAsia="SimSun"/>
        </w:rPr>
        <w:t>IV.F</w:t>
      </w:r>
      <w:proofErr w:type="spellEnd"/>
      <w:r w:rsidRPr="008E791C">
        <w:rPr>
          <w:rFonts w:eastAsia="SimSun"/>
        </w:rPr>
        <w:t>. why the Commission should not accept Commission Staff</w:t>
      </w:r>
      <w:r w:rsidR="009C6954" w:rsidRPr="008E791C">
        <w:rPr>
          <w:rFonts w:eastAsia="SimSun"/>
        </w:rPr>
        <w:t>’</w:t>
      </w:r>
      <w:r w:rsidRPr="008E791C">
        <w:rPr>
          <w:rFonts w:eastAsia="SimSun"/>
        </w:rPr>
        <w:t>s recommendation to write off deferred costs for the Tacoma Tar Pits deferral.</w:t>
      </w:r>
      <w:r w:rsidR="009C6954" w:rsidRPr="008E791C">
        <w:rPr>
          <w:rFonts w:eastAsia="SimSun"/>
        </w:rPr>
        <w:t xml:space="preserve"> </w:t>
      </w:r>
      <w:r w:rsidRPr="008E791C">
        <w:rPr>
          <w:rFonts w:eastAsia="SimSun"/>
        </w:rPr>
        <w:t>However, if the Commission were to accept the recommendation, Commission Staff</w:t>
      </w:r>
      <w:r w:rsidR="009C6954" w:rsidRPr="008E791C">
        <w:rPr>
          <w:rFonts w:eastAsia="SimSun"/>
        </w:rPr>
        <w:t>’</w:t>
      </w:r>
      <w:r w:rsidRPr="008E791C">
        <w:rPr>
          <w:rFonts w:eastAsia="SimSun"/>
        </w:rPr>
        <w:t>s adjustment to working capital for this item requires correction.</w:t>
      </w:r>
      <w:r w:rsidR="009C6954" w:rsidRPr="008E791C">
        <w:rPr>
          <w:rFonts w:eastAsia="SimSun"/>
        </w:rPr>
        <w:t xml:space="preserve"> </w:t>
      </w:r>
      <w:r w:rsidR="0085507D" w:rsidRPr="008E791C">
        <w:rPr>
          <w:rFonts w:eastAsia="SimSun"/>
        </w:rPr>
        <w:t xml:space="preserve">Ms. </w:t>
      </w:r>
      <w:proofErr w:type="spellStart"/>
      <w:r w:rsidR="0085507D" w:rsidRPr="008E791C">
        <w:rPr>
          <w:rFonts w:eastAsia="SimSun"/>
        </w:rPr>
        <w:t>Erdahl</w:t>
      </w:r>
      <w:proofErr w:type="spellEnd"/>
      <w:r w:rsidR="0085507D" w:rsidRPr="008E791C">
        <w:rPr>
          <w:rFonts w:eastAsia="SimSun"/>
        </w:rPr>
        <w:t xml:space="preserve"> leaves the balances that are being recommended for disallowance in non-operating investments.</w:t>
      </w:r>
      <w:r w:rsidR="0085507D" w:rsidRPr="008E791C">
        <w:rPr>
          <w:rStyle w:val="FootnoteReference"/>
          <w:rFonts w:eastAsia="SimSun"/>
        </w:rPr>
        <w:footnoteReference w:id="40"/>
      </w:r>
      <w:r w:rsidR="009C6954" w:rsidRPr="008E791C">
        <w:rPr>
          <w:rFonts w:eastAsia="SimSun"/>
        </w:rPr>
        <w:t xml:space="preserve"> </w:t>
      </w:r>
      <w:r w:rsidR="0085507D" w:rsidRPr="008E791C">
        <w:rPr>
          <w:rFonts w:eastAsia="SimSun"/>
        </w:rPr>
        <w:t>It is inappropriate to have balances</w:t>
      </w:r>
      <w:r w:rsidR="00956F4F" w:rsidRPr="008E791C">
        <w:rPr>
          <w:rFonts w:eastAsia="SimSun"/>
        </w:rPr>
        <w:t xml:space="preserve"> that are recommended for a write off</w:t>
      </w:r>
      <w:r w:rsidR="0085507D" w:rsidRPr="008E791C">
        <w:rPr>
          <w:rFonts w:eastAsia="SimSun"/>
        </w:rPr>
        <w:t xml:space="preserve"> included in non-operating investment</w:t>
      </w:r>
      <w:r w:rsidR="00956F4F" w:rsidRPr="008E791C">
        <w:rPr>
          <w:rFonts w:eastAsia="SimSun"/>
        </w:rPr>
        <w:t>.</w:t>
      </w:r>
      <w:r w:rsidR="009C6954" w:rsidRPr="008E791C">
        <w:rPr>
          <w:rFonts w:eastAsia="SimSun"/>
        </w:rPr>
        <w:t xml:space="preserve"> </w:t>
      </w:r>
      <w:r w:rsidR="00956F4F" w:rsidRPr="008E791C">
        <w:rPr>
          <w:rFonts w:eastAsia="SimSun"/>
        </w:rPr>
        <w:t xml:space="preserve">Doing so </w:t>
      </w:r>
      <w:r w:rsidR="0085507D" w:rsidRPr="008E791C">
        <w:rPr>
          <w:rFonts w:eastAsia="SimSun"/>
        </w:rPr>
        <w:t>will create a higher working capital ratio for non-operating</w:t>
      </w:r>
      <w:r w:rsidR="00EA3D4A" w:rsidRPr="008E791C">
        <w:rPr>
          <w:rFonts w:eastAsia="SimSun"/>
        </w:rPr>
        <w:t xml:space="preserve"> than is appropriate</w:t>
      </w:r>
      <w:r w:rsidR="00956F4F" w:rsidRPr="008E791C">
        <w:rPr>
          <w:rFonts w:eastAsia="SimSun"/>
        </w:rPr>
        <w:t>.</w:t>
      </w:r>
      <w:r w:rsidR="009C6954" w:rsidRPr="008E791C">
        <w:rPr>
          <w:rFonts w:eastAsia="SimSun"/>
        </w:rPr>
        <w:t xml:space="preserve"> </w:t>
      </w:r>
      <w:r w:rsidR="00EA3D4A" w:rsidRPr="008E791C">
        <w:rPr>
          <w:rFonts w:eastAsia="SimSun"/>
        </w:rPr>
        <w:t xml:space="preserve">Therefore, if </w:t>
      </w:r>
      <w:r w:rsidR="00075F33" w:rsidRPr="008E791C">
        <w:rPr>
          <w:rFonts w:eastAsia="SimSun"/>
        </w:rPr>
        <w:t>Ms. O</w:t>
      </w:r>
      <w:r w:rsidR="009C6954" w:rsidRPr="008E791C">
        <w:rPr>
          <w:rFonts w:eastAsia="SimSun"/>
        </w:rPr>
        <w:t>’</w:t>
      </w:r>
      <w:r w:rsidR="00075F33" w:rsidRPr="008E791C">
        <w:rPr>
          <w:rFonts w:eastAsia="SimSun"/>
        </w:rPr>
        <w:t>Connell</w:t>
      </w:r>
      <w:r w:rsidR="009C6954" w:rsidRPr="008E791C">
        <w:rPr>
          <w:rFonts w:eastAsia="SimSun"/>
        </w:rPr>
        <w:t>’</w:t>
      </w:r>
      <w:r w:rsidR="00075F33" w:rsidRPr="008E791C">
        <w:rPr>
          <w:rFonts w:eastAsia="SimSun"/>
        </w:rPr>
        <w:t>s adjustment to the Tacoma Tar Pits deferral</w:t>
      </w:r>
      <w:r w:rsidR="00EA3D4A" w:rsidRPr="008E791C">
        <w:rPr>
          <w:rFonts w:eastAsia="SimSun"/>
        </w:rPr>
        <w:t xml:space="preserve"> is accepted, two things in the way that Commission Staff has </w:t>
      </w:r>
      <w:r w:rsidR="00EA3D4A" w:rsidRPr="008E791C">
        <w:rPr>
          <w:rFonts w:eastAsia="SimSun"/>
        </w:rPr>
        <w:lastRenderedPageBreak/>
        <w:t xml:space="preserve">presented </w:t>
      </w:r>
      <w:r w:rsidR="00075F33" w:rsidRPr="008E791C">
        <w:rPr>
          <w:rFonts w:eastAsia="SimSun"/>
        </w:rPr>
        <w:t xml:space="preserve">the working capital impacts </w:t>
      </w:r>
      <w:r w:rsidR="00EA3D4A" w:rsidRPr="008E791C">
        <w:rPr>
          <w:rFonts w:eastAsia="SimSun"/>
        </w:rPr>
        <w:t>would need to change</w:t>
      </w:r>
      <w:r w:rsidR="001176CD" w:rsidRPr="008E791C">
        <w:rPr>
          <w:rFonts w:eastAsia="SimSun"/>
        </w:rPr>
        <w:t xml:space="preserve">. </w:t>
      </w:r>
      <w:r w:rsidR="00EA3D4A" w:rsidRPr="008E791C">
        <w:rPr>
          <w:rFonts w:eastAsia="SimSun"/>
        </w:rPr>
        <w:t>First, 100</w:t>
      </w:r>
      <w:r w:rsidR="001176CD" w:rsidRPr="008E791C">
        <w:rPr>
          <w:rFonts w:eastAsia="SimSun"/>
        </w:rPr>
        <w:t xml:space="preserve"> percent</w:t>
      </w:r>
      <w:r w:rsidR="00EA3D4A" w:rsidRPr="008E791C">
        <w:rPr>
          <w:rFonts w:eastAsia="SimSun"/>
        </w:rPr>
        <w:t xml:space="preserve"> of the test year AMA balances of the subject accounts should be treated as working capital in the working capital exhibit</w:t>
      </w:r>
      <w:r w:rsidR="001176CD" w:rsidRPr="008E791C">
        <w:rPr>
          <w:rFonts w:eastAsia="SimSun"/>
        </w:rPr>
        <w:t xml:space="preserve">. </w:t>
      </w:r>
      <w:r w:rsidR="00EA3D4A" w:rsidRPr="008E791C">
        <w:rPr>
          <w:rFonts w:eastAsia="SimSun"/>
        </w:rPr>
        <w:t>Second, a working capital adjustment should be made outside of the working capital exhibit in the same manner as discussed above and demonstrated on page 3 of Exhibit SEF-</w:t>
      </w:r>
      <w:r w:rsidR="00164C58">
        <w:rPr>
          <w:rFonts w:eastAsia="SimSun"/>
        </w:rPr>
        <w:t>31</w:t>
      </w:r>
      <w:r w:rsidR="00EA3D4A" w:rsidRPr="008E791C">
        <w:rPr>
          <w:rFonts w:eastAsia="SimSun"/>
        </w:rPr>
        <w:t xml:space="preserve"> wherein the final working capital ratios from the working capital exhibit would be applied to the amount of the environmental remediation write-off before using it to adjust the electric and gas working capital.</w:t>
      </w:r>
    </w:p>
    <w:p w:rsidR="008338EC" w:rsidRPr="008E791C" w:rsidRDefault="008B524D" w:rsidP="00B56012">
      <w:pPr>
        <w:pStyle w:val="question"/>
      </w:pPr>
      <w:r w:rsidRPr="008E791C">
        <w:t>Q.</w:t>
      </w:r>
      <w:r w:rsidRPr="008E791C">
        <w:tab/>
        <w:t>Please summarize your position on working capital.</w:t>
      </w:r>
    </w:p>
    <w:p w:rsidR="008B524D" w:rsidRPr="008E791C" w:rsidRDefault="008B524D" w:rsidP="00B56012">
      <w:pPr>
        <w:pStyle w:val="answer"/>
        <w:rPr>
          <w:rFonts w:eastAsia="SimSun"/>
        </w:rPr>
      </w:pPr>
      <w:r w:rsidRPr="008E791C">
        <w:rPr>
          <w:rFonts w:eastAsia="SimSun"/>
        </w:rPr>
        <w:t>A.</w:t>
      </w:r>
      <w:r w:rsidRPr="008E791C">
        <w:rPr>
          <w:rFonts w:eastAsia="SimSun"/>
        </w:rPr>
        <w:tab/>
        <w:t xml:space="preserve">I believe that </w:t>
      </w:r>
      <w:r w:rsidR="006E0FF1" w:rsidRPr="008E791C">
        <w:t>PSE</w:t>
      </w:r>
      <w:r w:rsidRPr="008E791C">
        <w:rPr>
          <w:rFonts w:eastAsia="SimSun"/>
        </w:rPr>
        <w:t xml:space="preserve"> and Commission Staff are close in their proposals on working capital</w:t>
      </w:r>
      <w:r w:rsidR="001176CD" w:rsidRPr="008E791C">
        <w:rPr>
          <w:rFonts w:eastAsia="SimSun"/>
        </w:rPr>
        <w:t xml:space="preserve"> with the clarification of </w:t>
      </w:r>
      <w:r w:rsidR="00313414" w:rsidRPr="008E791C">
        <w:rPr>
          <w:bCs/>
        </w:rPr>
        <w:t xml:space="preserve">Commission </w:t>
      </w:r>
      <w:r w:rsidR="00313414" w:rsidRPr="008E791C">
        <w:t>Staff</w:t>
      </w:r>
      <w:r w:rsidR="001176CD" w:rsidRPr="008E791C">
        <w:rPr>
          <w:rFonts w:eastAsia="SimSun"/>
        </w:rPr>
        <w:t>’s position in SEF-</w:t>
      </w:r>
      <w:r w:rsidR="00164C58">
        <w:rPr>
          <w:rFonts w:eastAsia="SimSun"/>
        </w:rPr>
        <w:t>19</w:t>
      </w:r>
      <w:r w:rsidR="001176CD" w:rsidRPr="008E791C">
        <w:rPr>
          <w:rFonts w:eastAsia="SimSun"/>
        </w:rPr>
        <w:t xml:space="preserve">. </w:t>
      </w:r>
      <w:r w:rsidRPr="008E791C">
        <w:rPr>
          <w:rFonts w:eastAsia="SimSun"/>
        </w:rPr>
        <w:t>When comparing PSE</w:t>
      </w:r>
      <w:r w:rsidR="009C6954" w:rsidRPr="008E791C">
        <w:rPr>
          <w:rFonts w:eastAsia="SimSun"/>
        </w:rPr>
        <w:t>’</w:t>
      </w:r>
      <w:r w:rsidRPr="008E791C">
        <w:rPr>
          <w:rFonts w:eastAsia="SimSun"/>
        </w:rPr>
        <w:t>s calculation of working capital in Exhibit SEF-</w:t>
      </w:r>
      <w:r w:rsidR="00164C58">
        <w:rPr>
          <w:rFonts w:eastAsia="SimSun"/>
        </w:rPr>
        <w:t>2</w:t>
      </w:r>
      <w:r w:rsidR="00597152">
        <w:rPr>
          <w:rFonts w:eastAsia="SimSun"/>
        </w:rPr>
        <w:t>8</w:t>
      </w:r>
      <w:r w:rsidRPr="008E791C">
        <w:rPr>
          <w:rFonts w:eastAsia="SimSun"/>
        </w:rPr>
        <w:t xml:space="preserve"> to Commission Staff</w:t>
      </w:r>
      <w:r w:rsidR="009C6954" w:rsidRPr="008E791C">
        <w:rPr>
          <w:rFonts w:eastAsia="SimSun"/>
        </w:rPr>
        <w:t>’</w:t>
      </w:r>
      <w:r w:rsidRPr="008E791C">
        <w:rPr>
          <w:rFonts w:eastAsia="SimSun"/>
        </w:rPr>
        <w:t>s determination of working capital in Exhibit SEF-</w:t>
      </w:r>
      <w:r w:rsidR="00597152">
        <w:rPr>
          <w:rFonts w:eastAsia="SimSun"/>
        </w:rPr>
        <w:t>19</w:t>
      </w:r>
      <w:r w:rsidRPr="008E791C">
        <w:rPr>
          <w:rFonts w:eastAsia="SimSun"/>
        </w:rPr>
        <w:t>, there are truly very few fundamental differences</w:t>
      </w:r>
      <w:r w:rsidR="001176CD" w:rsidRPr="008E791C">
        <w:rPr>
          <w:rFonts w:eastAsia="SimSun"/>
        </w:rPr>
        <w:t xml:space="preserve">. </w:t>
      </w:r>
      <w:r w:rsidRPr="008E791C">
        <w:rPr>
          <w:rFonts w:eastAsia="SimSun"/>
        </w:rPr>
        <w:t>Considering how far apart the respective working capital adjustments were originally, this is quite encouraging</w:t>
      </w:r>
      <w:r w:rsidR="001176CD" w:rsidRPr="008E791C">
        <w:rPr>
          <w:rFonts w:eastAsia="SimSun"/>
        </w:rPr>
        <w:t xml:space="preserve">. </w:t>
      </w:r>
      <w:r w:rsidRPr="008E791C">
        <w:rPr>
          <w:rFonts w:eastAsia="SimSun"/>
        </w:rPr>
        <w:t>However, there still remain a few fundamental differences between PSE and Commission Staff on working capital, and for the reasons stated above, the Commission should accept PSE</w:t>
      </w:r>
      <w:r w:rsidR="009C6954" w:rsidRPr="008E791C">
        <w:rPr>
          <w:rFonts w:eastAsia="SimSun"/>
        </w:rPr>
        <w:t>’</w:t>
      </w:r>
      <w:r w:rsidRPr="008E791C">
        <w:rPr>
          <w:rFonts w:eastAsia="SimSun"/>
        </w:rPr>
        <w:t>s</w:t>
      </w:r>
      <w:r w:rsidR="00597152">
        <w:rPr>
          <w:rFonts w:eastAsia="SimSun"/>
        </w:rPr>
        <w:t xml:space="preserve"> calculation of the adjustment.</w:t>
      </w:r>
    </w:p>
    <w:p w:rsidR="001D478B" w:rsidRPr="008E791C" w:rsidRDefault="00BD726F" w:rsidP="00B56012">
      <w:pPr>
        <w:pStyle w:val="Heading2"/>
      </w:pPr>
      <w:bookmarkStart w:id="48" w:name="_Toc489961833"/>
      <w:r w:rsidRPr="008E791C">
        <w:rPr>
          <w:u w:val="none"/>
        </w:rPr>
        <w:lastRenderedPageBreak/>
        <w:t>H</w:t>
      </w:r>
      <w:r w:rsidR="00565044" w:rsidRPr="008E791C">
        <w:rPr>
          <w:u w:val="none"/>
        </w:rPr>
        <w:t>.</w:t>
      </w:r>
      <w:r w:rsidR="00565044" w:rsidRPr="008E791C">
        <w:rPr>
          <w:u w:val="none"/>
        </w:rPr>
        <w:tab/>
      </w:r>
      <w:r w:rsidR="001D478B" w:rsidRPr="008E791C">
        <w:t>Liquefied Natural Gas (</w:t>
      </w:r>
      <w:r w:rsidR="009C6954" w:rsidRPr="008E791C">
        <w:t>“</w:t>
      </w:r>
      <w:r w:rsidR="001D478B" w:rsidRPr="008E791C">
        <w:t>LNG</w:t>
      </w:r>
      <w:r w:rsidR="009C6954" w:rsidRPr="008E791C">
        <w:t>”</w:t>
      </w:r>
      <w:r w:rsidR="001D478B" w:rsidRPr="008E791C">
        <w:t>)</w:t>
      </w:r>
      <w:r w:rsidR="00094AE7" w:rsidRPr="008E791C">
        <w:t xml:space="preserve"> </w:t>
      </w:r>
      <w:r w:rsidR="00132620" w:rsidRPr="008E791C">
        <w:t xml:space="preserve">and Leasing </w:t>
      </w:r>
      <w:r w:rsidR="00094AE7" w:rsidRPr="008E791C">
        <w:t>Costs</w:t>
      </w:r>
      <w:r w:rsidR="00446DCD" w:rsidRPr="008E791C">
        <w:t xml:space="preserve">, </w:t>
      </w:r>
      <w:r w:rsidR="00313414" w:rsidRPr="008E791C">
        <w:rPr>
          <w:bCs/>
        </w:rPr>
        <w:t xml:space="preserve">Commission </w:t>
      </w:r>
      <w:r w:rsidR="00313414" w:rsidRPr="008E791C">
        <w:t>Staff</w:t>
      </w:r>
      <w:r w:rsidR="00446DCD" w:rsidRPr="008E791C">
        <w:t xml:space="preserve"> Adjustment 13.24E and 11.24G</w:t>
      </w:r>
      <w:bookmarkEnd w:id="48"/>
    </w:p>
    <w:p w:rsidR="00C34FCE" w:rsidRPr="008E791C" w:rsidRDefault="00565044" w:rsidP="00B56012">
      <w:pPr>
        <w:pStyle w:val="Heading3"/>
      </w:pPr>
      <w:bookmarkStart w:id="49" w:name="_Toc489961834"/>
      <w:r w:rsidRPr="008E791C">
        <w:rPr>
          <w:u w:val="none"/>
        </w:rPr>
        <w:t>1.</w:t>
      </w:r>
      <w:r w:rsidRPr="008E791C">
        <w:rPr>
          <w:u w:val="none"/>
        </w:rPr>
        <w:tab/>
      </w:r>
      <w:r w:rsidR="00C34FCE" w:rsidRPr="008E791C">
        <w:t>Leasing Costs:</w:t>
      </w:r>
      <w:bookmarkEnd w:id="49"/>
    </w:p>
    <w:p w:rsidR="00C34FCE" w:rsidRPr="008E791C" w:rsidRDefault="00C34FCE" w:rsidP="00B56012">
      <w:pPr>
        <w:pStyle w:val="question"/>
      </w:pPr>
      <w:r w:rsidRPr="008E791C">
        <w:t>Q.</w:t>
      </w:r>
      <w:r w:rsidRPr="008E791C">
        <w:tab/>
        <w:t xml:space="preserve">How do you respond to </w:t>
      </w:r>
      <w:r w:rsidR="00313414" w:rsidRPr="008E791C">
        <w:rPr>
          <w:bCs/>
        </w:rPr>
        <w:t xml:space="preserve">Commission </w:t>
      </w:r>
      <w:r w:rsidR="00313414" w:rsidRPr="008E791C">
        <w:t>Staff</w:t>
      </w:r>
      <w:r w:rsidR="009C6954" w:rsidRPr="008E791C">
        <w:t>’</w:t>
      </w:r>
      <w:r w:rsidRPr="008E791C">
        <w:t>s recommendation that legal costs associated with the Leasing Program in Dockets UE-151871/UG-151872 should be excluded?</w:t>
      </w:r>
      <w:r w:rsidR="00446DCD" w:rsidRPr="008E791C">
        <w:rPr>
          <w:rStyle w:val="FootnoteReference"/>
        </w:rPr>
        <w:footnoteReference w:id="41"/>
      </w:r>
    </w:p>
    <w:p w:rsidR="00C34FCE" w:rsidRPr="008E791C" w:rsidRDefault="00C34FCE" w:rsidP="00B56012">
      <w:pPr>
        <w:pStyle w:val="answer"/>
        <w:rPr>
          <w:rFonts w:eastAsia="SimSun"/>
        </w:rPr>
      </w:pPr>
      <w:r w:rsidRPr="008E791C">
        <w:rPr>
          <w:rFonts w:eastAsia="SimSun"/>
        </w:rPr>
        <w:t>A.</w:t>
      </w:r>
      <w:r w:rsidRPr="008E791C">
        <w:rPr>
          <w:rFonts w:eastAsia="SimSun"/>
        </w:rPr>
        <w:tab/>
      </w:r>
      <w:r w:rsidR="004C1891" w:rsidRPr="008E791C">
        <w:t>Regulatory proceedings by their very nature can be unpredictable and if utilities are not allowed to recover their legal costs associated with these types of adjudicated proceedings, it would impair their ability to adequately protect their legal interests</w:t>
      </w:r>
      <w:r w:rsidR="00C91419" w:rsidRPr="008E791C">
        <w:t xml:space="preserve"> and would have a chilling effect on a utility</w:t>
      </w:r>
      <w:r w:rsidR="009C6954" w:rsidRPr="008E791C">
        <w:t>’</w:t>
      </w:r>
      <w:r w:rsidR="00C91419" w:rsidRPr="008E791C">
        <w:t>s willingness to propose new services</w:t>
      </w:r>
      <w:r w:rsidR="004C1891" w:rsidRPr="008E791C">
        <w:t>.</w:t>
      </w:r>
      <w:r w:rsidR="009C6954" w:rsidRPr="008E791C">
        <w:t xml:space="preserve"> </w:t>
      </w:r>
      <w:r w:rsidR="00685E23" w:rsidRPr="008E791C">
        <w:t>Moreover, as I discuss in more detail below, the Commission ruled in PSE</w:t>
      </w:r>
      <w:r w:rsidR="009C6954" w:rsidRPr="008E791C">
        <w:t>’</w:t>
      </w:r>
      <w:r w:rsidR="00685E23" w:rsidRPr="008E791C">
        <w:t xml:space="preserve">s favor on several important issues that were contested by </w:t>
      </w:r>
      <w:r w:rsidR="00313414" w:rsidRPr="008E791C">
        <w:rPr>
          <w:bCs/>
        </w:rPr>
        <w:t xml:space="preserve">Commission </w:t>
      </w:r>
      <w:r w:rsidR="00313414" w:rsidRPr="008E791C">
        <w:t>Staff</w:t>
      </w:r>
      <w:r w:rsidR="00685E23" w:rsidRPr="008E791C">
        <w:t xml:space="preserve"> in </w:t>
      </w:r>
      <w:r w:rsidR="00C91419" w:rsidRPr="008E791C">
        <w:t>the leasing case</w:t>
      </w:r>
      <w:r w:rsidR="00685E23" w:rsidRPr="008E791C">
        <w:t xml:space="preserve"> and reaffirmed that leasing of equipment </w:t>
      </w:r>
      <w:r w:rsidR="00C91419" w:rsidRPr="008E791C">
        <w:t xml:space="preserve">can be a tariffed </w:t>
      </w:r>
      <w:r w:rsidR="00685E23" w:rsidRPr="008E791C">
        <w:t>service</w:t>
      </w:r>
      <w:r w:rsidR="00C91419" w:rsidRPr="008E791C">
        <w:t>.</w:t>
      </w:r>
      <w:r w:rsidR="009C6954" w:rsidRPr="008E791C">
        <w:t xml:space="preserve"> </w:t>
      </w:r>
      <w:r w:rsidR="00C91419" w:rsidRPr="008E791C">
        <w:t>As discussed in more detail below, in light of the Commission</w:t>
      </w:r>
      <w:r w:rsidR="009C6954" w:rsidRPr="008E791C">
        <w:t>’</w:t>
      </w:r>
      <w:r w:rsidR="00C91419" w:rsidRPr="008E791C">
        <w:t>s determinations on these contested issues, the costs for PSE</w:t>
      </w:r>
      <w:r w:rsidR="009C6954" w:rsidRPr="008E791C">
        <w:t>’</w:t>
      </w:r>
      <w:r w:rsidR="00C91419" w:rsidRPr="008E791C">
        <w:t>s proposed new leasing tariff should not be disallowed.</w:t>
      </w:r>
    </w:p>
    <w:p w:rsidR="00C34FCE" w:rsidRPr="008E791C" w:rsidRDefault="00C34FCE" w:rsidP="00B56012">
      <w:pPr>
        <w:pStyle w:val="question"/>
      </w:pPr>
      <w:r w:rsidRPr="008E791C">
        <w:t>Q.</w:t>
      </w:r>
      <w:r w:rsidRPr="008E791C">
        <w:tab/>
      </w:r>
      <w:r w:rsidR="00565044" w:rsidRPr="008E791C">
        <w:t xml:space="preserve">What is the basis for </w:t>
      </w:r>
      <w:r w:rsidR="00313414" w:rsidRPr="008E791C">
        <w:rPr>
          <w:bCs/>
        </w:rPr>
        <w:t xml:space="preserve">Commission </w:t>
      </w:r>
      <w:r w:rsidR="00313414" w:rsidRPr="008E791C">
        <w:t>Staff</w:t>
      </w:r>
      <w:r w:rsidR="009C6954" w:rsidRPr="008E791C">
        <w:t>’</w:t>
      </w:r>
      <w:r w:rsidR="00565044" w:rsidRPr="008E791C">
        <w:t xml:space="preserve">s </w:t>
      </w:r>
      <w:r w:rsidRPr="008E791C">
        <w:t>belie</w:t>
      </w:r>
      <w:r w:rsidR="00685E23" w:rsidRPr="008E791C">
        <w:t>f</w:t>
      </w:r>
      <w:r w:rsidRPr="008E791C">
        <w:t xml:space="preserve"> that </w:t>
      </w:r>
      <w:r w:rsidR="00B3230D" w:rsidRPr="008E791C">
        <w:t xml:space="preserve">legal </w:t>
      </w:r>
      <w:r w:rsidRPr="008E791C">
        <w:t>costs associated with the Leasing Program should be excluded?</w:t>
      </w:r>
    </w:p>
    <w:p w:rsidR="00C34FCE" w:rsidRPr="008E791C" w:rsidRDefault="00C34FCE" w:rsidP="00B56012">
      <w:pPr>
        <w:pStyle w:val="answer"/>
        <w:rPr>
          <w:rFonts w:eastAsia="SimSun"/>
        </w:rPr>
      </w:pPr>
      <w:r w:rsidRPr="008E791C">
        <w:rPr>
          <w:rFonts w:eastAsia="SimSun"/>
        </w:rPr>
        <w:t>A.</w:t>
      </w:r>
      <w:r w:rsidRPr="008E791C">
        <w:rPr>
          <w:rFonts w:eastAsia="SimSun"/>
        </w:rPr>
        <w:tab/>
        <w:t>Ms. O</w:t>
      </w:r>
      <w:r w:rsidR="009C6954" w:rsidRPr="008E791C">
        <w:rPr>
          <w:rFonts w:eastAsia="SimSun"/>
        </w:rPr>
        <w:t>’</w:t>
      </w:r>
      <w:r w:rsidRPr="008E791C">
        <w:rPr>
          <w:rFonts w:eastAsia="SimSun"/>
        </w:rPr>
        <w:t xml:space="preserve">Connell </w:t>
      </w:r>
      <w:r w:rsidR="007A2548" w:rsidRPr="008E791C">
        <w:rPr>
          <w:rFonts w:eastAsia="SimSun"/>
        </w:rPr>
        <w:t>supports her recommendation solely on the basis that</w:t>
      </w:r>
      <w:r w:rsidRPr="008E791C">
        <w:rPr>
          <w:rFonts w:eastAsia="SimSun"/>
        </w:rPr>
        <w:t xml:space="preserve"> the Commission determined that the terms and conditions of the Leasing Program were not fair, just, and reasonable and that the proposed Leasing Program was not </w:t>
      </w:r>
      <w:r w:rsidRPr="008E791C">
        <w:rPr>
          <w:rFonts w:eastAsia="SimSun"/>
        </w:rPr>
        <w:lastRenderedPageBreak/>
        <w:t>in the public interest.</w:t>
      </w:r>
      <w:r w:rsidR="006109CE" w:rsidRPr="008E791C">
        <w:rPr>
          <w:rStyle w:val="FootnoteReference"/>
          <w:rFonts w:eastAsia="SimSun"/>
        </w:rPr>
        <w:footnoteReference w:id="42"/>
      </w:r>
      <w:r w:rsidR="009C6954" w:rsidRPr="008E791C">
        <w:rPr>
          <w:rFonts w:eastAsia="SimSun"/>
        </w:rPr>
        <w:t xml:space="preserve"> </w:t>
      </w:r>
      <w:r w:rsidRPr="008E791C">
        <w:rPr>
          <w:rFonts w:eastAsia="SimSun"/>
        </w:rPr>
        <w:t xml:space="preserve">She provides no other reason for </w:t>
      </w:r>
      <w:r w:rsidR="004C1891" w:rsidRPr="008E791C">
        <w:rPr>
          <w:rFonts w:eastAsia="SimSun"/>
        </w:rPr>
        <w:t xml:space="preserve">disallowing </w:t>
      </w:r>
      <w:r w:rsidRPr="008E791C">
        <w:rPr>
          <w:rFonts w:eastAsia="SimSun"/>
        </w:rPr>
        <w:t xml:space="preserve">the </w:t>
      </w:r>
      <w:r w:rsidR="004C1891" w:rsidRPr="008E791C">
        <w:rPr>
          <w:rFonts w:eastAsia="SimSun"/>
        </w:rPr>
        <w:t xml:space="preserve">legal </w:t>
      </w:r>
      <w:r w:rsidRPr="008E791C">
        <w:rPr>
          <w:rFonts w:eastAsia="SimSun"/>
        </w:rPr>
        <w:t>costs</w:t>
      </w:r>
      <w:r w:rsidR="004C1891" w:rsidRPr="008E791C">
        <w:rPr>
          <w:rFonts w:eastAsia="SimSun"/>
        </w:rPr>
        <w:t xml:space="preserve"> associated with the adjudicated proceeding </w:t>
      </w:r>
      <w:r w:rsidRPr="008E791C">
        <w:rPr>
          <w:rFonts w:eastAsia="SimSun"/>
        </w:rPr>
        <w:t>and cites no authority for her proposal.</w:t>
      </w:r>
    </w:p>
    <w:p w:rsidR="00C34FCE" w:rsidRPr="008E791C" w:rsidRDefault="00C34FCE" w:rsidP="00B56012">
      <w:pPr>
        <w:pStyle w:val="question"/>
      </w:pPr>
      <w:r w:rsidRPr="008E791C">
        <w:t>Q.</w:t>
      </w:r>
      <w:r w:rsidRPr="008E791C">
        <w:tab/>
        <w:t xml:space="preserve">Is this </w:t>
      </w:r>
      <w:r w:rsidR="00BC13AC" w:rsidRPr="008E791C">
        <w:t xml:space="preserve">an </w:t>
      </w:r>
      <w:r w:rsidRPr="008E791C">
        <w:t>accurate</w:t>
      </w:r>
      <w:r w:rsidR="00BC13AC" w:rsidRPr="008E791C">
        <w:t xml:space="preserve"> summary of the Commission</w:t>
      </w:r>
      <w:r w:rsidR="009C6954" w:rsidRPr="008E791C">
        <w:t>’</w:t>
      </w:r>
      <w:r w:rsidR="00BC13AC" w:rsidRPr="008E791C">
        <w:t>s final order</w:t>
      </w:r>
      <w:r w:rsidRPr="008E791C">
        <w:t>?</w:t>
      </w:r>
    </w:p>
    <w:p w:rsidR="00C34FCE" w:rsidRPr="008E791C" w:rsidRDefault="00C34FCE" w:rsidP="00B56012">
      <w:pPr>
        <w:pStyle w:val="answer"/>
        <w:rPr>
          <w:rFonts w:eastAsia="SimSun"/>
        </w:rPr>
      </w:pPr>
      <w:r w:rsidRPr="008E791C">
        <w:rPr>
          <w:rFonts w:eastAsia="SimSun"/>
        </w:rPr>
        <w:t>A.</w:t>
      </w:r>
      <w:r w:rsidRPr="008E791C">
        <w:rPr>
          <w:rFonts w:eastAsia="SimSun"/>
        </w:rPr>
        <w:tab/>
      </w:r>
      <w:r w:rsidR="00BC13AC" w:rsidRPr="008E791C">
        <w:rPr>
          <w:rFonts w:eastAsia="SimSun"/>
        </w:rPr>
        <w:t>No.</w:t>
      </w:r>
      <w:r w:rsidR="009C6954" w:rsidRPr="008E791C">
        <w:rPr>
          <w:rFonts w:eastAsia="SimSun"/>
        </w:rPr>
        <w:t xml:space="preserve"> </w:t>
      </w:r>
      <w:r w:rsidRPr="008E791C">
        <w:rPr>
          <w:rFonts w:eastAsia="SimSun"/>
        </w:rPr>
        <w:t>Ms. O</w:t>
      </w:r>
      <w:r w:rsidR="009C6954" w:rsidRPr="008E791C">
        <w:rPr>
          <w:rFonts w:eastAsia="SimSun"/>
        </w:rPr>
        <w:t>’</w:t>
      </w:r>
      <w:r w:rsidRPr="008E791C">
        <w:rPr>
          <w:rFonts w:eastAsia="SimSun"/>
        </w:rPr>
        <w:t xml:space="preserve">Connell only </w:t>
      </w:r>
      <w:r w:rsidR="006109CE" w:rsidRPr="008E791C">
        <w:rPr>
          <w:rFonts w:eastAsia="SimSun"/>
        </w:rPr>
        <w:t xml:space="preserve">discusses </w:t>
      </w:r>
      <w:r w:rsidRPr="008E791C">
        <w:rPr>
          <w:rFonts w:eastAsia="SimSun"/>
        </w:rPr>
        <w:t>part of the Commission</w:t>
      </w:r>
      <w:r w:rsidR="009C6954" w:rsidRPr="008E791C">
        <w:rPr>
          <w:rFonts w:eastAsia="SimSun"/>
        </w:rPr>
        <w:t>’</w:t>
      </w:r>
      <w:r w:rsidRPr="008E791C">
        <w:rPr>
          <w:rFonts w:eastAsia="SimSun"/>
        </w:rPr>
        <w:t>s final order and ignores the history and context of the proposed Leasing Program.</w:t>
      </w:r>
      <w:r w:rsidR="004C1891" w:rsidRPr="008E791C">
        <w:rPr>
          <w:rFonts w:eastAsia="SimSun"/>
        </w:rPr>
        <w:t xml:space="preserve"> </w:t>
      </w:r>
    </w:p>
    <w:p w:rsidR="00C34FCE" w:rsidRPr="008E791C" w:rsidRDefault="00C34FCE" w:rsidP="00B56012">
      <w:pPr>
        <w:pStyle w:val="question"/>
      </w:pPr>
      <w:r w:rsidRPr="008E791C">
        <w:t>Q.</w:t>
      </w:r>
      <w:r w:rsidRPr="008E791C">
        <w:tab/>
        <w:t>Why is the history and context of the Leasing Program relevant?</w:t>
      </w:r>
    </w:p>
    <w:p w:rsidR="00C34FCE" w:rsidRPr="008E791C" w:rsidRDefault="00C34FCE" w:rsidP="00B56012">
      <w:pPr>
        <w:pStyle w:val="answer"/>
        <w:rPr>
          <w:rFonts w:eastAsia="SimSun"/>
        </w:rPr>
      </w:pPr>
      <w:r w:rsidRPr="008E791C">
        <w:rPr>
          <w:rFonts w:eastAsia="SimSun"/>
        </w:rPr>
        <w:t>A.</w:t>
      </w:r>
      <w:r w:rsidRPr="008E791C">
        <w:rPr>
          <w:rFonts w:eastAsia="SimSun"/>
        </w:rPr>
        <w:tab/>
        <w:t xml:space="preserve">As explained </w:t>
      </w:r>
      <w:r w:rsidR="006109CE" w:rsidRPr="008E791C">
        <w:rPr>
          <w:rFonts w:eastAsia="SimSun"/>
        </w:rPr>
        <w:t>in the Prefiled Rebuttal Testimony of Mr. Will</w:t>
      </w:r>
      <w:r w:rsidR="009060E9" w:rsidRPr="008E791C">
        <w:rPr>
          <w:rFonts w:eastAsia="SimSun"/>
        </w:rPr>
        <w:t>iam</w:t>
      </w:r>
      <w:r w:rsidR="006109CE" w:rsidRPr="008E791C">
        <w:rPr>
          <w:rFonts w:eastAsia="SimSun"/>
        </w:rPr>
        <w:t xml:space="preserve"> </w:t>
      </w:r>
      <w:r w:rsidR="009060E9" w:rsidRPr="008E791C">
        <w:rPr>
          <w:rFonts w:eastAsia="SimSun"/>
        </w:rPr>
        <w:t>T</w:t>
      </w:r>
      <w:r w:rsidR="00B50E00" w:rsidRPr="008E791C">
        <w:rPr>
          <w:rFonts w:eastAsia="SimSun"/>
        </w:rPr>
        <w:t>.</w:t>
      </w:r>
      <w:r w:rsidR="006109CE" w:rsidRPr="008E791C">
        <w:rPr>
          <w:rFonts w:eastAsia="SimSun"/>
        </w:rPr>
        <w:t xml:space="preserve"> Einstein</w:t>
      </w:r>
      <w:r w:rsidRPr="008E791C">
        <w:rPr>
          <w:rFonts w:eastAsia="SimSun"/>
        </w:rPr>
        <w:t>,</w:t>
      </w:r>
      <w:r w:rsidR="006109CE" w:rsidRPr="008E791C">
        <w:rPr>
          <w:rFonts w:eastAsia="SimSun"/>
        </w:rPr>
        <w:t xml:space="preserve"> Exhibit W</w:t>
      </w:r>
      <w:r w:rsidR="009060E9" w:rsidRPr="008E791C">
        <w:rPr>
          <w:rFonts w:eastAsia="SimSun"/>
        </w:rPr>
        <w:t>T</w:t>
      </w:r>
      <w:r w:rsidR="006109CE" w:rsidRPr="008E791C">
        <w:rPr>
          <w:rFonts w:eastAsia="SimSun"/>
        </w:rPr>
        <w:t>E-1T,</w:t>
      </w:r>
      <w:r w:rsidRPr="008E791C">
        <w:rPr>
          <w:rFonts w:eastAsia="SimSun"/>
        </w:rPr>
        <w:t xml:space="preserve"> PSE and its predecessors have been </w:t>
      </w:r>
      <w:r w:rsidR="00B3230D" w:rsidRPr="008E791C">
        <w:rPr>
          <w:rFonts w:eastAsia="SimSun"/>
        </w:rPr>
        <w:t xml:space="preserve">renting </w:t>
      </w:r>
      <w:r w:rsidRPr="008E791C">
        <w:rPr>
          <w:rFonts w:eastAsia="SimSun"/>
        </w:rPr>
        <w:t>equipment for over fifty years and the legal precedent for doing so is well established by the Commission.</w:t>
      </w:r>
      <w:r w:rsidR="009C6954" w:rsidRPr="008E791C">
        <w:rPr>
          <w:rFonts w:eastAsia="SimSun"/>
        </w:rPr>
        <w:t xml:space="preserve"> </w:t>
      </w:r>
      <w:r w:rsidR="004C1891" w:rsidRPr="008E791C">
        <w:rPr>
          <w:rFonts w:eastAsia="SimSun"/>
        </w:rPr>
        <w:t>In fact</w:t>
      </w:r>
      <w:r w:rsidRPr="008E791C">
        <w:rPr>
          <w:rFonts w:eastAsia="SimSun"/>
        </w:rPr>
        <w:t>, in the Commission</w:t>
      </w:r>
      <w:r w:rsidR="009C6954" w:rsidRPr="008E791C">
        <w:rPr>
          <w:rFonts w:eastAsia="SimSun"/>
        </w:rPr>
        <w:t>’</w:t>
      </w:r>
      <w:r w:rsidRPr="008E791C">
        <w:rPr>
          <w:rFonts w:eastAsia="SimSun"/>
        </w:rPr>
        <w:t xml:space="preserve">s Leasing Order, the Commission affirmed the statutory authority of utilities to lease equipment, despite arguments to the contrary by </w:t>
      </w:r>
      <w:r w:rsidR="00313414" w:rsidRPr="008E791C">
        <w:rPr>
          <w:bCs/>
        </w:rPr>
        <w:t xml:space="preserve">Commission </w:t>
      </w:r>
      <w:r w:rsidR="00313414" w:rsidRPr="008E791C">
        <w:t>Staff</w:t>
      </w:r>
      <w:r w:rsidRPr="008E791C">
        <w:rPr>
          <w:rFonts w:eastAsia="SimSun"/>
        </w:rPr>
        <w:t>.</w:t>
      </w:r>
      <w:r w:rsidRPr="008E791C">
        <w:rPr>
          <w:rStyle w:val="FootnoteReference"/>
          <w:rFonts w:eastAsia="SimSun"/>
        </w:rPr>
        <w:footnoteReference w:id="43"/>
      </w:r>
      <w:r w:rsidR="009C6954" w:rsidRPr="008E791C">
        <w:rPr>
          <w:rFonts w:eastAsia="SimSun"/>
        </w:rPr>
        <w:t xml:space="preserve"> </w:t>
      </w:r>
      <w:r w:rsidRPr="008E791C">
        <w:rPr>
          <w:rFonts w:eastAsia="SimSun"/>
        </w:rPr>
        <w:t>Therefore, there was significant legal precedent for PSE to propose an equipment leasing program and it was a reasonable business decision for PSE to pursue.</w:t>
      </w:r>
    </w:p>
    <w:p w:rsidR="00C34FCE" w:rsidRPr="008E791C" w:rsidRDefault="00C34FCE" w:rsidP="00B56012">
      <w:pPr>
        <w:pStyle w:val="question"/>
      </w:pPr>
      <w:r w:rsidRPr="008E791C">
        <w:t>Q.</w:t>
      </w:r>
      <w:r w:rsidRPr="008E791C">
        <w:tab/>
        <w:t>What was the Commission</w:t>
      </w:r>
      <w:r w:rsidR="009C6954" w:rsidRPr="008E791C">
        <w:t>’</w:t>
      </w:r>
      <w:r w:rsidRPr="008E791C">
        <w:t>s final order regarding the Leasing Program?</w:t>
      </w:r>
    </w:p>
    <w:p w:rsidR="005164EE" w:rsidRPr="008E791C" w:rsidRDefault="00C34FCE" w:rsidP="00B56012">
      <w:pPr>
        <w:pStyle w:val="answer"/>
        <w:rPr>
          <w:rFonts w:eastAsia="SimSun"/>
        </w:rPr>
      </w:pPr>
      <w:r w:rsidRPr="008E791C">
        <w:rPr>
          <w:rFonts w:eastAsia="SimSun"/>
        </w:rPr>
        <w:t>A.</w:t>
      </w:r>
      <w:r w:rsidRPr="008E791C">
        <w:rPr>
          <w:rFonts w:eastAsia="SimSun"/>
        </w:rPr>
        <w:tab/>
      </w:r>
      <w:r w:rsidR="009060E9" w:rsidRPr="008E791C">
        <w:rPr>
          <w:rFonts w:eastAsia="SimSun"/>
        </w:rPr>
        <w:t>Despite the Commission</w:t>
      </w:r>
      <w:r w:rsidR="009C6954" w:rsidRPr="008E791C">
        <w:rPr>
          <w:rFonts w:eastAsia="SimSun"/>
        </w:rPr>
        <w:t>’</w:t>
      </w:r>
      <w:r w:rsidR="009060E9" w:rsidRPr="008E791C">
        <w:rPr>
          <w:rFonts w:eastAsia="SimSun"/>
        </w:rPr>
        <w:t>s rejection of the leasing tariff</w:t>
      </w:r>
      <w:r w:rsidR="004C1891" w:rsidRPr="008E791C">
        <w:rPr>
          <w:rFonts w:eastAsia="SimSun"/>
        </w:rPr>
        <w:t xml:space="preserve"> in th</w:t>
      </w:r>
      <w:r w:rsidR="00685E23" w:rsidRPr="008E791C">
        <w:rPr>
          <w:rFonts w:eastAsia="SimSun"/>
        </w:rPr>
        <w:t>at</w:t>
      </w:r>
      <w:r w:rsidR="004C1891" w:rsidRPr="008E791C">
        <w:rPr>
          <w:rFonts w:eastAsia="SimSun"/>
        </w:rPr>
        <w:t xml:space="preserve"> docket</w:t>
      </w:r>
      <w:r w:rsidR="009060E9" w:rsidRPr="008E791C">
        <w:rPr>
          <w:rFonts w:eastAsia="SimSun"/>
        </w:rPr>
        <w:t>, t</w:t>
      </w:r>
      <w:r w:rsidRPr="008E791C">
        <w:rPr>
          <w:rFonts w:eastAsia="SimSun"/>
        </w:rPr>
        <w:t xml:space="preserve">he Commission made several rulings that </w:t>
      </w:r>
      <w:r w:rsidR="004C1891" w:rsidRPr="008E791C">
        <w:rPr>
          <w:rFonts w:eastAsia="SimSun"/>
        </w:rPr>
        <w:t xml:space="preserve">were </w:t>
      </w:r>
      <w:r w:rsidRPr="008E791C">
        <w:rPr>
          <w:rFonts w:eastAsia="SimSun"/>
        </w:rPr>
        <w:t>in PSE</w:t>
      </w:r>
      <w:r w:rsidR="009C6954" w:rsidRPr="008E791C">
        <w:rPr>
          <w:rFonts w:eastAsia="SimSun"/>
        </w:rPr>
        <w:t>’</w:t>
      </w:r>
      <w:r w:rsidRPr="008E791C">
        <w:rPr>
          <w:rFonts w:eastAsia="SimSun"/>
        </w:rPr>
        <w:t>s favor, holding that PSE</w:t>
      </w:r>
      <w:r w:rsidR="009C6954" w:rsidRPr="008E791C">
        <w:rPr>
          <w:rFonts w:eastAsia="SimSun"/>
        </w:rPr>
        <w:t>’</w:t>
      </w:r>
      <w:r w:rsidRPr="008E791C">
        <w:rPr>
          <w:rFonts w:eastAsia="SimSun"/>
        </w:rPr>
        <w:t xml:space="preserve">s </w:t>
      </w:r>
      <w:r w:rsidRPr="008E791C">
        <w:rPr>
          <w:rFonts w:eastAsia="SimSun"/>
        </w:rPr>
        <w:lastRenderedPageBreak/>
        <w:t xml:space="preserve">proposal was a permissible regulatory service, including several that were contrary to </w:t>
      </w:r>
      <w:r w:rsidR="00313414" w:rsidRPr="008E791C">
        <w:rPr>
          <w:bCs/>
        </w:rPr>
        <w:t xml:space="preserve">Commission </w:t>
      </w:r>
      <w:r w:rsidR="00313414" w:rsidRPr="008E791C">
        <w:t>Staff</w:t>
      </w:r>
      <w:r w:rsidR="009C6954" w:rsidRPr="008E791C">
        <w:rPr>
          <w:rFonts w:eastAsia="SimSun"/>
        </w:rPr>
        <w:t>’</w:t>
      </w:r>
      <w:r w:rsidRPr="008E791C">
        <w:rPr>
          <w:rFonts w:eastAsia="SimSun"/>
        </w:rPr>
        <w:t>s position:</w:t>
      </w:r>
    </w:p>
    <w:p w:rsidR="005164EE" w:rsidRPr="008E791C" w:rsidRDefault="005164EE" w:rsidP="00B56012">
      <w:pPr>
        <w:pStyle w:val="answer"/>
        <w:spacing w:before="0" w:after="280" w:line="240" w:lineRule="auto"/>
        <w:ind w:left="2160" w:right="720"/>
        <w:rPr>
          <w:rFonts w:eastAsia="SimSun"/>
        </w:rPr>
      </w:pPr>
      <w:r w:rsidRPr="008E791C">
        <w:rPr>
          <w:rFonts w:eastAsia="SimSun"/>
        </w:rPr>
        <w:t>1.</w:t>
      </w:r>
      <w:r w:rsidRPr="008E791C">
        <w:rPr>
          <w:rFonts w:eastAsia="SimSun"/>
        </w:rPr>
        <w:tab/>
      </w:r>
      <w:r w:rsidR="00C34FCE" w:rsidRPr="008E791C">
        <w:rPr>
          <w:rFonts w:eastAsia="SimSun"/>
        </w:rPr>
        <w:t>A water heating and HVAC equipment leasing program can be a tariffed utility service subject to Commission jurisdiction.</w:t>
      </w:r>
      <w:r w:rsidR="00C34FCE" w:rsidRPr="008E791C">
        <w:rPr>
          <w:rStyle w:val="FootnoteReference"/>
          <w:rFonts w:eastAsia="SimSun"/>
        </w:rPr>
        <w:footnoteReference w:id="44"/>
      </w:r>
    </w:p>
    <w:p w:rsidR="005164EE" w:rsidRPr="008E791C" w:rsidRDefault="005164EE" w:rsidP="00B56012">
      <w:pPr>
        <w:pStyle w:val="answer"/>
        <w:spacing w:before="0" w:after="280" w:line="240" w:lineRule="auto"/>
        <w:ind w:left="2160" w:right="720"/>
        <w:rPr>
          <w:rFonts w:eastAsia="SimSun"/>
        </w:rPr>
      </w:pPr>
      <w:r w:rsidRPr="008E791C">
        <w:rPr>
          <w:rFonts w:eastAsia="SimSun"/>
        </w:rPr>
        <w:t>2.</w:t>
      </w:r>
      <w:r w:rsidRPr="008E791C">
        <w:rPr>
          <w:rFonts w:eastAsia="SimSun"/>
        </w:rPr>
        <w:tab/>
      </w:r>
      <w:r w:rsidR="00C34FCE" w:rsidRPr="008E791C">
        <w:rPr>
          <w:rFonts w:eastAsia="SimSun"/>
        </w:rPr>
        <w:t>Washington utilities are required to develop creative, cost-effective methods to reduce consumption of both electricity and natural gas.</w:t>
      </w:r>
      <w:r w:rsidR="00C34FCE" w:rsidRPr="008E791C">
        <w:rPr>
          <w:rStyle w:val="FootnoteReference"/>
          <w:rFonts w:eastAsia="SimSun"/>
        </w:rPr>
        <w:footnoteReference w:id="45"/>
      </w:r>
    </w:p>
    <w:p w:rsidR="005164EE" w:rsidRPr="008E791C" w:rsidRDefault="005164EE" w:rsidP="00B56012">
      <w:pPr>
        <w:pStyle w:val="answer"/>
        <w:spacing w:before="0" w:after="280" w:line="240" w:lineRule="auto"/>
        <w:ind w:left="2160" w:right="720"/>
        <w:rPr>
          <w:rFonts w:eastAsia="SimSun"/>
        </w:rPr>
      </w:pPr>
      <w:r w:rsidRPr="008E791C">
        <w:rPr>
          <w:rFonts w:eastAsia="SimSun"/>
        </w:rPr>
        <w:t>3.</w:t>
      </w:r>
      <w:r w:rsidRPr="008E791C">
        <w:rPr>
          <w:rFonts w:eastAsia="SimSun"/>
        </w:rPr>
        <w:tab/>
      </w:r>
      <w:r w:rsidR="00C34FCE" w:rsidRPr="008E791C">
        <w:rPr>
          <w:rFonts w:eastAsia="SimSun"/>
        </w:rPr>
        <w:t>PSE</w:t>
      </w:r>
      <w:r w:rsidR="009C6954" w:rsidRPr="008E791C">
        <w:rPr>
          <w:rFonts w:eastAsia="SimSun"/>
        </w:rPr>
        <w:t>’</w:t>
      </w:r>
      <w:r w:rsidR="00C34FCE" w:rsidRPr="008E791C">
        <w:rPr>
          <w:rFonts w:eastAsia="SimSun"/>
        </w:rPr>
        <w:t>s proposed Leasing Program</w:t>
      </w:r>
      <w:r w:rsidR="009C6954" w:rsidRPr="008E791C">
        <w:rPr>
          <w:rFonts w:eastAsia="SimSun"/>
        </w:rPr>
        <w:t>’</w:t>
      </w:r>
      <w:r w:rsidR="00C34FCE" w:rsidRPr="008E791C">
        <w:rPr>
          <w:rFonts w:eastAsia="SimSun"/>
        </w:rPr>
        <w:t>s purpose and goals satisfie</w:t>
      </w:r>
      <w:r w:rsidR="00B3230D" w:rsidRPr="008E791C">
        <w:rPr>
          <w:rFonts w:eastAsia="SimSun"/>
        </w:rPr>
        <w:t>d</w:t>
      </w:r>
      <w:r w:rsidR="00C34FCE" w:rsidRPr="008E791C">
        <w:rPr>
          <w:rFonts w:eastAsia="SimSun"/>
        </w:rPr>
        <w:t xml:space="preserve"> state policy goals for reducing consumption and that there could be an equipment leasing program that encourage</w:t>
      </w:r>
      <w:r w:rsidR="00B3230D" w:rsidRPr="008E791C">
        <w:rPr>
          <w:rFonts w:eastAsia="SimSun"/>
        </w:rPr>
        <w:t>s</w:t>
      </w:r>
      <w:r w:rsidR="00C34FCE" w:rsidRPr="008E791C">
        <w:rPr>
          <w:rFonts w:eastAsia="SimSun"/>
        </w:rPr>
        <w:t xml:space="preserve"> conservation.</w:t>
      </w:r>
      <w:r w:rsidR="00C34FCE" w:rsidRPr="008E791C">
        <w:rPr>
          <w:rStyle w:val="FootnoteReference"/>
          <w:rFonts w:eastAsia="SimSun"/>
        </w:rPr>
        <w:footnoteReference w:id="46"/>
      </w:r>
    </w:p>
    <w:p w:rsidR="005164EE" w:rsidRPr="008E791C" w:rsidRDefault="005164EE" w:rsidP="00B56012">
      <w:pPr>
        <w:pStyle w:val="answer"/>
        <w:spacing w:before="0" w:after="280" w:line="240" w:lineRule="auto"/>
        <w:ind w:left="2160" w:right="720"/>
        <w:rPr>
          <w:rFonts w:eastAsia="SimSun"/>
        </w:rPr>
      </w:pPr>
      <w:r w:rsidRPr="008E791C">
        <w:rPr>
          <w:rFonts w:eastAsia="SimSun"/>
        </w:rPr>
        <w:t>4.</w:t>
      </w:r>
      <w:r w:rsidRPr="008E791C">
        <w:rPr>
          <w:rFonts w:eastAsia="SimSun"/>
        </w:rPr>
        <w:tab/>
      </w:r>
      <w:r w:rsidR="00C34FCE" w:rsidRPr="008E791C">
        <w:rPr>
          <w:rFonts w:eastAsia="SimSun"/>
        </w:rPr>
        <w:t>PSE</w:t>
      </w:r>
      <w:r w:rsidR="009C6954" w:rsidRPr="008E791C">
        <w:rPr>
          <w:rFonts w:eastAsia="SimSun"/>
        </w:rPr>
        <w:t>’</w:t>
      </w:r>
      <w:r w:rsidR="00C34FCE" w:rsidRPr="008E791C">
        <w:rPr>
          <w:rFonts w:eastAsia="SimSun"/>
        </w:rPr>
        <w:t>s proposed Leasing Program satisfied factors the Commission considers to evaluate whether a service is subject to Commission regulation, including whether the service is being offered to the public, the company</w:t>
      </w:r>
      <w:r w:rsidR="009C6954" w:rsidRPr="008E791C">
        <w:rPr>
          <w:rFonts w:eastAsia="SimSun"/>
        </w:rPr>
        <w:t>’</w:t>
      </w:r>
      <w:r w:rsidR="00C34FCE" w:rsidRPr="008E791C">
        <w:rPr>
          <w:rFonts w:eastAsia="SimSun"/>
        </w:rPr>
        <w:t>s market power, and the need for consumer protection.</w:t>
      </w:r>
      <w:r w:rsidR="00C34FCE" w:rsidRPr="008E791C">
        <w:rPr>
          <w:rStyle w:val="FootnoteReference"/>
          <w:rFonts w:eastAsia="SimSun"/>
        </w:rPr>
        <w:footnoteReference w:id="47"/>
      </w:r>
    </w:p>
    <w:p w:rsidR="005164EE" w:rsidRPr="008E791C" w:rsidRDefault="005164EE" w:rsidP="00B56012">
      <w:pPr>
        <w:pStyle w:val="answer"/>
        <w:spacing w:before="0" w:after="280" w:line="240" w:lineRule="auto"/>
        <w:ind w:left="2160" w:right="720"/>
        <w:rPr>
          <w:rFonts w:eastAsia="SimSun"/>
        </w:rPr>
      </w:pPr>
      <w:r w:rsidRPr="008E791C">
        <w:rPr>
          <w:rFonts w:eastAsia="SimSun"/>
        </w:rPr>
        <w:t>5.</w:t>
      </w:r>
      <w:r w:rsidRPr="008E791C">
        <w:rPr>
          <w:rFonts w:eastAsia="SimSun"/>
        </w:rPr>
        <w:tab/>
      </w:r>
      <w:r w:rsidR="00C34FCE" w:rsidRPr="008E791C">
        <w:rPr>
          <w:rFonts w:eastAsia="SimSun"/>
        </w:rPr>
        <w:t>The service was appropriate under RCW 80.04.270.</w:t>
      </w:r>
      <w:r w:rsidR="00C34FCE" w:rsidRPr="008E791C">
        <w:rPr>
          <w:rStyle w:val="FootnoteReference"/>
          <w:rFonts w:eastAsia="SimSun"/>
        </w:rPr>
        <w:footnoteReference w:id="48"/>
      </w:r>
    </w:p>
    <w:p w:rsidR="00C34FCE" w:rsidRPr="008E791C" w:rsidRDefault="005164EE" w:rsidP="00B56012">
      <w:pPr>
        <w:pStyle w:val="answer"/>
        <w:spacing w:before="0" w:after="280" w:line="240" w:lineRule="auto"/>
        <w:ind w:left="2160" w:right="720"/>
        <w:rPr>
          <w:rFonts w:eastAsia="SimSun"/>
        </w:rPr>
      </w:pPr>
      <w:r w:rsidRPr="008E791C">
        <w:rPr>
          <w:rFonts w:eastAsia="SimSun"/>
        </w:rPr>
        <w:t>6.</w:t>
      </w:r>
      <w:r w:rsidRPr="008E791C">
        <w:rPr>
          <w:rFonts w:eastAsia="SimSun"/>
        </w:rPr>
        <w:tab/>
      </w:r>
      <w:r w:rsidR="00C34FCE" w:rsidRPr="008E791C">
        <w:rPr>
          <w:rFonts w:eastAsia="SimSun"/>
        </w:rPr>
        <w:t>The record demonstrated consumer demand for a service that facilitates replacing aging water heating and HVAC equipment with more efficient products.</w:t>
      </w:r>
      <w:r w:rsidR="00C34FCE" w:rsidRPr="008E791C">
        <w:rPr>
          <w:rStyle w:val="FootnoteReference"/>
          <w:rFonts w:eastAsia="SimSun"/>
        </w:rPr>
        <w:footnoteReference w:id="49"/>
      </w:r>
      <w:r w:rsidR="009C6954" w:rsidRPr="008E791C">
        <w:rPr>
          <w:rFonts w:eastAsia="SimSun"/>
        </w:rPr>
        <w:t xml:space="preserve"> </w:t>
      </w:r>
      <w:r w:rsidR="00C34FCE" w:rsidRPr="008E791C">
        <w:rPr>
          <w:rFonts w:eastAsia="SimSun"/>
        </w:rPr>
        <w:t>Indeed, the Commission noted that the fact that 33,000 PSE customers still elect PSE</w:t>
      </w:r>
      <w:r w:rsidR="009C6954" w:rsidRPr="008E791C">
        <w:rPr>
          <w:rFonts w:eastAsia="SimSun"/>
        </w:rPr>
        <w:t>’</w:t>
      </w:r>
      <w:r w:rsidR="00C34FCE" w:rsidRPr="008E791C">
        <w:rPr>
          <w:rFonts w:eastAsia="SimSun"/>
        </w:rPr>
        <w:t xml:space="preserve">s </w:t>
      </w:r>
      <w:r w:rsidR="00B3230D" w:rsidRPr="008E791C">
        <w:rPr>
          <w:rFonts w:eastAsia="SimSun"/>
        </w:rPr>
        <w:t xml:space="preserve">existing rental </w:t>
      </w:r>
      <w:r w:rsidR="00C34FCE" w:rsidRPr="008E791C">
        <w:rPr>
          <w:rFonts w:eastAsia="SimSun"/>
        </w:rPr>
        <w:t xml:space="preserve">service demonstrates </w:t>
      </w:r>
      <w:r w:rsidR="009C6954" w:rsidRPr="008E791C">
        <w:rPr>
          <w:rFonts w:eastAsia="SimSun"/>
        </w:rPr>
        <w:t>“</w:t>
      </w:r>
      <w:r w:rsidR="00C34FCE" w:rsidRPr="008E791C">
        <w:rPr>
          <w:rFonts w:eastAsia="SimSun"/>
        </w:rPr>
        <w:t>real world</w:t>
      </w:r>
      <w:r w:rsidR="009C6954" w:rsidRPr="008E791C">
        <w:rPr>
          <w:rFonts w:eastAsia="SimSun"/>
        </w:rPr>
        <w:t>”</w:t>
      </w:r>
      <w:r w:rsidR="00C34FCE" w:rsidRPr="008E791C">
        <w:rPr>
          <w:rFonts w:eastAsia="SimSun"/>
        </w:rPr>
        <w:t xml:space="preserve"> evidence that customers are still interested in a leasing service.</w:t>
      </w:r>
      <w:r w:rsidR="00C34FCE" w:rsidRPr="008E791C">
        <w:rPr>
          <w:rStyle w:val="FootnoteReference"/>
          <w:rFonts w:eastAsia="SimSun"/>
        </w:rPr>
        <w:footnoteReference w:id="50"/>
      </w:r>
    </w:p>
    <w:p w:rsidR="00C34FCE" w:rsidRPr="008E791C" w:rsidRDefault="00C34FCE" w:rsidP="00B56012">
      <w:pPr>
        <w:pStyle w:val="question"/>
      </w:pPr>
      <w:r w:rsidRPr="008E791C">
        <w:lastRenderedPageBreak/>
        <w:t>Q.</w:t>
      </w:r>
      <w:r w:rsidRPr="008E791C">
        <w:tab/>
        <w:t xml:space="preserve">Did the Commission reject </w:t>
      </w:r>
      <w:r w:rsidR="00313414" w:rsidRPr="008E791C">
        <w:rPr>
          <w:bCs/>
        </w:rPr>
        <w:t xml:space="preserve">Commission </w:t>
      </w:r>
      <w:r w:rsidR="00313414" w:rsidRPr="008E791C">
        <w:t>Staff</w:t>
      </w:r>
      <w:r w:rsidR="009C6954" w:rsidRPr="008E791C">
        <w:t>’</w:t>
      </w:r>
      <w:r w:rsidRPr="008E791C">
        <w:t>s positions?</w:t>
      </w:r>
    </w:p>
    <w:p w:rsidR="00C34FCE" w:rsidRPr="008E791C" w:rsidRDefault="00C34FCE" w:rsidP="00B56012">
      <w:pPr>
        <w:pStyle w:val="answer"/>
        <w:rPr>
          <w:rFonts w:eastAsia="SimSun"/>
        </w:rPr>
      </w:pPr>
      <w:r w:rsidRPr="008E791C">
        <w:rPr>
          <w:rFonts w:eastAsia="SimSun"/>
        </w:rPr>
        <w:t>A.</w:t>
      </w:r>
      <w:r w:rsidRPr="008E791C">
        <w:rPr>
          <w:rFonts w:eastAsia="SimSun"/>
        </w:rPr>
        <w:tab/>
        <w:t xml:space="preserve">Yes, the Commission disagreed with </w:t>
      </w:r>
      <w:r w:rsidR="00BB45DD" w:rsidRPr="008E791C">
        <w:rPr>
          <w:rFonts w:eastAsia="SimSun"/>
        </w:rPr>
        <w:t xml:space="preserve">certain </w:t>
      </w:r>
      <w:r w:rsidRPr="008E791C">
        <w:rPr>
          <w:rFonts w:eastAsia="SimSun"/>
        </w:rPr>
        <w:t xml:space="preserve">of </w:t>
      </w:r>
      <w:r w:rsidR="00313414" w:rsidRPr="008E791C">
        <w:rPr>
          <w:bCs/>
        </w:rPr>
        <w:t xml:space="preserve">Commission </w:t>
      </w:r>
      <w:r w:rsidR="00313414" w:rsidRPr="008E791C">
        <w:t>Staff</w:t>
      </w:r>
      <w:r w:rsidR="009C6954" w:rsidRPr="008E791C">
        <w:rPr>
          <w:rFonts w:eastAsia="SimSun"/>
        </w:rPr>
        <w:t>’</w:t>
      </w:r>
      <w:r w:rsidRPr="008E791C">
        <w:rPr>
          <w:rFonts w:eastAsia="SimSun"/>
        </w:rPr>
        <w:t>s arguments, including positions taken by Ms. O</w:t>
      </w:r>
      <w:r w:rsidR="009C6954" w:rsidRPr="008E791C">
        <w:rPr>
          <w:rFonts w:eastAsia="SimSun"/>
        </w:rPr>
        <w:t>’</w:t>
      </w:r>
      <w:r w:rsidRPr="008E791C">
        <w:rPr>
          <w:rFonts w:eastAsia="SimSun"/>
        </w:rPr>
        <w:t>Connell, including:</w:t>
      </w:r>
    </w:p>
    <w:p w:rsidR="005164EE" w:rsidRPr="008E791C" w:rsidRDefault="005164EE" w:rsidP="00B56012">
      <w:pPr>
        <w:pStyle w:val="answer"/>
        <w:spacing w:before="0" w:after="280" w:line="240" w:lineRule="auto"/>
        <w:ind w:left="2160" w:right="720"/>
        <w:rPr>
          <w:rFonts w:eastAsia="SimSun"/>
        </w:rPr>
      </w:pPr>
      <w:r w:rsidRPr="008E791C">
        <w:rPr>
          <w:rFonts w:eastAsia="SimSun"/>
        </w:rPr>
        <w:t>1.</w:t>
      </w:r>
      <w:r w:rsidRPr="008E791C">
        <w:rPr>
          <w:rFonts w:eastAsia="SimSun"/>
        </w:rPr>
        <w:tab/>
      </w:r>
      <w:r w:rsidR="00C34FCE" w:rsidRPr="008E791C">
        <w:rPr>
          <w:rFonts w:eastAsia="SimSun"/>
        </w:rPr>
        <w:t>The customer</w:t>
      </w:r>
      <w:r w:rsidR="009C6954" w:rsidRPr="008E791C">
        <w:rPr>
          <w:rFonts w:eastAsia="SimSun"/>
        </w:rPr>
        <w:t>’</w:t>
      </w:r>
      <w:r w:rsidR="00C34FCE" w:rsidRPr="008E791C">
        <w:rPr>
          <w:rFonts w:eastAsia="SimSun"/>
        </w:rPr>
        <w:t xml:space="preserve">s meter is not the demarcation line for determining regulatory service and </w:t>
      </w:r>
      <w:r w:rsidR="00313414" w:rsidRPr="008E791C">
        <w:rPr>
          <w:bCs/>
        </w:rPr>
        <w:t xml:space="preserve">Commission </w:t>
      </w:r>
      <w:r w:rsidR="00313414" w:rsidRPr="008E791C">
        <w:t>Staff</w:t>
      </w:r>
      <w:r w:rsidR="009C6954" w:rsidRPr="008E791C">
        <w:rPr>
          <w:rFonts w:eastAsia="SimSun"/>
        </w:rPr>
        <w:t>’</w:t>
      </w:r>
      <w:r w:rsidR="00C34FCE" w:rsidRPr="008E791C">
        <w:rPr>
          <w:rFonts w:eastAsia="SimSun"/>
        </w:rPr>
        <w:t>s position otherwise was unsupported in statute or Commission precedent and would harm public policy.</w:t>
      </w:r>
      <w:r w:rsidR="00C34FCE" w:rsidRPr="008E791C">
        <w:rPr>
          <w:rStyle w:val="FootnoteReference"/>
          <w:rFonts w:eastAsia="SimSun"/>
        </w:rPr>
        <w:footnoteReference w:id="51"/>
      </w:r>
    </w:p>
    <w:p w:rsidR="00C34FCE" w:rsidRPr="008E791C" w:rsidRDefault="005164EE" w:rsidP="00B56012">
      <w:pPr>
        <w:pStyle w:val="answer"/>
        <w:spacing w:before="0" w:after="280" w:line="240" w:lineRule="auto"/>
        <w:ind w:left="2160" w:right="720"/>
        <w:rPr>
          <w:rFonts w:eastAsia="SimSun"/>
        </w:rPr>
      </w:pPr>
      <w:r w:rsidRPr="008E791C">
        <w:rPr>
          <w:rFonts w:eastAsia="SimSun"/>
        </w:rPr>
        <w:t>2.</w:t>
      </w:r>
      <w:r w:rsidRPr="008E791C">
        <w:rPr>
          <w:rFonts w:eastAsia="SimSun"/>
        </w:rPr>
        <w:tab/>
      </w:r>
      <w:r w:rsidR="00313414" w:rsidRPr="008E791C">
        <w:rPr>
          <w:bCs/>
        </w:rPr>
        <w:t xml:space="preserve">Commission </w:t>
      </w:r>
      <w:r w:rsidR="00313414" w:rsidRPr="008E791C">
        <w:t>Staff</w:t>
      </w:r>
      <w:r w:rsidR="009C6954" w:rsidRPr="008E791C">
        <w:rPr>
          <w:rFonts w:eastAsia="SimSun"/>
        </w:rPr>
        <w:t>’</w:t>
      </w:r>
      <w:r w:rsidR="00C34FCE" w:rsidRPr="008E791C">
        <w:rPr>
          <w:rFonts w:eastAsia="SimSun"/>
        </w:rPr>
        <w:t>s standard of review was too constraining when assessing whether a proposed program is subject to Commission regulation.</w:t>
      </w:r>
      <w:r w:rsidR="00C34FCE" w:rsidRPr="008E791C">
        <w:rPr>
          <w:rStyle w:val="FootnoteReference"/>
          <w:rFonts w:eastAsia="SimSun"/>
        </w:rPr>
        <w:footnoteReference w:id="52"/>
      </w:r>
    </w:p>
    <w:p w:rsidR="00C34FCE" w:rsidRPr="008E791C" w:rsidRDefault="00C34FCE" w:rsidP="00B56012">
      <w:pPr>
        <w:pStyle w:val="question"/>
      </w:pPr>
      <w:r w:rsidRPr="008E791C">
        <w:t>Q.</w:t>
      </w:r>
      <w:r w:rsidRPr="008E791C">
        <w:tab/>
        <w:t>If the program was ultimately not approved, why should the legal costs for the proposed program be allowed?</w:t>
      </w:r>
    </w:p>
    <w:p w:rsidR="00C34FCE" w:rsidRPr="008E791C" w:rsidRDefault="00C34FCE" w:rsidP="00B56012">
      <w:pPr>
        <w:pStyle w:val="answer"/>
        <w:rPr>
          <w:rFonts w:eastAsia="SimSun"/>
        </w:rPr>
      </w:pPr>
      <w:r w:rsidRPr="008E791C">
        <w:rPr>
          <w:rFonts w:eastAsia="SimSun"/>
        </w:rPr>
        <w:t>A.</w:t>
      </w:r>
      <w:r w:rsidRPr="008E791C">
        <w:rPr>
          <w:rFonts w:eastAsia="SimSun"/>
        </w:rPr>
        <w:tab/>
      </w:r>
      <w:r w:rsidR="004C1891" w:rsidRPr="008E791C">
        <w:rPr>
          <w:rFonts w:eastAsia="SimSun"/>
        </w:rPr>
        <w:t xml:space="preserve">As discussed earlier in my testimony, disallowing legal costs simply because the tariff was not approved </w:t>
      </w:r>
      <w:r w:rsidR="00C91419" w:rsidRPr="008E791C">
        <w:rPr>
          <w:rFonts w:eastAsia="SimSun"/>
        </w:rPr>
        <w:t>would set poor precedent.</w:t>
      </w:r>
      <w:r w:rsidR="009C6954" w:rsidRPr="008E791C">
        <w:rPr>
          <w:rFonts w:eastAsia="SimSun"/>
        </w:rPr>
        <w:t xml:space="preserve"> </w:t>
      </w:r>
      <w:r w:rsidR="00C91419" w:rsidRPr="008E791C">
        <w:rPr>
          <w:rFonts w:eastAsia="SimSun"/>
        </w:rPr>
        <w:t xml:space="preserve">Additionally, </w:t>
      </w:r>
      <w:r w:rsidR="004C1891" w:rsidRPr="008E791C">
        <w:rPr>
          <w:rFonts w:eastAsia="SimSun"/>
        </w:rPr>
        <w:t>the Commission should review the totality of the record.</w:t>
      </w:r>
      <w:r w:rsidR="009C6954" w:rsidRPr="008E791C">
        <w:rPr>
          <w:rFonts w:eastAsia="SimSun"/>
        </w:rPr>
        <w:t xml:space="preserve"> </w:t>
      </w:r>
      <w:r w:rsidR="0084421F" w:rsidRPr="008E791C">
        <w:rPr>
          <w:rFonts w:eastAsia="SimSun"/>
        </w:rPr>
        <w:t>Ms. O</w:t>
      </w:r>
      <w:r w:rsidR="009C6954" w:rsidRPr="008E791C">
        <w:rPr>
          <w:rFonts w:eastAsia="SimSun"/>
        </w:rPr>
        <w:t>’</w:t>
      </w:r>
      <w:r w:rsidR="0084421F" w:rsidRPr="008E791C">
        <w:rPr>
          <w:rFonts w:eastAsia="SimSun"/>
        </w:rPr>
        <w:t xml:space="preserve">Connell glosses over the fact that PSE prevailed on several issues that </w:t>
      </w:r>
      <w:r w:rsidR="00313414" w:rsidRPr="008E791C">
        <w:rPr>
          <w:bCs/>
        </w:rPr>
        <w:t xml:space="preserve">Commission </w:t>
      </w:r>
      <w:r w:rsidR="00313414" w:rsidRPr="008E791C">
        <w:t>Staff</w:t>
      </w:r>
      <w:r w:rsidR="0084421F" w:rsidRPr="008E791C">
        <w:rPr>
          <w:rFonts w:eastAsia="SimSun"/>
        </w:rPr>
        <w:t xml:space="preserve"> challenged</w:t>
      </w:r>
      <w:r w:rsidR="00563852" w:rsidRPr="008E791C">
        <w:rPr>
          <w:rFonts w:eastAsia="SimSun"/>
        </w:rPr>
        <w:t>, including that leasing of equipment such as water heaters falls within the jurisdiction of the Commission</w:t>
      </w:r>
      <w:r w:rsidR="0084421F" w:rsidRPr="008E791C">
        <w:rPr>
          <w:rFonts w:eastAsia="SimSun"/>
        </w:rPr>
        <w:t xml:space="preserve">. </w:t>
      </w:r>
      <w:r w:rsidRPr="008E791C">
        <w:rPr>
          <w:rFonts w:eastAsia="SimSun"/>
        </w:rPr>
        <w:t xml:space="preserve">PSE was required to expend significant legal expenses to defend </w:t>
      </w:r>
      <w:r w:rsidR="00563852" w:rsidRPr="008E791C">
        <w:rPr>
          <w:rFonts w:eastAsia="SimSun"/>
        </w:rPr>
        <w:t>its position on these issues and ultimately prevailed on several issues.</w:t>
      </w:r>
      <w:r w:rsidR="009C6954" w:rsidRPr="008E791C">
        <w:rPr>
          <w:rFonts w:eastAsia="SimSun"/>
        </w:rPr>
        <w:t xml:space="preserve"> </w:t>
      </w:r>
      <w:r w:rsidR="004C1891" w:rsidRPr="008E791C">
        <w:rPr>
          <w:rFonts w:eastAsia="SimSun"/>
        </w:rPr>
        <w:t xml:space="preserve">If utilities </w:t>
      </w:r>
      <w:r w:rsidR="004C1891" w:rsidRPr="008E791C">
        <w:rPr>
          <w:rFonts w:ascii="CG Times (WN)" w:eastAsia="SimSun" w:hAnsi="CG Times (WN)"/>
        </w:rPr>
        <w:t xml:space="preserve">are </w:t>
      </w:r>
      <w:r w:rsidR="004C1891" w:rsidRPr="008E791C">
        <w:t xml:space="preserve">not allowed to recover their legal costs associated with adjudicated proceedings before the Commission, this would impair the ability of utilities to adequately protect their legal interests and also provides a disincentive for utilities to propose new measures before the Commission because if they are not adopted, under </w:t>
      </w:r>
      <w:r w:rsidR="00313414" w:rsidRPr="008E791C">
        <w:rPr>
          <w:bCs/>
        </w:rPr>
        <w:lastRenderedPageBreak/>
        <w:t xml:space="preserve">Commission </w:t>
      </w:r>
      <w:r w:rsidR="00313414" w:rsidRPr="008E791C">
        <w:t>Staff</w:t>
      </w:r>
      <w:r w:rsidR="009C6954" w:rsidRPr="008E791C">
        <w:t>’</w:t>
      </w:r>
      <w:r w:rsidR="004C1891" w:rsidRPr="008E791C">
        <w:t xml:space="preserve">s theory, </w:t>
      </w:r>
      <w:r w:rsidR="006E0FF1" w:rsidRPr="008E791C">
        <w:t>PSE</w:t>
      </w:r>
      <w:r w:rsidR="004C1891" w:rsidRPr="008E791C">
        <w:t xml:space="preserve"> would be unable to recover those costs.</w:t>
      </w:r>
      <w:r w:rsidR="009C6954" w:rsidRPr="008E791C">
        <w:t xml:space="preserve"> </w:t>
      </w:r>
      <w:r w:rsidR="004C1891" w:rsidRPr="008E791C">
        <w:t>Such a proposal would harm utilities and ratepayers and should therefore be rejected.</w:t>
      </w:r>
    </w:p>
    <w:p w:rsidR="0055026C" w:rsidRPr="008E791C" w:rsidRDefault="00563852" w:rsidP="00B56012">
      <w:pPr>
        <w:pStyle w:val="Heading3"/>
      </w:pPr>
      <w:bookmarkStart w:id="50" w:name="_Toc489961835"/>
      <w:r w:rsidRPr="008E791C">
        <w:rPr>
          <w:u w:val="none"/>
        </w:rPr>
        <w:t>2.</w:t>
      </w:r>
      <w:r w:rsidRPr="008E791C">
        <w:rPr>
          <w:u w:val="none"/>
        </w:rPr>
        <w:tab/>
      </w:r>
      <w:r w:rsidR="0055026C" w:rsidRPr="008E791C">
        <w:t>LNG Costs:</w:t>
      </w:r>
      <w:bookmarkEnd w:id="50"/>
    </w:p>
    <w:p w:rsidR="001138F5" w:rsidRPr="008E791C" w:rsidRDefault="001138F5" w:rsidP="00B56012">
      <w:pPr>
        <w:pStyle w:val="question"/>
      </w:pPr>
      <w:r w:rsidRPr="008E791C">
        <w:t>Q.</w:t>
      </w:r>
      <w:r w:rsidRPr="008E791C">
        <w:tab/>
        <w:t>Does PSE agree with Ms. O</w:t>
      </w:r>
      <w:r w:rsidR="009C6954" w:rsidRPr="008E791C">
        <w:t>’</w:t>
      </w:r>
      <w:r w:rsidRPr="008E791C">
        <w:t>Connell</w:t>
      </w:r>
      <w:r w:rsidR="009C6954" w:rsidRPr="008E791C">
        <w:t>’</w:t>
      </w:r>
      <w:r w:rsidRPr="008E791C">
        <w:t>s suggestion that a portion of the legal costs associated with the LNG project should be excluded?</w:t>
      </w:r>
    </w:p>
    <w:p w:rsidR="001138F5" w:rsidRPr="008E791C" w:rsidRDefault="001138F5" w:rsidP="00B56012">
      <w:pPr>
        <w:pStyle w:val="answer"/>
        <w:rPr>
          <w:rFonts w:eastAsia="SimSun"/>
        </w:rPr>
      </w:pPr>
      <w:r w:rsidRPr="008E791C">
        <w:rPr>
          <w:rFonts w:eastAsia="SimSun"/>
        </w:rPr>
        <w:t>A.</w:t>
      </w:r>
      <w:r w:rsidRPr="008E791C">
        <w:rPr>
          <w:rFonts w:eastAsia="SimSun"/>
        </w:rPr>
        <w:tab/>
        <w:t>No.</w:t>
      </w:r>
      <w:r w:rsidR="009C6954" w:rsidRPr="008E791C">
        <w:rPr>
          <w:rFonts w:eastAsia="SimSun"/>
        </w:rPr>
        <w:t xml:space="preserve"> </w:t>
      </w:r>
      <w:r w:rsidRPr="008E791C">
        <w:rPr>
          <w:rFonts w:eastAsia="SimSun"/>
        </w:rPr>
        <w:t>Ms. O</w:t>
      </w:r>
      <w:r w:rsidR="009C6954" w:rsidRPr="008E791C">
        <w:rPr>
          <w:rFonts w:eastAsia="SimSun"/>
        </w:rPr>
        <w:t>’</w:t>
      </w:r>
      <w:r w:rsidRPr="008E791C">
        <w:rPr>
          <w:rFonts w:eastAsia="SimSun"/>
        </w:rPr>
        <w:t>Connell cites no authority for her suggestion that a portion of the LNG legal costs should be excluded.</w:t>
      </w:r>
      <w:r w:rsidR="009C6954" w:rsidRPr="008E791C">
        <w:rPr>
          <w:rFonts w:eastAsia="SimSun"/>
        </w:rPr>
        <w:t xml:space="preserve"> </w:t>
      </w:r>
      <w:r w:rsidR="001176CD" w:rsidRPr="008E791C">
        <w:rPr>
          <w:rFonts w:eastAsia="SimSun"/>
        </w:rPr>
        <w:t>T</w:t>
      </w:r>
      <w:r w:rsidRPr="008E791C">
        <w:rPr>
          <w:rFonts w:eastAsia="SimSun"/>
        </w:rPr>
        <w:t>he LNG project is a prime example of a program proposed by PSE before the Commission that resulted in a complex and lengthy procedural process that required PSE to incur legal costs.</w:t>
      </w:r>
      <w:r w:rsidR="009C6954" w:rsidRPr="008E791C">
        <w:rPr>
          <w:rFonts w:eastAsia="SimSun"/>
        </w:rPr>
        <w:t xml:space="preserve"> </w:t>
      </w:r>
      <w:r w:rsidRPr="008E791C">
        <w:rPr>
          <w:rFonts w:eastAsia="SimSun"/>
        </w:rPr>
        <w:t>The fact that the final settlement resulted in an operational structure where a portion of the LNG business was unregulated should in no way suggest that a portion of the legal costs that led to settlement should be excluded, especially since the structure of the LNG project took months to settle.</w:t>
      </w:r>
      <w:r w:rsidR="009C6954" w:rsidRPr="008E791C">
        <w:rPr>
          <w:rFonts w:eastAsia="SimSun"/>
        </w:rPr>
        <w:t xml:space="preserve"> </w:t>
      </w:r>
      <w:r w:rsidRPr="008E791C">
        <w:rPr>
          <w:rFonts w:eastAsia="SimSun"/>
        </w:rPr>
        <w:t>PSE had no way of knowing at the outset of the case what the final result would be.</w:t>
      </w:r>
    </w:p>
    <w:p w:rsidR="001138F5" w:rsidRPr="008E791C" w:rsidRDefault="001138F5" w:rsidP="00B56012">
      <w:pPr>
        <w:pStyle w:val="question"/>
      </w:pPr>
      <w:r w:rsidRPr="008E791C">
        <w:t>Q.</w:t>
      </w:r>
      <w:r w:rsidRPr="008E791C">
        <w:tab/>
        <w:t>Does Ms. O</w:t>
      </w:r>
      <w:r w:rsidR="009C6954" w:rsidRPr="008E791C">
        <w:t>’</w:t>
      </w:r>
      <w:r w:rsidRPr="008E791C">
        <w:t>Connell provide any basis for her apportionment methodology?</w:t>
      </w:r>
    </w:p>
    <w:p w:rsidR="001138F5" w:rsidRPr="008E791C" w:rsidRDefault="001138F5" w:rsidP="00B56012">
      <w:pPr>
        <w:pStyle w:val="answer"/>
        <w:rPr>
          <w:rFonts w:eastAsia="SimSun"/>
        </w:rPr>
      </w:pPr>
      <w:r w:rsidRPr="008E791C">
        <w:rPr>
          <w:rFonts w:eastAsia="SimSun"/>
        </w:rPr>
        <w:t>A.</w:t>
      </w:r>
      <w:r w:rsidRPr="008E791C">
        <w:rPr>
          <w:rFonts w:eastAsia="SimSun"/>
        </w:rPr>
        <w:tab/>
        <w:t>No.</w:t>
      </w:r>
      <w:r w:rsidR="009C6954" w:rsidRPr="008E791C">
        <w:rPr>
          <w:rFonts w:eastAsia="SimSun"/>
        </w:rPr>
        <w:t xml:space="preserve"> </w:t>
      </w:r>
      <w:r w:rsidRPr="008E791C">
        <w:rPr>
          <w:rFonts w:eastAsia="SimSun"/>
        </w:rPr>
        <w:t>Ms. O</w:t>
      </w:r>
      <w:r w:rsidR="009C6954" w:rsidRPr="008E791C">
        <w:rPr>
          <w:rFonts w:eastAsia="SimSun"/>
        </w:rPr>
        <w:t>’</w:t>
      </w:r>
      <w:r w:rsidRPr="008E791C">
        <w:rPr>
          <w:rFonts w:eastAsia="SimSun"/>
        </w:rPr>
        <w:t>Connell simply argues that the Commission should apportion the legal costs based on the final agreed allocation between the regulated and unregulated sides of the LNG plant.</w:t>
      </w:r>
      <w:r w:rsidR="009C6954" w:rsidRPr="008E791C">
        <w:rPr>
          <w:rFonts w:eastAsia="SimSun"/>
        </w:rPr>
        <w:t xml:space="preserve"> </w:t>
      </w:r>
      <w:r w:rsidRPr="008E791C">
        <w:rPr>
          <w:rFonts w:eastAsia="SimSun"/>
        </w:rPr>
        <w:t>Ms. O</w:t>
      </w:r>
      <w:r w:rsidR="009C6954" w:rsidRPr="008E791C">
        <w:rPr>
          <w:rFonts w:eastAsia="SimSun"/>
        </w:rPr>
        <w:t>’</w:t>
      </w:r>
      <w:r w:rsidRPr="008E791C">
        <w:rPr>
          <w:rFonts w:eastAsia="SimSun"/>
        </w:rPr>
        <w:t>Connell</w:t>
      </w:r>
      <w:r w:rsidR="009C6954" w:rsidRPr="008E791C">
        <w:rPr>
          <w:rFonts w:eastAsia="SimSun"/>
        </w:rPr>
        <w:t>’</w:t>
      </w:r>
      <w:r w:rsidRPr="008E791C">
        <w:rPr>
          <w:rFonts w:eastAsia="SimSun"/>
        </w:rPr>
        <w:t>s reasoning is flawed for two reasons.</w:t>
      </w:r>
      <w:r w:rsidR="009C6954" w:rsidRPr="008E791C">
        <w:rPr>
          <w:rFonts w:eastAsia="SimSun"/>
        </w:rPr>
        <w:t xml:space="preserve"> </w:t>
      </w:r>
      <w:r w:rsidRPr="008E791C">
        <w:rPr>
          <w:rFonts w:eastAsia="SimSun"/>
        </w:rPr>
        <w:t>First, the entire settlement required Commission review and approval, even though a portion of the final settlement included an unregulated entity.</w:t>
      </w:r>
      <w:r w:rsidR="009C6954" w:rsidRPr="008E791C">
        <w:rPr>
          <w:rFonts w:eastAsia="SimSun"/>
        </w:rPr>
        <w:t xml:space="preserve"> </w:t>
      </w:r>
      <w:r w:rsidRPr="008E791C">
        <w:rPr>
          <w:rFonts w:eastAsia="SimSun"/>
        </w:rPr>
        <w:t>In fact, Ms. O</w:t>
      </w:r>
      <w:r w:rsidR="009C6954" w:rsidRPr="008E791C">
        <w:rPr>
          <w:rFonts w:eastAsia="SimSun"/>
        </w:rPr>
        <w:t>’</w:t>
      </w:r>
      <w:r w:rsidRPr="008E791C">
        <w:rPr>
          <w:rFonts w:eastAsia="SimSun"/>
        </w:rPr>
        <w:t xml:space="preserve">Connell even admits that Commission approval was necessary in order to </w:t>
      </w:r>
      <w:r w:rsidRPr="008E791C">
        <w:rPr>
          <w:rFonts w:eastAsia="SimSun"/>
        </w:rPr>
        <w:lastRenderedPageBreak/>
        <w:t>allow the creation of the unregulated entity.</w:t>
      </w:r>
      <w:r w:rsidR="00446DCD" w:rsidRPr="008E791C">
        <w:rPr>
          <w:rStyle w:val="FootnoteReference"/>
          <w:rFonts w:eastAsia="SimSun"/>
        </w:rPr>
        <w:footnoteReference w:id="53"/>
      </w:r>
      <w:r w:rsidR="009C6954" w:rsidRPr="008E791C">
        <w:rPr>
          <w:rFonts w:eastAsia="SimSun"/>
        </w:rPr>
        <w:t xml:space="preserve"> </w:t>
      </w:r>
      <w:r w:rsidRPr="008E791C">
        <w:rPr>
          <w:rFonts w:eastAsia="SimSun"/>
        </w:rPr>
        <w:t xml:space="preserve">Thus, PSE was required to expend those costs, even though </w:t>
      </w:r>
      <w:r w:rsidR="0055026C" w:rsidRPr="008E791C">
        <w:rPr>
          <w:rFonts w:eastAsia="SimSun"/>
        </w:rPr>
        <w:t xml:space="preserve">ultimately it was determined that </w:t>
      </w:r>
      <w:r w:rsidRPr="008E791C">
        <w:rPr>
          <w:rFonts w:eastAsia="SimSun"/>
        </w:rPr>
        <w:t>an unregulated entity would be a part owner of the LNG plant.</w:t>
      </w:r>
      <w:r w:rsidR="009C6954" w:rsidRPr="008E791C">
        <w:rPr>
          <w:rFonts w:eastAsia="SimSun"/>
        </w:rPr>
        <w:t xml:space="preserve"> </w:t>
      </w:r>
      <w:r w:rsidRPr="008E791C">
        <w:rPr>
          <w:rFonts w:eastAsia="SimSun"/>
        </w:rPr>
        <w:t>Second, there is no evidence that the final apportionment between the regulated and non-regulated businesses has a direct relationship between the legal costs that were expended on each entity in the case</w:t>
      </w:r>
      <w:r w:rsidR="00563852" w:rsidRPr="008E791C">
        <w:rPr>
          <w:rFonts w:eastAsia="SimSun"/>
        </w:rPr>
        <w:t>,</w:t>
      </w:r>
      <w:r w:rsidRPr="008E791C">
        <w:rPr>
          <w:rFonts w:eastAsia="SimSun"/>
        </w:rPr>
        <w:t xml:space="preserve"> and Ms. O</w:t>
      </w:r>
      <w:r w:rsidR="009C6954" w:rsidRPr="008E791C">
        <w:rPr>
          <w:rFonts w:eastAsia="SimSun"/>
        </w:rPr>
        <w:t>’</w:t>
      </w:r>
      <w:r w:rsidRPr="008E791C">
        <w:rPr>
          <w:rFonts w:eastAsia="SimSun"/>
        </w:rPr>
        <w:t>Connell has not provided any evidence to demonstrate this is the case.</w:t>
      </w:r>
      <w:r w:rsidR="009C6954" w:rsidRPr="008E791C">
        <w:rPr>
          <w:rFonts w:eastAsia="SimSun"/>
        </w:rPr>
        <w:t xml:space="preserve"> </w:t>
      </w:r>
      <w:r w:rsidRPr="008E791C">
        <w:rPr>
          <w:rFonts w:eastAsia="SimSun"/>
        </w:rPr>
        <w:t>An unregulated business would not require these costs in order to begin operations.</w:t>
      </w:r>
      <w:r w:rsidR="009C6954" w:rsidRPr="008E791C">
        <w:rPr>
          <w:rFonts w:eastAsia="SimSun"/>
        </w:rPr>
        <w:t xml:space="preserve"> </w:t>
      </w:r>
      <w:r w:rsidR="001176CD" w:rsidRPr="008E791C">
        <w:rPr>
          <w:rFonts w:eastAsia="SimSun"/>
        </w:rPr>
        <w:t>Therefore</w:t>
      </w:r>
      <w:r w:rsidRPr="008E791C">
        <w:rPr>
          <w:rFonts w:eastAsia="SimSun"/>
        </w:rPr>
        <w:t>, a direct assignment of these costs to the regulated entity is most appropriate.</w:t>
      </w:r>
      <w:r w:rsidR="009C6954" w:rsidRPr="008E791C">
        <w:rPr>
          <w:rFonts w:eastAsia="SimSun"/>
        </w:rPr>
        <w:t xml:space="preserve"> </w:t>
      </w:r>
    </w:p>
    <w:p w:rsidR="001138F5" w:rsidRPr="008E791C" w:rsidRDefault="001138F5" w:rsidP="00B56012">
      <w:pPr>
        <w:pStyle w:val="question"/>
      </w:pPr>
      <w:r w:rsidRPr="008E791C">
        <w:t>Q.</w:t>
      </w:r>
      <w:r w:rsidRPr="008E791C">
        <w:tab/>
        <w:t>Should any of the legal costs for the LNG project be excluded?</w:t>
      </w:r>
    </w:p>
    <w:p w:rsidR="004A4B75" w:rsidRPr="008E791C" w:rsidRDefault="001138F5" w:rsidP="00B56012">
      <w:pPr>
        <w:spacing w:line="480" w:lineRule="auto"/>
        <w:ind w:left="720" w:hanging="720"/>
        <w:rPr>
          <w:rFonts w:eastAsia="SimSun"/>
        </w:rPr>
      </w:pPr>
      <w:r w:rsidRPr="008E791C">
        <w:rPr>
          <w:rFonts w:eastAsia="SimSun"/>
        </w:rPr>
        <w:t>A.</w:t>
      </w:r>
      <w:r w:rsidRPr="008E791C">
        <w:rPr>
          <w:rFonts w:eastAsia="SimSun"/>
        </w:rPr>
        <w:tab/>
        <w:t>No.</w:t>
      </w:r>
      <w:r w:rsidR="009C6954" w:rsidRPr="008E791C">
        <w:rPr>
          <w:rFonts w:eastAsia="SimSun"/>
        </w:rPr>
        <w:t xml:space="preserve"> </w:t>
      </w:r>
      <w:r w:rsidRPr="008E791C">
        <w:rPr>
          <w:rFonts w:eastAsia="SimSun"/>
        </w:rPr>
        <w:t>As explained above, utilities must be able to propose new projects before the Commission without the fear that all or a portion of the legal fees will be excluded.</w:t>
      </w:r>
    </w:p>
    <w:p w:rsidR="00283920" w:rsidRPr="008E791C" w:rsidRDefault="00563852" w:rsidP="00B56012">
      <w:pPr>
        <w:pStyle w:val="Heading2"/>
      </w:pPr>
      <w:bookmarkStart w:id="51" w:name="_Toc489961836"/>
      <w:r w:rsidRPr="008E791C">
        <w:rPr>
          <w:u w:val="none"/>
        </w:rPr>
        <w:t>I.</w:t>
      </w:r>
      <w:r w:rsidRPr="008E791C">
        <w:rPr>
          <w:u w:val="none"/>
        </w:rPr>
        <w:tab/>
      </w:r>
      <w:r w:rsidR="00283920" w:rsidRPr="008E791C">
        <w:t>Greenwood Incident</w:t>
      </w:r>
      <w:r w:rsidR="00446DCD" w:rsidRPr="008E791C">
        <w:t>, NWIGU Adjustment IN-5</w:t>
      </w:r>
      <w:bookmarkEnd w:id="51"/>
    </w:p>
    <w:p w:rsidR="00283920" w:rsidRPr="008E791C" w:rsidRDefault="00283920" w:rsidP="00B56012">
      <w:pPr>
        <w:pStyle w:val="question"/>
      </w:pPr>
      <w:r w:rsidRPr="008E791C">
        <w:t>Q.</w:t>
      </w:r>
      <w:r w:rsidRPr="008E791C">
        <w:tab/>
        <w:t xml:space="preserve">Does PSE agree with </w:t>
      </w:r>
      <w:r w:rsidR="001176CD" w:rsidRPr="008E791C">
        <w:t>NWIGU w</w:t>
      </w:r>
      <w:r w:rsidRPr="008E791C">
        <w:t>itness Mullins</w:t>
      </w:r>
      <w:r w:rsidR="009C6954" w:rsidRPr="008E791C">
        <w:t>’</w:t>
      </w:r>
      <w:r w:rsidRPr="008E791C">
        <w:t xml:space="preserve">s </w:t>
      </w:r>
      <w:r w:rsidR="00563852" w:rsidRPr="008E791C">
        <w:t>summary</w:t>
      </w:r>
      <w:r w:rsidRPr="008E791C">
        <w:t xml:space="preserve"> of the Greenwood incident </w:t>
      </w:r>
      <w:r w:rsidR="001176CD" w:rsidRPr="008E791C">
        <w:t xml:space="preserve">and </w:t>
      </w:r>
      <w:r w:rsidRPr="008E791C">
        <w:t xml:space="preserve">that </w:t>
      </w:r>
      <w:r w:rsidR="009C6954" w:rsidRPr="008E791C">
        <w:t>“</w:t>
      </w:r>
      <w:r w:rsidRPr="008E791C">
        <w:t>the Company admitted to violating both state and federal pipeline safety regulations?</w:t>
      </w:r>
      <w:r w:rsidR="009C6954" w:rsidRPr="008E791C">
        <w:t>”</w:t>
      </w:r>
      <w:r w:rsidR="00446DCD" w:rsidRPr="008E791C">
        <w:rPr>
          <w:rStyle w:val="FootnoteReference"/>
        </w:rPr>
        <w:footnoteReference w:id="54"/>
      </w:r>
    </w:p>
    <w:p w:rsidR="00283920" w:rsidRPr="008E791C" w:rsidRDefault="00283920" w:rsidP="00B56012">
      <w:pPr>
        <w:pStyle w:val="answer"/>
      </w:pPr>
      <w:r w:rsidRPr="008E791C">
        <w:t>A.</w:t>
      </w:r>
      <w:r w:rsidRPr="008E791C">
        <w:tab/>
        <w:t xml:space="preserve">No. Mr. Mullins oversimplifies </w:t>
      </w:r>
      <w:r w:rsidR="004A5ACD" w:rsidRPr="008E791C">
        <w:t>the issue</w:t>
      </w:r>
      <w:r w:rsidRPr="008E791C">
        <w:t>.</w:t>
      </w:r>
      <w:r w:rsidR="009C6954" w:rsidRPr="008E791C">
        <w:t xml:space="preserve"> </w:t>
      </w:r>
      <w:r w:rsidRPr="008E791C">
        <w:t xml:space="preserve">As explained in the Settlement Agreement </w:t>
      </w:r>
      <w:r w:rsidR="001176CD" w:rsidRPr="008E791C">
        <w:t xml:space="preserve">and supporting </w:t>
      </w:r>
      <w:r w:rsidRPr="008E791C">
        <w:t xml:space="preserve">narrative between PSE and Commission Staff in </w:t>
      </w:r>
      <w:r w:rsidRPr="008E791C">
        <w:lastRenderedPageBreak/>
        <w:t xml:space="preserve">Docket PG-160924, </w:t>
      </w:r>
      <w:r w:rsidR="00313414" w:rsidRPr="008E791C">
        <w:rPr>
          <w:bCs/>
        </w:rPr>
        <w:t xml:space="preserve">Commission </w:t>
      </w:r>
      <w:r w:rsidR="00313414" w:rsidRPr="008E791C">
        <w:t>Staff</w:t>
      </w:r>
      <w:r w:rsidR="001176CD" w:rsidRPr="008E791C">
        <w:t xml:space="preserve">’s investigation </w:t>
      </w:r>
      <w:r w:rsidRPr="008E791C">
        <w:t xml:space="preserve">concluded that the Greenwood Service Line pipe involved in the incident was structurally sound </w:t>
      </w:r>
      <w:r w:rsidR="001176CD" w:rsidRPr="008E791C">
        <w:t xml:space="preserve">and the immediate cause of the incident was external damage caused by </w:t>
      </w:r>
      <w:r w:rsidRPr="008E791C">
        <w:t>unauthorized human activity of trespassers.</w:t>
      </w:r>
      <w:r w:rsidR="009C6954" w:rsidRPr="008E791C">
        <w:t xml:space="preserve"> </w:t>
      </w:r>
      <w:r w:rsidRPr="008E791C">
        <w:t>PSE believed the service line had been properly cut and capped by its contractor when in fact it was not.</w:t>
      </w:r>
      <w:r w:rsidR="009C6954" w:rsidRPr="008E791C">
        <w:t xml:space="preserve"> </w:t>
      </w:r>
      <w:r w:rsidRPr="008E791C">
        <w:t xml:space="preserve">PSE </w:t>
      </w:r>
      <w:r w:rsidR="001176CD" w:rsidRPr="008E791C">
        <w:t xml:space="preserve">did not contest </w:t>
      </w:r>
      <w:r w:rsidRPr="008E791C">
        <w:t>that violations occurred and</w:t>
      </w:r>
      <w:r w:rsidR="004A5ACD" w:rsidRPr="008E791C">
        <w:t>,</w:t>
      </w:r>
      <w:r w:rsidRPr="008E791C">
        <w:t xml:space="preserve"> importantly, acknowledged responsibility for its</w:t>
      </w:r>
      <w:r w:rsidR="001176CD" w:rsidRPr="008E791C">
        <w:t xml:space="preserve"> contractors under WAC 480-93-0</w:t>
      </w:r>
      <w:r w:rsidRPr="008E791C">
        <w:t>07.</w:t>
      </w:r>
      <w:r w:rsidR="009C6954" w:rsidRPr="008E791C">
        <w:t xml:space="preserve"> </w:t>
      </w:r>
      <w:r w:rsidR="006E0FF1" w:rsidRPr="008E791C">
        <w:t>PSE</w:t>
      </w:r>
      <w:r w:rsidRPr="008E791C">
        <w:t xml:space="preserve"> </w:t>
      </w:r>
      <w:r w:rsidR="001176CD" w:rsidRPr="008E791C">
        <w:t>did not admit</w:t>
      </w:r>
      <w:r w:rsidRPr="008E791C">
        <w:t xml:space="preserve"> to violating </w:t>
      </w:r>
      <w:r w:rsidR="001176CD" w:rsidRPr="008E791C">
        <w:t>the pipeline safety regulations</w:t>
      </w:r>
      <w:r w:rsidRPr="008E791C">
        <w:t>, but agreed to the Settlement terms to avoid further expense, inconvenience, uncertainty and delay.</w:t>
      </w:r>
      <w:r w:rsidR="009C6954" w:rsidRPr="008E791C">
        <w:t xml:space="preserve"> </w:t>
      </w:r>
      <w:r w:rsidRPr="008E791C">
        <w:t xml:space="preserve">Both </w:t>
      </w:r>
      <w:r w:rsidR="00B41BEC" w:rsidRPr="008E791C">
        <w:t>p</w:t>
      </w:r>
      <w:r w:rsidRPr="008E791C">
        <w:t xml:space="preserve">arties recognize that this Agreement represents a compromise of the </w:t>
      </w:r>
      <w:r w:rsidR="00B41BEC" w:rsidRPr="008E791C">
        <w:t>p</w:t>
      </w:r>
      <w:r w:rsidRPr="008E791C">
        <w:t>arties</w:t>
      </w:r>
      <w:r w:rsidR="009C6954" w:rsidRPr="008E791C">
        <w:t>’</w:t>
      </w:r>
      <w:r w:rsidRPr="008E791C">
        <w:t xml:space="preserve"> positions.</w:t>
      </w:r>
      <w:r w:rsidR="009C6954" w:rsidRPr="008E791C">
        <w:t xml:space="preserve"> </w:t>
      </w:r>
    </w:p>
    <w:p w:rsidR="00283920" w:rsidRPr="008E791C" w:rsidRDefault="00283920" w:rsidP="00B56012">
      <w:pPr>
        <w:pStyle w:val="question"/>
      </w:pPr>
      <w:r w:rsidRPr="008E791C">
        <w:t>Q.</w:t>
      </w:r>
      <w:r w:rsidRPr="008E791C">
        <w:tab/>
        <w:t xml:space="preserve">Does </w:t>
      </w:r>
      <w:r w:rsidR="006E0FF1" w:rsidRPr="008E791C">
        <w:t>PSE</w:t>
      </w:r>
      <w:r w:rsidRPr="008E791C">
        <w:t xml:space="preserve"> agree with Mr. Mullins</w:t>
      </w:r>
      <w:r w:rsidR="009C6954" w:rsidRPr="008E791C">
        <w:t>’</w:t>
      </w:r>
      <w:r w:rsidRPr="008E791C">
        <w:t xml:space="preserve"> belief that </w:t>
      </w:r>
      <w:r w:rsidR="001176CD" w:rsidRPr="008E791C">
        <w:t>PSE</w:t>
      </w:r>
      <w:r w:rsidRPr="008E791C">
        <w:t xml:space="preserve"> should have treated the $3.2 million</w:t>
      </w:r>
      <w:r w:rsidRPr="008E791C">
        <w:rPr>
          <w:rStyle w:val="FootnoteReference"/>
          <w:b w:val="0"/>
        </w:rPr>
        <w:footnoteReference w:id="55"/>
      </w:r>
      <w:r w:rsidRPr="008E791C">
        <w:t xml:space="preserve"> in penalties outlined in the Settlement Agreement as a restating adjustment rather than recording it below-the-line?</w:t>
      </w:r>
      <w:r w:rsidR="00446DCD" w:rsidRPr="008E791C">
        <w:rPr>
          <w:rStyle w:val="FootnoteReference"/>
        </w:rPr>
        <w:footnoteReference w:id="56"/>
      </w:r>
    </w:p>
    <w:p w:rsidR="00283920" w:rsidRPr="008E791C" w:rsidRDefault="00283920" w:rsidP="00B56012">
      <w:pPr>
        <w:pStyle w:val="answer"/>
      </w:pPr>
      <w:r w:rsidRPr="008E791C">
        <w:t>A.</w:t>
      </w:r>
      <w:r w:rsidRPr="008E791C">
        <w:tab/>
        <w:t>No.</w:t>
      </w:r>
      <w:r w:rsidR="009C6954" w:rsidRPr="008E791C">
        <w:t xml:space="preserve"> </w:t>
      </w:r>
      <w:r w:rsidRPr="008E791C">
        <w:t>The Code of Federal Regulations (</w:t>
      </w:r>
      <w:r w:rsidR="009C6954" w:rsidRPr="008E791C">
        <w:t>“</w:t>
      </w:r>
      <w:r w:rsidRPr="008E791C">
        <w:t>CFR</w:t>
      </w:r>
      <w:r w:rsidR="009C6954" w:rsidRPr="008E791C">
        <w:t>”</w:t>
      </w:r>
      <w:r w:rsidRPr="008E791C">
        <w:t>)</w:t>
      </w:r>
      <w:r w:rsidRPr="008E791C">
        <w:rPr>
          <w:rStyle w:val="FootnoteReference"/>
        </w:rPr>
        <w:footnoteReference w:id="57"/>
      </w:r>
      <w:r w:rsidRPr="008E791C">
        <w:t xml:space="preserve"> requires utilities to record penalties below the line.</w:t>
      </w:r>
      <w:r w:rsidR="009C6954" w:rsidRPr="008E791C">
        <w:t xml:space="preserve"> </w:t>
      </w:r>
      <w:r w:rsidRPr="008E791C">
        <w:t xml:space="preserve">FERC Account 426.3 </w:t>
      </w:r>
      <w:r w:rsidR="009C6954" w:rsidRPr="008E791C">
        <w:t>“</w:t>
      </w:r>
      <w:r w:rsidRPr="008E791C">
        <w:t>Penalties,</w:t>
      </w:r>
      <w:r w:rsidR="009C6954" w:rsidRPr="008E791C">
        <w:t>”</w:t>
      </w:r>
      <w:r w:rsidRPr="008E791C">
        <w:t xml:space="preserve"> states:</w:t>
      </w:r>
    </w:p>
    <w:p w:rsidR="00283920" w:rsidRPr="008E791C" w:rsidRDefault="00283920" w:rsidP="00B56012">
      <w:pPr>
        <w:pStyle w:val="Quote"/>
      </w:pPr>
      <w:r w:rsidRPr="008E791C">
        <w:t>This account shall include payments by the company for penalties or fines for violation of any regulatory statute by t</w:t>
      </w:r>
      <w:r w:rsidR="005164EE" w:rsidRPr="008E791C">
        <w:t>he company or its officials.</w:t>
      </w:r>
    </w:p>
    <w:p w:rsidR="00283920" w:rsidRPr="008E791C" w:rsidRDefault="00283920" w:rsidP="00B56012">
      <w:pPr>
        <w:pStyle w:val="answer"/>
        <w:ind w:firstLine="0"/>
      </w:pPr>
      <w:r w:rsidRPr="008E791C">
        <w:t>Mr. Mullins</w:t>
      </w:r>
      <w:r w:rsidR="00313414">
        <w:t>’</w:t>
      </w:r>
      <w:r w:rsidRPr="008E791C">
        <w:t xml:space="preserve"> statement that </w:t>
      </w:r>
      <w:r w:rsidR="00446DCD" w:rsidRPr="008E791C">
        <w:t xml:space="preserve">he is troubled by the </w:t>
      </w:r>
      <w:r w:rsidRPr="008E791C">
        <w:t xml:space="preserve">below-the-line adjustment </w:t>
      </w:r>
      <w:r w:rsidR="00446DCD" w:rsidRPr="008E791C">
        <w:t xml:space="preserve">because </w:t>
      </w:r>
      <w:r w:rsidRPr="008E791C">
        <w:t>it is not documented or explained is nonsensical.</w:t>
      </w:r>
      <w:r w:rsidR="009C6954" w:rsidRPr="008E791C">
        <w:t xml:space="preserve"> </w:t>
      </w:r>
      <w:r w:rsidRPr="008E791C">
        <w:t xml:space="preserve">Documentation </w:t>
      </w:r>
      <w:r w:rsidRPr="008E791C">
        <w:lastRenderedPageBreak/>
        <w:t>detailing the penalty is provided in the settlement agreement between PSE and the Commission in Docket PG-160924.</w:t>
      </w:r>
      <w:r w:rsidR="009C6954" w:rsidRPr="008E791C">
        <w:t xml:space="preserve"> </w:t>
      </w:r>
      <w:r w:rsidRPr="008E791C">
        <w:t>Were PSE to have recorded this entry the way Mr. Mullins suggests, PSE would be in violation of FERC accounting rules.</w:t>
      </w:r>
      <w:r w:rsidR="009C6954" w:rsidRPr="008E791C">
        <w:t xml:space="preserve"> </w:t>
      </w:r>
      <w:r w:rsidRPr="008E791C">
        <w:t xml:space="preserve">Additionally, discovery procedures are in place so that interested parties can review </w:t>
      </w:r>
      <w:r w:rsidR="006E0FF1" w:rsidRPr="008E791C">
        <w:t>PSE</w:t>
      </w:r>
      <w:r w:rsidR="009C6954" w:rsidRPr="008E791C">
        <w:t>’</w:t>
      </w:r>
      <w:r w:rsidRPr="008E791C">
        <w:t>s records, including below</w:t>
      </w:r>
      <w:r w:rsidR="001176CD" w:rsidRPr="008E791C">
        <w:t>-</w:t>
      </w:r>
      <w:r w:rsidRPr="008E791C">
        <w:t>the</w:t>
      </w:r>
      <w:r w:rsidR="001176CD" w:rsidRPr="008E791C">
        <w:t>-</w:t>
      </w:r>
      <w:r w:rsidRPr="008E791C">
        <w:t>line entries</w:t>
      </w:r>
      <w:r w:rsidR="00B50E00" w:rsidRPr="008E791C">
        <w:t>.</w:t>
      </w:r>
    </w:p>
    <w:p w:rsidR="00283920" w:rsidRPr="008E791C" w:rsidRDefault="00283920" w:rsidP="00B56012">
      <w:pPr>
        <w:pStyle w:val="question"/>
      </w:pPr>
      <w:r w:rsidRPr="008E791C">
        <w:t>Q.</w:t>
      </w:r>
      <w:r w:rsidRPr="008E791C">
        <w:tab/>
        <w:t xml:space="preserve">Does </w:t>
      </w:r>
      <w:r w:rsidR="006E0FF1" w:rsidRPr="008E791C">
        <w:t>PSE</w:t>
      </w:r>
      <w:r w:rsidRPr="008E791C">
        <w:t xml:space="preserve"> agree with </w:t>
      </w:r>
      <w:r w:rsidR="001176CD" w:rsidRPr="008E791C">
        <w:t>w</w:t>
      </w:r>
      <w:r w:rsidRPr="008E791C">
        <w:t>itness Mullins</w:t>
      </w:r>
      <w:r w:rsidR="009C6954" w:rsidRPr="008E791C">
        <w:t>’</w:t>
      </w:r>
      <w:r w:rsidRPr="008E791C">
        <w:t xml:space="preserve"> suggestion that $0.4 million of expenditures related to the incident should be excluded?</w:t>
      </w:r>
      <w:r w:rsidR="00446DCD" w:rsidRPr="008E791C">
        <w:rPr>
          <w:rStyle w:val="FootnoteReference"/>
        </w:rPr>
        <w:footnoteReference w:id="58"/>
      </w:r>
    </w:p>
    <w:p w:rsidR="00283920" w:rsidRPr="008E791C" w:rsidRDefault="00283920" w:rsidP="00B56012">
      <w:pPr>
        <w:pStyle w:val="answer"/>
      </w:pPr>
      <w:r w:rsidRPr="008E791C">
        <w:t>A.</w:t>
      </w:r>
      <w:r w:rsidRPr="008E791C">
        <w:tab/>
        <w:t>No.</w:t>
      </w:r>
      <w:r w:rsidR="009C6954" w:rsidRPr="008E791C">
        <w:t xml:space="preserve"> </w:t>
      </w:r>
      <w:r w:rsidRPr="008E791C">
        <w:t>The $366,348 Mr. Mullins is referring to includes costs incurred as part of PSE</w:t>
      </w:r>
      <w:r w:rsidR="009C6954" w:rsidRPr="008E791C">
        <w:t>’</w:t>
      </w:r>
      <w:r w:rsidRPr="008E791C">
        <w:t>s response to the gas emergency and the ensuing investigation into the cause as required by state and federal regulations.</w:t>
      </w:r>
      <w:r w:rsidR="009C6954" w:rsidRPr="008E791C">
        <w:t xml:space="preserve"> </w:t>
      </w:r>
      <w:r w:rsidRPr="008E791C">
        <w:t xml:space="preserve">The total includes costs for the initial response to the reported gas odor, the control of gas to the affected area, restoration of service to customers surrounding the scene, and debris removal and site restoration following the lengthy investigation conducted by </w:t>
      </w:r>
      <w:r w:rsidR="006E0FF1" w:rsidRPr="008E791C">
        <w:t>PSE</w:t>
      </w:r>
      <w:r w:rsidRPr="008E791C">
        <w:t xml:space="preserve"> and pipeline safety engineers from the Commission.</w:t>
      </w:r>
      <w:r w:rsidR="009C6954" w:rsidRPr="008E791C">
        <w:t xml:space="preserve"> </w:t>
      </w:r>
      <w:r w:rsidRPr="008E791C">
        <w:t>Due to the unique circumstances of this event and the impact to the structures, a significant environmental safety protocol was put in place to protect the workers and the public from airborne contaminants.</w:t>
      </w:r>
      <w:r w:rsidR="009C6954" w:rsidRPr="008E791C">
        <w:t xml:space="preserve"> </w:t>
      </w:r>
      <w:r w:rsidRPr="008E791C">
        <w:t xml:space="preserve">This extended the time to conduct the investigation. </w:t>
      </w:r>
    </w:p>
    <w:p w:rsidR="00283920" w:rsidRPr="008E791C" w:rsidRDefault="00283920" w:rsidP="00B56012">
      <w:pPr>
        <w:pStyle w:val="answer"/>
        <w:ind w:firstLine="0"/>
      </w:pPr>
      <w:r w:rsidRPr="008E791C">
        <w:t xml:space="preserve">In the </w:t>
      </w:r>
      <w:r w:rsidR="001176CD" w:rsidRPr="008E791C">
        <w:t>s</w:t>
      </w:r>
      <w:r w:rsidRPr="008E791C">
        <w:t>ettlement, PSE agreed to the monetary penalty of $2.75 million along with implementation of a Deactivated Gas Line Inspection and Remediation Program, for its part in the Greenwood incident.</w:t>
      </w:r>
      <w:r w:rsidR="009C6954" w:rsidRPr="008E791C">
        <w:t xml:space="preserve"> </w:t>
      </w:r>
      <w:r w:rsidR="006E0FF1" w:rsidRPr="008E791C">
        <w:t>PSE</w:t>
      </w:r>
      <w:r w:rsidRPr="008E791C">
        <w:t xml:space="preserve"> should not be further penalized for its </w:t>
      </w:r>
      <w:r w:rsidRPr="008E791C">
        <w:lastRenderedPageBreak/>
        <w:t>efforts in response to the reported gas leak and the following investigation into its cause.</w:t>
      </w:r>
      <w:r w:rsidR="009C6954" w:rsidRPr="008E791C">
        <w:t xml:space="preserve"> </w:t>
      </w:r>
      <w:r w:rsidRPr="008E791C">
        <w:t>Accordingly, the Commission should not approve Mr. Mullins</w:t>
      </w:r>
      <w:r w:rsidR="001176CD" w:rsidRPr="008E791C">
        <w:t>’</w:t>
      </w:r>
      <w:r w:rsidRPr="008E791C">
        <w:t xml:space="preserve"> recommended adjustment.</w:t>
      </w:r>
    </w:p>
    <w:p w:rsidR="00E56AE7" w:rsidRPr="008E791C" w:rsidRDefault="009C6954" w:rsidP="00B56012">
      <w:pPr>
        <w:pStyle w:val="Heading1"/>
      </w:pPr>
      <w:bookmarkStart w:id="52" w:name="_Toc489961837"/>
      <w:r w:rsidRPr="008E791C">
        <w:t>V.</w:t>
      </w:r>
      <w:r w:rsidRPr="008E791C">
        <w:tab/>
      </w:r>
      <w:r w:rsidR="00E56AE7" w:rsidRPr="008E791C">
        <w:t>CHANGES BY PSE AT REBUTTAL</w:t>
      </w:r>
      <w:bookmarkEnd w:id="52"/>
    </w:p>
    <w:p w:rsidR="00B66F12" w:rsidRPr="008E791C" w:rsidRDefault="00B66F12" w:rsidP="00B56012">
      <w:pPr>
        <w:pStyle w:val="question"/>
      </w:pPr>
      <w:r w:rsidRPr="008E791C">
        <w:t>Q.</w:t>
      </w:r>
      <w:r w:rsidRPr="008E791C">
        <w:tab/>
        <w:t>PSE had identified adjustments that it would update over the course of the proceeding.</w:t>
      </w:r>
      <w:r w:rsidR="009C6954" w:rsidRPr="008E791C">
        <w:t xml:space="preserve"> </w:t>
      </w:r>
      <w:r w:rsidRPr="008E791C">
        <w:t>Has PSE made these updates?</w:t>
      </w:r>
      <w:r w:rsidR="009C6954" w:rsidRPr="008E791C">
        <w:t xml:space="preserve"> </w:t>
      </w:r>
    </w:p>
    <w:p w:rsidR="00E56AE7" w:rsidRPr="008E791C" w:rsidRDefault="00B66F12" w:rsidP="00B56012">
      <w:pPr>
        <w:pStyle w:val="answer"/>
        <w:rPr>
          <w:rFonts w:eastAsia="SimSun"/>
        </w:rPr>
      </w:pPr>
      <w:r w:rsidRPr="008E791C">
        <w:rPr>
          <w:rFonts w:eastAsia="SimSun"/>
        </w:rPr>
        <w:t>A.</w:t>
      </w:r>
      <w:r w:rsidRPr="008E791C">
        <w:rPr>
          <w:rFonts w:eastAsia="SimSun"/>
        </w:rPr>
        <w:tab/>
        <w:t>No.</w:t>
      </w:r>
      <w:r w:rsidR="009C6954" w:rsidRPr="008E791C">
        <w:rPr>
          <w:rFonts w:eastAsia="SimSun"/>
        </w:rPr>
        <w:t xml:space="preserve"> </w:t>
      </w:r>
      <w:r w:rsidRPr="008E791C">
        <w:rPr>
          <w:rFonts w:eastAsia="SimSun"/>
        </w:rPr>
        <w:t xml:space="preserve">When </w:t>
      </w:r>
      <w:r w:rsidR="006E0FF1" w:rsidRPr="008E791C">
        <w:t>PSE</w:t>
      </w:r>
      <w:r w:rsidRPr="008E791C">
        <w:rPr>
          <w:rFonts w:eastAsia="SimSun"/>
        </w:rPr>
        <w:t xml:space="preserve"> made its initial filing it recognized that a number of adjustments could require updating as better information became available over the course of the proceeding. The adjustments </w:t>
      </w:r>
      <w:r w:rsidR="009B1F8B" w:rsidRPr="008E791C">
        <w:rPr>
          <w:rFonts w:eastAsia="SimSun"/>
        </w:rPr>
        <w:t>for which PSE</w:t>
      </w:r>
      <w:r w:rsidRPr="008E791C">
        <w:rPr>
          <w:rFonts w:eastAsia="SimSun"/>
        </w:rPr>
        <w:t xml:space="preserve"> originally contemplated updates</w:t>
      </w:r>
      <w:r w:rsidR="009B1F8B" w:rsidRPr="008E791C">
        <w:rPr>
          <w:rFonts w:eastAsia="SimSun"/>
        </w:rPr>
        <w:t>, but</w:t>
      </w:r>
      <w:r w:rsidRPr="008E791C">
        <w:rPr>
          <w:rFonts w:eastAsia="SimSun"/>
        </w:rPr>
        <w:t xml:space="preserve"> that have not changed</w:t>
      </w:r>
      <w:r w:rsidR="009B1F8B" w:rsidRPr="008E791C">
        <w:rPr>
          <w:rFonts w:eastAsia="SimSun"/>
        </w:rPr>
        <w:t>,</w:t>
      </w:r>
      <w:r w:rsidRPr="008E791C">
        <w:rPr>
          <w:rFonts w:eastAsia="SimSun"/>
        </w:rPr>
        <w:t xml:space="preserve"> are the Property and Liability Insurance Adjustment 20.14E and </w:t>
      </w:r>
      <w:r w:rsidR="00F647C3">
        <w:rPr>
          <w:rFonts w:eastAsia="SimSun"/>
        </w:rPr>
        <w:t>15</w:t>
      </w:r>
      <w:r w:rsidRPr="008E791C">
        <w:rPr>
          <w:rFonts w:eastAsia="SimSun"/>
        </w:rPr>
        <w:t xml:space="preserve">.14G, Employee Insurance Adjustment 20.18E and </w:t>
      </w:r>
      <w:r w:rsidR="00F647C3">
        <w:rPr>
          <w:rFonts w:eastAsia="SimSun"/>
        </w:rPr>
        <w:t>15</w:t>
      </w:r>
      <w:r w:rsidRPr="008E791C">
        <w:rPr>
          <w:rFonts w:eastAsia="SimSun"/>
        </w:rPr>
        <w:t xml:space="preserve">.18G and South King Service Center Adjustment 20.21E and </w:t>
      </w:r>
      <w:r w:rsidR="00F647C3">
        <w:rPr>
          <w:rFonts w:eastAsia="SimSun"/>
        </w:rPr>
        <w:t>15</w:t>
      </w:r>
      <w:r w:rsidRPr="008E791C">
        <w:rPr>
          <w:rFonts w:eastAsia="SimSun"/>
        </w:rPr>
        <w:t>.21G.</w:t>
      </w:r>
      <w:r w:rsidR="009C6954" w:rsidRPr="008E791C">
        <w:rPr>
          <w:rFonts w:eastAsia="SimSun"/>
        </w:rPr>
        <w:t xml:space="preserve"> </w:t>
      </w:r>
      <w:r w:rsidRPr="008E791C">
        <w:rPr>
          <w:rFonts w:eastAsia="SimSun"/>
        </w:rPr>
        <w:t xml:space="preserve">All of these adjustments are uncontested and considering the materiality thresholds </w:t>
      </w:r>
      <w:r w:rsidR="009B1F8B" w:rsidRPr="008E791C">
        <w:rPr>
          <w:rFonts w:eastAsia="SimSun"/>
        </w:rPr>
        <w:t xml:space="preserve">utilized </w:t>
      </w:r>
      <w:r w:rsidRPr="008E791C">
        <w:rPr>
          <w:rFonts w:eastAsia="SimSun"/>
        </w:rPr>
        <w:t xml:space="preserve">by </w:t>
      </w:r>
      <w:r w:rsidR="00313414" w:rsidRPr="008E791C">
        <w:rPr>
          <w:bCs/>
        </w:rPr>
        <w:t xml:space="preserve">Commission </w:t>
      </w:r>
      <w:r w:rsidR="00313414" w:rsidRPr="008E791C">
        <w:t>Staff</w:t>
      </w:r>
      <w:r w:rsidRPr="008E791C">
        <w:rPr>
          <w:rFonts w:eastAsia="SimSun"/>
        </w:rPr>
        <w:t xml:space="preserve">, none of the updates originally anticipated by </w:t>
      </w:r>
      <w:r w:rsidR="006E0FF1" w:rsidRPr="008E791C">
        <w:t>PSE</w:t>
      </w:r>
      <w:r w:rsidRPr="008E791C">
        <w:rPr>
          <w:rFonts w:eastAsia="SimSun"/>
        </w:rPr>
        <w:t xml:space="preserve"> are materially different from the adjustments included in </w:t>
      </w:r>
      <w:r w:rsidR="006E0FF1" w:rsidRPr="008E791C">
        <w:t>PSE</w:t>
      </w:r>
      <w:r w:rsidR="009C6954" w:rsidRPr="008E791C">
        <w:rPr>
          <w:rFonts w:eastAsia="SimSun"/>
        </w:rPr>
        <w:t>’</w:t>
      </w:r>
      <w:r w:rsidRPr="008E791C">
        <w:rPr>
          <w:rFonts w:eastAsia="SimSun"/>
        </w:rPr>
        <w:t>s supplemental filing.</w:t>
      </w:r>
      <w:r w:rsidR="009C6954" w:rsidRPr="008E791C">
        <w:rPr>
          <w:rFonts w:eastAsia="SimSun"/>
        </w:rPr>
        <w:t xml:space="preserve"> </w:t>
      </w:r>
      <w:r w:rsidRPr="008E791C">
        <w:rPr>
          <w:rFonts w:eastAsia="SimSun"/>
        </w:rPr>
        <w:t xml:space="preserve">Therefore </w:t>
      </w:r>
      <w:r w:rsidR="006E0FF1" w:rsidRPr="008E791C">
        <w:t>PSE</w:t>
      </w:r>
      <w:r w:rsidRPr="008E791C">
        <w:rPr>
          <w:rFonts w:eastAsia="SimSun"/>
        </w:rPr>
        <w:t xml:space="preserve"> has not proposed updates for these adjustments in this rebuttal filing.</w:t>
      </w:r>
    </w:p>
    <w:p w:rsidR="004B4741" w:rsidRPr="008E791C" w:rsidRDefault="009C6954" w:rsidP="00B56012">
      <w:pPr>
        <w:pStyle w:val="Heading1"/>
      </w:pPr>
      <w:bookmarkStart w:id="53" w:name="_Toc489961838"/>
      <w:r w:rsidRPr="008E791C">
        <w:lastRenderedPageBreak/>
        <w:t>VI.</w:t>
      </w:r>
      <w:r w:rsidRPr="008E791C">
        <w:tab/>
      </w:r>
      <w:r w:rsidR="004B4741" w:rsidRPr="008E791C">
        <w:t>MATERIALITY AND OTHER</w:t>
      </w:r>
      <w:r w:rsidRPr="008E791C">
        <w:br/>
      </w:r>
      <w:r w:rsidR="004B4741" w:rsidRPr="008E791C">
        <w:t>NON-REVENUE REQUIREMENT ISSUES</w:t>
      </w:r>
      <w:bookmarkEnd w:id="53"/>
    </w:p>
    <w:p w:rsidR="004B4741" w:rsidRPr="008E791C" w:rsidRDefault="004B4741" w:rsidP="00B56012">
      <w:pPr>
        <w:pStyle w:val="question"/>
      </w:pPr>
      <w:r w:rsidRPr="008E791C">
        <w:t>Q.</w:t>
      </w:r>
      <w:r w:rsidRPr="008E791C">
        <w:tab/>
      </w:r>
      <w:r w:rsidR="003A3767" w:rsidRPr="008E791C">
        <w:t>How does PSE respond to</w:t>
      </w:r>
      <w:r w:rsidRPr="008E791C">
        <w:t xml:space="preserve"> </w:t>
      </w:r>
      <w:r w:rsidR="003A3767" w:rsidRPr="008E791C">
        <w:t>Commission Staff</w:t>
      </w:r>
      <w:r w:rsidR="009C6954" w:rsidRPr="008E791C">
        <w:t>’</w:t>
      </w:r>
      <w:r w:rsidR="003A3767" w:rsidRPr="008E791C">
        <w:t xml:space="preserve">s </w:t>
      </w:r>
      <w:r w:rsidRPr="008E791C">
        <w:t>proposal</w:t>
      </w:r>
      <w:r w:rsidR="003A3767" w:rsidRPr="008E791C">
        <w:t>s</w:t>
      </w:r>
      <w:r w:rsidRPr="008E791C">
        <w:t xml:space="preserve"> </w:t>
      </w:r>
      <w:r w:rsidR="003A3767" w:rsidRPr="008E791C">
        <w:t>related to materiality thresholds and clearer communication</w:t>
      </w:r>
      <w:r w:rsidRPr="008E791C">
        <w:t>?</w:t>
      </w:r>
    </w:p>
    <w:p w:rsidR="004B4741" w:rsidRPr="008E791C" w:rsidRDefault="004B4741" w:rsidP="00B56012">
      <w:pPr>
        <w:pStyle w:val="answer"/>
      </w:pPr>
      <w:r w:rsidRPr="008E791C">
        <w:t>A.</w:t>
      </w:r>
      <w:r w:rsidRPr="008E791C">
        <w:tab/>
      </w:r>
      <w:r w:rsidR="003A3767" w:rsidRPr="008E791C">
        <w:t>Please see the Prefiled Rebuttal Testimony of Ms. Katherine J. Barnard</w:t>
      </w:r>
      <w:r w:rsidR="00EE42A9" w:rsidRPr="008E791C">
        <w:t>, Exhibit KJB-17T</w:t>
      </w:r>
      <w:r w:rsidR="00F97C77" w:rsidRPr="008E791C">
        <w:t>,</w:t>
      </w:r>
      <w:r w:rsidR="003A3767" w:rsidRPr="008E791C">
        <w:t xml:space="preserve"> for a discussion of PSE</w:t>
      </w:r>
      <w:r w:rsidR="009C6954" w:rsidRPr="008E791C">
        <w:t>’</w:t>
      </w:r>
      <w:r w:rsidR="003A3767" w:rsidRPr="008E791C">
        <w:t xml:space="preserve">s response to issues addressed by Commission Staff related to materiality including whether there is still a need for certain minor rate case adjustments as well as </w:t>
      </w:r>
      <w:r w:rsidR="00070711" w:rsidRPr="008E791C">
        <w:t xml:space="preserve">issues raised by Commission Staff </w:t>
      </w:r>
      <w:r w:rsidR="003A3767" w:rsidRPr="008E791C">
        <w:t>related to clearer communication.</w:t>
      </w:r>
    </w:p>
    <w:p w:rsidR="00D13C2F" w:rsidRPr="008E791C" w:rsidRDefault="009C6954" w:rsidP="00B56012">
      <w:pPr>
        <w:pStyle w:val="Heading1"/>
      </w:pPr>
      <w:bookmarkStart w:id="54" w:name="_Toc489961839"/>
      <w:r w:rsidRPr="008E791C">
        <w:t>VII.</w:t>
      </w:r>
      <w:r w:rsidRPr="008E791C">
        <w:tab/>
      </w:r>
      <w:r w:rsidR="00D13C2F" w:rsidRPr="008E791C">
        <w:t>CONCLUSION</w:t>
      </w:r>
      <w:bookmarkEnd w:id="54"/>
    </w:p>
    <w:p w:rsidR="00C90FAD" w:rsidRPr="008E791C" w:rsidRDefault="00C90FAD" w:rsidP="00B56012">
      <w:pPr>
        <w:pStyle w:val="question"/>
      </w:pPr>
      <w:r w:rsidRPr="008E791C">
        <w:t>Q.</w:t>
      </w:r>
      <w:r w:rsidRPr="008E791C">
        <w:tab/>
        <w:t>Does this conclude your testimony?</w:t>
      </w:r>
    </w:p>
    <w:p w:rsidR="0063650A" w:rsidRPr="0063650A" w:rsidRDefault="00C90FAD" w:rsidP="00B56012">
      <w:pPr>
        <w:pStyle w:val="answer"/>
      </w:pPr>
      <w:r w:rsidRPr="008E791C">
        <w:rPr>
          <w:rFonts w:eastAsia="SimSun"/>
        </w:rPr>
        <w:t>A.</w:t>
      </w:r>
      <w:r w:rsidRPr="008E791C">
        <w:rPr>
          <w:rFonts w:eastAsia="SimSun"/>
        </w:rPr>
        <w:tab/>
        <w:t>Yes it does.</w:t>
      </w:r>
      <w:bookmarkStart w:id="55" w:name="_GoBack"/>
      <w:bookmarkEnd w:id="55"/>
    </w:p>
    <w:sectPr w:rsidR="0063650A" w:rsidRPr="0063650A" w:rsidSect="00EC61B9">
      <w:footerReference w:type="default" r:id="rId15"/>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8B" w:rsidRDefault="006D738B">
      <w:r>
        <w:separator/>
      </w:r>
    </w:p>
  </w:endnote>
  <w:endnote w:type="continuationSeparator" w:id="0">
    <w:p w:rsidR="006D738B" w:rsidRDefault="006D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14" w:rsidRDefault="00313414" w:rsidP="00446DCD">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14" w:rsidRDefault="0031341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313414" w:rsidRDefault="00313414">
    <w:pPr>
      <w:pStyle w:val="Footer"/>
      <w:tabs>
        <w:tab w:val="clear" w:pos="4507"/>
        <w:tab w:val="clear" w:pos="9000"/>
        <w:tab w:val="right" w:pos="8640"/>
      </w:tabs>
      <w:spacing w:line="240" w:lineRule="auto"/>
      <w:ind w:right="0"/>
      <w:rPr>
        <w:sz w:val="10"/>
      </w:rPr>
    </w:pPr>
  </w:p>
  <w:p w:rsidR="00313414" w:rsidRDefault="00313414">
    <w:pPr>
      <w:pStyle w:val="Footer"/>
      <w:tabs>
        <w:tab w:val="clear" w:pos="4507"/>
        <w:tab w:val="clear" w:pos="9000"/>
        <w:tab w:val="right" w:pos="8640"/>
      </w:tabs>
    </w:pPr>
    <w:r>
      <w:t>Prefiled Rebuttal Testimony</w:t>
    </w:r>
    <w:r>
      <w:tab/>
      <w:t>Exh. SEF-12T</w:t>
    </w:r>
  </w:p>
  <w:p w:rsidR="00313414" w:rsidRDefault="00313414">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6B5E60">
      <w:rPr>
        <w:rStyle w:val="PageNumber"/>
        <w:noProof/>
      </w:rPr>
      <w:t>ii</w:t>
    </w:r>
    <w:r>
      <w:rPr>
        <w:rStyle w:val="PageNumber"/>
      </w:rPr>
      <w:fldChar w:fldCharType="end"/>
    </w:r>
    <w:r>
      <w:rPr>
        <w:rStyle w:val="PageNumber"/>
      </w:rPr>
      <w:t xml:space="preserve"> of iv</w:t>
    </w:r>
  </w:p>
  <w:p w:rsidR="00313414" w:rsidRDefault="00313414" w:rsidP="00195805">
    <w:pPr>
      <w:pStyle w:val="Footer"/>
      <w:tabs>
        <w:tab w:val="clear" w:pos="4507"/>
        <w:tab w:val="clear" w:pos="9000"/>
        <w:tab w:val="right" w:pos="8640"/>
      </w:tabs>
    </w:pPr>
    <w:r>
      <w:t>Susan E.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14" w:rsidRDefault="0031341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313414" w:rsidRDefault="00313414">
    <w:pPr>
      <w:pStyle w:val="Footer"/>
      <w:tabs>
        <w:tab w:val="clear" w:pos="4507"/>
        <w:tab w:val="clear" w:pos="9000"/>
        <w:tab w:val="right" w:pos="8640"/>
      </w:tabs>
      <w:spacing w:line="240" w:lineRule="auto"/>
      <w:ind w:left="-630" w:right="0" w:hanging="4"/>
      <w:rPr>
        <w:sz w:val="10"/>
      </w:rPr>
    </w:pPr>
  </w:p>
  <w:p w:rsidR="00313414" w:rsidRDefault="00313414">
    <w:pPr>
      <w:pStyle w:val="Footer"/>
      <w:tabs>
        <w:tab w:val="clear" w:pos="4507"/>
        <w:tab w:val="clear" w:pos="9000"/>
        <w:tab w:val="right" w:pos="8640"/>
      </w:tabs>
      <w:ind w:left="-630" w:hanging="4"/>
    </w:pPr>
    <w:r>
      <w:t>Prefiled Direct Testimony of</w:t>
    </w:r>
    <w:r>
      <w:tab/>
      <w:t>Exhibit No. ___(JD-1CT)</w:t>
    </w:r>
  </w:p>
  <w:p w:rsidR="00313414" w:rsidRDefault="0031341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6B5E60">
      <w:rPr>
        <w:rStyle w:val="PageNumber"/>
        <w:noProof/>
      </w:rPr>
      <w:t>lix</w:t>
    </w:r>
    <w:r>
      <w:rPr>
        <w:rStyle w:val="PageNumber"/>
      </w:rPr>
      <w:fldChar w:fldCharType="end"/>
    </w:r>
    <w:r>
      <w:rPr>
        <w:rStyle w:val="PageNumber"/>
      </w:rPr>
      <w:t xml:space="preserve"> of 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14" w:rsidRDefault="0031341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313414" w:rsidRDefault="00313414">
    <w:pPr>
      <w:pStyle w:val="Footer"/>
      <w:tabs>
        <w:tab w:val="clear" w:pos="4507"/>
        <w:tab w:val="clear" w:pos="9000"/>
        <w:tab w:val="right" w:pos="8640"/>
      </w:tabs>
      <w:spacing w:line="240" w:lineRule="auto"/>
      <w:ind w:right="0"/>
      <w:rPr>
        <w:sz w:val="10"/>
      </w:rPr>
    </w:pPr>
  </w:p>
  <w:p w:rsidR="00313414" w:rsidRDefault="00313414">
    <w:pPr>
      <w:pStyle w:val="Footer"/>
      <w:tabs>
        <w:tab w:val="clear" w:pos="4507"/>
        <w:tab w:val="clear" w:pos="9000"/>
        <w:tab w:val="right" w:pos="8640"/>
      </w:tabs>
    </w:pPr>
    <w:r>
      <w:t>Prefiled Rebuttal Testimony</w:t>
    </w:r>
    <w:r>
      <w:tab/>
      <w:t>Exh. SEF-12T</w:t>
    </w:r>
  </w:p>
  <w:p w:rsidR="00313414" w:rsidRPr="00165987" w:rsidRDefault="00313414">
    <w:pPr>
      <w:pStyle w:val="Footer"/>
      <w:tabs>
        <w:tab w:val="clear" w:pos="4507"/>
        <w:tab w:val="clear" w:pos="9000"/>
        <w:tab w:val="right" w:pos="8640"/>
      </w:tabs>
      <w:rPr>
        <w:rStyle w:val="PageNumber"/>
      </w:rPr>
    </w:pPr>
    <w:r w:rsidRPr="00165987">
      <w:t>(</w:t>
    </w:r>
    <w:proofErr w:type="spellStart"/>
    <w:r w:rsidRPr="00165987">
      <w:t>Nonconfidential</w:t>
    </w:r>
    <w:proofErr w:type="spellEnd"/>
    <w:r w:rsidRPr="00165987">
      <w:t>) of</w:t>
    </w:r>
    <w:r w:rsidRPr="00165987">
      <w:tab/>
      <w:t xml:space="preserve">Page </w:t>
    </w:r>
    <w:r w:rsidRPr="00165987">
      <w:fldChar w:fldCharType="begin"/>
    </w:r>
    <w:r w:rsidRPr="00165987">
      <w:instrText xml:space="preserve"> PAGE  \* Arabic  \* MERGEFORMAT </w:instrText>
    </w:r>
    <w:r w:rsidRPr="00165987">
      <w:fldChar w:fldCharType="separate"/>
    </w:r>
    <w:r w:rsidR="006B5E60">
      <w:rPr>
        <w:noProof/>
      </w:rPr>
      <w:t>59</w:t>
    </w:r>
    <w:r w:rsidRPr="00165987">
      <w:fldChar w:fldCharType="end"/>
    </w:r>
    <w:r w:rsidRPr="00165987">
      <w:t xml:space="preserve"> of </w:t>
    </w:r>
    <w:r>
      <w:t>5</w:t>
    </w:r>
    <w:r w:rsidR="00985FF9">
      <w:t>9</w:t>
    </w:r>
  </w:p>
  <w:p w:rsidR="00313414" w:rsidRDefault="00313414" w:rsidP="00195805">
    <w:pPr>
      <w:pStyle w:val="Footer"/>
      <w:tabs>
        <w:tab w:val="clear" w:pos="4507"/>
        <w:tab w:val="clear" w:pos="9000"/>
        <w:tab w:val="right" w:pos="8640"/>
      </w:tabs>
    </w:pPr>
    <w:r>
      <w:t>Susan E. Free</w:t>
    </w:r>
    <w:r w:rsidRPr="004661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8B" w:rsidRDefault="006D738B" w:rsidP="009C6954">
      <w:pPr>
        <w:spacing w:line="240" w:lineRule="auto"/>
        <w:ind w:firstLine="0"/>
      </w:pPr>
      <w:r>
        <w:separator/>
      </w:r>
    </w:p>
  </w:footnote>
  <w:footnote w:type="continuationSeparator" w:id="0">
    <w:p w:rsidR="006D738B" w:rsidRDefault="006D738B" w:rsidP="009C6954">
      <w:pPr>
        <w:spacing w:line="240" w:lineRule="auto"/>
        <w:ind w:firstLine="0"/>
      </w:pPr>
      <w:r>
        <w:continuationSeparator/>
      </w:r>
    </w:p>
  </w:footnote>
  <w:footnote w:type="continuationNotice" w:id="1">
    <w:p w:rsidR="006D738B" w:rsidRDefault="006D738B" w:rsidP="009C6954">
      <w:pPr>
        <w:spacing w:line="240" w:lineRule="auto"/>
        <w:ind w:firstLine="0"/>
      </w:pPr>
    </w:p>
  </w:footnote>
  <w:footnote w:id="2">
    <w:p w:rsidR="00313414" w:rsidRDefault="00313414" w:rsidP="00823699">
      <w:pPr>
        <w:pStyle w:val="FootnoteText"/>
        <w:spacing w:before="60" w:after="60" w:line="240" w:lineRule="auto"/>
        <w:ind w:firstLine="360"/>
      </w:pPr>
      <w:r>
        <w:rPr>
          <w:rStyle w:val="FootnoteReference"/>
        </w:rPr>
        <w:footnoteRef/>
      </w:r>
      <w:r>
        <w:tab/>
        <w:t>Mullins, Exh. BGM-4 at 1:21.</w:t>
      </w:r>
    </w:p>
  </w:footnote>
  <w:footnote w:id="3">
    <w:p w:rsidR="00313414" w:rsidRDefault="00313414" w:rsidP="00823699">
      <w:pPr>
        <w:pStyle w:val="FootnoteText"/>
        <w:spacing w:before="60" w:after="60" w:line="240" w:lineRule="auto"/>
        <w:ind w:firstLine="360"/>
      </w:pPr>
      <w:r>
        <w:rPr>
          <w:rStyle w:val="FootnoteReference"/>
        </w:rPr>
        <w:footnoteRef/>
      </w:r>
      <w:r>
        <w:tab/>
        <w:t>It is worth noting that there would not have been general rate case costs included in 2013.</w:t>
      </w:r>
    </w:p>
  </w:footnote>
  <w:footnote w:id="4">
    <w:p w:rsidR="00313414" w:rsidRDefault="00313414" w:rsidP="00823699">
      <w:pPr>
        <w:pStyle w:val="FootnoteText"/>
        <w:spacing w:before="60" w:after="60" w:line="240" w:lineRule="auto"/>
        <w:ind w:firstLine="360"/>
      </w:pPr>
      <w:r>
        <w:rPr>
          <w:rStyle w:val="FootnoteReference"/>
        </w:rPr>
        <w:footnoteRef/>
      </w:r>
      <w:r>
        <w:tab/>
        <w:t>Cheesman, Exh. MCC-1T at 22:10-14.</w:t>
      </w:r>
    </w:p>
  </w:footnote>
  <w:footnote w:id="5">
    <w:p w:rsidR="00313414" w:rsidRDefault="00313414" w:rsidP="00823699">
      <w:pPr>
        <w:pStyle w:val="FootnoteText"/>
        <w:spacing w:before="60" w:after="60" w:line="240" w:lineRule="auto"/>
        <w:ind w:firstLine="360"/>
      </w:pPr>
      <w:r>
        <w:rPr>
          <w:rStyle w:val="FootnoteReference"/>
        </w:rPr>
        <w:footnoteRef/>
      </w:r>
      <w:r>
        <w:tab/>
        <w:t>Cheesman, Exh. MCC-17 at 2, part f. “Held in utility plant” is a reference to the FERC account (FERC 101) in which the property was booked.</w:t>
      </w:r>
    </w:p>
  </w:footnote>
  <w:footnote w:id="6">
    <w:p w:rsidR="00313414" w:rsidRDefault="00313414" w:rsidP="00823699">
      <w:pPr>
        <w:pStyle w:val="FootnoteText"/>
        <w:spacing w:before="60" w:after="60" w:line="240" w:lineRule="auto"/>
        <w:ind w:firstLine="360"/>
      </w:pPr>
      <w:r>
        <w:rPr>
          <w:rStyle w:val="FootnoteReference"/>
        </w:rPr>
        <w:footnoteRef/>
      </w:r>
      <w:r>
        <w:tab/>
        <w:t>PSE’s Controller’s Manual, CTM-1 on Land Accounting Transactions, p. 4 (emphasis added).</w:t>
      </w:r>
    </w:p>
  </w:footnote>
  <w:footnote w:id="7">
    <w:p w:rsidR="00313414" w:rsidRDefault="00313414" w:rsidP="00823699">
      <w:pPr>
        <w:pStyle w:val="FootnoteText"/>
        <w:spacing w:before="60" w:after="60" w:line="240" w:lineRule="auto"/>
        <w:ind w:firstLine="360"/>
      </w:pPr>
      <w:r>
        <w:rPr>
          <w:rStyle w:val="FootnoteReference"/>
        </w:rPr>
        <w:footnoteRef/>
      </w:r>
      <w:r>
        <w:tab/>
        <w:t xml:space="preserve">PSE originally posted the manual entry to an electric FERC 187 account. </w:t>
      </w:r>
      <w:r w:rsidRPr="0020444F">
        <w:rPr>
          <w:i/>
        </w:rPr>
        <w:t>See</w:t>
      </w:r>
      <w:r>
        <w:t xml:space="preserve"> Cheesman, Exh. MCC-16 at 5-6. The correction to move the amounts from the electric FERC 187 account to a gas FERC 187 account was made in February 2015. </w:t>
      </w:r>
      <w:r w:rsidRPr="0095409A">
        <w:rPr>
          <w:i/>
        </w:rPr>
        <w:t>See</w:t>
      </w:r>
      <w:r>
        <w:t xml:space="preserve"> Cheesman, Exh. MCC-16 at 4.</w:t>
      </w:r>
    </w:p>
  </w:footnote>
  <w:footnote w:id="8">
    <w:p w:rsidR="00313414" w:rsidRPr="00BE5C23" w:rsidRDefault="00313414" w:rsidP="00823699">
      <w:pPr>
        <w:pStyle w:val="FootnoteText"/>
        <w:spacing w:before="60" w:after="60" w:line="240" w:lineRule="auto"/>
        <w:ind w:firstLine="360"/>
      </w:pPr>
      <w:r w:rsidRPr="00BE5C23">
        <w:rPr>
          <w:rStyle w:val="FootnoteReference"/>
        </w:rPr>
        <w:footnoteRef/>
      </w:r>
      <w:r>
        <w:tab/>
      </w:r>
      <w:r w:rsidRPr="00BE5C23">
        <w:t>O</w:t>
      </w:r>
      <w:r>
        <w:t>’</w:t>
      </w:r>
      <w:r w:rsidRPr="00BE5C23">
        <w:t>Connell, Exh. ECO</w:t>
      </w:r>
      <w:r>
        <w:t>-</w:t>
      </w:r>
      <w:r w:rsidRPr="00BE5C23">
        <w:t xml:space="preserve">1CT </w:t>
      </w:r>
      <w:r>
        <w:t>at 8:12-13.</w:t>
      </w:r>
    </w:p>
  </w:footnote>
  <w:footnote w:id="9">
    <w:p w:rsidR="00313414" w:rsidRPr="00BE5C23" w:rsidRDefault="00313414" w:rsidP="00823699">
      <w:pPr>
        <w:pStyle w:val="FootnoteText"/>
        <w:spacing w:before="60" w:after="60" w:line="240" w:lineRule="auto"/>
        <w:ind w:firstLine="360"/>
      </w:pPr>
      <w:r w:rsidRPr="00BE5C23">
        <w:rPr>
          <w:rStyle w:val="FootnoteReference"/>
        </w:rPr>
        <w:footnoteRef/>
      </w:r>
      <w:r>
        <w:tab/>
      </w:r>
      <w:r w:rsidRPr="00BE5C23">
        <w:t>O</w:t>
      </w:r>
      <w:r>
        <w:t>’</w:t>
      </w:r>
      <w:r w:rsidRPr="00BE5C23">
        <w:t>Connell, Exh. ECO</w:t>
      </w:r>
      <w:r>
        <w:t>-</w:t>
      </w:r>
      <w:r w:rsidRPr="00BE5C23">
        <w:t xml:space="preserve">1CT </w:t>
      </w:r>
      <w:r>
        <w:t>at 3:21 – 4:1, and at 15-</w:t>
      </w:r>
      <w:r w:rsidRPr="00BE5C23">
        <w:t>16</w:t>
      </w:r>
      <w:r>
        <w:t>.</w:t>
      </w:r>
    </w:p>
  </w:footnote>
  <w:footnote w:id="10">
    <w:p w:rsidR="00313414" w:rsidRPr="00BE5C23" w:rsidRDefault="00313414" w:rsidP="00823699">
      <w:pPr>
        <w:pStyle w:val="FootnoteText"/>
        <w:spacing w:before="60" w:after="60" w:line="240" w:lineRule="auto"/>
        <w:ind w:firstLine="360"/>
      </w:pPr>
      <w:r w:rsidRPr="00BE5C23">
        <w:rPr>
          <w:rStyle w:val="FootnoteReference"/>
        </w:rPr>
        <w:footnoteRef/>
      </w:r>
      <w:r>
        <w:tab/>
      </w:r>
      <w:r>
        <w:rPr>
          <w:i/>
        </w:rPr>
        <w:t xml:space="preserve">See </w:t>
      </w:r>
      <w:proofErr w:type="spellStart"/>
      <w:r>
        <w:t>Rork</w:t>
      </w:r>
      <w:proofErr w:type="spellEnd"/>
      <w:r>
        <w:t xml:space="preserve">, </w:t>
      </w:r>
      <w:proofErr w:type="spellStart"/>
      <w:r w:rsidRPr="00BE5C23">
        <w:t>Exh</w:t>
      </w:r>
      <w:proofErr w:type="spellEnd"/>
      <w:r>
        <w:t xml:space="preserve">. </w:t>
      </w:r>
      <w:r w:rsidRPr="00BE5C23">
        <w:t>JKR-3.</w:t>
      </w:r>
      <w:r>
        <w:t xml:space="preserve"> While some recoveries were directly netted against the deferred costs for reporting purposes, they are for the most part tracked in separate SAP balance sheet accounts so as to still be separately identifiable.</w:t>
      </w:r>
    </w:p>
  </w:footnote>
  <w:footnote w:id="11">
    <w:p w:rsidR="00313414" w:rsidRDefault="00313414" w:rsidP="00823699">
      <w:pPr>
        <w:pStyle w:val="FootnoteText"/>
        <w:spacing w:before="60" w:after="60" w:line="240" w:lineRule="auto"/>
        <w:ind w:firstLine="360"/>
      </w:pPr>
      <w:r>
        <w:rPr>
          <w:rStyle w:val="FootnoteReference"/>
        </w:rPr>
        <w:footnoteRef/>
      </w:r>
      <w:r>
        <w:tab/>
        <w:t>Staff’s recommendations were obtained from Staff’s work papers entitled “</w:t>
      </w:r>
      <w:r w:rsidRPr="003B013F">
        <w:t>170033-Staff-WP-ECO-Environ Rem 13.19.xlsx</w:t>
      </w:r>
      <w:r>
        <w:t>” and “</w:t>
      </w:r>
      <w:r w:rsidRPr="003B013F">
        <w:t>170034-Staff-WP-ECO-Environ Rem 11.19.xlsx</w:t>
      </w:r>
      <w:r>
        <w:t>” which are presented as pages 3 and 4 in Exhibit SEF-</w:t>
      </w:r>
      <w:r w:rsidR="00164C58">
        <w:t>23</w:t>
      </w:r>
      <w:r>
        <w:t>.</w:t>
      </w:r>
    </w:p>
  </w:footnote>
  <w:footnote w:id="12">
    <w:p w:rsidR="00313414" w:rsidRDefault="00313414" w:rsidP="00823699">
      <w:pPr>
        <w:pStyle w:val="FootnoteText"/>
        <w:spacing w:before="60" w:after="60" w:line="240" w:lineRule="auto"/>
        <w:ind w:firstLine="360"/>
      </w:pPr>
      <w:r>
        <w:rPr>
          <w:rStyle w:val="FootnoteReference"/>
        </w:rPr>
        <w:footnoteRef/>
      </w:r>
      <w:r>
        <w:tab/>
        <w:t>Smith, Exh. RCS-1CT at 65:4-13; Mullins, Exh. BGM-1CTr at 47:20-23; O’Connell, Exh. ECO-1CT at 16:8-10.</w:t>
      </w:r>
    </w:p>
  </w:footnote>
  <w:footnote w:id="13">
    <w:p w:rsidR="00313414" w:rsidRDefault="00313414" w:rsidP="00823699">
      <w:pPr>
        <w:pStyle w:val="FootnoteText"/>
        <w:spacing w:before="60" w:after="60" w:line="240" w:lineRule="auto"/>
        <w:ind w:firstLine="360"/>
      </w:pPr>
      <w:r>
        <w:rPr>
          <w:rStyle w:val="FootnoteReference"/>
        </w:rPr>
        <w:footnoteRef/>
      </w:r>
      <w:r>
        <w:tab/>
        <w:t>Smith, Exh. RCS-1CT at 62:1-6.</w:t>
      </w:r>
    </w:p>
  </w:footnote>
  <w:footnote w:id="14">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16:10-12.</w:t>
      </w:r>
    </w:p>
  </w:footnote>
  <w:footnote w:id="15">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16:3-4.</w:t>
      </w:r>
    </w:p>
  </w:footnote>
  <w:footnote w:id="16">
    <w:p w:rsidR="00313414" w:rsidRDefault="00313414" w:rsidP="00823699">
      <w:pPr>
        <w:pStyle w:val="FootnoteText"/>
        <w:spacing w:before="60" w:after="60" w:line="240" w:lineRule="auto"/>
        <w:ind w:firstLine="360"/>
      </w:pPr>
      <w:r>
        <w:rPr>
          <w:rStyle w:val="FootnoteReference"/>
        </w:rPr>
        <w:footnoteRef/>
      </w:r>
      <w:r>
        <w:tab/>
      </w:r>
      <w:r w:rsidRPr="00355341">
        <w:rPr>
          <w:i/>
        </w:rPr>
        <w:t>See Petition of Puget Sound Energy, Inc. for An Accounting Order Regarding the Accounting Treatment for Costs of its Electric Environmental Remediation Program</w:t>
      </w:r>
      <w:r w:rsidRPr="00355341">
        <w:t xml:space="preserve">, Dockets UE-070724 and UE-072060 and </w:t>
      </w:r>
      <w:proofErr w:type="spellStart"/>
      <w:r w:rsidRPr="00355341">
        <w:t>UE</w:t>
      </w:r>
      <w:proofErr w:type="spellEnd"/>
      <w:r w:rsidRPr="00355341">
        <w:t>- 081016, Order 01, 3 § (</w:t>
      </w:r>
      <w:r>
        <w:t>e</w:t>
      </w:r>
      <w:r w:rsidRPr="00355341">
        <w:t xml:space="preserve">) (Oct. 8, 2008); </w:t>
      </w:r>
      <w:r>
        <w:t xml:space="preserve">and </w:t>
      </w:r>
      <w:r>
        <w:rPr>
          <w:i/>
        </w:rPr>
        <w:t>Application</w:t>
      </w:r>
      <w:r w:rsidRPr="00355341">
        <w:rPr>
          <w:i/>
        </w:rPr>
        <w:t xml:space="preserve"> of </w:t>
      </w:r>
      <w:r w:rsidRPr="005D5BB7">
        <w:rPr>
          <w:i/>
        </w:rPr>
        <w:t>Puget Sound Power &amp; Light Company and Washington Natural Gas Company</w:t>
      </w:r>
      <w:r>
        <w:rPr>
          <w:i/>
        </w:rPr>
        <w:t xml:space="preserve"> </w:t>
      </w:r>
      <w:r w:rsidRPr="00355341">
        <w:rPr>
          <w:i/>
        </w:rPr>
        <w:t xml:space="preserve">for An Order </w:t>
      </w:r>
      <w:r>
        <w:rPr>
          <w:i/>
        </w:rPr>
        <w:t>Authorizing Merger</w:t>
      </w:r>
      <w:r w:rsidRPr="00355341">
        <w:t>, Docket UE-9</w:t>
      </w:r>
      <w:r>
        <w:t>51270 and UE-960195</w:t>
      </w:r>
      <w:r w:rsidRPr="00355341">
        <w:t xml:space="preserve">, </w:t>
      </w:r>
      <w:r w:rsidRPr="005D5BB7">
        <w:t>Fourteenth Supplemental Order Accepting Stipulation; Approving Merger</w:t>
      </w:r>
      <w:r w:rsidRPr="00355341">
        <w:t xml:space="preserve">, </w:t>
      </w:r>
      <w:r>
        <w:t>22</w:t>
      </w:r>
      <w:r w:rsidRPr="00355341">
        <w:t xml:space="preserve"> § </w:t>
      </w:r>
      <w:r>
        <w:t>2</w:t>
      </w:r>
      <w:r w:rsidRPr="00355341">
        <w:t xml:space="preserve"> (</w:t>
      </w:r>
      <w:r>
        <w:t>Feb</w:t>
      </w:r>
      <w:r w:rsidRPr="00355341">
        <w:t xml:space="preserve">. </w:t>
      </w:r>
      <w:r>
        <w:t>5</w:t>
      </w:r>
      <w:r w:rsidRPr="00355341">
        <w:t>, 199</w:t>
      </w:r>
      <w:r>
        <w:t>7).</w:t>
      </w:r>
    </w:p>
  </w:footnote>
  <w:footnote w:id="17">
    <w:p w:rsidR="00313414" w:rsidRDefault="00313414" w:rsidP="00823699">
      <w:pPr>
        <w:pStyle w:val="FootnoteText"/>
        <w:spacing w:before="60" w:after="60" w:line="240" w:lineRule="auto"/>
        <w:ind w:firstLine="360"/>
      </w:pPr>
      <w:r>
        <w:rPr>
          <w:rStyle w:val="FootnoteReference"/>
        </w:rPr>
        <w:footnoteRef/>
      </w:r>
      <w:r>
        <w:tab/>
        <w:t xml:space="preserve">Dockets UE-070724, </w:t>
      </w:r>
      <w:r w:rsidRPr="00355341">
        <w:t xml:space="preserve">UE-072060 and </w:t>
      </w:r>
      <w:proofErr w:type="spellStart"/>
      <w:r w:rsidRPr="00355341">
        <w:t>UE</w:t>
      </w:r>
      <w:proofErr w:type="spellEnd"/>
      <w:r w:rsidRPr="00355341">
        <w:t>- 081016</w:t>
      </w:r>
      <w:r>
        <w:t xml:space="preserve">, Order 01, page 3 </w:t>
      </w:r>
      <w:r>
        <w:rPr>
          <w:rFonts w:cs="Calibri"/>
        </w:rPr>
        <w:t>¶ </w:t>
      </w:r>
      <w:r>
        <w:t>(d).</w:t>
      </w:r>
    </w:p>
  </w:footnote>
  <w:footnote w:id="18">
    <w:p w:rsidR="00313414" w:rsidRDefault="00313414" w:rsidP="00823699">
      <w:pPr>
        <w:pStyle w:val="FootnoteText"/>
        <w:spacing w:before="60" w:after="60" w:line="240" w:lineRule="auto"/>
        <w:ind w:firstLine="360"/>
      </w:pPr>
      <w:r>
        <w:rPr>
          <w:rStyle w:val="FootnoteReference"/>
        </w:rPr>
        <w:footnoteRef/>
      </w:r>
      <w:r>
        <w:tab/>
      </w:r>
      <w:r>
        <w:rPr>
          <w:i/>
        </w:rPr>
        <w:t xml:space="preserve">Id. </w:t>
      </w:r>
      <w:r>
        <w:t>¶ (e) (emphasis added).</w:t>
      </w:r>
    </w:p>
  </w:footnote>
  <w:footnote w:id="19">
    <w:p w:rsidR="00313414" w:rsidRDefault="00313414" w:rsidP="00823699">
      <w:pPr>
        <w:pStyle w:val="FootnoteText"/>
        <w:spacing w:before="60" w:after="60" w:line="240" w:lineRule="auto"/>
        <w:ind w:firstLine="360"/>
      </w:pPr>
      <w:r>
        <w:rPr>
          <w:rStyle w:val="FootnoteReference"/>
        </w:rPr>
        <w:footnoteRef/>
      </w:r>
      <w:r>
        <w:tab/>
      </w:r>
      <w:r w:rsidRPr="00CC0E0C">
        <w:rPr>
          <w:i/>
        </w:rPr>
        <w:t>Washington Natural Gas Company</w:t>
      </w:r>
      <w:r>
        <w:rPr>
          <w:i/>
        </w:rPr>
        <w:t>’</w:t>
      </w:r>
      <w:r w:rsidRPr="00CC0E0C">
        <w:rPr>
          <w:i/>
        </w:rPr>
        <w:t>s Accounting Petition for Environmental Remediation Program</w:t>
      </w:r>
      <w:r w:rsidRPr="00CC0E0C">
        <w:t>, Docket UG-920781, 2</w:t>
      </w:r>
      <w:r>
        <w:t xml:space="preserve"> </w:t>
      </w:r>
      <w:r w:rsidRPr="00CC0E0C">
        <w:t>§ (d) (Nov. 25, 1992)</w:t>
      </w:r>
      <w:r>
        <w:t xml:space="preserve">(emphasis added). Language very similar to this also appears in </w:t>
      </w:r>
      <w:r w:rsidRPr="0088449B">
        <w:rPr>
          <w:i/>
        </w:rPr>
        <w:t>Petition of Puget Sound Power &amp; Light for An Order Regarding the Accounting Treatment for Costs of its Environmental Remediation Program</w:t>
      </w:r>
      <w:r w:rsidRPr="0088449B">
        <w:t xml:space="preserve">, Docket UE-911476, Order Authorizing Accounting Treatment, </w:t>
      </w:r>
      <w:r>
        <w:t>3</w:t>
      </w:r>
      <w:r w:rsidRPr="0088449B">
        <w:t xml:space="preserve"> § (</w:t>
      </w:r>
      <w:r>
        <w:t>3</w:t>
      </w:r>
      <w:r w:rsidRPr="0088449B">
        <w:t>) (Apr. 1, 1992)</w:t>
      </w:r>
      <w:r>
        <w:t>.</w:t>
      </w:r>
    </w:p>
  </w:footnote>
  <w:footnote w:id="20">
    <w:p w:rsidR="00313414" w:rsidRDefault="00313414" w:rsidP="00823699">
      <w:pPr>
        <w:pStyle w:val="FootnoteText"/>
        <w:spacing w:before="60" w:after="60" w:line="240" w:lineRule="auto"/>
        <w:ind w:firstLine="360"/>
      </w:pPr>
      <w:r>
        <w:rPr>
          <w:rStyle w:val="FootnoteReference"/>
        </w:rPr>
        <w:footnoteRef/>
      </w:r>
      <w:r>
        <w:tab/>
      </w:r>
      <w:r w:rsidRPr="0088449B">
        <w:rPr>
          <w:i/>
        </w:rPr>
        <w:t>Petition of Puget Sound Power &amp; Light for An Order Regarding the Accounting Treatment for Costs of its Environmental Remediation Program</w:t>
      </w:r>
      <w:r w:rsidRPr="0088449B">
        <w:t xml:space="preserve">, Docket UE-911476, Order Authorizing Accounting Treatment, </w:t>
      </w:r>
      <w:r>
        <w:t>5</w:t>
      </w:r>
      <w:r w:rsidRPr="0088449B">
        <w:t xml:space="preserve"> § (</w:t>
      </w:r>
      <w:r>
        <w:t>d</w:t>
      </w:r>
      <w:r w:rsidRPr="0088449B">
        <w:t>) (Apr. 1, 1992)</w:t>
      </w:r>
      <w:r>
        <w:t>.</w:t>
      </w:r>
    </w:p>
  </w:footnote>
  <w:footnote w:id="21">
    <w:p w:rsidR="00313414" w:rsidRDefault="00313414" w:rsidP="00823699">
      <w:pPr>
        <w:pStyle w:val="FootnoteText"/>
        <w:spacing w:before="60" w:after="60" w:line="240" w:lineRule="auto"/>
        <w:ind w:firstLine="360"/>
      </w:pPr>
      <w:r>
        <w:rPr>
          <w:rStyle w:val="FootnoteReference"/>
        </w:rPr>
        <w:footnoteRef/>
      </w:r>
      <w:r>
        <w:tab/>
      </w:r>
      <w:r>
        <w:rPr>
          <w:i/>
        </w:rPr>
        <w:t>Id.</w:t>
      </w:r>
    </w:p>
  </w:footnote>
  <w:footnote w:id="22">
    <w:p w:rsidR="00313414" w:rsidRDefault="00313414" w:rsidP="00823699">
      <w:pPr>
        <w:pStyle w:val="FootnoteText"/>
        <w:spacing w:before="60" w:after="60" w:line="240" w:lineRule="auto"/>
        <w:ind w:firstLine="360"/>
      </w:pPr>
      <w:r>
        <w:rPr>
          <w:rStyle w:val="FootnoteReference"/>
        </w:rPr>
        <w:footnoteRef/>
      </w:r>
      <w:r>
        <w:tab/>
        <w:t>O’Connell, Exh. ECO-1CT at 15:15-21.</w:t>
      </w:r>
    </w:p>
  </w:footnote>
  <w:footnote w:id="23">
    <w:p w:rsidR="00313414" w:rsidRDefault="00313414" w:rsidP="00823699">
      <w:pPr>
        <w:pStyle w:val="FootnoteText"/>
        <w:spacing w:before="60" w:after="60" w:line="240" w:lineRule="auto"/>
        <w:ind w:firstLine="360"/>
      </w:pPr>
      <w:r>
        <w:rPr>
          <w:rStyle w:val="FootnoteReference"/>
        </w:rPr>
        <w:footnoteRef/>
      </w:r>
      <w:r>
        <w:tab/>
        <w:t>As had already been developed for use in conformity with PSE’s GAAP accounting requirements under ASC 410-30-25.</w:t>
      </w:r>
    </w:p>
  </w:footnote>
  <w:footnote w:id="24">
    <w:p w:rsidR="00313414" w:rsidRDefault="00313414" w:rsidP="00823699">
      <w:pPr>
        <w:pStyle w:val="FootnoteText"/>
        <w:spacing w:before="60" w:after="60" w:line="240" w:lineRule="auto"/>
        <w:ind w:firstLine="360"/>
      </w:pPr>
      <w:r>
        <w:rPr>
          <w:rStyle w:val="FootnoteReference"/>
        </w:rPr>
        <w:footnoteRef/>
      </w:r>
      <w:r>
        <w:tab/>
      </w:r>
      <w:r w:rsidRPr="004678E2">
        <w:rPr>
          <w:i/>
        </w:rPr>
        <w:t>See</w:t>
      </w:r>
      <w:r>
        <w:t xml:space="preserve"> </w:t>
      </w:r>
      <w:r w:rsidRPr="00CF5DC3">
        <w:rPr>
          <w:i/>
        </w:rPr>
        <w:t>generally</w:t>
      </w:r>
      <w:r>
        <w:t xml:space="preserve"> </w:t>
      </w:r>
      <w:r w:rsidRPr="00BE5C23">
        <w:t>O</w:t>
      </w:r>
      <w:r>
        <w:t>’</w:t>
      </w:r>
      <w:r w:rsidRPr="00BE5C23">
        <w:t>Connell, Exh</w:t>
      </w:r>
      <w:r>
        <w:t xml:space="preserve">. </w:t>
      </w:r>
      <w:r w:rsidRPr="00BE5C23">
        <w:t>ECO</w:t>
      </w:r>
      <w:r>
        <w:t>-</w:t>
      </w:r>
      <w:r w:rsidRPr="00BE5C23">
        <w:t>1CT</w:t>
      </w:r>
      <w:r>
        <w:t xml:space="preserve"> at 12 and 15.</w:t>
      </w:r>
    </w:p>
  </w:footnote>
  <w:footnote w:id="25">
    <w:p w:rsidR="00313414" w:rsidRDefault="00313414" w:rsidP="00823699">
      <w:pPr>
        <w:pStyle w:val="FootnoteText"/>
        <w:spacing w:before="60" w:after="60" w:line="240" w:lineRule="auto"/>
        <w:ind w:firstLine="360"/>
      </w:pPr>
      <w:r>
        <w:rPr>
          <w:rStyle w:val="FootnoteReference"/>
        </w:rPr>
        <w:footnoteRef/>
      </w:r>
      <w:r>
        <w:tab/>
        <w:t>Mullins, Exh. BGM-1CT at 47:1-6.</w:t>
      </w:r>
    </w:p>
  </w:footnote>
  <w:footnote w:id="26">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w:t>
      </w:r>
      <w:r w:rsidRPr="00BE5C23">
        <w:t>ECO</w:t>
      </w:r>
      <w:r>
        <w:t>-</w:t>
      </w:r>
      <w:r w:rsidRPr="00BE5C23">
        <w:t>1CT</w:t>
      </w:r>
      <w:r>
        <w:t xml:space="preserve"> at 9:13.</w:t>
      </w:r>
    </w:p>
  </w:footnote>
  <w:footnote w:id="27">
    <w:p w:rsidR="00313414" w:rsidRDefault="00313414" w:rsidP="00823699">
      <w:pPr>
        <w:pStyle w:val="FootnoteText"/>
        <w:spacing w:before="60" w:after="60" w:line="240" w:lineRule="auto"/>
        <w:ind w:firstLine="360"/>
      </w:pPr>
      <w:r>
        <w:rPr>
          <w:rStyle w:val="FootnoteReference"/>
        </w:rPr>
        <w:footnoteRef/>
      </w:r>
      <w:r>
        <w:tab/>
        <w:t>Mullins, Exh. BGM-1CT at 47:7-14.</w:t>
      </w:r>
    </w:p>
  </w:footnote>
  <w:footnote w:id="28">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18.</w:t>
      </w:r>
    </w:p>
  </w:footnote>
  <w:footnote w:id="29">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ECO-13 (emphasis added).</w:t>
      </w:r>
    </w:p>
  </w:footnote>
  <w:footnote w:id="30">
    <w:p w:rsidR="00313414" w:rsidRDefault="00313414" w:rsidP="00823699">
      <w:pPr>
        <w:pStyle w:val="FootnoteText"/>
        <w:spacing w:before="60" w:after="60" w:line="240" w:lineRule="auto"/>
        <w:ind w:firstLine="360"/>
      </w:pPr>
      <w:r>
        <w:rPr>
          <w:rStyle w:val="FootnoteReference"/>
        </w:rPr>
        <w:footnoteRef/>
      </w:r>
      <w:r>
        <w:tab/>
        <w:t xml:space="preserve">PSE was unable to locate the original transactions that existed in </w:t>
      </w:r>
      <w:proofErr w:type="spellStart"/>
      <w:r>
        <w:t>WNG’s</w:t>
      </w:r>
      <w:proofErr w:type="spellEnd"/>
      <w:r>
        <w:t xml:space="preserve"> legacy accounting system. Conversion from the legacy systems of Puget Sound Power &amp; Light and </w:t>
      </w:r>
      <w:proofErr w:type="spellStart"/>
      <w:r>
        <w:t>WNG</w:t>
      </w:r>
      <w:proofErr w:type="spellEnd"/>
      <w:r>
        <w:t xml:space="preserve"> to the newly established PSE accounting system occurred in September 1998. In PSE’s Response to Commission Staff DR 269, PSE was able to reflect information prior to September 1998 related to the insurance recoveries through use of legacy reports produced from </w:t>
      </w:r>
      <w:proofErr w:type="spellStart"/>
      <w:r>
        <w:t>WNG’s</w:t>
      </w:r>
      <w:proofErr w:type="spellEnd"/>
      <w:r>
        <w:t xml:space="preserve"> accounting system. See </w:t>
      </w:r>
      <w:r w:rsidRPr="00BE5C23">
        <w:t>O</w:t>
      </w:r>
      <w:r>
        <w:t>’</w:t>
      </w:r>
      <w:r w:rsidRPr="00BE5C23">
        <w:t>Connell, Exh</w:t>
      </w:r>
      <w:r>
        <w:t xml:space="preserve">. </w:t>
      </w:r>
      <w:r w:rsidRPr="00BE5C23">
        <w:t>ECO</w:t>
      </w:r>
      <w:r>
        <w:t>-12. In an attachment to the supplemental response that was submitted shortly before Commission Staff filed their Response Testimonies, PSE was able to produce invoices which supported all but approximately $400,000 of the $34.6 million of deferred costs that comprised the conversion entries which established PSE’s general ledger. This attachment from the supplemental response is included in Exhibit SEF-</w:t>
      </w:r>
      <w:r>
        <w:rPr>
          <w:highlight w:val="green"/>
        </w:rPr>
        <w:fldChar w:fldCharType="begin"/>
      </w:r>
      <w:r>
        <w:instrText xml:space="preserve"> REF F_ENV4_1stSupp269 \h </w:instrText>
      </w:r>
      <w:r>
        <w:rPr>
          <w:highlight w:val="green"/>
        </w:rPr>
      </w:r>
      <w:r>
        <w:rPr>
          <w:highlight w:val="green"/>
        </w:rPr>
        <w:fldChar w:fldCharType="separate"/>
      </w:r>
      <w:r w:rsidR="006B5E60" w:rsidRPr="008E791C">
        <w:rPr>
          <w:bCs/>
        </w:rPr>
        <w:t>26</w:t>
      </w:r>
      <w:r>
        <w:rPr>
          <w:highlight w:val="green"/>
        </w:rPr>
        <w:fldChar w:fldCharType="end"/>
      </w:r>
      <w:r>
        <w:t>.</w:t>
      </w:r>
    </w:p>
  </w:footnote>
  <w:footnote w:id="31">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19:10-12.</w:t>
      </w:r>
    </w:p>
  </w:footnote>
  <w:footnote w:id="32">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ECO-14 at 2 (referring to the sum of all amounts listed above the $29 million).</w:t>
      </w:r>
    </w:p>
  </w:footnote>
  <w:footnote w:id="33">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21:1-12.</w:t>
      </w:r>
    </w:p>
  </w:footnote>
  <w:footnote w:id="34">
    <w:p w:rsidR="00313414" w:rsidRDefault="00313414" w:rsidP="00823699">
      <w:pPr>
        <w:pStyle w:val="FootnoteText"/>
        <w:spacing w:before="60" w:after="60" w:line="240" w:lineRule="auto"/>
        <w:ind w:firstLine="360"/>
      </w:pPr>
      <w:r>
        <w:rPr>
          <w:rStyle w:val="FootnoteReference"/>
        </w:rPr>
        <w:footnoteRef/>
      </w:r>
      <w:r>
        <w:tab/>
      </w:r>
      <w:r w:rsidRPr="00745F06">
        <w:rPr>
          <w:i/>
        </w:rPr>
        <w:t>Id.</w:t>
      </w:r>
      <w:r>
        <w:t xml:space="preserve"> at 22:5 –23:2.</w:t>
      </w:r>
    </w:p>
  </w:footnote>
  <w:footnote w:id="35">
    <w:p w:rsidR="00313414" w:rsidRDefault="00313414" w:rsidP="00823699">
      <w:pPr>
        <w:pStyle w:val="FootnoteText"/>
        <w:spacing w:before="60" w:after="60" w:line="240" w:lineRule="auto"/>
        <w:ind w:firstLine="360"/>
      </w:pPr>
      <w:r>
        <w:rPr>
          <w:rStyle w:val="FootnoteReference"/>
        </w:rPr>
        <w:footnoteRef/>
      </w:r>
      <w:r>
        <w:tab/>
      </w:r>
      <w:r w:rsidRPr="00BE5C23">
        <w:t>O</w:t>
      </w:r>
      <w:r>
        <w:t>’</w:t>
      </w:r>
      <w:r w:rsidRPr="00BE5C23">
        <w:t>Connell, Exh</w:t>
      </w:r>
      <w:r>
        <w:t xml:space="preserve">. </w:t>
      </w:r>
      <w:r w:rsidRPr="00BE5C23">
        <w:t>ECO</w:t>
      </w:r>
      <w:r>
        <w:t>-</w:t>
      </w:r>
      <w:r w:rsidRPr="00BE5C23">
        <w:t>1CT</w:t>
      </w:r>
      <w:r>
        <w:t xml:space="preserve"> at 23:4-17.</w:t>
      </w:r>
    </w:p>
  </w:footnote>
  <w:footnote w:id="36">
    <w:p w:rsidR="00313414" w:rsidRDefault="00313414" w:rsidP="00823699">
      <w:pPr>
        <w:pStyle w:val="FootnoteText"/>
        <w:spacing w:before="60" w:after="60" w:line="240" w:lineRule="auto"/>
        <w:ind w:firstLine="360"/>
      </w:pPr>
      <w:r>
        <w:rPr>
          <w:rStyle w:val="FootnoteReference"/>
        </w:rPr>
        <w:footnoteRef/>
      </w:r>
      <w:r>
        <w:tab/>
      </w:r>
      <w:r w:rsidRPr="004E6448">
        <w:rPr>
          <w:i/>
        </w:rPr>
        <w:t>Id.</w:t>
      </w:r>
      <w:r>
        <w:t xml:space="preserve"> at 24 and 25.</w:t>
      </w:r>
    </w:p>
  </w:footnote>
  <w:footnote w:id="37">
    <w:p w:rsidR="00313414" w:rsidRDefault="00313414" w:rsidP="00823699">
      <w:pPr>
        <w:pStyle w:val="FootnoteText"/>
        <w:spacing w:before="60" w:after="60" w:line="240" w:lineRule="auto"/>
        <w:ind w:firstLine="360"/>
      </w:pPr>
      <w:r>
        <w:rPr>
          <w:rStyle w:val="FootnoteReference"/>
        </w:rPr>
        <w:footnoteRef/>
      </w:r>
      <w:r>
        <w:tab/>
      </w:r>
      <w:r w:rsidRPr="00D37FB7">
        <w:t xml:space="preserve">Commission Staff provides their reasoning for including </w:t>
      </w:r>
      <w:proofErr w:type="spellStart"/>
      <w:r w:rsidRPr="00D37FB7">
        <w:t>CWIP</w:t>
      </w:r>
      <w:proofErr w:type="spellEnd"/>
      <w:r w:rsidRPr="00D37FB7">
        <w:t xml:space="preserve"> in the allocation calculation in their Response to PSE Data Request No</w:t>
      </w:r>
      <w:r>
        <w:t>. 11 which is provided as Exhibit SEF-</w:t>
      </w:r>
      <w:r w:rsidR="00F647C3">
        <w:t>30</w:t>
      </w:r>
      <w:r>
        <w:t>.</w:t>
      </w:r>
    </w:p>
  </w:footnote>
  <w:footnote w:id="38">
    <w:p w:rsidR="00313414" w:rsidRDefault="00313414" w:rsidP="00823699">
      <w:pPr>
        <w:pStyle w:val="FootnoteText"/>
        <w:spacing w:before="60" w:after="60" w:line="240" w:lineRule="auto"/>
        <w:ind w:firstLine="360"/>
      </w:pPr>
      <w:r>
        <w:rPr>
          <w:rStyle w:val="FootnoteReference"/>
        </w:rPr>
        <w:footnoteRef/>
      </w:r>
      <w:r>
        <w:tab/>
        <w:t xml:space="preserve">PSE agrees with Commission Staff that there is no express Commission order on this issue, but notes that pages 111 and 79 of Avista’s Electric and Gas Commission Basis Reports in Dockets UE-170325 and UG-170326 show that Avista does not include </w:t>
      </w:r>
      <w:proofErr w:type="spellStart"/>
      <w:r>
        <w:t>CWIP</w:t>
      </w:r>
      <w:proofErr w:type="spellEnd"/>
      <w:r>
        <w:t xml:space="preserve"> in its allocation calculation.</w:t>
      </w:r>
    </w:p>
  </w:footnote>
  <w:footnote w:id="39">
    <w:p w:rsidR="00313414" w:rsidRPr="00EF6BC2" w:rsidRDefault="00313414" w:rsidP="00823699">
      <w:pPr>
        <w:pStyle w:val="FootnoteText"/>
        <w:spacing w:before="60" w:after="60" w:line="240" w:lineRule="auto"/>
        <w:ind w:firstLine="360"/>
        <w:rPr>
          <w:szCs w:val="22"/>
        </w:rPr>
      </w:pPr>
      <w:r>
        <w:rPr>
          <w:rStyle w:val="FootnoteReference"/>
        </w:rPr>
        <w:footnoteRef/>
      </w:r>
      <w:r>
        <w:tab/>
      </w:r>
      <w:r w:rsidRPr="00EF6BC2">
        <w:rPr>
          <w:szCs w:val="22"/>
        </w:rPr>
        <w:t>Testimony of Merton Lott, WUTC Accounting Analyst, June 1984 at page 13, beginning on Line 6.</w:t>
      </w:r>
      <w:r>
        <w:rPr>
          <w:szCs w:val="22"/>
        </w:rPr>
        <w:t xml:space="preserve"> “</w:t>
      </w:r>
      <w:r w:rsidRPr="00EF6BC2">
        <w:rPr>
          <w:szCs w:val="22"/>
        </w:rPr>
        <w:t xml:space="preserve">It should be noted that I have proposed a slightly different method of allocating working capital than was accepted by the </w:t>
      </w:r>
      <w:bookmarkStart w:id="47" w:name="OLE_LINK12"/>
      <w:r w:rsidRPr="00EF6BC2">
        <w:rPr>
          <w:szCs w:val="22"/>
        </w:rPr>
        <w:t>Commission in Cause U-81-41</w:t>
      </w:r>
      <w:bookmarkEnd w:id="47"/>
      <w:r w:rsidRPr="00EF6BC2">
        <w:rPr>
          <w:szCs w:val="22"/>
        </w:rPr>
        <w:t>, a prior Puget case.</w:t>
      </w:r>
      <w:r>
        <w:rPr>
          <w:szCs w:val="22"/>
        </w:rPr>
        <w:t xml:space="preserve"> </w:t>
      </w:r>
      <w:r w:rsidRPr="00EF6BC2">
        <w:rPr>
          <w:szCs w:val="22"/>
        </w:rPr>
        <w:t xml:space="preserve">In that case, working capital was allocated to all investments including </w:t>
      </w:r>
      <w:proofErr w:type="spellStart"/>
      <w:r w:rsidRPr="00EF6BC2">
        <w:rPr>
          <w:szCs w:val="22"/>
        </w:rPr>
        <w:t>CWIP</w:t>
      </w:r>
      <w:proofErr w:type="spellEnd"/>
      <w:r w:rsidRPr="00EF6BC2">
        <w:rPr>
          <w:szCs w:val="22"/>
        </w:rPr>
        <w:t>.</w:t>
      </w:r>
      <w:r>
        <w:rPr>
          <w:szCs w:val="22"/>
        </w:rPr>
        <w:t xml:space="preserve"> </w:t>
      </w:r>
      <w:r w:rsidRPr="00EF6BC2">
        <w:rPr>
          <w:szCs w:val="22"/>
        </w:rPr>
        <w:t xml:space="preserve">The major reason I excluded </w:t>
      </w:r>
      <w:proofErr w:type="spellStart"/>
      <w:r w:rsidRPr="00EF6BC2">
        <w:rPr>
          <w:szCs w:val="22"/>
        </w:rPr>
        <w:t>CWIP</w:t>
      </w:r>
      <w:proofErr w:type="spellEnd"/>
      <w:r w:rsidRPr="00EF6BC2">
        <w:rPr>
          <w:szCs w:val="22"/>
        </w:rPr>
        <w:t xml:space="preserve"> from the allocation process is that I do not believe that construction activities would tend to have positive working capital related to them.</w:t>
      </w:r>
      <w:r>
        <w:rPr>
          <w:szCs w:val="22"/>
        </w:rPr>
        <w:t xml:space="preserve">” </w:t>
      </w:r>
      <w:r w:rsidRPr="00EF6BC2">
        <w:rPr>
          <w:szCs w:val="22"/>
        </w:rPr>
        <w:t>Accepted in the Fourth Supplemental Order in that Cause at page 17, without endorsement.</w:t>
      </w:r>
    </w:p>
  </w:footnote>
  <w:footnote w:id="40">
    <w:p w:rsidR="00313414" w:rsidRDefault="00313414" w:rsidP="00823699">
      <w:pPr>
        <w:pStyle w:val="FootnoteText"/>
        <w:spacing w:before="60" w:after="60" w:line="240" w:lineRule="auto"/>
        <w:ind w:firstLine="360"/>
      </w:pPr>
      <w:r>
        <w:rPr>
          <w:rStyle w:val="FootnoteReference"/>
        </w:rPr>
        <w:footnoteRef/>
      </w:r>
      <w:r>
        <w:tab/>
      </w:r>
      <w:r w:rsidRPr="0085507D">
        <w:rPr>
          <w:i/>
        </w:rPr>
        <w:t>See</w:t>
      </w:r>
      <w:r>
        <w:t xml:space="preserve"> Free, Exh. SEF-</w:t>
      </w:r>
      <w:r w:rsidR="00F647C3">
        <w:t>19</w:t>
      </w:r>
      <w:r>
        <w:t xml:space="preserve"> at 12:1147 (columns (g) and (j)); </w:t>
      </w:r>
      <w:r w:rsidRPr="00EF6BC2">
        <w:rPr>
          <w:i/>
        </w:rPr>
        <w:t>see id.</w:t>
      </w:r>
      <w:r>
        <w:t xml:space="preserve"> at 15:1152 (columns (g) and (j)); </w:t>
      </w:r>
      <w:r w:rsidRPr="00EF6BC2">
        <w:rPr>
          <w:i/>
        </w:rPr>
        <w:t>see id.</w:t>
      </w:r>
      <w:r>
        <w:t xml:space="preserve"> at 29:2338 (columns (g) and (j)).</w:t>
      </w:r>
    </w:p>
  </w:footnote>
  <w:footnote w:id="41">
    <w:p w:rsidR="00313414" w:rsidRDefault="00313414" w:rsidP="00446DCD">
      <w:pPr>
        <w:pStyle w:val="FootnoteText"/>
        <w:spacing w:before="60" w:after="60" w:line="240" w:lineRule="auto"/>
        <w:ind w:firstLine="360"/>
      </w:pPr>
      <w:r>
        <w:rPr>
          <w:rStyle w:val="FootnoteReference"/>
        </w:rPr>
        <w:footnoteRef/>
      </w:r>
      <w:r>
        <w:tab/>
      </w:r>
      <w:r w:rsidRPr="00446DCD">
        <w:rPr>
          <w:i/>
        </w:rPr>
        <w:t>See generally</w:t>
      </w:r>
      <w:r>
        <w:t xml:space="preserve"> O’Connell, Exh. ECO-1CT.</w:t>
      </w:r>
    </w:p>
  </w:footnote>
  <w:footnote w:id="42">
    <w:p w:rsidR="00313414" w:rsidRDefault="00313414" w:rsidP="00823699">
      <w:pPr>
        <w:pStyle w:val="FootnoteText"/>
        <w:spacing w:before="60" w:after="60" w:line="240" w:lineRule="auto"/>
        <w:ind w:firstLine="360"/>
      </w:pPr>
      <w:r>
        <w:rPr>
          <w:rStyle w:val="FootnoteReference"/>
        </w:rPr>
        <w:footnoteRef/>
      </w:r>
      <w:r>
        <w:tab/>
        <w:t>O’Connell, Exh. ECO-1CT at 5:18-21.</w:t>
      </w:r>
    </w:p>
  </w:footnote>
  <w:footnote w:id="43">
    <w:p w:rsidR="00313414" w:rsidRDefault="00313414" w:rsidP="00823699">
      <w:pPr>
        <w:pStyle w:val="FootnoteText"/>
        <w:spacing w:before="60" w:after="60" w:line="240" w:lineRule="auto"/>
        <w:ind w:firstLine="360"/>
      </w:pPr>
      <w:r>
        <w:rPr>
          <w:rStyle w:val="FootnoteReference"/>
        </w:rPr>
        <w:footnoteRef/>
      </w:r>
      <w:r>
        <w:tab/>
        <w:t>Leasing Order, ¶¶ 61-73.</w:t>
      </w:r>
    </w:p>
  </w:footnote>
  <w:footnote w:id="44">
    <w:p w:rsidR="00313414" w:rsidRDefault="00313414" w:rsidP="00823699">
      <w:pPr>
        <w:pStyle w:val="FootnoteText"/>
        <w:spacing w:before="60" w:after="60" w:line="240" w:lineRule="auto"/>
        <w:ind w:firstLine="360"/>
      </w:pPr>
      <w:r>
        <w:rPr>
          <w:rStyle w:val="FootnoteReference"/>
        </w:rPr>
        <w:footnoteRef/>
      </w:r>
      <w:r>
        <w:tab/>
        <w:t>Leasing Order at ¶ 61.</w:t>
      </w:r>
    </w:p>
  </w:footnote>
  <w:footnote w:id="45">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62</w:t>
      </w:r>
    </w:p>
  </w:footnote>
  <w:footnote w:id="46">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63</w:t>
      </w:r>
    </w:p>
  </w:footnote>
  <w:footnote w:id="47">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67-70.</w:t>
      </w:r>
    </w:p>
  </w:footnote>
  <w:footnote w:id="48">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 72.</w:t>
      </w:r>
    </w:p>
  </w:footnote>
  <w:footnote w:id="49">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83.</w:t>
      </w:r>
    </w:p>
  </w:footnote>
  <w:footnote w:id="50">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84-85.</w:t>
      </w:r>
    </w:p>
  </w:footnote>
  <w:footnote w:id="51">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64.</w:t>
      </w:r>
    </w:p>
  </w:footnote>
  <w:footnote w:id="52">
    <w:p w:rsidR="00313414" w:rsidRDefault="00313414" w:rsidP="00823699">
      <w:pPr>
        <w:pStyle w:val="FootnoteText"/>
        <w:spacing w:before="60" w:after="60" w:line="240" w:lineRule="auto"/>
        <w:ind w:firstLine="360"/>
      </w:pPr>
      <w:r>
        <w:rPr>
          <w:rStyle w:val="FootnoteReference"/>
        </w:rPr>
        <w:footnoteRef/>
      </w:r>
      <w:r>
        <w:tab/>
      </w:r>
      <w:r w:rsidRPr="00EF6BC2">
        <w:rPr>
          <w:i/>
        </w:rPr>
        <w:t>Id</w:t>
      </w:r>
      <w:r>
        <w:t>. at ¶ 65.</w:t>
      </w:r>
    </w:p>
  </w:footnote>
  <w:footnote w:id="53">
    <w:p w:rsidR="00313414" w:rsidRDefault="00313414" w:rsidP="00446DCD">
      <w:pPr>
        <w:pStyle w:val="FootnoteText"/>
        <w:spacing w:before="60" w:after="60" w:line="240" w:lineRule="auto"/>
        <w:ind w:firstLine="360"/>
      </w:pPr>
      <w:r>
        <w:rPr>
          <w:rStyle w:val="FootnoteReference"/>
        </w:rPr>
        <w:footnoteRef/>
      </w:r>
      <w:r>
        <w:tab/>
        <w:t>O’Connell, Exh. ECO-1CT at 32:12-18.</w:t>
      </w:r>
    </w:p>
  </w:footnote>
  <w:footnote w:id="54">
    <w:p w:rsidR="00313414" w:rsidRDefault="00313414" w:rsidP="00446DCD">
      <w:pPr>
        <w:pStyle w:val="FootnoteText"/>
        <w:spacing w:before="60" w:after="60" w:line="240" w:lineRule="auto"/>
        <w:ind w:firstLine="360"/>
      </w:pPr>
      <w:r>
        <w:rPr>
          <w:rStyle w:val="FootnoteReference"/>
        </w:rPr>
        <w:footnoteRef/>
      </w:r>
      <w:r>
        <w:tab/>
        <w:t>Mullins BGM-1CTr at 44:11.</w:t>
      </w:r>
    </w:p>
  </w:footnote>
  <w:footnote w:id="55">
    <w:p w:rsidR="00313414" w:rsidRDefault="00313414" w:rsidP="00F647C3">
      <w:pPr>
        <w:pStyle w:val="FootnoteText"/>
        <w:spacing w:before="60" w:after="60" w:line="240" w:lineRule="auto"/>
        <w:ind w:firstLine="360"/>
      </w:pPr>
      <w:r>
        <w:rPr>
          <w:rStyle w:val="FootnoteReference"/>
        </w:rPr>
        <w:footnoteRef/>
      </w:r>
      <w:r>
        <w:tab/>
      </w:r>
      <w:r w:rsidR="00F647C3">
        <w:t xml:space="preserve">Mullins, </w:t>
      </w:r>
      <w:proofErr w:type="spellStart"/>
      <w:r w:rsidR="00F647C3">
        <w:t>Exh</w:t>
      </w:r>
      <w:proofErr w:type="spellEnd"/>
      <w:r w:rsidR="00F647C3">
        <w:t>. </w:t>
      </w:r>
      <w:r w:rsidR="00F647C3">
        <w:t>BGM-1CT</w:t>
      </w:r>
      <w:r w:rsidR="00F647C3">
        <w:t xml:space="preserve"> at page </w:t>
      </w:r>
      <w:r w:rsidR="00F647C3">
        <w:t>45</w:t>
      </w:r>
      <w:r w:rsidR="00F647C3">
        <w:t>:13-15.</w:t>
      </w:r>
    </w:p>
  </w:footnote>
  <w:footnote w:id="56">
    <w:p w:rsidR="00313414" w:rsidRDefault="00313414" w:rsidP="00446DCD">
      <w:pPr>
        <w:pStyle w:val="FootnoteText"/>
        <w:spacing w:before="60" w:after="60" w:line="240" w:lineRule="auto"/>
        <w:ind w:firstLine="360"/>
      </w:pPr>
      <w:r>
        <w:rPr>
          <w:rStyle w:val="FootnoteReference"/>
        </w:rPr>
        <w:footnoteRef/>
      </w:r>
      <w:r>
        <w:tab/>
        <w:t>O’Connell, Exh. ECO-1CT at 5:18-21.</w:t>
      </w:r>
    </w:p>
  </w:footnote>
  <w:footnote w:id="57">
    <w:p w:rsidR="00313414" w:rsidRDefault="00313414" w:rsidP="00823699">
      <w:pPr>
        <w:pStyle w:val="FootnoteText"/>
        <w:spacing w:before="60" w:after="60" w:line="240" w:lineRule="auto"/>
        <w:ind w:firstLine="360"/>
      </w:pPr>
      <w:r>
        <w:rPr>
          <w:rStyle w:val="FootnoteReference"/>
        </w:rPr>
        <w:footnoteRef/>
      </w:r>
      <w:r>
        <w:tab/>
        <w:t>Title 18, Chapter 1, Subchapter C, Part 101.</w:t>
      </w:r>
    </w:p>
  </w:footnote>
  <w:footnote w:id="58">
    <w:p w:rsidR="00313414" w:rsidRDefault="00313414" w:rsidP="00446DCD">
      <w:pPr>
        <w:pStyle w:val="FootnoteText"/>
        <w:spacing w:before="60" w:after="60" w:line="240" w:lineRule="auto"/>
        <w:ind w:firstLine="360"/>
      </w:pPr>
      <w:r>
        <w:rPr>
          <w:rStyle w:val="FootnoteReference"/>
        </w:rPr>
        <w:footnoteRef/>
      </w:r>
      <w:r>
        <w:tab/>
        <w:t xml:space="preserve">Mullins </w:t>
      </w:r>
      <w:r w:rsidR="00F647C3">
        <w:t>BGM-1CT</w:t>
      </w:r>
      <w:r>
        <w:t xml:space="preserve"> at 45:21-23.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14" w:rsidRDefault="00313414">
    <w:pPr>
      <w:pStyle w:val="Header"/>
    </w:pPr>
    <w:r>
      <w:rPr>
        <w:noProof/>
        <w:lang w:eastAsia="en-US"/>
      </w:rPr>
      <mc:AlternateContent>
        <mc:Choice Requires="wps">
          <w:drawing>
            <wp:anchor distT="0" distB="0" distL="114300" distR="114300" simplePos="0" relativeHeight="251662336" behindDoc="0" locked="0" layoutInCell="0" allowOverlap="1" wp14:anchorId="3ABDD25D" wp14:editId="1F3C0A2F">
              <wp:simplePos x="0" y="0"/>
              <wp:positionH relativeFrom="column">
                <wp:posOffset>-177165</wp:posOffset>
              </wp:positionH>
              <wp:positionV relativeFrom="paragraph">
                <wp:posOffset>2540</wp:posOffset>
              </wp:positionV>
              <wp:extent cx="0" cy="9258300"/>
              <wp:effectExtent l="22860" t="21590" r="24765" b="260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Dn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MlVkOc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AA0BD1"/>
    <w:multiLevelType w:val="hybridMultilevel"/>
    <w:tmpl w:val="9440CB06"/>
    <w:lvl w:ilvl="0" w:tplc="B72220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1E2940DC"/>
    <w:multiLevelType w:val="hybridMultilevel"/>
    <w:tmpl w:val="F30CDE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F030CCB"/>
    <w:multiLevelType w:val="hybridMultilevel"/>
    <w:tmpl w:val="069AB462"/>
    <w:lvl w:ilvl="0" w:tplc="79D2E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F674FC"/>
    <w:multiLevelType w:val="hybridMultilevel"/>
    <w:tmpl w:val="B78613CE"/>
    <w:lvl w:ilvl="0" w:tplc="5E0440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1">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4">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nsid w:val="54F92416"/>
    <w:multiLevelType w:val="hybridMultilevel"/>
    <w:tmpl w:val="4080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7">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8">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43">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5">
    <w:nsid w:val="77B112FB"/>
    <w:multiLevelType w:val="hybridMultilevel"/>
    <w:tmpl w:val="A77E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8145C"/>
    <w:multiLevelType w:val="hybridMultilevel"/>
    <w:tmpl w:val="0A34C82C"/>
    <w:lvl w:ilvl="0" w:tplc="2840A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8">
    <w:nsid w:val="7E637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0"/>
  </w:num>
  <w:num w:numId="13">
    <w:abstractNumId w:val="42"/>
  </w:num>
  <w:num w:numId="14">
    <w:abstractNumId w:val="26"/>
  </w:num>
  <w:num w:numId="15">
    <w:abstractNumId w:val="37"/>
  </w:num>
  <w:num w:numId="16">
    <w:abstractNumId w:val="40"/>
  </w:num>
  <w:num w:numId="17">
    <w:abstractNumId w:val="44"/>
  </w:num>
  <w:num w:numId="18">
    <w:abstractNumId w:val="30"/>
  </w:num>
  <w:num w:numId="19">
    <w:abstractNumId w:val="47"/>
  </w:num>
  <w:num w:numId="20">
    <w:abstractNumId w:val="33"/>
  </w:num>
  <w:num w:numId="21">
    <w:abstractNumId w:val="36"/>
  </w:num>
  <w:num w:numId="22">
    <w:abstractNumId w:val="18"/>
  </w:num>
  <w:num w:numId="23">
    <w:abstractNumId w:val="16"/>
  </w:num>
  <w:num w:numId="24">
    <w:abstractNumId w:val="23"/>
  </w:num>
  <w:num w:numId="25">
    <w:abstractNumId w:val="21"/>
  </w:num>
  <w:num w:numId="26">
    <w:abstractNumId w:val="3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12"/>
  </w:num>
  <w:num w:numId="31">
    <w:abstractNumId w:val="27"/>
  </w:num>
  <w:num w:numId="32">
    <w:abstractNumId w:val="32"/>
  </w:num>
  <w:num w:numId="33">
    <w:abstractNumId w:val="24"/>
  </w:num>
  <w:num w:numId="34">
    <w:abstractNumId w:val="11"/>
  </w:num>
  <w:num w:numId="35">
    <w:abstractNumId w:val="13"/>
  </w:num>
  <w:num w:numId="36">
    <w:abstractNumId w:val="14"/>
  </w:num>
  <w:num w:numId="37">
    <w:abstractNumId w:val="39"/>
  </w:num>
  <w:num w:numId="38">
    <w:abstractNumId w:val="28"/>
  </w:num>
  <w:num w:numId="39">
    <w:abstractNumId w:val="20"/>
  </w:num>
  <w:num w:numId="40">
    <w:abstractNumId w:val="22"/>
  </w:num>
  <w:num w:numId="41">
    <w:abstractNumId w:val="4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5"/>
  </w:num>
  <w:num w:numId="45">
    <w:abstractNumId w:val="29"/>
  </w:num>
  <w:num w:numId="46">
    <w:abstractNumId w:val="35"/>
  </w:num>
  <w:num w:numId="47">
    <w:abstractNumId w:val="45"/>
  </w:num>
  <w:num w:numId="48">
    <w:abstractNumId w:val="48"/>
  </w:num>
  <w:num w:numId="4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6462982.1"/>
    <w:docVar w:name="MPDocIDTemplate" w:val="%n|.%v"/>
    <w:docVar w:name="MPDocIDTemplateDefault" w:val="%c-|%m/|%n|.%v"/>
    <w:docVar w:name="NewDocStampType" w:val="1"/>
  </w:docVars>
  <w:rsids>
    <w:rsidRoot w:val="00CD1A65"/>
    <w:rsid w:val="00000A6F"/>
    <w:rsid w:val="000018F4"/>
    <w:rsid w:val="00001B6B"/>
    <w:rsid w:val="00002751"/>
    <w:rsid w:val="00003202"/>
    <w:rsid w:val="00003CCA"/>
    <w:rsid w:val="00004068"/>
    <w:rsid w:val="00004B2B"/>
    <w:rsid w:val="00004D39"/>
    <w:rsid w:val="0000554F"/>
    <w:rsid w:val="0000723E"/>
    <w:rsid w:val="00007913"/>
    <w:rsid w:val="000101C9"/>
    <w:rsid w:val="00010505"/>
    <w:rsid w:val="0001112F"/>
    <w:rsid w:val="00011F34"/>
    <w:rsid w:val="00012170"/>
    <w:rsid w:val="00012CC9"/>
    <w:rsid w:val="000139D8"/>
    <w:rsid w:val="000166B1"/>
    <w:rsid w:val="00017DB9"/>
    <w:rsid w:val="00020C64"/>
    <w:rsid w:val="000221A9"/>
    <w:rsid w:val="0002256A"/>
    <w:rsid w:val="00023E2B"/>
    <w:rsid w:val="0002428B"/>
    <w:rsid w:val="00024ADC"/>
    <w:rsid w:val="000251EE"/>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33D"/>
    <w:rsid w:val="000456B9"/>
    <w:rsid w:val="000458B0"/>
    <w:rsid w:val="000460D8"/>
    <w:rsid w:val="0004727F"/>
    <w:rsid w:val="0005073B"/>
    <w:rsid w:val="00051008"/>
    <w:rsid w:val="00052685"/>
    <w:rsid w:val="000528F5"/>
    <w:rsid w:val="00052A37"/>
    <w:rsid w:val="00053B7F"/>
    <w:rsid w:val="00054C6A"/>
    <w:rsid w:val="00054CEF"/>
    <w:rsid w:val="00055FFA"/>
    <w:rsid w:val="00057091"/>
    <w:rsid w:val="00057AE7"/>
    <w:rsid w:val="00057C3E"/>
    <w:rsid w:val="00060493"/>
    <w:rsid w:val="000623F4"/>
    <w:rsid w:val="0006317E"/>
    <w:rsid w:val="00063680"/>
    <w:rsid w:val="00064171"/>
    <w:rsid w:val="00064903"/>
    <w:rsid w:val="000671C3"/>
    <w:rsid w:val="00067771"/>
    <w:rsid w:val="0006778A"/>
    <w:rsid w:val="00070567"/>
    <w:rsid w:val="00070711"/>
    <w:rsid w:val="00070DC0"/>
    <w:rsid w:val="00072512"/>
    <w:rsid w:val="0007268C"/>
    <w:rsid w:val="000726FC"/>
    <w:rsid w:val="0007391C"/>
    <w:rsid w:val="00073EE8"/>
    <w:rsid w:val="0007591C"/>
    <w:rsid w:val="00075F33"/>
    <w:rsid w:val="000769BB"/>
    <w:rsid w:val="00076A47"/>
    <w:rsid w:val="00077BF8"/>
    <w:rsid w:val="00080E23"/>
    <w:rsid w:val="00080FC6"/>
    <w:rsid w:val="00082010"/>
    <w:rsid w:val="0008213E"/>
    <w:rsid w:val="00082260"/>
    <w:rsid w:val="00082C18"/>
    <w:rsid w:val="000831B1"/>
    <w:rsid w:val="0008390F"/>
    <w:rsid w:val="00084534"/>
    <w:rsid w:val="00084DAC"/>
    <w:rsid w:val="0008555B"/>
    <w:rsid w:val="00085C4A"/>
    <w:rsid w:val="00085CC0"/>
    <w:rsid w:val="00085F69"/>
    <w:rsid w:val="000867DE"/>
    <w:rsid w:val="000905D7"/>
    <w:rsid w:val="00091AD2"/>
    <w:rsid w:val="00091AE5"/>
    <w:rsid w:val="00092201"/>
    <w:rsid w:val="00093447"/>
    <w:rsid w:val="00093522"/>
    <w:rsid w:val="00093C4A"/>
    <w:rsid w:val="00094AE7"/>
    <w:rsid w:val="000969E2"/>
    <w:rsid w:val="000A0290"/>
    <w:rsid w:val="000A0975"/>
    <w:rsid w:val="000A0F0E"/>
    <w:rsid w:val="000A4ADD"/>
    <w:rsid w:val="000A4AEF"/>
    <w:rsid w:val="000A56A7"/>
    <w:rsid w:val="000A7131"/>
    <w:rsid w:val="000A7F6A"/>
    <w:rsid w:val="000B068C"/>
    <w:rsid w:val="000B18E9"/>
    <w:rsid w:val="000B1EA2"/>
    <w:rsid w:val="000B38BF"/>
    <w:rsid w:val="000B3FB1"/>
    <w:rsid w:val="000B547D"/>
    <w:rsid w:val="000B5FEA"/>
    <w:rsid w:val="000B6388"/>
    <w:rsid w:val="000B6DD9"/>
    <w:rsid w:val="000C071D"/>
    <w:rsid w:val="000C3580"/>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53C0"/>
    <w:rsid w:val="000F762C"/>
    <w:rsid w:val="000F7B1B"/>
    <w:rsid w:val="000F7DE8"/>
    <w:rsid w:val="00100417"/>
    <w:rsid w:val="001010E0"/>
    <w:rsid w:val="001023BE"/>
    <w:rsid w:val="0010268D"/>
    <w:rsid w:val="00102CE2"/>
    <w:rsid w:val="00102D02"/>
    <w:rsid w:val="001045A8"/>
    <w:rsid w:val="00104F8B"/>
    <w:rsid w:val="0010573F"/>
    <w:rsid w:val="0010641D"/>
    <w:rsid w:val="001066A2"/>
    <w:rsid w:val="0010722D"/>
    <w:rsid w:val="0010724B"/>
    <w:rsid w:val="00110894"/>
    <w:rsid w:val="001110FC"/>
    <w:rsid w:val="0011347D"/>
    <w:rsid w:val="001138F5"/>
    <w:rsid w:val="00113B9D"/>
    <w:rsid w:val="00113E20"/>
    <w:rsid w:val="00114B5C"/>
    <w:rsid w:val="00115F53"/>
    <w:rsid w:val="00116CF5"/>
    <w:rsid w:val="001176CD"/>
    <w:rsid w:val="0012055A"/>
    <w:rsid w:val="001222A4"/>
    <w:rsid w:val="001227D6"/>
    <w:rsid w:val="001235E4"/>
    <w:rsid w:val="001248E8"/>
    <w:rsid w:val="00125292"/>
    <w:rsid w:val="00126228"/>
    <w:rsid w:val="00127342"/>
    <w:rsid w:val="001310AA"/>
    <w:rsid w:val="001314A8"/>
    <w:rsid w:val="0013195B"/>
    <w:rsid w:val="00132447"/>
    <w:rsid w:val="00132620"/>
    <w:rsid w:val="0013586D"/>
    <w:rsid w:val="00137615"/>
    <w:rsid w:val="00140EC8"/>
    <w:rsid w:val="00141044"/>
    <w:rsid w:val="001417A7"/>
    <w:rsid w:val="00141820"/>
    <w:rsid w:val="00141A46"/>
    <w:rsid w:val="00142532"/>
    <w:rsid w:val="001433AA"/>
    <w:rsid w:val="00143E87"/>
    <w:rsid w:val="00146EDB"/>
    <w:rsid w:val="001479BB"/>
    <w:rsid w:val="001507AA"/>
    <w:rsid w:val="00150B43"/>
    <w:rsid w:val="00151400"/>
    <w:rsid w:val="00151E68"/>
    <w:rsid w:val="001527E4"/>
    <w:rsid w:val="001530C6"/>
    <w:rsid w:val="001533D3"/>
    <w:rsid w:val="00153529"/>
    <w:rsid w:val="00155A5E"/>
    <w:rsid w:val="00155ABF"/>
    <w:rsid w:val="001578FF"/>
    <w:rsid w:val="00160326"/>
    <w:rsid w:val="001603DB"/>
    <w:rsid w:val="0016182B"/>
    <w:rsid w:val="00161845"/>
    <w:rsid w:val="00163F6E"/>
    <w:rsid w:val="0016430B"/>
    <w:rsid w:val="00164C58"/>
    <w:rsid w:val="00165987"/>
    <w:rsid w:val="001664B2"/>
    <w:rsid w:val="00166CB0"/>
    <w:rsid w:val="00166FE8"/>
    <w:rsid w:val="001674E5"/>
    <w:rsid w:val="00167766"/>
    <w:rsid w:val="0016795C"/>
    <w:rsid w:val="00170A15"/>
    <w:rsid w:val="00171539"/>
    <w:rsid w:val="00172914"/>
    <w:rsid w:val="00173AA8"/>
    <w:rsid w:val="001744D8"/>
    <w:rsid w:val="0017489F"/>
    <w:rsid w:val="00174936"/>
    <w:rsid w:val="00174A67"/>
    <w:rsid w:val="00175DDE"/>
    <w:rsid w:val="00175E3E"/>
    <w:rsid w:val="00176501"/>
    <w:rsid w:val="0017692E"/>
    <w:rsid w:val="00176FA9"/>
    <w:rsid w:val="00177B8E"/>
    <w:rsid w:val="00180C05"/>
    <w:rsid w:val="001812AB"/>
    <w:rsid w:val="001812C0"/>
    <w:rsid w:val="001817F0"/>
    <w:rsid w:val="00181A1F"/>
    <w:rsid w:val="00182226"/>
    <w:rsid w:val="00182C81"/>
    <w:rsid w:val="00183093"/>
    <w:rsid w:val="001846E2"/>
    <w:rsid w:val="00184D5A"/>
    <w:rsid w:val="00185C17"/>
    <w:rsid w:val="00185D01"/>
    <w:rsid w:val="0019108F"/>
    <w:rsid w:val="001919C4"/>
    <w:rsid w:val="00192832"/>
    <w:rsid w:val="00192868"/>
    <w:rsid w:val="00192D72"/>
    <w:rsid w:val="001936DE"/>
    <w:rsid w:val="00195805"/>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17F"/>
    <w:rsid w:val="001B4343"/>
    <w:rsid w:val="001B61DF"/>
    <w:rsid w:val="001B7283"/>
    <w:rsid w:val="001B79DB"/>
    <w:rsid w:val="001C097C"/>
    <w:rsid w:val="001C1757"/>
    <w:rsid w:val="001C2894"/>
    <w:rsid w:val="001C5CAF"/>
    <w:rsid w:val="001C7603"/>
    <w:rsid w:val="001D0F46"/>
    <w:rsid w:val="001D186B"/>
    <w:rsid w:val="001D1D31"/>
    <w:rsid w:val="001D2261"/>
    <w:rsid w:val="001D2653"/>
    <w:rsid w:val="001D2B74"/>
    <w:rsid w:val="001D3062"/>
    <w:rsid w:val="001D478B"/>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20087E"/>
    <w:rsid w:val="00201995"/>
    <w:rsid w:val="00202C2B"/>
    <w:rsid w:val="00203289"/>
    <w:rsid w:val="0020433C"/>
    <w:rsid w:val="0020444F"/>
    <w:rsid w:val="00204D0F"/>
    <w:rsid w:val="00206603"/>
    <w:rsid w:val="00206F0F"/>
    <w:rsid w:val="00210AF9"/>
    <w:rsid w:val="00210FD3"/>
    <w:rsid w:val="002111FC"/>
    <w:rsid w:val="0021264C"/>
    <w:rsid w:val="0021552E"/>
    <w:rsid w:val="0021735B"/>
    <w:rsid w:val="002176C8"/>
    <w:rsid w:val="00217738"/>
    <w:rsid w:val="002200C5"/>
    <w:rsid w:val="00220BA5"/>
    <w:rsid w:val="0022127D"/>
    <w:rsid w:val="00221CB5"/>
    <w:rsid w:val="002225DC"/>
    <w:rsid w:val="00222C36"/>
    <w:rsid w:val="0022574D"/>
    <w:rsid w:val="002272F9"/>
    <w:rsid w:val="0022792A"/>
    <w:rsid w:val="00227B90"/>
    <w:rsid w:val="00231D3D"/>
    <w:rsid w:val="00235E91"/>
    <w:rsid w:val="00235F10"/>
    <w:rsid w:val="002366CD"/>
    <w:rsid w:val="002370A7"/>
    <w:rsid w:val="00237BC7"/>
    <w:rsid w:val="00237DAF"/>
    <w:rsid w:val="0024042B"/>
    <w:rsid w:val="00240ACD"/>
    <w:rsid w:val="00240D91"/>
    <w:rsid w:val="0024173A"/>
    <w:rsid w:val="002417CF"/>
    <w:rsid w:val="002423F8"/>
    <w:rsid w:val="00242803"/>
    <w:rsid w:val="00242F00"/>
    <w:rsid w:val="002439A7"/>
    <w:rsid w:val="00243C0C"/>
    <w:rsid w:val="00243D81"/>
    <w:rsid w:val="0024414E"/>
    <w:rsid w:val="002503F1"/>
    <w:rsid w:val="00250A52"/>
    <w:rsid w:val="002514AA"/>
    <w:rsid w:val="00252929"/>
    <w:rsid w:val="0025348F"/>
    <w:rsid w:val="00253A60"/>
    <w:rsid w:val="00253D38"/>
    <w:rsid w:val="0025416C"/>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79D"/>
    <w:rsid w:val="00263954"/>
    <w:rsid w:val="00264A3B"/>
    <w:rsid w:val="00265322"/>
    <w:rsid w:val="00265D55"/>
    <w:rsid w:val="0026646A"/>
    <w:rsid w:val="0027022C"/>
    <w:rsid w:val="00271076"/>
    <w:rsid w:val="00271277"/>
    <w:rsid w:val="00271C28"/>
    <w:rsid w:val="00272458"/>
    <w:rsid w:val="002727F1"/>
    <w:rsid w:val="002747B0"/>
    <w:rsid w:val="002758F7"/>
    <w:rsid w:val="002776EB"/>
    <w:rsid w:val="00281869"/>
    <w:rsid w:val="00281FB1"/>
    <w:rsid w:val="00282FFC"/>
    <w:rsid w:val="00283920"/>
    <w:rsid w:val="00284894"/>
    <w:rsid w:val="00285457"/>
    <w:rsid w:val="00285588"/>
    <w:rsid w:val="00287F1B"/>
    <w:rsid w:val="00290409"/>
    <w:rsid w:val="002909F6"/>
    <w:rsid w:val="00290A9F"/>
    <w:rsid w:val="00291DF5"/>
    <w:rsid w:val="00292DA1"/>
    <w:rsid w:val="00292FA1"/>
    <w:rsid w:val="00295987"/>
    <w:rsid w:val="00296A6A"/>
    <w:rsid w:val="00296C41"/>
    <w:rsid w:val="00297749"/>
    <w:rsid w:val="00297CE7"/>
    <w:rsid w:val="002A0971"/>
    <w:rsid w:val="002A11DF"/>
    <w:rsid w:val="002A134B"/>
    <w:rsid w:val="002A14F3"/>
    <w:rsid w:val="002A192D"/>
    <w:rsid w:val="002A1CC8"/>
    <w:rsid w:val="002A20FD"/>
    <w:rsid w:val="002A2592"/>
    <w:rsid w:val="002A2B26"/>
    <w:rsid w:val="002A5324"/>
    <w:rsid w:val="002A5705"/>
    <w:rsid w:val="002A5D40"/>
    <w:rsid w:val="002A6C1E"/>
    <w:rsid w:val="002A728C"/>
    <w:rsid w:val="002B0674"/>
    <w:rsid w:val="002B19A0"/>
    <w:rsid w:val="002B1D5B"/>
    <w:rsid w:val="002B3064"/>
    <w:rsid w:val="002B3F2B"/>
    <w:rsid w:val="002B45F5"/>
    <w:rsid w:val="002B4AF8"/>
    <w:rsid w:val="002B570C"/>
    <w:rsid w:val="002B7714"/>
    <w:rsid w:val="002C091A"/>
    <w:rsid w:val="002C4A47"/>
    <w:rsid w:val="002C68E6"/>
    <w:rsid w:val="002D0C18"/>
    <w:rsid w:val="002D0FA8"/>
    <w:rsid w:val="002D2A12"/>
    <w:rsid w:val="002D2F7D"/>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FE8"/>
    <w:rsid w:val="002F4BC1"/>
    <w:rsid w:val="002F4CD2"/>
    <w:rsid w:val="002F6E18"/>
    <w:rsid w:val="002F706F"/>
    <w:rsid w:val="002F77A9"/>
    <w:rsid w:val="002F7A4E"/>
    <w:rsid w:val="002F7C7C"/>
    <w:rsid w:val="00300860"/>
    <w:rsid w:val="00300996"/>
    <w:rsid w:val="0030150A"/>
    <w:rsid w:val="00301A6C"/>
    <w:rsid w:val="00302D0C"/>
    <w:rsid w:val="00302E7A"/>
    <w:rsid w:val="00303154"/>
    <w:rsid w:val="00304BA0"/>
    <w:rsid w:val="00304FAD"/>
    <w:rsid w:val="0030575E"/>
    <w:rsid w:val="00305CCA"/>
    <w:rsid w:val="00306F7C"/>
    <w:rsid w:val="0030775B"/>
    <w:rsid w:val="00307CCB"/>
    <w:rsid w:val="00311821"/>
    <w:rsid w:val="00313414"/>
    <w:rsid w:val="003139A8"/>
    <w:rsid w:val="003150B6"/>
    <w:rsid w:val="00315556"/>
    <w:rsid w:val="00315629"/>
    <w:rsid w:val="00317739"/>
    <w:rsid w:val="00320F41"/>
    <w:rsid w:val="00322395"/>
    <w:rsid w:val="00322508"/>
    <w:rsid w:val="00322CA7"/>
    <w:rsid w:val="003239D7"/>
    <w:rsid w:val="003244A3"/>
    <w:rsid w:val="003244FC"/>
    <w:rsid w:val="0032551C"/>
    <w:rsid w:val="00325B31"/>
    <w:rsid w:val="00325CC4"/>
    <w:rsid w:val="0032685E"/>
    <w:rsid w:val="0032688C"/>
    <w:rsid w:val="00326995"/>
    <w:rsid w:val="00326E7E"/>
    <w:rsid w:val="003303D4"/>
    <w:rsid w:val="00330580"/>
    <w:rsid w:val="003309FD"/>
    <w:rsid w:val="0033152C"/>
    <w:rsid w:val="0033255F"/>
    <w:rsid w:val="003325A3"/>
    <w:rsid w:val="0033262E"/>
    <w:rsid w:val="00332A3D"/>
    <w:rsid w:val="00332EF1"/>
    <w:rsid w:val="00335F02"/>
    <w:rsid w:val="003360EB"/>
    <w:rsid w:val="0033664C"/>
    <w:rsid w:val="00336842"/>
    <w:rsid w:val="003375D2"/>
    <w:rsid w:val="00337C05"/>
    <w:rsid w:val="0034112B"/>
    <w:rsid w:val="003415CD"/>
    <w:rsid w:val="00341838"/>
    <w:rsid w:val="00343E5D"/>
    <w:rsid w:val="00343F89"/>
    <w:rsid w:val="0034496B"/>
    <w:rsid w:val="0034534C"/>
    <w:rsid w:val="0034545B"/>
    <w:rsid w:val="003455AF"/>
    <w:rsid w:val="00345DEB"/>
    <w:rsid w:val="003466A5"/>
    <w:rsid w:val="00346B8D"/>
    <w:rsid w:val="00347473"/>
    <w:rsid w:val="003524AD"/>
    <w:rsid w:val="00355D0F"/>
    <w:rsid w:val="0035666C"/>
    <w:rsid w:val="003567AA"/>
    <w:rsid w:val="00361737"/>
    <w:rsid w:val="00362DED"/>
    <w:rsid w:val="00363E4F"/>
    <w:rsid w:val="003644BA"/>
    <w:rsid w:val="00365D6C"/>
    <w:rsid w:val="003675FD"/>
    <w:rsid w:val="0036790A"/>
    <w:rsid w:val="00367F8F"/>
    <w:rsid w:val="003709DA"/>
    <w:rsid w:val="003710C2"/>
    <w:rsid w:val="00372422"/>
    <w:rsid w:val="00372F79"/>
    <w:rsid w:val="00373813"/>
    <w:rsid w:val="00373D78"/>
    <w:rsid w:val="0037404C"/>
    <w:rsid w:val="00374822"/>
    <w:rsid w:val="00374D31"/>
    <w:rsid w:val="00380B7D"/>
    <w:rsid w:val="0038156A"/>
    <w:rsid w:val="0038164D"/>
    <w:rsid w:val="00382131"/>
    <w:rsid w:val="00382C51"/>
    <w:rsid w:val="00382E09"/>
    <w:rsid w:val="00385174"/>
    <w:rsid w:val="003854E8"/>
    <w:rsid w:val="0038685C"/>
    <w:rsid w:val="0038721F"/>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0EF2"/>
    <w:rsid w:val="003A135D"/>
    <w:rsid w:val="003A24F0"/>
    <w:rsid w:val="003A25AC"/>
    <w:rsid w:val="003A358A"/>
    <w:rsid w:val="003A3767"/>
    <w:rsid w:val="003A37CF"/>
    <w:rsid w:val="003A3FD8"/>
    <w:rsid w:val="003A4E91"/>
    <w:rsid w:val="003A5AA0"/>
    <w:rsid w:val="003B0242"/>
    <w:rsid w:val="003B184A"/>
    <w:rsid w:val="003B18F3"/>
    <w:rsid w:val="003B1953"/>
    <w:rsid w:val="003B1F80"/>
    <w:rsid w:val="003B2697"/>
    <w:rsid w:val="003B3024"/>
    <w:rsid w:val="003B3679"/>
    <w:rsid w:val="003B48E0"/>
    <w:rsid w:val="003B5280"/>
    <w:rsid w:val="003B53E6"/>
    <w:rsid w:val="003B54A9"/>
    <w:rsid w:val="003B5556"/>
    <w:rsid w:val="003B67E4"/>
    <w:rsid w:val="003B6B49"/>
    <w:rsid w:val="003B6F01"/>
    <w:rsid w:val="003B77BD"/>
    <w:rsid w:val="003B7BD3"/>
    <w:rsid w:val="003C09A2"/>
    <w:rsid w:val="003C0EB4"/>
    <w:rsid w:val="003C19A1"/>
    <w:rsid w:val="003C1DBD"/>
    <w:rsid w:val="003C24C0"/>
    <w:rsid w:val="003C2573"/>
    <w:rsid w:val="003C2C7C"/>
    <w:rsid w:val="003C2E90"/>
    <w:rsid w:val="003C37BC"/>
    <w:rsid w:val="003C3870"/>
    <w:rsid w:val="003C3EB4"/>
    <w:rsid w:val="003C4449"/>
    <w:rsid w:val="003C4582"/>
    <w:rsid w:val="003C51B6"/>
    <w:rsid w:val="003C58FE"/>
    <w:rsid w:val="003C64DB"/>
    <w:rsid w:val="003C6CFA"/>
    <w:rsid w:val="003D03FF"/>
    <w:rsid w:val="003D094A"/>
    <w:rsid w:val="003D25AE"/>
    <w:rsid w:val="003D2AE7"/>
    <w:rsid w:val="003D2CAA"/>
    <w:rsid w:val="003D3B8F"/>
    <w:rsid w:val="003D3C53"/>
    <w:rsid w:val="003D3E30"/>
    <w:rsid w:val="003D61E7"/>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6AD"/>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6515"/>
    <w:rsid w:val="00417494"/>
    <w:rsid w:val="00420933"/>
    <w:rsid w:val="00421117"/>
    <w:rsid w:val="00421A4E"/>
    <w:rsid w:val="00421D6D"/>
    <w:rsid w:val="004233FB"/>
    <w:rsid w:val="0042344B"/>
    <w:rsid w:val="004235B9"/>
    <w:rsid w:val="00423A55"/>
    <w:rsid w:val="0042489F"/>
    <w:rsid w:val="0042497B"/>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3AE"/>
    <w:rsid w:val="00436552"/>
    <w:rsid w:val="00440346"/>
    <w:rsid w:val="0044097A"/>
    <w:rsid w:val="00440DFF"/>
    <w:rsid w:val="00442099"/>
    <w:rsid w:val="00442BDB"/>
    <w:rsid w:val="00443378"/>
    <w:rsid w:val="00443445"/>
    <w:rsid w:val="004441C3"/>
    <w:rsid w:val="00444FFE"/>
    <w:rsid w:val="00445291"/>
    <w:rsid w:val="00446DCD"/>
    <w:rsid w:val="004479B6"/>
    <w:rsid w:val="0045217A"/>
    <w:rsid w:val="00452684"/>
    <w:rsid w:val="0045400D"/>
    <w:rsid w:val="00454484"/>
    <w:rsid w:val="00455FB0"/>
    <w:rsid w:val="00461306"/>
    <w:rsid w:val="00461E19"/>
    <w:rsid w:val="004634CD"/>
    <w:rsid w:val="00463EFF"/>
    <w:rsid w:val="00464D88"/>
    <w:rsid w:val="00465152"/>
    <w:rsid w:val="00465629"/>
    <w:rsid w:val="004661B1"/>
    <w:rsid w:val="00466E61"/>
    <w:rsid w:val="004674DD"/>
    <w:rsid w:val="0046783D"/>
    <w:rsid w:val="0046788D"/>
    <w:rsid w:val="00467A2F"/>
    <w:rsid w:val="00467D78"/>
    <w:rsid w:val="004708DE"/>
    <w:rsid w:val="004709B1"/>
    <w:rsid w:val="00472593"/>
    <w:rsid w:val="00472ED7"/>
    <w:rsid w:val="00473002"/>
    <w:rsid w:val="004739A4"/>
    <w:rsid w:val="00473CB4"/>
    <w:rsid w:val="00473E52"/>
    <w:rsid w:val="00474DA9"/>
    <w:rsid w:val="00474F45"/>
    <w:rsid w:val="004758A2"/>
    <w:rsid w:val="00476A1F"/>
    <w:rsid w:val="00480054"/>
    <w:rsid w:val="004807DC"/>
    <w:rsid w:val="00480BEE"/>
    <w:rsid w:val="00480DFA"/>
    <w:rsid w:val="004818C2"/>
    <w:rsid w:val="0048269E"/>
    <w:rsid w:val="0048295A"/>
    <w:rsid w:val="00482CE9"/>
    <w:rsid w:val="004837B4"/>
    <w:rsid w:val="004847D0"/>
    <w:rsid w:val="004865A8"/>
    <w:rsid w:val="00486844"/>
    <w:rsid w:val="00486F8C"/>
    <w:rsid w:val="00487E92"/>
    <w:rsid w:val="00490281"/>
    <w:rsid w:val="00491882"/>
    <w:rsid w:val="004949C9"/>
    <w:rsid w:val="00494CF7"/>
    <w:rsid w:val="0049768D"/>
    <w:rsid w:val="00497C3C"/>
    <w:rsid w:val="004A1256"/>
    <w:rsid w:val="004A1BA4"/>
    <w:rsid w:val="004A1F3B"/>
    <w:rsid w:val="004A36C8"/>
    <w:rsid w:val="004A390A"/>
    <w:rsid w:val="004A4B75"/>
    <w:rsid w:val="004A4D0C"/>
    <w:rsid w:val="004A5895"/>
    <w:rsid w:val="004A5ACD"/>
    <w:rsid w:val="004A636A"/>
    <w:rsid w:val="004A6735"/>
    <w:rsid w:val="004A694E"/>
    <w:rsid w:val="004A75AA"/>
    <w:rsid w:val="004A78E3"/>
    <w:rsid w:val="004A7FAE"/>
    <w:rsid w:val="004B0A53"/>
    <w:rsid w:val="004B3487"/>
    <w:rsid w:val="004B3E9E"/>
    <w:rsid w:val="004B4741"/>
    <w:rsid w:val="004B4939"/>
    <w:rsid w:val="004B4B95"/>
    <w:rsid w:val="004B6069"/>
    <w:rsid w:val="004B62CF"/>
    <w:rsid w:val="004B7BE6"/>
    <w:rsid w:val="004B7D1B"/>
    <w:rsid w:val="004C05B4"/>
    <w:rsid w:val="004C09FD"/>
    <w:rsid w:val="004C168F"/>
    <w:rsid w:val="004C16E8"/>
    <w:rsid w:val="004C170F"/>
    <w:rsid w:val="004C1891"/>
    <w:rsid w:val="004C18E4"/>
    <w:rsid w:val="004C2A9D"/>
    <w:rsid w:val="004C3E5A"/>
    <w:rsid w:val="004C4A2E"/>
    <w:rsid w:val="004C638F"/>
    <w:rsid w:val="004C6641"/>
    <w:rsid w:val="004C69B5"/>
    <w:rsid w:val="004C6CED"/>
    <w:rsid w:val="004C71E1"/>
    <w:rsid w:val="004D03B3"/>
    <w:rsid w:val="004D1343"/>
    <w:rsid w:val="004D2851"/>
    <w:rsid w:val="004D2A90"/>
    <w:rsid w:val="004D3D21"/>
    <w:rsid w:val="004D400A"/>
    <w:rsid w:val="004D4861"/>
    <w:rsid w:val="004D4984"/>
    <w:rsid w:val="004D4B77"/>
    <w:rsid w:val="004D4DCA"/>
    <w:rsid w:val="004D5B37"/>
    <w:rsid w:val="004D7505"/>
    <w:rsid w:val="004D7A7F"/>
    <w:rsid w:val="004E01A2"/>
    <w:rsid w:val="004E0DE1"/>
    <w:rsid w:val="004E1648"/>
    <w:rsid w:val="004E17E1"/>
    <w:rsid w:val="004E1E18"/>
    <w:rsid w:val="004E1F44"/>
    <w:rsid w:val="004E2C82"/>
    <w:rsid w:val="004E36E2"/>
    <w:rsid w:val="004E4D21"/>
    <w:rsid w:val="004E5469"/>
    <w:rsid w:val="004E5D0B"/>
    <w:rsid w:val="004E5E66"/>
    <w:rsid w:val="004E65AF"/>
    <w:rsid w:val="004F0344"/>
    <w:rsid w:val="004F11E5"/>
    <w:rsid w:val="004F1C95"/>
    <w:rsid w:val="004F25CC"/>
    <w:rsid w:val="004F272B"/>
    <w:rsid w:val="004F42E7"/>
    <w:rsid w:val="004F50A3"/>
    <w:rsid w:val="004F55BA"/>
    <w:rsid w:val="004F5EC4"/>
    <w:rsid w:val="004F69B2"/>
    <w:rsid w:val="004F6C25"/>
    <w:rsid w:val="004F7BB1"/>
    <w:rsid w:val="00501565"/>
    <w:rsid w:val="00502FF1"/>
    <w:rsid w:val="00503B4D"/>
    <w:rsid w:val="00504484"/>
    <w:rsid w:val="005044D0"/>
    <w:rsid w:val="00504618"/>
    <w:rsid w:val="00504687"/>
    <w:rsid w:val="005051C0"/>
    <w:rsid w:val="00505678"/>
    <w:rsid w:val="005071A1"/>
    <w:rsid w:val="00507671"/>
    <w:rsid w:val="00507A1B"/>
    <w:rsid w:val="00507DCE"/>
    <w:rsid w:val="005101FD"/>
    <w:rsid w:val="00511B9A"/>
    <w:rsid w:val="00512554"/>
    <w:rsid w:val="0051291A"/>
    <w:rsid w:val="0051359F"/>
    <w:rsid w:val="00513C79"/>
    <w:rsid w:val="0051419C"/>
    <w:rsid w:val="00514577"/>
    <w:rsid w:val="00514EB9"/>
    <w:rsid w:val="0051596F"/>
    <w:rsid w:val="005164EE"/>
    <w:rsid w:val="00516FC7"/>
    <w:rsid w:val="005204FC"/>
    <w:rsid w:val="0052070A"/>
    <w:rsid w:val="00520E14"/>
    <w:rsid w:val="00521C41"/>
    <w:rsid w:val="00521FC2"/>
    <w:rsid w:val="005245FB"/>
    <w:rsid w:val="00524B1B"/>
    <w:rsid w:val="00525A4A"/>
    <w:rsid w:val="00525D2A"/>
    <w:rsid w:val="00526204"/>
    <w:rsid w:val="00527418"/>
    <w:rsid w:val="00527866"/>
    <w:rsid w:val="0053020B"/>
    <w:rsid w:val="00530959"/>
    <w:rsid w:val="005315E5"/>
    <w:rsid w:val="00533B23"/>
    <w:rsid w:val="00533EF1"/>
    <w:rsid w:val="00533F86"/>
    <w:rsid w:val="00537591"/>
    <w:rsid w:val="00537ADF"/>
    <w:rsid w:val="00537B92"/>
    <w:rsid w:val="00540997"/>
    <w:rsid w:val="00540E13"/>
    <w:rsid w:val="00541AB6"/>
    <w:rsid w:val="0054244E"/>
    <w:rsid w:val="005447C6"/>
    <w:rsid w:val="00545293"/>
    <w:rsid w:val="00545CA3"/>
    <w:rsid w:val="005468D3"/>
    <w:rsid w:val="0054761B"/>
    <w:rsid w:val="0055026C"/>
    <w:rsid w:val="00550EF4"/>
    <w:rsid w:val="00550F70"/>
    <w:rsid w:val="00551C94"/>
    <w:rsid w:val="00552EF6"/>
    <w:rsid w:val="00553157"/>
    <w:rsid w:val="00553D39"/>
    <w:rsid w:val="00554649"/>
    <w:rsid w:val="00554CEB"/>
    <w:rsid w:val="005557AF"/>
    <w:rsid w:val="005559E4"/>
    <w:rsid w:val="0055657B"/>
    <w:rsid w:val="00556755"/>
    <w:rsid w:val="00556802"/>
    <w:rsid w:val="00556BD8"/>
    <w:rsid w:val="00556DC5"/>
    <w:rsid w:val="005570D9"/>
    <w:rsid w:val="00557FF3"/>
    <w:rsid w:val="00560BDC"/>
    <w:rsid w:val="0056302F"/>
    <w:rsid w:val="00563852"/>
    <w:rsid w:val="00563CE2"/>
    <w:rsid w:val="00564239"/>
    <w:rsid w:val="005642B7"/>
    <w:rsid w:val="00564563"/>
    <w:rsid w:val="00565044"/>
    <w:rsid w:val="005651E0"/>
    <w:rsid w:val="00565A01"/>
    <w:rsid w:val="005661BE"/>
    <w:rsid w:val="005665C3"/>
    <w:rsid w:val="00566656"/>
    <w:rsid w:val="00566D9B"/>
    <w:rsid w:val="0057057E"/>
    <w:rsid w:val="00570F2F"/>
    <w:rsid w:val="00571AEF"/>
    <w:rsid w:val="00571D94"/>
    <w:rsid w:val="00571F90"/>
    <w:rsid w:val="00572594"/>
    <w:rsid w:val="0057278B"/>
    <w:rsid w:val="00572A1B"/>
    <w:rsid w:val="00572DD7"/>
    <w:rsid w:val="00573849"/>
    <w:rsid w:val="005775FE"/>
    <w:rsid w:val="005809F6"/>
    <w:rsid w:val="00583D79"/>
    <w:rsid w:val="00585BB2"/>
    <w:rsid w:val="00586948"/>
    <w:rsid w:val="00587372"/>
    <w:rsid w:val="0058766E"/>
    <w:rsid w:val="005879F2"/>
    <w:rsid w:val="00587E33"/>
    <w:rsid w:val="00591A61"/>
    <w:rsid w:val="00592134"/>
    <w:rsid w:val="00592351"/>
    <w:rsid w:val="00592472"/>
    <w:rsid w:val="0059255C"/>
    <w:rsid w:val="00592644"/>
    <w:rsid w:val="00592D78"/>
    <w:rsid w:val="0059465D"/>
    <w:rsid w:val="00596396"/>
    <w:rsid w:val="00597152"/>
    <w:rsid w:val="00597808"/>
    <w:rsid w:val="005979E2"/>
    <w:rsid w:val="005A0B57"/>
    <w:rsid w:val="005A155A"/>
    <w:rsid w:val="005A1926"/>
    <w:rsid w:val="005A2318"/>
    <w:rsid w:val="005A2C1F"/>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6D2"/>
    <w:rsid w:val="005C2A29"/>
    <w:rsid w:val="005C3071"/>
    <w:rsid w:val="005C3BDA"/>
    <w:rsid w:val="005C4350"/>
    <w:rsid w:val="005C51E1"/>
    <w:rsid w:val="005C58C8"/>
    <w:rsid w:val="005C5D55"/>
    <w:rsid w:val="005C6F49"/>
    <w:rsid w:val="005D058D"/>
    <w:rsid w:val="005D0E49"/>
    <w:rsid w:val="005D1EA0"/>
    <w:rsid w:val="005D27C9"/>
    <w:rsid w:val="005D2DF2"/>
    <w:rsid w:val="005D3306"/>
    <w:rsid w:val="005D391D"/>
    <w:rsid w:val="005D5262"/>
    <w:rsid w:val="005D6946"/>
    <w:rsid w:val="005D7148"/>
    <w:rsid w:val="005D7606"/>
    <w:rsid w:val="005D78A6"/>
    <w:rsid w:val="005D7B7D"/>
    <w:rsid w:val="005D7C82"/>
    <w:rsid w:val="005E09DF"/>
    <w:rsid w:val="005E0C3F"/>
    <w:rsid w:val="005E1B90"/>
    <w:rsid w:val="005E1BF9"/>
    <w:rsid w:val="005E2C8E"/>
    <w:rsid w:val="005E2E4D"/>
    <w:rsid w:val="005E30B2"/>
    <w:rsid w:val="005E446E"/>
    <w:rsid w:val="005E4883"/>
    <w:rsid w:val="005E4CEA"/>
    <w:rsid w:val="005E4E8A"/>
    <w:rsid w:val="005E6AA5"/>
    <w:rsid w:val="005E7DF8"/>
    <w:rsid w:val="005F0775"/>
    <w:rsid w:val="005F0DAB"/>
    <w:rsid w:val="005F0E0A"/>
    <w:rsid w:val="005F1D85"/>
    <w:rsid w:val="005F22C4"/>
    <w:rsid w:val="005F2A8D"/>
    <w:rsid w:val="005F411E"/>
    <w:rsid w:val="005F577C"/>
    <w:rsid w:val="005F6A08"/>
    <w:rsid w:val="005F76C3"/>
    <w:rsid w:val="00600A48"/>
    <w:rsid w:val="00601B12"/>
    <w:rsid w:val="00601F0F"/>
    <w:rsid w:val="00603A47"/>
    <w:rsid w:val="00605756"/>
    <w:rsid w:val="006060D0"/>
    <w:rsid w:val="006065BA"/>
    <w:rsid w:val="00607FCD"/>
    <w:rsid w:val="00610390"/>
    <w:rsid w:val="006109CE"/>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6D71"/>
    <w:rsid w:val="00617612"/>
    <w:rsid w:val="00621388"/>
    <w:rsid w:val="006219C1"/>
    <w:rsid w:val="00621A32"/>
    <w:rsid w:val="00621F71"/>
    <w:rsid w:val="00622E2B"/>
    <w:rsid w:val="00623EAD"/>
    <w:rsid w:val="00624398"/>
    <w:rsid w:val="00624A65"/>
    <w:rsid w:val="006254D3"/>
    <w:rsid w:val="00630315"/>
    <w:rsid w:val="00630EAD"/>
    <w:rsid w:val="00632256"/>
    <w:rsid w:val="006326F6"/>
    <w:rsid w:val="00633834"/>
    <w:rsid w:val="006338CF"/>
    <w:rsid w:val="00634A84"/>
    <w:rsid w:val="00634C03"/>
    <w:rsid w:val="0063512A"/>
    <w:rsid w:val="0063527A"/>
    <w:rsid w:val="00635B8A"/>
    <w:rsid w:val="0063650A"/>
    <w:rsid w:val="00636B02"/>
    <w:rsid w:val="00637DBB"/>
    <w:rsid w:val="00640E94"/>
    <w:rsid w:val="00641675"/>
    <w:rsid w:val="00641CBB"/>
    <w:rsid w:val="0064220D"/>
    <w:rsid w:val="006423BF"/>
    <w:rsid w:val="00643350"/>
    <w:rsid w:val="006452C3"/>
    <w:rsid w:val="006455A2"/>
    <w:rsid w:val="00646A22"/>
    <w:rsid w:val="00650CC9"/>
    <w:rsid w:val="0065105B"/>
    <w:rsid w:val="006511CF"/>
    <w:rsid w:val="00652CDE"/>
    <w:rsid w:val="0065388B"/>
    <w:rsid w:val="00653E0A"/>
    <w:rsid w:val="00655A63"/>
    <w:rsid w:val="00655E60"/>
    <w:rsid w:val="00655FA0"/>
    <w:rsid w:val="00657F91"/>
    <w:rsid w:val="0066089E"/>
    <w:rsid w:val="00660D21"/>
    <w:rsid w:val="00661590"/>
    <w:rsid w:val="00661CF5"/>
    <w:rsid w:val="00662229"/>
    <w:rsid w:val="00662F32"/>
    <w:rsid w:val="0066300A"/>
    <w:rsid w:val="00663620"/>
    <w:rsid w:val="00663958"/>
    <w:rsid w:val="00666543"/>
    <w:rsid w:val="006665EA"/>
    <w:rsid w:val="0066669F"/>
    <w:rsid w:val="00667981"/>
    <w:rsid w:val="00667CA3"/>
    <w:rsid w:val="00672286"/>
    <w:rsid w:val="006724B4"/>
    <w:rsid w:val="0067270F"/>
    <w:rsid w:val="00673501"/>
    <w:rsid w:val="00673A9F"/>
    <w:rsid w:val="00673F05"/>
    <w:rsid w:val="00673FB0"/>
    <w:rsid w:val="00675BA8"/>
    <w:rsid w:val="0067782C"/>
    <w:rsid w:val="006806DF"/>
    <w:rsid w:val="00680A76"/>
    <w:rsid w:val="00680EDB"/>
    <w:rsid w:val="006811D1"/>
    <w:rsid w:val="006819F1"/>
    <w:rsid w:val="00681AF1"/>
    <w:rsid w:val="00681E92"/>
    <w:rsid w:val="00683198"/>
    <w:rsid w:val="00685E23"/>
    <w:rsid w:val="006863FB"/>
    <w:rsid w:val="006871DF"/>
    <w:rsid w:val="0068740D"/>
    <w:rsid w:val="006874DF"/>
    <w:rsid w:val="00687B3E"/>
    <w:rsid w:val="00687BB4"/>
    <w:rsid w:val="00690C2B"/>
    <w:rsid w:val="00691BE3"/>
    <w:rsid w:val="006936D1"/>
    <w:rsid w:val="00693729"/>
    <w:rsid w:val="00693C4C"/>
    <w:rsid w:val="00693C60"/>
    <w:rsid w:val="0069502F"/>
    <w:rsid w:val="00695B5F"/>
    <w:rsid w:val="0069625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3770"/>
    <w:rsid w:val="006B40A8"/>
    <w:rsid w:val="006B4712"/>
    <w:rsid w:val="006B4C82"/>
    <w:rsid w:val="006B50D3"/>
    <w:rsid w:val="006B5757"/>
    <w:rsid w:val="006B5E60"/>
    <w:rsid w:val="006B79D5"/>
    <w:rsid w:val="006C03DD"/>
    <w:rsid w:val="006C15B5"/>
    <w:rsid w:val="006C1BFE"/>
    <w:rsid w:val="006C25C2"/>
    <w:rsid w:val="006C2AE1"/>
    <w:rsid w:val="006C2ED2"/>
    <w:rsid w:val="006C3ABA"/>
    <w:rsid w:val="006C3EAD"/>
    <w:rsid w:val="006C4F89"/>
    <w:rsid w:val="006C793A"/>
    <w:rsid w:val="006D0169"/>
    <w:rsid w:val="006D065D"/>
    <w:rsid w:val="006D07F2"/>
    <w:rsid w:val="006D3C45"/>
    <w:rsid w:val="006D4565"/>
    <w:rsid w:val="006D478A"/>
    <w:rsid w:val="006D48DF"/>
    <w:rsid w:val="006D5D2B"/>
    <w:rsid w:val="006D6D2C"/>
    <w:rsid w:val="006D738B"/>
    <w:rsid w:val="006E034B"/>
    <w:rsid w:val="006E041D"/>
    <w:rsid w:val="006E08AF"/>
    <w:rsid w:val="006E0FF1"/>
    <w:rsid w:val="006E159E"/>
    <w:rsid w:val="006E1B73"/>
    <w:rsid w:val="006E38DF"/>
    <w:rsid w:val="006E39DE"/>
    <w:rsid w:val="006E3A4D"/>
    <w:rsid w:val="006E3F70"/>
    <w:rsid w:val="006E42AB"/>
    <w:rsid w:val="006E4E94"/>
    <w:rsid w:val="006E5139"/>
    <w:rsid w:val="006E66A7"/>
    <w:rsid w:val="006E670F"/>
    <w:rsid w:val="006E73FB"/>
    <w:rsid w:val="006E7532"/>
    <w:rsid w:val="006F0464"/>
    <w:rsid w:val="006F0CA7"/>
    <w:rsid w:val="006F0EC2"/>
    <w:rsid w:val="006F0F09"/>
    <w:rsid w:val="006F268B"/>
    <w:rsid w:val="006F4B75"/>
    <w:rsid w:val="006F5553"/>
    <w:rsid w:val="006F58D6"/>
    <w:rsid w:val="006F741F"/>
    <w:rsid w:val="006F7B8C"/>
    <w:rsid w:val="00700AF8"/>
    <w:rsid w:val="007027F0"/>
    <w:rsid w:val="00702F60"/>
    <w:rsid w:val="00704232"/>
    <w:rsid w:val="00704B71"/>
    <w:rsid w:val="007051D2"/>
    <w:rsid w:val="00705D70"/>
    <w:rsid w:val="007068E6"/>
    <w:rsid w:val="00706B06"/>
    <w:rsid w:val="007112A2"/>
    <w:rsid w:val="00711ECD"/>
    <w:rsid w:val="00711F8C"/>
    <w:rsid w:val="00713452"/>
    <w:rsid w:val="007134DF"/>
    <w:rsid w:val="007138BD"/>
    <w:rsid w:val="00714AFD"/>
    <w:rsid w:val="00716292"/>
    <w:rsid w:val="007175A8"/>
    <w:rsid w:val="0072162E"/>
    <w:rsid w:val="007218AC"/>
    <w:rsid w:val="00722EC7"/>
    <w:rsid w:val="0072310A"/>
    <w:rsid w:val="007234D6"/>
    <w:rsid w:val="00723BF3"/>
    <w:rsid w:val="0072459E"/>
    <w:rsid w:val="00724C25"/>
    <w:rsid w:val="007259B3"/>
    <w:rsid w:val="00726952"/>
    <w:rsid w:val="00726C62"/>
    <w:rsid w:val="007272EF"/>
    <w:rsid w:val="007274CD"/>
    <w:rsid w:val="00730C4A"/>
    <w:rsid w:val="0073104F"/>
    <w:rsid w:val="007324FB"/>
    <w:rsid w:val="0073473E"/>
    <w:rsid w:val="007347E6"/>
    <w:rsid w:val="00734EBA"/>
    <w:rsid w:val="00736D1E"/>
    <w:rsid w:val="00740802"/>
    <w:rsid w:val="00741A4C"/>
    <w:rsid w:val="00741D0C"/>
    <w:rsid w:val="0074206F"/>
    <w:rsid w:val="00743A49"/>
    <w:rsid w:val="00745606"/>
    <w:rsid w:val="00745B9C"/>
    <w:rsid w:val="007464C7"/>
    <w:rsid w:val="0074655B"/>
    <w:rsid w:val="0074780F"/>
    <w:rsid w:val="007479D7"/>
    <w:rsid w:val="00747E79"/>
    <w:rsid w:val="007500C0"/>
    <w:rsid w:val="00750AF3"/>
    <w:rsid w:val="0075114A"/>
    <w:rsid w:val="00752492"/>
    <w:rsid w:val="00752EBB"/>
    <w:rsid w:val="007539D4"/>
    <w:rsid w:val="00754552"/>
    <w:rsid w:val="007547FF"/>
    <w:rsid w:val="00756AAC"/>
    <w:rsid w:val="00760094"/>
    <w:rsid w:val="007608D1"/>
    <w:rsid w:val="00761068"/>
    <w:rsid w:val="0076163B"/>
    <w:rsid w:val="00761722"/>
    <w:rsid w:val="00761E8E"/>
    <w:rsid w:val="007634AB"/>
    <w:rsid w:val="00764DAF"/>
    <w:rsid w:val="00764EF7"/>
    <w:rsid w:val="00765BC2"/>
    <w:rsid w:val="00770765"/>
    <w:rsid w:val="00771ADE"/>
    <w:rsid w:val="00771B62"/>
    <w:rsid w:val="00772CF4"/>
    <w:rsid w:val="0077386A"/>
    <w:rsid w:val="00774F17"/>
    <w:rsid w:val="00776FB6"/>
    <w:rsid w:val="007773E2"/>
    <w:rsid w:val="00777698"/>
    <w:rsid w:val="007777E6"/>
    <w:rsid w:val="00780212"/>
    <w:rsid w:val="0078122C"/>
    <w:rsid w:val="007816E1"/>
    <w:rsid w:val="0078192B"/>
    <w:rsid w:val="0078337F"/>
    <w:rsid w:val="00783703"/>
    <w:rsid w:val="00784F4E"/>
    <w:rsid w:val="007853ED"/>
    <w:rsid w:val="00785BD9"/>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0E09"/>
    <w:rsid w:val="007A1265"/>
    <w:rsid w:val="007A1C62"/>
    <w:rsid w:val="007A238A"/>
    <w:rsid w:val="007A2548"/>
    <w:rsid w:val="007A50D7"/>
    <w:rsid w:val="007A5685"/>
    <w:rsid w:val="007A6B7C"/>
    <w:rsid w:val="007B0D7A"/>
    <w:rsid w:val="007B105B"/>
    <w:rsid w:val="007B1A40"/>
    <w:rsid w:val="007B330C"/>
    <w:rsid w:val="007B3B09"/>
    <w:rsid w:val="007B46EC"/>
    <w:rsid w:val="007B4DA0"/>
    <w:rsid w:val="007B5128"/>
    <w:rsid w:val="007B6691"/>
    <w:rsid w:val="007B7275"/>
    <w:rsid w:val="007B7744"/>
    <w:rsid w:val="007C0025"/>
    <w:rsid w:val="007C06D7"/>
    <w:rsid w:val="007C0F09"/>
    <w:rsid w:val="007C14BE"/>
    <w:rsid w:val="007C1CE4"/>
    <w:rsid w:val="007C341F"/>
    <w:rsid w:val="007C34F6"/>
    <w:rsid w:val="007C3BA4"/>
    <w:rsid w:val="007C3DA2"/>
    <w:rsid w:val="007C4EEE"/>
    <w:rsid w:val="007C56FC"/>
    <w:rsid w:val="007C6142"/>
    <w:rsid w:val="007C7110"/>
    <w:rsid w:val="007C7EDA"/>
    <w:rsid w:val="007D0116"/>
    <w:rsid w:val="007D1AE8"/>
    <w:rsid w:val="007D1FD1"/>
    <w:rsid w:val="007D2306"/>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76F"/>
    <w:rsid w:val="007F7E67"/>
    <w:rsid w:val="00801927"/>
    <w:rsid w:val="00802ACC"/>
    <w:rsid w:val="00803263"/>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45C"/>
    <w:rsid w:val="00821648"/>
    <w:rsid w:val="008232C8"/>
    <w:rsid w:val="00823699"/>
    <w:rsid w:val="008244E3"/>
    <w:rsid w:val="008254AA"/>
    <w:rsid w:val="008261C3"/>
    <w:rsid w:val="008272EF"/>
    <w:rsid w:val="00827622"/>
    <w:rsid w:val="008300E7"/>
    <w:rsid w:val="00831B3D"/>
    <w:rsid w:val="0083228E"/>
    <w:rsid w:val="00832B64"/>
    <w:rsid w:val="008338EC"/>
    <w:rsid w:val="00834814"/>
    <w:rsid w:val="00834A08"/>
    <w:rsid w:val="008355D2"/>
    <w:rsid w:val="0083638D"/>
    <w:rsid w:val="00836702"/>
    <w:rsid w:val="00837AB1"/>
    <w:rsid w:val="00837E3B"/>
    <w:rsid w:val="00840CFB"/>
    <w:rsid w:val="008418FE"/>
    <w:rsid w:val="008426C6"/>
    <w:rsid w:val="0084421F"/>
    <w:rsid w:val="00844ABF"/>
    <w:rsid w:val="00845A09"/>
    <w:rsid w:val="00845E05"/>
    <w:rsid w:val="00846025"/>
    <w:rsid w:val="0084663C"/>
    <w:rsid w:val="0084669B"/>
    <w:rsid w:val="00847364"/>
    <w:rsid w:val="00850735"/>
    <w:rsid w:val="00851207"/>
    <w:rsid w:val="0085187B"/>
    <w:rsid w:val="008520E5"/>
    <w:rsid w:val="00852A67"/>
    <w:rsid w:val="0085465A"/>
    <w:rsid w:val="0085507D"/>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7B4"/>
    <w:rsid w:val="00873862"/>
    <w:rsid w:val="00876E8C"/>
    <w:rsid w:val="00877BC0"/>
    <w:rsid w:val="00881A27"/>
    <w:rsid w:val="00882659"/>
    <w:rsid w:val="008827A7"/>
    <w:rsid w:val="00884379"/>
    <w:rsid w:val="0088470E"/>
    <w:rsid w:val="00884985"/>
    <w:rsid w:val="00885BEC"/>
    <w:rsid w:val="00885F68"/>
    <w:rsid w:val="00886451"/>
    <w:rsid w:val="008906F3"/>
    <w:rsid w:val="0089212C"/>
    <w:rsid w:val="00892520"/>
    <w:rsid w:val="008942CA"/>
    <w:rsid w:val="008948DC"/>
    <w:rsid w:val="00895213"/>
    <w:rsid w:val="0089595B"/>
    <w:rsid w:val="00896299"/>
    <w:rsid w:val="00896CD7"/>
    <w:rsid w:val="008978DD"/>
    <w:rsid w:val="00897A6D"/>
    <w:rsid w:val="008A0B3E"/>
    <w:rsid w:val="008A1F10"/>
    <w:rsid w:val="008A288C"/>
    <w:rsid w:val="008A2EDB"/>
    <w:rsid w:val="008A3321"/>
    <w:rsid w:val="008A5E4E"/>
    <w:rsid w:val="008A6006"/>
    <w:rsid w:val="008A606D"/>
    <w:rsid w:val="008A66A7"/>
    <w:rsid w:val="008A6B5F"/>
    <w:rsid w:val="008A70F5"/>
    <w:rsid w:val="008A7CA1"/>
    <w:rsid w:val="008A7F35"/>
    <w:rsid w:val="008B0D24"/>
    <w:rsid w:val="008B25E3"/>
    <w:rsid w:val="008B3D6F"/>
    <w:rsid w:val="008B524D"/>
    <w:rsid w:val="008B6B95"/>
    <w:rsid w:val="008B7304"/>
    <w:rsid w:val="008B7B64"/>
    <w:rsid w:val="008C0615"/>
    <w:rsid w:val="008C10C0"/>
    <w:rsid w:val="008C1BAC"/>
    <w:rsid w:val="008C20FF"/>
    <w:rsid w:val="008C4586"/>
    <w:rsid w:val="008C4AE3"/>
    <w:rsid w:val="008C510E"/>
    <w:rsid w:val="008C589D"/>
    <w:rsid w:val="008C5DCB"/>
    <w:rsid w:val="008C5F34"/>
    <w:rsid w:val="008C69DB"/>
    <w:rsid w:val="008C7983"/>
    <w:rsid w:val="008C79FE"/>
    <w:rsid w:val="008D03EA"/>
    <w:rsid w:val="008D391C"/>
    <w:rsid w:val="008D3FE1"/>
    <w:rsid w:val="008D428E"/>
    <w:rsid w:val="008D4C23"/>
    <w:rsid w:val="008D5499"/>
    <w:rsid w:val="008D5784"/>
    <w:rsid w:val="008D712B"/>
    <w:rsid w:val="008E005F"/>
    <w:rsid w:val="008E00EF"/>
    <w:rsid w:val="008E0AD5"/>
    <w:rsid w:val="008E1390"/>
    <w:rsid w:val="008E13BF"/>
    <w:rsid w:val="008E1824"/>
    <w:rsid w:val="008E268D"/>
    <w:rsid w:val="008E30B0"/>
    <w:rsid w:val="008E4520"/>
    <w:rsid w:val="008E4B09"/>
    <w:rsid w:val="008E5C68"/>
    <w:rsid w:val="008E5E84"/>
    <w:rsid w:val="008E61BB"/>
    <w:rsid w:val="008E791C"/>
    <w:rsid w:val="008E7A0D"/>
    <w:rsid w:val="008E7D08"/>
    <w:rsid w:val="008F0360"/>
    <w:rsid w:val="008F1DFD"/>
    <w:rsid w:val="008F1F8B"/>
    <w:rsid w:val="008F21F0"/>
    <w:rsid w:val="008F2CAF"/>
    <w:rsid w:val="008F2DD6"/>
    <w:rsid w:val="008F3187"/>
    <w:rsid w:val="008F4C14"/>
    <w:rsid w:val="008F7306"/>
    <w:rsid w:val="008F7397"/>
    <w:rsid w:val="008F739E"/>
    <w:rsid w:val="008F7F79"/>
    <w:rsid w:val="009013D9"/>
    <w:rsid w:val="00902AA1"/>
    <w:rsid w:val="009041B6"/>
    <w:rsid w:val="00904733"/>
    <w:rsid w:val="009060E9"/>
    <w:rsid w:val="00906383"/>
    <w:rsid w:val="009067E4"/>
    <w:rsid w:val="009075DC"/>
    <w:rsid w:val="0090760E"/>
    <w:rsid w:val="00910E4B"/>
    <w:rsid w:val="00911969"/>
    <w:rsid w:val="00911D1B"/>
    <w:rsid w:val="00912ACA"/>
    <w:rsid w:val="009139C3"/>
    <w:rsid w:val="00914544"/>
    <w:rsid w:val="00914617"/>
    <w:rsid w:val="0091508E"/>
    <w:rsid w:val="009225E7"/>
    <w:rsid w:val="009234E7"/>
    <w:rsid w:val="009235FB"/>
    <w:rsid w:val="0092367C"/>
    <w:rsid w:val="009237D0"/>
    <w:rsid w:val="009243DE"/>
    <w:rsid w:val="009246C3"/>
    <w:rsid w:val="00924F80"/>
    <w:rsid w:val="0092521F"/>
    <w:rsid w:val="00925EB8"/>
    <w:rsid w:val="00926395"/>
    <w:rsid w:val="00926657"/>
    <w:rsid w:val="00926838"/>
    <w:rsid w:val="00926BB5"/>
    <w:rsid w:val="00926F84"/>
    <w:rsid w:val="00931AF0"/>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5DF1"/>
    <w:rsid w:val="00947B74"/>
    <w:rsid w:val="00947F23"/>
    <w:rsid w:val="00951391"/>
    <w:rsid w:val="009513F4"/>
    <w:rsid w:val="009517DD"/>
    <w:rsid w:val="0095409A"/>
    <w:rsid w:val="0095467F"/>
    <w:rsid w:val="0095533F"/>
    <w:rsid w:val="00955380"/>
    <w:rsid w:val="00955F63"/>
    <w:rsid w:val="00956F4F"/>
    <w:rsid w:val="009576BE"/>
    <w:rsid w:val="00960171"/>
    <w:rsid w:val="00961E05"/>
    <w:rsid w:val="00963942"/>
    <w:rsid w:val="009647FA"/>
    <w:rsid w:val="00965CEF"/>
    <w:rsid w:val="00966474"/>
    <w:rsid w:val="00966588"/>
    <w:rsid w:val="00966B10"/>
    <w:rsid w:val="00966C81"/>
    <w:rsid w:val="00966F57"/>
    <w:rsid w:val="00966FC0"/>
    <w:rsid w:val="00967449"/>
    <w:rsid w:val="00971C72"/>
    <w:rsid w:val="00972197"/>
    <w:rsid w:val="0097229E"/>
    <w:rsid w:val="009722A3"/>
    <w:rsid w:val="00972D2E"/>
    <w:rsid w:val="00975BAB"/>
    <w:rsid w:val="009760D8"/>
    <w:rsid w:val="0097689B"/>
    <w:rsid w:val="009773FF"/>
    <w:rsid w:val="009775C7"/>
    <w:rsid w:val="00980834"/>
    <w:rsid w:val="00980A58"/>
    <w:rsid w:val="0098299A"/>
    <w:rsid w:val="00983957"/>
    <w:rsid w:val="00983DD9"/>
    <w:rsid w:val="00984A44"/>
    <w:rsid w:val="00985F35"/>
    <w:rsid w:val="00985FF9"/>
    <w:rsid w:val="00987C56"/>
    <w:rsid w:val="00990297"/>
    <w:rsid w:val="00990591"/>
    <w:rsid w:val="00991A60"/>
    <w:rsid w:val="0099224E"/>
    <w:rsid w:val="00993BD7"/>
    <w:rsid w:val="00995BC5"/>
    <w:rsid w:val="00996D61"/>
    <w:rsid w:val="009973D1"/>
    <w:rsid w:val="009A0AD1"/>
    <w:rsid w:val="009A10FB"/>
    <w:rsid w:val="009A1FF8"/>
    <w:rsid w:val="009A2630"/>
    <w:rsid w:val="009A28EE"/>
    <w:rsid w:val="009A3260"/>
    <w:rsid w:val="009A33B2"/>
    <w:rsid w:val="009A429B"/>
    <w:rsid w:val="009A4C7C"/>
    <w:rsid w:val="009A6969"/>
    <w:rsid w:val="009A6E26"/>
    <w:rsid w:val="009A7BEE"/>
    <w:rsid w:val="009B0DB9"/>
    <w:rsid w:val="009B0E8E"/>
    <w:rsid w:val="009B0EB2"/>
    <w:rsid w:val="009B0EB3"/>
    <w:rsid w:val="009B1285"/>
    <w:rsid w:val="009B1F8B"/>
    <w:rsid w:val="009B234E"/>
    <w:rsid w:val="009B38A7"/>
    <w:rsid w:val="009B4BA8"/>
    <w:rsid w:val="009B5733"/>
    <w:rsid w:val="009B67C5"/>
    <w:rsid w:val="009C0CDB"/>
    <w:rsid w:val="009C109B"/>
    <w:rsid w:val="009C12C0"/>
    <w:rsid w:val="009C17B4"/>
    <w:rsid w:val="009C1C81"/>
    <w:rsid w:val="009C1DF9"/>
    <w:rsid w:val="009C28B1"/>
    <w:rsid w:val="009C3E90"/>
    <w:rsid w:val="009C403C"/>
    <w:rsid w:val="009C5049"/>
    <w:rsid w:val="009C55D9"/>
    <w:rsid w:val="009C60F0"/>
    <w:rsid w:val="009C6207"/>
    <w:rsid w:val="009C6355"/>
    <w:rsid w:val="009C6452"/>
    <w:rsid w:val="009C68F0"/>
    <w:rsid w:val="009C6954"/>
    <w:rsid w:val="009C6B2A"/>
    <w:rsid w:val="009D0FDD"/>
    <w:rsid w:val="009D172E"/>
    <w:rsid w:val="009D1CD4"/>
    <w:rsid w:val="009D1F78"/>
    <w:rsid w:val="009D2CBD"/>
    <w:rsid w:val="009D2F06"/>
    <w:rsid w:val="009D3492"/>
    <w:rsid w:val="009D4767"/>
    <w:rsid w:val="009D6790"/>
    <w:rsid w:val="009D7FA2"/>
    <w:rsid w:val="009E01FD"/>
    <w:rsid w:val="009E0B51"/>
    <w:rsid w:val="009E25B6"/>
    <w:rsid w:val="009E27EB"/>
    <w:rsid w:val="009E2B56"/>
    <w:rsid w:val="009E2C83"/>
    <w:rsid w:val="009E3D6F"/>
    <w:rsid w:val="009E40D0"/>
    <w:rsid w:val="009E5A09"/>
    <w:rsid w:val="009E758A"/>
    <w:rsid w:val="009F0584"/>
    <w:rsid w:val="009F16F6"/>
    <w:rsid w:val="009F2286"/>
    <w:rsid w:val="009F303B"/>
    <w:rsid w:val="009F3A4C"/>
    <w:rsid w:val="009F3D88"/>
    <w:rsid w:val="009F5360"/>
    <w:rsid w:val="009F6332"/>
    <w:rsid w:val="009F672F"/>
    <w:rsid w:val="00A0051F"/>
    <w:rsid w:val="00A00A07"/>
    <w:rsid w:val="00A02DD0"/>
    <w:rsid w:val="00A031E6"/>
    <w:rsid w:val="00A0341E"/>
    <w:rsid w:val="00A03C2C"/>
    <w:rsid w:val="00A0488E"/>
    <w:rsid w:val="00A04C7C"/>
    <w:rsid w:val="00A10F73"/>
    <w:rsid w:val="00A130CD"/>
    <w:rsid w:val="00A13807"/>
    <w:rsid w:val="00A1390B"/>
    <w:rsid w:val="00A148EB"/>
    <w:rsid w:val="00A14A3F"/>
    <w:rsid w:val="00A1527A"/>
    <w:rsid w:val="00A16E57"/>
    <w:rsid w:val="00A16FBB"/>
    <w:rsid w:val="00A17919"/>
    <w:rsid w:val="00A1796F"/>
    <w:rsid w:val="00A21717"/>
    <w:rsid w:val="00A2288B"/>
    <w:rsid w:val="00A22B03"/>
    <w:rsid w:val="00A24DEB"/>
    <w:rsid w:val="00A24F0A"/>
    <w:rsid w:val="00A27109"/>
    <w:rsid w:val="00A27290"/>
    <w:rsid w:val="00A27F45"/>
    <w:rsid w:val="00A27F4D"/>
    <w:rsid w:val="00A33718"/>
    <w:rsid w:val="00A339F5"/>
    <w:rsid w:val="00A3415A"/>
    <w:rsid w:val="00A344EB"/>
    <w:rsid w:val="00A354F2"/>
    <w:rsid w:val="00A35C7F"/>
    <w:rsid w:val="00A36F59"/>
    <w:rsid w:val="00A370FB"/>
    <w:rsid w:val="00A3719C"/>
    <w:rsid w:val="00A373A2"/>
    <w:rsid w:val="00A375DE"/>
    <w:rsid w:val="00A375F0"/>
    <w:rsid w:val="00A37C23"/>
    <w:rsid w:val="00A406BF"/>
    <w:rsid w:val="00A41041"/>
    <w:rsid w:val="00A42875"/>
    <w:rsid w:val="00A452AB"/>
    <w:rsid w:val="00A47A93"/>
    <w:rsid w:val="00A50417"/>
    <w:rsid w:val="00A52A23"/>
    <w:rsid w:val="00A52CE9"/>
    <w:rsid w:val="00A52FBE"/>
    <w:rsid w:val="00A546E9"/>
    <w:rsid w:val="00A55CD4"/>
    <w:rsid w:val="00A56213"/>
    <w:rsid w:val="00A56D01"/>
    <w:rsid w:val="00A57080"/>
    <w:rsid w:val="00A57BFE"/>
    <w:rsid w:val="00A635F6"/>
    <w:rsid w:val="00A63F4C"/>
    <w:rsid w:val="00A643B3"/>
    <w:rsid w:val="00A64C5C"/>
    <w:rsid w:val="00A67509"/>
    <w:rsid w:val="00A679F1"/>
    <w:rsid w:val="00A706E6"/>
    <w:rsid w:val="00A72C03"/>
    <w:rsid w:val="00A73253"/>
    <w:rsid w:val="00A75BCB"/>
    <w:rsid w:val="00A75C01"/>
    <w:rsid w:val="00A76BF9"/>
    <w:rsid w:val="00A76E2F"/>
    <w:rsid w:val="00A77667"/>
    <w:rsid w:val="00A8078F"/>
    <w:rsid w:val="00A81093"/>
    <w:rsid w:val="00A81383"/>
    <w:rsid w:val="00A817DE"/>
    <w:rsid w:val="00A82B18"/>
    <w:rsid w:val="00A83A43"/>
    <w:rsid w:val="00A83E17"/>
    <w:rsid w:val="00A84915"/>
    <w:rsid w:val="00A860B7"/>
    <w:rsid w:val="00A87832"/>
    <w:rsid w:val="00A92F14"/>
    <w:rsid w:val="00A943DE"/>
    <w:rsid w:val="00A949C8"/>
    <w:rsid w:val="00A950BE"/>
    <w:rsid w:val="00A9627B"/>
    <w:rsid w:val="00A962D0"/>
    <w:rsid w:val="00A96BA8"/>
    <w:rsid w:val="00A96FF2"/>
    <w:rsid w:val="00AA0A33"/>
    <w:rsid w:val="00AA0F3E"/>
    <w:rsid w:val="00AA2083"/>
    <w:rsid w:val="00AA20B4"/>
    <w:rsid w:val="00AA2435"/>
    <w:rsid w:val="00AA2549"/>
    <w:rsid w:val="00AA2591"/>
    <w:rsid w:val="00AA2EAD"/>
    <w:rsid w:val="00AA3023"/>
    <w:rsid w:val="00AA3302"/>
    <w:rsid w:val="00AA3626"/>
    <w:rsid w:val="00AA63DC"/>
    <w:rsid w:val="00AB036D"/>
    <w:rsid w:val="00AB1B73"/>
    <w:rsid w:val="00AB246C"/>
    <w:rsid w:val="00AB3379"/>
    <w:rsid w:val="00AB5D04"/>
    <w:rsid w:val="00AB5F0F"/>
    <w:rsid w:val="00AB6B68"/>
    <w:rsid w:val="00AB6DAC"/>
    <w:rsid w:val="00AB75F7"/>
    <w:rsid w:val="00AB7AC0"/>
    <w:rsid w:val="00AC0EFD"/>
    <w:rsid w:val="00AC2636"/>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035"/>
    <w:rsid w:val="00AE2220"/>
    <w:rsid w:val="00AE2BCB"/>
    <w:rsid w:val="00AE3316"/>
    <w:rsid w:val="00AE3CC8"/>
    <w:rsid w:val="00AE3CFA"/>
    <w:rsid w:val="00AE466B"/>
    <w:rsid w:val="00AE4C18"/>
    <w:rsid w:val="00AE517C"/>
    <w:rsid w:val="00AE6554"/>
    <w:rsid w:val="00AE6853"/>
    <w:rsid w:val="00AE69E3"/>
    <w:rsid w:val="00AE78FE"/>
    <w:rsid w:val="00AF0FA7"/>
    <w:rsid w:val="00AF15AC"/>
    <w:rsid w:val="00AF1C3B"/>
    <w:rsid w:val="00AF1E95"/>
    <w:rsid w:val="00AF207F"/>
    <w:rsid w:val="00AF2386"/>
    <w:rsid w:val="00AF2B4F"/>
    <w:rsid w:val="00AF3257"/>
    <w:rsid w:val="00AF34B0"/>
    <w:rsid w:val="00AF426F"/>
    <w:rsid w:val="00AF5CAD"/>
    <w:rsid w:val="00AF6283"/>
    <w:rsid w:val="00AF6327"/>
    <w:rsid w:val="00B01500"/>
    <w:rsid w:val="00B0164A"/>
    <w:rsid w:val="00B0213C"/>
    <w:rsid w:val="00B0263C"/>
    <w:rsid w:val="00B027A9"/>
    <w:rsid w:val="00B04D94"/>
    <w:rsid w:val="00B0701E"/>
    <w:rsid w:val="00B07E93"/>
    <w:rsid w:val="00B105AD"/>
    <w:rsid w:val="00B108F3"/>
    <w:rsid w:val="00B10D55"/>
    <w:rsid w:val="00B1463B"/>
    <w:rsid w:val="00B14D9B"/>
    <w:rsid w:val="00B14DE9"/>
    <w:rsid w:val="00B15E57"/>
    <w:rsid w:val="00B15EDE"/>
    <w:rsid w:val="00B17DEC"/>
    <w:rsid w:val="00B17F8A"/>
    <w:rsid w:val="00B20BBF"/>
    <w:rsid w:val="00B2223B"/>
    <w:rsid w:val="00B223B9"/>
    <w:rsid w:val="00B22DF8"/>
    <w:rsid w:val="00B23136"/>
    <w:rsid w:val="00B23A48"/>
    <w:rsid w:val="00B24CBD"/>
    <w:rsid w:val="00B2610F"/>
    <w:rsid w:val="00B266D7"/>
    <w:rsid w:val="00B27039"/>
    <w:rsid w:val="00B278E8"/>
    <w:rsid w:val="00B30725"/>
    <w:rsid w:val="00B31C09"/>
    <w:rsid w:val="00B3230D"/>
    <w:rsid w:val="00B32C85"/>
    <w:rsid w:val="00B3467C"/>
    <w:rsid w:val="00B35EE5"/>
    <w:rsid w:val="00B3683E"/>
    <w:rsid w:val="00B36A6E"/>
    <w:rsid w:val="00B373B1"/>
    <w:rsid w:val="00B401AC"/>
    <w:rsid w:val="00B41BEC"/>
    <w:rsid w:val="00B436BD"/>
    <w:rsid w:val="00B44620"/>
    <w:rsid w:val="00B4519A"/>
    <w:rsid w:val="00B4527B"/>
    <w:rsid w:val="00B45BFA"/>
    <w:rsid w:val="00B4622E"/>
    <w:rsid w:val="00B46243"/>
    <w:rsid w:val="00B46B5F"/>
    <w:rsid w:val="00B50B31"/>
    <w:rsid w:val="00B50E00"/>
    <w:rsid w:val="00B51D81"/>
    <w:rsid w:val="00B5217C"/>
    <w:rsid w:val="00B5579B"/>
    <w:rsid w:val="00B55D6C"/>
    <w:rsid w:val="00B56012"/>
    <w:rsid w:val="00B5640F"/>
    <w:rsid w:val="00B566E6"/>
    <w:rsid w:val="00B56E59"/>
    <w:rsid w:val="00B57332"/>
    <w:rsid w:val="00B57BEC"/>
    <w:rsid w:val="00B61568"/>
    <w:rsid w:val="00B62952"/>
    <w:rsid w:val="00B62B61"/>
    <w:rsid w:val="00B62D23"/>
    <w:rsid w:val="00B63675"/>
    <w:rsid w:val="00B63A0E"/>
    <w:rsid w:val="00B645E3"/>
    <w:rsid w:val="00B64BF6"/>
    <w:rsid w:val="00B64EDA"/>
    <w:rsid w:val="00B64F79"/>
    <w:rsid w:val="00B658A6"/>
    <w:rsid w:val="00B66F12"/>
    <w:rsid w:val="00B67D2F"/>
    <w:rsid w:val="00B7150D"/>
    <w:rsid w:val="00B7217C"/>
    <w:rsid w:val="00B72B8E"/>
    <w:rsid w:val="00B73F34"/>
    <w:rsid w:val="00B73FBB"/>
    <w:rsid w:val="00B74FBA"/>
    <w:rsid w:val="00B7633E"/>
    <w:rsid w:val="00B773FF"/>
    <w:rsid w:val="00B77EA2"/>
    <w:rsid w:val="00B81686"/>
    <w:rsid w:val="00B83055"/>
    <w:rsid w:val="00B8571D"/>
    <w:rsid w:val="00B86876"/>
    <w:rsid w:val="00B874A3"/>
    <w:rsid w:val="00B87598"/>
    <w:rsid w:val="00B878F6"/>
    <w:rsid w:val="00B906AA"/>
    <w:rsid w:val="00B908BF"/>
    <w:rsid w:val="00B92B85"/>
    <w:rsid w:val="00B93265"/>
    <w:rsid w:val="00B94A1E"/>
    <w:rsid w:val="00B965FD"/>
    <w:rsid w:val="00B96E00"/>
    <w:rsid w:val="00B97BA8"/>
    <w:rsid w:val="00BA0156"/>
    <w:rsid w:val="00BA01EC"/>
    <w:rsid w:val="00BA0530"/>
    <w:rsid w:val="00BA120F"/>
    <w:rsid w:val="00BA17EA"/>
    <w:rsid w:val="00BA18DA"/>
    <w:rsid w:val="00BA246B"/>
    <w:rsid w:val="00BA2D49"/>
    <w:rsid w:val="00BA34B2"/>
    <w:rsid w:val="00BA3C64"/>
    <w:rsid w:val="00BA4435"/>
    <w:rsid w:val="00BA49FE"/>
    <w:rsid w:val="00BA60D1"/>
    <w:rsid w:val="00BA6140"/>
    <w:rsid w:val="00BA6566"/>
    <w:rsid w:val="00BA6F03"/>
    <w:rsid w:val="00BA7B3C"/>
    <w:rsid w:val="00BB068C"/>
    <w:rsid w:val="00BB0E95"/>
    <w:rsid w:val="00BB1386"/>
    <w:rsid w:val="00BB2842"/>
    <w:rsid w:val="00BB2AB5"/>
    <w:rsid w:val="00BB37BE"/>
    <w:rsid w:val="00BB3B79"/>
    <w:rsid w:val="00BB3F1F"/>
    <w:rsid w:val="00BB45DD"/>
    <w:rsid w:val="00BB55D7"/>
    <w:rsid w:val="00BB56E2"/>
    <w:rsid w:val="00BB58AE"/>
    <w:rsid w:val="00BB6B94"/>
    <w:rsid w:val="00BB71E9"/>
    <w:rsid w:val="00BB75FC"/>
    <w:rsid w:val="00BB77FF"/>
    <w:rsid w:val="00BC0C2B"/>
    <w:rsid w:val="00BC13AC"/>
    <w:rsid w:val="00BC29F7"/>
    <w:rsid w:val="00BC2D15"/>
    <w:rsid w:val="00BC3351"/>
    <w:rsid w:val="00BC4460"/>
    <w:rsid w:val="00BC45CD"/>
    <w:rsid w:val="00BC48B1"/>
    <w:rsid w:val="00BC5A31"/>
    <w:rsid w:val="00BC6B8F"/>
    <w:rsid w:val="00BD050D"/>
    <w:rsid w:val="00BD094A"/>
    <w:rsid w:val="00BD0976"/>
    <w:rsid w:val="00BD0FA2"/>
    <w:rsid w:val="00BD1824"/>
    <w:rsid w:val="00BD265A"/>
    <w:rsid w:val="00BD3447"/>
    <w:rsid w:val="00BD3D5D"/>
    <w:rsid w:val="00BD4BAF"/>
    <w:rsid w:val="00BD50E5"/>
    <w:rsid w:val="00BD5285"/>
    <w:rsid w:val="00BD5D14"/>
    <w:rsid w:val="00BD61E5"/>
    <w:rsid w:val="00BD6611"/>
    <w:rsid w:val="00BD6B3D"/>
    <w:rsid w:val="00BD726F"/>
    <w:rsid w:val="00BE0B31"/>
    <w:rsid w:val="00BE1655"/>
    <w:rsid w:val="00BE165C"/>
    <w:rsid w:val="00BE1EE0"/>
    <w:rsid w:val="00BE2A55"/>
    <w:rsid w:val="00BE308C"/>
    <w:rsid w:val="00BE3682"/>
    <w:rsid w:val="00BE3AC1"/>
    <w:rsid w:val="00BE43D3"/>
    <w:rsid w:val="00BE4BDB"/>
    <w:rsid w:val="00BE540B"/>
    <w:rsid w:val="00BE57AC"/>
    <w:rsid w:val="00BE7C9B"/>
    <w:rsid w:val="00BF1551"/>
    <w:rsid w:val="00BF16FF"/>
    <w:rsid w:val="00BF21FE"/>
    <w:rsid w:val="00BF237A"/>
    <w:rsid w:val="00BF274B"/>
    <w:rsid w:val="00BF2C19"/>
    <w:rsid w:val="00BF303C"/>
    <w:rsid w:val="00BF328C"/>
    <w:rsid w:val="00BF3627"/>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1018E"/>
    <w:rsid w:val="00C10B0E"/>
    <w:rsid w:val="00C10DC6"/>
    <w:rsid w:val="00C11A4B"/>
    <w:rsid w:val="00C12ADD"/>
    <w:rsid w:val="00C12C7D"/>
    <w:rsid w:val="00C1478C"/>
    <w:rsid w:val="00C14D1F"/>
    <w:rsid w:val="00C15F53"/>
    <w:rsid w:val="00C16C86"/>
    <w:rsid w:val="00C17442"/>
    <w:rsid w:val="00C200A7"/>
    <w:rsid w:val="00C20A17"/>
    <w:rsid w:val="00C20DD3"/>
    <w:rsid w:val="00C21220"/>
    <w:rsid w:val="00C216CC"/>
    <w:rsid w:val="00C22377"/>
    <w:rsid w:val="00C22D7C"/>
    <w:rsid w:val="00C2328D"/>
    <w:rsid w:val="00C23367"/>
    <w:rsid w:val="00C23566"/>
    <w:rsid w:val="00C236BE"/>
    <w:rsid w:val="00C2532F"/>
    <w:rsid w:val="00C25F56"/>
    <w:rsid w:val="00C26681"/>
    <w:rsid w:val="00C269BA"/>
    <w:rsid w:val="00C31DDE"/>
    <w:rsid w:val="00C32CE6"/>
    <w:rsid w:val="00C34E59"/>
    <w:rsid w:val="00C34FCE"/>
    <w:rsid w:val="00C362B1"/>
    <w:rsid w:val="00C36E56"/>
    <w:rsid w:val="00C37A74"/>
    <w:rsid w:val="00C401B7"/>
    <w:rsid w:val="00C40716"/>
    <w:rsid w:val="00C409D7"/>
    <w:rsid w:val="00C40B5E"/>
    <w:rsid w:val="00C40D2D"/>
    <w:rsid w:val="00C41857"/>
    <w:rsid w:val="00C41D80"/>
    <w:rsid w:val="00C428C1"/>
    <w:rsid w:val="00C42D03"/>
    <w:rsid w:val="00C44C3F"/>
    <w:rsid w:val="00C46ACD"/>
    <w:rsid w:val="00C46BC7"/>
    <w:rsid w:val="00C4711F"/>
    <w:rsid w:val="00C4777A"/>
    <w:rsid w:val="00C47B61"/>
    <w:rsid w:val="00C50E6D"/>
    <w:rsid w:val="00C51203"/>
    <w:rsid w:val="00C51C0F"/>
    <w:rsid w:val="00C51E10"/>
    <w:rsid w:val="00C52206"/>
    <w:rsid w:val="00C52321"/>
    <w:rsid w:val="00C5236E"/>
    <w:rsid w:val="00C52DDE"/>
    <w:rsid w:val="00C54333"/>
    <w:rsid w:val="00C5538C"/>
    <w:rsid w:val="00C55508"/>
    <w:rsid w:val="00C5553B"/>
    <w:rsid w:val="00C55B2C"/>
    <w:rsid w:val="00C55BCD"/>
    <w:rsid w:val="00C56552"/>
    <w:rsid w:val="00C56D8E"/>
    <w:rsid w:val="00C57357"/>
    <w:rsid w:val="00C5786C"/>
    <w:rsid w:val="00C6018D"/>
    <w:rsid w:val="00C60C58"/>
    <w:rsid w:val="00C61CA0"/>
    <w:rsid w:val="00C6327D"/>
    <w:rsid w:val="00C63444"/>
    <w:rsid w:val="00C63832"/>
    <w:rsid w:val="00C63D7A"/>
    <w:rsid w:val="00C63E54"/>
    <w:rsid w:val="00C64106"/>
    <w:rsid w:val="00C64910"/>
    <w:rsid w:val="00C64F37"/>
    <w:rsid w:val="00C65285"/>
    <w:rsid w:val="00C65316"/>
    <w:rsid w:val="00C65753"/>
    <w:rsid w:val="00C65A08"/>
    <w:rsid w:val="00C662FA"/>
    <w:rsid w:val="00C665A7"/>
    <w:rsid w:val="00C6667C"/>
    <w:rsid w:val="00C6713F"/>
    <w:rsid w:val="00C707EF"/>
    <w:rsid w:val="00C70AD4"/>
    <w:rsid w:val="00C725AD"/>
    <w:rsid w:val="00C736E6"/>
    <w:rsid w:val="00C73C6C"/>
    <w:rsid w:val="00C75CDD"/>
    <w:rsid w:val="00C7683A"/>
    <w:rsid w:val="00C8021D"/>
    <w:rsid w:val="00C807B6"/>
    <w:rsid w:val="00C80B6B"/>
    <w:rsid w:val="00C8119A"/>
    <w:rsid w:val="00C83D1D"/>
    <w:rsid w:val="00C842AF"/>
    <w:rsid w:val="00C843DC"/>
    <w:rsid w:val="00C854E1"/>
    <w:rsid w:val="00C86ED6"/>
    <w:rsid w:val="00C87979"/>
    <w:rsid w:val="00C90FAD"/>
    <w:rsid w:val="00C91419"/>
    <w:rsid w:val="00C914FC"/>
    <w:rsid w:val="00C91AAE"/>
    <w:rsid w:val="00C92CD7"/>
    <w:rsid w:val="00C93259"/>
    <w:rsid w:val="00C93694"/>
    <w:rsid w:val="00C93962"/>
    <w:rsid w:val="00C94219"/>
    <w:rsid w:val="00C94277"/>
    <w:rsid w:val="00C9450A"/>
    <w:rsid w:val="00C94774"/>
    <w:rsid w:val="00C948B1"/>
    <w:rsid w:val="00C949EB"/>
    <w:rsid w:val="00C94AD8"/>
    <w:rsid w:val="00C968F0"/>
    <w:rsid w:val="00CA012D"/>
    <w:rsid w:val="00CA1F02"/>
    <w:rsid w:val="00CA3B3D"/>
    <w:rsid w:val="00CA54B6"/>
    <w:rsid w:val="00CA5B05"/>
    <w:rsid w:val="00CA6C90"/>
    <w:rsid w:val="00CA6F2E"/>
    <w:rsid w:val="00CA7F28"/>
    <w:rsid w:val="00CB0501"/>
    <w:rsid w:val="00CB089E"/>
    <w:rsid w:val="00CB0A6C"/>
    <w:rsid w:val="00CB148F"/>
    <w:rsid w:val="00CB1F21"/>
    <w:rsid w:val="00CB25A6"/>
    <w:rsid w:val="00CB26FE"/>
    <w:rsid w:val="00CB52AF"/>
    <w:rsid w:val="00CB6B51"/>
    <w:rsid w:val="00CB6E01"/>
    <w:rsid w:val="00CB7AE4"/>
    <w:rsid w:val="00CC04BC"/>
    <w:rsid w:val="00CC06B8"/>
    <w:rsid w:val="00CC1227"/>
    <w:rsid w:val="00CC1BCD"/>
    <w:rsid w:val="00CC216D"/>
    <w:rsid w:val="00CC29C6"/>
    <w:rsid w:val="00CC2B6B"/>
    <w:rsid w:val="00CC3417"/>
    <w:rsid w:val="00CC55C8"/>
    <w:rsid w:val="00CC5E19"/>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F0530"/>
    <w:rsid w:val="00CF098F"/>
    <w:rsid w:val="00CF1119"/>
    <w:rsid w:val="00CF1E44"/>
    <w:rsid w:val="00CF358D"/>
    <w:rsid w:val="00CF3C9D"/>
    <w:rsid w:val="00CF5213"/>
    <w:rsid w:val="00CF5719"/>
    <w:rsid w:val="00CF5DC3"/>
    <w:rsid w:val="00CF7001"/>
    <w:rsid w:val="00CF7048"/>
    <w:rsid w:val="00CF74F3"/>
    <w:rsid w:val="00D00D4C"/>
    <w:rsid w:val="00D01773"/>
    <w:rsid w:val="00D019CB"/>
    <w:rsid w:val="00D01B6A"/>
    <w:rsid w:val="00D0230E"/>
    <w:rsid w:val="00D04205"/>
    <w:rsid w:val="00D04753"/>
    <w:rsid w:val="00D04E42"/>
    <w:rsid w:val="00D04F24"/>
    <w:rsid w:val="00D051AB"/>
    <w:rsid w:val="00D065AC"/>
    <w:rsid w:val="00D0665D"/>
    <w:rsid w:val="00D0672D"/>
    <w:rsid w:val="00D0676D"/>
    <w:rsid w:val="00D071D9"/>
    <w:rsid w:val="00D077DA"/>
    <w:rsid w:val="00D07D2C"/>
    <w:rsid w:val="00D10C82"/>
    <w:rsid w:val="00D10E1C"/>
    <w:rsid w:val="00D111AF"/>
    <w:rsid w:val="00D125BF"/>
    <w:rsid w:val="00D1284F"/>
    <w:rsid w:val="00D1395F"/>
    <w:rsid w:val="00D13C2F"/>
    <w:rsid w:val="00D13EBA"/>
    <w:rsid w:val="00D1407E"/>
    <w:rsid w:val="00D15781"/>
    <w:rsid w:val="00D17241"/>
    <w:rsid w:val="00D173FD"/>
    <w:rsid w:val="00D1798E"/>
    <w:rsid w:val="00D203D3"/>
    <w:rsid w:val="00D21686"/>
    <w:rsid w:val="00D22E5B"/>
    <w:rsid w:val="00D231AA"/>
    <w:rsid w:val="00D242CA"/>
    <w:rsid w:val="00D24501"/>
    <w:rsid w:val="00D2550D"/>
    <w:rsid w:val="00D259DA"/>
    <w:rsid w:val="00D274CF"/>
    <w:rsid w:val="00D27F9C"/>
    <w:rsid w:val="00D306E1"/>
    <w:rsid w:val="00D307C6"/>
    <w:rsid w:val="00D3121C"/>
    <w:rsid w:val="00D3158F"/>
    <w:rsid w:val="00D33228"/>
    <w:rsid w:val="00D34B7B"/>
    <w:rsid w:val="00D34CB2"/>
    <w:rsid w:val="00D34F29"/>
    <w:rsid w:val="00D35801"/>
    <w:rsid w:val="00D37FB7"/>
    <w:rsid w:val="00D41FFC"/>
    <w:rsid w:val="00D42E34"/>
    <w:rsid w:val="00D430CB"/>
    <w:rsid w:val="00D43B6E"/>
    <w:rsid w:val="00D45FEB"/>
    <w:rsid w:val="00D463A0"/>
    <w:rsid w:val="00D5240F"/>
    <w:rsid w:val="00D541B1"/>
    <w:rsid w:val="00D54F72"/>
    <w:rsid w:val="00D5747F"/>
    <w:rsid w:val="00D60E8B"/>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7759B"/>
    <w:rsid w:val="00D808A4"/>
    <w:rsid w:val="00D82F5E"/>
    <w:rsid w:val="00D83BD3"/>
    <w:rsid w:val="00D83F66"/>
    <w:rsid w:val="00D847C4"/>
    <w:rsid w:val="00D8483D"/>
    <w:rsid w:val="00D85EAE"/>
    <w:rsid w:val="00D863C2"/>
    <w:rsid w:val="00D90FF4"/>
    <w:rsid w:val="00D916CF"/>
    <w:rsid w:val="00D93122"/>
    <w:rsid w:val="00D93A91"/>
    <w:rsid w:val="00D94101"/>
    <w:rsid w:val="00D95151"/>
    <w:rsid w:val="00D95A6D"/>
    <w:rsid w:val="00D97E81"/>
    <w:rsid w:val="00DA0153"/>
    <w:rsid w:val="00DA0331"/>
    <w:rsid w:val="00DA5026"/>
    <w:rsid w:val="00DA509F"/>
    <w:rsid w:val="00DA7469"/>
    <w:rsid w:val="00DA7D3D"/>
    <w:rsid w:val="00DB08C0"/>
    <w:rsid w:val="00DB0A6C"/>
    <w:rsid w:val="00DB0E0E"/>
    <w:rsid w:val="00DB2869"/>
    <w:rsid w:val="00DB301E"/>
    <w:rsid w:val="00DB4568"/>
    <w:rsid w:val="00DB5488"/>
    <w:rsid w:val="00DB64DC"/>
    <w:rsid w:val="00DB6710"/>
    <w:rsid w:val="00DB6949"/>
    <w:rsid w:val="00DB707C"/>
    <w:rsid w:val="00DC35E5"/>
    <w:rsid w:val="00DC3C34"/>
    <w:rsid w:val="00DC3F6F"/>
    <w:rsid w:val="00DC644D"/>
    <w:rsid w:val="00DC6CA9"/>
    <w:rsid w:val="00DC7537"/>
    <w:rsid w:val="00DC78A5"/>
    <w:rsid w:val="00DD0024"/>
    <w:rsid w:val="00DD0029"/>
    <w:rsid w:val="00DD0489"/>
    <w:rsid w:val="00DD07FD"/>
    <w:rsid w:val="00DD0ACB"/>
    <w:rsid w:val="00DD0EA5"/>
    <w:rsid w:val="00DD1136"/>
    <w:rsid w:val="00DD1DA9"/>
    <w:rsid w:val="00DD1DCF"/>
    <w:rsid w:val="00DD2250"/>
    <w:rsid w:val="00DD233F"/>
    <w:rsid w:val="00DD3BEB"/>
    <w:rsid w:val="00DD4985"/>
    <w:rsid w:val="00DD4EF5"/>
    <w:rsid w:val="00DD68D1"/>
    <w:rsid w:val="00DE07A6"/>
    <w:rsid w:val="00DE2318"/>
    <w:rsid w:val="00DE37B3"/>
    <w:rsid w:val="00DE3D55"/>
    <w:rsid w:val="00DE4F77"/>
    <w:rsid w:val="00DE595C"/>
    <w:rsid w:val="00DE69DD"/>
    <w:rsid w:val="00DE6A65"/>
    <w:rsid w:val="00DF1108"/>
    <w:rsid w:val="00DF1E8A"/>
    <w:rsid w:val="00DF20AA"/>
    <w:rsid w:val="00DF279F"/>
    <w:rsid w:val="00DF3335"/>
    <w:rsid w:val="00DF3628"/>
    <w:rsid w:val="00DF5529"/>
    <w:rsid w:val="00DF55B2"/>
    <w:rsid w:val="00DF5AC8"/>
    <w:rsid w:val="00DF5C77"/>
    <w:rsid w:val="00DF5D71"/>
    <w:rsid w:val="00DF6324"/>
    <w:rsid w:val="00DF6544"/>
    <w:rsid w:val="00DF6BA9"/>
    <w:rsid w:val="00DF7CB8"/>
    <w:rsid w:val="00DF7DCA"/>
    <w:rsid w:val="00E02CD1"/>
    <w:rsid w:val="00E02DCE"/>
    <w:rsid w:val="00E034F1"/>
    <w:rsid w:val="00E03641"/>
    <w:rsid w:val="00E0439A"/>
    <w:rsid w:val="00E04CE3"/>
    <w:rsid w:val="00E04F69"/>
    <w:rsid w:val="00E05014"/>
    <w:rsid w:val="00E054D8"/>
    <w:rsid w:val="00E060DE"/>
    <w:rsid w:val="00E078C5"/>
    <w:rsid w:val="00E104A8"/>
    <w:rsid w:val="00E10EF1"/>
    <w:rsid w:val="00E147DB"/>
    <w:rsid w:val="00E172F7"/>
    <w:rsid w:val="00E1747D"/>
    <w:rsid w:val="00E17ED9"/>
    <w:rsid w:val="00E20737"/>
    <w:rsid w:val="00E22BF1"/>
    <w:rsid w:val="00E22C54"/>
    <w:rsid w:val="00E26124"/>
    <w:rsid w:val="00E2622B"/>
    <w:rsid w:val="00E26E5A"/>
    <w:rsid w:val="00E2712A"/>
    <w:rsid w:val="00E27937"/>
    <w:rsid w:val="00E3143B"/>
    <w:rsid w:val="00E32941"/>
    <w:rsid w:val="00E332AB"/>
    <w:rsid w:val="00E332F6"/>
    <w:rsid w:val="00E33738"/>
    <w:rsid w:val="00E35091"/>
    <w:rsid w:val="00E3529D"/>
    <w:rsid w:val="00E3557F"/>
    <w:rsid w:val="00E35EC9"/>
    <w:rsid w:val="00E36103"/>
    <w:rsid w:val="00E361D9"/>
    <w:rsid w:val="00E369CA"/>
    <w:rsid w:val="00E3736A"/>
    <w:rsid w:val="00E373D7"/>
    <w:rsid w:val="00E37E5D"/>
    <w:rsid w:val="00E41290"/>
    <w:rsid w:val="00E41682"/>
    <w:rsid w:val="00E4193E"/>
    <w:rsid w:val="00E42118"/>
    <w:rsid w:val="00E4232C"/>
    <w:rsid w:val="00E423A8"/>
    <w:rsid w:val="00E4294C"/>
    <w:rsid w:val="00E42E09"/>
    <w:rsid w:val="00E42E37"/>
    <w:rsid w:val="00E43439"/>
    <w:rsid w:val="00E44025"/>
    <w:rsid w:val="00E46085"/>
    <w:rsid w:val="00E46107"/>
    <w:rsid w:val="00E4629B"/>
    <w:rsid w:val="00E51B87"/>
    <w:rsid w:val="00E52355"/>
    <w:rsid w:val="00E52F45"/>
    <w:rsid w:val="00E53AC8"/>
    <w:rsid w:val="00E53B8E"/>
    <w:rsid w:val="00E54077"/>
    <w:rsid w:val="00E54542"/>
    <w:rsid w:val="00E557AC"/>
    <w:rsid w:val="00E55BD4"/>
    <w:rsid w:val="00E56AE7"/>
    <w:rsid w:val="00E56EC1"/>
    <w:rsid w:val="00E607EC"/>
    <w:rsid w:val="00E60934"/>
    <w:rsid w:val="00E62F25"/>
    <w:rsid w:val="00E639C4"/>
    <w:rsid w:val="00E63C00"/>
    <w:rsid w:val="00E64B9A"/>
    <w:rsid w:val="00E65581"/>
    <w:rsid w:val="00E6776D"/>
    <w:rsid w:val="00E70958"/>
    <w:rsid w:val="00E712C4"/>
    <w:rsid w:val="00E71B57"/>
    <w:rsid w:val="00E720C5"/>
    <w:rsid w:val="00E73AC1"/>
    <w:rsid w:val="00E74183"/>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90E"/>
    <w:rsid w:val="00E94406"/>
    <w:rsid w:val="00E9506C"/>
    <w:rsid w:val="00E956C2"/>
    <w:rsid w:val="00E9581A"/>
    <w:rsid w:val="00E9590B"/>
    <w:rsid w:val="00E96B31"/>
    <w:rsid w:val="00E96E4D"/>
    <w:rsid w:val="00EA00EB"/>
    <w:rsid w:val="00EA0871"/>
    <w:rsid w:val="00EA10BF"/>
    <w:rsid w:val="00EA12D0"/>
    <w:rsid w:val="00EA1534"/>
    <w:rsid w:val="00EA22D8"/>
    <w:rsid w:val="00EA3D4A"/>
    <w:rsid w:val="00EA4F7C"/>
    <w:rsid w:val="00EA5149"/>
    <w:rsid w:val="00EA724E"/>
    <w:rsid w:val="00EA7A49"/>
    <w:rsid w:val="00EB07F5"/>
    <w:rsid w:val="00EB0B86"/>
    <w:rsid w:val="00EB41E1"/>
    <w:rsid w:val="00EB43E3"/>
    <w:rsid w:val="00EB4484"/>
    <w:rsid w:val="00EB4A70"/>
    <w:rsid w:val="00EB4F3B"/>
    <w:rsid w:val="00EB5CCA"/>
    <w:rsid w:val="00EC0779"/>
    <w:rsid w:val="00EC0897"/>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EA9"/>
    <w:rsid w:val="00EE21E9"/>
    <w:rsid w:val="00EE2746"/>
    <w:rsid w:val="00EE2E35"/>
    <w:rsid w:val="00EE3900"/>
    <w:rsid w:val="00EE4294"/>
    <w:rsid w:val="00EE42A9"/>
    <w:rsid w:val="00EE42BF"/>
    <w:rsid w:val="00EE4613"/>
    <w:rsid w:val="00EE4813"/>
    <w:rsid w:val="00EE4FC6"/>
    <w:rsid w:val="00EE5E3B"/>
    <w:rsid w:val="00EF00EC"/>
    <w:rsid w:val="00EF0976"/>
    <w:rsid w:val="00EF2085"/>
    <w:rsid w:val="00EF25FF"/>
    <w:rsid w:val="00EF3841"/>
    <w:rsid w:val="00EF3B62"/>
    <w:rsid w:val="00EF4FC8"/>
    <w:rsid w:val="00EF5C09"/>
    <w:rsid w:val="00EF5CC2"/>
    <w:rsid w:val="00EF6BC2"/>
    <w:rsid w:val="00EF6F01"/>
    <w:rsid w:val="00F00047"/>
    <w:rsid w:val="00F003F6"/>
    <w:rsid w:val="00F01262"/>
    <w:rsid w:val="00F01467"/>
    <w:rsid w:val="00F01C6A"/>
    <w:rsid w:val="00F01F78"/>
    <w:rsid w:val="00F04ABF"/>
    <w:rsid w:val="00F04E1C"/>
    <w:rsid w:val="00F04E4E"/>
    <w:rsid w:val="00F066B0"/>
    <w:rsid w:val="00F06938"/>
    <w:rsid w:val="00F06D30"/>
    <w:rsid w:val="00F06D9E"/>
    <w:rsid w:val="00F06FFD"/>
    <w:rsid w:val="00F1135C"/>
    <w:rsid w:val="00F11FB9"/>
    <w:rsid w:val="00F1300E"/>
    <w:rsid w:val="00F139A3"/>
    <w:rsid w:val="00F144A1"/>
    <w:rsid w:val="00F151DF"/>
    <w:rsid w:val="00F16E2F"/>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5CBF"/>
    <w:rsid w:val="00F37B02"/>
    <w:rsid w:val="00F400E2"/>
    <w:rsid w:val="00F40918"/>
    <w:rsid w:val="00F409F5"/>
    <w:rsid w:val="00F41B35"/>
    <w:rsid w:val="00F41E51"/>
    <w:rsid w:val="00F42412"/>
    <w:rsid w:val="00F43BE6"/>
    <w:rsid w:val="00F43E9B"/>
    <w:rsid w:val="00F443FC"/>
    <w:rsid w:val="00F4496E"/>
    <w:rsid w:val="00F45321"/>
    <w:rsid w:val="00F4532A"/>
    <w:rsid w:val="00F4555E"/>
    <w:rsid w:val="00F456FE"/>
    <w:rsid w:val="00F45A1F"/>
    <w:rsid w:val="00F45E6C"/>
    <w:rsid w:val="00F4681A"/>
    <w:rsid w:val="00F46C9B"/>
    <w:rsid w:val="00F46FCF"/>
    <w:rsid w:val="00F47257"/>
    <w:rsid w:val="00F47952"/>
    <w:rsid w:val="00F47BB1"/>
    <w:rsid w:val="00F5016E"/>
    <w:rsid w:val="00F514D0"/>
    <w:rsid w:val="00F52174"/>
    <w:rsid w:val="00F5297A"/>
    <w:rsid w:val="00F52CEC"/>
    <w:rsid w:val="00F52EB7"/>
    <w:rsid w:val="00F54EB2"/>
    <w:rsid w:val="00F56256"/>
    <w:rsid w:val="00F57641"/>
    <w:rsid w:val="00F57882"/>
    <w:rsid w:val="00F60B6E"/>
    <w:rsid w:val="00F60BF1"/>
    <w:rsid w:val="00F6120A"/>
    <w:rsid w:val="00F617A0"/>
    <w:rsid w:val="00F61E32"/>
    <w:rsid w:val="00F637CB"/>
    <w:rsid w:val="00F63A44"/>
    <w:rsid w:val="00F6470A"/>
    <w:rsid w:val="00F647C3"/>
    <w:rsid w:val="00F6607A"/>
    <w:rsid w:val="00F668C7"/>
    <w:rsid w:val="00F66F62"/>
    <w:rsid w:val="00F675CD"/>
    <w:rsid w:val="00F67965"/>
    <w:rsid w:val="00F71F79"/>
    <w:rsid w:val="00F7294B"/>
    <w:rsid w:val="00F74892"/>
    <w:rsid w:val="00F74A9E"/>
    <w:rsid w:val="00F7519D"/>
    <w:rsid w:val="00F7546C"/>
    <w:rsid w:val="00F7641D"/>
    <w:rsid w:val="00F76A25"/>
    <w:rsid w:val="00F76D9B"/>
    <w:rsid w:val="00F80B4C"/>
    <w:rsid w:val="00F80FF6"/>
    <w:rsid w:val="00F8418D"/>
    <w:rsid w:val="00F848A5"/>
    <w:rsid w:val="00F85D5F"/>
    <w:rsid w:val="00F85F00"/>
    <w:rsid w:val="00F86385"/>
    <w:rsid w:val="00F86691"/>
    <w:rsid w:val="00F87670"/>
    <w:rsid w:val="00F90CF4"/>
    <w:rsid w:val="00F91105"/>
    <w:rsid w:val="00F92EA1"/>
    <w:rsid w:val="00F939B7"/>
    <w:rsid w:val="00F94661"/>
    <w:rsid w:val="00F9505F"/>
    <w:rsid w:val="00F962FF"/>
    <w:rsid w:val="00F96CB9"/>
    <w:rsid w:val="00F96E34"/>
    <w:rsid w:val="00F97C77"/>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3234"/>
    <w:rsid w:val="00FB3767"/>
    <w:rsid w:val="00FB4B17"/>
    <w:rsid w:val="00FB4B89"/>
    <w:rsid w:val="00FB5474"/>
    <w:rsid w:val="00FC00AD"/>
    <w:rsid w:val="00FC1438"/>
    <w:rsid w:val="00FC172E"/>
    <w:rsid w:val="00FC295F"/>
    <w:rsid w:val="00FC2A51"/>
    <w:rsid w:val="00FC2F39"/>
    <w:rsid w:val="00FC47A6"/>
    <w:rsid w:val="00FC5841"/>
    <w:rsid w:val="00FC5E02"/>
    <w:rsid w:val="00FC605C"/>
    <w:rsid w:val="00FC6D07"/>
    <w:rsid w:val="00FC73B6"/>
    <w:rsid w:val="00FD00D4"/>
    <w:rsid w:val="00FD1025"/>
    <w:rsid w:val="00FD1570"/>
    <w:rsid w:val="00FD2477"/>
    <w:rsid w:val="00FD309A"/>
    <w:rsid w:val="00FD43FD"/>
    <w:rsid w:val="00FD4F62"/>
    <w:rsid w:val="00FD5488"/>
    <w:rsid w:val="00FD5B44"/>
    <w:rsid w:val="00FD7ACD"/>
    <w:rsid w:val="00FD7BB7"/>
    <w:rsid w:val="00FE2CFD"/>
    <w:rsid w:val="00FE3862"/>
    <w:rsid w:val="00FE41DF"/>
    <w:rsid w:val="00FE4E26"/>
    <w:rsid w:val="00FE7709"/>
    <w:rsid w:val="00FF08C2"/>
    <w:rsid w:val="00FF13E8"/>
    <w:rsid w:val="00FF2050"/>
    <w:rsid w:val="00FF2326"/>
    <w:rsid w:val="00FF3435"/>
    <w:rsid w:val="00FF3D0A"/>
    <w:rsid w:val="00FF44DF"/>
    <w:rsid w:val="00FF4648"/>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3F4C"/>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6E0FF1"/>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6E0FF1"/>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444FFE"/>
    <w:pPr>
      <w:ind w:left="1440"/>
    </w:pPr>
  </w:style>
  <w:style w:type="paragraph" w:styleId="TOC1">
    <w:name w:val="toc 1"/>
    <w:basedOn w:val="unjustifiedblock"/>
    <w:uiPriority w:val="39"/>
    <w:rsid w:val="00444FFE"/>
    <w:pPr>
      <w:keepLines/>
      <w:tabs>
        <w:tab w:val="left" w:leader="dot" w:pos="8640"/>
        <w:tab w:val="right" w:pos="9000"/>
      </w:tabs>
      <w:ind w:left="720" w:right="144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5164EE"/>
    <w:pPr>
      <w:keepNext/>
      <w:keepLines/>
      <w:spacing w:after="120" w:line="480" w:lineRule="auto"/>
    </w:pPr>
    <w:rPr>
      <w:rFonts w:ascii="Times New Roman" w:eastAsia="SimSun" w:hAnsi="Times New Roma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446DC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5164EE"/>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CC3417"/>
    <w:pPr>
      <w:spacing w:after="280" w:line="240" w:lineRule="auto"/>
      <w:ind w:left="1440" w:right="720" w:firstLine="0"/>
      <w:jc w:val="both"/>
    </w:pPr>
    <w:rPr>
      <w:iCs/>
      <w:color w:val="000000" w:themeColor="text1"/>
    </w:rPr>
  </w:style>
  <w:style w:type="character" w:customStyle="1" w:styleId="QuoteChar">
    <w:name w:val="Quote Char"/>
    <w:basedOn w:val="DefaultParagraphFont"/>
    <w:link w:val="Quote"/>
    <w:uiPriority w:val="29"/>
    <w:rsid w:val="00CC3417"/>
    <w:rPr>
      <w:rFonts w:ascii="Times New Roman" w:hAnsi="Times New Roman"/>
      <w:iCs/>
      <w:color w:val="000000" w:themeColor="text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3F4C"/>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6E0FF1"/>
    <w:pPr>
      <w:keepNext/>
      <w:keepLines/>
      <w:spacing w:after="32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after="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6E0FF1"/>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444FFE"/>
    <w:pPr>
      <w:ind w:left="1440"/>
    </w:pPr>
  </w:style>
  <w:style w:type="paragraph" w:styleId="TOC1">
    <w:name w:val="toc 1"/>
    <w:basedOn w:val="unjustifiedblock"/>
    <w:uiPriority w:val="39"/>
    <w:rsid w:val="00444FFE"/>
    <w:pPr>
      <w:keepLines/>
      <w:tabs>
        <w:tab w:val="left" w:leader="dot" w:pos="8640"/>
        <w:tab w:val="right" w:pos="9000"/>
      </w:tabs>
      <w:ind w:left="720" w:right="144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5164EE"/>
    <w:pPr>
      <w:keepNext/>
      <w:keepLines/>
      <w:spacing w:after="120" w:line="480" w:lineRule="auto"/>
    </w:pPr>
    <w:rPr>
      <w:rFonts w:ascii="Times New Roman" w:eastAsia="SimSun" w:hAnsi="Times New Roma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446DC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5164EE"/>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styleId="Quote">
    <w:name w:val="Quote"/>
    <w:basedOn w:val="Normal"/>
    <w:next w:val="Normal"/>
    <w:link w:val="QuoteChar"/>
    <w:uiPriority w:val="29"/>
    <w:qFormat/>
    <w:rsid w:val="00CC3417"/>
    <w:pPr>
      <w:spacing w:after="280" w:line="240" w:lineRule="auto"/>
      <w:ind w:left="1440" w:right="720" w:firstLine="0"/>
      <w:jc w:val="both"/>
    </w:pPr>
    <w:rPr>
      <w:iCs/>
      <w:color w:val="000000" w:themeColor="text1"/>
    </w:rPr>
  </w:style>
  <w:style w:type="character" w:customStyle="1" w:styleId="QuoteChar">
    <w:name w:val="Quote Char"/>
    <w:basedOn w:val="DefaultParagraphFont"/>
    <w:link w:val="Quote"/>
    <w:uiPriority w:val="29"/>
    <w:rsid w:val="00CC3417"/>
    <w:rPr>
      <w:rFonts w:ascii="Times New Roman" w:hAnsi="Times New Roman"/>
      <w:iCs/>
      <w:color w:val="000000" w:themeColor="text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474">
      <w:bodyDiv w:val="1"/>
      <w:marLeft w:val="0"/>
      <w:marRight w:val="0"/>
      <w:marTop w:val="0"/>
      <w:marBottom w:val="0"/>
      <w:divBdr>
        <w:top w:val="none" w:sz="0" w:space="0" w:color="auto"/>
        <w:left w:val="none" w:sz="0" w:space="0" w:color="auto"/>
        <w:bottom w:val="none" w:sz="0" w:space="0" w:color="auto"/>
        <w:right w:val="none" w:sz="0" w:space="0" w:color="auto"/>
      </w:divBdr>
    </w:div>
    <w:div w:id="166020074">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543490400">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901864745">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128087867">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5844733-0443-4E76-B4BC-AA118606DB07}">
  <ds:schemaRefs>
    <ds:schemaRef ds:uri="http://schemas.openxmlformats.org/officeDocument/2006/bibliography"/>
  </ds:schemaRefs>
</ds:datastoreItem>
</file>

<file path=customXml/itemProps2.xml><?xml version="1.0" encoding="utf-8"?>
<ds:datastoreItem xmlns:ds="http://schemas.openxmlformats.org/officeDocument/2006/customXml" ds:itemID="{5DF881CA-63FD-42BE-990B-C9F62EE609A5}"/>
</file>

<file path=customXml/itemProps3.xml><?xml version="1.0" encoding="utf-8"?>
<ds:datastoreItem xmlns:ds="http://schemas.openxmlformats.org/officeDocument/2006/customXml" ds:itemID="{C6AB8972-A470-4D14-BDC2-2A339DD7084D}"/>
</file>

<file path=customXml/itemProps4.xml><?xml version="1.0" encoding="utf-8"?>
<ds:datastoreItem xmlns:ds="http://schemas.openxmlformats.org/officeDocument/2006/customXml" ds:itemID="{BFEC1452-DE7B-4736-BA1E-637F440348ED}"/>
</file>

<file path=customXml/itemProps5.xml><?xml version="1.0" encoding="utf-8"?>
<ds:datastoreItem xmlns:ds="http://schemas.openxmlformats.org/officeDocument/2006/customXml" ds:itemID="{7D829ED5-C672-4610-A68F-7F9482EE2443}"/>
</file>

<file path=docProps/app.xml><?xml version="1.0" encoding="utf-8"?>
<Properties xmlns="http://schemas.openxmlformats.org/officeDocument/2006/extended-properties" xmlns:vt="http://schemas.openxmlformats.org/officeDocument/2006/docPropsVTypes">
  <Template>Normal.dotm</Template>
  <TotalTime>53</TotalTime>
  <Pages>64</Pages>
  <Words>12751</Words>
  <Characters>72681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85262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Kathie</dc:creator>
  <cp:lastModifiedBy>No Name</cp:lastModifiedBy>
  <cp:revision>9</cp:revision>
  <cp:lastPrinted>2017-08-08T20:22:00Z</cp:lastPrinted>
  <dcterms:created xsi:type="dcterms:W3CDTF">2017-08-07T18:46:00Z</dcterms:created>
  <dcterms:modified xsi:type="dcterms:W3CDTF">2017-08-08T20:28:00Z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