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92" w:rsidRPr="00FC5958" w:rsidRDefault="00995E92" w:rsidP="00FC5958">
      <w:pPr>
        <w:pStyle w:val="Answer"/>
        <w:spacing w:line="480" w:lineRule="auto"/>
        <w:ind w:left="0" w:firstLine="0"/>
        <w:jc w:val="left"/>
        <w:rPr>
          <w:b/>
          <w:caps/>
          <w:szCs w:val="24"/>
        </w:rPr>
      </w:pPr>
      <w:bookmarkStart w:id="0" w:name="_Toc329258124"/>
      <w:r w:rsidRPr="00FC5958">
        <w:rPr>
          <w:szCs w:val="24"/>
        </w:rPr>
        <w:t xml:space="preserve"> </w:t>
      </w:r>
      <w:bookmarkEnd w:id="0"/>
      <w:r w:rsidRPr="00FC5958">
        <w:rPr>
          <w:b/>
          <w:szCs w:val="24"/>
        </w:rPr>
        <w:t>COMMISSION’S FINDINGS FROM THE VNXX COMPLAINT</w:t>
      </w:r>
      <w:r w:rsidR="00FC5958">
        <w:rPr>
          <w:b/>
          <w:szCs w:val="24"/>
        </w:rPr>
        <w:t xml:space="preserve"> </w:t>
      </w:r>
      <w:r w:rsidRPr="00FC5958">
        <w:rPr>
          <w:b/>
          <w:szCs w:val="24"/>
        </w:rPr>
        <w:t>DOCKET</w:t>
      </w:r>
      <w:r w:rsidR="007A5EEE" w:rsidRPr="00FC5958">
        <w:rPr>
          <w:b/>
          <w:szCs w:val="24"/>
        </w:rPr>
        <w:t xml:space="preserve"> UT-063038</w:t>
      </w:r>
    </w:p>
    <w:p w:rsidR="00995E92" w:rsidRDefault="00995E92" w:rsidP="00995E92">
      <w:pPr>
        <w:widowControl/>
        <w:numPr>
          <w:ilvl w:val="0"/>
          <w:numId w:val="1"/>
        </w:numPr>
        <w:jc w:val="both"/>
        <w:rPr>
          <w:sz w:val="25"/>
          <w:szCs w:val="25"/>
        </w:rPr>
      </w:pPr>
      <w:r>
        <w:rPr>
          <w:sz w:val="25"/>
          <w:szCs w:val="25"/>
        </w:rPr>
        <w:t>In Washington, telephone calls are classified as local or interexchange based on geographic calling areas, not on the basis of assigned telephone numbers.  VNXX traffic does not originate and terminate within the same local calling area and is thus intrastate interexchange traffic subject to Commission determined compensation and not subject to section 251(b)(5) of the Act.  (Conclusions of Law 14).</w:t>
      </w:r>
    </w:p>
    <w:p w:rsidR="007A5EEE" w:rsidRPr="001F0CEE" w:rsidRDefault="007A5EEE" w:rsidP="007A5EEE">
      <w:pPr>
        <w:widowControl/>
        <w:ind w:left="720"/>
        <w:jc w:val="both"/>
        <w:rPr>
          <w:sz w:val="25"/>
          <w:szCs w:val="25"/>
        </w:rPr>
      </w:pPr>
    </w:p>
    <w:p w:rsidR="00995E92" w:rsidRPr="00A25368" w:rsidRDefault="00995E92" w:rsidP="00995E92">
      <w:pPr>
        <w:pStyle w:val="Q"/>
        <w:numPr>
          <w:ilvl w:val="0"/>
          <w:numId w:val="1"/>
        </w:numPr>
        <w:tabs>
          <w:tab w:val="clear" w:pos="1440"/>
        </w:tabs>
        <w:spacing w:line="240" w:lineRule="auto"/>
        <w:jc w:val="both"/>
        <w:rPr>
          <w:b w:val="0"/>
          <w:caps w:val="0"/>
          <w:szCs w:val="24"/>
          <w:u w:val="single"/>
        </w:rPr>
      </w:pPr>
      <w:r>
        <w:rPr>
          <w:b w:val="0"/>
          <w:caps w:val="0"/>
          <w:sz w:val="25"/>
          <w:szCs w:val="25"/>
        </w:rPr>
        <w:t>The A</w:t>
      </w:r>
      <w:r w:rsidRPr="00A25368">
        <w:rPr>
          <w:b w:val="0"/>
          <w:caps w:val="0"/>
          <w:sz w:val="25"/>
          <w:szCs w:val="25"/>
        </w:rPr>
        <w:t>ct preserved in section 251(g) the existing compensation scheme for interstate and intrastate interexchange and information access traffic, but under section 251(b)(5) required local exchange carriers to apply a new form of compensation, known as reciprocal compensation, to the transport and termination of telecommunications traffic.</w:t>
      </w:r>
      <w:r w:rsidRPr="00A25368">
        <w:rPr>
          <w:rStyle w:val="FootnoteReference"/>
          <w:b w:val="0"/>
          <w:sz w:val="25"/>
          <w:szCs w:val="25"/>
        </w:rPr>
        <w:t xml:space="preserve"> </w:t>
      </w:r>
      <w:r>
        <w:rPr>
          <w:b w:val="0"/>
          <w:caps w:val="0"/>
          <w:sz w:val="25"/>
          <w:szCs w:val="25"/>
        </w:rPr>
        <w:t xml:space="preserve"> The FCC</w:t>
      </w:r>
      <w:r w:rsidRPr="00A25368">
        <w:rPr>
          <w:b w:val="0"/>
          <w:caps w:val="0"/>
          <w:sz w:val="25"/>
          <w:szCs w:val="25"/>
        </w:rPr>
        <w:t xml:space="preserve"> determined that reciprocal compensation obligations under section 251(b)(5) apply only to traffic that originates and terminates within a local calling area, such that the customer initiating the call pays the originating carrier and the originating carrier must pay the terminating carrier for completing the call</w:t>
      </w:r>
      <w:r>
        <w:rPr>
          <w:b w:val="0"/>
          <w:caps w:val="0"/>
          <w:sz w:val="25"/>
          <w:szCs w:val="25"/>
        </w:rPr>
        <w:t>.  (¶ 18).</w:t>
      </w:r>
    </w:p>
    <w:p w:rsidR="00995E92" w:rsidRDefault="00995E92" w:rsidP="00995E92">
      <w:pPr>
        <w:pStyle w:val="Q"/>
        <w:tabs>
          <w:tab w:val="clear" w:pos="720"/>
          <w:tab w:val="left" w:pos="540"/>
        </w:tabs>
        <w:spacing w:line="240" w:lineRule="auto"/>
        <w:ind w:left="540" w:hanging="540"/>
        <w:jc w:val="both"/>
        <w:rPr>
          <w:b w:val="0"/>
          <w:caps w:val="0"/>
          <w:szCs w:val="24"/>
        </w:rPr>
      </w:pPr>
    </w:p>
    <w:p w:rsidR="00995E92" w:rsidRDefault="00995E92" w:rsidP="00995E92">
      <w:pPr>
        <w:widowControl/>
        <w:numPr>
          <w:ilvl w:val="0"/>
          <w:numId w:val="1"/>
        </w:numPr>
        <w:jc w:val="both"/>
        <w:rPr>
          <w:sz w:val="25"/>
          <w:szCs w:val="25"/>
        </w:rPr>
      </w:pPr>
      <w:r>
        <w:rPr>
          <w:sz w:val="25"/>
          <w:szCs w:val="25"/>
        </w:rPr>
        <w:t>Regulatory arbitrage is associated with VNXX ISP-bound traffic in Washington.  (Conclusions of Law 18).</w:t>
      </w:r>
    </w:p>
    <w:p w:rsidR="00995E92" w:rsidRDefault="00995E92" w:rsidP="00995E92">
      <w:pPr>
        <w:pStyle w:val="ListParagraph"/>
        <w:jc w:val="both"/>
        <w:rPr>
          <w:sz w:val="25"/>
          <w:szCs w:val="25"/>
        </w:rPr>
      </w:pPr>
    </w:p>
    <w:p w:rsidR="00995E92" w:rsidRDefault="00995E92" w:rsidP="00995E92">
      <w:pPr>
        <w:widowControl/>
        <w:numPr>
          <w:ilvl w:val="0"/>
          <w:numId w:val="1"/>
        </w:numPr>
        <w:jc w:val="both"/>
        <w:rPr>
          <w:sz w:val="25"/>
          <w:szCs w:val="25"/>
        </w:rPr>
      </w:pPr>
      <w:r>
        <w:rPr>
          <w:sz w:val="25"/>
          <w:szCs w:val="25"/>
        </w:rPr>
        <w:t>VNXX traffic is lawful under applicable state law if appropriate compensation is paid for the exchange of such traffic between carriers.  RCW 80.36.080, .140, .160, .170.  (Conclusions of Law 9).</w:t>
      </w:r>
    </w:p>
    <w:p w:rsidR="00995E92" w:rsidRDefault="00995E92" w:rsidP="00995E92">
      <w:pPr>
        <w:pStyle w:val="Q"/>
        <w:tabs>
          <w:tab w:val="clear" w:pos="720"/>
          <w:tab w:val="left" w:pos="540"/>
          <w:tab w:val="num" w:pos="1440"/>
        </w:tabs>
        <w:spacing w:line="240" w:lineRule="auto"/>
        <w:ind w:left="1440" w:hanging="2160"/>
        <w:jc w:val="both"/>
        <w:rPr>
          <w:caps w:val="0"/>
          <w:szCs w:val="24"/>
          <w:u w:val="single"/>
        </w:rPr>
      </w:pPr>
    </w:p>
    <w:p w:rsidR="00995E92" w:rsidRDefault="00995E92" w:rsidP="00995E92">
      <w:pPr>
        <w:widowControl/>
        <w:numPr>
          <w:ilvl w:val="0"/>
          <w:numId w:val="1"/>
        </w:numPr>
        <w:jc w:val="both"/>
        <w:rPr>
          <w:sz w:val="25"/>
          <w:szCs w:val="25"/>
        </w:rPr>
      </w:pPr>
      <w:r>
        <w:rPr>
          <w:sz w:val="25"/>
          <w:szCs w:val="25"/>
        </w:rPr>
        <w:t>Bill and keep for VNXX traffic is a workable compensation methodology and it is reasonably possible to distinguish between VNXX traffic and truly local traffic. (Findings of Fact 18).</w:t>
      </w:r>
    </w:p>
    <w:p w:rsidR="00995E92" w:rsidRDefault="00995E92" w:rsidP="00995E92">
      <w:pPr>
        <w:pStyle w:val="ListParagraph"/>
        <w:jc w:val="both"/>
        <w:rPr>
          <w:sz w:val="25"/>
          <w:szCs w:val="25"/>
        </w:rPr>
      </w:pPr>
    </w:p>
    <w:p w:rsidR="00995E92" w:rsidRDefault="00995E92" w:rsidP="00995E92">
      <w:pPr>
        <w:widowControl/>
        <w:numPr>
          <w:ilvl w:val="0"/>
          <w:numId w:val="1"/>
        </w:numPr>
        <w:jc w:val="both"/>
        <w:rPr>
          <w:sz w:val="25"/>
          <w:szCs w:val="25"/>
        </w:rPr>
      </w:pPr>
      <w:r>
        <w:rPr>
          <w:sz w:val="25"/>
          <w:szCs w:val="25"/>
        </w:rPr>
        <w:t>Bill and keep is a reasonable methodology to address intercarrier compensation for the exchange of VNXX traffic at fair, just and reasonable rates, provided that the CLEC bears the cost of transporting VNXX calls, except where it has built its own transport facilities, has procured alternative facilities from a third party, or uses special access services for transporting VNXX calls to and from a local calling area where it does not have switching services.  (Conclusions of Law 19).</w:t>
      </w:r>
    </w:p>
    <w:p w:rsidR="00995E92" w:rsidRDefault="00995E92" w:rsidP="00995E92">
      <w:pPr>
        <w:widowControl/>
        <w:spacing w:before="240" w:after="240" w:line="288" w:lineRule="auto"/>
        <w:rPr>
          <w:b/>
          <w:szCs w:val="24"/>
          <w:u w:val="single"/>
        </w:rPr>
      </w:pPr>
    </w:p>
    <w:p w:rsidR="007A5EEE" w:rsidRDefault="00995E92" w:rsidP="00995E92">
      <w:pPr>
        <w:pStyle w:val="Q"/>
        <w:tabs>
          <w:tab w:val="clear" w:pos="720"/>
          <w:tab w:val="left" w:pos="540"/>
        </w:tabs>
        <w:spacing w:line="480" w:lineRule="auto"/>
        <w:ind w:left="540" w:hanging="540"/>
        <w:jc w:val="both"/>
        <w:rPr>
          <w:caps w:val="0"/>
          <w:szCs w:val="24"/>
        </w:rPr>
      </w:pPr>
      <w:r>
        <w:rPr>
          <w:caps w:val="0"/>
          <w:szCs w:val="24"/>
        </w:rPr>
        <w:tab/>
      </w:r>
    </w:p>
    <w:p w:rsidR="007A5EEE" w:rsidRDefault="007A5EEE" w:rsidP="00995E92">
      <w:pPr>
        <w:pStyle w:val="Q"/>
        <w:tabs>
          <w:tab w:val="clear" w:pos="720"/>
          <w:tab w:val="left" w:pos="540"/>
        </w:tabs>
        <w:spacing w:line="480" w:lineRule="auto"/>
        <w:ind w:left="540" w:hanging="540"/>
        <w:jc w:val="both"/>
        <w:rPr>
          <w:caps w:val="0"/>
          <w:szCs w:val="24"/>
        </w:rPr>
      </w:pPr>
    </w:p>
    <w:p w:rsidR="00FC5958" w:rsidRDefault="00FC5958" w:rsidP="00995E92">
      <w:pPr>
        <w:pStyle w:val="Q"/>
        <w:tabs>
          <w:tab w:val="clear" w:pos="720"/>
          <w:tab w:val="left" w:pos="540"/>
        </w:tabs>
        <w:spacing w:line="480" w:lineRule="auto"/>
        <w:ind w:left="540" w:hanging="540"/>
        <w:jc w:val="both"/>
        <w:rPr>
          <w:caps w:val="0"/>
          <w:szCs w:val="24"/>
        </w:rPr>
      </w:pPr>
    </w:p>
    <w:p w:rsidR="007A5EEE" w:rsidRDefault="007A5EEE" w:rsidP="00995E92">
      <w:pPr>
        <w:pStyle w:val="Q"/>
        <w:tabs>
          <w:tab w:val="clear" w:pos="720"/>
          <w:tab w:val="left" w:pos="540"/>
        </w:tabs>
        <w:spacing w:line="480" w:lineRule="auto"/>
        <w:ind w:left="540" w:hanging="540"/>
        <w:jc w:val="both"/>
        <w:rPr>
          <w:caps w:val="0"/>
          <w:szCs w:val="24"/>
        </w:rPr>
      </w:pPr>
    </w:p>
    <w:p w:rsidR="00995E92" w:rsidRDefault="00995E92" w:rsidP="007A5EEE">
      <w:pPr>
        <w:pStyle w:val="Q"/>
        <w:tabs>
          <w:tab w:val="clear" w:pos="720"/>
          <w:tab w:val="left" w:pos="540"/>
        </w:tabs>
        <w:spacing w:line="240" w:lineRule="auto"/>
        <w:ind w:left="0" w:firstLine="0"/>
        <w:jc w:val="both"/>
        <w:rPr>
          <w:caps w:val="0"/>
          <w:szCs w:val="24"/>
        </w:rPr>
      </w:pPr>
      <w:r>
        <w:rPr>
          <w:caps w:val="0"/>
          <w:szCs w:val="24"/>
        </w:rPr>
        <w:lastRenderedPageBreak/>
        <w:t>KEY FINDINGS FROM THE NOVEMBER 14</w:t>
      </w:r>
      <w:r w:rsidRPr="00171AA3">
        <w:rPr>
          <w:caps w:val="0"/>
          <w:szCs w:val="24"/>
          <w:vertAlign w:val="superscript"/>
        </w:rPr>
        <w:t>TH</w:t>
      </w:r>
      <w:r>
        <w:rPr>
          <w:caps w:val="0"/>
          <w:szCs w:val="24"/>
        </w:rPr>
        <w:t>, 2011 ORDER IN THIS DOCKET</w:t>
      </w:r>
      <w:r w:rsidR="007A5EEE">
        <w:rPr>
          <w:caps w:val="0"/>
          <w:szCs w:val="24"/>
        </w:rPr>
        <w:t xml:space="preserve">, </w:t>
      </w:r>
      <w:r w:rsidR="00E51DA1">
        <w:rPr>
          <w:caps w:val="0"/>
          <w:szCs w:val="24"/>
        </w:rPr>
        <w:t>ORDER 12</w:t>
      </w:r>
      <w:r>
        <w:rPr>
          <w:caps w:val="0"/>
          <w:szCs w:val="24"/>
        </w:rPr>
        <w:t>.</w:t>
      </w:r>
    </w:p>
    <w:p w:rsidR="00995E92" w:rsidRDefault="00995E92" w:rsidP="00995E92">
      <w:pPr>
        <w:widowControl/>
        <w:numPr>
          <w:ilvl w:val="0"/>
          <w:numId w:val="2"/>
        </w:numPr>
        <w:spacing w:before="240" w:after="240"/>
        <w:jc w:val="both"/>
        <w:rPr>
          <w:sz w:val="25"/>
          <w:szCs w:val="25"/>
        </w:rPr>
      </w:pPr>
      <w:r w:rsidRPr="00A05C4C">
        <w:rPr>
          <w:sz w:val="25"/>
          <w:szCs w:val="25"/>
        </w:rPr>
        <w:t xml:space="preserve">Neither the </w:t>
      </w:r>
      <w:r w:rsidRPr="00A05C4C">
        <w:rPr>
          <w:i/>
          <w:sz w:val="25"/>
          <w:szCs w:val="25"/>
        </w:rPr>
        <w:t>ISP Remand Order</w:t>
      </w:r>
      <w:r w:rsidRPr="00A05C4C">
        <w:rPr>
          <w:sz w:val="25"/>
          <w:szCs w:val="25"/>
        </w:rPr>
        <w:t xml:space="preserve"> nor the </w:t>
      </w:r>
      <w:r w:rsidRPr="00A05C4C">
        <w:rPr>
          <w:i/>
          <w:sz w:val="25"/>
          <w:szCs w:val="25"/>
        </w:rPr>
        <w:t>Mandamus Order</w:t>
      </w:r>
      <w:r w:rsidRPr="00A05C4C">
        <w:rPr>
          <w:sz w:val="25"/>
          <w:szCs w:val="25"/>
        </w:rPr>
        <w:t xml:space="preserve"> eliminated the distinction between local and interexchange calls.  Rather those orders found that, even though ISP-bound calls within a local calling area fell under the reciprocal compen</w:t>
      </w:r>
      <w:r>
        <w:rPr>
          <w:sz w:val="25"/>
          <w:szCs w:val="25"/>
        </w:rPr>
        <w:t>sation provisions of section 251</w:t>
      </w:r>
      <w:r w:rsidRPr="00A05C4C">
        <w:rPr>
          <w:sz w:val="25"/>
          <w:szCs w:val="25"/>
        </w:rPr>
        <w:t xml:space="preserve">(b)(5), the calls were interstate calls under an end-to-end analysis.  Because those ISP-bound calls were interstate in nature, the FCC had the authority to set the rates for such calls under </w:t>
      </w:r>
      <w:r>
        <w:rPr>
          <w:sz w:val="25"/>
          <w:szCs w:val="25"/>
        </w:rPr>
        <w:t>s</w:t>
      </w:r>
      <w:r w:rsidRPr="00A05C4C">
        <w:rPr>
          <w:sz w:val="25"/>
          <w:szCs w:val="25"/>
        </w:rPr>
        <w:t xml:space="preserve">ection 201.  </w:t>
      </w:r>
      <w:r>
        <w:rPr>
          <w:sz w:val="25"/>
          <w:szCs w:val="25"/>
        </w:rPr>
        <w:t>We find n</w:t>
      </w:r>
      <w:r w:rsidRPr="00A05C4C">
        <w:rPr>
          <w:sz w:val="25"/>
          <w:szCs w:val="25"/>
        </w:rPr>
        <w:t xml:space="preserve">othing in the </w:t>
      </w:r>
      <w:r w:rsidRPr="00A05C4C">
        <w:rPr>
          <w:i/>
          <w:sz w:val="25"/>
          <w:szCs w:val="25"/>
        </w:rPr>
        <w:t>ISP Remand Order</w:t>
      </w:r>
      <w:r w:rsidRPr="00A05C4C">
        <w:rPr>
          <w:sz w:val="25"/>
          <w:szCs w:val="25"/>
        </w:rPr>
        <w:t xml:space="preserve"> or the </w:t>
      </w:r>
      <w:r w:rsidRPr="00A05C4C">
        <w:rPr>
          <w:i/>
          <w:sz w:val="25"/>
          <w:szCs w:val="25"/>
        </w:rPr>
        <w:t>Mandamus Order</w:t>
      </w:r>
      <w:r w:rsidRPr="00A05C4C">
        <w:rPr>
          <w:sz w:val="25"/>
          <w:szCs w:val="25"/>
        </w:rPr>
        <w:t xml:space="preserve"> </w:t>
      </w:r>
      <w:r>
        <w:rPr>
          <w:sz w:val="25"/>
          <w:szCs w:val="25"/>
        </w:rPr>
        <w:t>that affects our authority to classify intrastate VNXX traffic. (¶ 74)</w:t>
      </w:r>
    </w:p>
    <w:p w:rsidR="00995E92" w:rsidRDefault="00995E92" w:rsidP="00995E92">
      <w:pPr>
        <w:widowControl/>
        <w:numPr>
          <w:ilvl w:val="0"/>
          <w:numId w:val="2"/>
        </w:numPr>
        <w:spacing w:before="240" w:after="240"/>
        <w:jc w:val="both"/>
        <w:rPr>
          <w:sz w:val="25"/>
          <w:szCs w:val="25"/>
        </w:rPr>
      </w:pPr>
      <w:r>
        <w:rPr>
          <w:sz w:val="25"/>
          <w:szCs w:val="25"/>
        </w:rPr>
        <w:t xml:space="preserve">Furthermore, the rules for classifying calls as local or interexchange in Washington have been clearly delineated and understood by the parties.  When the CLEC’s adopted Qwest’s local calling areas by and through their interconnection agreements, we have to believe that they understood the financial implications of their actions.  No matter what innovative network or numbering arrangements have been made to facilitate ISP-bound traffic, calls are either local as defined by our rules or they are not.  If they terminate outside the callers local exchange, we treat them as interexchange in nature and require compensation as such.  This is the import of our </w:t>
      </w:r>
      <w:r w:rsidRPr="00F03570">
        <w:rPr>
          <w:i/>
          <w:sz w:val="25"/>
          <w:szCs w:val="25"/>
        </w:rPr>
        <w:t>Final VNXX Order</w:t>
      </w:r>
      <w:r>
        <w:rPr>
          <w:sz w:val="25"/>
          <w:szCs w:val="25"/>
        </w:rPr>
        <w:t xml:space="preserve"> and we believe our analysis then and now to be correct.  The CLECs should bear the cost of using Qwest’s network to serve their customers.  This is a fundamental principle of intercarrier compensation that is reflected in interconnection agreements between these parties and those of all other companies within our jurisdiction.  (¶ 77)</w:t>
      </w:r>
    </w:p>
    <w:p w:rsidR="00995E92" w:rsidRDefault="00995E92" w:rsidP="00995E92">
      <w:pPr>
        <w:widowControl/>
        <w:numPr>
          <w:ilvl w:val="0"/>
          <w:numId w:val="2"/>
        </w:numPr>
        <w:spacing w:before="240" w:after="240"/>
        <w:jc w:val="both"/>
        <w:rPr>
          <w:sz w:val="25"/>
          <w:szCs w:val="25"/>
        </w:rPr>
      </w:pPr>
      <w:r w:rsidRPr="00A05C4C">
        <w:rPr>
          <w:sz w:val="25"/>
          <w:szCs w:val="25"/>
        </w:rPr>
        <w:t>We determined above that</w:t>
      </w:r>
      <w:r>
        <w:rPr>
          <w:sz w:val="25"/>
          <w:szCs w:val="25"/>
        </w:rPr>
        <w:t>:</w:t>
      </w:r>
      <w:r w:rsidRPr="00A05C4C">
        <w:rPr>
          <w:sz w:val="25"/>
          <w:szCs w:val="25"/>
        </w:rPr>
        <w:t xml:space="preserve"> </w:t>
      </w:r>
      <w:r>
        <w:rPr>
          <w:sz w:val="25"/>
          <w:szCs w:val="25"/>
        </w:rPr>
        <w:t xml:space="preserve"> (1) </w:t>
      </w:r>
      <w:r w:rsidRPr="00A05C4C">
        <w:rPr>
          <w:sz w:val="25"/>
          <w:szCs w:val="25"/>
        </w:rPr>
        <w:t xml:space="preserve">the </w:t>
      </w:r>
      <w:r w:rsidRPr="00A05C4C">
        <w:rPr>
          <w:i/>
          <w:sz w:val="25"/>
          <w:szCs w:val="25"/>
        </w:rPr>
        <w:t>Mandamus Order</w:t>
      </w:r>
      <w:r w:rsidRPr="00A05C4C">
        <w:rPr>
          <w:sz w:val="25"/>
          <w:szCs w:val="25"/>
        </w:rPr>
        <w:t xml:space="preserve"> does not change the scope of the </w:t>
      </w:r>
      <w:r w:rsidRPr="00A05C4C">
        <w:rPr>
          <w:i/>
          <w:sz w:val="25"/>
          <w:szCs w:val="25"/>
        </w:rPr>
        <w:t>ISP Remand Orde</w:t>
      </w:r>
      <w:r>
        <w:rPr>
          <w:i/>
          <w:sz w:val="25"/>
          <w:szCs w:val="25"/>
        </w:rPr>
        <w:t>r</w:t>
      </w:r>
      <w:r w:rsidRPr="003F12BE">
        <w:rPr>
          <w:sz w:val="25"/>
          <w:szCs w:val="25"/>
        </w:rPr>
        <w:t xml:space="preserve"> and the </w:t>
      </w:r>
      <w:r>
        <w:rPr>
          <w:sz w:val="25"/>
          <w:szCs w:val="25"/>
        </w:rPr>
        <w:t xml:space="preserve">compensation scheme it created, which only applies </w:t>
      </w:r>
      <w:r w:rsidRPr="00A05C4C">
        <w:rPr>
          <w:sz w:val="25"/>
          <w:szCs w:val="25"/>
        </w:rPr>
        <w:t>to calls within a local calling area</w:t>
      </w:r>
      <w:r>
        <w:rPr>
          <w:sz w:val="25"/>
          <w:szCs w:val="25"/>
        </w:rPr>
        <w:t>;</w:t>
      </w:r>
      <w:r w:rsidRPr="00A05C4C">
        <w:rPr>
          <w:sz w:val="25"/>
          <w:szCs w:val="25"/>
        </w:rPr>
        <w:t xml:space="preserve"> </w:t>
      </w:r>
      <w:r>
        <w:rPr>
          <w:sz w:val="25"/>
          <w:szCs w:val="25"/>
        </w:rPr>
        <w:t xml:space="preserve">(2) </w:t>
      </w:r>
      <w:r w:rsidRPr="00A05C4C">
        <w:rPr>
          <w:sz w:val="25"/>
          <w:szCs w:val="25"/>
        </w:rPr>
        <w:t xml:space="preserve">that the </w:t>
      </w:r>
      <w:r>
        <w:rPr>
          <w:sz w:val="25"/>
          <w:szCs w:val="25"/>
        </w:rPr>
        <w:t>s</w:t>
      </w:r>
      <w:r w:rsidRPr="00A05C4C">
        <w:rPr>
          <w:sz w:val="25"/>
          <w:szCs w:val="25"/>
        </w:rPr>
        <w:t xml:space="preserve">ection 251(g) exclusion still applies to ISP-bound traffic outside of a local calling area, and </w:t>
      </w:r>
      <w:r>
        <w:rPr>
          <w:sz w:val="25"/>
          <w:szCs w:val="25"/>
        </w:rPr>
        <w:t xml:space="preserve">(3) </w:t>
      </w:r>
      <w:r w:rsidRPr="00A05C4C">
        <w:rPr>
          <w:sz w:val="25"/>
          <w:szCs w:val="25"/>
        </w:rPr>
        <w:t xml:space="preserve">that VNXX traffic does not originate and terminate within a local calling area. </w:t>
      </w:r>
      <w:r>
        <w:rPr>
          <w:sz w:val="25"/>
          <w:szCs w:val="25"/>
        </w:rPr>
        <w:t xml:space="preserve"> </w:t>
      </w:r>
      <w:r w:rsidRPr="00A05C4C">
        <w:rPr>
          <w:sz w:val="25"/>
          <w:szCs w:val="25"/>
        </w:rPr>
        <w:t xml:space="preserve">Thus, we find that the parties’ </w:t>
      </w:r>
      <w:r>
        <w:rPr>
          <w:sz w:val="25"/>
          <w:szCs w:val="25"/>
        </w:rPr>
        <w:t>interconnection agreements and amendments, which require</w:t>
      </w:r>
      <w:r w:rsidRPr="00A05C4C">
        <w:rPr>
          <w:sz w:val="25"/>
          <w:szCs w:val="25"/>
        </w:rPr>
        <w:t xml:space="preserve"> compensation at the rates set by the FCC, are not determinative of the rate for the </w:t>
      </w:r>
      <w:r>
        <w:rPr>
          <w:sz w:val="25"/>
          <w:szCs w:val="25"/>
        </w:rPr>
        <w:t xml:space="preserve">narrow </w:t>
      </w:r>
      <w:r w:rsidRPr="00A05C4C">
        <w:rPr>
          <w:sz w:val="25"/>
          <w:szCs w:val="25"/>
        </w:rPr>
        <w:t xml:space="preserve">scope of ISP-bound traffic at issue in this case.  Similarly, because we have found that VNXX ISP-bound traffic is subject to the </w:t>
      </w:r>
      <w:r>
        <w:rPr>
          <w:sz w:val="25"/>
          <w:szCs w:val="25"/>
        </w:rPr>
        <w:t>s</w:t>
      </w:r>
      <w:r w:rsidRPr="00A05C4C">
        <w:rPr>
          <w:sz w:val="25"/>
          <w:szCs w:val="25"/>
        </w:rPr>
        <w:t xml:space="preserve">ection 251(g) exclusion, the traffic is </w:t>
      </w:r>
      <w:r w:rsidRPr="00A05C4C">
        <w:rPr>
          <w:i/>
          <w:sz w:val="25"/>
          <w:szCs w:val="25"/>
        </w:rPr>
        <w:t>not s</w:t>
      </w:r>
      <w:r w:rsidRPr="00A05C4C">
        <w:rPr>
          <w:sz w:val="25"/>
          <w:szCs w:val="25"/>
        </w:rPr>
        <w:t xml:space="preserve">ubject to compensation under </w:t>
      </w:r>
      <w:r>
        <w:rPr>
          <w:sz w:val="25"/>
          <w:szCs w:val="25"/>
        </w:rPr>
        <w:t>s</w:t>
      </w:r>
      <w:r w:rsidRPr="00A05C4C">
        <w:rPr>
          <w:sz w:val="25"/>
          <w:szCs w:val="25"/>
        </w:rPr>
        <w:t xml:space="preserve">ection 251(b)(5).  </w:t>
      </w:r>
      <w:r>
        <w:rPr>
          <w:sz w:val="25"/>
          <w:szCs w:val="25"/>
        </w:rPr>
        <w:t>(¶ 90).</w:t>
      </w:r>
    </w:p>
    <w:p w:rsidR="007A5EEE" w:rsidRDefault="00995E92" w:rsidP="007A5EEE">
      <w:pPr>
        <w:widowControl/>
        <w:numPr>
          <w:ilvl w:val="0"/>
          <w:numId w:val="2"/>
        </w:numPr>
        <w:spacing w:before="240" w:after="240"/>
        <w:jc w:val="both"/>
        <w:rPr>
          <w:sz w:val="25"/>
          <w:szCs w:val="25"/>
        </w:rPr>
      </w:pPr>
      <w:r w:rsidRPr="00A05C4C">
        <w:rPr>
          <w:sz w:val="25"/>
          <w:szCs w:val="25"/>
        </w:rPr>
        <w:t xml:space="preserve">Under these terms, it appears that VNXX traffic does not meet the definitions of Exchange Service or Access Services, but does meet the definition of IntraLATA Toll. </w:t>
      </w:r>
      <w:r>
        <w:rPr>
          <w:sz w:val="25"/>
          <w:szCs w:val="25"/>
        </w:rPr>
        <w:t>(¶ 92).</w:t>
      </w:r>
    </w:p>
    <w:p w:rsidR="00995E92" w:rsidRPr="007A5EEE" w:rsidRDefault="00995E92" w:rsidP="007A5EEE">
      <w:pPr>
        <w:widowControl/>
        <w:numPr>
          <w:ilvl w:val="0"/>
          <w:numId w:val="2"/>
        </w:numPr>
        <w:spacing w:before="240" w:after="240"/>
        <w:jc w:val="both"/>
        <w:rPr>
          <w:sz w:val="25"/>
          <w:szCs w:val="25"/>
        </w:rPr>
      </w:pPr>
      <w:r w:rsidRPr="007A5EEE">
        <w:rPr>
          <w:sz w:val="25"/>
          <w:szCs w:val="25"/>
        </w:rPr>
        <w:t xml:space="preserve">In light of our finding that the VNXX traffic in question is IntraLATA Toll or Toll-like traffic under the agreements, and the parties’ disputes about the amount and type of traffic at issue, it is necessary to develop a full evidentiary record as to the exact location of the CLECs’ ISP modems, at the time of the traffic in question in this </w:t>
      </w:r>
      <w:r w:rsidRPr="007A5EEE">
        <w:rPr>
          <w:sz w:val="25"/>
          <w:szCs w:val="25"/>
        </w:rPr>
        <w:lastRenderedPageBreak/>
        <w:t>proceeding, in order to determine which traffic is subject to our jurisdiction and should be subject to such toll rates (¶ 96).</w:t>
      </w:r>
    </w:p>
    <w:p w:rsidR="001678C0" w:rsidRPr="00E51DA1" w:rsidRDefault="00E51DA1" w:rsidP="007A5EEE">
      <w:pPr>
        <w:widowControl/>
        <w:spacing w:before="240" w:after="240"/>
        <w:jc w:val="both"/>
        <w:rPr>
          <w:b/>
          <w:sz w:val="25"/>
          <w:szCs w:val="25"/>
        </w:rPr>
      </w:pPr>
      <w:r>
        <w:rPr>
          <w:b/>
          <w:sz w:val="25"/>
          <w:szCs w:val="25"/>
        </w:rPr>
        <w:t xml:space="preserve">FROM ORDER 13 IN THIS </w:t>
      </w:r>
      <w:r w:rsidR="007A5EEE">
        <w:rPr>
          <w:b/>
          <w:sz w:val="25"/>
          <w:szCs w:val="25"/>
        </w:rPr>
        <w:t>DOCKET – regarding the terms of the ICA</w:t>
      </w:r>
    </w:p>
    <w:p w:rsidR="001678C0" w:rsidRDefault="001678C0" w:rsidP="008B578D">
      <w:pPr>
        <w:widowControl/>
        <w:numPr>
          <w:ilvl w:val="0"/>
          <w:numId w:val="2"/>
        </w:numPr>
        <w:spacing w:before="240" w:after="120"/>
        <w:rPr>
          <w:sz w:val="25"/>
          <w:szCs w:val="25"/>
        </w:rPr>
      </w:pPr>
      <w:r>
        <w:rPr>
          <w:sz w:val="25"/>
          <w:szCs w:val="25"/>
        </w:rPr>
        <w:t xml:space="preserve">We do not read the definition of “telephone exchange service” to include the VNXX service the CLECs provide.  Neither do we read the portion of the definition which allows a “comparable service” to apply to the CLECs’ VNXX service.  A “comparable service” must still be provided “within an exchange or connected system of exchanges,” i.e., a local calling area. </w:t>
      </w:r>
      <w:r w:rsidR="008B578D">
        <w:rPr>
          <w:sz w:val="25"/>
          <w:szCs w:val="25"/>
        </w:rPr>
        <w:t xml:space="preserve"> </w:t>
      </w:r>
      <w:r>
        <w:rPr>
          <w:sz w:val="25"/>
          <w:szCs w:val="25"/>
        </w:rPr>
        <w:t>As we stated in Order 12, “[s]tate law distinguishes local and interexchange traffic based on the geographic endpoints of the call.”  However, these proceedings ultimately concern enforcement of the CLECs’ interconnection agreements with Qwest, and the terms of those agreements determine the compensation for the VNXX traffic at issue.  The CLECs ignore the actual terms of their agreements in their petition for reconsideration.  As we noted in Order 12, those agreements define the following types of service: “Exchange Service,” “Access Service,” and “Exchange Access (IntraLATA Toll)”.  While the Act may define “telephone exchange service,” the parties specifically defined the types of service allowed under the agreements, including “Exchange Service,” which determines the compensation due under the agreements.  We continue to find that these contractual definitions and terms control the outcome of this proceeding.  (¶ 15</w:t>
      </w:r>
      <w:r w:rsidR="008B578D">
        <w:rPr>
          <w:sz w:val="25"/>
          <w:szCs w:val="25"/>
        </w:rPr>
        <w:t>, internal footnotes omitted</w:t>
      </w:r>
      <w:r>
        <w:rPr>
          <w:sz w:val="25"/>
          <w:szCs w:val="25"/>
        </w:rPr>
        <w:t>).</w:t>
      </w:r>
    </w:p>
    <w:p w:rsidR="008B578D" w:rsidRPr="007A5EEE" w:rsidRDefault="008B578D" w:rsidP="007A5EEE">
      <w:pPr>
        <w:widowControl/>
        <w:spacing w:after="200" w:line="276" w:lineRule="auto"/>
        <w:rPr>
          <w:rFonts w:eastAsiaTheme="minorHAnsi"/>
          <w:b/>
          <w:color w:val="000000"/>
          <w:szCs w:val="24"/>
        </w:rPr>
      </w:pPr>
      <w:r>
        <w:rPr>
          <w:b/>
        </w:rPr>
        <w:t>FROM ORDER 18 IN THIS DOCKET</w:t>
      </w:r>
      <w:r w:rsidR="007A5EEE">
        <w:rPr>
          <w:b/>
        </w:rPr>
        <w:t xml:space="preserve"> – regarding jurisdiction</w:t>
      </w:r>
    </w:p>
    <w:p w:rsidR="008B578D" w:rsidRPr="008B578D" w:rsidRDefault="008B578D" w:rsidP="008B578D">
      <w:pPr>
        <w:pStyle w:val="Default"/>
        <w:numPr>
          <w:ilvl w:val="0"/>
          <w:numId w:val="2"/>
        </w:numPr>
        <w:rPr>
          <w:color w:val="auto"/>
          <w:sz w:val="25"/>
          <w:szCs w:val="25"/>
        </w:rPr>
      </w:pPr>
      <w:r w:rsidRPr="008B578D">
        <w:rPr>
          <w:sz w:val="25"/>
          <w:szCs w:val="25"/>
        </w:rPr>
        <w:t>The Commission is not attempting to set new rates for interstate traffic in this case. The District Court, fully aware of the authority the CLECs cite, remanded this case to the Commission so that the agency would apply state law to classify VNXX calls as within or outside a local calling area. The Commission did so in Order 12, finding that VNXX ISP-bound calls that were outside a local calling area should be classified as either intrastate toll or interstate traffic depending on the geographic or physical aspects of the origination and termination of such traffic. We see no reason to revisit our earlier decision. (¶ 18).</w:t>
      </w:r>
    </w:p>
    <w:p w:rsidR="008B578D" w:rsidRPr="008B578D" w:rsidRDefault="008B578D" w:rsidP="008B578D">
      <w:pPr>
        <w:pStyle w:val="Default"/>
        <w:ind w:left="720"/>
        <w:rPr>
          <w:color w:val="auto"/>
          <w:sz w:val="25"/>
          <w:szCs w:val="25"/>
        </w:rPr>
      </w:pPr>
    </w:p>
    <w:p w:rsidR="008B578D" w:rsidRPr="008B578D" w:rsidRDefault="008B578D" w:rsidP="008B578D">
      <w:pPr>
        <w:pStyle w:val="Default"/>
        <w:numPr>
          <w:ilvl w:val="0"/>
          <w:numId w:val="2"/>
        </w:numPr>
        <w:rPr>
          <w:color w:val="auto"/>
          <w:sz w:val="25"/>
          <w:szCs w:val="25"/>
        </w:rPr>
      </w:pPr>
      <w:r w:rsidRPr="008B578D">
        <w:rPr>
          <w:sz w:val="25"/>
          <w:szCs w:val="25"/>
        </w:rPr>
        <w:t xml:space="preserve">To be clear, the Commission is not asserting jurisdiction to set rates for ISP-bound calls that are interstate in nature. There is a clear distinction between our ratemaking authority and our powers of interpretation and enforcement under Section 252 of the </w:t>
      </w:r>
      <w:r w:rsidRPr="008B578D">
        <w:rPr>
          <w:color w:val="auto"/>
          <w:sz w:val="25"/>
          <w:szCs w:val="25"/>
        </w:rPr>
        <w:t xml:space="preserve">Act. </w:t>
      </w:r>
      <w:r w:rsidR="007A5EEE">
        <w:rPr>
          <w:color w:val="auto"/>
          <w:sz w:val="25"/>
          <w:szCs w:val="25"/>
        </w:rPr>
        <w:t xml:space="preserve"> </w:t>
      </w:r>
      <w:r w:rsidRPr="008B578D">
        <w:rPr>
          <w:color w:val="auto"/>
          <w:sz w:val="25"/>
          <w:szCs w:val="25"/>
        </w:rPr>
        <w:t>As the CLECs originally requested in 2005,</w:t>
      </w:r>
      <w:r w:rsidRPr="008B578D">
        <w:rPr>
          <w:color w:val="auto"/>
          <w:sz w:val="16"/>
          <w:szCs w:val="16"/>
        </w:rPr>
        <w:t xml:space="preserve"> </w:t>
      </w:r>
      <w:r w:rsidRPr="008B578D">
        <w:rPr>
          <w:color w:val="auto"/>
          <w:sz w:val="25"/>
          <w:szCs w:val="25"/>
        </w:rPr>
        <w:t>the Commission is exercising its authority under Section 252 of the Act to int</w:t>
      </w:r>
      <w:r w:rsidR="007A5EEE">
        <w:rPr>
          <w:color w:val="auto"/>
          <w:sz w:val="25"/>
          <w:szCs w:val="25"/>
        </w:rPr>
        <w:t xml:space="preserve">erpret and enforce the parties’ </w:t>
      </w:r>
      <w:r w:rsidRPr="008B578D">
        <w:rPr>
          <w:color w:val="auto"/>
          <w:sz w:val="25"/>
          <w:szCs w:val="25"/>
        </w:rPr>
        <w:t>ICAs,</w:t>
      </w:r>
      <w:r w:rsidR="007A5EEE">
        <w:rPr>
          <w:color w:val="auto"/>
          <w:sz w:val="25"/>
          <w:szCs w:val="25"/>
        </w:rPr>
        <w:t xml:space="preserve"> </w:t>
      </w:r>
      <w:r w:rsidRPr="008B578D">
        <w:rPr>
          <w:color w:val="auto"/>
          <w:sz w:val="25"/>
          <w:szCs w:val="25"/>
        </w:rPr>
        <w:t xml:space="preserve">including applying the appropriate compensation under the ICA, depending on the nature of the traffic. Significantly, the CLECs expressly acknowledge that Section 252 of the Act authorizes the Commission to apply the </w:t>
      </w:r>
      <w:r w:rsidR="007A5EEE">
        <w:rPr>
          <w:color w:val="auto"/>
          <w:sz w:val="25"/>
          <w:szCs w:val="25"/>
        </w:rPr>
        <w:t xml:space="preserve">rates set forth in the parties’ </w:t>
      </w:r>
      <w:r w:rsidRPr="008B578D">
        <w:rPr>
          <w:color w:val="auto"/>
          <w:sz w:val="25"/>
          <w:szCs w:val="25"/>
        </w:rPr>
        <w:t>ICAs to the traffic in question, whether intrastate or interstate.</w:t>
      </w:r>
      <w:r w:rsidRPr="008B578D">
        <w:rPr>
          <w:color w:val="auto"/>
          <w:sz w:val="16"/>
          <w:szCs w:val="16"/>
        </w:rPr>
        <w:t xml:space="preserve"> </w:t>
      </w:r>
      <w:r w:rsidR="007A5EEE">
        <w:rPr>
          <w:color w:val="auto"/>
          <w:sz w:val="16"/>
          <w:szCs w:val="16"/>
        </w:rPr>
        <w:t xml:space="preserve"> </w:t>
      </w:r>
      <w:r w:rsidRPr="008B578D">
        <w:rPr>
          <w:color w:val="auto"/>
          <w:sz w:val="25"/>
          <w:szCs w:val="25"/>
        </w:rPr>
        <w:t>In either case, the Commission has authority to interpret and enforce the compensation arran</w:t>
      </w:r>
      <w:r w:rsidR="007A5EEE">
        <w:rPr>
          <w:color w:val="auto"/>
          <w:sz w:val="25"/>
          <w:szCs w:val="25"/>
        </w:rPr>
        <w:t xml:space="preserve">gements set out in the parties’ </w:t>
      </w:r>
      <w:r w:rsidRPr="008B578D">
        <w:rPr>
          <w:color w:val="auto"/>
          <w:sz w:val="25"/>
          <w:szCs w:val="25"/>
        </w:rPr>
        <w:t xml:space="preserve">ICAs. </w:t>
      </w:r>
      <w:r w:rsidRPr="008B578D">
        <w:rPr>
          <w:sz w:val="25"/>
          <w:szCs w:val="25"/>
        </w:rPr>
        <w:t>(¶ 1</w:t>
      </w:r>
      <w:r>
        <w:rPr>
          <w:sz w:val="25"/>
          <w:szCs w:val="25"/>
        </w:rPr>
        <w:t>9</w:t>
      </w:r>
      <w:r w:rsidRPr="008B578D">
        <w:rPr>
          <w:sz w:val="25"/>
          <w:szCs w:val="25"/>
        </w:rPr>
        <w:t>).</w:t>
      </w:r>
    </w:p>
    <w:sectPr w:rsidR="008B578D" w:rsidRPr="008B578D" w:rsidSect="004D70D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6145" w:rsidRPr="00844F2E" w:rsidRDefault="00546145" w:rsidP="00995E92">
      <w:pPr>
        <w:rPr>
          <w:sz w:val="20"/>
        </w:rPr>
      </w:pPr>
      <w:r>
        <w:separator/>
      </w:r>
    </w:p>
  </w:endnote>
  <w:endnote w:type="continuationSeparator" w:id="0">
    <w:p w:rsidR="00546145" w:rsidRPr="00844F2E" w:rsidRDefault="00546145" w:rsidP="00995E92">
      <w:pPr>
        <w:rPr>
          <w:sz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2D2" w:rsidRPr="001322D2" w:rsidRDefault="001322D2" w:rsidP="001322D2">
    <w:pPr>
      <w:pStyle w:val="Footer"/>
      <w:jc w:val="center"/>
      <w:rPr>
        <w:sz w:val="20"/>
      </w:rPr>
    </w:pPr>
    <w:r>
      <w:rPr>
        <w:sz w:val="20"/>
      </w:rPr>
      <w:t>-</w:t>
    </w:r>
    <w:r w:rsidRPr="001322D2">
      <w:rPr>
        <w:sz w:val="20"/>
      </w:rPr>
      <w:fldChar w:fldCharType="begin"/>
    </w:r>
    <w:r w:rsidRPr="001322D2">
      <w:rPr>
        <w:sz w:val="20"/>
      </w:rPr>
      <w:instrText xml:space="preserve"> PAGE   \* MERGEFORMAT </w:instrText>
    </w:r>
    <w:r w:rsidRPr="001322D2">
      <w:rPr>
        <w:sz w:val="20"/>
      </w:rPr>
      <w:fldChar w:fldCharType="separate"/>
    </w:r>
    <w:r>
      <w:rPr>
        <w:noProof/>
        <w:sz w:val="20"/>
      </w:rPr>
      <w:t>2</w:t>
    </w:r>
    <w:r w:rsidRPr="001322D2">
      <w:rPr>
        <w:sz w:val="20"/>
      </w:rPr>
      <w:fldChar w:fldCharType="end"/>
    </w:r>
    <w:r>
      <w:rPr>
        <w:sz w:val="20"/>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6145" w:rsidRPr="00844F2E" w:rsidRDefault="00546145" w:rsidP="00995E92">
      <w:pPr>
        <w:rPr>
          <w:sz w:val="20"/>
        </w:rPr>
      </w:pPr>
      <w:r>
        <w:separator/>
      </w:r>
    </w:p>
  </w:footnote>
  <w:footnote w:type="continuationSeparator" w:id="0">
    <w:p w:rsidR="00546145" w:rsidRPr="00844F2E" w:rsidRDefault="00546145" w:rsidP="00995E92">
      <w:pPr>
        <w:rPr>
          <w:sz w:val="20"/>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958" w:rsidRDefault="00FC5958" w:rsidP="00FC5958">
    <w:pPr>
      <w:pStyle w:val="Header"/>
      <w:jc w:val="center"/>
    </w:pPr>
    <w:r>
      <w:t>APPENDIX B</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0416"/>
    <w:multiLevelType w:val="hybridMultilevel"/>
    <w:tmpl w:val="E206C5F0"/>
    <w:lvl w:ilvl="0" w:tplc="5B38F336">
      <w:start w:val="1"/>
      <w:numFmt w:val="decimal"/>
      <w:lvlText w:val="%1"/>
      <w:lvlJc w:val="left"/>
      <w:pPr>
        <w:tabs>
          <w:tab w:val="num" w:pos="0"/>
        </w:tabs>
        <w:ind w:left="0" w:hanging="1080"/>
      </w:pPr>
      <w:rPr>
        <w:rFonts w:hint="default"/>
        <w:b w:val="0"/>
        <w:i/>
        <w:color w:val="auto"/>
        <w:sz w:val="2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09D54F1"/>
    <w:multiLevelType w:val="hybridMultilevel"/>
    <w:tmpl w:val="86AA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146900"/>
    <w:multiLevelType w:val="hybridMultilevel"/>
    <w:tmpl w:val="F1E8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95E92"/>
    <w:rsid w:val="000001FC"/>
    <w:rsid w:val="00003841"/>
    <w:rsid w:val="0000399D"/>
    <w:rsid w:val="000044F6"/>
    <w:rsid w:val="00004538"/>
    <w:rsid w:val="00006AEF"/>
    <w:rsid w:val="00006FC2"/>
    <w:rsid w:val="0000722A"/>
    <w:rsid w:val="00007914"/>
    <w:rsid w:val="000108F8"/>
    <w:rsid w:val="000111D0"/>
    <w:rsid w:val="00012FB5"/>
    <w:rsid w:val="00013AE2"/>
    <w:rsid w:val="00013CCB"/>
    <w:rsid w:val="00015416"/>
    <w:rsid w:val="00017575"/>
    <w:rsid w:val="00021B2F"/>
    <w:rsid w:val="00021C6B"/>
    <w:rsid w:val="00022DFD"/>
    <w:rsid w:val="00023A4E"/>
    <w:rsid w:val="00023C06"/>
    <w:rsid w:val="00024AC8"/>
    <w:rsid w:val="0002650E"/>
    <w:rsid w:val="00027830"/>
    <w:rsid w:val="00027CAA"/>
    <w:rsid w:val="00033060"/>
    <w:rsid w:val="000330B2"/>
    <w:rsid w:val="000354E3"/>
    <w:rsid w:val="000366AB"/>
    <w:rsid w:val="00036A9A"/>
    <w:rsid w:val="000372C5"/>
    <w:rsid w:val="00037DBF"/>
    <w:rsid w:val="000420AD"/>
    <w:rsid w:val="000422CD"/>
    <w:rsid w:val="00042397"/>
    <w:rsid w:val="00042744"/>
    <w:rsid w:val="000501D7"/>
    <w:rsid w:val="00050675"/>
    <w:rsid w:val="00050E9B"/>
    <w:rsid w:val="00050EA6"/>
    <w:rsid w:val="000520F6"/>
    <w:rsid w:val="00053427"/>
    <w:rsid w:val="000608F3"/>
    <w:rsid w:val="000629FE"/>
    <w:rsid w:val="000633DE"/>
    <w:rsid w:val="00065E47"/>
    <w:rsid w:val="00065E94"/>
    <w:rsid w:val="00066739"/>
    <w:rsid w:val="00066AD7"/>
    <w:rsid w:val="00070ABE"/>
    <w:rsid w:val="00070DCD"/>
    <w:rsid w:val="00071C3D"/>
    <w:rsid w:val="00073A97"/>
    <w:rsid w:val="00076DDC"/>
    <w:rsid w:val="00076FC6"/>
    <w:rsid w:val="00077EF9"/>
    <w:rsid w:val="00081087"/>
    <w:rsid w:val="00084EF6"/>
    <w:rsid w:val="000857D3"/>
    <w:rsid w:val="0008587B"/>
    <w:rsid w:val="00085A79"/>
    <w:rsid w:val="0008614E"/>
    <w:rsid w:val="000864B6"/>
    <w:rsid w:val="000871AA"/>
    <w:rsid w:val="00087984"/>
    <w:rsid w:val="000917A3"/>
    <w:rsid w:val="00091FA6"/>
    <w:rsid w:val="0009206A"/>
    <w:rsid w:val="00093B80"/>
    <w:rsid w:val="000946F6"/>
    <w:rsid w:val="00094C6C"/>
    <w:rsid w:val="0009646D"/>
    <w:rsid w:val="00096814"/>
    <w:rsid w:val="00097A3D"/>
    <w:rsid w:val="000A04E8"/>
    <w:rsid w:val="000A0671"/>
    <w:rsid w:val="000A12BD"/>
    <w:rsid w:val="000A4509"/>
    <w:rsid w:val="000A4AFD"/>
    <w:rsid w:val="000A4B04"/>
    <w:rsid w:val="000A60CA"/>
    <w:rsid w:val="000A6AD9"/>
    <w:rsid w:val="000A709C"/>
    <w:rsid w:val="000A79D6"/>
    <w:rsid w:val="000B2F2F"/>
    <w:rsid w:val="000B32DD"/>
    <w:rsid w:val="000B55BF"/>
    <w:rsid w:val="000B5DA4"/>
    <w:rsid w:val="000B636D"/>
    <w:rsid w:val="000B7233"/>
    <w:rsid w:val="000B751B"/>
    <w:rsid w:val="000B7F1F"/>
    <w:rsid w:val="000C24AE"/>
    <w:rsid w:val="000C255D"/>
    <w:rsid w:val="000C32E8"/>
    <w:rsid w:val="000C4380"/>
    <w:rsid w:val="000C625C"/>
    <w:rsid w:val="000C62EA"/>
    <w:rsid w:val="000C653B"/>
    <w:rsid w:val="000D21D7"/>
    <w:rsid w:val="000D2F41"/>
    <w:rsid w:val="000D41DA"/>
    <w:rsid w:val="000D68B0"/>
    <w:rsid w:val="000D7996"/>
    <w:rsid w:val="000D7B45"/>
    <w:rsid w:val="000D7DF9"/>
    <w:rsid w:val="000E1869"/>
    <w:rsid w:val="000E29CE"/>
    <w:rsid w:val="000E2E6D"/>
    <w:rsid w:val="000E3BE4"/>
    <w:rsid w:val="000E3EB9"/>
    <w:rsid w:val="000E4A0E"/>
    <w:rsid w:val="000E5337"/>
    <w:rsid w:val="000E55B5"/>
    <w:rsid w:val="000E7C05"/>
    <w:rsid w:val="000F0667"/>
    <w:rsid w:val="000F1094"/>
    <w:rsid w:val="000F3A85"/>
    <w:rsid w:val="000F40F0"/>
    <w:rsid w:val="000F4E67"/>
    <w:rsid w:val="000F5B8D"/>
    <w:rsid w:val="000F6F3F"/>
    <w:rsid w:val="00100BF1"/>
    <w:rsid w:val="00102021"/>
    <w:rsid w:val="00102501"/>
    <w:rsid w:val="0010334E"/>
    <w:rsid w:val="0010492D"/>
    <w:rsid w:val="00104C09"/>
    <w:rsid w:val="001051F5"/>
    <w:rsid w:val="00105B18"/>
    <w:rsid w:val="00105D91"/>
    <w:rsid w:val="00106E9C"/>
    <w:rsid w:val="00106F28"/>
    <w:rsid w:val="00111371"/>
    <w:rsid w:val="0011204B"/>
    <w:rsid w:val="00114119"/>
    <w:rsid w:val="00114148"/>
    <w:rsid w:val="001166A0"/>
    <w:rsid w:val="001178DC"/>
    <w:rsid w:val="00117E3F"/>
    <w:rsid w:val="00123D1E"/>
    <w:rsid w:val="001245C3"/>
    <w:rsid w:val="00125551"/>
    <w:rsid w:val="001257F8"/>
    <w:rsid w:val="00125CF6"/>
    <w:rsid w:val="00125F92"/>
    <w:rsid w:val="00127737"/>
    <w:rsid w:val="00130197"/>
    <w:rsid w:val="00130F15"/>
    <w:rsid w:val="001322D2"/>
    <w:rsid w:val="001329D6"/>
    <w:rsid w:val="00134810"/>
    <w:rsid w:val="00134A26"/>
    <w:rsid w:val="00134A5D"/>
    <w:rsid w:val="00134E62"/>
    <w:rsid w:val="00135280"/>
    <w:rsid w:val="001362C3"/>
    <w:rsid w:val="00136758"/>
    <w:rsid w:val="00141C10"/>
    <w:rsid w:val="0014228E"/>
    <w:rsid w:val="0014305A"/>
    <w:rsid w:val="001463B9"/>
    <w:rsid w:val="0014645C"/>
    <w:rsid w:val="00147FF8"/>
    <w:rsid w:val="00150B35"/>
    <w:rsid w:val="001512D2"/>
    <w:rsid w:val="001519F9"/>
    <w:rsid w:val="00151EB7"/>
    <w:rsid w:val="00151EE3"/>
    <w:rsid w:val="00152A63"/>
    <w:rsid w:val="001540E1"/>
    <w:rsid w:val="0015430D"/>
    <w:rsid w:val="001577F0"/>
    <w:rsid w:val="00157FC5"/>
    <w:rsid w:val="00160161"/>
    <w:rsid w:val="001603F4"/>
    <w:rsid w:val="00161275"/>
    <w:rsid w:val="00161AC9"/>
    <w:rsid w:val="0016256C"/>
    <w:rsid w:val="00163E5E"/>
    <w:rsid w:val="001646A1"/>
    <w:rsid w:val="00164A0A"/>
    <w:rsid w:val="001678C0"/>
    <w:rsid w:val="00170283"/>
    <w:rsid w:val="00172B8F"/>
    <w:rsid w:val="00173406"/>
    <w:rsid w:val="00173E1D"/>
    <w:rsid w:val="00174764"/>
    <w:rsid w:val="00175913"/>
    <w:rsid w:val="001768A2"/>
    <w:rsid w:val="00182E74"/>
    <w:rsid w:val="0018359C"/>
    <w:rsid w:val="001846E3"/>
    <w:rsid w:val="001851A7"/>
    <w:rsid w:val="00185281"/>
    <w:rsid w:val="001916DF"/>
    <w:rsid w:val="001920E6"/>
    <w:rsid w:val="00192308"/>
    <w:rsid w:val="00193B4A"/>
    <w:rsid w:val="00194E9E"/>
    <w:rsid w:val="00194EB8"/>
    <w:rsid w:val="00195AD0"/>
    <w:rsid w:val="00195DE6"/>
    <w:rsid w:val="00196BFB"/>
    <w:rsid w:val="00196C33"/>
    <w:rsid w:val="00196F9B"/>
    <w:rsid w:val="0019709C"/>
    <w:rsid w:val="001A0980"/>
    <w:rsid w:val="001A170F"/>
    <w:rsid w:val="001A17DD"/>
    <w:rsid w:val="001A4ABE"/>
    <w:rsid w:val="001A4CDB"/>
    <w:rsid w:val="001B050D"/>
    <w:rsid w:val="001B0957"/>
    <w:rsid w:val="001B0F8A"/>
    <w:rsid w:val="001B3038"/>
    <w:rsid w:val="001B4C9C"/>
    <w:rsid w:val="001B6EC6"/>
    <w:rsid w:val="001B73E9"/>
    <w:rsid w:val="001C0E0A"/>
    <w:rsid w:val="001C15F6"/>
    <w:rsid w:val="001C1DA2"/>
    <w:rsid w:val="001C2682"/>
    <w:rsid w:val="001C38EF"/>
    <w:rsid w:val="001C5480"/>
    <w:rsid w:val="001C63EC"/>
    <w:rsid w:val="001C6A2A"/>
    <w:rsid w:val="001C6B25"/>
    <w:rsid w:val="001C7158"/>
    <w:rsid w:val="001D029C"/>
    <w:rsid w:val="001D05BB"/>
    <w:rsid w:val="001D3626"/>
    <w:rsid w:val="001D3738"/>
    <w:rsid w:val="001D454B"/>
    <w:rsid w:val="001D640C"/>
    <w:rsid w:val="001D6872"/>
    <w:rsid w:val="001D68E2"/>
    <w:rsid w:val="001D7024"/>
    <w:rsid w:val="001E086D"/>
    <w:rsid w:val="001E11B9"/>
    <w:rsid w:val="001E1B79"/>
    <w:rsid w:val="001E1CBA"/>
    <w:rsid w:val="001E2436"/>
    <w:rsid w:val="001E7853"/>
    <w:rsid w:val="001F2B85"/>
    <w:rsid w:val="001F49F7"/>
    <w:rsid w:val="001F6665"/>
    <w:rsid w:val="001F7883"/>
    <w:rsid w:val="00201D2C"/>
    <w:rsid w:val="00205551"/>
    <w:rsid w:val="00205B65"/>
    <w:rsid w:val="00205E73"/>
    <w:rsid w:val="00206013"/>
    <w:rsid w:val="00206B2B"/>
    <w:rsid w:val="002113D6"/>
    <w:rsid w:val="00211644"/>
    <w:rsid w:val="00212AB6"/>
    <w:rsid w:val="002140DF"/>
    <w:rsid w:val="00214F2B"/>
    <w:rsid w:val="00215E10"/>
    <w:rsid w:val="00217774"/>
    <w:rsid w:val="0022196E"/>
    <w:rsid w:val="00231F3F"/>
    <w:rsid w:val="0023349C"/>
    <w:rsid w:val="002337B9"/>
    <w:rsid w:val="00235C14"/>
    <w:rsid w:val="002402D3"/>
    <w:rsid w:val="00241ACE"/>
    <w:rsid w:val="002433E8"/>
    <w:rsid w:val="00243A09"/>
    <w:rsid w:val="0024579C"/>
    <w:rsid w:val="00246C92"/>
    <w:rsid w:val="0024784D"/>
    <w:rsid w:val="00247A4C"/>
    <w:rsid w:val="00250813"/>
    <w:rsid w:val="0025099A"/>
    <w:rsid w:val="0025134B"/>
    <w:rsid w:val="00251487"/>
    <w:rsid w:val="0025253B"/>
    <w:rsid w:val="00253C81"/>
    <w:rsid w:val="00255D3C"/>
    <w:rsid w:val="00255E22"/>
    <w:rsid w:val="0026499E"/>
    <w:rsid w:val="00270859"/>
    <w:rsid w:val="00270E98"/>
    <w:rsid w:val="002736B0"/>
    <w:rsid w:val="0027377A"/>
    <w:rsid w:val="00273C67"/>
    <w:rsid w:val="002744D3"/>
    <w:rsid w:val="002747F2"/>
    <w:rsid w:val="00276FA2"/>
    <w:rsid w:val="00280379"/>
    <w:rsid w:val="00281C85"/>
    <w:rsid w:val="002853F5"/>
    <w:rsid w:val="00285C68"/>
    <w:rsid w:val="002860F9"/>
    <w:rsid w:val="002866C0"/>
    <w:rsid w:val="0028721C"/>
    <w:rsid w:val="00287A26"/>
    <w:rsid w:val="00287FD2"/>
    <w:rsid w:val="0029023A"/>
    <w:rsid w:val="00291511"/>
    <w:rsid w:val="00291F1A"/>
    <w:rsid w:val="00294327"/>
    <w:rsid w:val="00295F7C"/>
    <w:rsid w:val="0029735E"/>
    <w:rsid w:val="00297499"/>
    <w:rsid w:val="00297AC8"/>
    <w:rsid w:val="002A0C98"/>
    <w:rsid w:val="002A303E"/>
    <w:rsid w:val="002A39D9"/>
    <w:rsid w:val="002A6E40"/>
    <w:rsid w:val="002B01EF"/>
    <w:rsid w:val="002B0BB2"/>
    <w:rsid w:val="002B188E"/>
    <w:rsid w:val="002B3712"/>
    <w:rsid w:val="002B779F"/>
    <w:rsid w:val="002B77B8"/>
    <w:rsid w:val="002C1198"/>
    <w:rsid w:val="002C1459"/>
    <w:rsid w:val="002C151D"/>
    <w:rsid w:val="002C17C0"/>
    <w:rsid w:val="002C180F"/>
    <w:rsid w:val="002C30D1"/>
    <w:rsid w:val="002C44CD"/>
    <w:rsid w:val="002C463E"/>
    <w:rsid w:val="002C720A"/>
    <w:rsid w:val="002C734C"/>
    <w:rsid w:val="002C7871"/>
    <w:rsid w:val="002D112D"/>
    <w:rsid w:val="002D445B"/>
    <w:rsid w:val="002D7783"/>
    <w:rsid w:val="002E0470"/>
    <w:rsid w:val="002E38D0"/>
    <w:rsid w:val="002E3AAF"/>
    <w:rsid w:val="002E4076"/>
    <w:rsid w:val="002E4BDC"/>
    <w:rsid w:val="002E5341"/>
    <w:rsid w:val="002E7D29"/>
    <w:rsid w:val="002F1CA9"/>
    <w:rsid w:val="002F220D"/>
    <w:rsid w:val="002F3E51"/>
    <w:rsid w:val="002F5FB7"/>
    <w:rsid w:val="00302D5B"/>
    <w:rsid w:val="00305B47"/>
    <w:rsid w:val="00305B78"/>
    <w:rsid w:val="00307ADB"/>
    <w:rsid w:val="00307EA7"/>
    <w:rsid w:val="0031093D"/>
    <w:rsid w:val="00312EAA"/>
    <w:rsid w:val="0031355D"/>
    <w:rsid w:val="00313C1A"/>
    <w:rsid w:val="00313E73"/>
    <w:rsid w:val="00314A24"/>
    <w:rsid w:val="003150C6"/>
    <w:rsid w:val="0031559F"/>
    <w:rsid w:val="00315605"/>
    <w:rsid w:val="003158CC"/>
    <w:rsid w:val="00315B0E"/>
    <w:rsid w:val="003226FC"/>
    <w:rsid w:val="00323E4A"/>
    <w:rsid w:val="00324ED6"/>
    <w:rsid w:val="00326B07"/>
    <w:rsid w:val="0032778E"/>
    <w:rsid w:val="0033141E"/>
    <w:rsid w:val="003342AB"/>
    <w:rsid w:val="00334533"/>
    <w:rsid w:val="00334705"/>
    <w:rsid w:val="00335405"/>
    <w:rsid w:val="00337298"/>
    <w:rsid w:val="00342B5C"/>
    <w:rsid w:val="00343814"/>
    <w:rsid w:val="00344106"/>
    <w:rsid w:val="00344935"/>
    <w:rsid w:val="00346671"/>
    <w:rsid w:val="00346D0F"/>
    <w:rsid w:val="0034767D"/>
    <w:rsid w:val="00347EA5"/>
    <w:rsid w:val="00350144"/>
    <w:rsid w:val="00353294"/>
    <w:rsid w:val="00353790"/>
    <w:rsid w:val="00354D96"/>
    <w:rsid w:val="003569E8"/>
    <w:rsid w:val="00357CCB"/>
    <w:rsid w:val="0036400D"/>
    <w:rsid w:val="00367FDB"/>
    <w:rsid w:val="00371444"/>
    <w:rsid w:val="00371E8D"/>
    <w:rsid w:val="0037209D"/>
    <w:rsid w:val="003729FE"/>
    <w:rsid w:val="00372DC3"/>
    <w:rsid w:val="003754FB"/>
    <w:rsid w:val="00377759"/>
    <w:rsid w:val="003812A3"/>
    <w:rsid w:val="003817FA"/>
    <w:rsid w:val="00381B5B"/>
    <w:rsid w:val="0038236F"/>
    <w:rsid w:val="00382373"/>
    <w:rsid w:val="0038354A"/>
    <w:rsid w:val="00384680"/>
    <w:rsid w:val="00385EF8"/>
    <w:rsid w:val="00390949"/>
    <w:rsid w:val="00390D0E"/>
    <w:rsid w:val="00391887"/>
    <w:rsid w:val="003923C4"/>
    <w:rsid w:val="00392ED6"/>
    <w:rsid w:val="0039345C"/>
    <w:rsid w:val="0039380D"/>
    <w:rsid w:val="00393883"/>
    <w:rsid w:val="00394C52"/>
    <w:rsid w:val="00395098"/>
    <w:rsid w:val="003956E9"/>
    <w:rsid w:val="0039783B"/>
    <w:rsid w:val="003A2B6E"/>
    <w:rsid w:val="003A44C0"/>
    <w:rsid w:val="003A4662"/>
    <w:rsid w:val="003A5618"/>
    <w:rsid w:val="003B1AE6"/>
    <w:rsid w:val="003B3136"/>
    <w:rsid w:val="003B4B5D"/>
    <w:rsid w:val="003B6572"/>
    <w:rsid w:val="003C1C6F"/>
    <w:rsid w:val="003C3575"/>
    <w:rsid w:val="003C4AF0"/>
    <w:rsid w:val="003C580E"/>
    <w:rsid w:val="003C6C84"/>
    <w:rsid w:val="003D2E47"/>
    <w:rsid w:val="003D5975"/>
    <w:rsid w:val="003D59DC"/>
    <w:rsid w:val="003D5EB7"/>
    <w:rsid w:val="003D704C"/>
    <w:rsid w:val="003D792A"/>
    <w:rsid w:val="003E20FA"/>
    <w:rsid w:val="003E2B52"/>
    <w:rsid w:val="003E4D72"/>
    <w:rsid w:val="003E5BFA"/>
    <w:rsid w:val="003F2361"/>
    <w:rsid w:val="003F253E"/>
    <w:rsid w:val="003F3F5B"/>
    <w:rsid w:val="003F55C6"/>
    <w:rsid w:val="003F7409"/>
    <w:rsid w:val="00402ACA"/>
    <w:rsid w:val="00403D53"/>
    <w:rsid w:val="00404EE8"/>
    <w:rsid w:val="0040576A"/>
    <w:rsid w:val="00406829"/>
    <w:rsid w:val="00406C4A"/>
    <w:rsid w:val="004101BE"/>
    <w:rsid w:val="004120F9"/>
    <w:rsid w:val="0041364D"/>
    <w:rsid w:val="0041634C"/>
    <w:rsid w:val="00417C51"/>
    <w:rsid w:val="004204B7"/>
    <w:rsid w:val="00420B65"/>
    <w:rsid w:val="00420EEA"/>
    <w:rsid w:val="00421960"/>
    <w:rsid w:val="00421C0E"/>
    <w:rsid w:val="004224EE"/>
    <w:rsid w:val="00426857"/>
    <w:rsid w:val="00427F51"/>
    <w:rsid w:val="00430E29"/>
    <w:rsid w:val="004325F4"/>
    <w:rsid w:val="004344C0"/>
    <w:rsid w:val="00435511"/>
    <w:rsid w:val="0043708E"/>
    <w:rsid w:val="004422FF"/>
    <w:rsid w:val="00444012"/>
    <w:rsid w:val="00446075"/>
    <w:rsid w:val="0044711C"/>
    <w:rsid w:val="00447E22"/>
    <w:rsid w:val="00452DA5"/>
    <w:rsid w:val="0045335E"/>
    <w:rsid w:val="00453E76"/>
    <w:rsid w:val="00453ECF"/>
    <w:rsid w:val="00454625"/>
    <w:rsid w:val="00454631"/>
    <w:rsid w:val="00455AA9"/>
    <w:rsid w:val="00455F16"/>
    <w:rsid w:val="00456480"/>
    <w:rsid w:val="004567B7"/>
    <w:rsid w:val="0045752F"/>
    <w:rsid w:val="00457803"/>
    <w:rsid w:val="00460144"/>
    <w:rsid w:val="00461A58"/>
    <w:rsid w:val="00462646"/>
    <w:rsid w:val="0046311D"/>
    <w:rsid w:val="00465970"/>
    <w:rsid w:val="00467C7A"/>
    <w:rsid w:val="00471B9F"/>
    <w:rsid w:val="0047267D"/>
    <w:rsid w:val="00473640"/>
    <w:rsid w:val="0047504B"/>
    <w:rsid w:val="0048091F"/>
    <w:rsid w:val="00483655"/>
    <w:rsid w:val="0048422E"/>
    <w:rsid w:val="00484512"/>
    <w:rsid w:val="00485034"/>
    <w:rsid w:val="00486E63"/>
    <w:rsid w:val="0049075B"/>
    <w:rsid w:val="00493AB1"/>
    <w:rsid w:val="004A0F8C"/>
    <w:rsid w:val="004A10B0"/>
    <w:rsid w:val="004A31BC"/>
    <w:rsid w:val="004A336B"/>
    <w:rsid w:val="004A41AF"/>
    <w:rsid w:val="004A4E2C"/>
    <w:rsid w:val="004A5329"/>
    <w:rsid w:val="004A5DA6"/>
    <w:rsid w:val="004A6F74"/>
    <w:rsid w:val="004B35E1"/>
    <w:rsid w:val="004B37C1"/>
    <w:rsid w:val="004B501E"/>
    <w:rsid w:val="004B56EE"/>
    <w:rsid w:val="004B79AE"/>
    <w:rsid w:val="004C051D"/>
    <w:rsid w:val="004C0C95"/>
    <w:rsid w:val="004C19E1"/>
    <w:rsid w:val="004C214A"/>
    <w:rsid w:val="004C2516"/>
    <w:rsid w:val="004C252F"/>
    <w:rsid w:val="004C41A3"/>
    <w:rsid w:val="004C76CA"/>
    <w:rsid w:val="004D479A"/>
    <w:rsid w:val="004D57A6"/>
    <w:rsid w:val="004D67C2"/>
    <w:rsid w:val="004D70DF"/>
    <w:rsid w:val="004E0EBE"/>
    <w:rsid w:val="004E129F"/>
    <w:rsid w:val="004E5675"/>
    <w:rsid w:val="004E56FD"/>
    <w:rsid w:val="004E6CBE"/>
    <w:rsid w:val="004F0180"/>
    <w:rsid w:val="004F2C78"/>
    <w:rsid w:val="004F2F1E"/>
    <w:rsid w:val="004F39FD"/>
    <w:rsid w:val="004F5E6C"/>
    <w:rsid w:val="004F6E69"/>
    <w:rsid w:val="005007F6"/>
    <w:rsid w:val="0050084F"/>
    <w:rsid w:val="005023B4"/>
    <w:rsid w:val="0050251D"/>
    <w:rsid w:val="005026A1"/>
    <w:rsid w:val="005029B7"/>
    <w:rsid w:val="0050415B"/>
    <w:rsid w:val="005054C9"/>
    <w:rsid w:val="00506D92"/>
    <w:rsid w:val="00506F6A"/>
    <w:rsid w:val="005071A7"/>
    <w:rsid w:val="00511E6A"/>
    <w:rsid w:val="00512907"/>
    <w:rsid w:val="00513FB9"/>
    <w:rsid w:val="005148D0"/>
    <w:rsid w:val="00516091"/>
    <w:rsid w:val="00516F83"/>
    <w:rsid w:val="00516F9A"/>
    <w:rsid w:val="005170E6"/>
    <w:rsid w:val="005222A8"/>
    <w:rsid w:val="005224C0"/>
    <w:rsid w:val="0052471E"/>
    <w:rsid w:val="005257E9"/>
    <w:rsid w:val="00525AEC"/>
    <w:rsid w:val="00526072"/>
    <w:rsid w:val="00526440"/>
    <w:rsid w:val="005310A3"/>
    <w:rsid w:val="0053377A"/>
    <w:rsid w:val="005341DB"/>
    <w:rsid w:val="00534214"/>
    <w:rsid w:val="00535818"/>
    <w:rsid w:val="005410D7"/>
    <w:rsid w:val="00541211"/>
    <w:rsid w:val="00543A55"/>
    <w:rsid w:val="00543D74"/>
    <w:rsid w:val="00544219"/>
    <w:rsid w:val="00545E44"/>
    <w:rsid w:val="00546145"/>
    <w:rsid w:val="005468C3"/>
    <w:rsid w:val="00546CD0"/>
    <w:rsid w:val="005477C7"/>
    <w:rsid w:val="005512D2"/>
    <w:rsid w:val="00551CFC"/>
    <w:rsid w:val="0055227D"/>
    <w:rsid w:val="005524F8"/>
    <w:rsid w:val="0055520D"/>
    <w:rsid w:val="00555551"/>
    <w:rsid w:val="00555845"/>
    <w:rsid w:val="00555D3D"/>
    <w:rsid w:val="005562B8"/>
    <w:rsid w:val="00556AAB"/>
    <w:rsid w:val="00556D3F"/>
    <w:rsid w:val="00561889"/>
    <w:rsid w:val="00566ABF"/>
    <w:rsid w:val="00567BA0"/>
    <w:rsid w:val="00567E45"/>
    <w:rsid w:val="005706DA"/>
    <w:rsid w:val="0057070C"/>
    <w:rsid w:val="00571D2C"/>
    <w:rsid w:val="0057228B"/>
    <w:rsid w:val="00573EF9"/>
    <w:rsid w:val="0057421C"/>
    <w:rsid w:val="0057429C"/>
    <w:rsid w:val="00574C3E"/>
    <w:rsid w:val="0057707F"/>
    <w:rsid w:val="00581104"/>
    <w:rsid w:val="00581FB9"/>
    <w:rsid w:val="00582107"/>
    <w:rsid w:val="0058258D"/>
    <w:rsid w:val="00583204"/>
    <w:rsid w:val="00583454"/>
    <w:rsid w:val="005842D3"/>
    <w:rsid w:val="0058572E"/>
    <w:rsid w:val="005932C4"/>
    <w:rsid w:val="00593C61"/>
    <w:rsid w:val="00595318"/>
    <w:rsid w:val="00596312"/>
    <w:rsid w:val="00597C18"/>
    <w:rsid w:val="00597C45"/>
    <w:rsid w:val="005A01DC"/>
    <w:rsid w:val="005A11EC"/>
    <w:rsid w:val="005A1A5A"/>
    <w:rsid w:val="005A1E34"/>
    <w:rsid w:val="005A2867"/>
    <w:rsid w:val="005A33ED"/>
    <w:rsid w:val="005A6BC2"/>
    <w:rsid w:val="005B064B"/>
    <w:rsid w:val="005B3BE8"/>
    <w:rsid w:val="005B3FA8"/>
    <w:rsid w:val="005B7F75"/>
    <w:rsid w:val="005B7FB5"/>
    <w:rsid w:val="005C0A4F"/>
    <w:rsid w:val="005C17BB"/>
    <w:rsid w:val="005C324B"/>
    <w:rsid w:val="005C3342"/>
    <w:rsid w:val="005C342A"/>
    <w:rsid w:val="005C4FAF"/>
    <w:rsid w:val="005C5407"/>
    <w:rsid w:val="005C561D"/>
    <w:rsid w:val="005C5C6A"/>
    <w:rsid w:val="005C7183"/>
    <w:rsid w:val="005C7F22"/>
    <w:rsid w:val="005D11A5"/>
    <w:rsid w:val="005D2056"/>
    <w:rsid w:val="005D2322"/>
    <w:rsid w:val="005D3630"/>
    <w:rsid w:val="005D5803"/>
    <w:rsid w:val="005D59FA"/>
    <w:rsid w:val="005D5ED8"/>
    <w:rsid w:val="005D601E"/>
    <w:rsid w:val="005D6F97"/>
    <w:rsid w:val="005D7640"/>
    <w:rsid w:val="005D7B46"/>
    <w:rsid w:val="005E0D33"/>
    <w:rsid w:val="005E246C"/>
    <w:rsid w:val="005E2792"/>
    <w:rsid w:val="005E39C4"/>
    <w:rsid w:val="005E3F8C"/>
    <w:rsid w:val="005E4DEB"/>
    <w:rsid w:val="005E5859"/>
    <w:rsid w:val="005E5EF5"/>
    <w:rsid w:val="005E63E9"/>
    <w:rsid w:val="005E695B"/>
    <w:rsid w:val="005E6A31"/>
    <w:rsid w:val="005F35EB"/>
    <w:rsid w:val="005F415E"/>
    <w:rsid w:val="005F4334"/>
    <w:rsid w:val="005F5AB0"/>
    <w:rsid w:val="005F63EA"/>
    <w:rsid w:val="00601BB6"/>
    <w:rsid w:val="0060437F"/>
    <w:rsid w:val="00605885"/>
    <w:rsid w:val="006061AD"/>
    <w:rsid w:val="00607D6E"/>
    <w:rsid w:val="006106A1"/>
    <w:rsid w:val="0061559C"/>
    <w:rsid w:val="00617C20"/>
    <w:rsid w:val="00623797"/>
    <w:rsid w:val="00631709"/>
    <w:rsid w:val="0063266E"/>
    <w:rsid w:val="0063316A"/>
    <w:rsid w:val="0063572D"/>
    <w:rsid w:val="00635C9A"/>
    <w:rsid w:val="00640547"/>
    <w:rsid w:val="00640C35"/>
    <w:rsid w:val="00642831"/>
    <w:rsid w:val="00643402"/>
    <w:rsid w:val="0064404D"/>
    <w:rsid w:val="00644750"/>
    <w:rsid w:val="00645D43"/>
    <w:rsid w:val="006466A8"/>
    <w:rsid w:val="00647AE7"/>
    <w:rsid w:val="00650136"/>
    <w:rsid w:val="00650218"/>
    <w:rsid w:val="006508FF"/>
    <w:rsid w:val="006516F8"/>
    <w:rsid w:val="00651B61"/>
    <w:rsid w:val="00652815"/>
    <w:rsid w:val="00652AD3"/>
    <w:rsid w:val="00653502"/>
    <w:rsid w:val="00653690"/>
    <w:rsid w:val="00654780"/>
    <w:rsid w:val="0065758A"/>
    <w:rsid w:val="00657921"/>
    <w:rsid w:val="00657DD5"/>
    <w:rsid w:val="00660A45"/>
    <w:rsid w:val="00663F07"/>
    <w:rsid w:val="006640BD"/>
    <w:rsid w:val="00665933"/>
    <w:rsid w:val="00666177"/>
    <w:rsid w:val="00667561"/>
    <w:rsid w:val="00667D3E"/>
    <w:rsid w:val="00671D8A"/>
    <w:rsid w:val="0067379B"/>
    <w:rsid w:val="00673A4A"/>
    <w:rsid w:val="00673E13"/>
    <w:rsid w:val="00675230"/>
    <w:rsid w:val="0067668C"/>
    <w:rsid w:val="00676EEE"/>
    <w:rsid w:val="006772E2"/>
    <w:rsid w:val="00677736"/>
    <w:rsid w:val="006809F9"/>
    <w:rsid w:val="0068318D"/>
    <w:rsid w:val="00683374"/>
    <w:rsid w:val="0068390D"/>
    <w:rsid w:val="0068699A"/>
    <w:rsid w:val="00686C79"/>
    <w:rsid w:val="00690D77"/>
    <w:rsid w:val="00691768"/>
    <w:rsid w:val="0069266A"/>
    <w:rsid w:val="00692B97"/>
    <w:rsid w:val="00693D41"/>
    <w:rsid w:val="006952EB"/>
    <w:rsid w:val="00696192"/>
    <w:rsid w:val="00696325"/>
    <w:rsid w:val="006A0842"/>
    <w:rsid w:val="006A28B6"/>
    <w:rsid w:val="006A2E0F"/>
    <w:rsid w:val="006A34D2"/>
    <w:rsid w:val="006A4123"/>
    <w:rsid w:val="006A42F1"/>
    <w:rsid w:val="006A4F91"/>
    <w:rsid w:val="006A5C61"/>
    <w:rsid w:val="006A6568"/>
    <w:rsid w:val="006A7EB3"/>
    <w:rsid w:val="006B0C09"/>
    <w:rsid w:val="006B134F"/>
    <w:rsid w:val="006B19C0"/>
    <w:rsid w:val="006B2734"/>
    <w:rsid w:val="006B5557"/>
    <w:rsid w:val="006C02E1"/>
    <w:rsid w:val="006C5A0F"/>
    <w:rsid w:val="006C5FFE"/>
    <w:rsid w:val="006D01E4"/>
    <w:rsid w:val="006D05CA"/>
    <w:rsid w:val="006D1556"/>
    <w:rsid w:val="006D256C"/>
    <w:rsid w:val="006D2D14"/>
    <w:rsid w:val="006D3EBC"/>
    <w:rsid w:val="006D6A41"/>
    <w:rsid w:val="006E11C4"/>
    <w:rsid w:val="006E4E37"/>
    <w:rsid w:val="006E5ADF"/>
    <w:rsid w:val="006E74C8"/>
    <w:rsid w:val="006F37AB"/>
    <w:rsid w:val="006F5710"/>
    <w:rsid w:val="006F581C"/>
    <w:rsid w:val="006F71FF"/>
    <w:rsid w:val="006F752C"/>
    <w:rsid w:val="00700786"/>
    <w:rsid w:val="007031C6"/>
    <w:rsid w:val="00704D53"/>
    <w:rsid w:val="00705FCA"/>
    <w:rsid w:val="00706120"/>
    <w:rsid w:val="0071022C"/>
    <w:rsid w:val="007110AA"/>
    <w:rsid w:val="00711A97"/>
    <w:rsid w:val="00713005"/>
    <w:rsid w:val="007139B6"/>
    <w:rsid w:val="00713EF7"/>
    <w:rsid w:val="00714C1A"/>
    <w:rsid w:val="00717480"/>
    <w:rsid w:val="007175FB"/>
    <w:rsid w:val="007177B3"/>
    <w:rsid w:val="00721409"/>
    <w:rsid w:val="00722A34"/>
    <w:rsid w:val="00723857"/>
    <w:rsid w:val="0072523B"/>
    <w:rsid w:val="00725779"/>
    <w:rsid w:val="0072584E"/>
    <w:rsid w:val="00725DDB"/>
    <w:rsid w:val="00726D22"/>
    <w:rsid w:val="007276D0"/>
    <w:rsid w:val="00730053"/>
    <w:rsid w:val="00730680"/>
    <w:rsid w:val="007318C1"/>
    <w:rsid w:val="007331DA"/>
    <w:rsid w:val="0073438B"/>
    <w:rsid w:val="00734913"/>
    <w:rsid w:val="00736239"/>
    <w:rsid w:val="00736746"/>
    <w:rsid w:val="00740A56"/>
    <w:rsid w:val="00740CA3"/>
    <w:rsid w:val="00741999"/>
    <w:rsid w:val="00743467"/>
    <w:rsid w:val="0074358D"/>
    <w:rsid w:val="007435D0"/>
    <w:rsid w:val="00743E37"/>
    <w:rsid w:val="007471F3"/>
    <w:rsid w:val="00747B95"/>
    <w:rsid w:val="007506CA"/>
    <w:rsid w:val="00750755"/>
    <w:rsid w:val="00753D2C"/>
    <w:rsid w:val="00753FFB"/>
    <w:rsid w:val="00755DA6"/>
    <w:rsid w:val="00757C6C"/>
    <w:rsid w:val="00760DAA"/>
    <w:rsid w:val="00761BD8"/>
    <w:rsid w:val="00761CB6"/>
    <w:rsid w:val="00762C49"/>
    <w:rsid w:val="007663FE"/>
    <w:rsid w:val="00766661"/>
    <w:rsid w:val="00767EA5"/>
    <w:rsid w:val="00770E0B"/>
    <w:rsid w:val="00772B69"/>
    <w:rsid w:val="00774603"/>
    <w:rsid w:val="0077621B"/>
    <w:rsid w:val="007767FA"/>
    <w:rsid w:val="00777FB5"/>
    <w:rsid w:val="0078082B"/>
    <w:rsid w:val="00780AEB"/>
    <w:rsid w:val="00781168"/>
    <w:rsid w:val="00781ABD"/>
    <w:rsid w:val="0078312F"/>
    <w:rsid w:val="007856DB"/>
    <w:rsid w:val="007868C8"/>
    <w:rsid w:val="00790181"/>
    <w:rsid w:val="007914E1"/>
    <w:rsid w:val="007932BA"/>
    <w:rsid w:val="00794157"/>
    <w:rsid w:val="00794975"/>
    <w:rsid w:val="00794AC1"/>
    <w:rsid w:val="007957CE"/>
    <w:rsid w:val="00796446"/>
    <w:rsid w:val="00797E74"/>
    <w:rsid w:val="007A12DA"/>
    <w:rsid w:val="007A1B5A"/>
    <w:rsid w:val="007A233D"/>
    <w:rsid w:val="007A27DD"/>
    <w:rsid w:val="007A2CBC"/>
    <w:rsid w:val="007A3E85"/>
    <w:rsid w:val="007A43F6"/>
    <w:rsid w:val="007A5EEE"/>
    <w:rsid w:val="007A605D"/>
    <w:rsid w:val="007A64B0"/>
    <w:rsid w:val="007B556F"/>
    <w:rsid w:val="007B626E"/>
    <w:rsid w:val="007B6591"/>
    <w:rsid w:val="007B6ED2"/>
    <w:rsid w:val="007B6FCE"/>
    <w:rsid w:val="007C06BD"/>
    <w:rsid w:val="007C144C"/>
    <w:rsid w:val="007C1899"/>
    <w:rsid w:val="007C2121"/>
    <w:rsid w:val="007C222A"/>
    <w:rsid w:val="007C2A81"/>
    <w:rsid w:val="007C3045"/>
    <w:rsid w:val="007C4A65"/>
    <w:rsid w:val="007D70C1"/>
    <w:rsid w:val="007D774E"/>
    <w:rsid w:val="007E0C43"/>
    <w:rsid w:val="007E3C70"/>
    <w:rsid w:val="007E445C"/>
    <w:rsid w:val="007E5C22"/>
    <w:rsid w:val="007E6CDE"/>
    <w:rsid w:val="007E7188"/>
    <w:rsid w:val="007E7DCA"/>
    <w:rsid w:val="007F0DF9"/>
    <w:rsid w:val="007F19EC"/>
    <w:rsid w:val="007F335E"/>
    <w:rsid w:val="007F3449"/>
    <w:rsid w:val="007F40BA"/>
    <w:rsid w:val="007F43EE"/>
    <w:rsid w:val="007F797D"/>
    <w:rsid w:val="00803647"/>
    <w:rsid w:val="0080369F"/>
    <w:rsid w:val="0080558D"/>
    <w:rsid w:val="00805A4C"/>
    <w:rsid w:val="008074EE"/>
    <w:rsid w:val="00807973"/>
    <w:rsid w:val="00807F6A"/>
    <w:rsid w:val="0081199B"/>
    <w:rsid w:val="00812BAB"/>
    <w:rsid w:val="00815EBB"/>
    <w:rsid w:val="00816473"/>
    <w:rsid w:val="00816D4E"/>
    <w:rsid w:val="00817192"/>
    <w:rsid w:val="00820B83"/>
    <w:rsid w:val="00824A1C"/>
    <w:rsid w:val="00824F16"/>
    <w:rsid w:val="00826C36"/>
    <w:rsid w:val="00827544"/>
    <w:rsid w:val="00832756"/>
    <w:rsid w:val="008358C1"/>
    <w:rsid w:val="00837128"/>
    <w:rsid w:val="008379DE"/>
    <w:rsid w:val="00837A81"/>
    <w:rsid w:val="008405A6"/>
    <w:rsid w:val="00841D58"/>
    <w:rsid w:val="00842812"/>
    <w:rsid w:val="00844041"/>
    <w:rsid w:val="00844237"/>
    <w:rsid w:val="00845A1B"/>
    <w:rsid w:val="0084723B"/>
    <w:rsid w:val="008479AC"/>
    <w:rsid w:val="00852793"/>
    <w:rsid w:val="00855211"/>
    <w:rsid w:val="00857F52"/>
    <w:rsid w:val="00863F75"/>
    <w:rsid w:val="0086589B"/>
    <w:rsid w:val="00865A35"/>
    <w:rsid w:val="008672BF"/>
    <w:rsid w:val="008701B1"/>
    <w:rsid w:val="00870F77"/>
    <w:rsid w:val="00871145"/>
    <w:rsid w:val="00872C26"/>
    <w:rsid w:val="00874EAB"/>
    <w:rsid w:val="008779E4"/>
    <w:rsid w:val="00877F98"/>
    <w:rsid w:val="00880387"/>
    <w:rsid w:val="00882666"/>
    <w:rsid w:val="008853DD"/>
    <w:rsid w:val="00890389"/>
    <w:rsid w:val="00892447"/>
    <w:rsid w:val="008952C2"/>
    <w:rsid w:val="008955A5"/>
    <w:rsid w:val="00895911"/>
    <w:rsid w:val="008A0F3C"/>
    <w:rsid w:val="008A1A3B"/>
    <w:rsid w:val="008A2FAF"/>
    <w:rsid w:val="008A400F"/>
    <w:rsid w:val="008A4616"/>
    <w:rsid w:val="008B2361"/>
    <w:rsid w:val="008B5527"/>
    <w:rsid w:val="008B578D"/>
    <w:rsid w:val="008B735A"/>
    <w:rsid w:val="008C06E0"/>
    <w:rsid w:val="008C1B20"/>
    <w:rsid w:val="008C6033"/>
    <w:rsid w:val="008C684E"/>
    <w:rsid w:val="008D0EAE"/>
    <w:rsid w:val="008D117B"/>
    <w:rsid w:val="008D2832"/>
    <w:rsid w:val="008D3786"/>
    <w:rsid w:val="008D6BD8"/>
    <w:rsid w:val="008E025D"/>
    <w:rsid w:val="008E0E61"/>
    <w:rsid w:val="008E1368"/>
    <w:rsid w:val="008E490E"/>
    <w:rsid w:val="008E4CF7"/>
    <w:rsid w:val="008E5DD4"/>
    <w:rsid w:val="008E73EA"/>
    <w:rsid w:val="008F0CD9"/>
    <w:rsid w:val="008F6850"/>
    <w:rsid w:val="008F69CB"/>
    <w:rsid w:val="009006B5"/>
    <w:rsid w:val="00903191"/>
    <w:rsid w:val="0090356F"/>
    <w:rsid w:val="00903F83"/>
    <w:rsid w:val="009048F0"/>
    <w:rsid w:val="00904D09"/>
    <w:rsid w:val="009064C5"/>
    <w:rsid w:val="009066C7"/>
    <w:rsid w:val="009070E4"/>
    <w:rsid w:val="0090798C"/>
    <w:rsid w:val="009106A9"/>
    <w:rsid w:val="00911BFE"/>
    <w:rsid w:val="009168F3"/>
    <w:rsid w:val="00917555"/>
    <w:rsid w:val="00920B00"/>
    <w:rsid w:val="00920F06"/>
    <w:rsid w:val="0092262E"/>
    <w:rsid w:val="00924027"/>
    <w:rsid w:val="009248DD"/>
    <w:rsid w:val="00924AA1"/>
    <w:rsid w:val="00924E48"/>
    <w:rsid w:val="0092561B"/>
    <w:rsid w:val="00926999"/>
    <w:rsid w:val="00927EB7"/>
    <w:rsid w:val="009305CB"/>
    <w:rsid w:val="0093067C"/>
    <w:rsid w:val="0093081D"/>
    <w:rsid w:val="00931C63"/>
    <w:rsid w:val="00931CC6"/>
    <w:rsid w:val="00934731"/>
    <w:rsid w:val="009364F8"/>
    <w:rsid w:val="00940C5A"/>
    <w:rsid w:val="00943BA7"/>
    <w:rsid w:val="00947F8A"/>
    <w:rsid w:val="009500E5"/>
    <w:rsid w:val="0095051E"/>
    <w:rsid w:val="00951C6C"/>
    <w:rsid w:val="0095501A"/>
    <w:rsid w:val="009551DB"/>
    <w:rsid w:val="00955287"/>
    <w:rsid w:val="009609DD"/>
    <w:rsid w:val="00960A9F"/>
    <w:rsid w:val="00961E4D"/>
    <w:rsid w:val="009630DD"/>
    <w:rsid w:val="00963A46"/>
    <w:rsid w:val="009703AC"/>
    <w:rsid w:val="00970779"/>
    <w:rsid w:val="00971F06"/>
    <w:rsid w:val="0097225B"/>
    <w:rsid w:val="009722FA"/>
    <w:rsid w:val="00974D53"/>
    <w:rsid w:val="009755E8"/>
    <w:rsid w:val="00977C10"/>
    <w:rsid w:val="009800E0"/>
    <w:rsid w:val="0098062B"/>
    <w:rsid w:val="009818A5"/>
    <w:rsid w:val="00981A26"/>
    <w:rsid w:val="0098206D"/>
    <w:rsid w:val="00983B81"/>
    <w:rsid w:val="00985815"/>
    <w:rsid w:val="00985C4D"/>
    <w:rsid w:val="00987157"/>
    <w:rsid w:val="009906A5"/>
    <w:rsid w:val="00993B01"/>
    <w:rsid w:val="009941BA"/>
    <w:rsid w:val="00994BEF"/>
    <w:rsid w:val="00994BFD"/>
    <w:rsid w:val="00994C52"/>
    <w:rsid w:val="00995E92"/>
    <w:rsid w:val="009A0680"/>
    <w:rsid w:val="009A26D0"/>
    <w:rsid w:val="009A29F7"/>
    <w:rsid w:val="009A3B30"/>
    <w:rsid w:val="009A5BF3"/>
    <w:rsid w:val="009A5D7C"/>
    <w:rsid w:val="009A5DD9"/>
    <w:rsid w:val="009A6222"/>
    <w:rsid w:val="009A6DF3"/>
    <w:rsid w:val="009B0381"/>
    <w:rsid w:val="009B1287"/>
    <w:rsid w:val="009B1AE0"/>
    <w:rsid w:val="009B26A8"/>
    <w:rsid w:val="009B28C0"/>
    <w:rsid w:val="009B2B41"/>
    <w:rsid w:val="009B2EE9"/>
    <w:rsid w:val="009B414F"/>
    <w:rsid w:val="009B4555"/>
    <w:rsid w:val="009B49CF"/>
    <w:rsid w:val="009B4FA1"/>
    <w:rsid w:val="009B66DA"/>
    <w:rsid w:val="009B6B9A"/>
    <w:rsid w:val="009B6C87"/>
    <w:rsid w:val="009B6CB5"/>
    <w:rsid w:val="009B6EEA"/>
    <w:rsid w:val="009B79D8"/>
    <w:rsid w:val="009C03D3"/>
    <w:rsid w:val="009C153E"/>
    <w:rsid w:val="009C314F"/>
    <w:rsid w:val="009C5063"/>
    <w:rsid w:val="009C6156"/>
    <w:rsid w:val="009C642A"/>
    <w:rsid w:val="009C7010"/>
    <w:rsid w:val="009C78C0"/>
    <w:rsid w:val="009C7916"/>
    <w:rsid w:val="009D19B8"/>
    <w:rsid w:val="009D1F17"/>
    <w:rsid w:val="009D28A6"/>
    <w:rsid w:val="009D476B"/>
    <w:rsid w:val="009D484A"/>
    <w:rsid w:val="009D4C74"/>
    <w:rsid w:val="009D5ADF"/>
    <w:rsid w:val="009D6051"/>
    <w:rsid w:val="009D7CCA"/>
    <w:rsid w:val="009D7D08"/>
    <w:rsid w:val="009D7DAF"/>
    <w:rsid w:val="009D7EBC"/>
    <w:rsid w:val="009E0B06"/>
    <w:rsid w:val="009E192E"/>
    <w:rsid w:val="009E2B45"/>
    <w:rsid w:val="009E2F75"/>
    <w:rsid w:val="009E2FEB"/>
    <w:rsid w:val="009E3246"/>
    <w:rsid w:val="009E3700"/>
    <w:rsid w:val="009E5310"/>
    <w:rsid w:val="009E5A41"/>
    <w:rsid w:val="009E5E4D"/>
    <w:rsid w:val="009E6FD3"/>
    <w:rsid w:val="009E7C9D"/>
    <w:rsid w:val="009F0C38"/>
    <w:rsid w:val="009F494B"/>
    <w:rsid w:val="009F553C"/>
    <w:rsid w:val="009F72E8"/>
    <w:rsid w:val="009F7CFE"/>
    <w:rsid w:val="00A0098F"/>
    <w:rsid w:val="00A03B51"/>
    <w:rsid w:val="00A05378"/>
    <w:rsid w:val="00A105E7"/>
    <w:rsid w:val="00A1127E"/>
    <w:rsid w:val="00A11647"/>
    <w:rsid w:val="00A12604"/>
    <w:rsid w:val="00A12C4F"/>
    <w:rsid w:val="00A143A9"/>
    <w:rsid w:val="00A17FA7"/>
    <w:rsid w:val="00A21E72"/>
    <w:rsid w:val="00A22AFF"/>
    <w:rsid w:val="00A2567D"/>
    <w:rsid w:val="00A264D2"/>
    <w:rsid w:val="00A30ED1"/>
    <w:rsid w:val="00A33C88"/>
    <w:rsid w:val="00A34043"/>
    <w:rsid w:val="00A36A5D"/>
    <w:rsid w:val="00A36A96"/>
    <w:rsid w:val="00A37574"/>
    <w:rsid w:val="00A40E9A"/>
    <w:rsid w:val="00A44200"/>
    <w:rsid w:val="00A44773"/>
    <w:rsid w:val="00A45808"/>
    <w:rsid w:val="00A46F49"/>
    <w:rsid w:val="00A47751"/>
    <w:rsid w:val="00A51E40"/>
    <w:rsid w:val="00A53BD5"/>
    <w:rsid w:val="00A54291"/>
    <w:rsid w:val="00A543A6"/>
    <w:rsid w:val="00A547E6"/>
    <w:rsid w:val="00A55449"/>
    <w:rsid w:val="00A60DCC"/>
    <w:rsid w:val="00A612FF"/>
    <w:rsid w:val="00A62360"/>
    <w:rsid w:val="00A63C68"/>
    <w:rsid w:val="00A64A16"/>
    <w:rsid w:val="00A66011"/>
    <w:rsid w:val="00A66035"/>
    <w:rsid w:val="00A676EB"/>
    <w:rsid w:val="00A67FFB"/>
    <w:rsid w:val="00A7025F"/>
    <w:rsid w:val="00A706AA"/>
    <w:rsid w:val="00A7078E"/>
    <w:rsid w:val="00A724E3"/>
    <w:rsid w:val="00A73B03"/>
    <w:rsid w:val="00A75094"/>
    <w:rsid w:val="00A775B1"/>
    <w:rsid w:val="00A776B0"/>
    <w:rsid w:val="00A776E6"/>
    <w:rsid w:val="00A77C32"/>
    <w:rsid w:val="00A80BDE"/>
    <w:rsid w:val="00A840E2"/>
    <w:rsid w:val="00A90E58"/>
    <w:rsid w:val="00A91E73"/>
    <w:rsid w:val="00A92074"/>
    <w:rsid w:val="00A92876"/>
    <w:rsid w:val="00A932CF"/>
    <w:rsid w:val="00A94F72"/>
    <w:rsid w:val="00A95091"/>
    <w:rsid w:val="00A96774"/>
    <w:rsid w:val="00A9693A"/>
    <w:rsid w:val="00AA075D"/>
    <w:rsid w:val="00AA0B50"/>
    <w:rsid w:val="00AA2460"/>
    <w:rsid w:val="00AA2469"/>
    <w:rsid w:val="00AA2851"/>
    <w:rsid w:val="00AA3737"/>
    <w:rsid w:val="00AA72AE"/>
    <w:rsid w:val="00AB0010"/>
    <w:rsid w:val="00AB1489"/>
    <w:rsid w:val="00AB1D30"/>
    <w:rsid w:val="00AB1F85"/>
    <w:rsid w:val="00AB2277"/>
    <w:rsid w:val="00AB29B5"/>
    <w:rsid w:val="00AB37B9"/>
    <w:rsid w:val="00AB3BFA"/>
    <w:rsid w:val="00AB40B4"/>
    <w:rsid w:val="00AB4563"/>
    <w:rsid w:val="00AB4BD8"/>
    <w:rsid w:val="00AC0AA8"/>
    <w:rsid w:val="00AC1DE7"/>
    <w:rsid w:val="00AC31A2"/>
    <w:rsid w:val="00AC3C2E"/>
    <w:rsid w:val="00AD084D"/>
    <w:rsid w:val="00AD1297"/>
    <w:rsid w:val="00AD387A"/>
    <w:rsid w:val="00AD3C37"/>
    <w:rsid w:val="00AD4862"/>
    <w:rsid w:val="00AD4A32"/>
    <w:rsid w:val="00AD5802"/>
    <w:rsid w:val="00AD68E6"/>
    <w:rsid w:val="00AD7DEA"/>
    <w:rsid w:val="00AE0CD5"/>
    <w:rsid w:val="00AE2AB6"/>
    <w:rsid w:val="00AE3703"/>
    <w:rsid w:val="00AE4C3D"/>
    <w:rsid w:val="00AE556F"/>
    <w:rsid w:val="00AE5A86"/>
    <w:rsid w:val="00AE5F34"/>
    <w:rsid w:val="00AE6CC7"/>
    <w:rsid w:val="00AE723F"/>
    <w:rsid w:val="00AE75DD"/>
    <w:rsid w:val="00AF0BC5"/>
    <w:rsid w:val="00AF2586"/>
    <w:rsid w:val="00AF398E"/>
    <w:rsid w:val="00AF4162"/>
    <w:rsid w:val="00AF5194"/>
    <w:rsid w:val="00AF6AB1"/>
    <w:rsid w:val="00B01CC9"/>
    <w:rsid w:val="00B01D14"/>
    <w:rsid w:val="00B0320D"/>
    <w:rsid w:val="00B0446A"/>
    <w:rsid w:val="00B057B5"/>
    <w:rsid w:val="00B06B93"/>
    <w:rsid w:val="00B07E49"/>
    <w:rsid w:val="00B07EA4"/>
    <w:rsid w:val="00B07EFE"/>
    <w:rsid w:val="00B10290"/>
    <w:rsid w:val="00B1075D"/>
    <w:rsid w:val="00B110A7"/>
    <w:rsid w:val="00B11AE6"/>
    <w:rsid w:val="00B11C46"/>
    <w:rsid w:val="00B11FB7"/>
    <w:rsid w:val="00B125C2"/>
    <w:rsid w:val="00B14235"/>
    <w:rsid w:val="00B15458"/>
    <w:rsid w:val="00B15BE2"/>
    <w:rsid w:val="00B162FA"/>
    <w:rsid w:val="00B163B9"/>
    <w:rsid w:val="00B16757"/>
    <w:rsid w:val="00B16801"/>
    <w:rsid w:val="00B17F09"/>
    <w:rsid w:val="00B20481"/>
    <w:rsid w:val="00B213B5"/>
    <w:rsid w:val="00B21BDC"/>
    <w:rsid w:val="00B22478"/>
    <w:rsid w:val="00B23520"/>
    <w:rsid w:val="00B23AE9"/>
    <w:rsid w:val="00B24C52"/>
    <w:rsid w:val="00B25107"/>
    <w:rsid w:val="00B26E49"/>
    <w:rsid w:val="00B2731C"/>
    <w:rsid w:val="00B27433"/>
    <w:rsid w:val="00B300A4"/>
    <w:rsid w:val="00B316E4"/>
    <w:rsid w:val="00B3315F"/>
    <w:rsid w:val="00B34545"/>
    <w:rsid w:val="00B3486C"/>
    <w:rsid w:val="00B35083"/>
    <w:rsid w:val="00B3594E"/>
    <w:rsid w:val="00B35F5E"/>
    <w:rsid w:val="00B36C5F"/>
    <w:rsid w:val="00B40118"/>
    <w:rsid w:val="00B4023A"/>
    <w:rsid w:val="00B421F5"/>
    <w:rsid w:val="00B42A4D"/>
    <w:rsid w:val="00B42CD4"/>
    <w:rsid w:val="00B4424A"/>
    <w:rsid w:val="00B4508D"/>
    <w:rsid w:val="00B46616"/>
    <w:rsid w:val="00B466AE"/>
    <w:rsid w:val="00B46A9F"/>
    <w:rsid w:val="00B5027A"/>
    <w:rsid w:val="00B507E5"/>
    <w:rsid w:val="00B53099"/>
    <w:rsid w:val="00B5457B"/>
    <w:rsid w:val="00B601F6"/>
    <w:rsid w:val="00B60C07"/>
    <w:rsid w:val="00B622AB"/>
    <w:rsid w:val="00B6284E"/>
    <w:rsid w:val="00B648EA"/>
    <w:rsid w:val="00B66E57"/>
    <w:rsid w:val="00B717BC"/>
    <w:rsid w:val="00B72778"/>
    <w:rsid w:val="00B7337E"/>
    <w:rsid w:val="00B748B4"/>
    <w:rsid w:val="00B80006"/>
    <w:rsid w:val="00B8163F"/>
    <w:rsid w:val="00B819BE"/>
    <w:rsid w:val="00B81D17"/>
    <w:rsid w:val="00B82DDB"/>
    <w:rsid w:val="00B833CD"/>
    <w:rsid w:val="00B845DD"/>
    <w:rsid w:val="00B8557D"/>
    <w:rsid w:val="00B914D1"/>
    <w:rsid w:val="00B93EC0"/>
    <w:rsid w:val="00B95F7A"/>
    <w:rsid w:val="00B96E82"/>
    <w:rsid w:val="00B97473"/>
    <w:rsid w:val="00BA294A"/>
    <w:rsid w:val="00BA3E20"/>
    <w:rsid w:val="00BA49D3"/>
    <w:rsid w:val="00BA5639"/>
    <w:rsid w:val="00BA5C8A"/>
    <w:rsid w:val="00BA5F53"/>
    <w:rsid w:val="00BA6D29"/>
    <w:rsid w:val="00BB075E"/>
    <w:rsid w:val="00BB0A41"/>
    <w:rsid w:val="00BB1D5C"/>
    <w:rsid w:val="00BB29E4"/>
    <w:rsid w:val="00BB47DD"/>
    <w:rsid w:val="00BB5877"/>
    <w:rsid w:val="00BB73DE"/>
    <w:rsid w:val="00BC0F6D"/>
    <w:rsid w:val="00BC18F8"/>
    <w:rsid w:val="00BC3838"/>
    <w:rsid w:val="00BC4937"/>
    <w:rsid w:val="00BC6E1B"/>
    <w:rsid w:val="00BC7231"/>
    <w:rsid w:val="00BC73BE"/>
    <w:rsid w:val="00BC7808"/>
    <w:rsid w:val="00BC7D1C"/>
    <w:rsid w:val="00BD1A64"/>
    <w:rsid w:val="00BD219E"/>
    <w:rsid w:val="00BD2F6E"/>
    <w:rsid w:val="00BD5EE2"/>
    <w:rsid w:val="00BD7126"/>
    <w:rsid w:val="00BE2FA4"/>
    <w:rsid w:val="00BE331B"/>
    <w:rsid w:val="00BE34F7"/>
    <w:rsid w:val="00BE5131"/>
    <w:rsid w:val="00BE5D08"/>
    <w:rsid w:val="00BE5FE4"/>
    <w:rsid w:val="00BF0234"/>
    <w:rsid w:val="00BF1DD1"/>
    <w:rsid w:val="00BF277E"/>
    <w:rsid w:val="00BF4196"/>
    <w:rsid w:val="00BF4E65"/>
    <w:rsid w:val="00BF536A"/>
    <w:rsid w:val="00BF643D"/>
    <w:rsid w:val="00C0065A"/>
    <w:rsid w:val="00C009B7"/>
    <w:rsid w:val="00C01B3C"/>
    <w:rsid w:val="00C028BE"/>
    <w:rsid w:val="00C04BB1"/>
    <w:rsid w:val="00C066D4"/>
    <w:rsid w:val="00C067CA"/>
    <w:rsid w:val="00C06C13"/>
    <w:rsid w:val="00C06C2F"/>
    <w:rsid w:val="00C105DA"/>
    <w:rsid w:val="00C157B4"/>
    <w:rsid w:val="00C1680B"/>
    <w:rsid w:val="00C16876"/>
    <w:rsid w:val="00C17797"/>
    <w:rsid w:val="00C23698"/>
    <w:rsid w:val="00C239A8"/>
    <w:rsid w:val="00C23D1F"/>
    <w:rsid w:val="00C25686"/>
    <w:rsid w:val="00C316F0"/>
    <w:rsid w:val="00C31A99"/>
    <w:rsid w:val="00C32AE4"/>
    <w:rsid w:val="00C32B9F"/>
    <w:rsid w:val="00C34878"/>
    <w:rsid w:val="00C34D3A"/>
    <w:rsid w:val="00C35B6A"/>
    <w:rsid w:val="00C361B4"/>
    <w:rsid w:val="00C3648D"/>
    <w:rsid w:val="00C40941"/>
    <w:rsid w:val="00C43EA5"/>
    <w:rsid w:val="00C47509"/>
    <w:rsid w:val="00C47631"/>
    <w:rsid w:val="00C47BEC"/>
    <w:rsid w:val="00C47D4C"/>
    <w:rsid w:val="00C505DB"/>
    <w:rsid w:val="00C52D27"/>
    <w:rsid w:val="00C53954"/>
    <w:rsid w:val="00C5428D"/>
    <w:rsid w:val="00C54BC3"/>
    <w:rsid w:val="00C54D7D"/>
    <w:rsid w:val="00C55D26"/>
    <w:rsid w:val="00C5653A"/>
    <w:rsid w:val="00C56D8C"/>
    <w:rsid w:val="00C56F27"/>
    <w:rsid w:val="00C57693"/>
    <w:rsid w:val="00C63E32"/>
    <w:rsid w:val="00C6566C"/>
    <w:rsid w:val="00C6646A"/>
    <w:rsid w:val="00C66764"/>
    <w:rsid w:val="00C66F25"/>
    <w:rsid w:val="00C7037B"/>
    <w:rsid w:val="00C714C9"/>
    <w:rsid w:val="00C72C75"/>
    <w:rsid w:val="00C72D7D"/>
    <w:rsid w:val="00C75B97"/>
    <w:rsid w:val="00C7666A"/>
    <w:rsid w:val="00C80B9A"/>
    <w:rsid w:val="00C8152B"/>
    <w:rsid w:val="00C81F20"/>
    <w:rsid w:val="00C82920"/>
    <w:rsid w:val="00C83E60"/>
    <w:rsid w:val="00C87033"/>
    <w:rsid w:val="00C87F42"/>
    <w:rsid w:val="00C905BE"/>
    <w:rsid w:val="00C921A1"/>
    <w:rsid w:val="00C9332B"/>
    <w:rsid w:val="00C93A03"/>
    <w:rsid w:val="00C95CDB"/>
    <w:rsid w:val="00CA31E2"/>
    <w:rsid w:val="00CA32BE"/>
    <w:rsid w:val="00CA46A9"/>
    <w:rsid w:val="00CA4C69"/>
    <w:rsid w:val="00CB0F28"/>
    <w:rsid w:val="00CB1F65"/>
    <w:rsid w:val="00CB4C8D"/>
    <w:rsid w:val="00CB4CBC"/>
    <w:rsid w:val="00CB5985"/>
    <w:rsid w:val="00CB7A4A"/>
    <w:rsid w:val="00CB7EBE"/>
    <w:rsid w:val="00CC041E"/>
    <w:rsid w:val="00CC0E30"/>
    <w:rsid w:val="00CC5C99"/>
    <w:rsid w:val="00CD005E"/>
    <w:rsid w:val="00CD10EB"/>
    <w:rsid w:val="00CD13E7"/>
    <w:rsid w:val="00CD183C"/>
    <w:rsid w:val="00CD1E28"/>
    <w:rsid w:val="00CD1FA7"/>
    <w:rsid w:val="00CD224A"/>
    <w:rsid w:val="00CD28D3"/>
    <w:rsid w:val="00CD47AA"/>
    <w:rsid w:val="00CD5BC4"/>
    <w:rsid w:val="00CD6DB3"/>
    <w:rsid w:val="00CD76D3"/>
    <w:rsid w:val="00CE1D28"/>
    <w:rsid w:val="00CE69E9"/>
    <w:rsid w:val="00CF1620"/>
    <w:rsid w:val="00CF1659"/>
    <w:rsid w:val="00CF2757"/>
    <w:rsid w:val="00CF2A97"/>
    <w:rsid w:val="00CF3496"/>
    <w:rsid w:val="00CF507E"/>
    <w:rsid w:val="00CF6826"/>
    <w:rsid w:val="00CF778A"/>
    <w:rsid w:val="00D00E4B"/>
    <w:rsid w:val="00D03C6C"/>
    <w:rsid w:val="00D04935"/>
    <w:rsid w:val="00D05619"/>
    <w:rsid w:val="00D06642"/>
    <w:rsid w:val="00D06952"/>
    <w:rsid w:val="00D101B1"/>
    <w:rsid w:val="00D14CD8"/>
    <w:rsid w:val="00D14F8C"/>
    <w:rsid w:val="00D21140"/>
    <w:rsid w:val="00D22235"/>
    <w:rsid w:val="00D224E0"/>
    <w:rsid w:val="00D23492"/>
    <w:rsid w:val="00D27EFD"/>
    <w:rsid w:val="00D30116"/>
    <w:rsid w:val="00D30966"/>
    <w:rsid w:val="00D30BB6"/>
    <w:rsid w:val="00D31AC9"/>
    <w:rsid w:val="00D32E80"/>
    <w:rsid w:val="00D33961"/>
    <w:rsid w:val="00D34F0B"/>
    <w:rsid w:val="00D35F93"/>
    <w:rsid w:val="00D36F35"/>
    <w:rsid w:val="00D41AA7"/>
    <w:rsid w:val="00D421A8"/>
    <w:rsid w:val="00D4240A"/>
    <w:rsid w:val="00D44C9E"/>
    <w:rsid w:val="00D4643B"/>
    <w:rsid w:val="00D46BC8"/>
    <w:rsid w:val="00D47487"/>
    <w:rsid w:val="00D47680"/>
    <w:rsid w:val="00D50041"/>
    <w:rsid w:val="00D507F4"/>
    <w:rsid w:val="00D50971"/>
    <w:rsid w:val="00D50C79"/>
    <w:rsid w:val="00D50D76"/>
    <w:rsid w:val="00D51EEB"/>
    <w:rsid w:val="00D56609"/>
    <w:rsid w:val="00D5734C"/>
    <w:rsid w:val="00D57CAE"/>
    <w:rsid w:val="00D57E5D"/>
    <w:rsid w:val="00D60116"/>
    <w:rsid w:val="00D607ED"/>
    <w:rsid w:val="00D6085B"/>
    <w:rsid w:val="00D60867"/>
    <w:rsid w:val="00D62EC5"/>
    <w:rsid w:val="00D631E4"/>
    <w:rsid w:val="00D6410F"/>
    <w:rsid w:val="00D64742"/>
    <w:rsid w:val="00D65F78"/>
    <w:rsid w:val="00D66110"/>
    <w:rsid w:val="00D7248C"/>
    <w:rsid w:val="00D72526"/>
    <w:rsid w:val="00D72C70"/>
    <w:rsid w:val="00D72CE2"/>
    <w:rsid w:val="00D73DE4"/>
    <w:rsid w:val="00D75347"/>
    <w:rsid w:val="00D75929"/>
    <w:rsid w:val="00D75E36"/>
    <w:rsid w:val="00D76558"/>
    <w:rsid w:val="00D8078E"/>
    <w:rsid w:val="00D81AF5"/>
    <w:rsid w:val="00D82468"/>
    <w:rsid w:val="00D85261"/>
    <w:rsid w:val="00D85E36"/>
    <w:rsid w:val="00D8689E"/>
    <w:rsid w:val="00D9076D"/>
    <w:rsid w:val="00D90A69"/>
    <w:rsid w:val="00D91884"/>
    <w:rsid w:val="00D91D7D"/>
    <w:rsid w:val="00D93B63"/>
    <w:rsid w:val="00D93F51"/>
    <w:rsid w:val="00D9490F"/>
    <w:rsid w:val="00D96B26"/>
    <w:rsid w:val="00DA026C"/>
    <w:rsid w:val="00DA182E"/>
    <w:rsid w:val="00DA1D1E"/>
    <w:rsid w:val="00DA23D7"/>
    <w:rsid w:val="00DA2C34"/>
    <w:rsid w:val="00DA2D7A"/>
    <w:rsid w:val="00DA3926"/>
    <w:rsid w:val="00DA428B"/>
    <w:rsid w:val="00DA5905"/>
    <w:rsid w:val="00DA64BC"/>
    <w:rsid w:val="00DA658B"/>
    <w:rsid w:val="00DA6BE6"/>
    <w:rsid w:val="00DA7E5A"/>
    <w:rsid w:val="00DB4F7E"/>
    <w:rsid w:val="00DB5C98"/>
    <w:rsid w:val="00DB7515"/>
    <w:rsid w:val="00DC01A7"/>
    <w:rsid w:val="00DC0504"/>
    <w:rsid w:val="00DC09ED"/>
    <w:rsid w:val="00DC1618"/>
    <w:rsid w:val="00DC1DF8"/>
    <w:rsid w:val="00DC3D16"/>
    <w:rsid w:val="00DC40D6"/>
    <w:rsid w:val="00DC4708"/>
    <w:rsid w:val="00DC51B1"/>
    <w:rsid w:val="00DC5390"/>
    <w:rsid w:val="00DC5EA8"/>
    <w:rsid w:val="00DD019D"/>
    <w:rsid w:val="00DD0588"/>
    <w:rsid w:val="00DD0CDF"/>
    <w:rsid w:val="00DD1B69"/>
    <w:rsid w:val="00DD2CCB"/>
    <w:rsid w:val="00DD514B"/>
    <w:rsid w:val="00DD6CAF"/>
    <w:rsid w:val="00DE2CFB"/>
    <w:rsid w:val="00DE43FF"/>
    <w:rsid w:val="00DE4686"/>
    <w:rsid w:val="00DE4816"/>
    <w:rsid w:val="00DE77FB"/>
    <w:rsid w:val="00DE7C6C"/>
    <w:rsid w:val="00DF07E6"/>
    <w:rsid w:val="00DF2F99"/>
    <w:rsid w:val="00DF3F17"/>
    <w:rsid w:val="00DF6C19"/>
    <w:rsid w:val="00E00573"/>
    <w:rsid w:val="00E006A0"/>
    <w:rsid w:val="00E01E1C"/>
    <w:rsid w:val="00E03231"/>
    <w:rsid w:val="00E04FDF"/>
    <w:rsid w:val="00E0512D"/>
    <w:rsid w:val="00E051D9"/>
    <w:rsid w:val="00E05B7C"/>
    <w:rsid w:val="00E06B04"/>
    <w:rsid w:val="00E07EFF"/>
    <w:rsid w:val="00E169FC"/>
    <w:rsid w:val="00E1756E"/>
    <w:rsid w:val="00E22946"/>
    <w:rsid w:val="00E2347D"/>
    <w:rsid w:val="00E23533"/>
    <w:rsid w:val="00E235B9"/>
    <w:rsid w:val="00E23DB5"/>
    <w:rsid w:val="00E24E55"/>
    <w:rsid w:val="00E2596E"/>
    <w:rsid w:val="00E25E0F"/>
    <w:rsid w:val="00E26EEC"/>
    <w:rsid w:val="00E304EE"/>
    <w:rsid w:val="00E32317"/>
    <w:rsid w:val="00E324A5"/>
    <w:rsid w:val="00E328E3"/>
    <w:rsid w:val="00E32C15"/>
    <w:rsid w:val="00E32D88"/>
    <w:rsid w:val="00E3373E"/>
    <w:rsid w:val="00E341A9"/>
    <w:rsid w:val="00E342B0"/>
    <w:rsid w:val="00E343A2"/>
    <w:rsid w:val="00E352E0"/>
    <w:rsid w:val="00E354AD"/>
    <w:rsid w:val="00E3599D"/>
    <w:rsid w:val="00E36FB4"/>
    <w:rsid w:val="00E40596"/>
    <w:rsid w:val="00E41D41"/>
    <w:rsid w:val="00E41ECE"/>
    <w:rsid w:val="00E433F1"/>
    <w:rsid w:val="00E4377A"/>
    <w:rsid w:val="00E4477E"/>
    <w:rsid w:val="00E45070"/>
    <w:rsid w:val="00E46017"/>
    <w:rsid w:val="00E470A9"/>
    <w:rsid w:val="00E47189"/>
    <w:rsid w:val="00E47A05"/>
    <w:rsid w:val="00E47C42"/>
    <w:rsid w:val="00E51DA1"/>
    <w:rsid w:val="00E52AF7"/>
    <w:rsid w:val="00E52F25"/>
    <w:rsid w:val="00E537A2"/>
    <w:rsid w:val="00E54BF7"/>
    <w:rsid w:val="00E5545E"/>
    <w:rsid w:val="00E55AFB"/>
    <w:rsid w:val="00E568B5"/>
    <w:rsid w:val="00E60F6E"/>
    <w:rsid w:val="00E64B5D"/>
    <w:rsid w:val="00E64DD0"/>
    <w:rsid w:val="00E673B3"/>
    <w:rsid w:val="00E704C1"/>
    <w:rsid w:val="00E70ECB"/>
    <w:rsid w:val="00E71924"/>
    <w:rsid w:val="00E73DBA"/>
    <w:rsid w:val="00E770C3"/>
    <w:rsid w:val="00E81A4B"/>
    <w:rsid w:val="00E85423"/>
    <w:rsid w:val="00E8578C"/>
    <w:rsid w:val="00E85B2C"/>
    <w:rsid w:val="00E865CB"/>
    <w:rsid w:val="00E90DA0"/>
    <w:rsid w:val="00E91EF2"/>
    <w:rsid w:val="00E92783"/>
    <w:rsid w:val="00E92DC2"/>
    <w:rsid w:val="00E9321E"/>
    <w:rsid w:val="00E93737"/>
    <w:rsid w:val="00E954C5"/>
    <w:rsid w:val="00E9559B"/>
    <w:rsid w:val="00E96958"/>
    <w:rsid w:val="00E97DF5"/>
    <w:rsid w:val="00EA0CF8"/>
    <w:rsid w:val="00EA2EB8"/>
    <w:rsid w:val="00EA39B9"/>
    <w:rsid w:val="00EA3A5F"/>
    <w:rsid w:val="00EA3BAB"/>
    <w:rsid w:val="00EA4033"/>
    <w:rsid w:val="00EA43BF"/>
    <w:rsid w:val="00EA6CE3"/>
    <w:rsid w:val="00EB1728"/>
    <w:rsid w:val="00EB2449"/>
    <w:rsid w:val="00EB27DA"/>
    <w:rsid w:val="00EB53CF"/>
    <w:rsid w:val="00EB77C7"/>
    <w:rsid w:val="00EC3015"/>
    <w:rsid w:val="00EC35EC"/>
    <w:rsid w:val="00EC4DCC"/>
    <w:rsid w:val="00EC577A"/>
    <w:rsid w:val="00EC58E2"/>
    <w:rsid w:val="00EC596D"/>
    <w:rsid w:val="00EC5E8D"/>
    <w:rsid w:val="00ED012A"/>
    <w:rsid w:val="00ED0D0A"/>
    <w:rsid w:val="00ED336A"/>
    <w:rsid w:val="00ED3B0D"/>
    <w:rsid w:val="00ED4CF0"/>
    <w:rsid w:val="00ED4F0B"/>
    <w:rsid w:val="00ED6461"/>
    <w:rsid w:val="00ED6D2E"/>
    <w:rsid w:val="00ED7E8B"/>
    <w:rsid w:val="00EE191B"/>
    <w:rsid w:val="00EE1ECB"/>
    <w:rsid w:val="00EE35F1"/>
    <w:rsid w:val="00EE3935"/>
    <w:rsid w:val="00EE7896"/>
    <w:rsid w:val="00EF1594"/>
    <w:rsid w:val="00EF63DE"/>
    <w:rsid w:val="00EF7FB7"/>
    <w:rsid w:val="00F008D0"/>
    <w:rsid w:val="00F0139F"/>
    <w:rsid w:val="00F01529"/>
    <w:rsid w:val="00F03F9E"/>
    <w:rsid w:val="00F0678B"/>
    <w:rsid w:val="00F06C2E"/>
    <w:rsid w:val="00F108EE"/>
    <w:rsid w:val="00F1100A"/>
    <w:rsid w:val="00F13BA0"/>
    <w:rsid w:val="00F14D0A"/>
    <w:rsid w:val="00F1552B"/>
    <w:rsid w:val="00F20B5D"/>
    <w:rsid w:val="00F22BA3"/>
    <w:rsid w:val="00F22CE5"/>
    <w:rsid w:val="00F239CD"/>
    <w:rsid w:val="00F23A04"/>
    <w:rsid w:val="00F2686A"/>
    <w:rsid w:val="00F3002C"/>
    <w:rsid w:val="00F31FFA"/>
    <w:rsid w:val="00F34ADA"/>
    <w:rsid w:val="00F3530E"/>
    <w:rsid w:val="00F36280"/>
    <w:rsid w:val="00F37BCD"/>
    <w:rsid w:val="00F4058C"/>
    <w:rsid w:val="00F42341"/>
    <w:rsid w:val="00F42580"/>
    <w:rsid w:val="00F43EE6"/>
    <w:rsid w:val="00F460E8"/>
    <w:rsid w:val="00F46A68"/>
    <w:rsid w:val="00F4749D"/>
    <w:rsid w:val="00F47AEB"/>
    <w:rsid w:val="00F50786"/>
    <w:rsid w:val="00F50837"/>
    <w:rsid w:val="00F529E5"/>
    <w:rsid w:val="00F52AE3"/>
    <w:rsid w:val="00F5365E"/>
    <w:rsid w:val="00F536B6"/>
    <w:rsid w:val="00F547E1"/>
    <w:rsid w:val="00F553BA"/>
    <w:rsid w:val="00F560FF"/>
    <w:rsid w:val="00F5687E"/>
    <w:rsid w:val="00F56FE9"/>
    <w:rsid w:val="00F57894"/>
    <w:rsid w:val="00F61C16"/>
    <w:rsid w:val="00F61E70"/>
    <w:rsid w:val="00F62403"/>
    <w:rsid w:val="00F62610"/>
    <w:rsid w:val="00F6466F"/>
    <w:rsid w:val="00F66FF1"/>
    <w:rsid w:val="00F6727B"/>
    <w:rsid w:val="00F67400"/>
    <w:rsid w:val="00F7038A"/>
    <w:rsid w:val="00F71CE0"/>
    <w:rsid w:val="00F7248C"/>
    <w:rsid w:val="00F75401"/>
    <w:rsid w:val="00F75EC1"/>
    <w:rsid w:val="00F76E21"/>
    <w:rsid w:val="00F77BDA"/>
    <w:rsid w:val="00F806BD"/>
    <w:rsid w:val="00F8240A"/>
    <w:rsid w:val="00F83F69"/>
    <w:rsid w:val="00F85BBF"/>
    <w:rsid w:val="00F860A6"/>
    <w:rsid w:val="00F86249"/>
    <w:rsid w:val="00F86A7A"/>
    <w:rsid w:val="00F86AC5"/>
    <w:rsid w:val="00F90AF9"/>
    <w:rsid w:val="00F912B2"/>
    <w:rsid w:val="00F94DB1"/>
    <w:rsid w:val="00F94E3F"/>
    <w:rsid w:val="00F95785"/>
    <w:rsid w:val="00F96986"/>
    <w:rsid w:val="00F96C8A"/>
    <w:rsid w:val="00F970C1"/>
    <w:rsid w:val="00FA0EE1"/>
    <w:rsid w:val="00FA2B3E"/>
    <w:rsid w:val="00FA306B"/>
    <w:rsid w:val="00FA6B8B"/>
    <w:rsid w:val="00FA6D45"/>
    <w:rsid w:val="00FA7BFE"/>
    <w:rsid w:val="00FA7EB7"/>
    <w:rsid w:val="00FB0EB9"/>
    <w:rsid w:val="00FB12FA"/>
    <w:rsid w:val="00FB1F2D"/>
    <w:rsid w:val="00FB2D85"/>
    <w:rsid w:val="00FB3615"/>
    <w:rsid w:val="00FB43C2"/>
    <w:rsid w:val="00FB57C3"/>
    <w:rsid w:val="00FB62F6"/>
    <w:rsid w:val="00FB6EEA"/>
    <w:rsid w:val="00FB7166"/>
    <w:rsid w:val="00FC0964"/>
    <w:rsid w:val="00FC1661"/>
    <w:rsid w:val="00FC30BE"/>
    <w:rsid w:val="00FC41F7"/>
    <w:rsid w:val="00FC433D"/>
    <w:rsid w:val="00FC50F8"/>
    <w:rsid w:val="00FC580F"/>
    <w:rsid w:val="00FC585B"/>
    <w:rsid w:val="00FC5958"/>
    <w:rsid w:val="00FC795C"/>
    <w:rsid w:val="00FC7BBE"/>
    <w:rsid w:val="00FD01FD"/>
    <w:rsid w:val="00FD1334"/>
    <w:rsid w:val="00FD4392"/>
    <w:rsid w:val="00FD4AAA"/>
    <w:rsid w:val="00FD5FD6"/>
    <w:rsid w:val="00FD744B"/>
    <w:rsid w:val="00FD7868"/>
    <w:rsid w:val="00FD7915"/>
    <w:rsid w:val="00FE18F6"/>
    <w:rsid w:val="00FE28E8"/>
    <w:rsid w:val="00FE3C10"/>
    <w:rsid w:val="00FE4018"/>
    <w:rsid w:val="00FE4B91"/>
    <w:rsid w:val="00FE6210"/>
    <w:rsid w:val="00FE6AC1"/>
    <w:rsid w:val="00FE743E"/>
    <w:rsid w:val="00FE7B73"/>
    <w:rsid w:val="00FF05EF"/>
    <w:rsid w:val="00FF19D9"/>
    <w:rsid w:val="00FF3676"/>
    <w:rsid w:val="00FF4633"/>
    <w:rsid w:val="00FF4CD6"/>
    <w:rsid w:val="00FF518D"/>
    <w:rsid w:val="00FF57BF"/>
    <w:rsid w:val="00FF5978"/>
    <w:rsid w:val="00FF7E23"/>
    <w:rsid w:val="00FF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E92"/>
    <w:pPr>
      <w:widowControl w:val="0"/>
      <w:spacing w:after="0" w:line="240" w:lineRule="auto"/>
    </w:pPr>
    <w:rPr>
      <w:rFonts w:ascii="Times New Roman" w:eastAsia="Times New Roman" w:hAnsi="Times New Roman" w:cs="Times New Roman"/>
      <w:sz w:val="24"/>
      <w:szCs w:val="20"/>
    </w:rPr>
  </w:style>
  <w:style w:type="paragraph" w:styleId="Heading1">
    <w:name w:val="heading 1"/>
    <w:basedOn w:val="Normal"/>
    <w:next w:val="QUESTION"/>
    <w:link w:val="Heading1Char"/>
    <w:qFormat/>
    <w:rsid w:val="00995E92"/>
    <w:pPr>
      <w:keepNext/>
      <w:spacing w:before="240" w:after="60" w:line="480" w:lineRule="atLeast"/>
      <w:ind w:left="547"/>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E92"/>
    <w:rPr>
      <w:rFonts w:ascii="Times New Roman" w:eastAsia="Times New Roman" w:hAnsi="Times New Roman" w:cs="Times New Roman"/>
      <w:b/>
      <w:sz w:val="24"/>
      <w:szCs w:val="20"/>
    </w:rPr>
  </w:style>
  <w:style w:type="paragraph" w:customStyle="1" w:styleId="Answer">
    <w:name w:val="Answer"/>
    <w:basedOn w:val="Normal"/>
    <w:link w:val="AnswerChar"/>
    <w:rsid w:val="00995E92"/>
    <w:pPr>
      <w:tabs>
        <w:tab w:val="left" w:pos="1080"/>
      </w:tabs>
      <w:spacing w:line="480" w:lineRule="atLeast"/>
      <w:ind w:left="547" w:hanging="547"/>
      <w:jc w:val="both"/>
    </w:pPr>
  </w:style>
  <w:style w:type="paragraph" w:customStyle="1" w:styleId="QUESTION">
    <w:name w:val="QUESTION"/>
    <w:basedOn w:val="Normal"/>
    <w:next w:val="Answer"/>
    <w:link w:val="QUESTIONChar"/>
    <w:rsid w:val="00995E92"/>
    <w:pPr>
      <w:tabs>
        <w:tab w:val="left" w:pos="720"/>
      </w:tabs>
      <w:spacing w:line="480" w:lineRule="atLeast"/>
      <w:ind w:left="547" w:hanging="547"/>
      <w:jc w:val="both"/>
    </w:pPr>
    <w:rPr>
      <w:rFonts w:ascii="Times New Roman Bold" w:hAnsi="Times New Roman Bold"/>
      <w:b/>
      <w:caps/>
    </w:rPr>
  </w:style>
  <w:style w:type="character" w:styleId="FootnoteReference">
    <w:name w:val="footnote reference"/>
    <w:aliases w:val="Style 3,fr,o,Style 6,Style 20"/>
    <w:basedOn w:val="DefaultParagraphFont"/>
    <w:uiPriority w:val="99"/>
    <w:rsid w:val="00995E92"/>
    <w:rPr>
      <w:sz w:val="20"/>
      <w:vertAlign w:val="superscript"/>
    </w:rPr>
  </w:style>
  <w:style w:type="paragraph" w:styleId="FootnoteText">
    <w:name w:val="footnote text"/>
    <w:aliases w:val="ALTS FOOTNOTE,fn,fn Char Char,fn Char,Footnote text,FOOTNOTE,Footnotes,Footnote Text Char1,Footnote Text Char Char,Footnote Text Char2 Char Char,Footnote Text Char Char1 Char Char,Footnote Text Char2 Char Char Char Char,Footnote Text 2, Ch"/>
    <w:basedOn w:val="Normal"/>
    <w:link w:val="FootnoteTextChar"/>
    <w:uiPriority w:val="99"/>
    <w:rsid w:val="00995E92"/>
    <w:pPr>
      <w:tabs>
        <w:tab w:val="left" w:pos="630"/>
        <w:tab w:val="left" w:pos="1440"/>
        <w:tab w:val="left" w:pos="2160"/>
        <w:tab w:val="left" w:pos="2880"/>
        <w:tab w:val="left" w:pos="3600"/>
        <w:tab w:val="left" w:pos="4320"/>
        <w:tab w:val="left" w:pos="5040"/>
        <w:tab w:val="left" w:pos="5760"/>
        <w:tab w:val="left" w:pos="6480"/>
        <w:tab w:val="left" w:pos="7200"/>
        <w:tab w:val="left" w:pos="7920"/>
      </w:tabs>
      <w:spacing w:after="240"/>
      <w:ind w:right="187" w:firstLine="547"/>
      <w:jc w:val="both"/>
    </w:pPr>
    <w:rPr>
      <w:sz w:val="22"/>
    </w:rPr>
  </w:style>
  <w:style w:type="character" w:customStyle="1" w:styleId="FootnoteTextChar">
    <w:name w:val="Footnote Text Char"/>
    <w:aliases w:val="ALTS FOOTNOTE Char,fn Char1,fn Char Char Char,fn Char Char1,Footnote text Char,FOOTNOTE Char,Footnotes Char,Footnote Text Char1 Char,Footnote Text Char Char Char,Footnote Text Char2 Char Char Char,Footnote Text 2 Char, Ch Char"/>
    <w:basedOn w:val="DefaultParagraphFont"/>
    <w:link w:val="FootnoteText"/>
    <w:uiPriority w:val="99"/>
    <w:rsid w:val="00995E92"/>
    <w:rPr>
      <w:rFonts w:ascii="Times New Roman" w:eastAsia="Times New Roman" w:hAnsi="Times New Roman" w:cs="Times New Roman"/>
      <w:szCs w:val="20"/>
    </w:rPr>
  </w:style>
  <w:style w:type="paragraph" w:styleId="BodyText">
    <w:name w:val="Body Text"/>
    <w:basedOn w:val="Normal"/>
    <w:link w:val="BodyTextChar"/>
    <w:rsid w:val="00995E92"/>
    <w:pPr>
      <w:widowControl/>
      <w:tabs>
        <w:tab w:val="center" w:pos="4320"/>
      </w:tabs>
      <w:suppressAutoHyphens/>
      <w:jc w:val="center"/>
    </w:pPr>
  </w:style>
  <w:style w:type="character" w:customStyle="1" w:styleId="BodyTextChar">
    <w:name w:val="Body Text Char"/>
    <w:basedOn w:val="DefaultParagraphFont"/>
    <w:link w:val="BodyText"/>
    <w:rsid w:val="00995E92"/>
    <w:rPr>
      <w:rFonts w:ascii="Times New Roman" w:eastAsia="Times New Roman" w:hAnsi="Times New Roman" w:cs="Times New Roman"/>
      <w:sz w:val="24"/>
      <w:szCs w:val="20"/>
    </w:rPr>
  </w:style>
  <w:style w:type="character" w:customStyle="1" w:styleId="AnswerChar">
    <w:name w:val="Answer Char"/>
    <w:basedOn w:val="DefaultParagraphFont"/>
    <w:link w:val="Answer"/>
    <w:rsid w:val="00995E92"/>
    <w:rPr>
      <w:rFonts w:ascii="Times New Roman" w:eastAsia="Times New Roman" w:hAnsi="Times New Roman" w:cs="Times New Roman"/>
      <w:sz w:val="24"/>
      <w:szCs w:val="20"/>
    </w:rPr>
  </w:style>
  <w:style w:type="character" w:customStyle="1" w:styleId="QUESTIONChar">
    <w:name w:val="QUESTION Char"/>
    <w:basedOn w:val="DefaultParagraphFont"/>
    <w:link w:val="QUESTION"/>
    <w:rsid w:val="00995E92"/>
    <w:rPr>
      <w:rFonts w:ascii="Times New Roman Bold" w:eastAsia="Times New Roman" w:hAnsi="Times New Roman Bold" w:cs="Times New Roman"/>
      <w:b/>
      <w:caps/>
      <w:sz w:val="24"/>
      <w:szCs w:val="20"/>
    </w:rPr>
  </w:style>
  <w:style w:type="paragraph" w:styleId="ListParagraph">
    <w:name w:val="List Paragraph"/>
    <w:basedOn w:val="Normal"/>
    <w:uiPriority w:val="34"/>
    <w:qFormat/>
    <w:rsid w:val="00995E92"/>
    <w:pPr>
      <w:widowControl/>
      <w:ind w:left="720"/>
    </w:pPr>
    <w:rPr>
      <w:rFonts w:ascii="Calibri" w:eastAsia="Calibri" w:hAnsi="Calibri"/>
      <w:sz w:val="22"/>
      <w:szCs w:val="22"/>
    </w:rPr>
  </w:style>
  <w:style w:type="paragraph" w:customStyle="1" w:styleId="Q">
    <w:name w:val="Q"/>
    <w:basedOn w:val="Normal"/>
    <w:rsid w:val="00995E92"/>
    <w:pPr>
      <w:tabs>
        <w:tab w:val="left" w:pos="720"/>
        <w:tab w:val="left" w:pos="1440"/>
        <w:tab w:val="left" w:pos="2160"/>
        <w:tab w:val="left" w:pos="2880"/>
        <w:tab w:val="left" w:pos="3600"/>
      </w:tabs>
      <w:spacing w:line="480" w:lineRule="exact"/>
      <w:ind w:left="720" w:hanging="720"/>
    </w:pPr>
    <w:rPr>
      <w:b/>
      <w:caps/>
    </w:rPr>
  </w:style>
  <w:style w:type="paragraph" w:customStyle="1" w:styleId="Default">
    <w:name w:val="Default"/>
    <w:rsid w:val="008B578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FC5958"/>
    <w:pPr>
      <w:tabs>
        <w:tab w:val="center" w:pos="4680"/>
        <w:tab w:val="right" w:pos="9360"/>
      </w:tabs>
    </w:pPr>
  </w:style>
  <w:style w:type="character" w:customStyle="1" w:styleId="HeaderChar">
    <w:name w:val="Header Char"/>
    <w:basedOn w:val="DefaultParagraphFont"/>
    <w:link w:val="Header"/>
    <w:uiPriority w:val="99"/>
    <w:semiHidden/>
    <w:rsid w:val="00FC5958"/>
    <w:rPr>
      <w:rFonts w:ascii="Times New Roman" w:eastAsia="Times New Roman" w:hAnsi="Times New Roman" w:cs="Times New Roman"/>
      <w:sz w:val="24"/>
      <w:szCs w:val="20"/>
    </w:rPr>
  </w:style>
  <w:style w:type="paragraph" w:styleId="Footer">
    <w:name w:val="footer"/>
    <w:basedOn w:val="Normal"/>
    <w:link w:val="FooterChar"/>
    <w:uiPriority w:val="99"/>
    <w:semiHidden/>
    <w:unhideWhenUsed/>
    <w:rsid w:val="00FC5958"/>
    <w:pPr>
      <w:tabs>
        <w:tab w:val="center" w:pos="4680"/>
        <w:tab w:val="right" w:pos="9360"/>
      </w:tabs>
    </w:pPr>
  </w:style>
  <w:style w:type="character" w:customStyle="1" w:styleId="FooterChar">
    <w:name w:val="Footer Char"/>
    <w:basedOn w:val="DefaultParagraphFont"/>
    <w:link w:val="Footer"/>
    <w:uiPriority w:val="99"/>
    <w:semiHidden/>
    <w:rsid w:val="00FC595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Brief</DocumentSetTyp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2005-06-21T07:00:00+00:00</OpenedDate>
    <Date1 xmlns="dc463f71-b30c-4ab2-9473-d307f9d35888">2013-03-15T07:00:00+00:00</Date1>
    <IsDocumentOrder xmlns="dc463f71-b30c-4ab2-9473-d307f9d35888" xsi:nil="true"/>
    <IsHighlyConfidential xmlns="dc463f71-b30c-4ab2-9473-d307f9d35888">false</IsHighlyConfidential>
    <CaseCompanyNames xmlns="dc463f71-b30c-4ab2-9473-d307f9d35888">Level 3 Communications, LLC;Qwest Corporation</CaseCompanyNames>
    <DocketNumber xmlns="dc463f71-b30c-4ab2-9473-d307f9d35888">053039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6C08C79438FDA4499913A2C4E8B9FB0" ma:contentTypeVersion="136" ma:contentTypeDescription="" ma:contentTypeScope="" ma:versionID="97fcb886217d8e3496aa68e390c27c0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B20EC5D-FAD3-4968-831B-AB9012FC8F38}"/>
</file>

<file path=customXml/itemProps2.xml><?xml version="1.0" encoding="utf-8"?>
<ds:datastoreItem xmlns:ds="http://schemas.openxmlformats.org/officeDocument/2006/customXml" ds:itemID="{C797F5A6-7514-441C-9397-57A932ECA951}"/>
</file>

<file path=customXml/itemProps3.xml><?xml version="1.0" encoding="utf-8"?>
<ds:datastoreItem xmlns:ds="http://schemas.openxmlformats.org/officeDocument/2006/customXml" ds:itemID="{C0A0C491-8472-4730-9F39-A1EDD550D67E}"/>
</file>

<file path=customXml/itemProps4.xml><?xml version="1.0" encoding="utf-8"?>
<ds:datastoreItem xmlns:ds="http://schemas.openxmlformats.org/officeDocument/2006/customXml" ds:itemID="{72C9204B-B9AB-4E6F-A230-BC487BDE9200}"/>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Anderl, Lisa</dc:creator>
  <cp:keywords/>
  <dc:description/>
  <cp:lastModifiedBy>CenturyLink Employee</cp:lastModifiedBy>
  <cp:revision>3</cp:revision>
  <dcterms:created xsi:type="dcterms:W3CDTF">2013-03-14T20:13:00Z</dcterms:created>
  <dcterms:modified xsi:type="dcterms:W3CDTF">2013-03-14T21:12:00Z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0x0101006E56B4D1795A2E4DB2F0B01679ED314A0076C08C79438FDA4499913A2C4E8B9FB0</vt:lpwstr>
  </property>
  <property fmtid="{D5CDD505-2E9C-101B-9397-08002B2CF9AE}" pid="3" name="_docset_NoMedatataSyncRequired">
    <vt:lpwstr>False</vt:lpwstr>
  </property>
</Properties>
</file>