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B9" w:rsidRPr="00F279B9" w:rsidRDefault="00F279B9" w:rsidP="00F279B9">
      <w:pPr>
        <w:spacing w:line="240" w:lineRule="auto"/>
        <w:ind w:left="4320" w:firstLine="0"/>
        <w:rPr>
          <w:b/>
        </w:rPr>
      </w:pPr>
      <w:proofErr w:type="spellStart"/>
      <w:r w:rsidRPr="00F279B9">
        <w:rPr>
          <w:b/>
        </w:rPr>
        <w:t>EXH</w:t>
      </w:r>
      <w:proofErr w:type="spellEnd"/>
      <w:r w:rsidRPr="00F279B9">
        <w:rPr>
          <w:b/>
        </w:rPr>
        <w:t>. </w:t>
      </w:r>
      <w:r>
        <w:rPr>
          <w:b/>
        </w:rPr>
        <w:t>WTE</w:t>
      </w:r>
      <w:r w:rsidRPr="00F279B9">
        <w:rPr>
          <w:b/>
        </w:rPr>
        <w:t>-1T</w:t>
      </w:r>
      <w:r w:rsidRPr="00F279B9">
        <w:rPr>
          <w:b/>
        </w:rPr>
        <w:br/>
        <w:t>DOCKETS UE-170033/UG-170034</w:t>
      </w:r>
      <w:r w:rsidRPr="00F279B9">
        <w:rPr>
          <w:b/>
        </w:rPr>
        <w:br/>
        <w:t>2017 PSE GENERAL RATE CASE</w:t>
      </w:r>
      <w:r w:rsidRPr="00F279B9">
        <w:rPr>
          <w:b/>
        </w:rPr>
        <w:br/>
        <w:t>WITNESS:</w:t>
      </w:r>
      <w:r w:rsidR="00BF069C">
        <w:rPr>
          <w:b/>
        </w:rPr>
        <w:t xml:space="preserve"> </w:t>
      </w:r>
      <w:r>
        <w:rPr>
          <w:b/>
        </w:rPr>
        <w:t>WILLIAM T. EINSTEIN</w:t>
      </w:r>
    </w:p>
    <w:p w:rsidR="00F279B9" w:rsidRPr="00F279B9" w:rsidRDefault="00F279B9" w:rsidP="00F279B9">
      <w:pPr>
        <w:spacing w:before="1200" w:line="240" w:lineRule="auto"/>
        <w:ind w:firstLine="0"/>
        <w:jc w:val="center"/>
        <w:rPr>
          <w:b/>
        </w:rPr>
      </w:pPr>
      <w:r w:rsidRPr="00F279B9">
        <w:rPr>
          <w:b/>
        </w:rPr>
        <w:t>BEFORE THE</w:t>
      </w:r>
    </w:p>
    <w:p w:rsidR="00F279B9" w:rsidRPr="00F279B9" w:rsidRDefault="00F279B9" w:rsidP="00F279B9">
      <w:pPr>
        <w:spacing w:after="720" w:line="240" w:lineRule="auto"/>
        <w:ind w:firstLine="0"/>
        <w:jc w:val="center"/>
        <w:rPr>
          <w:b/>
        </w:rPr>
      </w:pPr>
      <w:r w:rsidRPr="00F279B9">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279B9" w:rsidRPr="00F279B9" w:rsidTr="000249FA">
        <w:trPr>
          <w:cantSplit/>
        </w:trPr>
        <w:tc>
          <w:tcPr>
            <w:tcW w:w="4418" w:type="dxa"/>
            <w:tcBorders>
              <w:bottom w:val="single" w:sz="4" w:space="0" w:color="auto"/>
              <w:right w:val="single" w:sz="4" w:space="0" w:color="auto"/>
            </w:tcBorders>
          </w:tcPr>
          <w:p w:rsidR="00F279B9" w:rsidRPr="00F279B9" w:rsidRDefault="00F279B9" w:rsidP="00F279B9">
            <w:pPr>
              <w:spacing w:line="240" w:lineRule="auto"/>
              <w:ind w:firstLine="0"/>
              <w:rPr>
                <w:b/>
              </w:rPr>
            </w:pPr>
            <w:r w:rsidRPr="00F279B9">
              <w:rPr>
                <w:b/>
              </w:rPr>
              <w:t>WASHINGTON UTILITIES AND</w:t>
            </w:r>
          </w:p>
          <w:p w:rsidR="00F279B9" w:rsidRPr="00F279B9" w:rsidRDefault="00F279B9" w:rsidP="00F279B9">
            <w:pPr>
              <w:spacing w:after="240" w:line="240" w:lineRule="auto"/>
              <w:ind w:firstLine="0"/>
              <w:rPr>
                <w:b/>
              </w:rPr>
            </w:pPr>
            <w:r w:rsidRPr="00F279B9">
              <w:rPr>
                <w:b/>
              </w:rPr>
              <w:t>TRANSPORTATION COMMISSION,</w:t>
            </w:r>
          </w:p>
          <w:p w:rsidR="00F279B9" w:rsidRPr="00F279B9" w:rsidRDefault="00F279B9" w:rsidP="00F279B9">
            <w:pPr>
              <w:spacing w:after="240" w:line="240" w:lineRule="auto"/>
              <w:ind w:left="2438" w:firstLine="0"/>
              <w:rPr>
                <w:b/>
              </w:rPr>
            </w:pPr>
            <w:r w:rsidRPr="00F279B9">
              <w:rPr>
                <w:b/>
              </w:rPr>
              <w:t>Complainant,</w:t>
            </w:r>
          </w:p>
          <w:p w:rsidR="00F279B9" w:rsidRPr="00F279B9" w:rsidRDefault="00F279B9" w:rsidP="00F279B9">
            <w:pPr>
              <w:spacing w:after="240" w:line="240" w:lineRule="auto"/>
              <w:ind w:left="728" w:firstLine="0"/>
              <w:rPr>
                <w:b/>
              </w:rPr>
            </w:pPr>
            <w:r w:rsidRPr="00F279B9">
              <w:rPr>
                <w:b/>
              </w:rPr>
              <w:t>v.</w:t>
            </w:r>
          </w:p>
          <w:p w:rsidR="00F279B9" w:rsidRPr="00F279B9" w:rsidRDefault="00F279B9" w:rsidP="00F279B9">
            <w:pPr>
              <w:spacing w:after="240" w:line="240" w:lineRule="auto"/>
              <w:ind w:left="8" w:firstLine="0"/>
              <w:rPr>
                <w:b/>
              </w:rPr>
            </w:pPr>
            <w:r w:rsidRPr="00F279B9">
              <w:rPr>
                <w:b/>
              </w:rPr>
              <w:t>PUGET SOUND ENERGY,</w:t>
            </w:r>
          </w:p>
          <w:p w:rsidR="00F279B9" w:rsidRPr="00F279B9" w:rsidRDefault="00F279B9" w:rsidP="00F279B9">
            <w:pPr>
              <w:spacing w:after="240" w:line="240" w:lineRule="auto"/>
              <w:ind w:left="2438" w:firstLine="0"/>
              <w:rPr>
                <w:b/>
              </w:rPr>
            </w:pPr>
            <w:r w:rsidRPr="00F279B9">
              <w:rPr>
                <w:b/>
              </w:rPr>
              <w:t>Respondent.</w:t>
            </w:r>
          </w:p>
        </w:tc>
        <w:tc>
          <w:tcPr>
            <w:tcW w:w="360" w:type="dxa"/>
            <w:tcBorders>
              <w:left w:val="single" w:sz="4" w:space="0" w:color="auto"/>
            </w:tcBorders>
          </w:tcPr>
          <w:p w:rsidR="00F279B9" w:rsidRPr="00F279B9" w:rsidRDefault="00F279B9" w:rsidP="00F279B9">
            <w:pPr>
              <w:spacing w:line="240" w:lineRule="auto"/>
              <w:rPr>
                <w:b/>
              </w:rPr>
            </w:pPr>
          </w:p>
        </w:tc>
        <w:tc>
          <w:tcPr>
            <w:tcW w:w="4423" w:type="dxa"/>
            <w:vAlign w:val="center"/>
          </w:tcPr>
          <w:p w:rsidR="00F279B9" w:rsidRPr="00F279B9" w:rsidRDefault="00F279B9" w:rsidP="00F279B9">
            <w:pPr>
              <w:spacing w:line="240" w:lineRule="auto"/>
              <w:ind w:left="198" w:firstLine="0"/>
              <w:rPr>
                <w:b/>
              </w:rPr>
            </w:pPr>
            <w:r w:rsidRPr="00F279B9">
              <w:rPr>
                <w:b/>
              </w:rPr>
              <w:t>Docket UE-170033</w:t>
            </w:r>
          </w:p>
          <w:p w:rsidR="00F279B9" w:rsidRPr="00F279B9" w:rsidRDefault="00F279B9" w:rsidP="00F279B9">
            <w:pPr>
              <w:spacing w:line="240" w:lineRule="auto"/>
              <w:ind w:left="198" w:firstLine="0"/>
              <w:rPr>
                <w:b/>
              </w:rPr>
            </w:pPr>
            <w:r w:rsidRPr="00F279B9">
              <w:rPr>
                <w:b/>
              </w:rPr>
              <w:t>Docket UG-170034</w:t>
            </w:r>
          </w:p>
        </w:tc>
      </w:tr>
    </w:tbl>
    <w:p w:rsidR="00F279B9" w:rsidRPr="00F279B9" w:rsidRDefault="00CB7615" w:rsidP="00F279B9">
      <w:pPr>
        <w:spacing w:before="720" w:line="240" w:lineRule="auto"/>
        <w:ind w:firstLine="0"/>
        <w:jc w:val="center"/>
        <w:rPr>
          <w:b/>
        </w:rPr>
      </w:pPr>
      <w:proofErr w:type="spellStart"/>
      <w:r>
        <w:rPr>
          <w:b/>
        </w:rPr>
        <w:t>PREFILED</w:t>
      </w:r>
      <w:proofErr w:type="spellEnd"/>
      <w:r>
        <w:rPr>
          <w:b/>
        </w:rPr>
        <w:t xml:space="preserve"> REBUTTAL TESTIMONY</w:t>
      </w:r>
      <w:r>
        <w:rPr>
          <w:b/>
        </w:rPr>
        <w:br/>
      </w:r>
      <w:r w:rsidR="00F279B9" w:rsidRPr="00F279B9">
        <w:rPr>
          <w:b/>
        </w:rPr>
        <w:t>(</w:t>
      </w:r>
      <w:proofErr w:type="spellStart"/>
      <w:r w:rsidR="00F279B9" w:rsidRPr="00F279B9">
        <w:rPr>
          <w:b/>
        </w:rPr>
        <w:t>NONCONFIDENTIAL</w:t>
      </w:r>
      <w:proofErr w:type="spellEnd"/>
      <w:r w:rsidR="00F279B9" w:rsidRPr="00F279B9">
        <w:rPr>
          <w:b/>
        </w:rPr>
        <w:t>) OF</w:t>
      </w:r>
    </w:p>
    <w:p w:rsidR="00F279B9" w:rsidRPr="00F279B9" w:rsidRDefault="00F279B9" w:rsidP="00F279B9">
      <w:pPr>
        <w:spacing w:before="240" w:after="240" w:line="240" w:lineRule="auto"/>
        <w:ind w:firstLine="0"/>
        <w:jc w:val="center"/>
        <w:rPr>
          <w:b/>
        </w:rPr>
      </w:pPr>
      <w:r>
        <w:rPr>
          <w:b/>
        </w:rPr>
        <w:t>WILLIAM T. EINSTEIN</w:t>
      </w:r>
    </w:p>
    <w:p w:rsidR="00F279B9" w:rsidRPr="00F279B9" w:rsidRDefault="00F279B9" w:rsidP="00CB7615">
      <w:pPr>
        <w:spacing w:after="3840" w:line="240" w:lineRule="auto"/>
        <w:ind w:firstLine="0"/>
        <w:jc w:val="center"/>
        <w:rPr>
          <w:b/>
        </w:rPr>
      </w:pPr>
      <w:r w:rsidRPr="00F279B9">
        <w:rPr>
          <w:b/>
        </w:rPr>
        <w:t>ON BEHALF OF PUGET SOUND ENERGY</w:t>
      </w:r>
    </w:p>
    <w:p w:rsidR="00F279B9" w:rsidRPr="00F279B9" w:rsidRDefault="00F279B9" w:rsidP="00F279B9">
      <w:pPr>
        <w:spacing w:line="240" w:lineRule="auto"/>
        <w:ind w:firstLine="0"/>
        <w:jc w:val="center"/>
        <w:rPr>
          <w:b/>
          <w:bCs/>
          <w:szCs w:val="24"/>
        </w:rPr>
      </w:pPr>
      <w:r w:rsidRPr="00F279B9">
        <w:rPr>
          <w:b/>
        </w:rPr>
        <w:t>AUGUST 9, 2017</w:t>
      </w:r>
    </w:p>
    <w:p w:rsidR="00F279B9" w:rsidRPr="00F279B9" w:rsidRDefault="00F279B9" w:rsidP="00F279B9">
      <w:pPr>
        <w:spacing w:line="240" w:lineRule="auto"/>
        <w:ind w:firstLine="0"/>
        <w:jc w:val="center"/>
        <w:rPr>
          <w:b/>
          <w:bCs/>
          <w:szCs w:val="24"/>
        </w:rPr>
        <w:sectPr w:rsidR="00F279B9" w:rsidRPr="00F279B9">
          <w:headerReference w:type="default" r:id="rId9"/>
          <w:footerReference w:type="default" r:id="rId10"/>
          <w:pgSz w:w="12240" w:h="15840" w:code="1"/>
          <w:pgMar w:top="1440" w:right="1440" w:bottom="1440" w:left="2160" w:header="720" w:footer="864" w:gutter="0"/>
          <w:pgNumType w:start="1"/>
          <w:cols w:space="720"/>
          <w:rtlGutter/>
        </w:sectPr>
      </w:pPr>
    </w:p>
    <w:p w:rsidR="00F279B9" w:rsidRPr="00F279B9" w:rsidRDefault="00F279B9" w:rsidP="00BF069C">
      <w:pPr>
        <w:spacing w:after="360" w:line="240" w:lineRule="auto"/>
        <w:ind w:left="547" w:right="547" w:firstLine="0"/>
        <w:jc w:val="center"/>
        <w:rPr>
          <w:b/>
          <w:bCs/>
          <w:szCs w:val="24"/>
        </w:rPr>
      </w:pPr>
      <w:r w:rsidRPr="00F279B9">
        <w:rPr>
          <w:b/>
          <w:bCs/>
          <w:szCs w:val="24"/>
        </w:rPr>
        <w:lastRenderedPageBreak/>
        <w:t>PUGET SOUND ENERGY</w:t>
      </w:r>
      <w:bookmarkStart w:id="0" w:name="TOCTitle"/>
    </w:p>
    <w:p w:rsidR="00F279B9" w:rsidRPr="00F279B9" w:rsidRDefault="00CB7615" w:rsidP="00BF069C">
      <w:pPr>
        <w:spacing w:after="360" w:line="240" w:lineRule="auto"/>
        <w:ind w:left="547" w:right="547" w:firstLine="0"/>
        <w:jc w:val="center"/>
        <w:rPr>
          <w:b/>
        </w:rPr>
      </w:pPr>
      <w:proofErr w:type="spellStart"/>
      <w:r>
        <w:rPr>
          <w:b/>
        </w:rPr>
        <w:t>PREFILED</w:t>
      </w:r>
      <w:proofErr w:type="spellEnd"/>
      <w:r>
        <w:rPr>
          <w:b/>
        </w:rPr>
        <w:t xml:space="preserve"> REBUTTAL TESTIMONY</w:t>
      </w:r>
      <w:r>
        <w:rPr>
          <w:b/>
        </w:rPr>
        <w:br/>
        <w:t>(</w:t>
      </w:r>
      <w:proofErr w:type="spellStart"/>
      <w:r>
        <w:rPr>
          <w:b/>
        </w:rPr>
        <w:t>NONCONFIDENTIAL</w:t>
      </w:r>
      <w:proofErr w:type="spellEnd"/>
      <w:r>
        <w:rPr>
          <w:b/>
        </w:rPr>
        <w:t>) OF</w:t>
      </w:r>
      <w:r w:rsidR="00BF069C">
        <w:rPr>
          <w:b/>
        </w:rPr>
        <w:br/>
      </w:r>
      <w:r w:rsidR="00F279B9">
        <w:rPr>
          <w:b/>
        </w:rPr>
        <w:t>WILLIAM T. EINSTEIN</w:t>
      </w:r>
    </w:p>
    <w:p w:rsidR="00F279B9" w:rsidRPr="00F279B9" w:rsidRDefault="00F279B9" w:rsidP="00BF069C">
      <w:pPr>
        <w:spacing w:after="360" w:line="240" w:lineRule="auto"/>
        <w:ind w:left="547" w:right="547" w:firstLine="0"/>
        <w:jc w:val="center"/>
        <w:rPr>
          <w:b/>
          <w:bCs/>
        </w:rPr>
      </w:pPr>
      <w:r w:rsidRPr="00F279B9">
        <w:rPr>
          <w:b/>
          <w:bCs/>
        </w:rPr>
        <w:t>CONTENTS</w:t>
      </w:r>
      <w:bookmarkEnd w:id="0"/>
    </w:p>
    <w:p w:rsidR="009B6D02" w:rsidRPr="009B6D02" w:rsidRDefault="00F8418D">
      <w:pPr>
        <w:pStyle w:val="TOC1"/>
        <w:rPr>
          <w:rFonts w:asciiTheme="minorHAnsi" w:eastAsiaTheme="minorEastAsia" w:hAnsiTheme="minorHAnsi" w:cstheme="minorBidi"/>
          <w:color w:val="auto"/>
          <w:sz w:val="22"/>
          <w:szCs w:val="22"/>
          <w:lang w:eastAsia="en-US"/>
        </w:rPr>
      </w:pPr>
      <w:r w:rsidRPr="00311FB0">
        <w:rPr>
          <w:bCs/>
          <w:color w:val="auto"/>
        </w:rPr>
        <w:fldChar w:fldCharType="begin"/>
      </w:r>
      <w:r w:rsidRPr="00311FB0">
        <w:rPr>
          <w:bCs/>
          <w:color w:val="auto"/>
        </w:rPr>
        <w:instrText xml:space="preserve"> TOC \o "1-5" \h \z \u </w:instrText>
      </w:r>
      <w:r w:rsidRPr="00311FB0">
        <w:rPr>
          <w:bCs/>
          <w:color w:val="auto"/>
        </w:rPr>
        <w:fldChar w:fldCharType="separate"/>
      </w:r>
      <w:hyperlink w:anchor="_Toc489873763" w:history="1">
        <w:r w:rsidR="009B6D02" w:rsidRPr="009B6D02">
          <w:rPr>
            <w:rStyle w:val="Hyperlink"/>
            <w:color w:val="auto"/>
          </w:rPr>
          <w:t>I.</w:t>
        </w:r>
        <w:r w:rsidR="009B6D02" w:rsidRPr="009B6D02">
          <w:rPr>
            <w:rFonts w:asciiTheme="minorHAnsi" w:eastAsiaTheme="minorEastAsia" w:hAnsiTheme="minorHAnsi" w:cstheme="minorBidi"/>
            <w:color w:val="auto"/>
            <w:sz w:val="22"/>
            <w:szCs w:val="22"/>
            <w:lang w:eastAsia="en-US"/>
          </w:rPr>
          <w:tab/>
        </w:r>
        <w:r w:rsidR="009B6D02" w:rsidRPr="009B6D02">
          <w:rPr>
            <w:rStyle w:val="Hyperlink"/>
            <w:color w:val="auto"/>
          </w:rPr>
          <w:t>INTRODUCTION</w:t>
        </w:r>
        <w:r w:rsidR="009B6D02" w:rsidRPr="009B6D02">
          <w:rPr>
            <w:webHidden/>
            <w:color w:val="auto"/>
          </w:rPr>
          <w:tab/>
        </w:r>
        <w:r w:rsidR="009B6D02" w:rsidRPr="009B6D02">
          <w:rPr>
            <w:webHidden/>
            <w:color w:val="auto"/>
          </w:rPr>
          <w:fldChar w:fldCharType="begin"/>
        </w:r>
        <w:r w:rsidR="009B6D02" w:rsidRPr="009B6D02">
          <w:rPr>
            <w:webHidden/>
            <w:color w:val="auto"/>
          </w:rPr>
          <w:instrText xml:space="preserve"> PAGEREF _Toc489873763 \h </w:instrText>
        </w:r>
        <w:r w:rsidR="009B6D02" w:rsidRPr="009B6D02">
          <w:rPr>
            <w:webHidden/>
            <w:color w:val="auto"/>
          </w:rPr>
        </w:r>
        <w:r w:rsidR="009B6D02" w:rsidRPr="009B6D02">
          <w:rPr>
            <w:webHidden/>
            <w:color w:val="auto"/>
          </w:rPr>
          <w:fldChar w:fldCharType="separate"/>
        </w:r>
        <w:r w:rsidR="003D712F">
          <w:rPr>
            <w:webHidden/>
            <w:color w:val="auto"/>
          </w:rPr>
          <w:t>1</w:t>
        </w:r>
        <w:r w:rsidR="009B6D02" w:rsidRPr="009B6D02">
          <w:rPr>
            <w:webHidden/>
            <w:color w:val="auto"/>
          </w:rPr>
          <w:fldChar w:fldCharType="end"/>
        </w:r>
      </w:hyperlink>
    </w:p>
    <w:p w:rsidR="009B6D02" w:rsidRPr="009B6D02" w:rsidRDefault="00B17B7A">
      <w:pPr>
        <w:pStyle w:val="TOC1"/>
        <w:rPr>
          <w:rFonts w:asciiTheme="minorHAnsi" w:eastAsiaTheme="minorEastAsia" w:hAnsiTheme="minorHAnsi" w:cstheme="minorBidi"/>
          <w:color w:val="auto"/>
          <w:sz w:val="22"/>
          <w:szCs w:val="22"/>
          <w:lang w:eastAsia="en-US"/>
        </w:rPr>
      </w:pPr>
      <w:hyperlink w:anchor="_Toc489873764" w:history="1">
        <w:r w:rsidR="009B6D02" w:rsidRPr="009B6D02">
          <w:rPr>
            <w:rStyle w:val="Hyperlink"/>
            <w:color w:val="auto"/>
          </w:rPr>
          <w:t>II.</w:t>
        </w:r>
        <w:r w:rsidR="009B6D02" w:rsidRPr="009B6D02">
          <w:rPr>
            <w:rFonts w:asciiTheme="minorHAnsi" w:eastAsiaTheme="minorEastAsia" w:hAnsiTheme="minorHAnsi" w:cstheme="minorBidi"/>
            <w:color w:val="auto"/>
            <w:sz w:val="22"/>
            <w:szCs w:val="22"/>
            <w:lang w:eastAsia="en-US"/>
          </w:rPr>
          <w:tab/>
        </w:r>
        <w:r w:rsidR="009B6D02" w:rsidRPr="009B6D02">
          <w:rPr>
            <w:rStyle w:val="Hyperlink"/>
            <w:color w:val="auto"/>
          </w:rPr>
          <w:t>RESPONSE TO STAFF’S RECOMMENDED TERMINATION OF PSE’S EQUIPMENT RENTAL PROGRAM</w:t>
        </w:r>
        <w:r w:rsidR="009B6D02" w:rsidRPr="009B6D02">
          <w:rPr>
            <w:webHidden/>
            <w:color w:val="auto"/>
          </w:rPr>
          <w:tab/>
        </w:r>
        <w:r w:rsidR="009B6D02" w:rsidRPr="009B6D02">
          <w:rPr>
            <w:webHidden/>
            <w:color w:val="auto"/>
          </w:rPr>
          <w:fldChar w:fldCharType="begin"/>
        </w:r>
        <w:r w:rsidR="009B6D02" w:rsidRPr="009B6D02">
          <w:rPr>
            <w:webHidden/>
            <w:color w:val="auto"/>
          </w:rPr>
          <w:instrText xml:space="preserve"> PAGEREF _Toc489873764 \h </w:instrText>
        </w:r>
        <w:r w:rsidR="009B6D02" w:rsidRPr="009B6D02">
          <w:rPr>
            <w:webHidden/>
            <w:color w:val="auto"/>
          </w:rPr>
        </w:r>
        <w:r w:rsidR="009B6D02" w:rsidRPr="009B6D02">
          <w:rPr>
            <w:webHidden/>
            <w:color w:val="auto"/>
          </w:rPr>
          <w:fldChar w:fldCharType="separate"/>
        </w:r>
        <w:r w:rsidR="003D712F">
          <w:rPr>
            <w:webHidden/>
            <w:color w:val="auto"/>
          </w:rPr>
          <w:t>2</w:t>
        </w:r>
        <w:r w:rsidR="009B6D02" w:rsidRPr="009B6D02">
          <w:rPr>
            <w:webHidden/>
            <w:color w:val="auto"/>
          </w:rPr>
          <w:fldChar w:fldCharType="end"/>
        </w:r>
      </w:hyperlink>
    </w:p>
    <w:p w:rsidR="009B6D02" w:rsidRDefault="00B17B7A">
      <w:pPr>
        <w:pStyle w:val="TOC1"/>
        <w:rPr>
          <w:rFonts w:asciiTheme="minorHAnsi" w:eastAsiaTheme="minorEastAsia" w:hAnsiTheme="minorHAnsi" w:cstheme="minorBidi"/>
          <w:color w:val="auto"/>
          <w:sz w:val="22"/>
          <w:szCs w:val="22"/>
          <w:lang w:eastAsia="en-US"/>
        </w:rPr>
      </w:pPr>
      <w:hyperlink w:anchor="_Toc489873765" w:history="1">
        <w:r w:rsidR="009B6D02" w:rsidRPr="009B6D02">
          <w:rPr>
            <w:rStyle w:val="Hyperlink"/>
            <w:color w:val="auto"/>
          </w:rPr>
          <w:t>III.</w:t>
        </w:r>
        <w:r w:rsidR="009B6D02" w:rsidRPr="009B6D02">
          <w:rPr>
            <w:rFonts w:asciiTheme="minorHAnsi" w:eastAsiaTheme="minorEastAsia" w:hAnsiTheme="minorHAnsi" w:cstheme="minorBidi"/>
            <w:color w:val="auto"/>
            <w:sz w:val="22"/>
            <w:szCs w:val="22"/>
            <w:lang w:eastAsia="en-US"/>
          </w:rPr>
          <w:tab/>
        </w:r>
        <w:r w:rsidR="009B6D02" w:rsidRPr="009B6D02">
          <w:rPr>
            <w:rStyle w:val="Hyperlink"/>
            <w:color w:val="auto"/>
          </w:rPr>
          <w:t>CONCLUSION</w:t>
        </w:r>
        <w:r w:rsidR="009B6D02" w:rsidRPr="009B6D02">
          <w:rPr>
            <w:webHidden/>
            <w:color w:val="auto"/>
          </w:rPr>
          <w:tab/>
        </w:r>
        <w:r w:rsidR="009B6D02" w:rsidRPr="009B6D02">
          <w:rPr>
            <w:webHidden/>
            <w:color w:val="auto"/>
          </w:rPr>
          <w:fldChar w:fldCharType="begin"/>
        </w:r>
        <w:r w:rsidR="009B6D02" w:rsidRPr="009B6D02">
          <w:rPr>
            <w:webHidden/>
            <w:color w:val="auto"/>
          </w:rPr>
          <w:instrText xml:space="preserve"> PAGEREF _Toc489873765 \h </w:instrText>
        </w:r>
        <w:r w:rsidR="009B6D02" w:rsidRPr="009B6D02">
          <w:rPr>
            <w:webHidden/>
            <w:color w:val="auto"/>
          </w:rPr>
        </w:r>
        <w:r w:rsidR="009B6D02" w:rsidRPr="009B6D02">
          <w:rPr>
            <w:webHidden/>
            <w:color w:val="auto"/>
          </w:rPr>
          <w:fldChar w:fldCharType="separate"/>
        </w:r>
        <w:r w:rsidR="003D712F">
          <w:rPr>
            <w:webHidden/>
            <w:color w:val="auto"/>
          </w:rPr>
          <w:t>10</w:t>
        </w:r>
        <w:r w:rsidR="009B6D02" w:rsidRPr="009B6D02">
          <w:rPr>
            <w:webHidden/>
            <w:color w:val="auto"/>
          </w:rPr>
          <w:fldChar w:fldCharType="end"/>
        </w:r>
      </w:hyperlink>
    </w:p>
    <w:p w:rsidR="001707DB" w:rsidRDefault="00F8418D" w:rsidP="00BF069C">
      <w:pPr>
        <w:pStyle w:val="TOC1"/>
        <w:rPr>
          <w:bCs/>
        </w:rPr>
      </w:pPr>
      <w:r w:rsidRPr="00311FB0">
        <w:rPr>
          <w:bCs/>
          <w:color w:val="auto"/>
        </w:rPr>
        <w:fldChar w:fldCharType="end"/>
      </w:r>
      <w:r w:rsidR="001707DB">
        <w:rPr>
          <w:bCs/>
        </w:rPr>
        <w:br w:type="page"/>
      </w:r>
    </w:p>
    <w:p w:rsidR="001707DB" w:rsidRPr="001707DB" w:rsidRDefault="001707DB" w:rsidP="00BF069C">
      <w:pPr>
        <w:keepLines/>
        <w:tabs>
          <w:tab w:val="left" w:leader="dot" w:pos="8640"/>
          <w:tab w:val="right" w:pos="9000"/>
        </w:tabs>
        <w:spacing w:before="240" w:after="360" w:line="240" w:lineRule="auto"/>
        <w:ind w:firstLine="0"/>
        <w:jc w:val="center"/>
        <w:rPr>
          <w:rFonts w:eastAsia="SimSun"/>
          <w:b/>
          <w:bCs/>
          <w:noProof/>
          <w:szCs w:val="24"/>
        </w:rPr>
      </w:pPr>
      <w:r w:rsidRPr="001707DB">
        <w:rPr>
          <w:rFonts w:eastAsia="SimSun"/>
          <w:b/>
          <w:bCs/>
          <w:noProof/>
          <w:szCs w:val="24"/>
        </w:rPr>
        <w:lastRenderedPageBreak/>
        <w:t>LIST OF EXHIBITS</w:t>
      </w:r>
    </w:p>
    <w:p w:rsidR="001707DB" w:rsidRPr="001707DB" w:rsidRDefault="001707DB" w:rsidP="001707DB">
      <w:pPr>
        <w:keepLines/>
        <w:tabs>
          <w:tab w:val="left" w:leader="dot" w:pos="8640"/>
          <w:tab w:val="right" w:pos="9000"/>
        </w:tabs>
        <w:spacing w:before="240" w:line="240" w:lineRule="atLeast"/>
        <w:ind w:left="1440" w:right="1440" w:hanging="1440"/>
        <w:rPr>
          <w:rFonts w:eastAsia="SimSun"/>
          <w:bCs/>
          <w:noProof/>
          <w:szCs w:val="24"/>
        </w:rPr>
      </w:pPr>
      <w:r>
        <w:rPr>
          <w:rFonts w:eastAsia="SimSun"/>
          <w:bCs/>
          <w:noProof/>
          <w:szCs w:val="24"/>
        </w:rPr>
        <w:t>Exh. WTE-2</w:t>
      </w:r>
      <w:r w:rsidRPr="001707DB">
        <w:rPr>
          <w:rFonts w:eastAsia="SimSun"/>
          <w:bCs/>
          <w:noProof/>
          <w:szCs w:val="24"/>
        </w:rPr>
        <w:tab/>
      </w:r>
      <w:r>
        <w:rPr>
          <w:rFonts w:eastAsia="SimSun"/>
          <w:bCs/>
          <w:noProof/>
          <w:szCs w:val="24"/>
        </w:rPr>
        <w:t>Professional Qualifications</w:t>
      </w:r>
    </w:p>
    <w:p w:rsidR="001707DB" w:rsidRPr="009D1F78" w:rsidRDefault="001707DB" w:rsidP="00734EBA">
      <w:pPr>
        <w:pStyle w:val="TOC1"/>
        <w:rPr>
          <w:b/>
          <w:bCs/>
        </w:rPr>
        <w:sectPr w:rsidR="001707DB" w:rsidRPr="009D1F78">
          <w:headerReference w:type="default" r:id="rId11"/>
          <w:footerReference w:type="default" r:id="rId12"/>
          <w:pgSz w:w="12240" w:h="15840" w:code="1"/>
          <w:pgMar w:top="1440" w:right="1440" w:bottom="1440" w:left="2160" w:header="864" w:footer="576" w:gutter="0"/>
          <w:pgNumType w:fmt="lowerRoman" w:start="1"/>
          <w:cols w:space="720"/>
        </w:sectPr>
      </w:pPr>
    </w:p>
    <w:p w:rsidR="00F279B9" w:rsidRPr="00F279B9" w:rsidRDefault="00F279B9" w:rsidP="00BF069C">
      <w:pPr>
        <w:spacing w:after="360" w:line="240" w:lineRule="auto"/>
        <w:ind w:left="547" w:right="547" w:firstLine="0"/>
        <w:jc w:val="center"/>
        <w:rPr>
          <w:b/>
          <w:bCs/>
          <w:szCs w:val="24"/>
        </w:rPr>
      </w:pPr>
      <w:r w:rsidRPr="00F279B9">
        <w:rPr>
          <w:b/>
          <w:bCs/>
          <w:szCs w:val="24"/>
        </w:rPr>
        <w:lastRenderedPageBreak/>
        <w:t>PUGET SOUND ENERGY</w:t>
      </w:r>
      <w:bookmarkStart w:id="1" w:name="_Toc125167531"/>
      <w:bookmarkStart w:id="2" w:name="_Toc127023381"/>
    </w:p>
    <w:p w:rsidR="00F279B9" w:rsidRPr="00F279B9" w:rsidRDefault="00CB7615" w:rsidP="00BF069C">
      <w:pPr>
        <w:spacing w:after="360" w:line="240" w:lineRule="auto"/>
        <w:ind w:left="547" w:right="547" w:firstLine="0"/>
        <w:jc w:val="center"/>
        <w:rPr>
          <w:b/>
        </w:rPr>
      </w:pPr>
      <w:proofErr w:type="spellStart"/>
      <w:r>
        <w:rPr>
          <w:b/>
        </w:rPr>
        <w:t>PREFILED</w:t>
      </w:r>
      <w:proofErr w:type="spellEnd"/>
      <w:r>
        <w:rPr>
          <w:b/>
        </w:rPr>
        <w:t xml:space="preserve"> REBUTTAL TESTIMONY</w:t>
      </w:r>
      <w:r>
        <w:rPr>
          <w:b/>
        </w:rPr>
        <w:br/>
      </w:r>
      <w:r w:rsidR="00F279B9" w:rsidRPr="00F279B9">
        <w:rPr>
          <w:b/>
        </w:rPr>
        <w:t>(</w:t>
      </w:r>
      <w:proofErr w:type="spellStart"/>
      <w:r w:rsidR="00F279B9" w:rsidRPr="00F279B9">
        <w:rPr>
          <w:b/>
        </w:rPr>
        <w:t>NONCONFIDENTIAL</w:t>
      </w:r>
      <w:proofErr w:type="spellEnd"/>
      <w:r w:rsidR="00F279B9" w:rsidRPr="00F279B9">
        <w:rPr>
          <w:b/>
        </w:rPr>
        <w:t>) OF</w:t>
      </w:r>
      <w:r w:rsidR="00BF069C">
        <w:rPr>
          <w:b/>
        </w:rPr>
        <w:br/>
      </w:r>
      <w:r w:rsidR="00F279B9">
        <w:rPr>
          <w:b/>
        </w:rPr>
        <w:t>WILLIAM T. EINSTEIN</w:t>
      </w:r>
    </w:p>
    <w:p w:rsidR="00F279B9" w:rsidRPr="00F279B9" w:rsidRDefault="00F279B9" w:rsidP="00BF069C">
      <w:pPr>
        <w:pStyle w:val="Heading1"/>
      </w:pPr>
      <w:bookmarkStart w:id="3" w:name="_Toc488931862"/>
      <w:bookmarkStart w:id="4" w:name="_Toc489873763"/>
      <w:r w:rsidRPr="00F279B9">
        <w:t>I.</w:t>
      </w:r>
      <w:r w:rsidRPr="00F279B9">
        <w:tab/>
        <w:t>INTRODUCTION</w:t>
      </w:r>
      <w:bookmarkEnd w:id="1"/>
      <w:bookmarkEnd w:id="2"/>
      <w:bookmarkEnd w:id="3"/>
      <w:bookmarkEnd w:id="4"/>
    </w:p>
    <w:p w:rsidR="00F8418D" w:rsidRPr="00734EBA" w:rsidRDefault="00F8418D" w:rsidP="00734EBA">
      <w:pPr>
        <w:pStyle w:val="question"/>
      </w:pPr>
      <w:r w:rsidRPr="00734EBA">
        <w:t>Q.</w:t>
      </w:r>
      <w:r w:rsidRPr="00734EBA">
        <w:tab/>
      </w:r>
      <w:r w:rsidR="009635BD">
        <w:t>Please state your name and business address.</w:t>
      </w:r>
    </w:p>
    <w:p w:rsidR="00F8418D" w:rsidRDefault="00F8418D" w:rsidP="00734EBA">
      <w:pPr>
        <w:pStyle w:val="answer"/>
        <w:rPr>
          <w:rFonts w:eastAsia="SimSun"/>
        </w:rPr>
      </w:pPr>
      <w:r w:rsidRPr="009075DC">
        <w:rPr>
          <w:rFonts w:eastAsia="SimSun"/>
        </w:rPr>
        <w:t>A.</w:t>
      </w:r>
      <w:r w:rsidRPr="009075DC">
        <w:rPr>
          <w:rFonts w:eastAsia="SimSun"/>
        </w:rPr>
        <w:tab/>
      </w:r>
      <w:r w:rsidR="009635BD">
        <w:rPr>
          <w:rFonts w:eastAsia="SimSun"/>
        </w:rPr>
        <w:t>My name is William T. Einstein, and my business address is 10885 N.E. Fourth Stree</w:t>
      </w:r>
      <w:r w:rsidR="00F279B9">
        <w:rPr>
          <w:rFonts w:eastAsia="SimSun"/>
        </w:rPr>
        <w:t xml:space="preserve">t, Bellevue, Washington 98004. </w:t>
      </w:r>
      <w:r w:rsidR="009635BD">
        <w:rPr>
          <w:rFonts w:eastAsia="SimSun"/>
        </w:rPr>
        <w:t>I am employed by Puget Sound En</w:t>
      </w:r>
      <w:r w:rsidR="000D0417">
        <w:rPr>
          <w:rFonts w:eastAsia="SimSun"/>
        </w:rPr>
        <w:t xml:space="preserve">ergy (“PSE”) as Director of </w:t>
      </w:r>
      <w:r w:rsidR="009635BD">
        <w:rPr>
          <w:rFonts w:eastAsia="SimSun"/>
        </w:rPr>
        <w:t>Product Development</w:t>
      </w:r>
      <w:r w:rsidR="000D0417">
        <w:rPr>
          <w:rFonts w:eastAsia="SimSun"/>
        </w:rPr>
        <w:t xml:space="preserve"> and Growth</w:t>
      </w:r>
      <w:r w:rsidR="009635BD">
        <w:rPr>
          <w:rFonts w:eastAsia="SimSun"/>
        </w:rPr>
        <w:t>.</w:t>
      </w:r>
    </w:p>
    <w:p w:rsidR="009635BD" w:rsidRDefault="009635BD" w:rsidP="00B543B3">
      <w:pPr>
        <w:pStyle w:val="question"/>
      </w:pPr>
      <w:r>
        <w:t>Q.</w:t>
      </w:r>
      <w:r>
        <w:tab/>
        <w:t>Have you prepared an exhibit describing your education, relevant employment experience, and other professional qualifications?</w:t>
      </w:r>
    </w:p>
    <w:p w:rsidR="009635BD" w:rsidRPr="009075DC" w:rsidRDefault="009635BD" w:rsidP="00734EBA">
      <w:pPr>
        <w:pStyle w:val="answer"/>
        <w:rPr>
          <w:rFonts w:eastAsia="SimSun"/>
        </w:rPr>
      </w:pPr>
      <w:r>
        <w:rPr>
          <w:rFonts w:eastAsia="SimSun"/>
        </w:rPr>
        <w:t>A.</w:t>
      </w:r>
      <w:r>
        <w:rPr>
          <w:rFonts w:eastAsia="SimSun"/>
        </w:rPr>
        <w:tab/>
        <w:t>Yes.</w:t>
      </w:r>
      <w:r w:rsidR="00F279B9">
        <w:rPr>
          <w:rFonts w:eastAsia="SimSun"/>
        </w:rPr>
        <w:t xml:space="preserve"> </w:t>
      </w:r>
      <w:r>
        <w:rPr>
          <w:rFonts w:eastAsia="SimSun"/>
        </w:rPr>
        <w:t xml:space="preserve">It is the First Exhibit to my </w:t>
      </w:r>
      <w:proofErr w:type="spellStart"/>
      <w:r>
        <w:rPr>
          <w:rFonts w:eastAsia="SimSun"/>
        </w:rPr>
        <w:t>Prefiled</w:t>
      </w:r>
      <w:proofErr w:type="spellEnd"/>
      <w:r>
        <w:rPr>
          <w:rFonts w:eastAsia="SimSun"/>
        </w:rPr>
        <w:t xml:space="preserve"> Rebuttal Testimony, </w:t>
      </w:r>
      <w:proofErr w:type="spellStart"/>
      <w:r>
        <w:rPr>
          <w:rFonts w:eastAsia="SimSun"/>
        </w:rPr>
        <w:t>Exh</w:t>
      </w:r>
      <w:proofErr w:type="spellEnd"/>
      <w:r>
        <w:rPr>
          <w:rFonts w:eastAsia="SimSun"/>
        </w:rPr>
        <w:t>. WTE-2.</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632256" w:rsidRPr="00632256" w:rsidRDefault="00F8418D" w:rsidP="00632256">
      <w:pPr>
        <w:pStyle w:val="answer"/>
        <w:rPr>
          <w:rFonts w:eastAsia="SimSun"/>
        </w:rPr>
      </w:pPr>
      <w:r w:rsidRPr="009075DC">
        <w:rPr>
          <w:rFonts w:eastAsia="SimSun"/>
        </w:rPr>
        <w:t>A.</w:t>
      </w:r>
      <w:r w:rsidRPr="009075DC">
        <w:rPr>
          <w:rFonts w:eastAsia="SimSun"/>
        </w:rPr>
        <w:tab/>
        <w:t xml:space="preserve">My </w:t>
      </w:r>
      <w:r w:rsidR="00864D3F">
        <w:rPr>
          <w:rFonts w:eastAsia="SimSun"/>
        </w:rPr>
        <w:t xml:space="preserve">rebuttal </w:t>
      </w:r>
      <w:r w:rsidR="00AE7729">
        <w:rPr>
          <w:rFonts w:eastAsia="SimSun"/>
        </w:rPr>
        <w:t xml:space="preserve">testimony responds to the Response Testimony of Elizabeth </w:t>
      </w:r>
      <w:r w:rsidR="00993DAA">
        <w:rPr>
          <w:rFonts w:eastAsia="SimSun"/>
        </w:rPr>
        <w:t xml:space="preserve">C. </w:t>
      </w:r>
      <w:r w:rsidR="00AE7729">
        <w:rPr>
          <w:rFonts w:eastAsia="SimSun"/>
        </w:rPr>
        <w:t xml:space="preserve">O’Connell, </w:t>
      </w:r>
      <w:proofErr w:type="spellStart"/>
      <w:r w:rsidR="00AE7729">
        <w:rPr>
          <w:rFonts w:eastAsia="SimSun"/>
        </w:rPr>
        <w:t>Exh</w:t>
      </w:r>
      <w:proofErr w:type="spellEnd"/>
      <w:r w:rsidR="00AE7729">
        <w:rPr>
          <w:rFonts w:eastAsia="SimSun"/>
        </w:rPr>
        <w:t>. ECO-1</w:t>
      </w:r>
      <w:r w:rsidR="00BF069C">
        <w:rPr>
          <w:rFonts w:eastAsia="SimSun"/>
        </w:rPr>
        <w:t>C</w:t>
      </w:r>
      <w:r w:rsidR="00AE7729">
        <w:rPr>
          <w:rFonts w:eastAsia="SimSun"/>
        </w:rPr>
        <w:t xml:space="preserve">T, </w:t>
      </w:r>
      <w:r w:rsidR="00BD401E" w:rsidRPr="00315A36">
        <w:t>witness for the Staff of the Washington Utilities and Transportation Commission (</w:t>
      </w:r>
      <w:r w:rsidR="00311FB0">
        <w:t>“</w:t>
      </w:r>
      <w:r w:rsidR="00BD401E" w:rsidRPr="00315A36">
        <w:t>Staff</w:t>
      </w:r>
      <w:r w:rsidR="00311FB0">
        <w:t>”</w:t>
      </w:r>
      <w:r w:rsidR="00BD401E" w:rsidRPr="00315A36">
        <w:t>)</w:t>
      </w:r>
      <w:r w:rsidR="00AE7729">
        <w:rPr>
          <w:rFonts w:eastAsia="SimSun"/>
        </w:rPr>
        <w:t>, who recommends that PSE’s equipment rental program under Schedules 71, 72 and 74 be discontinued.</w:t>
      </w:r>
      <w:r w:rsidR="00F279B9">
        <w:rPr>
          <w:rFonts w:eastAsia="SimSun"/>
        </w:rPr>
        <w:t xml:space="preserve"> </w:t>
      </w:r>
      <w:r w:rsidR="00AE7729">
        <w:rPr>
          <w:rFonts w:eastAsia="SimSun"/>
        </w:rPr>
        <w:t xml:space="preserve">Ms. O’Connell’s recommendation should be rejected because (1) she misunderstands </w:t>
      </w:r>
      <w:r w:rsidR="00993DAA">
        <w:rPr>
          <w:rFonts w:eastAsia="SimSun"/>
        </w:rPr>
        <w:t xml:space="preserve">long-standing </w:t>
      </w:r>
      <w:r w:rsidR="00BA454F">
        <w:rPr>
          <w:rFonts w:eastAsia="SimSun"/>
        </w:rPr>
        <w:t xml:space="preserve">Commission </w:t>
      </w:r>
      <w:r w:rsidR="00AE7729">
        <w:rPr>
          <w:rFonts w:eastAsia="SimSun"/>
        </w:rPr>
        <w:t>precedent</w:t>
      </w:r>
      <w:r w:rsidR="00993DAA">
        <w:rPr>
          <w:rFonts w:eastAsia="SimSun"/>
        </w:rPr>
        <w:t xml:space="preserve"> upholding equipment leasing programs; (2) she ignores the tremendous value thousands of PSE customers derive from the program; and (3) her recommendations for closing the program would be detrimental to PSE and to customers.</w:t>
      </w:r>
    </w:p>
    <w:p w:rsidR="00BF303C" w:rsidRPr="001A15E3" w:rsidRDefault="00BA454F" w:rsidP="00BF069C">
      <w:pPr>
        <w:pStyle w:val="Heading1"/>
      </w:pPr>
      <w:bookmarkStart w:id="5" w:name="_Toc489873764"/>
      <w:r>
        <w:lastRenderedPageBreak/>
        <w:t>II.</w:t>
      </w:r>
      <w:r>
        <w:tab/>
        <w:t xml:space="preserve">RESPONSE TO STAFF’S RECOMMENDED TERMINATION OF PSE’S EQUIPMENT </w:t>
      </w:r>
      <w:r w:rsidR="001A15E3" w:rsidRPr="001A15E3">
        <w:t>RENTAL PROGRAM</w:t>
      </w:r>
      <w:bookmarkEnd w:id="5"/>
    </w:p>
    <w:p w:rsidR="001A15E3" w:rsidRPr="009075DC" w:rsidRDefault="00173555" w:rsidP="001A15E3">
      <w:pPr>
        <w:pStyle w:val="question"/>
      </w:pPr>
      <w:r>
        <w:t>Q.</w:t>
      </w:r>
      <w:r>
        <w:tab/>
        <w:t>How do you respond to Ms. O’Connell’s suggestion that the Commission should order the phase out of PSE’s equipment rental program under Schedules 71, 72 and 74?</w:t>
      </w:r>
    </w:p>
    <w:p w:rsidR="00E37688" w:rsidRPr="00274D8E" w:rsidRDefault="00173555" w:rsidP="00274D8E">
      <w:pPr>
        <w:pStyle w:val="answer"/>
        <w:rPr>
          <w:rFonts w:eastAsia="SimSun"/>
        </w:rPr>
      </w:pPr>
      <w:r>
        <w:rPr>
          <w:rFonts w:eastAsia="SimSun"/>
        </w:rPr>
        <w:t>A.</w:t>
      </w:r>
      <w:r>
        <w:rPr>
          <w:rFonts w:eastAsia="SimSun"/>
        </w:rPr>
        <w:tab/>
      </w:r>
      <w:r w:rsidR="00875981">
        <w:rPr>
          <w:rFonts w:eastAsia="SimSun"/>
        </w:rPr>
        <w:t>The program should not be discontinued.</w:t>
      </w:r>
      <w:r w:rsidR="00F279B9">
        <w:rPr>
          <w:rFonts w:eastAsia="SimSun"/>
        </w:rPr>
        <w:t xml:space="preserve"> </w:t>
      </w:r>
      <w:r w:rsidR="00875981">
        <w:rPr>
          <w:rFonts w:eastAsia="SimSun"/>
        </w:rPr>
        <w:t>The Commission has approved of PSE’s equipment rental program for decades and the pro</w:t>
      </w:r>
      <w:r w:rsidR="002D02F5">
        <w:rPr>
          <w:rFonts w:eastAsia="SimSun"/>
        </w:rPr>
        <w:t>gram continues to be utilized by</w:t>
      </w:r>
      <w:r w:rsidR="00875981">
        <w:rPr>
          <w:rFonts w:eastAsia="SimSun"/>
        </w:rPr>
        <w:t xml:space="preserve"> approximately 30,000 customers.</w:t>
      </w:r>
      <w:r w:rsidR="00F279B9">
        <w:rPr>
          <w:rFonts w:eastAsia="SimSun"/>
        </w:rPr>
        <w:t xml:space="preserve"> </w:t>
      </w:r>
      <w:r w:rsidR="00875981">
        <w:rPr>
          <w:rFonts w:eastAsia="SimSun"/>
        </w:rPr>
        <w:t xml:space="preserve">In addition, </w:t>
      </w:r>
      <w:r>
        <w:rPr>
          <w:rFonts w:eastAsia="SimSun"/>
        </w:rPr>
        <w:t>Ms. O’Connell</w:t>
      </w:r>
      <w:r w:rsidR="00875981">
        <w:rPr>
          <w:rFonts w:eastAsia="SimSun"/>
        </w:rPr>
        <w:t xml:space="preserve">’s methodologies and suggestions for phasing out the program reflect a fundamental misunderstanding of the program and would </w:t>
      </w:r>
      <w:r w:rsidR="00274D8E">
        <w:rPr>
          <w:rFonts w:eastAsia="SimSun"/>
        </w:rPr>
        <w:t>significantly</w:t>
      </w:r>
      <w:r w:rsidR="00875981">
        <w:rPr>
          <w:rFonts w:eastAsia="SimSun"/>
        </w:rPr>
        <w:t xml:space="preserve"> harm PSE and customers.</w:t>
      </w:r>
    </w:p>
    <w:p w:rsidR="00173555" w:rsidRDefault="00173555" w:rsidP="00173555">
      <w:pPr>
        <w:pStyle w:val="question"/>
      </w:pPr>
      <w:r>
        <w:t>Q.</w:t>
      </w:r>
      <w:r>
        <w:tab/>
        <w:t>Can you briefly describe the history and origins of PSE’s equipment rental program?</w:t>
      </w:r>
    </w:p>
    <w:p w:rsidR="00173555" w:rsidRDefault="00173555" w:rsidP="00173555">
      <w:pPr>
        <w:pStyle w:val="answer"/>
        <w:rPr>
          <w:rFonts w:eastAsia="SimSun"/>
        </w:rPr>
      </w:pPr>
      <w:r>
        <w:rPr>
          <w:rFonts w:eastAsia="SimSun"/>
        </w:rPr>
        <w:t>A.</w:t>
      </w:r>
      <w:r>
        <w:rPr>
          <w:rFonts w:eastAsia="SimSun"/>
        </w:rPr>
        <w:tab/>
      </w:r>
      <w:r w:rsidR="002F4438">
        <w:rPr>
          <w:rFonts w:eastAsia="SimSun"/>
        </w:rPr>
        <w:t>PSE and its predecessor companies have offered equipment rental services to c</w:t>
      </w:r>
      <w:r w:rsidR="00AE6660">
        <w:rPr>
          <w:rFonts w:eastAsia="SimSun"/>
        </w:rPr>
        <w:t>ustomers as a regulated service</w:t>
      </w:r>
      <w:r w:rsidR="002F4438">
        <w:rPr>
          <w:rFonts w:eastAsia="SimSun"/>
        </w:rPr>
        <w:t xml:space="preserve"> for more than half a century.</w:t>
      </w:r>
      <w:r w:rsidR="00F279B9">
        <w:rPr>
          <w:rFonts w:eastAsia="SimSun"/>
        </w:rPr>
        <w:t xml:space="preserve"> </w:t>
      </w:r>
      <w:r w:rsidR="002F4438">
        <w:rPr>
          <w:rFonts w:eastAsia="SimSun"/>
        </w:rPr>
        <w:t>In the 1940s, one of PSE’s predecessor companies, Puget Power &amp; Light Co. (“Puget Power”), began providing customers an optional “Storage Water Heating Service,” which for a monthly charge, the company would furnish a time switch that connected to the customer’s water heater and would activate the water heater.</w:t>
      </w:r>
      <w:r w:rsidR="00F279B9">
        <w:rPr>
          <w:rFonts w:eastAsia="SimSun"/>
        </w:rPr>
        <w:t xml:space="preserve"> </w:t>
      </w:r>
      <w:r w:rsidR="002F4438">
        <w:rPr>
          <w:rFonts w:eastAsia="SimSun"/>
        </w:rPr>
        <w:t>In 1961, Washington Natural Gas (“</w:t>
      </w:r>
      <w:proofErr w:type="spellStart"/>
      <w:r w:rsidR="002F4438">
        <w:rPr>
          <w:rFonts w:eastAsia="SimSun"/>
        </w:rPr>
        <w:t>WNG</w:t>
      </w:r>
      <w:proofErr w:type="spellEnd"/>
      <w:r w:rsidR="002F4438">
        <w:rPr>
          <w:rFonts w:eastAsia="SimSun"/>
        </w:rPr>
        <w:t>”) began offering customers natural gas conversion burners for rent.</w:t>
      </w:r>
      <w:r w:rsidR="00F279B9">
        <w:rPr>
          <w:rFonts w:eastAsia="SimSun"/>
        </w:rPr>
        <w:t xml:space="preserve"> </w:t>
      </w:r>
      <w:proofErr w:type="spellStart"/>
      <w:r w:rsidR="002F4438">
        <w:rPr>
          <w:rFonts w:eastAsia="SimSun"/>
        </w:rPr>
        <w:t>WNG</w:t>
      </w:r>
      <w:proofErr w:type="spellEnd"/>
      <w:r w:rsidR="002F4438">
        <w:rPr>
          <w:rFonts w:eastAsia="SimSun"/>
        </w:rPr>
        <w:t xml:space="preserve"> later expanded its rental options to customers to include gas circulating heaters, furnaces, and water heaters, all as regulated services.</w:t>
      </w:r>
      <w:r w:rsidR="00F279B9">
        <w:rPr>
          <w:rFonts w:eastAsia="SimSun"/>
        </w:rPr>
        <w:t xml:space="preserve"> </w:t>
      </w:r>
      <w:r w:rsidR="002F4438">
        <w:rPr>
          <w:rFonts w:eastAsia="SimSun"/>
        </w:rPr>
        <w:t>In 1965, Puget Power began offering electric water heaters for lease.</w:t>
      </w:r>
      <w:r w:rsidR="00F279B9">
        <w:rPr>
          <w:rFonts w:eastAsia="SimSun"/>
        </w:rPr>
        <w:t xml:space="preserve"> </w:t>
      </w:r>
      <w:r w:rsidR="002F4438">
        <w:rPr>
          <w:rFonts w:eastAsia="SimSun"/>
        </w:rPr>
        <w:t xml:space="preserve">In 1997, </w:t>
      </w:r>
      <w:proofErr w:type="spellStart"/>
      <w:r w:rsidR="002F4438">
        <w:rPr>
          <w:rFonts w:eastAsia="SimSun"/>
        </w:rPr>
        <w:t>WNG</w:t>
      </w:r>
      <w:proofErr w:type="spellEnd"/>
      <w:r w:rsidR="002F4438">
        <w:rPr>
          <w:rFonts w:eastAsia="SimSun"/>
        </w:rPr>
        <w:t xml:space="preserve"> and </w:t>
      </w:r>
      <w:r w:rsidR="002F4438">
        <w:rPr>
          <w:rFonts w:eastAsia="SimSun"/>
        </w:rPr>
        <w:lastRenderedPageBreak/>
        <w:t>Puget Power merged, forming PSE.</w:t>
      </w:r>
      <w:r w:rsidR="00F279B9">
        <w:rPr>
          <w:rFonts w:eastAsia="SimSun"/>
        </w:rPr>
        <w:t xml:space="preserve"> </w:t>
      </w:r>
      <w:r w:rsidR="002F4438">
        <w:rPr>
          <w:rFonts w:eastAsia="SimSun"/>
        </w:rPr>
        <w:t xml:space="preserve">PSE discontinued the electric heater leasing program but continued the </w:t>
      </w:r>
      <w:proofErr w:type="spellStart"/>
      <w:r w:rsidR="002F4438">
        <w:rPr>
          <w:rFonts w:eastAsia="SimSun"/>
        </w:rPr>
        <w:t>WNG</w:t>
      </w:r>
      <w:proofErr w:type="spellEnd"/>
      <w:r w:rsidR="002F4438">
        <w:rPr>
          <w:rFonts w:eastAsia="SimSun"/>
        </w:rPr>
        <w:t xml:space="preserve"> </w:t>
      </w:r>
      <w:r w:rsidR="001955D7">
        <w:rPr>
          <w:rFonts w:eastAsia="SimSun"/>
        </w:rPr>
        <w:t xml:space="preserve">equipment rental </w:t>
      </w:r>
      <w:r w:rsidR="002F4438">
        <w:rPr>
          <w:rFonts w:eastAsia="SimSun"/>
        </w:rPr>
        <w:t>program.</w:t>
      </w:r>
      <w:r w:rsidR="00F279B9">
        <w:rPr>
          <w:rFonts w:eastAsia="SimSun"/>
        </w:rPr>
        <w:t xml:space="preserve"> </w:t>
      </w:r>
      <w:r w:rsidR="005152AF">
        <w:rPr>
          <w:rFonts w:eastAsia="SimSun"/>
        </w:rPr>
        <w:t>It has operated continuously since that time.</w:t>
      </w:r>
    </w:p>
    <w:p w:rsidR="00E37688" w:rsidRDefault="00E37688" w:rsidP="00E37688">
      <w:pPr>
        <w:pStyle w:val="question"/>
      </w:pPr>
      <w:r>
        <w:t>Q.</w:t>
      </w:r>
      <w:r>
        <w:tab/>
        <w:t>Do customers still rent equipment from PSE?</w:t>
      </w:r>
    </w:p>
    <w:p w:rsidR="00E37688" w:rsidRPr="002D02F5" w:rsidRDefault="00E37688" w:rsidP="002D02F5">
      <w:pPr>
        <w:pStyle w:val="answer"/>
      </w:pPr>
      <w:r>
        <w:t>A.</w:t>
      </w:r>
      <w:r>
        <w:tab/>
        <w:t xml:space="preserve">Yes, under Schedules </w:t>
      </w:r>
      <w:r w:rsidR="001955D7">
        <w:t>71, 72</w:t>
      </w:r>
      <w:r>
        <w:t xml:space="preserve"> and 74, approximately 30,000 PSE customers still participate in PSE’s equipment rental program.</w:t>
      </w:r>
      <w:r w:rsidR="00F279B9">
        <w:t xml:space="preserve"> </w:t>
      </w:r>
      <w:r>
        <w:t>While in 2000, PSE closed the program to new customers, thousands of customers continue to rent equipment from PSE.</w:t>
      </w:r>
    </w:p>
    <w:p w:rsidR="00E37688" w:rsidRDefault="00E37688" w:rsidP="00E37688">
      <w:pPr>
        <w:pStyle w:val="question"/>
      </w:pPr>
      <w:r>
        <w:t>Q.</w:t>
      </w:r>
      <w:r>
        <w:tab/>
        <w:t>Has the Commission approved of PSE’s rental program?</w:t>
      </w:r>
    </w:p>
    <w:p w:rsidR="005152AF" w:rsidRDefault="00E37688" w:rsidP="00E37688">
      <w:pPr>
        <w:pStyle w:val="answer"/>
      </w:pPr>
      <w:r>
        <w:t>A.</w:t>
      </w:r>
      <w:r>
        <w:tab/>
        <w:t>Yes, over the years, several parties have challenged PSE’s rental program,</w:t>
      </w:r>
      <w:r w:rsidR="00AE6660">
        <w:t xml:space="preserve"> including Staff,</w:t>
      </w:r>
      <w:r>
        <w:t xml:space="preserve"> only to be rejected by the Commission.</w:t>
      </w:r>
      <w:r w:rsidR="00F279B9">
        <w:t xml:space="preserve"> </w:t>
      </w:r>
      <w:r>
        <w:t xml:space="preserve">For example, in the early 1960s, industry participants and Staff challenged the legality of </w:t>
      </w:r>
      <w:proofErr w:type="spellStart"/>
      <w:r>
        <w:t>WNG’s</w:t>
      </w:r>
      <w:proofErr w:type="spellEnd"/>
      <w:r>
        <w:t xml:space="preserve"> rental program.</w:t>
      </w:r>
      <w:r w:rsidR="00F279B9">
        <w:t xml:space="preserve"> </w:t>
      </w:r>
      <w:r>
        <w:t>The Commission rejected the industry</w:t>
      </w:r>
      <w:r w:rsidR="00875981">
        <w:t>’s</w:t>
      </w:r>
      <w:r>
        <w:t xml:space="preserve"> and Staff’s arguments</w:t>
      </w:r>
      <w:r w:rsidR="001955D7">
        <w:t xml:space="preserve"> that utilities should not be able to rent equipment</w:t>
      </w:r>
      <w:r>
        <w:t xml:space="preserve"> and upheld </w:t>
      </w:r>
      <w:r w:rsidR="001955D7">
        <w:t>the program</w:t>
      </w:r>
      <w:r>
        <w:t xml:space="preserve"> as a legitimate utility practice.</w:t>
      </w:r>
      <w:r w:rsidR="00F279B9">
        <w:t xml:space="preserve"> </w:t>
      </w:r>
      <w:r>
        <w:t>On appeal, the Washington Supreme Court affirmed the Commission’s determination</w:t>
      </w:r>
      <w:r w:rsidR="005152AF">
        <w:t xml:space="preserve"> in the matter </w:t>
      </w:r>
      <w:r w:rsidR="005152AF" w:rsidRPr="005152AF">
        <w:rPr>
          <w:i/>
        </w:rPr>
        <w:t>Cole v. Washington Utilities &amp; Transportation Commission</w:t>
      </w:r>
      <w:r w:rsidR="005152AF">
        <w:t>, 79 Wn</w:t>
      </w:r>
      <w:r w:rsidR="00274D8E">
        <w:t>.2d</w:t>
      </w:r>
      <w:r w:rsidR="005152AF">
        <w:t xml:space="preserve"> 302 (1971).</w:t>
      </w:r>
    </w:p>
    <w:p w:rsidR="005152AF" w:rsidRDefault="005152AF" w:rsidP="005152AF">
      <w:pPr>
        <w:pStyle w:val="question"/>
      </w:pPr>
      <w:r>
        <w:t>Q.</w:t>
      </w:r>
      <w:r>
        <w:tab/>
        <w:t xml:space="preserve">Has Ms. O’Connell accurately stated the Commission’s Order in </w:t>
      </w:r>
      <w:proofErr w:type="spellStart"/>
      <w:r>
        <w:t>WNG’s</w:t>
      </w:r>
      <w:proofErr w:type="spellEnd"/>
      <w:r>
        <w:t xml:space="preserve"> 1992 General Rate Case in </w:t>
      </w:r>
      <w:r w:rsidR="00BA454F">
        <w:t xml:space="preserve">WUTC </w:t>
      </w:r>
      <w:r>
        <w:t>Docket UG-920840?</w:t>
      </w:r>
    </w:p>
    <w:p w:rsidR="00E37688" w:rsidRDefault="002D02F5" w:rsidP="00E37688">
      <w:pPr>
        <w:pStyle w:val="answer"/>
      </w:pPr>
      <w:r>
        <w:t>A.</w:t>
      </w:r>
      <w:r>
        <w:tab/>
        <w:t>No.</w:t>
      </w:r>
      <w:r w:rsidR="00F279B9">
        <w:t xml:space="preserve"> </w:t>
      </w:r>
      <w:r>
        <w:t xml:space="preserve">In 1992, </w:t>
      </w:r>
      <w:r w:rsidR="005152AF">
        <w:t>Staff again challenged the legality of the rental program which the Commission rejected.</w:t>
      </w:r>
      <w:r w:rsidR="00F279B9">
        <w:t xml:space="preserve"> </w:t>
      </w:r>
      <w:r w:rsidR="00F612FF">
        <w:t xml:space="preserve">While it is true the Commission identified some </w:t>
      </w:r>
      <w:r w:rsidR="00166FBC">
        <w:lastRenderedPageBreak/>
        <w:t xml:space="preserve">deficiencies with the program, including that the program was </w:t>
      </w:r>
      <w:proofErr w:type="spellStart"/>
      <w:r w:rsidR="00166FBC">
        <w:t>underearning</w:t>
      </w:r>
      <w:proofErr w:type="spellEnd"/>
      <w:r w:rsidR="00166FBC">
        <w:t>, the Commission authorized the con</w:t>
      </w:r>
      <w:r w:rsidR="009D46A1">
        <w:t xml:space="preserve">tinued operation of the program, finding that </w:t>
      </w:r>
      <w:r w:rsidR="00166FBC">
        <w:t>“</w:t>
      </w:r>
      <w:r w:rsidR="009D46A1">
        <w:t>[rental]</w:t>
      </w:r>
      <w:r w:rsidR="00166FBC">
        <w:t xml:space="preserve"> programs can provide customer benefit if they maximize efficient use of resources.”</w:t>
      </w:r>
      <w:r w:rsidR="00166FBC">
        <w:rPr>
          <w:rStyle w:val="FootnoteReference"/>
        </w:rPr>
        <w:footnoteReference w:id="2"/>
      </w:r>
      <w:r w:rsidR="00F279B9">
        <w:t xml:space="preserve"> </w:t>
      </w:r>
      <w:proofErr w:type="spellStart"/>
      <w:r w:rsidR="00166FBC">
        <w:t>WNG</w:t>
      </w:r>
      <w:proofErr w:type="spellEnd"/>
      <w:r w:rsidR="00166FBC">
        <w:t xml:space="preserve"> issued several proposals to remedy the </w:t>
      </w:r>
      <w:proofErr w:type="spellStart"/>
      <w:r w:rsidR="00166FBC">
        <w:t>underear</w:t>
      </w:r>
      <w:r w:rsidR="00274D8E">
        <w:t>n</w:t>
      </w:r>
      <w:r w:rsidR="00166FBC">
        <w:t>ing</w:t>
      </w:r>
      <w:proofErr w:type="spellEnd"/>
      <w:r w:rsidR="00166FBC">
        <w:t xml:space="preserve"> problem, which the Co</w:t>
      </w:r>
      <w:r w:rsidR="00875981">
        <w:t>mmission approved of,</w:t>
      </w:r>
      <w:r w:rsidR="00166FBC">
        <w:t xml:space="preserve"> and the Commission also ordered </w:t>
      </w:r>
      <w:proofErr w:type="spellStart"/>
      <w:r w:rsidR="00166FBC">
        <w:t>WNG</w:t>
      </w:r>
      <w:proofErr w:type="spellEnd"/>
      <w:r w:rsidR="00166FBC">
        <w:t xml:space="preserve"> to offer </w:t>
      </w:r>
      <w:r w:rsidR="009D46A1">
        <w:t>rented</w:t>
      </w:r>
      <w:r w:rsidR="00166FBC">
        <w:t xml:space="preserve"> water heaters for customer purchase at depreciated book value.</w:t>
      </w:r>
      <w:r w:rsidR="00166FBC">
        <w:rPr>
          <w:rStyle w:val="FootnoteReference"/>
        </w:rPr>
        <w:footnoteReference w:id="3"/>
      </w:r>
    </w:p>
    <w:p w:rsidR="00071839" w:rsidRDefault="00071839" w:rsidP="00071839">
      <w:pPr>
        <w:pStyle w:val="question"/>
      </w:pPr>
      <w:r>
        <w:t>Q.</w:t>
      </w:r>
      <w:r>
        <w:tab/>
        <w:t xml:space="preserve">At that time, did the Commission order </w:t>
      </w:r>
      <w:proofErr w:type="spellStart"/>
      <w:r>
        <w:t>WNG</w:t>
      </w:r>
      <w:proofErr w:type="spellEnd"/>
      <w:r>
        <w:t xml:space="preserve"> to not add new customers to the program as Ms. O’Connell </w:t>
      </w:r>
      <w:r w:rsidR="00BD401E">
        <w:t>claims</w:t>
      </w:r>
      <w:r>
        <w:t>?</w:t>
      </w:r>
    </w:p>
    <w:p w:rsidR="00071839" w:rsidRDefault="00071839" w:rsidP="00071839">
      <w:pPr>
        <w:pStyle w:val="answer"/>
        <w:rPr>
          <w:rFonts w:eastAsia="SimSun"/>
        </w:rPr>
      </w:pPr>
      <w:r>
        <w:rPr>
          <w:rFonts w:eastAsia="SimSun"/>
        </w:rPr>
        <w:t>A.</w:t>
      </w:r>
      <w:r>
        <w:rPr>
          <w:rFonts w:eastAsia="SimSun"/>
        </w:rPr>
        <w:tab/>
        <w:t>No.</w:t>
      </w:r>
      <w:r w:rsidR="00F279B9">
        <w:rPr>
          <w:rFonts w:eastAsia="SimSun"/>
        </w:rPr>
        <w:t xml:space="preserve"> </w:t>
      </w:r>
      <w:r>
        <w:rPr>
          <w:rFonts w:eastAsia="SimSun"/>
        </w:rPr>
        <w:t>Ms. O’Connell is mistaken.</w:t>
      </w:r>
      <w:r w:rsidR="00F279B9">
        <w:rPr>
          <w:rFonts w:eastAsia="SimSun"/>
        </w:rPr>
        <w:t xml:space="preserve"> </w:t>
      </w:r>
      <w:r w:rsidR="005F39AA">
        <w:rPr>
          <w:rFonts w:eastAsia="SimSun"/>
        </w:rPr>
        <w:t>In 1993</w:t>
      </w:r>
      <w:r w:rsidR="00875981">
        <w:rPr>
          <w:rFonts w:eastAsia="SimSun"/>
        </w:rPr>
        <w:t>, the Commission did not order PSE to not add new customers to the program.</w:t>
      </w:r>
      <w:r w:rsidR="00F279B9">
        <w:rPr>
          <w:rFonts w:eastAsia="SimSun"/>
        </w:rPr>
        <w:t xml:space="preserve"> </w:t>
      </w:r>
      <w:r w:rsidR="00BD401E">
        <w:rPr>
          <w:rFonts w:eastAsia="SimSun"/>
        </w:rPr>
        <w:t xml:space="preserve">The Commission adopted </w:t>
      </w:r>
      <w:proofErr w:type="spellStart"/>
      <w:r w:rsidR="00BD401E">
        <w:rPr>
          <w:rFonts w:eastAsia="SimSun"/>
        </w:rPr>
        <w:t>WNG’s</w:t>
      </w:r>
      <w:proofErr w:type="spellEnd"/>
      <w:r w:rsidR="00BD401E">
        <w:rPr>
          <w:rFonts w:eastAsia="SimSun"/>
        </w:rPr>
        <w:t xml:space="preserve"> proposal to continue the existing program under conditions proposed by </w:t>
      </w:r>
      <w:proofErr w:type="spellStart"/>
      <w:r w:rsidR="00BD401E">
        <w:rPr>
          <w:rFonts w:eastAsia="SimSun"/>
        </w:rPr>
        <w:t>WNG</w:t>
      </w:r>
      <w:proofErr w:type="spellEnd"/>
      <w:r w:rsidR="00875981">
        <w:rPr>
          <w:rFonts w:eastAsia="SimSun"/>
        </w:rPr>
        <w:t>.</w:t>
      </w:r>
      <w:r w:rsidR="00BD401E">
        <w:rPr>
          <w:rStyle w:val="FootnoteReference"/>
          <w:rFonts w:eastAsia="SimSun"/>
        </w:rPr>
        <w:footnoteReference w:id="4"/>
      </w:r>
    </w:p>
    <w:p w:rsidR="009D46A1" w:rsidRDefault="009D46A1" w:rsidP="009D46A1">
      <w:pPr>
        <w:pStyle w:val="question"/>
      </w:pPr>
      <w:r>
        <w:t>Q.</w:t>
      </w:r>
      <w:r>
        <w:tab/>
        <w:t>Since that time, has PSE offered to customers the option of purchasing rented water heaters</w:t>
      </w:r>
      <w:r w:rsidR="00071839">
        <w:t>, as required by the Commission</w:t>
      </w:r>
      <w:r>
        <w:t>?</w:t>
      </w:r>
    </w:p>
    <w:p w:rsidR="009D46A1" w:rsidRPr="009D46A1" w:rsidRDefault="009D46A1" w:rsidP="009D46A1">
      <w:pPr>
        <w:pStyle w:val="answer"/>
      </w:pPr>
      <w:r>
        <w:t>A.</w:t>
      </w:r>
      <w:r>
        <w:tab/>
        <w:t>Yes.</w:t>
      </w:r>
      <w:r w:rsidR="00F279B9">
        <w:t xml:space="preserve"> </w:t>
      </w:r>
      <w:r>
        <w:t>I am not sure what Ms. O’Connell is referring to when she states that “[t]he option to purchase is not published in PSE online resources or schedules.”</w:t>
      </w:r>
      <w:r>
        <w:rPr>
          <w:rStyle w:val="FootnoteReference"/>
        </w:rPr>
        <w:footnoteReference w:id="5"/>
      </w:r>
      <w:r w:rsidR="00F279B9">
        <w:t xml:space="preserve"> </w:t>
      </w:r>
      <w:r w:rsidR="00071839">
        <w:t>PSE</w:t>
      </w:r>
      <w:r w:rsidR="001955D7">
        <w:t>’s</w:t>
      </w:r>
      <w:r w:rsidR="00071839">
        <w:t xml:space="preserve"> website explains that customers may contact PSE regarding “Purchasing your </w:t>
      </w:r>
      <w:r w:rsidR="00071839">
        <w:lastRenderedPageBreak/>
        <w:t>water heater from PSE.”</w:t>
      </w:r>
      <w:r w:rsidR="00071839">
        <w:rPr>
          <w:rStyle w:val="FootnoteReference"/>
        </w:rPr>
        <w:footnoteReference w:id="6"/>
      </w:r>
      <w:r w:rsidR="00F279B9">
        <w:t xml:space="preserve"> </w:t>
      </w:r>
      <w:r w:rsidR="00875981">
        <w:t>Hundreds of PSE customers exercise this option every year.</w:t>
      </w:r>
      <w:r w:rsidR="00F279B9">
        <w:t xml:space="preserve"> </w:t>
      </w:r>
      <w:r w:rsidR="00274D8E">
        <w:t xml:space="preserve">The fact that customers are required to contact a customer service representative if they want to purchase their equipment in no way indicates that PSE is not </w:t>
      </w:r>
      <w:r w:rsidR="005F39AA">
        <w:t>effectively</w:t>
      </w:r>
      <w:r w:rsidR="00274D8E">
        <w:t xml:space="preserve"> communicating this opportunity to customers as Ms. O’Connell suggests.</w:t>
      </w:r>
      <w:r w:rsidR="00F279B9">
        <w:t xml:space="preserve"> </w:t>
      </w:r>
      <w:r w:rsidR="00B543B3">
        <w:t>The Commission has never indicated to PSE that its methods for providing this information to customers is inadequate.</w:t>
      </w:r>
    </w:p>
    <w:p w:rsidR="009D46A1" w:rsidRDefault="009D46A1" w:rsidP="009D46A1">
      <w:pPr>
        <w:pStyle w:val="question"/>
      </w:pPr>
      <w:r>
        <w:t>Q.</w:t>
      </w:r>
      <w:r>
        <w:tab/>
        <w:t>Do you agree with Ms. O’Connell’s assertion that transferring water heaters and gas conversion burners to customers once the plant has zero depreciation value “is a natural extension of the order”?</w:t>
      </w:r>
    </w:p>
    <w:p w:rsidR="009D46A1" w:rsidRDefault="009D46A1" w:rsidP="009D46A1">
      <w:pPr>
        <w:pStyle w:val="answer"/>
      </w:pPr>
      <w:r>
        <w:t>A.</w:t>
      </w:r>
      <w:r>
        <w:tab/>
      </w:r>
      <w:r w:rsidR="00001D91">
        <w:t>No.</w:t>
      </w:r>
      <w:r w:rsidR="00F279B9">
        <w:t xml:space="preserve"> </w:t>
      </w:r>
      <w:r w:rsidR="00071839">
        <w:t>Ms. O’Connell</w:t>
      </w:r>
      <w:r w:rsidR="00001D91">
        <w:t>’s suggestion that automatically transferring ownership to customers is</w:t>
      </w:r>
      <w:r w:rsidR="00C10496">
        <w:t xml:space="preserve"> “natural extension” </w:t>
      </w:r>
      <w:r w:rsidR="00001D91">
        <w:t>of the Commission’</w:t>
      </w:r>
      <w:r w:rsidR="000D4210">
        <w:t>s order</w:t>
      </w:r>
      <w:r w:rsidR="00071839">
        <w:t xml:space="preserve"> reflect</w:t>
      </w:r>
      <w:r w:rsidR="00CF241B">
        <w:t>s</w:t>
      </w:r>
      <w:r w:rsidR="00071839">
        <w:t xml:space="preserve"> a fundamental misunderstanding of PSE’s equipment rental program.</w:t>
      </w:r>
      <w:r w:rsidR="00F279B9">
        <w:t xml:space="preserve"> </w:t>
      </w:r>
      <w:r w:rsidR="00C10496">
        <w:t xml:space="preserve">Customers participate in the program not merely because of the </w:t>
      </w:r>
      <w:r w:rsidR="00B543B3">
        <w:t>equipment itself.</w:t>
      </w:r>
      <w:r w:rsidR="00F279B9">
        <w:t xml:space="preserve"> </w:t>
      </w:r>
      <w:r w:rsidR="00B543B3">
        <w:t>Rather,</w:t>
      </w:r>
      <w:r w:rsidR="00C10496">
        <w:t xml:space="preserve"> the rental program</w:t>
      </w:r>
      <w:r w:rsidR="00B543B3">
        <w:t xml:space="preserve"> is a comprehensive service program whereby</w:t>
      </w:r>
      <w:r w:rsidR="00C10496">
        <w:t xml:space="preserve"> PSE provides </w:t>
      </w:r>
      <w:r w:rsidR="00AE6660">
        <w:t xml:space="preserve">the rental equipment, plus </w:t>
      </w:r>
      <w:r w:rsidR="00C10496">
        <w:t>parts, repair, and replacement</w:t>
      </w:r>
      <w:r w:rsidR="00CF241B">
        <w:t>.</w:t>
      </w:r>
      <w:r w:rsidR="00F279B9">
        <w:t xml:space="preserve"> </w:t>
      </w:r>
      <w:r w:rsidR="00C10496">
        <w:t>If a customer experiences failing equipment, PSE will repair or replace the equipment at no additional cost to the customer.</w:t>
      </w:r>
      <w:r w:rsidR="00F279B9">
        <w:t xml:space="preserve"> </w:t>
      </w:r>
      <w:r w:rsidR="00CF241B">
        <w:t>This</w:t>
      </w:r>
      <w:r w:rsidR="00444FFA">
        <w:t xml:space="preserve"> provides a tremendous</w:t>
      </w:r>
      <w:r w:rsidR="00CF241B">
        <w:t xml:space="preserve"> peace of mind for </w:t>
      </w:r>
      <w:r w:rsidR="00AE6660">
        <w:t xml:space="preserve">many </w:t>
      </w:r>
      <w:r w:rsidR="00CF241B">
        <w:t>customers.</w:t>
      </w:r>
      <w:r w:rsidR="00F279B9">
        <w:t xml:space="preserve"> </w:t>
      </w:r>
      <w:r w:rsidR="00444FFA">
        <w:t>Some PSE</w:t>
      </w:r>
      <w:r w:rsidR="00C10496">
        <w:t xml:space="preserve"> custom</w:t>
      </w:r>
      <w:r w:rsidR="00444FFA">
        <w:t>ers have participated in the program</w:t>
      </w:r>
      <w:r w:rsidR="00C10496">
        <w:t xml:space="preserve"> for decades because they value the service provided</w:t>
      </w:r>
      <w:r w:rsidR="00C404BB">
        <w:t xml:space="preserve"> and predictability of cost</w:t>
      </w:r>
      <w:r w:rsidR="00C10496">
        <w:t>.</w:t>
      </w:r>
      <w:r w:rsidR="00F279B9">
        <w:t xml:space="preserve"> </w:t>
      </w:r>
      <w:r w:rsidR="00C404BB">
        <w:t>Replacing a failed water heater can be expensive and inconvenient for customers.</w:t>
      </w:r>
      <w:r w:rsidR="00F279B9">
        <w:t xml:space="preserve"> </w:t>
      </w:r>
      <w:r w:rsidR="00C10496">
        <w:t xml:space="preserve">Ms. O’Connell’s </w:t>
      </w:r>
      <w:r w:rsidR="00C10496">
        <w:lastRenderedPageBreak/>
        <w:t>testimony totally fails to address this aspect of the rental program and the value many customers find in the program.</w:t>
      </w:r>
      <w:r w:rsidR="00F279B9">
        <w:t xml:space="preserve"> </w:t>
      </w:r>
      <w:r w:rsidR="00C404BB">
        <w:t>Automatically t</w:t>
      </w:r>
      <w:r w:rsidR="00CF241B">
        <w:t>ransferring ownership of the equipment ignores the fact that many customers do not want to own the equipment because they participate in the program for the service PSE provides.</w:t>
      </w:r>
      <w:r w:rsidR="00F279B9">
        <w:t xml:space="preserve"> </w:t>
      </w:r>
      <w:r w:rsidR="00444FFA">
        <w:t>Thus, there is nothing “natural” about Ms. O’Connell’s suggestion.</w:t>
      </w:r>
    </w:p>
    <w:p w:rsidR="00D17B57" w:rsidRDefault="00D17B57" w:rsidP="00D17B57">
      <w:pPr>
        <w:pStyle w:val="question"/>
      </w:pPr>
      <w:r>
        <w:t>Q.</w:t>
      </w:r>
      <w:r>
        <w:tab/>
      </w:r>
      <w:r w:rsidRPr="00D17B57">
        <w:t>Would customers be harmed if the Commission ordered PSE to transfer ownership of “fully accrued”</w:t>
      </w:r>
      <w:r w:rsidRPr="00D17B57">
        <w:rPr>
          <w:vertAlign w:val="superscript"/>
        </w:rPr>
        <w:footnoteReference w:id="7"/>
      </w:r>
      <w:r w:rsidRPr="00D17B57">
        <w:t xml:space="preserve"> equipment as proposed by Ms. O’Connell?</w:t>
      </w:r>
    </w:p>
    <w:p w:rsidR="00D17B57" w:rsidRPr="00D17B57" w:rsidRDefault="00D17B57" w:rsidP="00D17B57">
      <w:pPr>
        <w:pStyle w:val="answer"/>
      </w:pPr>
      <w:r>
        <w:t>A.</w:t>
      </w:r>
      <w:r>
        <w:tab/>
      </w:r>
      <w:r w:rsidR="003213E8">
        <w:t>Yes.</w:t>
      </w:r>
      <w:r w:rsidR="00F279B9">
        <w:t xml:space="preserve"> </w:t>
      </w:r>
      <w:r w:rsidR="003213E8">
        <w:t>Thousands of c</w:t>
      </w:r>
      <w:r w:rsidRPr="00D17B57">
        <w:t>ustomer</w:t>
      </w:r>
      <w:r w:rsidR="008C5BBA">
        <w:t>s</w:t>
      </w:r>
      <w:r w:rsidRPr="00D17B57">
        <w:t xml:space="preserve"> would b</w:t>
      </w:r>
      <w:r w:rsidR="008C5BBA">
        <w:t>e harmed</w:t>
      </w:r>
      <w:r w:rsidRPr="00D17B57">
        <w:t xml:space="preserve"> as it wou</w:t>
      </w:r>
      <w:r w:rsidR="009F483C">
        <w:t>ld arbitrarily end a service in</w:t>
      </w:r>
      <w:r w:rsidRPr="00D17B57">
        <w:t xml:space="preserve"> which these custome</w:t>
      </w:r>
      <w:r w:rsidR="009F483C">
        <w:t>rs have chosen to participate</w:t>
      </w:r>
      <w:r w:rsidRPr="00D17B57">
        <w:t xml:space="preserve"> for the </w:t>
      </w:r>
      <w:r w:rsidR="003213E8">
        <w:t>services</w:t>
      </w:r>
      <w:r w:rsidRPr="00D17B57">
        <w:t xml:space="preserve"> provided.</w:t>
      </w:r>
      <w:r w:rsidR="00F279B9">
        <w:t xml:space="preserve"> </w:t>
      </w:r>
      <w:r w:rsidRPr="00D17B57">
        <w:t>The customer would then be required to bear the full burden of repair or replacement costs should the equipment fail, disallowing customers from availing themselves of the value of the service they in</w:t>
      </w:r>
      <w:r w:rsidR="0025382A">
        <w:t>vested in prior to such a</w:t>
      </w:r>
      <w:r w:rsidR="00B543B3">
        <w:t xml:space="preserve"> forced</w:t>
      </w:r>
      <w:r w:rsidRPr="00D17B57">
        <w:t xml:space="preserve"> transfer.</w:t>
      </w:r>
      <w:r w:rsidR="00F279B9">
        <w:t xml:space="preserve"> </w:t>
      </w:r>
      <w:r w:rsidR="00444FFA">
        <w:t>In particular, t</w:t>
      </w:r>
      <w:r w:rsidRPr="00D17B57">
        <w:t xml:space="preserve">his would adversely affect those low income or small business customers who do not have the resources to cover these large incremental costs which was one of the attractive aspects of the equipment </w:t>
      </w:r>
      <w:r w:rsidR="00B543B3">
        <w:t>rental</w:t>
      </w:r>
      <w:r w:rsidRPr="00D17B57">
        <w:t xml:space="preserve"> in the first place.</w:t>
      </w:r>
    </w:p>
    <w:p w:rsidR="009D46A1" w:rsidRDefault="00F102C0" w:rsidP="000D4210">
      <w:pPr>
        <w:pStyle w:val="question"/>
      </w:pPr>
      <w:r>
        <w:t>Q.</w:t>
      </w:r>
      <w:r>
        <w:tab/>
        <w:t>Do you agree that the equipment program has rate design and overearning problems?</w:t>
      </w:r>
    </w:p>
    <w:p w:rsidR="009D4FDB" w:rsidRDefault="00B543B3" w:rsidP="003213E8">
      <w:pPr>
        <w:pStyle w:val="answer"/>
        <w:rPr>
          <w:rFonts w:eastAsia="SimSun"/>
        </w:rPr>
      </w:pPr>
      <w:r>
        <w:rPr>
          <w:rFonts w:eastAsia="SimSun"/>
        </w:rPr>
        <w:t>A.</w:t>
      </w:r>
      <w:r>
        <w:rPr>
          <w:rFonts w:eastAsia="SimSun"/>
        </w:rPr>
        <w:tab/>
      </w:r>
      <w:r w:rsidR="0025382A">
        <w:rPr>
          <w:rFonts w:eastAsia="SimSun"/>
        </w:rPr>
        <w:t>No.</w:t>
      </w:r>
      <w:r w:rsidR="00F279B9">
        <w:rPr>
          <w:rFonts w:eastAsia="SimSun"/>
        </w:rPr>
        <w:t xml:space="preserve"> </w:t>
      </w:r>
      <w:r w:rsidR="003C4A7F">
        <w:rPr>
          <w:rFonts w:eastAsia="SimSun"/>
        </w:rPr>
        <w:t>U</w:t>
      </w:r>
      <w:r w:rsidR="008C5BBA">
        <w:rPr>
          <w:rFonts w:eastAsia="SimSun"/>
        </w:rPr>
        <w:t>tility programs</w:t>
      </w:r>
      <w:r w:rsidR="003C4A7F">
        <w:rPr>
          <w:rFonts w:eastAsia="SimSun"/>
        </w:rPr>
        <w:t xml:space="preserve"> can</w:t>
      </w:r>
      <w:r w:rsidR="008C5BBA">
        <w:rPr>
          <w:rFonts w:eastAsia="SimSun"/>
        </w:rPr>
        <w:t xml:space="preserve"> </w:t>
      </w:r>
      <w:proofErr w:type="spellStart"/>
      <w:r w:rsidR="008C5BBA">
        <w:rPr>
          <w:rFonts w:eastAsia="SimSun"/>
        </w:rPr>
        <w:t>underearn</w:t>
      </w:r>
      <w:proofErr w:type="spellEnd"/>
      <w:r w:rsidR="008C5BBA">
        <w:rPr>
          <w:rFonts w:eastAsia="SimSun"/>
        </w:rPr>
        <w:t xml:space="preserve"> or </w:t>
      </w:r>
      <w:proofErr w:type="spellStart"/>
      <w:r w:rsidR="008C5BBA">
        <w:rPr>
          <w:rFonts w:eastAsia="SimSun"/>
        </w:rPr>
        <w:t>overearn</w:t>
      </w:r>
      <w:proofErr w:type="spellEnd"/>
      <w:r w:rsidR="00444FFA">
        <w:rPr>
          <w:rFonts w:eastAsia="SimSun"/>
        </w:rPr>
        <w:t xml:space="preserve"> at varying degrees</w:t>
      </w:r>
      <w:r w:rsidR="008C5BBA">
        <w:rPr>
          <w:rFonts w:eastAsia="SimSun"/>
        </w:rPr>
        <w:t xml:space="preserve"> over time and rate cases are used periodically to correct any </w:t>
      </w:r>
      <w:proofErr w:type="spellStart"/>
      <w:r w:rsidR="008C5BBA">
        <w:rPr>
          <w:rFonts w:eastAsia="SimSun"/>
        </w:rPr>
        <w:t>underearning</w:t>
      </w:r>
      <w:proofErr w:type="spellEnd"/>
      <w:r w:rsidR="008C5BBA">
        <w:rPr>
          <w:rFonts w:eastAsia="SimSun"/>
        </w:rPr>
        <w:t xml:space="preserve"> or overearning issues.</w:t>
      </w:r>
      <w:r w:rsidR="00F279B9">
        <w:rPr>
          <w:rFonts w:eastAsia="SimSun"/>
        </w:rPr>
        <w:t xml:space="preserve"> </w:t>
      </w:r>
      <w:r w:rsidR="008C5BBA">
        <w:rPr>
          <w:rFonts w:eastAsia="SimSun"/>
        </w:rPr>
        <w:lastRenderedPageBreak/>
        <w:t>This is typical of utility ratemaking.</w:t>
      </w:r>
      <w:r w:rsidR="00F279B9">
        <w:rPr>
          <w:rFonts w:eastAsia="SimSun"/>
        </w:rPr>
        <w:t xml:space="preserve"> </w:t>
      </w:r>
      <w:r>
        <w:rPr>
          <w:rFonts w:eastAsia="SimSun"/>
        </w:rPr>
        <w:t xml:space="preserve">Over the decades of offering the service to customers, the program has had periods of </w:t>
      </w:r>
      <w:proofErr w:type="spellStart"/>
      <w:r>
        <w:rPr>
          <w:rFonts w:eastAsia="SimSun"/>
        </w:rPr>
        <w:t>underearning</w:t>
      </w:r>
      <w:proofErr w:type="spellEnd"/>
      <w:r>
        <w:rPr>
          <w:rFonts w:eastAsia="SimSun"/>
        </w:rPr>
        <w:t xml:space="preserve"> and overearning and each time, small adjustments were made to correct the rate design.</w:t>
      </w:r>
      <w:r w:rsidR="00F279B9">
        <w:rPr>
          <w:rFonts w:eastAsia="SimSun"/>
        </w:rPr>
        <w:t xml:space="preserve"> </w:t>
      </w:r>
      <w:r w:rsidR="00F41EF2">
        <w:rPr>
          <w:rFonts w:eastAsia="SimSun"/>
        </w:rPr>
        <w:t>For this rate</w:t>
      </w:r>
      <w:r w:rsidR="00A26CE7">
        <w:rPr>
          <w:rFonts w:eastAsia="SimSun"/>
        </w:rPr>
        <w:t xml:space="preserve"> case, in recognition that revenues </w:t>
      </w:r>
      <w:r w:rsidR="00F41EF2">
        <w:rPr>
          <w:rFonts w:eastAsia="SimSun"/>
        </w:rPr>
        <w:t xml:space="preserve">currently </w:t>
      </w:r>
      <w:r w:rsidR="00A26CE7">
        <w:rPr>
          <w:rFonts w:eastAsia="SimSun"/>
        </w:rPr>
        <w:t>exceed cost, PSE is proposing that rental customers experience no rate increase.</w:t>
      </w:r>
    </w:p>
    <w:p w:rsidR="00C404BB" w:rsidRDefault="00C404BB" w:rsidP="00C404BB">
      <w:pPr>
        <w:pStyle w:val="question"/>
      </w:pPr>
      <w:r>
        <w:t>Q.</w:t>
      </w:r>
      <w:r>
        <w:tab/>
      </w:r>
      <w:r w:rsidR="00D17B57">
        <w:t>Does PSE receive a perpetual return on fully depreciated rate base?</w:t>
      </w:r>
    </w:p>
    <w:p w:rsidR="00D17B57" w:rsidRDefault="00CE3D45" w:rsidP="00D17B57">
      <w:pPr>
        <w:pStyle w:val="answer"/>
        <w:rPr>
          <w:rFonts w:eastAsia="SimSun"/>
        </w:rPr>
      </w:pPr>
      <w:r>
        <w:rPr>
          <w:rFonts w:eastAsia="SimSun"/>
        </w:rPr>
        <w:t>A.</w:t>
      </w:r>
      <w:r>
        <w:rPr>
          <w:rFonts w:eastAsia="SimSun"/>
        </w:rPr>
        <w:tab/>
        <w:t>No.</w:t>
      </w:r>
      <w:r w:rsidR="00F279B9">
        <w:rPr>
          <w:rFonts w:eastAsia="SimSun"/>
        </w:rPr>
        <w:t xml:space="preserve"> </w:t>
      </w:r>
      <w:r w:rsidRPr="00CE3D45">
        <w:rPr>
          <w:rFonts w:eastAsia="SimSun"/>
        </w:rPr>
        <w:t>When assets are fully depreciated, their balance included in rate base is zero, and thus no return is calculated on those assets.</w:t>
      </w:r>
      <w:r w:rsidR="00F279B9">
        <w:rPr>
          <w:rFonts w:eastAsia="SimSun"/>
        </w:rPr>
        <w:t xml:space="preserve"> </w:t>
      </w:r>
      <w:r w:rsidRPr="00CE3D45">
        <w:rPr>
          <w:rFonts w:eastAsia="SimSun"/>
        </w:rPr>
        <w:t>The 18,544 appliances that Ms. O’Connell references in her testimony as being fully acc</w:t>
      </w:r>
      <w:r>
        <w:rPr>
          <w:rFonts w:eastAsia="SimSun"/>
        </w:rPr>
        <w:t>rued have a zero net book value</w:t>
      </w:r>
      <w:r>
        <w:rPr>
          <w:rStyle w:val="FootnoteReference"/>
          <w:rFonts w:eastAsia="SimSun"/>
        </w:rPr>
        <w:footnoteReference w:id="8"/>
      </w:r>
      <w:r w:rsidRPr="00CE3D45">
        <w:rPr>
          <w:rFonts w:eastAsia="SimSun"/>
        </w:rPr>
        <w:t xml:space="preserve"> and thus have no contribution to the revenue requirement for either rate base return o</w:t>
      </w:r>
      <w:r w:rsidR="003F1207">
        <w:rPr>
          <w:rFonts w:eastAsia="SimSun"/>
        </w:rPr>
        <w:t>r</w:t>
      </w:r>
      <w:r w:rsidRPr="00CE3D45">
        <w:rPr>
          <w:rFonts w:eastAsia="SimSun"/>
        </w:rPr>
        <w:t xml:space="preserve"> depreciation expense in this proceeding.</w:t>
      </w:r>
    </w:p>
    <w:p w:rsidR="00D17B57" w:rsidRDefault="00D17B57" w:rsidP="00D17B57">
      <w:pPr>
        <w:pStyle w:val="question"/>
      </w:pPr>
      <w:r>
        <w:t>Q.</w:t>
      </w:r>
      <w:r>
        <w:tab/>
        <w:t>Do customers “pay for the asset indefinitely” as claimed by Ms. O’Connell?</w:t>
      </w:r>
    </w:p>
    <w:p w:rsidR="003213E8" w:rsidRPr="00F1065B" w:rsidRDefault="00D17B57" w:rsidP="00F1065B">
      <w:pPr>
        <w:pStyle w:val="answer"/>
        <w:rPr>
          <w:rFonts w:eastAsia="SimSun"/>
        </w:rPr>
      </w:pPr>
      <w:r>
        <w:rPr>
          <w:rFonts w:eastAsia="SimSun"/>
        </w:rPr>
        <w:t>A.</w:t>
      </w:r>
      <w:r>
        <w:rPr>
          <w:rFonts w:eastAsia="SimSun"/>
        </w:rPr>
        <w:tab/>
      </w:r>
      <w:r w:rsidRPr="00D17B57">
        <w:rPr>
          <w:rFonts w:eastAsia="SimSun"/>
        </w:rPr>
        <w:t>No.</w:t>
      </w:r>
      <w:r w:rsidR="00F279B9">
        <w:rPr>
          <w:rFonts w:eastAsia="SimSun"/>
        </w:rPr>
        <w:t xml:space="preserve"> </w:t>
      </w:r>
      <w:r w:rsidRPr="00D17B57">
        <w:rPr>
          <w:rFonts w:eastAsia="SimSun"/>
        </w:rPr>
        <w:t>The customers who chose to participate in Schedules 71, 72 and 74 are not purchasing an asset; rather</w:t>
      </w:r>
      <w:r>
        <w:rPr>
          <w:rFonts w:eastAsia="SimSun"/>
        </w:rPr>
        <w:t>, as explained above,</w:t>
      </w:r>
      <w:r w:rsidRPr="00D17B57">
        <w:rPr>
          <w:rFonts w:eastAsia="SimSun"/>
        </w:rPr>
        <w:t xml:space="preserve"> they are </w:t>
      </w:r>
      <w:r>
        <w:rPr>
          <w:rFonts w:eastAsia="SimSun"/>
        </w:rPr>
        <w:t xml:space="preserve">paying for </w:t>
      </w:r>
      <w:r w:rsidR="00444FFA">
        <w:rPr>
          <w:rFonts w:eastAsia="SimSun"/>
        </w:rPr>
        <w:t xml:space="preserve">a service with </w:t>
      </w:r>
      <w:r w:rsidRPr="00D17B57">
        <w:rPr>
          <w:rFonts w:eastAsia="SimSun"/>
        </w:rPr>
        <w:t xml:space="preserve">the assurance of continued hot water or heat as the Schedules provide not only the </w:t>
      </w:r>
      <w:r>
        <w:rPr>
          <w:rFonts w:eastAsia="SimSun"/>
        </w:rPr>
        <w:t>rented</w:t>
      </w:r>
      <w:r w:rsidRPr="00D17B57">
        <w:rPr>
          <w:rFonts w:eastAsia="SimSun"/>
        </w:rPr>
        <w:t xml:space="preserve"> equipment, but also indefinite repair and replacement of the equipment throughout the </w:t>
      </w:r>
      <w:r>
        <w:rPr>
          <w:rFonts w:eastAsia="SimSun"/>
        </w:rPr>
        <w:t>rental</w:t>
      </w:r>
      <w:r w:rsidRPr="00D17B57">
        <w:rPr>
          <w:rFonts w:eastAsia="SimSun"/>
        </w:rPr>
        <w:t xml:space="preserve"> term.</w:t>
      </w:r>
      <w:r w:rsidR="00F279B9">
        <w:rPr>
          <w:rFonts w:eastAsia="SimSun"/>
        </w:rPr>
        <w:t xml:space="preserve"> </w:t>
      </w:r>
      <w:r w:rsidR="00CE3D45">
        <w:rPr>
          <w:rFonts w:eastAsia="SimSun"/>
        </w:rPr>
        <w:t>And</w:t>
      </w:r>
      <w:r w:rsidR="00F41EF2">
        <w:rPr>
          <w:rFonts w:eastAsia="SimSun"/>
        </w:rPr>
        <w:t>,</w:t>
      </w:r>
      <w:r w:rsidR="00CE3D45">
        <w:rPr>
          <w:rFonts w:eastAsia="SimSun"/>
        </w:rPr>
        <w:t xml:space="preserve"> as noted above, the revenue requirement no longer recovers </w:t>
      </w:r>
      <w:r w:rsidR="003F1207">
        <w:rPr>
          <w:rFonts w:eastAsia="SimSun"/>
        </w:rPr>
        <w:t xml:space="preserve">a </w:t>
      </w:r>
      <w:r w:rsidR="00CE3D45">
        <w:rPr>
          <w:rFonts w:eastAsia="SimSun"/>
        </w:rPr>
        <w:t xml:space="preserve">return </w:t>
      </w:r>
      <w:r w:rsidR="003F1207">
        <w:rPr>
          <w:rFonts w:eastAsia="SimSun"/>
        </w:rPr>
        <w:t xml:space="preserve">on the assets </w:t>
      </w:r>
      <w:r w:rsidR="00CE3D45">
        <w:rPr>
          <w:rFonts w:eastAsia="SimSun"/>
        </w:rPr>
        <w:t>or depreciation expense when appliances are fully accrued.</w:t>
      </w:r>
      <w:r w:rsidR="00F1065B">
        <w:rPr>
          <w:rFonts w:eastAsia="SimSun"/>
        </w:rPr>
        <w:t xml:space="preserve"> T</w:t>
      </w:r>
      <w:r w:rsidR="00CE3D45" w:rsidRPr="00CE3D45">
        <w:rPr>
          <w:rFonts w:eastAsia="SimSun"/>
        </w:rPr>
        <w:t>his is a voluntary service, where customers are free to choose other vendors</w:t>
      </w:r>
      <w:r w:rsidR="00CE3D45">
        <w:rPr>
          <w:rFonts w:eastAsia="SimSun"/>
        </w:rPr>
        <w:t xml:space="preserve"> and can terminate service at any time</w:t>
      </w:r>
      <w:r w:rsidR="00CE3D45" w:rsidRPr="00CE3D45">
        <w:rPr>
          <w:rFonts w:eastAsia="SimSun"/>
        </w:rPr>
        <w:t>.</w:t>
      </w:r>
      <w:r w:rsidR="00F279B9">
        <w:rPr>
          <w:rFonts w:eastAsia="SimSun"/>
        </w:rPr>
        <w:t xml:space="preserve"> </w:t>
      </w:r>
      <w:r w:rsidR="00CE3D45" w:rsidRPr="00CE3D45">
        <w:rPr>
          <w:rFonts w:eastAsia="SimSun"/>
        </w:rPr>
        <w:t xml:space="preserve">The fact that over 30,000 </w:t>
      </w:r>
      <w:r w:rsidR="00CE3D45" w:rsidRPr="00CE3D45">
        <w:rPr>
          <w:rFonts w:eastAsia="SimSun"/>
        </w:rPr>
        <w:lastRenderedPageBreak/>
        <w:t>customers still rely on PSE for th</w:t>
      </w:r>
      <w:r w:rsidR="00CE3D45">
        <w:rPr>
          <w:rFonts w:eastAsia="SimSun"/>
        </w:rPr>
        <w:t>ese services demonstrates that for participating customers, the</w:t>
      </w:r>
      <w:r w:rsidR="00F41EF2">
        <w:rPr>
          <w:rFonts w:eastAsia="SimSun"/>
        </w:rPr>
        <w:t xml:space="preserve"> service provid</w:t>
      </w:r>
      <w:r w:rsidR="0034560A">
        <w:rPr>
          <w:rFonts w:eastAsia="SimSun"/>
        </w:rPr>
        <w:t>es a value for them</w:t>
      </w:r>
      <w:r w:rsidR="00F41EF2">
        <w:rPr>
          <w:rFonts w:eastAsia="SimSun"/>
        </w:rPr>
        <w:t>.</w:t>
      </w:r>
    </w:p>
    <w:p w:rsidR="00F102C0" w:rsidRDefault="00F102C0" w:rsidP="00F102C0">
      <w:pPr>
        <w:pStyle w:val="question"/>
      </w:pPr>
      <w:r>
        <w:t>Q.</w:t>
      </w:r>
      <w:r>
        <w:tab/>
        <w:t>What policy reasons are there for the program to continue?</w:t>
      </w:r>
    </w:p>
    <w:p w:rsidR="00225132" w:rsidRDefault="003213E8" w:rsidP="000F413C">
      <w:pPr>
        <w:pStyle w:val="answer"/>
        <w:rPr>
          <w:rFonts w:eastAsia="SimSun"/>
        </w:rPr>
      </w:pPr>
      <w:r>
        <w:rPr>
          <w:rFonts w:eastAsia="SimSun"/>
        </w:rPr>
        <w:t>A.</w:t>
      </w:r>
      <w:r>
        <w:rPr>
          <w:rFonts w:eastAsia="SimSun"/>
        </w:rPr>
        <w:tab/>
      </w:r>
      <w:r w:rsidR="00444FFA">
        <w:rPr>
          <w:rFonts w:eastAsia="SimSun"/>
        </w:rPr>
        <w:t>Ms. O’Connell suggests that there are no policy reasons for the program to continue.</w:t>
      </w:r>
      <w:r w:rsidR="00F279B9">
        <w:rPr>
          <w:rFonts w:eastAsia="SimSun"/>
        </w:rPr>
        <w:t xml:space="preserve"> </w:t>
      </w:r>
      <w:r w:rsidR="00444FFA">
        <w:rPr>
          <w:rFonts w:eastAsia="SimSun"/>
        </w:rPr>
        <w:t>She is mistaken.</w:t>
      </w:r>
      <w:r w:rsidR="00F279B9">
        <w:rPr>
          <w:rFonts w:eastAsia="SimSun"/>
        </w:rPr>
        <w:t xml:space="preserve"> </w:t>
      </w:r>
      <w:r w:rsidR="00444FFA">
        <w:rPr>
          <w:rFonts w:eastAsia="SimSun"/>
        </w:rPr>
        <w:t>First, there were numerous reasons why PSE and its predecessors</w:t>
      </w:r>
      <w:r w:rsidR="00AA4E24">
        <w:rPr>
          <w:rFonts w:eastAsia="SimSun"/>
        </w:rPr>
        <w:t xml:space="preserve"> began offering equipment rental programs.</w:t>
      </w:r>
      <w:r w:rsidR="00F279B9">
        <w:rPr>
          <w:rFonts w:eastAsia="SimSun"/>
        </w:rPr>
        <w:t xml:space="preserve"> </w:t>
      </w:r>
      <w:r w:rsidR="00AA4E24">
        <w:rPr>
          <w:rFonts w:eastAsia="SimSun"/>
        </w:rPr>
        <w:t xml:space="preserve">While it is true that one of the initial reasons was to promote greater use of natural gas, under Commission approval, the program has continued operating for decades after promoting the use of natural gas was no longer </w:t>
      </w:r>
      <w:r w:rsidR="00B543B3">
        <w:rPr>
          <w:rFonts w:eastAsia="SimSun"/>
        </w:rPr>
        <w:t xml:space="preserve">a primary </w:t>
      </w:r>
      <w:r w:rsidR="00AA4E24">
        <w:rPr>
          <w:rFonts w:eastAsia="SimSun"/>
        </w:rPr>
        <w:t>motivating factor.</w:t>
      </w:r>
      <w:r w:rsidR="00F279B9">
        <w:rPr>
          <w:rFonts w:eastAsia="SimSun"/>
        </w:rPr>
        <w:t xml:space="preserve"> </w:t>
      </w:r>
      <w:r w:rsidR="00AA4E24">
        <w:rPr>
          <w:rFonts w:eastAsia="SimSun"/>
        </w:rPr>
        <w:t>Staff offered this same argument in Docket</w:t>
      </w:r>
      <w:r w:rsidR="003F1207">
        <w:rPr>
          <w:rFonts w:eastAsia="SimSun"/>
        </w:rPr>
        <w:t>s</w:t>
      </w:r>
      <w:r w:rsidR="00AA4E24">
        <w:rPr>
          <w:rFonts w:eastAsia="SimSun"/>
        </w:rPr>
        <w:t xml:space="preserve"> UE-151871/UG-151872, which the Commission rejected.</w:t>
      </w:r>
      <w:r w:rsidR="00AA4E24">
        <w:rPr>
          <w:rStyle w:val="FootnoteReference"/>
          <w:rFonts w:eastAsia="SimSun"/>
        </w:rPr>
        <w:footnoteReference w:id="9"/>
      </w:r>
      <w:r w:rsidR="00F279B9">
        <w:rPr>
          <w:rFonts w:eastAsia="SimSun"/>
        </w:rPr>
        <w:t xml:space="preserve"> </w:t>
      </w:r>
      <w:r w:rsidR="00B40769">
        <w:rPr>
          <w:rFonts w:eastAsia="SimSun"/>
        </w:rPr>
        <w:t>A</w:t>
      </w:r>
      <w:r w:rsidR="00AA4E24">
        <w:rPr>
          <w:rFonts w:eastAsia="SimSun"/>
        </w:rPr>
        <w:t>s the Commission stated in the same paragraph from the Leasing Order that Ms. O’Connell cites, “We conclude that a water heating and HVAC equipment leasing program can be a tariffed utility service subject to Commission jurisdiction and regulation.”</w:t>
      </w:r>
      <w:r w:rsidR="00AA4E24">
        <w:rPr>
          <w:rStyle w:val="FootnoteReference"/>
          <w:rFonts w:eastAsia="SimSun"/>
        </w:rPr>
        <w:footnoteReference w:id="10"/>
      </w:r>
      <w:r w:rsidR="00F279B9">
        <w:rPr>
          <w:rFonts w:eastAsia="SimSun"/>
        </w:rPr>
        <w:t xml:space="preserve"> </w:t>
      </w:r>
      <w:r w:rsidR="000F413C">
        <w:rPr>
          <w:rFonts w:eastAsia="SimSun"/>
        </w:rPr>
        <w:t>Second, perhaps the most significant reason for continuing to offer the program is customer demand, which the Commission specifically referenced in the Leasing Order.</w:t>
      </w:r>
      <w:r w:rsidR="000F413C">
        <w:rPr>
          <w:rStyle w:val="FootnoteReference"/>
          <w:rFonts w:eastAsia="SimSun"/>
        </w:rPr>
        <w:footnoteReference w:id="11"/>
      </w:r>
      <w:r w:rsidR="00F279B9">
        <w:rPr>
          <w:rFonts w:eastAsia="SimSun"/>
        </w:rPr>
        <w:t xml:space="preserve"> </w:t>
      </w:r>
      <w:r>
        <w:rPr>
          <w:rFonts w:eastAsia="SimSun"/>
        </w:rPr>
        <w:t>The program should continue because PSE customers derive a significant benefit from the program</w:t>
      </w:r>
      <w:r w:rsidR="003F1207">
        <w:rPr>
          <w:rFonts w:eastAsia="SimSun"/>
        </w:rPr>
        <w:t>,</w:t>
      </w:r>
      <w:r w:rsidR="009F2752">
        <w:rPr>
          <w:rFonts w:eastAsia="SimSun"/>
        </w:rPr>
        <w:t xml:space="preserve"> and PSE continues to receive requests for customers to again offer equipment leasing</w:t>
      </w:r>
      <w:r>
        <w:rPr>
          <w:rFonts w:eastAsia="SimSun"/>
        </w:rPr>
        <w:t>.</w:t>
      </w:r>
      <w:r w:rsidR="00F279B9">
        <w:rPr>
          <w:rFonts w:eastAsia="SimSun"/>
        </w:rPr>
        <w:t xml:space="preserve"> </w:t>
      </w:r>
      <w:r>
        <w:rPr>
          <w:rFonts w:eastAsia="SimSun"/>
        </w:rPr>
        <w:lastRenderedPageBreak/>
        <w:t>PSE’s customers have utilized PSE’s various equipment leasing programs for decades because of t</w:t>
      </w:r>
      <w:r w:rsidR="000F413C">
        <w:rPr>
          <w:rFonts w:eastAsia="SimSun"/>
        </w:rPr>
        <w:t>he value they provide.</w:t>
      </w:r>
      <w:r w:rsidR="00F279B9">
        <w:rPr>
          <w:rFonts w:eastAsia="SimSun"/>
        </w:rPr>
        <w:t xml:space="preserve"> </w:t>
      </w:r>
    </w:p>
    <w:p w:rsidR="00F102C0" w:rsidRDefault="00225132" w:rsidP="00225132">
      <w:pPr>
        <w:pStyle w:val="answer"/>
        <w:ind w:firstLine="0"/>
        <w:rPr>
          <w:rFonts w:eastAsia="SimSun"/>
        </w:rPr>
      </w:pPr>
      <w:r>
        <w:rPr>
          <w:rFonts w:eastAsia="SimSun"/>
        </w:rPr>
        <w:t>Finally, PSE’s existing rental program does promote the use of more efficient equipment.</w:t>
      </w:r>
      <w:r w:rsidR="00F279B9">
        <w:rPr>
          <w:rFonts w:eastAsia="SimSun"/>
        </w:rPr>
        <w:t xml:space="preserve"> </w:t>
      </w:r>
      <w:r>
        <w:rPr>
          <w:rFonts w:eastAsia="SimSun"/>
        </w:rPr>
        <w:t>In April 2016, the National Appliance Energy Act went into effect requiring all manufacturers to produce product that meet increased efficiency standards.</w:t>
      </w:r>
      <w:r w:rsidR="00F279B9">
        <w:rPr>
          <w:rFonts w:eastAsia="SimSun"/>
        </w:rPr>
        <w:t xml:space="preserve"> </w:t>
      </w:r>
      <w:r>
        <w:rPr>
          <w:rFonts w:eastAsia="SimSun"/>
        </w:rPr>
        <w:t>PSE has worked with its distribution and installation partners to ensure that rental equipment being replaced is done so with equipment that meets or exceeds these standards.</w:t>
      </w:r>
      <w:r w:rsidR="00F279B9">
        <w:rPr>
          <w:rFonts w:eastAsia="SimSun"/>
        </w:rPr>
        <w:t xml:space="preserve"> </w:t>
      </w:r>
      <w:r>
        <w:rPr>
          <w:rFonts w:eastAsia="SimSun"/>
        </w:rPr>
        <w:t>Typically, the primary reason PSE would not replace equipment with a higher efficiency model is only because of the constraints of the space; higher-efficiency units are taller and larger in diameter and may not fit in existing tank locations.</w:t>
      </w:r>
      <w:r w:rsidR="00F279B9">
        <w:rPr>
          <w:rFonts w:eastAsia="SimSun"/>
        </w:rPr>
        <w:t xml:space="preserve"> </w:t>
      </w:r>
      <w:r>
        <w:rPr>
          <w:rFonts w:eastAsia="SimSun"/>
        </w:rPr>
        <w:t>Thus, contrary to Ms. O’Connell’s suggestion, the existing program does promote measures to increase the use of more efficient</w:t>
      </w:r>
      <w:r w:rsidR="001C101C">
        <w:rPr>
          <w:rFonts w:eastAsia="SimSun"/>
        </w:rPr>
        <w:t xml:space="preserve"> </w:t>
      </w:r>
      <w:r>
        <w:rPr>
          <w:rFonts w:eastAsia="SimSun"/>
        </w:rPr>
        <w:t>equipment.</w:t>
      </w:r>
    </w:p>
    <w:p w:rsidR="00F102C0" w:rsidRDefault="00F102C0" w:rsidP="00F102C0">
      <w:pPr>
        <w:pStyle w:val="question"/>
      </w:pPr>
      <w:r>
        <w:t>Q.</w:t>
      </w:r>
      <w:r>
        <w:tab/>
        <w:t>How do you respond to Ms. O’Connell’s suggestion that PSE should replace a failing water heater and then immediately transfer the new equipment to the customer?</w:t>
      </w:r>
    </w:p>
    <w:p w:rsidR="001C101C" w:rsidRDefault="00F102C0" w:rsidP="001707DB">
      <w:pPr>
        <w:pStyle w:val="answer"/>
        <w:rPr>
          <w:rFonts w:eastAsia="SimSun"/>
        </w:rPr>
      </w:pPr>
      <w:r>
        <w:rPr>
          <w:rFonts w:eastAsia="SimSun"/>
        </w:rPr>
        <w:t>A.</w:t>
      </w:r>
      <w:r>
        <w:rPr>
          <w:rFonts w:eastAsia="SimSun"/>
        </w:rPr>
        <w:tab/>
      </w:r>
      <w:r w:rsidR="00D05B15">
        <w:rPr>
          <w:rFonts w:eastAsia="SimSun"/>
        </w:rPr>
        <w:t>Ms. O’Connell’s suggestion would harm PSE by requiring it to effectively gift to customers new equipment without allow</w:t>
      </w:r>
      <w:r w:rsidR="009F2752">
        <w:rPr>
          <w:rFonts w:eastAsia="SimSun"/>
        </w:rPr>
        <w:t>ing PSE</w:t>
      </w:r>
      <w:r w:rsidR="00A96F32">
        <w:rPr>
          <w:rFonts w:eastAsia="SimSun"/>
        </w:rPr>
        <w:t xml:space="preserve"> the ability to recover</w:t>
      </w:r>
      <w:r w:rsidR="00D05B15">
        <w:rPr>
          <w:rFonts w:eastAsia="SimSun"/>
        </w:rPr>
        <w:t xml:space="preserve"> its costs.</w:t>
      </w:r>
      <w:r w:rsidR="00F279B9">
        <w:rPr>
          <w:rFonts w:eastAsia="SimSun"/>
        </w:rPr>
        <w:t xml:space="preserve"> </w:t>
      </w:r>
      <w:r w:rsidR="00B40769">
        <w:rPr>
          <w:rFonts w:eastAsia="SimSun"/>
        </w:rPr>
        <w:t>This could amount to a taking of PSE’</w:t>
      </w:r>
      <w:r w:rsidR="00763624">
        <w:rPr>
          <w:rFonts w:eastAsia="SimSun"/>
        </w:rPr>
        <w:t>s property</w:t>
      </w:r>
      <w:r w:rsidR="00B40769">
        <w:rPr>
          <w:rFonts w:eastAsia="SimSun"/>
        </w:rPr>
        <w:t xml:space="preserve"> and might also provide an undue preference to those customers.</w:t>
      </w:r>
      <w:r w:rsidR="00F279B9">
        <w:rPr>
          <w:rFonts w:eastAsia="SimSun"/>
        </w:rPr>
        <w:t xml:space="preserve"> </w:t>
      </w:r>
      <w:r w:rsidR="00A96F32">
        <w:rPr>
          <w:rFonts w:eastAsia="SimSun"/>
        </w:rPr>
        <w:t>This</w:t>
      </w:r>
      <w:r w:rsidR="003213E8">
        <w:rPr>
          <w:rFonts w:eastAsia="SimSun"/>
        </w:rPr>
        <w:t xml:space="preserve"> would </w:t>
      </w:r>
      <w:r w:rsidR="00B40769">
        <w:rPr>
          <w:rFonts w:eastAsia="SimSun"/>
        </w:rPr>
        <w:t xml:space="preserve">also </w:t>
      </w:r>
      <w:r w:rsidR="00B24C26">
        <w:rPr>
          <w:rFonts w:eastAsia="SimSun"/>
        </w:rPr>
        <w:t xml:space="preserve">harm </w:t>
      </w:r>
      <w:r w:rsidR="003213E8">
        <w:rPr>
          <w:rFonts w:eastAsia="SimSun"/>
        </w:rPr>
        <w:t xml:space="preserve">ratepayers who would bear the costs for this </w:t>
      </w:r>
      <w:r w:rsidR="00B40769">
        <w:rPr>
          <w:rFonts w:eastAsia="SimSun"/>
        </w:rPr>
        <w:t xml:space="preserve">forced </w:t>
      </w:r>
      <w:r w:rsidR="003213E8">
        <w:rPr>
          <w:rFonts w:eastAsia="SimSun"/>
        </w:rPr>
        <w:t>transfer.</w:t>
      </w:r>
    </w:p>
    <w:p w:rsidR="00F8418D" w:rsidRPr="00BF069C" w:rsidRDefault="003F1207" w:rsidP="00BF069C">
      <w:pPr>
        <w:pStyle w:val="Heading1"/>
      </w:pPr>
      <w:bookmarkStart w:id="6" w:name="_Toc127023404"/>
      <w:bookmarkStart w:id="7" w:name="_Toc489873765"/>
      <w:r w:rsidRPr="00BF069C">
        <w:lastRenderedPageBreak/>
        <w:t>I</w:t>
      </w:r>
      <w:r w:rsidR="00DA7D3D" w:rsidRPr="00BF069C">
        <w:t>I</w:t>
      </w:r>
      <w:r w:rsidR="00864D3F" w:rsidRPr="00BF069C">
        <w:t>I</w:t>
      </w:r>
      <w:r w:rsidR="00F8418D" w:rsidRPr="00BF069C">
        <w:t>.</w:t>
      </w:r>
      <w:r w:rsidR="00F8418D" w:rsidRPr="00BF069C">
        <w:tab/>
        <w:t>CONCLUSION</w:t>
      </w:r>
      <w:bookmarkEnd w:id="6"/>
      <w:bookmarkEnd w:id="7"/>
    </w:p>
    <w:p w:rsidR="00F8418D" w:rsidRPr="009075DC" w:rsidRDefault="00F8418D" w:rsidP="00734EBA">
      <w:pPr>
        <w:pStyle w:val="question"/>
      </w:pPr>
      <w:r w:rsidRPr="009075DC">
        <w:t>Q.</w:t>
      </w:r>
      <w:r w:rsidRPr="009075DC">
        <w:tab/>
        <w:t xml:space="preserve">Does this conclude your </w:t>
      </w:r>
      <w:r w:rsidR="00864D3F">
        <w:t xml:space="preserve">rebuttal </w:t>
      </w:r>
      <w:r w:rsidRPr="009075DC">
        <w:t>testimony?</w:t>
      </w:r>
    </w:p>
    <w:p w:rsidR="004626B6" w:rsidRPr="009075DC" w:rsidRDefault="00F8418D" w:rsidP="00F279B9">
      <w:pPr>
        <w:pStyle w:val="answer"/>
        <w:rPr>
          <w:rFonts w:eastAsia="SimSun"/>
        </w:rPr>
      </w:pPr>
      <w:r w:rsidRPr="009075DC">
        <w:rPr>
          <w:rFonts w:eastAsia="SimSun"/>
        </w:rPr>
        <w:t>A.</w:t>
      </w:r>
      <w:r w:rsidRPr="009075DC">
        <w:rPr>
          <w:rFonts w:eastAsia="SimSun"/>
        </w:rPr>
        <w:tab/>
        <w:t>Yes</w:t>
      </w:r>
      <w:r w:rsidR="00406B72">
        <w:rPr>
          <w:rFonts w:eastAsia="SimSun"/>
        </w:rPr>
        <w:t>.</w:t>
      </w:r>
      <w:bookmarkStart w:id="8" w:name="_GoBack"/>
      <w:bookmarkEnd w:id="8"/>
    </w:p>
    <w:sectPr w:rsidR="004626B6" w:rsidRPr="009075DC"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7A" w:rsidRDefault="00B17B7A">
      <w:r>
        <w:separator/>
      </w:r>
    </w:p>
  </w:endnote>
  <w:endnote w:type="continuationSeparator" w:id="0">
    <w:p w:rsidR="00B17B7A" w:rsidRDefault="00B1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9" w:rsidRDefault="00F279B9" w:rsidP="00331544">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24" w:rsidRDefault="0076362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763624" w:rsidRDefault="00763624">
    <w:pPr>
      <w:pStyle w:val="Footer"/>
      <w:tabs>
        <w:tab w:val="clear" w:pos="4507"/>
        <w:tab w:val="clear" w:pos="9000"/>
        <w:tab w:val="right" w:pos="8640"/>
      </w:tabs>
      <w:spacing w:line="240" w:lineRule="auto"/>
      <w:ind w:right="0" w:hanging="4"/>
      <w:rPr>
        <w:sz w:val="10"/>
        <w:szCs w:val="10"/>
      </w:rPr>
    </w:pPr>
  </w:p>
  <w:p w:rsidR="00763624" w:rsidRDefault="00763624">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WTE-1T</w:t>
    </w:r>
  </w:p>
  <w:p w:rsidR="00763624" w:rsidRDefault="00763624">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3D712F">
      <w:rPr>
        <w:rStyle w:val="PageNumber"/>
        <w:noProof/>
      </w:rPr>
      <w:t>i</w:t>
    </w:r>
    <w:r>
      <w:rPr>
        <w:rStyle w:val="PageNumber"/>
      </w:rPr>
      <w:fldChar w:fldCharType="end"/>
    </w:r>
    <w:r>
      <w:rPr>
        <w:rStyle w:val="PageNumber"/>
      </w:rPr>
      <w:t xml:space="preserve"> of </w:t>
    </w:r>
    <w:r>
      <w:t>i</w:t>
    </w:r>
    <w:r w:rsidR="001707DB">
      <w:t>i</w:t>
    </w:r>
  </w:p>
  <w:p w:rsidR="00A84DC5" w:rsidRDefault="00763624" w:rsidP="00F279B9">
    <w:pPr>
      <w:pStyle w:val="Footer"/>
      <w:tabs>
        <w:tab w:val="clear" w:pos="4507"/>
        <w:tab w:val="clear" w:pos="9000"/>
        <w:tab w:val="right" w:pos="8640"/>
      </w:tabs>
      <w:ind w:hanging="4"/>
    </w:pPr>
    <w:r>
      <w:t>William T. Einstein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24" w:rsidRDefault="0076362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63624" w:rsidRDefault="00763624">
    <w:pPr>
      <w:pStyle w:val="Footer"/>
      <w:tabs>
        <w:tab w:val="clear" w:pos="4507"/>
        <w:tab w:val="clear" w:pos="9000"/>
        <w:tab w:val="right" w:pos="8640"/>
      </w:tabs>
      <w:spacing w:line="240" w:lineRule="auto"/>
      <w:ind w:right="0"/>
      <w:rPr>
        <w:sz w:val="10"/>
      </w:rPr>
    </w:pPr>
  </w:p>
  <w:p w:rsidR="00763624" w:rsidRDefault="00763624">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WTE-1T</w:t>
    </w:r>
  </w:p>
  <w:p w:rsidR="00763624" w:rsidRDefault="00763624">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3D712F">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3D712F">
      <w:rPr>
        <w:rStyle w:val="PageNumber"/>
        <w:noProof/>
      </w:rPr>
      <w:t>10</w:t>
    </w:r>
    <w:r>
      <w:rPr>
        <w:rStyle w:val="PageNumber"/>
      </w:rPr>
      <w:fldChar w:fldCharType="end"/>
    </w:r>
  </w:p>
  <w:p w:rsidR="00DF0594" w:rsidRDefault="00763624" w:rsidP="00F279B9">
    <w:pPr>
      <w:pStyle w:val="Footer"/>
      <w:tabs>
        <w:tab w:val="clear" w:pos="4507"/>
        <w:tab w:val="clear" w:pos="9000"/>
        <w:tab w:val="right" w:pos="8640"/>
      </w:tabs>
    </w:pPr>
    <w:r>
      <w:t>William T. Einstein</w:t>
    </w:r>
    <w:r w:rsidRPr="00B924B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24" w:rsidRDefault="0076362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63624" w:rsidRDefault="00763624">
    <w:pPr>
      <w:pStyle w:val="Footer"/>
      <w:tabs>
        <w:tab w:val="clear" w:pos="4507"/>
        <w:tab w:val="clear" w:pos="9000"/>
        <w:tab w:val="right" w:pos="8640"/>
      </w:tabs>
      <w:spacing w:line="240" w:lineRule="auto"/>
      <w:ind w:left="-630" w:right="0" w:hanging="4"/>
      <w:rPr>
        <w:sz w:val="10"/>
      </w:rPr>
    </w:pPr>
  </w:p>
  <w:p w:rsidR="00763624" w:rsidRDefault="0076362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763624" w:rsidRDefault="0076362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3D712F">
      <w:rPr>
        <w:rStyle w:val="PageNumber"/>
        <w:noProof/>
      </w:rPr>
      <w:t>10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7A" w:rsidRDefault="00B17B7A" w:rsidP="00311FB0">
      <w:pPr>
        <w:spacing w:line="240" w:lineRule="auto"/>
        <w:ind w:firstLine="0"/>
      </w:pPr>
      <w:r>
        <w:separator/>
      </w:r>
    </w:p>
  </w:footnote>
  <w:footnote w:type="continuationSeparator" w:id="0">
    <w:p w:rsidR="00B17B7A" w:rsidRDefault="00B17B7A" w:rsidP="00311FB0">
      <w:pPr>
        <w:spacing w:line="240" w:lineRule="auto"/>
        <w:ind w:firstLine="0"/>
      </w:pPr>
      <w:r>
        <w:continuationSeparator/>
      </w:r>
    </w:p>
  </w:footnote>
  <w:footnote w:type="continuationNotice" w:id="1">
    <w:p w:rsidR="00B17B7A" w:rsidRDefault="00B17B7A" w:rsidP="00311FB0">
      <w:pPr>
        <w:spacing w:line="240" w:lineRule="auto"/>
        <w:ind w:firstLine="0"/>
      </w:pPr>
    </w:p>
  </w:footnote>
  <w:footnote w:id="2">
    <w:p w:rsidR="00763624" w:rsidRDefault="00763624" w:rsidP="00F279B9">
      <w:pPr>
        <w:pStyle w:val="FootnoteText"/>
      </w:pPr>
      <w:r>
        <w:rPr>
          <w:rStyle w:val="FootnoteReference"/>
        </w:rPr>
        <w:footnoteRef/>
      </w:r>
      <w:r w:rsidR="00F279B9">
        <w:tab/>
      </w:r>
      <w:r w:rsidRPr="00166FBC">
        <w:rPr>
          <w:i/>
        </w:rPr>
        <w:t>W</w:t>
      </w:r>
      <w:r w:rsidR="00F279B9">
        <w:rPr>
          <w:i/>
        </w:rPr>
        <w:t xml:space="preserve">ash. </w:t>
      </w:r>
      <w:proofErr w:type="spellStart"/>
      <w:r w:rsidR="00F279B9">
        <w:rPr>
          <w:i/>
        </w:rPr>
        <w:t>Utils</w:t>
      </w:r>
      <w:proofErr w:type="spellEnd"/>
      <w:r w:rsidR="00F279B9">
        <w:rPr>
          <w:i/>
        </w:rPr>
        <w:t xml:space="preserve">. &amp; Transp. </w:t>
      </w:r>
      <w:proofErr w:type="spellStart"/>
      <w:r w:rsidR="00F279B9">
        <w:rPr>
          <w:i/>
        </w:rPr>
        <w:t>Comm’n</w:t>
      </w:r>
      <w:proofErr w:type="spellEnd"/>
      <w:r w:rsidR="00F279B9">
        <w:rPr>
          <w:i/>
        </w:rPr>
        <w:t xml:space="preserve"> </w:t>
      </w:r>
      <w:r w:rsidRPr="00166FBC">
        <w:rPr>
          <w:i/>
        </w:rPr>
        <w:t>v. W</w:t>
      </w:r>
      <w:r w:rsidR="00F279B9">
        <w:rPr>
          <w:i/>
        </w:rPr>
        <w:t>ash. Natural Gas</w:t>
      </w:r>
      <w:r>
        <w:t>, Docket UG-920840, Order 04</w:t>
      </w:r>
      <w:r w:rsidR="00F279B9">
        <w:t xml:space="preserve"> </w:t>
      </w:r>
      <w:r>
        <w:t>at 16-17 (Sept. 27, 1993).</w:t>
      </w:r>
    </w:p>
  </w:footnote>
  <w:footnote w:id="3">
    <w:p w:rsidR="00763624" w:rsidRDefault="00763624" w:rsidP="00F279B9">
      <w:pPr>
        <w:pStyle w:val="FootnoteText"/>
      </w:pPr>
      <w:r>
        <w:rPr>
          <w:rStyle w:val="FootnoteReference"/>
        </w:rPr>
        <w:footnoteRef/>
      </w:r>
      <w:r w:rsidR="00F279B9">
        <w:tab/>
      </w:r>
      <w:r w:rsidRPr="00274D8E">
        <w:rPr>
          <w:i/>
        </w:rPr>
        <w:t>Id.</w:t>
      </w:r>
      <w:r>
        <w:t xml:space="preserve"> at 17.</w:t>
      </w:r>
    </w:p>
  </w:footnote>
  <w:footnote w:id="4">
    <w:p w:rsidR="00BD401E" w:rsidRPr="00BD401E" w:rsidRDefault="00BD401E" w:rsidP="00F279B9">
      <w:pPr>
        <w:pStyle w:val="FootnoteText"/>
      </w:pPr>
      <w:r>
        <w:rPr>
          <w:rStyle w:val="FootnoteReference"/>
        </w:rPr>
        <w:footnoteRef/>
      </w:r>
      <w:r w:rsidR="00F279B9">
        <w:tab/>
      </w:r>
      <w:r>
        <w:rPr>
          <w:i/>
        </w:rPr>
        <w:t>Id.</w:t>
      </w:r>
      <w:r>
        <w:t xml:space="preserve"> at 16-17.</w:t>
      </w:r>
    </w:p>
  </w:footnote>
  <w:footnote w:id="5">
    <w:p w:rsidR="00763624" w:rsidRDefault="00763624" w:rsidP="00F279B9">
      <w:pPr>
        <w:pStyle w:val="FootnoteText"/>
      </w:pPr>
      <w:r>
        <w:rPr>
          <w:rStyle w:val="FootnoteReference"/>
        </w:rPr>
        <w:footnoteRef/>
      </w:r>
      <w:r w:rsidR="00F279B9">
        <w:tab/>
        <w:t xml:space="preserve">O’Connell, </w:t>
      </w:r>
      <w:proofErr w:type="spellStart"/>
      <w:r>
        <w:t>Exh</w:t>
      </w:r>
      <w:proofErr w:type="spellEnd"/>
      <w:r>
        <w:t>. ECO-1</w:t>
      </w:r>
      <w:r w:rsidR="00BF069C">
        <w:t>C</w:t>
      </w:r>
      <w:r>
        <w:t>T at 27:8-9.</w:t>
      </w:r>
    </w:p>
  </w:footnote>
  <w:footnote w:id="6">
    <w:p w:rsidR="00763624" w:rsidRDefault="00763624" w:rsidP="00F279B9">
      <w:pPr>
        <w:pStyle w:val="FootnoteText"/>
      </w:pPr>
      <w:r>
        <w:rPr>
          <w:rStyle w:val="FootnoteReference"/>
        </w:rPr>
        <w:footnoteRef/>
      </w:r>
      <w:r w:rsidR="00F279B9">
        <w:tab/>
      </w:r>
      <w:hyperlink r:id="rId1" w:history="1">
        <w:r w:rsidR="00F279B9" w:rsidRPr="006568CD">
          <w:rPr>
            <w:rStyle w:val="Hyperlink"/>
          </w:rPr>
          <w:t>https://pse.com/ACCOUNTSANDSERVICES/YOURACCOUNT/Pages/Lease-Services.aspx</w:t>
        </w:r>
      </w:hyperlink>
      <w:r w:rsidR="00F279B9">
        <w:t>.</w:t>
      </w:r>
    </w:p>
  </w:footnote>
  <w:footnote w:id="7">
    <w:p w:rsidR="00763624" w:rsidRDefault="00763624" w:rsidP="00F279B9">
      <w:pPr>
        <w:pStyle w:val="FootnoteText"/>
      </w:pPr>
      <w:r>
        <w:rPr>
          <w:rStyle w:val="FootnoteReference"/>
        </w:rPr>
        <w:footnoteRef/>
      </w:r>
      <w:r w:rsidR="00F279B9">
        <w:tab/>
        <w:t xml:space="preserve">O’Connell, </w:t>
      </w:r>
      <w:proofErr w:type="spellStart"/>
      <w:r>
        <w:t>Exh</w:t>
      </w:r>
      <w:proofErr w:type="spellEnd"/>
      <w:r>
        <w:t>. ECO-1CT at 26:6.</w:t>
      </w:r>
    </w:p>
  </w:footnote>
  <w:footnote w:id="8">
    <w:p w:rsidR="00763624" w:rsidRDefault="00763624" w:rsidP="00F279B9">
      <w:pPr>
        <w:pStyle w:val="FootnoteText"/>
      </w:pPr>
      <w:r>
        <w:rPr>
          <w:rStyle w:val="FootnoteReference"/>
        </w:rPr>
        <w:footnoteRef/>
      </w:r>
      <w:r w:rsidR="00F279B9">
        <w:tab/>
      </w:r>
      <w:r w:rsidRPr="00CE3D45">
        <w:rPr>
          <w:i/>
        </w:rPr>
        <w:t>See, e.g.</w:t>
      </w:r>
      <w:r>
        <w:t xml:space="preserve">, </w:t>
      </w:r>
      <w:r w:rsidR="00F279B9">
        <w:t xml:space="preserve">Spanos, </w:t>
      </w:r>
      <w:proofErr w:type="spellStart"/>
      <w:r>
        <w:t>Exh</w:t>
      </w:r>
      <w:proofErr w:type="spellEnd"/>
      <w:r>
        <w:t>.</w:t>
      </w:r>
      <w:r w:rsidR="00F279B9">
        <w:t xml:space="preserve"> </w:t>
      </w:r>
      <w:r>
        <w:t>JJS-3</w:t>
      </w:r>
      <w:r w:rsidR="00F279B9">
        <w:t xml:space="preserve"> at </w:t>
      </w:r>
      <w:r>
        <w:t>page 3, account 364</w:t>
      </w:r>
      <w:r w:rsidR="009B6D02">
        <w:t>,</w:t>
      </w:r>
      <w:r>
        <w:t xml:space="preserve"> which indicates “fully accrued.”</w:t>
      </w:r>
    </w:p>
  </w:footnote>
  <w:footnote w:id="9">
    <w:p w:rsidR="00763624" w:rsidRDefault="00763624" w:rsidP="00F279B9">
      <w:pPr>
        <w:pStyle w:val="FootnoteText"/>
      </w:pPr>
      <w:r>
        <w:rPr>
          <w:rStyle w:val="FootnoteReference"/>
        </w:rPr>
        <w:footnoteRef/>
      </w:r>
      <w:r w:rsidR="00BF069C">
        <w:tab/>
      </w:r>
      <w:r w:rsidRPr="00F41EF2">
        <w:rPr>
          <w:i/>
        </w:rPr>
        <w:t>W</w:t>
      </w:r>
      <w:r w:rsidR="00BF069C">
        <w:rPr>
          <w:i/>
        </w:rPr>
        <w:t xml:space="preserve">ash. </w:t>
      </w:r>
      <w:proofErr w:type="spellStart"/>
      <w:r w:rsidR="00BF069C">
        <w:rPr>
          <w:i/>
        </w:rPr>
        <w:t>Utils</w:t>
      </w:r>
      <w:proofErr w:type="spellEnd"/>
      <w:r w:rsidR="00BF069C">
        <w:rPr>
          <w:i/>
        </w:rPr>
        <w:t xml:space="preserve">. &amp; Transp. </w:t>
      </w:r>
      <w:proofErr w:type="spellStart"/>
      <w:r w:rsidR="00BF069C">
        <w:rPr>
          <w:i/>
        </w:rPr>
        <w:t>Comm’n</w:t>
      </w:r>
      <w:proofErr w:type="spellEnd"/>
      <w:r w:rsidR="00BF069C">
        <w:rPr>
          <w:i/>
        </w:rPr>
        <w:t xml:space="preserve"> v. Puget Sound Energy</w:t>
      </w:r>
      <w:r>
        <w:t>, Docket</w:t>
      </w:r>
      <w:r w:rsidR="003F1207">
        <w:t>s</w:t>
      </w:r>
      <w:r w:rsidR="00BF069C">
        <w:t xml:space="preserve"> UE-151871/</w:t>
      </w:r>
      <w:r w:rsidR="009B6D02">
        <w:t>UG-151872, Order 06 at</w:t>
      </w:r>
      <w:r>
        <w:t xml:space="preserve"> ¶ 55 (2016) (“Leasing Order”).</w:t>
      </w:r>
    </w:p>
  </w:footnote>
  <w:footnote w:id="10">
    <w:p w:rsidR="00763624" w:rsidRDefault="00763624" w:rsidP="00F279B9">
      <w:pPr>
        <w:pStyle w:val="FootnoteText"/>
      </w:pPr>
      <w:r>
        <w:rPr>
          <w:rStyle w:val="FootnoteReference"/>
        </w:rPr>
        <w:footnoteRef/>
      </w:r>
      <w:r w:rsidR="00BF069C">
        <w:tab/>
      </w:r>
      <w:r w:rsidRPr="000364E0">
        <w:rPr>
          <w:i/>
        </w:rPr>
        <w:t>Id.</w:t>
      </w:r>
      <w:r>
        <w:t xml:space="preserve"> </w:t>
      </w:r>
      <w:r w:rsidR="009B6D02">
        <w:t xml:space="preserve">at </w:t>
      </w:r>
      <w:r>
        <w:t>¶ 61.</w:t>
      </w:r>
    </w:p>
  </w:footnote>
  <w:footnote w:id="11">
    <w:p w:rsidR="00763624" w:rsidRDefault="00763624" w:rsidP="00F279B9">
      <w:pPr>
        <w:pStyle w:val="FootnoteText"/>
      </w:pPr>
      <w:r>
        <w:rPr>
          <w:rStyle w:val="FootnoteReference"/>
        </w:rPr>
        <w:footnoteRef/>
      </w:r>
      <w:r w:rsidR="00BF069C">
        <w:tab/>
      </w:r>
      <w:r w:rsidRPr="000364E0">
        <w:rPr>
          <w:i/>
        </w:rPr>
        <w:t>Id.</w:t>
      </w:r>
      <w:r>
        <w:t xml:space="preserve"> </w:t>
      </w:r>
      <w:r w:rsidR="009B6D02">
        <w:t xml:space="preserve">at </w:t>
      </w:r>
      <w:r>
        <w:t>¶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9" w:rsidRDefault="00F279B9">
    <w:pPr>
      <w:pStyle w:val="Header"/>
    </w:pPr>
    <w:r>
      <w:rPr>
        <w:noProof/>
        <w:lang w:eastAsia="en-US"/>
      </w:rPr>
      <mc:AlternateContent>
        <mc:Choice Requires="wps">
          <w:drawing>
            <wp:anchor distT="0" distB="0" distL="114300" distR="114300" simplePos="0" relativeHeight="251664384" behindDoc="0" locked="0" layoutInCell="0" allowOverlap="1" wp14:anchorId="4017D5C9" wp14:editId="6D714F5E">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C5" w:rsidRDefault="00763624" w:rsidP="00F279B9">
    <w:pPr>
      <w:pStyle w:val="Header"/>
    </w:pPr>
    <w:r>
      <w:rPr>
        <w:noProof/>
        <w:lang w:eastAsia="en-US"/>
      </w:rPr>
      <mc:AlternateContent>
        <mc:Choice Requires="wps">
          <w:drawing>
            <wp:anchor distT="0" distB="0" distL="114300" distR="114300" simplePos="0" relativeHeight="251662336" behindDoc="0" locked="0" layoutInCell="1" allowOverlap="1" wp14:anchorId="473A35D9" wp14:editId="1F30AA2A">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4F92416"/>
    <w:multiLevelType w:val="hybridMultilevel"/>
    <w:tmpl w:val="4080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7B112FB"/>
    <w:multiLevelType w:val="hybridMultilevel"/>
    <w:tmpl w:val="A77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38"/>
  </w:num>
  <w:num w:numId="14">
    <w:abstractNumId w:val="23"/>
  </w:num>
  <w:num w:numId="15">
    <w:abstractNumId w:val="33"/>
  </w:num>
  <w:num w:numId="16">
    <w:abstractNumId w:val="36"/>
  </w:num>
  <w:num w:numId="17">
    <w:abstractNumId w:val="40"/>
  </w:num>
  <w:num w:numId="18">
    <w:abstractNumId w:val="26"/>
  </w:num>
  <w:num w:numId="19">
    <w:abstractNumId w:val="42"/>
  </w:num>
  <w:num w:numId="20">
    <w:abstractNumId w:val="29"/>
  </w:num>
  <w:num w:numId="21">
    <w:abstractNumId w:val="32"/>
  </w:num>
  <w:num w:numId="22">
    <w:abstractNumId w:val="17"/>
  </w:num>
  <w:num w:numId="23">
    <w:abstractNumId w:val="15"/>
  </w:num>
  <w:num w:numId="24">
    <w:abstractNumId w:val="21"/>
  </w:num>
  <w:num w:numId="25">
    <w:abstractNumId w:val="19"/>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5"/>
  </w:num>
  <w:num w:numId="38">
    <w:abstractNumId w:val="25"/>
  </w:num>
  <w:num w:numId="39">
    <w:abstractNumId w:val="18"/>
  </w:num>
  <w:num w:numId="40">
    <w:abstractNumId w:val="20"/>
  </w:num>
  <w:num w:numId="41">
    <w:abstractNumId w:val="39"/>
  </w:num>
  <w:num w:numId="42">
    <w:abstractNumId w:val="31"/>
  </w:num>
  <w:num w:numId="43">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419625.1"/>
    <w:docVar w:name="MPDocIDTemplate" w:val="%n|.%v"/>
    <w:docVar w:name="MPDocIDTemplateDefault" w:val="%c-|%m/|%n|.%v"/>
    <w:docVar w:name="NewDocStampType" w:val="1"/>
    <w:docVar w:name="zzmpLTFontsClean" w:val="True"/>
    <w:docVar w:name="zzmpnSession" w:val="4.957217E-02"/>
  </w:docVars>
  <w:rsids>
    <w:rsidRoot w:val="00CD1A65"/>
    <w:rsid w:val="00000A6F"/>
    <w:rsid w:val="000018F4"/>
    <w:rsid w:val="00001D91"/>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34C5"/>
    <w:rsid w:val="0003603B"/>
    <w:rsid w:val="000364E0"/>
    <w:rsid w:val="000373BB"/>
    <w:rsid w:val="00037CE8"/>
    <w:rsid w:val="00040032"/>
    <w:rsid w:val="00040898"/>
    <w:rsid w:val="00040E73"/>
    <w:rsid w:val="00041701"/>
    <w:rsid w:val="000425A2"/>
    <w:rsid w:val="00043886"/>
    <w:rsid w:val="00043BF2"/>
    <w:rsid w:val="00044F9A"/>
    <w:rsid w:val="000456B9"/>
    <w:rsid w:val="000458B0"/>
    <w:rsid w:val="000460D8"/>
    <w:rsid w:val="0004727F"/>
    <w:rsid w:val="0005073B"/>
    <w:rsid w:val="00051008"/>
    <w:rsid w:val="000528F5"/>
    <w:rsid w:val="00052A37"/>
    <w:rsid w:val="00053B7F"/>
    <w:rsid w:val="00054C6A"/>
    <w:rsid w:val="00054CEF"/>
    <w:rsid w:val="00055D27"/>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1839"/>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8C2"/>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EA8"/>
    <w:rsid w:val="000C7BD8"/>
    <w:rsid w:val="000D0074"/>
    <w:rsid w:val="000D0417"/>
    <w:rsid w:val="000D0F91"/>
    <w:rsid w:val="000D1FB5"/>
    <w:rsid w:val="000D3BF9"/>
    <w:rsid w:val="000D4210"/>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13C"/>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6E2C"/>
    <w:rsid w:val="00127342"/>
    <w:rsid w:val="001310AA"/>
    <w:rsid w:val="001314A8"/>
    <w:rsid w:val="0013195B"/>
    <w:rsid w:val="00132447"/>
    <w:rsid w:val="0013586D"/>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CB0"/>
    <w:rsid w:val="00166FBC"/>
    <w:rsid w:val="00166FE8"/>
    <w:rsid w:val="00167766"/>
    <w:rsid w:val="0016795C"/>
    <w:rsid w:val="001707DB"/>
    <w:rsid w:val="00170A15"/>
    <w:rsid w:val="00171539"/>
    <w:rsid w:val="00171E32"/>
    <w:rsid w:val="00172914"/>
    <w:rsid w:val="00173555"/>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2832"/>
    <w:rsid w:val="00192868"/>
    <w:rsid w:val="00192D72"/>
    <w:rsid w:val="001936DE"/>
    <w:rsid w:val="001955D7"/>
    <w:rsid w:val="0019637E"/>
    <w:rsid w:val="00196CB7"/>
    <w:rsid w:val="00196FCA"/>
    <w:rsid w:val="00197652"/>
    <w:rsid w:val="00197984"/>
    <w:rsid w:val="001A1529"/>
    <w:rsid w:val="001A15E3"/>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01C"/>
    <w:rsid w:val="001C1757"/>
    <w:rsid w:val="001C2894"/>
    <w:rsid w:val="001C4BC5"/>
    <w:rsid w:val="001C5CAF"/>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10AF9"/>
    <w:rsid w:val="00210FD3"/>
    <w:rsid w:val="002111FC"/>
    <w:rsid w:val="0021264C"/>
    <w:rsid w:val="002176C8"/>
    <w:rsid w:val="00217738"/>
    <w:rsid w:val="002200C5"/>
    <w:rsid w:val="00220BA5"/>
    <w:rsid w:val="0022127D"/>
    <w:rsid w:val="00221CB5"/>
    <w:rsid w:val="002225DC"/>
    <w:rsid w:val="00222C36"/>
    <w:rsid w:val="00225132"/>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82A"/>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4D8E"/>
    <w:rsid w:val="002758F7"/>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4A47"/>
    <w:rsid w:val="002C68E6"/>
    <w:rsid w:val="002D02F5"/>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43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EAA"/>
    <w:rsid w:val="00306F7C"/>
    <w:rsid w:val="0030775B"/>
    <w:rsid w:val="003114AA"/>
    <w:rsid w:val="00311821"/>
    <w:rsid w:val="00311FB0"/>
    <w:rsid w:val="003150B6"/>
    <w:rsid w:val="00315629"/>
    <w:rsid w:val="00317739"/>
    <w:rsid w:val="00320261"/>
    <w:rsid w:val="00320F41"/>
    <w:rsid w:val="003213E8"/>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60A"/>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BB7"/>
    <w:rsid w:val="00390F80"/>
    <w:rsid w:val="003912A1"/>
    <w:rsid w:val="003918EE"/>
    <w:rsid w:val="00392E3B"/>
    <w:rsid w:val="00393479"/>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4A7F"/>
    <w:rsid w:val="003C51B6"/>
    <w:rsid w:val="003C58FE"/>
    <w:rsid w:val="003C64DB"/>
    <w:rsid w:val="003C6CFA"/>
    <w:rsid w:val="003D03FF"/>
    <w:rsid w:val="003D094A"/>
    <w:rsid w:val="003D25AE"/>
    <w:rsid w:val="003D2AE7"/>
    <w:rsid w:val="003D2CAA"/>
    <w:rsid w:val="003D3E30"/>
    <w:rsid w:val="003D6487"/>
    <w:rsid w:val="003D6D6C"/>
    <w:rsid w:val="003D712F"/>
    <w:rsid w:val="003D721D"/>
    <w:rsid w:val="003D74E1"/>
    <w:rsid w:val="003D78FC"/>
    <w:rsid w:val="003E05B7"/>
    <w:rsid w:val="003E1248"/>
    <w:rsid w:val="003E1CD9"/>
    <w:rsid w:val="003E418E"/>
    <w:rsid w:val="003E43FB"/>
    <w:rsid w:val="003E5299"/>
    <w:rsid w:val="003E605A"/>
    <w:rsid w:val="003F00FB"/>
    <w:rsid w:val="003F0486"/>
    <w:rsid w:val="003F0734"/>
    <w:rsid w:val="003F1207"/>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2DAB"/>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3E54"/>
    <w:rsid w:val="004441C3"/>
    <w:rsid w:val="00444FFA"/>
    <w:rsid w:val="00445291"/>
    <w:rsid w:val="004479B6"/>
    <w:rsid w:val="0045217A"/>
    <w:rsid w:val="00452684"/>
    <w:rsid w:val="0045400D"/>
    <w:rsid w:val="00454484"/>
    <w:rsid w:val="00455FB0"/>
    <w:rsid w:val="00461E19"/>
    <w:rsid w:val="004626B6"/>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1FF3"/>
    <w:rsid w:val="0048269E"/>
    <w:rsid w:val="0048295A"/>
    <w:rsid w:val="00482CE9"/>
    <w:rsid w:val="004837B4"/>
    <w:rsid w:val="004847D0"/>
    <w:rsid w:val="00486844"/>
    <w:rsid w:val="00486F8C"/>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6024"/>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2AF"/>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39AA"/>
    <w:rsid w:val="005F411E"/>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5CA5"/>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2EDC"/>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8F4"/>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1F75"/>
    <w:rsid w:val="007324FB"/>
    <w:rsid w:val="0073473E"/>
    <w:rsid w:val="007347E6"/>
    <w:rsid w:val="00734EBA"/>
    <w:rsid w:val="00737C55"/>
    <w:rsid w:val="00740802"/>
    <w:rsid w:val="00741A4C"/>
    <w:rsid w:val="00741D0C"/>
    <w:rsid w:val="0074206F"/>
    <w:rsid w:val="00743A49"/>
    <w:rsid w:val="00745606"/>
    <w:rsid w:val="00745B9C"/>
    <w:rsid w:val="00745F1E"/>
    <w:rsid w:val="007464C7"/>
    <w:rsid w:val="0074780F"/>
    <w:rsid w:val="007479D7"/>
    <w:rsid w:val="00747E79"/>
    <w:rsid w:val="007500C0"/>
    <w:rsid w:val="0075114A"/>
    <w:rsid w:val="00752492"/>
    <w:rsid w:val="00752EBB"/>
    <w:rsid w:val="00754552"/>
    <w:rsid w:val="007547FF"/>
    <w:rsid w:val="0075580A"/>
    <w:rsid w:val="00756AAC"/>
    <w:rsid w:val="00760094"/>
    <w:rsid w:val="007608D1"/>
    <w:rsid w:val="00761068"/>
    <w:rsid w:val="0076163B"/>
    <w:rsid w:val="00761722"/>
    <w:rsid w:val="00761E8E"/>
    <w:rsid w:val="007634AB"/>
    <w:rsid w:val="00763624"/>
    <w:rsid w:val="00764DAF"/>
    <w:rsid w:val="00765BC2"/>
    <w:rsid w:val="00770765"/>
    <w:rsid w:val="00771ADE"/>
    <w:rsid w:val="00771B62"/>
    <w:rsid w:val="00772CF4"/>
    <w:rsid w:val="0077386A"/>
    <w:rsid w:val="00774F17"/>
    <w:rsid w:val="00775036"/>
    <w:rsid w:val="007773E2"/>
    <w:rsid w:val="00777698"/>
    <w:rsid w:val="007777E6"/>
    <w:rsid w:val="00780212"/>
    <w:rsid w:val="0078122C"/>
    <w:rsid w:val="007816E1"/>
    <w:rsid w:val="0078192B"/>
    <w:rsid w:val="0078337F"/>
    <w:rsid w:val="00783AEC"/>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9F"/>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508"/>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4D3F"/>
    <w:rsid w:val="008659FF"/>
    <w:rsid w:val="00865FB3"/>
    <w:rsid w:val="00866641"/>
    <w:rsid w:val="008702B7"/>
    <w:rsid w:val="00870468"/>
    <w:rsid w:val="008707B7"/>
    <w:rsid w:val="00872887"/>
    <w:rsid w:val="0087325E"/>
    <w:rsid w:val="00873862"/>
    <w:rsid w:val="00875981"/>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BBA"/>
    <w:rsid w:val="008C5DCB"/>
    <w:rsid w:val="008C5F34"/>
    <w:rsid w:val="008C69DB"/>
    <w:rsid w:val="008C76B2"/>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5BD"/>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3DAA"/>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B6D02"/>
    <w:rsid w:val="009C109B"/>
    <w:rsid w:val="009C12C0"/>
    <w:rsid w:val="009C17B4"/>
    <w:rsid w:val="009C1C81"/>
    <w:rsid w:val="009C1DF9"/>
    <w:rsid w:val="009C28B1"/>
    <w:rsid w:val="009C2A2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6A1"/>
    <w:rsid w:val="009D4767"/>
    <w:rsid w:val="009D4FDB"/>
    <w:rsid w:val="009D6790"/>
    <w:rsid w:val="009D7FA2"/>
    <w:rsid w:val="009E01FD"/>
    <w:rsid w:val="009E0B51"/>
    <w:rsid w:val="009E27EB"/>
    <w:rsid w:val="009E2B56"/>
    <w:rsid w:val="009E40D0"/>
    <w:rsid w:val="009E5A09"/>
    <w:rsid w:val="009E758A"/>
    <w:rsid w:val="009F0584"/>
    <w:rsid w:val="009F16F6"/>
    <w:rsid w:val="009F2286"/>
    <w:rsid w:val="009F2752"/>
    <w:rsid w:val="009F303B"/>
    <w:rsid w:val="009F3A4C"/>
    <w:rsid w:val="009F3D88"/>
    <w:rsid w:val="009F483C"/>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6CE7"/>
    <w:rsid w:val="00A27109"/>
    <w:rsid w:val="00A27290"/>
    <w:rsid w:val="00A27F45"/>
    <w:rsid w:val="00A27F4D"/>
    <w:rsid w:val="00A339F5"/>
    <w:rsid w:val="00A3415A"/>
    <w:rsid w:val="00A354F2"/>
    <w:rsid w:val="00A35C7F"/>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4DC5"/>
    <w:rsid w:val="00A860B7"/>
    <w:rsid w:val="00A87832"/>
    <w:rsid w:val="00A92F14"/>
    <w:rsid w:val="00A943DE"/>
    <w:rsid w:val="00A950BE"/>
    <w:rsid w:val="00A96041"/>
    <w:rsid w:val="00A9627B"/>
    <w:rsid w:val="00A962D0"/>
    <w:rsid w:val="00A96BA8"/>
    <w:rsid w:val="00A96F32"/>
    <w:rsid w:val="00A96FF2"/>
    <w:rsid w:val="00AA0A33"/>
    <w:rsid w:val="00AA0F3E"/>
    <w:rsid w:val="00AA2435"/>
    <w:rsid w:val="00AA2591"/>
    <w:rsid w:val="00AA3023"/>
    <w:rsid w:val="00AA3302"/>
    <w:rsid w:val="00AA3626"/>
    <w:rsid w:val="00AA4E24"/>
    <w:rsid w:val="00AA63DC"/>
    <w:rsid w:val="00AB1B73"/>
    <w:rsid w:val="00AB246C"/>
    <w:rsid w:val="00AB3379"/>
    <w:rsid w:val="00AB5D04"/>
    <w:rsid w:val="00AB5F0F"/>
    <w:rsid w:val="00AB6B68"/>
    <w:rsid w:val="00AB6DAC"/>
    <w:rsid w:val="00AB75F7"/>
    <w:rsid w:val="00AB7AC0"/>
    <w:rsid w:val="00AC0EFD"/>
    <w:rsid w:val="00AC24B4"/>
    <w:rsid w:val="00AC3234"/>
    <w:rsid w:val="00AC5FC7"/>
    <w:rsid w:val="00AC6E75"/>
    <w:rsid w:val="00AC78A7"/>
    <w:rsid w:val="00AC7AED"/>
    <w:rsid w:val="00AC7C43"/>
    <w:rsid w:val="00AD03A4"/>
    <w:rsid w:val="00AD070D"/>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8AC"/>
    <w:rsid w:val="00AE4C18"/>
    <w:rsid w:val="00AE517C"/>
    <w:rsid w:val="00AE6554"/>
    <w:rsid w:val="00AE6660"/>
    <w:rsid w:val="00AE6853"/>
    <w:rsid w:val="00AE7729"/>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B7A"/>
    <w:rsid w:val="00B17F8A"/>
    <w:rsid w:val="00B20BBF"/>
    <w:rsid w:val="00B2223B"/>
    <w:rsid w:val="00B223B9"/>
    <w:rsid w:val="00B22DF8"/>
    <w:rsid w:val="00B23136"/>
    <w:rsid w:val="00B23A48"/>
    <w:rsid w:val="00B24C26"/>
    <w:rsid w:val="00B24CBD"/>
    <w:rsid w:val="00B262F7"/>
    <w:rsid w:val="00B266D7"/>
    <w:rsid w:val="00B27039"/>
    <w:rsid w:val="00B278E8"/>
    <w:rsid w:val="00B30725"/>
    <w:rsid w:val="00B31C09"/>
    <w:rsid w:val="00B32C85"/>
    <w:rsid w:val="00B3467C"/>
    <w:rsid w:val="00B3683E"/>
    <w:rsid w:val="00B36A6E"/>
    <w:rsid w:val="00B373B1"/>
    <w:rsid w:val="00B40769"/>
    <w:rsid w:val="00B44620"/>
    <w:rsid w:val="00B4519A"/>
    <w:rsid w:val="00B4527B"/>
    <w:rsid w:val="00B45BFA"/>
    <w:rsid w:val="00B4622E"/>
    <w:rsid w:val="00B46243"/>
    <w:rsid w:val="00B46B5F"/>
    <w:rsid w:val="00B50B31"/>
    <w:rsid w:val="00B51D81"/>
    <w:rsid w:val="00B5217C"/>
    <w:rsid w:val="00B52939"/>
    <w:rsid w:val="00B543B3"/>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2DB"/>
    <w:rsid w:val="00B67D2F"/>
    <w:rsid w:val="00B7150D"/>
    <w:rsid w:val="00B7217C"/>
    <w:rsid w:val="00B72B8E"/>
    <w:rsid w:val="00B73F34"/>
    <w:rsid w:val="00B73FBB"/>
    <w:rsid w:val="00B74FBA"/>
    <w:rsid w:val="00B7633E"/>
    <w:rsid w:val="00B773FF"/>
    <w:rsid w:val="00B77EA2"/>
    <w:rsid w:val="00B81686"/>
    <w:rsid w:val="00B83055"/>
    <w:rsid w:val="00B86876"/>
    <w:rsid w:val="00B874A3"/>
    <w:rsid w:val="00B87598"/>
    <w:rsid w:val="00B906AA"/>
    <w:rsid w:val="00B924B7"/>
    <w:rsid w:val="00B93265"/>
    <w:rsid w:val="00B94A1E"/>
    <w:rsid w:val="00B97BA8"/>
    <w:rsid w:val="00BA0156"/>
    <w:rsid w:val="00BA01EC"/>
    <w:rsid w:val="00BA0530"/>
    <w:rsid w:val="00BA120F"/>
    <w:rsid w:val="00BA17EA"/>
    <w:rsid w:val="00BA18DA"/>
    <w:rsid w:val="00BA2D49"/>
    <w:rsid w:val="00BA34B2"/>
    <w:rsid w:val="00BA4435"/>
    <w:rsid w:val="00BA454F"/>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C2B"/>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01E"/>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069C"/>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496"/>
    <w:rsid w:val="00C105A0"/>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4BB"/>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A012D"/>
    <w:rsid w:val="00CA1F02"/>
    <w:rsid w:val="00CA3B3D"/>
    <w:rsid w:val="00CA54B6"/>
    <w:rsid w:val="00CA59CD"/>
    <w:rsid w:val="00CA5B05"/>
    <w:rsid w:val="00CA6C90"/>
    <w:rsid w:val="00CA6F2E"/>
    <w:rsid w:val="00CA7F28"/>
    <w:rsid w:val="00CB0501"/>
    <w:rsid w:val="00CB089E"/>
    <w:rsid w:val="00CB0A6C"/>
    <w:rsid w:val="00CB1F21"/>
    <w:rsid w:val="00CB25A6"/>
    <w:rsid w:val="00CB26FE"/>
    <w:rsid w:val="00CB52AF"/>
    <w:rsid w:val="00CB6B51"/>
    <w:rsid w:val="00CB6E01"/>
    <w:rsid w:val="00CB7615"/>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3D45"/>
    <w:rsid w:val="00CE4780"/>
    <w:rsid w:val="00CE526D"/>
    <w:rsid w:val="00CE54C2"/>
    <w:rsid w:val="00CE54C8"/>
    <w:rsid w:val="00CE577C"/>
    <w:rsid w:val="00CE5F26"/>
    <w:rsid w:val="00CF0530"/>
    <w:rsid w:val="00CF098F"/>
    <w:rsid w:val="00CF1119"/>
    <w:rsid w:val="00CF1E44"/>
    <w:rsid w:val="00CF241B"/>
    <w:rsid w:val="00CF358D"/>
    <w:rsid w:val="00CF5213"/>
    <w:rsid w:val="00CF7001"/>
    <w:rsid w:val="00CF7048"/>
    <w:rsid w:val="00CF74F3"/>
    <w:rsid w:val="00D00D4C"/>
    <w:rsid w:val="00D01773"/>
    <w:rsid w:val="00D01B6A"/>
    <w:rsid w:val="00D0230E"/>
    <w:rsid w:val="00D04205"/>
    <w:rsid w:val="00D04E42"/>
    <w:rsid w:val="00D04F24"/>
    <w:rsid w:val="00D051AB"/>
    <w:rsid w:val="00D05B15"/>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606F"/>
    <w:rsid w:val="00D173FD"/>
    <w:rsid w:val="00D1798E"/>
    <w:rsid w:val="00D17B57"/>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02"/>
    <w:rsid w:val="00DD0EA5"/>
    <w:rsid w:val="00DD1DA9"/>
    <w:rsid w:val="00DD1DCF"/>
    <w:rsid w:val="00DD2250"/>
    <w:rsid w:val="00DD233F"/>
    <w:rsid w:val="00DD3BEB"/>
    <w:rsid w:val="00DD4985"/>
    <w:rsid w:val="00DD4EF5"/>
    <w:rsid w:val="00DD65A8"/>
    <w:rsid w:val="00DD68D1"/>
    <w:rsid w:val="00DE2318"/>
    <w:rsid w:val="00DE37B3"/>
    <w:rsid w:val="00DE4F77"/>
    <w:rsid w:val="00DE69DD"/>
    <w:rsid w:val="00DE6A65"/>
    <w:rsid w:val="00DF0594"/>
    <w:rsid w:val="00DF1108"/>
    <w:rsid w:val="00DF1E8A"/>
    <w:rsid w:val="00DF20AA"/>
    <w:rsid w:val="00DF279F"/>
    <w:rsid w:val="00DF3335"/>
    <w:rsid w:val="00DF5529"/>
    <w:rsid w:val="00DF55B2"/>
    <w:rsid w:val="00DF5AC8"/>
    <w:rsid w:val="00DF5C77"/>
    <w:rsid w:val="00DF5D71"/>
    <w:rsid w:val="00DF6BA9"/>
    <w:rsid w:val="00DF7CB8"/>
    <w:rsid w:val="00DF7DCA"/>
    <w:rsid w:val="00E01933"/>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1CE0"/>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688"/>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3D1"/>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02C0"/>
    <w:rsid w:val="00F1065B"/>
    <w:rsid w:val="00F11FB9"/>
    <w:rsid w:val="00F1300E"/>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5BC1"/>
    <w:rsid w:val="00F2608F"/>
    <w:rsid w:val="00F262C1"/>
    <w:rsid w:val="00F26518"/>
    <w:rsid w:val="00F269B2"/>
    <w:rsid w:val="00F275A7"/>
    <w:rsid w:val="00F279B9"/>
    <w:rsid w:val="00F27CB4"/>
    <w:rsid w:val="00F31ADF"/>
    <w:rsid w:val="00F32561"/>
    <w:rsid w:val="00F358B9"/>
    <w:rsid w:val="00F37B02"/>
    <w:rsid w:val="00F400E2"/>
    <w:rsid w:val="00F4037B"/>
    <w:rsid w:val="00F40918"/>
    <w:rsid w:val="00F409F5"/>
    <w:rsid w:val="00F41B35"/>
    <w:rsid w:val="00F41EF2"/>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2FF"/>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EDB"/>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D6B"/>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BF069C"/>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BF069C"/>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autoRedefine/>
    <w:uiPriority w:val="99"/>
    <w:qFormat/>
    <w:rsid w:val="00F279B9"/>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F279B9"/>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F059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BF069C"/>
    <w:pPr>
      <w:keepNext/>
      <w:keepLines/>
      <w:spacing w:after="320"/>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BF069C"/>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autoRedefine/>
    <w:uiPriority w:val="99"/>
    <w:qFormat/>
    <w:rsid w:val="00F279B9"/>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F279B9"/>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F059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pse.com/ACCOUNTSANDSERVICES/YOURACCOUNT/Pages/Leas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48F904A-0744-4F50-BB30-4B170463576E}">
  <ds:schemaRefs>
    <ds:schemaRef ds:uri="http://schemas.openxmlformats.org/officeDocument/2006/bibliography"/>
  </ds:schemaRefs>
</ds:datastoreItem>
</file>

<file path=customXml/itemProps2.xml><?xml version="1.0" encoding="utf-8"?>
<ds:datastoreItem xmlns:ds="http://schemas.openxmlformats.org/officeDocument/2006/customXml" ds:itemID="{CC0B8DAF-C669-406F-81AC-CDAD5C1283E2}"/>
</file>

<file path=customXml/itemProps3.xml><?xml version="1.0" encoding="utf-8"?>
<ds:datastoreItem xmlns:ds="http://schemas.openxmlformats.org/officeDocument/2006/customXml" ds:itemID="{A5B4B8CD-A1B5-46EA-918B-44A29DCD8F96}"/>
</file>

<file path=customXml/itemProps4.xml><?xml version="1.0" encoding="utf-8"?>
<ds:datastoreItem xmlns:ds="http://schemas.openxmlformats.org/officeDocument/2006/customXml" ds:itemID="{D76B9EA1-BABB-4608-91D2-87EAC952F0C2}"/>
</file>

<file path=customXml/itemProps5.xml><?xml version="1.0" encoding="utf-8"?>
<ds:datastoreItem xmlns:ds="http://schemas.openxmlformats.org/officeDocument/2006/customXml" ds:itemID="{21A65B4A-CAC2-4668-B558-21D1C7A943EA}"/>
</file>

<file path=docProps/app.xml><?xml version="1.0" encoding="utf-8"?>
<Properties xmlns="http://schemas.openxmlformats.org/officeDocument/2006/extended-properties" xmlns:vt="http://schemas.openxmlformats.org/officeDocument/2006/docPropsVTypes">
  <Template>Normal.dotm</Template>
  <TotalTime>190</TotalTime>
  <Pages>13</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29</cp:revision>
  <cp:lastPrinted>2017-08-07T21:12:00Z</cp:lastPrinted>
  <dcterms:created xsi:type="dcterms:W3CDTF">2017-08-02T17:27:00Z</dcterms:created>
  <dcterms:modified xsi:type="dcterms:W3CDTF">2017-08-07T21:12:00Z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