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152F5C" w:rsidRDefault="00F3297B" w:rsidP="00895DF8">
      <w:pPr>
        <w:spacing w:line="264" w:lineRule="auto"/>
        <w:jc w:val="center"/>
        <w:rPr>
          <w:rFonts w:ascii="Times New Roman" w:hAnsi="Times New Roman" w:cs="Times New Roman"/>
          <w:b/>
          <w:sz w:val="25"/>
          <w:szCs w:val="25"/>
        </w:rPr>
      </w:pPr>
      <w:bookmarkStart w:id="0" w:name="_GoBack"/>
      <w:bookmarkEnd w:id="0"/>
      <w:r w:rsidRPr="00152F5C">
        <w:rPr>
          <w:rFonts w:ascii="Times New Roman" w:hAnsi="Times New Roman" w:cs="Times New Roman"/>
          <w:b/>
          <w:sz w:val="25"/>
          <w:szCs w:val="25"/>
        </w:rPr>
        <w:t>Attachment</w:t>
      </w:r>
      <w:r w:rsidR="00811C17" w:rsidRPr="00152F5C">
        <w:rPr>
          <w:rFonts w:ascii="Times New Roman" w:hAnsi="Times New Roman" w:cs="Times New Roman"/>
          <w:b/>
          <w:sz w:val="25"/>
          <w:szCs w:val="25"/>
        </w:rPr>
        <w:t xml:space="preserve"> A</w:t>
      </w:r>
    </w:p>
    <w:p w:rsidR="00F3297B" w:rsidRPr="00152F5C" w:rsidRDefault="00F3297B"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Utilities and Transpo</w:t>
      </w:r>
      <w:r w:rsidR="00173E8B" w:rsidRPr="00152F5C">
        <w:rPr>
          <w:rFonts w:ascii="Times New Roman" w:hAnsi="Times New Roman" w:cs="Times New Roman"/>
          <w:b/>
          <w:sz w:val="25"/>
          <w:szCs w:val="25"/>
        </w:rPr>
        <w:t xml:space="preserve">rtation Commission Comments on </w:t>
      </w:r>
    </w:p>
    <w:p w:rsidR="00F3297B" w:rsidRPr="00152F5C" w:rsidRDefault="00F3297B"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Puget Sound Energy’</w:t>
      </w:r>
      <w:r w:rsidR="00173E8B" w:rsidRPr="00152F5C">
        <w:rPr>
          <w:rFonts w:ascii="Times New Roman" w:hAnsi="Times New Roman" w:cs="Times New Roman"/>
          <w:b/>
          <w:sz w:val="25"/>
          <w:szCs w:val="25"/>
        </w:rPr>
        <w:t>s 2013 Integrated Resource Plan</w:t>
      </w:r>
    </w:p>
    <w:p w:rsidR="00F3297B" w:rsidRPr="00152F5C" w:rsidRDefault="00F3297B"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Dockets UE-120767 &amp; UG-120768</w:t>
      </w:r>
    </w:p>
    <w:p w:rsidR="00F3297B" w:rsidRPr="00152F5C" w:rsidRDefault="00F3297B" w:rsidP="00895DF8">
      <w:pPr>
        <w:spacing w:line="264" w:lineRule="auto"/>
        <w:jc w:val="center"/>
        <w:rPr>
          <w:rFonts w:ascii="Times New Roman" w:hAnsi="Times New Roman" w:cs="Times New Roman"/>
          <w:b/>
          <w:sz w:val="25"/>
          <w:szCs w:val="25"/>
        </w:rPr>
      </w:pPr>
    </w:p>
    <w:p w:rsidR="007C43A5" w:rsidRPr="00152F5C" w:rsidRDefault="00F10EEB" w:rsidP="00895DF8">
      <w:pPr>
        <w:pStyle w:val="ListParagraph"/>
        <w:numPr>
          <w:ilvl w:val="0"/>
          <w:numId w:val="13"/>
        </w:numPr>
        <w:spacing w:line="264" w:lineRule="auto"/>
        <w:ind w:left="1080"/>
        <w:rPr>
          <w:rFonts w:ascii="Times New Roman" w:hAnsi="Times New Roman" w:cs="Times New Roman"/>
          <w:b/>
          <w:sz w:val="25"/>
          <w:szCs w:val="25"/>
          <w:u w:val="single"/>
        </w:rPr>
      </w:pPr>
      <w:r w:rsidRPr="00152F5C">
        <w:rPr>
          <w:rFonts w:ascii="Times New Roman" w:hAnsi="Times New Roman" w:cs="Times New Roman"/>
          <w:b/>
          <w:sz w:val="25"/>
          <w:szCs w:val="25"/>
          <w:u w:val="single"/>
        </w:rPr>
        <w:t>Introduction</w:t>
      </w:r>
    </w:p>
    <w:p w:rsidR="00F10EEB" w:rsidRPr="00152F5C" w:rsidRDefault="00F10EEB" w:rsidP="00895DF8">
      <w:pPr>
        <w:spacing w:line="264" w:lineRule="auto"/>
        <w:jc w:val="center"/>
        <w:rPr>
          <w:rFonts w:ascii="Times New Roman" w:hAnsi="Times New Roman" w:cs="Times New Roman"/>
          <w:b/>
          <w:sz w:val="25"/>
          <w:szCs w:val="25"/>
        </w:rPr>
      </w:pPr>
    </w:p>
    <w:p w:rsidR="00F3297B" w:rsidRPr="00152F5C" w:rsidRDefault="007C43A5"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As an electric and natural gas utility operating in Washington, Puget Sound Energy (PSE or Company) has a fundamental responsibility to manage the risks and opportunities associated with acquiring and delivering electricity and natural gas on behalf of its customers</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Technological advances have lowered the cost and increased the availability of natural gas supplies, renewable resourc</w:t>
      </w:r>
      <w:r w:rsidR="00085DF0" w:rsidRPr="00152F5C">
        <w:rPr>
          <w:rFonts w:ascii="Times New Roman" w:hAnsi="Times New Roman" w:cs="Times New Roman"/>
          <w:sz w:val="25"/>
          <w:szCs w:val="25"/>
        </w:rPr>
        <w:t xml:space="preserve">es, and distributed resources. </w:t>
      </w:r>
      <w:r w:rsidRPr="00152F5C">
        <w:rPr>
          <w:rFonts w:ascii="Times New Roman" w:hAnsi="Times New Roman" w:cs="Times New Roman"/>
          <w:sz w:val="25"/>
          <w:szCs w:val="25"/>
        </w:rPr>
        <w:t xml:space="preserve">At the same time, </w:t>
      </w:r>
      <w:r w:rsidR="00085DF0" w:rsidRPr="00152F5C">
        <w:rPr>
          <w:rFonts w:ascii="Times New Roman" w:hAnsi="Times New Roman" w:cs="Times New Roman"/>
          <w:sz w:val="25"/>
          <w:szCs w:val="25"/>
        </w:rPr>
        <w:t>the environmental impacts of energy production are receiving greater state and federal attention</w:t>
      </w:r>
      <w:r w:rsidR="003F20B4" w:rsidRPr="00152F5C">
        <w:rPr>
          <w:rFonts w:ascii="Times New Roman" w:hAnsi="Times New Roman" w:cs="Times New Roman"/>
          <w:sz w:val="25"/>
          <w:szCs w:val="25"/>
        </w:rPr>
        <w:t xml:space="preserve">. </w:t>
      </w:r>
      <w:r w:rsidR="00085DF0" w:rsidRPr="00152F5C">
        <w:rPr>
          <w:rFonts w:ascii="Times New Roman" w:hAnsi="Times New Roman" w:cs="Times New Roman"/>
          <w:sz w:val="25"/>
          <w:szCs w:val="25"/>
        </w:rPr>
        <w:t>The planning requirements in WAC 480-100-238 and WAC 480-90-238 are intended to help each utility develop a strategic approach to meet future resource needs against this backdrop of shifting regulatory, technological and market conditions</w:t>
      </w:r>
      <w:r w:rsidR="003F20B4" w:rsidRPr="00152F5C">
        <w:rPr>
          <w:rFonts w:ascii="Times New Roman" w:hAnsi="Times New Roman" w:cs="Times New Roman"/>
          <w:sz w:val="25"/>
          <w:szCs w:val="25"/>
        </w:rPr>
        <w:t xml:space="preserve">. </w:t>
      </w:r>
      <w:r w:rsidR="00085DF0" w:rsidRPr="00152F5C">
        <w:rPr>
          <w:rFonts w:ascii="Times New Roman" w:hAnsi="Times New Roman" w:cs="Times New Roman"/>
          <w:sz w:val="25"/>
          <w:szCs w:val="25"/>
        </w:rPr>
        <w:t>PSE’s 2013 Integrated Resource Plan (IRP or Plan) represents such a strategic approach, and complies with the rules set forth by the Washington Utilities and Transportation Commission (Commission)</w:t>
      </w:r>
      <w:r w:rsidR="003F20B4" w:rsidRPr="00152F5C">
        <w:rPr>
          <w:rFonts w:ascii="Times New Roman" w:hAnsi="Times New Roman" w:cs="Times New Roman"/>
          <w:sz w:val="25"/>
          <w:szCs w:val="25"/>
        </w:rPr>
        <w:t xml:space="preserve">. </w:t>
      </w:r>
      <w:r w:rsidR="002851E9" w:rsidRPr="00152F5C">
        <w:rPr>
          <w:rFonts w:ascii="Times New Roman" w:hAnsi="Times New Roman" w:cs="Times New Roman"/>
          <w:sz w:val="25"/>
          <w:szCs w:val="25"/>
        </w:rPr>
        <w:t>However</w:t>
      </w:r>
      <w:r w:rsidR="00015BC4" w:rsidRPr="00152F5C">
        <w:rPr>
          <w:rFonts w:ascii="Times New Roman" w:hAnsi="Times New Roman" w:cs="Times New Roman"/>
          <w:sz w:val="25"/>
          <w:szCs w:val="25"/>
        </w:rPr>
        <w:t>, in certain areas</w:t>
      </w:r>
      <w:r w:rsidR="002851E9" w:rsidRPr="00152F5C">
        <w:rPr>
          <w:rFonts w:ascii="Times New Roman" w:hAnsi="Times New Roman" w:cs="Times New Roman"/>
          <w:sz w:val="25"/>
          <w:szCs w:val="25"/>
        </w:rPr>
        <w:t xml:space="preserve"> PSE’s IRP fails</w:t>
      </w:r>
      <w:r w:rsidR="00FB526A" w:rsidRPr="00152F5C">
        <w:rPr>
          <w:rFonts w:ascii="Times New Roman" w:hAnsi="Times New Roman" w:cs="Times New Roman"/>
          <w:sz w:val="25"/>
          <w:szCs w:val="25"/>
        </w:rPr>
        <w:t>,</w:t>
      </w:r>
      <w:r w:rsidR="002851E9" w:rsidRPr="00152F5C">
        <w:rPr>
          <w:rFonts w:ascii="Times New Roman" w:hAnsi="Times New Roman" w:cs="Times New Roman"/>
          <w:sz w:val="25"/>
          <w:szCs w:val="25"/>
        </w:rPr>
        <w:t xml:space="preserve"> to meet the Commission’s expectations of clarity, transparency and thoroughness. </w:t>
      </w:r>
      <w:r w:rsidR="00085DF0" w:rsidRPr="00152F5C">
        <w:rPr>
          <w:rFonts w:ascii="Times New Roman" w:hAnsi="Times New Roman" w:cs="Times New Roman"/>
          <w:sz w:val="25"/>
          <w:szCs w:val="25"/>
        </w:rPr>
        <w:t xml:space="preserve">The Commission recognizes the </w:t>
      </w:r>
      <w:r w:rsidR="00AE76C4" w:rsidRPr="00152F5C">
        <w:rPr>
          <w:rFonts w:ascii="Times New Roman" w:hAnsi="Times New Roman" w:cs="Times New Roman"/>
          <w:sz w:val="25"/>
          <w:szCs w:val="25"/>
        </w:rPr>
        <w:t xml:space="preserve">significant </w:t>
      </w:r>
      <w:r w:rsidR="00085DF0" w:rsidRPr="00152F5C">
        <w:rPr>
          <w:rFonts w:ascii="Times New Roman" w:hAnsi="Times New Roman" w:cs="Times New Roman"/>
          <w:sz w:val="25"/>
          <w:szCs w:val="25"/>
        </w:rPr>
        <w:t>effort</w:t>
      </w:r>
      <w:r w:rsidR="00AE76C4" w:rsidRPr="00152F5C">
        <w:rPr>
          <w:rFonts w:ascii="Times New Roman" w:hAnsi="Times New Roman" w:cs="Times New Roman"/>
          <w:sz w:val="25"/>
          <w:szCs w:val="25"/>
        </w:rPr>
        <w:t>s</w:t>
      </w:r>
      <w:r w:rsidR="00085DF0" w:rsidRPr="00152F5C">
        <w:rPr>
          <w:rFonts w:ascii="Times New Roman" w:hAnsi="Times New Roman" w:cs="Times New Roman"/>
          <w:sz w:val="25"/>
          <w:szCs w:val="25"/>
        </w:rPr>
        <w:t xml:space="preserve"> that PSE</w:t>
      </w:r>
      <w:r w:rsidR="00556845" w:rsidRPr="00152F5C">
        <w:rPr>
          <w:rFonts w:ascii="Times New Roman" w:hAnsi="Times New Roman" w:cs="Times New Roman"/>
          <w:sz w:val="25"/>
          <w:szCs w:val="25"/>
        </w:rPr>
        <w:t xml:space="preserve"> </w:t>
      </w:r>
      <w:r w:rsidR="00AE76C4" w:rsidRPr="00152F5C">
        <w:rPr>
          <w:rFonts w:ascii="Times New Roman" w:hAnsi="Times New Roman" w:cs="Times New Roman"/>
          <w:sz w:val="25"/>
          <w:szCs w:val="25"/>
        </w:rPr>
        <w:t>performed in the modeling and analyses in this IRP, as well as engaging with Staff and other stakeholders.</w:t>
      </w:r>
      <w:r w:rsidR="00556845" w:rsidRPr="00152F5C">
        <w:rPr>
          <w:rFonts w:ascii="Times New Roman" w:hAnsi="Times New Roman" w:cs="Times New Roman"/>
          <w:sz w:val="25"/>
          <w:szCs w:val="25"/>
        </w:rPr>
        <w:t xml:space="preserve"> </w:t>
      </w:r>
      <w:r w:rsidR="00AE76C4" w:rsidRPr="00152F5C">
        <w:rPr>
          <w:rFonts w:ascii="Times New Roman" w:hAnsi="Times New Roman" w:cs="Times New Roman"/>
          <w:sz w:val="25"/>
          <w:szCs w:val="25"/>
        </w:rPr>
        <w:t>In the following, we provide specific</w:t>
      </w:r>
      <w:r w:rsidR="00085DF0" w:rsidRPr="00152F5C">
        <w:rPr>
          <w:rFonts w:ascii="Times New Roman" w:hAnsi="Times New Roman" w:cs="Times New Roman"/>
          <w:sz w:val="25"/>
          <w:szCs w:val="25"/>
        </w:rPr>
        <w:t xml:space="preserve"> comments and requests for improvement</w:t>
      </w:r>
      <w:r w:rsidR="00556845" w:rsidRPr="00152F5C">
        <w:rPr>
          <w:rFonts w:ascii="Times New Roman" w:hAnsi="Times New Roman" w:cs="Times New Roman"/>
          <w:sz w:val="25"/>
          <w:szCs w:val="25"/>
        </w:rPr>
        <w:t xml:space="preserve"> </w:t>
      </w:r>
      <w:r w:rsidR="00AE76C4" w:rsidRPr="00152F5C">
        <w:rPr>
          <w:rFonts w:ascii="Times New Roman" w:hAnsi="Times New Roman" w:cs="Times New Roman"/>
          <w:sz w:val="25"/>
          <w:szCs w:val="25"/>
        </w:rPr>
        <w:t>in the next round of</w:t>
      </w:r>
      <w:r w:rsidR="00085DF0" w:rsidRPr="00152F5C">
        <w:rPr>
          <w:rFonts w:ascii="Times New Roman" w:hAnsi="Times New Roman" w:cs="Times New Roman"/>
          <w:sz w:val="25"/>
          <w:szCs w:val="25"/>
        </w:rPr>
        <w:t xml:space="preserve"> IRPs.</w:t>
      </w:r>
      <w:r w:rsidR="00556845" w:rsidRPr="00152F5C">
        <w:rPr>
          <w:rFonts w:ascii="Times New Roman" w:hAnsi="Times New Roman" w:cs="Times New Roman"/>
          <w:sz w:val="25"/>
          <w:szCs w:val="25"/>
        </w:rPr>
        <w:t xml:space="preserve"> </w:t>
      </w:r>
      <w:r w:rsidR="00015BC4" w:rsidRPr="00152F5C">
        <w:rPr>
          <w:rFonts w:ascii="Times New Roman" w:hAnsi="Times New Roman" w:cs="Times New Roman"/>
          <w:sz w:val="25"/>
          <w:szCs w:val="25"/>
        </w:rPr>
        <w:t>T</w:t>
      </w:r>
      <w:r w:rsidR="00556845" w:rsidRPr="00152F5C">
        <w:rPr>
          <w:rFonts w:ascii="Times New Roman" w:hAnsi="Times New Roman" w:cs="Times New Roman"/>
          <w:sz w:val="25"/>
          <w:szCs w:val="25"/>
        </w:rPr>
        <w:t xml:space="preserve">he Commission’s comments relating to the analysis of the Colstrip generating facilities are stated separately in Attachment B.  </w:t>
      </w:r>
    </w:p>
    <w:p w:rsidR="007C43A5" w:rsidRPr="00152F5C" w:rsidRDefault="007C43A5" w:rsidP="00895DF8">
      <w:pPr>
        <w:spacing w:line="264" w:lineRule="auto"/>
        <w:rPr>
          <w:rFonts w:ascii="Times New Roman" w:hAnsi="Times New Roman" w:cs="Times New Roman"/>
          <w:sz w:val="25"/>
          <w:szCs w:val="25"/>
        </w:rPr>
      </w:pPr>
    </w:p>
    <w:p w:rsidR="00F3297B" w:rsidRPr="00152F5C" w:rsidRDefault="00F3297B" w:rsidP="00895DF8">
      <w:pPr>
        <w:pStyle w:val="ListParagraph"/>
        <w:numPr>
          <w:ilvl w:val="0"/>
          <w:numId w:val="13"/>
        </w:numPr>
        <w:spacing w:line="264" w:lineRule="auto"/>
        <w:ind w:left="1080"/>
        <w:rPr>
          <w:rFonts w:ascii="Times New Roman" w:hAnsi="Times New Roman" w:cs="Times New Roman"/>
          <w:b/>
          <w:sz w:val="25"/>
          <w:szCs w:val="25"/>
          <w:u w:val="single"/>
        </w:rPr>
      </w:pPr>
      <w:r w:rsidRPr="00152F5C">
        <w:rPr>
          <w:rFonts w:ascii="Times New Roman" w:hAnsi="Times New Roman" w:cs="Times New Roman"/>
          <w:b/>
          <w:sz w:val="25"/>
          <w:szCs w:val="25"/>
          <w:u w:val="single"/>
        </w:rPr>
        <w:t>General Comments</w:t>
      </w:r>
    </w:p>
    <w:p w:rsidR="00F3297B" w:rsidRPr="00152F5C" w:rsidRDefault="00F3297B" w:rsidP="00895DF8">
      <w:pPr>
        <w:spacing w:line="264" w:lineRule="auto"/>
        <w:rPr>
          <w:rFonts w:ascii="Times New Roman" w:hAnsi="Times New Roman" w:cs="Times New Roman"/>
          <w:sz w:val="25"/>
          <w:szCs w:val="25"/>
        </w:rPr>
      </w:pPr>
    </w:p>
    <w:p w:rsidR="00D758A0" w:rsidRPr="00152F5C" w:rsidRDefault="001835FA" w:rsidP="00152F5C">
      <w:pPr>
        <w:spacing w:line="264" w:lineRule="auto"/>
        <w:rPr>
          <w:rFonts w:ascii="Times New Roman" w:hAnsi="Times New Roman" w:cs="Times New Roman"/>
          <w:sz w:val="25"/>
          <w:szCs w:val="25"/>
        </w:rPr>
      </w:pPr>
      <w:r w:rsidRPr="00152F5C">
        <w:rPr>
          <w:rFonts w:ascii="Times New Roman" w:hAnsi="Times New Roman" w:cs="Times New Roman"/>
          <w:sz w:val="25"/>
          <w:szCs w:val="25"/>
        </w:rPr>
        <w:t>PSE’s analysis of resource needs over a 20-year planning horizon is expansive and base</w:t>
      </w:r>
      <w:r w:rsidR="00784F23" w:rsidRPr="00152F5C">
        <w:rPr>
          <w:rFonts w:ascii="Times New Roman" w:hAnsi="Times New Roman" w:cs="Times New Roman"/>
          <w:sz w:val="25"/>
          <w:szCs w:val="25"/>
        </w:rPr>
        <w:t xml:space="preserve">d on sound modeling approaches. The Commission </w:t>
      </w:r>
      <w:r w:rsidR="00BA7A08" w:rsidRPr="00152F5C">
        <w:rPr>
          <w:rFonts w:ascii="Times New Roman" w:hAnsi="Times New Roman" w:cs="Times New Roman"/>
          <w:sz w:val="25"/>
          <w:szCs w:val="25"/>
        </w:rPr>
        <w:t xml:space="preserve">recognizes </w:t>
      </w:r>
      <w:r w:rsidR="00784F23" w:rsidRPr="00152F5C">
        <w:rPr>
          <w:rFonts w:ascii="Times New Roman" w:hAnsi="Times New Roman" w:cs="Times New Roman"/>
          <w:sz w:val="25"/>
          <w:szCs w:val="25"/>
        </w:rPr>
        <w:t>PSE</w:t>
      </w:r>
      <w:r w:rsidR="00BA7A08" w:rsidRPr="00152F5C">
        <w:rPr>
          <w:rFonts w:ascii="Times New Roman" w:hAnsi="Times New Roman" w:cs="Times New Roman"/>
          <w:sz w:val="25"/>
          <w:szCs w:val="25"/>
        </w:rPr>
        <w:t>’s</w:t>
      </w:r>
      <w:r w:rsidR="00784F23" w:rsidRPr="00152F5C">
        <w:rPr>
          <w:rFonts w:ascii="Times New Roman" w:hAnsi="Times New Roman" w:cs="Times New Roman"/>
          <w:sz w:val="25"/>
          <w:szCs w:val="25"/>
        </w:rPr>
        <w:t xml:space="preserve"> </w:t>
      </w:r>
      <w:r w:rsidR="00BA7A08" w:rsidRPr="00152F5C">
        <w:rPr>
          <w:rFonts w:ascii="Times New Roman" w:hAnsi="Times New Roman" w:cs="Times New Roman"/>
          <w:sz w:val="25"/>
          <w:szCs w:val="25"/>
        </w:rPr>
        <w:t xml:space="preserve">introduction of </w:t>
      </w:r>
      <w:r w:rsidR="00F745CD" w:rsidRPr="00152F5C">
        <w:rPr>
          <w:rFonts w:ascii="Times New Roman" w:hAnsi="Times New Roman" w:cs="Times New Roman"/>
          <w:sz w:val="25"/>
          <w:szCs w:val="25"/>
        </w:rPr>
        <w:t xml:space="preserve">two </w:t>
      </w:r>
      <w:r w:rsidR="00784F23" w:rsidRPr="00152F5C">
        <w:rPr>
          <w:rFonts w:ascii="Times New Roman" w:hAnsi="Times New Roman" w:cs="Times New Roman"/>
          <w:sz w:val="25"/>
          <w:szCs w:val="25"/>
        </w:rPr>
        <w:t xml:space="preserve">new types of analysis into this IRP. A typical IRP assumes the continued operation of existing resources until the end of the resource life. At the direction of the Commission, PSE modeled the costs of continued operation of the Colstrip power plant under different environmental regulatory scenarios. PSE developed a comprehensive modeling approach to integrate the Colstrip analysis with the rest of the Plan. This IRP also included an </w:t>
      </w:r>
      <w:r w:rsidR="00FB526A" w:rsidRPr="00152F5C">
        <w:rPr>
          <w:rFonts w:ascii="Times New Roman" w:hAnsi="Times New Roman" w:cs="Times New Roman"/>
          <w:sz w:val="25"/>
          <w:szCs w:val="25"/>
        </w:rPr>
        <w:t>“</w:t>
      </w:r>
      <w:r w:rsidR="00784F23" w:rsidRPr="00152F5C">
        <w:rPr>
          <w:rFonts w:ascii="Times New Roman" w:hAnsi="Times New Roman" w:cs="Times New Roman"/>
          <w:sz w:val="25"/>
          <w:szCs w:val="25"/>
        </w:rPr>
        <w:t>operational flexibility</w:t>
      </w:r>
      <w:r w:rsidR="00FB526A" w:rsidRPr="00152F5C">
        <w:rPr>
          <w:rFonts w:ascii="Times New Roman" w:hAnsi="Times New Roman" w:cs="Times New Roman"/>
          <w:sz w:val="25"/>
          <w:szCs w:val="25"/>
        </w:rPr>
        <w:t>”</w:t>
      </w:r>
      <w:r w:rsidR="00784F23" w:rsidRPr="00152F5C">
        <w:rPr>
          <w:rFonts w:ascii="Times New Roman" w:hAnsi="Times New Roman" w:cs="Times New Roman"/>
          <w:sz w:val="25"/>
          <w:szCs w:val="25"/>
        </w:rPr>
        <w:t xml:space="preserve"> analysis, which evaluated the adequacy of PSE’s system to meet hourly and intra-hourly fluctuations of </w:t>
      </w:r>
      <w:r w:rsidR="00556845" w:rsidRPr="00152F5C">
        <w:rPr>
          <w:rFonts w:ascii="Times New Roman" w:hAnsi="Times New Roman" w:cs="Times New Roman"/>
          <w:sz w:val="25"/>
          <w:szCs w:val="25"/>
        </w:rPr>
        <w:t>variable</w:t>
      </w:r>
      <w:r w:rsidR="00FB526A" w:rsidRPr="00152F5C">
        <w:rPr>
          <w:rFonts w:ascii="Times New Roman" w:hAnsi="Times New Roman" w:cs="Times New Roman"/>
          <w:sz w:val="25"/>
          <w:szCs w:val="25"/>
        </w:rPr>
        <w:t xml:space="preserve"> </w:t>
      </w:r>
      <w:r w:rsidR="00784F23" w:rsidRPr="00152F5C">
        <w:rPr>
          <w:rFonts w:ascii="Times New Roman" w:hAnsi="Times New Roman" w:cs="Times New Roman"/>
          <w:sz w:val="25"/>
          <w:szCs w:val="25"/>
        </w:rPr>
        <w:t xml:space="preserve">renewable resources. </w:t>
      </w:r>
      <w:r w:rsidR="00173E8B" w:rsidRPr="00152F5C">
        <w:rPr>
          <w:rFonts w:ascii="Times New Roman" w:hAnsi="Times New Roman" w:cs="Times New Roman"/>
          <w:sz w:val="25"/>
          <w:szCs w:val="25"/>
        </w:rPr>
        <w:t xml:space="preserve">This </w:t>
      </w:r>
      <w:r w:rsidR="00DD11E2" w:rsidRPr="00152F5C">
        <w:rPr>
          <w:rFonts w:ascii="Times New Roman" w:hAnsi="Times New Roman" w:cs="Times New Roman"/>
          <w:sz w:val="25"/>
          <w:szCs w:val="25"/>
        </w:rPr>
        <w:t>is a</w:t>
      </w:r>
      <w:r w:rsidR="00784F23" w:rsidRPr="00152F5C">
        <w:rPr>
          <w:rFonts w:ascii="Times New Roman" w:hAnsi="Times New Roman" w:cs="Times New Roman"/>
          <w:sz w:val="25"/>
          <w:szCs w:val="25"/>
        </w:rPr>
        <w:t xml:space="preserve"> promising start and </w:t>
      </w:r>
      <w:r w:rsidR="00DD11E2" w:rsidRPr="00152F5C">
        <w:rPr>
          <w:rFonts w:ascii="Times New Roman" w:hAnsi="Times New Roman" w:cs="Times New Roman"/>
          <w:sz w:val="25"/>
          <w:szCs w:val="25"/>
        </w:rPr>
        <w:t xml:space="preserve">the Commission encourages the company to continue to refine and integrate </w:t>
      </w:r>
      <w:r w:rsidR="00173E8B" w:rsidRPr="00152F5C">
        <w:rPr>
          <w:rFonts w:ascii="Times New Roman" w:hAnsi="Times New Roman" w:cs="Times New Roman"/>
          <w:sz w:val="25"/>
          <w:szCs w:val="25"/>
        </w:rPr>
        <w:t>new types of analysis</w:t>
      </w:r>
      <w:r w:rsidR="00DD11E2" w:rsidRPr="00152F5C">
        <w:rPr>
          <w:rFonts w:ascii="Times New Roman" w:hAnsi="Times New Roman" w:cs="Times New Roman"/>
          <w:sz w:val="25"/>
          <w:szCs w:val="25"/>
        </w:rPr>
        <w:t xml:space="preserve"> </w:t>
      </w:r>
      <w:r w:rsidR="00173E8B" w:rsidRPr="00152F5C">
        <w:rPr>
          <w:rFonts w:ascii="Times New Roman" w:hAnsi="Times New Roman" w:cs="Times New Roman"/>
          <w:sz w:val="25"/>
          <w:szCs w:val="25"/>
        </w:rPr>
        <w:t>into</w:t>
      </w:r>
      <w:r w:rsidR="00DD11E2" w:rsidRPr="00152F5C">
        <w:rPr>
          <w:rFonts w:ascii="Times New Roman" w:hAnsi="Times New Roman" w:cs="Times New Roman"/>
          <w:sz w:val="25"/>
          <w:szCs w:val="25"/>
        </w:rPr>
        <w:t xml:space="preserve"> the IRP.</w:t>
      </w:r>
      <w:r w:rsidR="00784F23" w:rsidRPr="00152F5C">
        <w:rPr>
          <w:rFonts w:ascii="Times New Roman" w:hAnsi="Times New Roman" w:cs="Times New Roman"/>
          <w:sz w:val="25"/>
          <w:szCs w:val="25"/>
        </w:rPr>
        <w:t xml:space="preserve"> </w:t>
      </w:r>
    </w:p>
    <w:p w:rsidR="00D758A0" w:rsidRPr="00152F5C" w:rsidRDefault="00D758A0" w:rsidP="00895DF8">
      <w:pPr>
        <w:spacing w:line="264" w:lineRule="auto"/>
        <w:rPr>
          <w:rFonts w:ascii="Times New Roman" w:hAnsi="Times New Roman" w:cs="Times New Roman"/>
          <w:sz w:val="25"/>
          <w:szCs w:val="25"/>
        </w:rPr>
      </w:pPr>
    </w:p>
    <w:p w:rsidR="001835FA" w:rsidRPr="00152F5C" w:rsidRDefault="001835FA"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lastRenderedPageBreak/>
        <w:t xml:space="preserve">Although the overall </w:t>
      </w:r>
      <w:r w:rsidR="00DD11E2" w:rsidRPr="00152F5C">
        <w:rPr>
          <w:rFonts w:ascii="Times New Roman" w:hAnsi="Times New Roman" w:cs="Times New Roman"/>
          <w:sz w:val="25"/>
          <w:szCs w:val="25"/>
        </w:rPr>
        <w:t xml:space="preserve">modeling </w:t>
      </w:r>
      <w:r w:rsidRPr="00152F5C">
        <w:rPr>
          <w:rFonts w:ascii="Times New Roman" w:hAnsi="Times New Roman" w:cs="Times New Roman"/>
          <w:sz w:val="25"/>
          <w:szCs w:val="25"/>
        </w:rPr>
        <w:t xml:space="preserve">approach </w:t>
      </w:r>
      <w:r w:rsidR="00DD11E2" w:rsidRPr="00152F5C">
        <w:rPr>
          <w:rFonts w:ascii="Times New Roman" w:hAnsi="Times New Roman" w:cs="Times New Roman"/>
          <w:sz w:val="25"/>
          <w:szCs w:val="25"/>
        </w:rPr>
        <w:t xml:space="preserve">was well </w:t>
      </w:r>
      <w:r w:rsidRPr="00152F5C">
        <w:rPr>
          <w:rFonts w:ascii="Times New Roman" w:hAnsi="Times New Roman" w:cs="Times New Roman"/>
          <w:sz w:val="25"/>
          <w:szCs w:val="25"/>
        </w:rPr>
        <w:t xml:space="preserve">developed and executed, certain </w:t>
      </w:r>
      <w:r w:rsidR="001B2D21" w:rsidRPr="00152F5C">
        <w:rPr>
          <w:rFonts w:ascii="Times New Roman" w:hAnsi="Times New Roman" w:cs="Times New Roman"/>
          <w:sz w:val="25"/>
          <w:szCs w:val="25"/>
        </w:rPr>
        <w:t xml:space="preserve">assumptions </w:t>
      </w:r>
      <w:r w:rsidR="00DD11E2" w:rsidRPr="00152F5C">
        <w:rPr>
          <w:rFonts w:ascii="Times New Roman" w:hAnsi="Times New Roman" w:cs="Times New Roman"/>
          <w:sz w:val="25"/>
          <w:szCs w:val="25"/>
        </w:rPr>
        <w:t>and conclusions require</w:t>
      </w:r>
      <w:r w:rsidR="001B2D21" w:rsidRPr="00152F5C">
        <w:rPr>
          <w:rFonts w:ascii="Times New Roman" w:hAnsi="Times New Roman" w:cs="Times New Roman"/>
          <w:sz w:val="25"/>
          <w:szCs w:val="25"/>
        </w:rPr>
        <w:t xml:space="preserve"> further explanation </w:t>
      </w:r>
      <w:r w:rsidR="00FB526A" w:rsidRPr="00152F5C">
        <w:rPr>
          <w:rFonts w:ascii="Times New Roman" w:hAnsi="Times New Roman" w:cs="Times New Roman"/>
          <w:sz w:val="25"/>
          <w:szCs w:val="25"/>
        </w:rPr>
        <w:t xml:space="preserve">from </w:t>
      </w:r>
      <w:r w:rsidR="001B2D21" w:rsidRPr="00152F5C">
        <w:rPr>
          <w:rFonts w:ascii="Times New Roman" w:hAnsi="Times New Roman" w:cs="Times New Roman"/>
          <w:sz w:val="25"/>
          <w:szCs w:val="25"/>
        </w:rPr>
        <w:t>the Company. For example, PSE’s e</w:t>
      </w:r>
      <w:r w:rsidR="00B471A6" w:rsidRPr="00152F5C">
        <w:rPr>
          <w:rFonts w:ascii="Times New Roman" w:hAnsi="Times New Roman" w:cs="Times New Roman"/>
          <w:sz w:val="25"/>
          <w:szCs w:val="25"/>
        </w:rPr>
        <w:t>lectric</w:t>
      </w:r>
      <w:r w:rsidR="001B2D21" w:rsidRPr="00152F5C">
        <w:rPr>
          <w:rFonts w:ascii="Times New Roman" w:hAnsi="Times New Roman" w:cs="Times New Roman"/>
          <w:sz w:val="25"/>
          <w:szCs w:val="25"/>
        </w:rPr>
        <w:t xml:space="preserve"> analysis </w:t>
      </w:r>
      <w:r w:rsidR="00DF1A3B" w:rsidRPr="00152F5C">
        <w:rPr>
          <w:rFonts w:ascii="Times New Roman" w:hAnsi="Times New Roman" w:cs="Times New Roman"/>
          <w:sz w:val="25"/>
          <w:szCs w:val="25"/>
        </w:rPr>
        <w:t>relies on</w:t>
      </w:r>
      <w:r w:rsidR="001B2D21" w:rsidRPr="00152F5C">
        <w:rPr>
          <w:rFonts w:ascii="Times New Roman" w:hAnsi="Times New Roman" w:cs="Times New Roman"/>
          <w:sz w:val="25"/>
          <w:szCs w:val="25"/>
        </w:rPr>
        <w:t xml:space="preserve"> an assumption that “sufficient interruptible natural gas pipeline capacity” will be available for peakers </w:t>
      </w:r>
      <w:r w:rsidR="00015BC4" w:rsidRPr="00152F5C">
        <w:rPr>
          <w:rFonts w:ascii="Times New Roman" w:hAnsi="Times New Roman" w:cs="Times New Roman"/>
          <w:sz w:val="25"/>
          <w:szCs w:val="25"/>
        </w:rPr>
        <w:t xml:space="preserve">(generating plants intended to serve peak load) </w:t>
      </w:r>
      <w:r w:rsidR="001B2D21" w:rsidRPr="00152F5C">
        <w:rPr>
          <w:rFonts w:ascii="Times New Roman" w:hAnsi="Times New Roman" w:cs="Times New Roman"/>
          <w:sz w:val="25"/>
          <w:szCs w:val="25"/>
        </w:rPr>
        <w:t>with oil back-up</w:t>
      </w:r>
      <w:r w:rsidR="00B471A6" w:rsidRPr="00152F5C">
        <w:rPr>
          <w:rFonts w:ascii="Times New Roman" w:hAnsi="Times New Roman" w:cs="Times New Roman"/>
          <w:sz w:val="25"/>
          <w:szCs w:val="25"/>
        </w:rPr>
        <w:t xml:space="preserve">, but PSE made no attempt to quantify what qualifies as sufficient. </w:t>
      </w:r>
      <w:r w:rsidR="001B2D21" w:rsidRPr="00152F5C">
        <w:rPr>
          <w:rFonts w:ascii="Times New Roman" w:hAnsi="Times New Roman" w:cs="Times New Roman"/>
          <w:sz w:val="25"/>
          <w:szCs w:val="25"/>
        </w:rPr>
        <w:t xml:space="preserve">Similarly, the Company’s analysis of </w:t>
      </w:r>
      <w:r w:rsidR="006A5B8B" w:rsidRPr="00152F5C">
        <w:rPr>
          <w:rFonts w:ascii="Times New Roman" w:hAnsi="Times New Roman" w:cs="Times New Roman"/>
          <w:sz w:val="25"/>
          <w:szCs w:val="25"/>
        </w:rPr>
        <w:t xml:space="preserve">the availability of </w:t>
      </w:r>
      <w:r w:rsidR="001B2D21" w:rsidRPr="00152F5C">
        <w:rPr>
          <w:rFonts w:ascii="Times New Roman" w:hAnsi="Times New Roman" w:cs="Times New Roman"/>
          <w:sz w:val="25"/>
          <w:szCs w:val="25"/>
        </w:rPr>
        <w:t xml:space="preserve">gas-for-power lacks </w:t>
      </w:r>
      <w:r w:rsidR="00B471A6" w:rsidRPr="00152F5C">
        <w:rPr>
          <w:rFonts w:ascii="Times New Roman" w:hAnsi="Times New Roman" w:cs="Times New Roman"/>
          <w:sz w:val="25"/>
          <w:szCs w:val="25"/>
        </w:rPr>
        <w:t>interaction</w:t>
      </w:r>
      <w:r w:rsidR="001B2D21" w:rsidRPr="00152F5C">
        <w:rPr>
          <w:rFonts w:ascii="Times New Roman" w:hAnsi="Times New Roman" w:cs="Times New Roman"/>
          <w:sz w:val="25"/>
          <w:szCs w:val="25"/>
        </w:rPr>
        <w:t xml:space="preserve"> with the </w:t>
      </w:r>
      <w:r w:rsidR="00D758A0" w:rsidRPr="00152F5C">
        <w:rPr>
          <w:rFonts w:ascii="Times New Roman" w:hAnsi="Times New Roman" w:cs="Times New Roman"/>
          <w:sz w:val="25"/>
          <w:szCs w:val="25"/>
        </w:rPr>
        <w:t>operational flexibility analysis</w:t>
      </w:r>
      <w:r w:rsidR="001B2D21" w:rsidRPr="00152F5C">
        <w:rPr>
          <w:rFonts w:ascii="Times New Roman" w:hAnsi="Times New Roman" w:cs="Times New Roman"/>
          <w:sz w:val="25"/>
          <w:szCs w:val="25"/>
        </w:rPr>
        <w:t xml:space="preserve"> </w:t>
      </w:r>
      <w:r w:rsidR="00B471A6" w:rsidRPr="00152F5C">
        <w:rPr>
          <w:rFonts w:ascii="Times New Roman" w:hAnsi="Times New Roman" w:cs="Times New Roman"/>
          <w:sz w:val="25"/>
          <w:szCs w:val="25"/>
        </w:rPr>
        <w:t>and</w:t>
      </w:r>
      <w:r w:rsidR="00D758A0" w:rsidRPr="00152F5C">
        <w:rPr>
          <w:rFonts w:ascii="Times New Roman" w:hAnsi="Times New Roman" w:cs="Times New Roman"/>
          <w:sz w:val="25"/>
          <w:szCs w:val="25"/>
        </w:rPr>
        <w:t xml:space="preserve"> a clear connection</w:t>
      </w:r>
      <w:r w:rsidR="001B2D21" w:rsidRPr="00152F5C">
        <w:rPr>
          <w:rFonts w:ascii="Times New Roman" w:hAnsi="Times New Roman" w:cs="Times New Roman"/>
          <w:sz w:val="25"/>
          <w:szCs w:val="25"/>
        </w:rPr>
        <w:t xml:space="preserve"> to the </w:t>
      </w:r>
      <w:r w:rsidR="00DF1A3B" w:rsidRPr="00152F5C">
        <w:rPr>
          <w:rFonts w:ascii="Times New Roman" w:hAnsi="Times New Roman" w:cs="Times New Roman"/>
          <w:sz w:val="25"/>
          <w:szCs w:val="25"/>
        </w:rPr>
        <w:t xml:space="preserve">gas </w:t>
      </w:r>
      <w:r w:rsidR="001B2D21" w:rsidRPr="00152F5C">
        <w:rPr>
          <w:rFonts w:ascii="Times New Roman" w:hAnsi="Times New Roman" w:cs="Times New Roman"/>
          <w:sz w:val="25"/>
          <w:szCs w:val="25"/>
        </w:rPr>
        <w:t xml:space="preserve">storage resources selected in the Plan. </w:t>
      </w:r>
      <w:r w:rsidR="00D758A0" w:rsidRPr="00152F5C">
        <w:rPr>
          <w:rFonts w:ascii="Times New Roman" w:hAnsi="Times New Roman" w:cs="Times New Roman"/>
          <w:sz w:val="25"/>
          <w:szCs w:val="25"/>
        </w:rPr>
        <w:t>PSE</w:t>
      </w:r>
      <w:r w:rsidR="00015BC4" w:rsidRPr="00152F5C">
        <w:rPr>
          <w:rFonts w:ascii="Times New Roman" w:hAnsi="Times New Roman" w:cs="Times New Roman"/>
          <w:sz w:val="25"/>
          <w:szCs w:val="25"/>
        </w:rPr>
        <w:t xml:space="preserve"> presented the conclusions of its</w:t>
      </w:r>
      <w:r w:rsidR="00D758A0" w:rsidRPr="00152F5C">
        <w:rPr>
          <w:rFonts w:ascii="Times New Roman" w:hAnsi="Times New Roman" w:cs="Times New Roman"/>
          <w:sz w:val="25"/>
          <w:szCs w:val="25"/>
        </w:rPr>
        <w:t xml:space="preserve"> Colstrip analysis were presented on an aggregate level for all four units, while the results </w:t>
      </w:r>
      <w:r w:rsidR="00AA368D" w:rsidRPr="00152F5C">
        <w:rPr>
          <w:rFonts w:ascii="Times New Roman" w:hAnsi="Times New Roman" w:cs="Times New Roman"/>
          <w:sz w:val="25"/>
          <w:szCs w:val="25"/>
        </w:rPr>
        <w:t xml:space="preserve">differed </w:t>
      </w:r>
      <w:r w:rsidR="00D758A0" w:rsidRPr="00152F5C">
        <w:rPr>
          <w:rFonts w:ascii="Times New Roman" w:hAnsi="Times New Roman" w:cs="Times New Roman"/>
          <w:sz w:val="25"/>
          <w:szCs w:val="25"/>
        </w:rPr>
        <w:t xml:space="preserve">significantly between Units 1 </w:t>
      </w:r>
      <w:r w:rsidR="00015BC4" w:rsidRPr="00152F5C">
        <w:rPr>
          <w:rFonts w:ascii="Times New Roman" w:hAnsi="Times New Roman" w:cs="Times New Roman"/>
          <w:sz w:val="25"/>
          <w:szCs w:val="25"/>
        </w:rPr>
        <w:t>and</w:t>
      </w:r>
      <w:r w:rsidR="00D758A0" w:rsidRPr="00152F5C">
        <w:rPr>
          <w:rFonts w:ascii="Times New Roman" w:hAnsi="Times New Roman" w:cs="Times New Roman"/>
          <w:sz w:val="25"/>
          <w:szCs w:val="25"/>
        </w:rPr>
        <w:t xml:space="preserve"> 2 and Units 3 </w:t>
      </w:r>
      <w:r w:rsidR="00015BC4" w:rsidRPr="00152F5C">
        <w:rPr>
          <w:rFonts w:ascii="Times New Roman" w:hAnsi="Times New Roman" w:cs="Times New Roman"/>
          <w:sz w:val="25"/>
          <w:szCs w:val="25"/>
        </w:rPr>
        <w:t>and</w:t>
      </w:r>
      <w:r w:rsidR="00D758A0" w:rsidRPr="00152F5C">
        <w:rPr>
          <w:rFonts w:ascii="Times New Roman" w:hAnsi="Times New Roman" w:cs="Times New Roman"/>
          <w:sz w:val="25"/>
          <w:szCs w:val="25"/>
        </w:rPr>
        <w:t xml:space="preserve"> 4</w:t>
      </w:r>
      <w:r w:rsidR="003F20B4" w:rsidRPr="00152F5C">
        <w:rPr>
          <w:rFonts w:ascii="Times New Roman" w:hAnsi="Times New Roman" w:cs="Times New Roman"/>
          <w:sz w:val="25"/>
          <w:szCs w:val="25"/>
        </w:rPr>
        <w:t xml:space="preserve">. </w:t>
      </w:r>
      <w:r w:rsidR="00D758A0" w:rsidRPr="00152F5C">
        <w:rPr>
          <w:rFonts w:ascii="Times New Roman" w:hAnsi="Times New Roman" w:cs="Times New Roman"/>
          <w:sz w:val="25"/>
          <w:szCs w:val="25"/>
        </w:rPr>
        <w:t xml:space="preserve">These instances are representative of </w:t>
      </w:r>
      <w:r w:rsidR="00153194" w:rsidRPr="00152F5C">
        <w:rPr>
          <w:rFonts w:ascii="Times New Roman" w:hAnsi="Times New Roman" w:cs="Times New Roman"/>
          <w:sz w:val="25"/>
          <w:szCs w:val="25"/>
        </w:rPr>
        <w:t xml:space="preserve">several </w:t>
      </w:r>
      <w:r w:rsidR="00D758A0" w:rsidRPr="00152F5C">
        <w:rPr>
          <w:rFonts w:ascii="Times New Roman" w:hAnsi="Times New Roman" w:cs="Times New Roman"/>
          <w:sz w:val="25"/>
          <w:szCs w:val="25"/>
        </w:rPr>
        <w:t xml:space="preserve">logical </w:t>
      </w:r>
      <w:r w:rsidR="00530921" w:rsidRPr="00152F5C">
        <w:rPr>
          <w:rFonts w:ascii="Times New Roman" w:hAnsi="Times New Roman" w:cs="Times New Roman"/>
          <w:sz w:val="25"/>
          <w:szCs w:val="25"/>
        </w:rPr>
        <w:t>gaps</w:t>
      </w:r>
      <w:r w:rsidR="00D758A0" w:rsidRPr="00152F5C">
        <w:rPr>
          <w:rFonts w:ascii="Times New Roman" w:hAnsi="Times New Roman" w:cs="Times New Roman"/>
          <w:sz w:val="25"/>
          <w:szCs w:val="25"/>
        </w:rPr>
        <w:t xml:space="preserve"> throughout the IRP, and as a result, the IRP </w:t>
      </w:r>
      <w:r w:rsidR="00DF1A3B" w:rsidRPr="00152F5C">
        <w:rPr>
          <w:rFonts w:ascii="Times New Roman" w:hAnsi="Times New Roman" w:cs="Times New Roman"/>
          <w:sz w:val="25"/>
          <w:szCs w:val="25"/>
        </w:rPr>
        <w:t xml:space="preserve">is </w:t>
      </w:r>
      <w:r w:rsidR="00D758A0" w:rsidRPr="00152F5C">
        <w:rPr>
          <w:rFonts w:ascii="Times New Roman" w:hAnsi="Times New Roman" w:cs="Times New Roman"/>
          <w:sz w:val="25"/>
          <w:szCs w:val="25"/>
        </w:rPr>
        <w:t xml:space="preserve">not as useful </w:t>
      </w:r>
      <w:r w:rsidR="00153194" w:rsidRPr="00152F5C">
        <w:rPr>
          <w:rFonts w:ascii="Times New Roman" w:hAnsi="Times New Roman" w:cs="Times New Roman"/>
          <w:sz w:val="25"/>
          <w:szCs w:val="25"/>
        </w:rPr>
        <w:t xml:space="preserve">a tool as </w:t>
      </w:r>
      <w:r w:rsidR="002C5728" w:rsidRPr="00152F5C">
        <w:rPr>
          <w:rFonts w:ascii="Times New Roman" w:hAnsi="Times New Roman" w:cs="Times New Roman"/>
          <w:sz w:val="25"/>
          <w:szCs w:val="25"/>
        </w:rPr>
        <w:t xml:space="preserve">it </w:t>
      </w:r>
      <w:r w:rsidR="00153194" w:rsidRPr="00152F5C">
        <w:rPr>
          <w:rFonts w:ascii="Times New Roman" w:hAnsi="Times New Roman" w:cs="Times New Roman"/>
          <w:sz w:val="25"/>
          <w:szCs w:val="25"/>
        </w:rPr>
        <w:t xml:space="preserve">could be to </w:t>
      </w:r>
      <w:r w:rsidR="00D758A0" w:rsidRPr="00152F5C">
        <w:rPr>
          <w:rFonts w:ascii="Times New Roman" w:hAnsi="Times New Roman" w:cs="Times New Roman"/>
          <w:sz w:val="25"/>
          <w:szCs w:val="25"/>
        </w:rPr>
        <w:t>help the Company</w:t>
      </w:r>
      <w:r w:rsidR="002851E9" w:rsidRPr="00152F5C">
        <w:rPr>
          <w:rFonts w:ascii="Times New Roman" w:hAnsi="Times New Roman" w:cs="Times New Roman"/>
          <w:sz w:val="25"/>
          <w:szCs w:val="25"/>
        </w:rPr>
        <w:t xml:space="preserve"> </w:t>
      </w:r>
      <w:r w:rsidR="003464EE" w:rsidRPr="00152F5C">
        <w:rPr>
          <w:rFonts w:ascii="Times New Roman" w:hAnsi="Times New Roman" w:cs="Times New Roman"/>
          <w:sz w:val="25"/>
          <w:szCs w:val="25"/>
        </w:rPr>
        <w:t>guide its decision</w:t>
      </w:r>
      <w:r w:rsidR="002851E9" w:rsidRPr="00152F5C">
        <w:rPr>
          <w:rFonts w:ascii="Times New Roman" w:hAnsi="Times New Roman" w:cs="Times New Roman"/>
          <w:sz w:val="25"/>
          <w:szCs w:val="25"/>
        </w:rPr>
        <w:t>s</w:t>
      </w:r>
      <w:r w:rsidR="003464EE" w:rsidRPr="00152F5C">
        <w:rPr>
          <w:rFonts w:ascii="Times New Roman" w:hAnsi="Times New Roman" w:cs="Times New Roman"/>
          <w:sz w:val="25"/>
          <w:szCs w:val="25"/>
        </w:rPr>
        <w:t xml:space="preserve"> on least cost resource selection.</w:t>
      </w:r>
      <w:r w:rsidR="002851E9" w:rsidRPr="00152F5C" w:rsidDel="002851E9">
        <w:rPr>
          <w:rFonts w:ascii="Times New Roman" w:hAnsi="Times New Roman" w:cs="Times New Roman"/>
          <w:sz w:val="25"/>
          <w:szCs w:val="25"/>
        </w:rPr>
        <w:t xml:space="preserve"> </w:t>
      </w:r>
    </w:p>
    <w:p w:rsidR="00F3297B" w:rsidRPr="00152F5C" w:rsidRDefault="00F3297B" w:rsidP="00895DF8">
      <w:pPr>
        <w:spacing w:line="264" w:lineRule="auto"/>
        <w:rPr>
          <w:rFonts w:ascii="Times New Roman" w:hAnsi="Times New Roman" w:cs="Times New Roman"/>
          <w:sz w:val="25"/>
          <w:szCs w:val="25"/>
        </w:rPr>
      </w:pPr>
    </w:p>
    <w:p w:rsidR="00F3297B" w:rsidRPr="00152F5C" w:rsidRDefault="00F3297B" w:rsidP="00895DF8">
      <w:pPr>
        <w:pStyle w:val="ListParagraph"/>
        <w:numPr>
          <w:ilvl w:val="0"/>
          <w:numId w:val="13"/>
        </w:numPr>
        <w:spacing w:line="264" w:lineRule="auto"/>
        <w:ind w:left="1080"/>
        <w:rPr>
          <w:rFonts w:ascii="Times New Roman" w:hAnsi="Times New Roman" w:cs="Times New Roman"/>
          <w:b/>
          <w:sz w:val="25"/>
          <w:szCs w:val="25"/>
          <w:u w:val="single"/>
        </w:rPr>
      </w:pPr>
      <w:r w:rsidRPr="00152F5C">
        <w:rPr>
          <w:rFonts w:ascii="Times New Roman" w:hAnsi="Times New Roman" w:cs="Times New Roman"/>
          <w:b/>
          <w:sz w:val="25"/>
          <w:szCs w:val="25"/>
          <w:u w:val="single"/>
        </w:rPr>
        <w:t>Electric Resources</w:t>
      </w:r>
    </w:p>
    <w:p w:rsidR="00F3297B" w:rsidRPr="00152F5C" w:rsidRDefault="00F3297B" w:rsidP="00895DF8">
      <w:pPr>
        <w:spacing w:line="264" w:lineRule="auto"/>
        <w:rPr>
          <w:rFonts w:ascii="Times New Roman" w:hAnsi="Times New Roman" w:cs="Times New Roman"/>
          <w:sz w:val="25"/>
          <w:szCs w:val="25"/>
        </w:rPr>
      </w:pPr>
    </w:p>
    <w:p w:rsidR="001C28B9" w:rsidRPr="00152F5C" w:rsidRDefault="001C28B9" w:rsidP="00895DF8">
      <w:pPr>
        <w:spacing w:line="264" w:lineRule="auto"/>
        <w:rPr>
          <w:rFonts w:ascii="Times New Roman" w:hAnsi="Times New Roman" w:cs="Times New Roman"/>
          <w:b/>
          <w:sz w:val="25"/>
          <w:szCs w:val="25"/>
        </w:rPr>
      </w:pPr>
      <w:r w:rsidRPr="00152F5C">
        <w:rPr>
          <w:rFonts w:ascii="Times New Roman" w:hAnsi="Times New Roman" w:cs="Times New Roman"/>
          <w:b/>
          <w:sz w:val="25"/>
          <w:szCs w:val="25"/>
        </w:rPr>
        <w:t>Load Forecasts</w:t>
      </w:r>
    </w:p>
    <w:p w:rsidR="001C28B9" w:rsidRPr="00152F5C" w:rsidRDefault="001C28B9" w:rsidP="00895DF8">
      <w:pPr>
        <w:spacing w:line="264" w:lineRule="auto"/>
        <w:rPr>
          <w:rFonts w:ascii="Times New Roman" w:hAnsi="Times New Roman" w:cs="Times New Roman"/>
          <w:sz w:val="25"/>
          <w:szCs w:val="25"/>
        </w:rPr>
      </w:pPr>
    </w:p>
    <w:p w:rsidR="008C7D92" w:rsidRPr="00152F5C" w:rsidRDefault="008C7D92"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Over the 20-year planning horizon of the IRP, absent the acquisition of demand-side resources, PSE expects peak demand to increase by 1.9 percent per year, from 4,837 MW in 2012 to 7,113 MW in 2033.</w:t>
      </w:r>
      <w:r w:rsidRPr="00152F5C">
        <w:rPr>
          <w:rStyle w:val="FootnoteReference"/>
          <w:rFonts w:ascii="Times New Roman" w:hAnsi="Times New Roman" w:cs="Times New Roman"/>
          <w:sz w:val="25"/>
          <w:szCs w:val="25"/>
        </w:rPr>
        <w:footnoteReference w:id="1"/>
      </w:r>
      <w:r w:rsidR="0013657D" w:rsidRPr="00152F5C">
        <w:rPr>
          <w:rFonts w:ascii="Times New Roman" w:hAnsi="Times New Roman" w:cs="Times New Roman"/>
          <w:sz w:val="25"/>
          <w:szCs w:val="25"/>
        </w:rPr>
        <w:t xml:space="preserve">  Accelerat</w:t>
      </w:r>
      <w:r w:rsidR="003464EE" w:rsidRPr="00152F5C">
        <w:rPr>
          <w:rFonts w:ascii="Times New Roman" w:hAnsi="Times New Roman" w:cs="Times New Roman"/>
          <w:sz w:val="25"/>
          <w:szCs w:val="25"/>
        </w:rPr>
        <w:t>ed</w:t>
      </w:r>
      <w:r w:rsidR="0013657D" w:rsidRPr="00152F5C">
        <w:rPr>
          <w:rFonts w:ascii="Times New Roman" w:hAnsi="Times New Roman" w:cs="Times New Roman"/>
          <w:sz w:val="25"/>
          <w:szCs w:val="25"/>
        </w:rPr>
        <w:t xml:space="preserve"> acquisition of demand-side resources</w:t>
      </w:r>
      <w:r w:rsidRPr="00152F5C">
        <w:rPr>
          <w:rFonts w:ascii="Times New Roman" w:hAnsi="Times New Roman" w:cs="Times New Roman"/>
          <w:sz w:val="25"/>
          <w:szCs w:val="25"/>
        </w:rPr>
        <w:t xml:space="preserve"> keep</w:t>
      </w:r>
      <w:r w:rsidR="0013657D" w:rsidRPr="00152F5C">
        <w:rPr>
          <w:rFonts w:ascii="Times New Roman" w:hAnsi="Times New Roman" w:cs="Times New Roman"/>
          <w:sz w:val="25"/>
          <w:szCs w:val="25"/>
        </w:rPr>
        <w:t>s</w:t>
      </w:r>
      <w:r w:rsidRPr="00152F5C">
        <w:rPr>
          <w:rFonts w:ascii="Times New Roman" w:hAnsi="Times New Roman" w:cs="Times New Roman"/>
          <w:sz w:val="25"/>
          <w:szCs w:val="25"/>
        </w:rPr>
        <w:t xml:space="preserve"> demand relatively flat in the early years</w:t>
      </w:r>
      <w:r w:rsidR="0013657D" w:rsidRPr="00152F5C">
        <w:rPr>
          <w:rFonts w:ascii="Times New Roman" w:hAnsi="Times New Roman" w:cs="Times New Roman"/>
          <w:sz w:val="25"/>
          <w:szCs w:val="25"/>
        </w:rPr>
        <w:t xml:space="preserve">.  PSE anticipates that a system-wide peak capacity deficit of 12 MW will occur in 2017 in the Base </w:t>
      </w:r>
      <w:r w:rsidR="006C5F1E" w:rsidRPr="00152F5C">
        <w:rPr>
          <w:rFonts w:ascii="Times New Roman" w:hAnsi="Times New Roman" w:cs="Times New Roman"/>
          <w:sz w:val="25"/>
          <w:szCs w:val="25"/>
        </w:rPr>
        <w:t>S</w:t>
      </w:r>
      <w:r w:rsidR="0013657D" w:rsidRPr="00152F5C">
        <w:rPr>
          <w:rFonts w:ascii="Times New Roman" w:hAnsi="Times New Roman" w:cs="Times New Roman"/>
          <w:sz w:val="25"/>
          <w:szCs w:val="25"/>
        </w:rPr>
        <w:t xml:space="preserve">cenario, growing to </w:t>
      </w:r>
      <w:r w:rsidRPr="00152F5C">
        <w:rPr>
          <w:rFonts w:ascii="Times New Roman" w:hAnsi="Times New Roman" w:cs="Times New Roman"/>
          <w:sz w:val="25"/>
          <w:szCs w:val="25"/>
        </w:rPr>
        <w:t>100 MW in 2020</w:t>
      </w:r>
      <w:r w:rsidR="0013657D" w:rsidRPr="00152F5C">
        <w:rPr>
          <w:rFonts w:ascii="Times New Roman" w:hAnsi="Times New Roman" w:cs="Times New Roman"/>
          <w:sz w:val="25"/>
          <w:szCs w:val="25"/>
        </w:rPr>
        <w:t xml:space="preserve"> and 2,194 MW in</w:t>
      </w:r>
      <w:r w:rsidRPr="00152F5C">
        <w:rPr>
          <w:rFonts w:ascii="Times New Roman" w:hAnsi="Times New Roman" w:cs="Times New Roman"/>
          <w:sz w:val="25"/>
          <w:szCs w:val="25"/>
        </w:rPr>
        <w:t xml:space="preserve"> 2033</w:t>
      </w:r>
      <w:r w:rsidR="0013657D" w:rsidRPr="00152F5C">
        <w:rPr>
          <w:rFonts w:ascii="Times New Roman" w:hAnsi="Times New Roman" w:cs="Times New Roman"/>
          <w:sz w:val="25"/>
          <w:szCs w:val="25"/>
        </w:rPr>
        <w:t>.</w:t>
      </w:r>
      <w:r w:rsidR="0013657D" w:rsidRPr="00152F5C">
        <w:rPr>
          <w:rStyle w:val="FootnoteReference"/>
          <w:rFonts w:ascii="Times New Roman" w:hAnsi="Times New Roman" w:cs="Times New Roman"/>
          <w:sz w:val="25"/>
          <w:szCs w:val="25"/>
        </w:rPr>
        <w:footnoteReference w:id="2"/>
      </w:r>
      <w:r w:rsidRPr="00152F5C">
        <w:rPr>
          <w:rFonts w:ascii="Times New Roman" w:hAnsi="Times New Roman" w:cs="Times New Roman"/>
          <w:sz w:val="25"/>
          <w:szCs w:val="25"/>
        </w:rPr>
        <w:t xml:space="preserve"> </w:t>
      </w:r>
    </w:p>
    <w:p w:rsidR="004B7273" w:rsidRPr="00152F5C" w:rsidRDefault="004B7273" w:rsidP="00895DF8">
      <w:pPr>
        <w:spacing w:line="264" w:lineRule="auto"/>
        <w:rPr>
          <w:rFonts w:ascii="Times New Roman" w:hAnsi="Times New Roman" w:cs="Times New Roman"/>
          <w:sz w:val="25"/>
          <w:szCs w:val="25"/>
        </w:rPr>
      </w:pPr>
    </w:p>
    <w:p w:rsidR="00075B75" w:rsidRPr="00152F5C" w:rsidRDefault="002851E9"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More specifically, f</w:t>
      </w:r>
      <w:r w:rsidR="008C530B" w:rsidRPr="00152F5C">
        <w:rPr>
          <w:rFonts w:ascii="Times New Roman" w:hAnsi="Times New Roman" w:cs="Times New Roman"/>
          <w:sz w:val="25"/>
          <w:szCs w:val="25"/>
        </w:rPr>
        <w:t>rom 2017 on, PSE projects annual load growth of 2.2 percent before accounting for the effects of conservation.</w:t>
      </w:r>
      <w:r w:rsidR="008C530B" w:rsidRPr="00152F5C">
        <w:rPr>
          <w:rFonts w:ascii="Times New Roman" w:hAnsi="Times New Roman" w:cs="Times New Roman"/>
          <w:sz w:val="25"/>
          <w:szCs w:val="25"/>
          <w:vertAlign w:val="superscript"/>
        </w:rPr>
        <w:footnoteReference w:id="3"/>
      </w:r>
      <w:r w:rsidR="008C530B" w:rsidRPr="00152F5C">
        <w:rPr>
          <w:rFonts w:ascii="Times New Roman" w:hAnsi="Times New Roman" w:cs="Times New Roman"/>
          <w:sz w:val="25"/>
          <w:szCs w:val="25"/>
        </w:rPr>
        <w:t xml:space="preserve">  The </w:t>
      </w:r>
      <w:r w:rsidR="00075B75" w:rsidRPr="00152F5C">
        <w:rPr>
          <w:rFonts w:ascii="Times New Roman" w:hAnsi="Times New Roman" w:cs="Times New Roman"/>
          <w:sz w:val="25"/>
          <w:szCs w:val="25"/>
        </w:rPr>
        <w:t xml:space="preserve">load growth </w:t>
      </w:r>
      <w:r w:rsidR="008C530B" w:rsidRPr="00152F5C">
        <w:rPr>
          <w:rFonts w:ascii="Times New Roman" w:hAnsi="Times New Roman" w:cs="Times New Roman"/>
          <w:sz w:val="25"/>
          <w:szCs w:val="25"/>
        </w:rPr>
        <w:t xml:space="preserve">projections from 2017 and beyond are mostly </w:t>
      </w:r>
      <w:r w:rsidR="00075B75" w:rsidRPr="00152F5C">
        <w:rPr>
          <w:rFonts w:ascii="Times New Roman" w:hAnsi="Times New Roman" w:cs="Times New Roman"/>
          <w:sz w:val="25"/>
          <w:szCs w:val="25"/>
        </w:rPr>
        <w:t>driven</w:t>
      </w:r>
      <w:r w:rsidR="008C530B" w:rsidRPr="00152F5C">
        <w:rPr>
          <w:rFonts w:ascii="Times New Roman" w:hAnsi="Times New Roman" w:cs="Times New Roman"/>
          <w:sz w:val="25"/>
          <w:szCs w:val="25"/>
        </w:rPr>
        <w:t xml:space="preserve"> by the inputs to the econometric </w:t>
      </w:r>
      <w:r w:rsidR="00075B75" w:rsidRPr="00152F5C">
        <w:rPr>
          <w:rFonts w:ascii="Times New Roman" w:hAnsi="Times New Roman" w:cs="Times New Roman"/>
          <w:sz w:val="25"/>
          <w:szCs w:val="25"/>
        </w:rPr>
        <w:t xml:space="preserve">model and </w:t>
      </w:r>
      <w:r w:rsidR="008C530B" w:rsidRPr="00152F5C">
        <w:rPr>
          <w:rFonts w:ascii="Times New Roman" w:hAnsi="Times New Roman" w:cs="Times New Roman"/>
          <w:sz w:val="25"/>
          <w:szCs w:val="25"/>
        </w:rPr>
        <w:t xml:space="preserve">are </w:t>
      </w:r>
      <w:r w:rsidR="00662C7A" w:rsidRPr="00152F5C">
        <w:rPr>
          <w:rFonts w:ascii="Times New Roman" w:hAnsi="Times New Roman" w:cs="Times New Roman"/>
          <w:sz w:val="25"/>
          <w:szCs w:val="25"/>
        </w:rPr>
        <w:t xml:space="preserve">themselves projections of the level of economic growth.  For instance, job creation </w:t>
      </w:r>
      <w:r w:rsidR="00015BC4" w:rsidRPr="00152F5C">
        <w:rPr>
          <w:rFonts w:ascii="Times New Roman" w:hAnsi="Times New Roman" w:cs="Times New Roman"/>
          <w:sz w:val="25"/>
          <w:szCs w:val="25"/>
        </w:rPr>
        <w:t xml:space="preserve">in 2017 </w:t>
      </w:r>
      <w:r w:rsidR="00662C7A" w:rsidRPr="00152F5C">
        <w:rPr>
          <w:rFonts w:ascii="Times New Roman" w:hAnsi="Times New Roman" w:cs="Times New Roman"/>
          <w:sz w:val="25"/>
          <w:szCs w:val="25"/>
        </w:rPr>
        <w:t>is expected to be 0.6 percent higher than employment growth from 1997-2011.</w:t>
      </w:r>
      <w:r w:rsidR="00A079AE" w:rsidRPr="00152F5C">
        <w:rPr>
          <w:rStyle w:val="FootnoteReference"/>
          <w:rFonts w:ascii="Times New Roman" w:hAnsi="Times New Roman" w:cs="Times New Roman"/>
          <w:sz w:val="25"/>
          <w:szCs w:val="25"/>
        </w:rPr>
        <w:footnoteReference w:id="4"/>
      </w:r>
      <w:r w:rsidR="00662C7A" w:rsidRPr="00152F5C">
        <w:rPr>
          <w:rFonts w:ascii="Times New Roman" w:hAnsi="Times New Roman" w:cs="Times New Roman"/>
          <w:sz w:val="25"/>
          <w:szCs w:val="25"/>
        </w:rPr>
        <w:t xml:space="preserve">  </w:t>
      </w:r>
      <w:r w:rsidR="008C530B" w:rsidRPr="00152F5C">
        <w:rPr>
          <w:rFonts w:ascii="Times New Roman" w:hAnsi="Times New Roman" w:cs="Times New Roman"/>
          <w:sz w:val="25"/>
          <w:szCs w:val="25"/>
        </w:rPr>
        <w:t xml:space="preserve">Commission </w:t>
      </w:r>
      <w:r w:rsidR="00075B75" w:rsidRPr="00152F5C">
        <w:rPr>
          <w:rFonts w:ascii="Times New Roman" w:hAnsi="Times New Roman" w:cs="Times New Roman"/>
          <w:sz w:val="25"/>
          <w:szCs w:val="25"/>
        </w:rPr>
        <w:t>also finds little in the way of explanation for how and which underlying inputs change in 2017 to create a higher rate of load growth beyond 2017.</w:t>
      </w:r>
    </w:p>
    <w:p w:rsidR="008C7D92" w:rsidRPr="00152F5C" w:rsidRDefault="008C7D92" w:rsidP="00895DF8">
      <w:pPr>
        <w:spacing w:line="264" w:lineRule="auto"/>
        <w:rPr>
          <w:rFonts w:ascii="Times New Roman" w:hAnsi="Times New Roman" w:cs="Times New Roman"/>
          <w:sz w:val="25"/>
          <w:szCs w:val="25"/>
        </w:rPr>
      </w:pPr>
    </w:p>
    <w:p w:rsidR="002851E9" w:rsidRPr="00152F5C" w:rsidRDefault="002851E9"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lastRenderedPageBreak/>
        <w:t>The IRP does not show a need for PSE to acquire additional renewable resources to meet the Renewable Portfolio Standard until 2023, due to PSE’s early acquisition of renewable resources and expected banking of Renewable Energy Credits for use in future years.  By 2033, the IRP shows a need for 300 MW of</w:t>
      </w:r>
      <w:r w:rsidR="00FB526A" w:rsidRPr="00152F5C">
        <w:rPr>
          <w:rFonts w:ascii="Times New Roman" w:hAnsi="Times New Roman" w:cs="Times New Roman"/>
          <w:sz w:val="25"/>
          <w:szCs w:val="25"/>
        </w:rPr>
        <w:t xml:space="preserve"> renewable energy, probably</w:t>
      </w:r>
      <w:r w:rsidRPr="00152F5C">
        <w:rPr>
          <w:rFonts w:ascii="Times New Roman" w:hAnsi="Times New Roman" w:cs="Times New Roman"/>
          <w:sz w:val="25"/>
          <w:szCs w:val="25"/>
        </w:rPr>
        <w:t xml:space="preserve"> wind.</w:t>
      </w:r>
    </w:p>
    <w:p w:rsidR="00981969" w:rsidRPr="00152F5C" w:rsidRDefault="00981969" w:rsidP="00895DF8">
      <w:pPr>
        <w:spacing w:line="264" w:lineRule="auto"/>
        <w:rPr>
          <w:rFonts w:ascii="Times New Roman" w:hAnsi="Times New Roman" w:cs="Times New Roman"/>
          <w:sz w:val="25"/>
          <w:szCs w:val="25"/>
        </w:rPr>
      </w:pPr>
    </w:p>
    <w:p w:rsidR="001767E1" w:rsidRPr="00152F5C" w:rsidRDefault="009B1956"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Currently, </w:t>
      </w:r>
      <w:r w:rsidR="00BC059D" w:rsidRPr="00152F5C">
        <w:rPr>
          <w:rFonts w:ascii="Times New Roman" w:hAnsi="Times New Roman" w:cs="Times New Roman"/>
          <w:sz w:val="25"/>
          <w:szCs w:val="25"/>
        </w:rPr>
        <w:t xml:space="preserve">distributed generation </w:t>
      </w:r>
      <w:r w:rsidR="005F10DA" w:rsidRPr="00152F5C">
        <w:rPr>
          <w:rFonts w:ascii="Times New Roman" w:hAnsi="Times New Roman" w:cs="Times New Roman"/>
          <w:sz w:val="25"/>
          <w:szCs w:val="25"/>
        </w:rPr>
        <w:t>(DG)</w:t>
      </w:r>
      <w:r w:rsidR="00DB615C"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on or </w:t>
      </w:r>
      <w:r w:rsidR="00BC059D" w:rsidRPr="00152F5C">
        <w:rPr>
          <w:rFonts w:ascii="Times New Roman" w:hAnsi="Times New Roman" w:cs="Times New Roman"/>
          <w:sz w:val="25"/>
          <w:szCs w:val="25"/>
        </w:rPr>
        <w:t>interconnected</w:t>
      </w:r>
      <w:r w:rsidRPr="00152F5C">
        <w:rPr>
          <w:rFonts w:ascii="Times New Roman" w:hAnsi="Times New Roman" w:cs="Times New Roman"/>
          <w:sz w:val="25"/>
          <w:szCs w:val="25"/>
        </w:rPr>
        <w:t xml:space="preserve"> with</w:t>
      </w:r>
      <w:r w:rsidR="00BC059D" w:rsidRPr="00152F5C">
        <w:rPr>
          <w:rFonts w:ascii="Times New Roman" w:hAnsi="Times New Roman" w:cs="Times New Roman"/>
          <w:sz w:val="25"/>
          <w:szCs w:val="25"/>
        </w:rPr>
        <w:t xml:space="preserve"> PSE’s distribution system has a cumulative capacity of approximately 39 MW,</w:t>
      </w:r>
      <w:r w:rsidR="00CA3B68" w:rsidRPr="00152F5C">
        <w:rPr>
          <w:rStyle w:val="FootnoteReference"/>
          <w:rFonts w:ascii="Times New Roman" w:hAnsi="Times New Roman" w:cs="Times New Roman"/>
          <w:sz w:val="25"/>
          <w:szCs w:val="25"/>
        </w:rPr>
        <w:footnoteReference w:id="5"/>
      </w:r>
      <w:r w:rsidR="00BC059D" w:rsidRPr="00152F5C">
        <w:rPr>
          <w:rFonts w:ascii="Times New Roman" w:hAnsi="Times New Roman" w:cs="Times New Roman"/>
          <w:sz w:val="25"/>
          <w:szCs w:val="25"/>
        </w:rPr>
        <w:t xml:space="preserve"> </w:t>
      </w:r>
      <w:r w:rsidR="00BA7A08" w:rsidRPr="00152F5C">
        <w:rPr>
          <w:rFonts w:ascii="Times New Roman" w:hAnsi="Times New Roman" w:cs="Times New Roman"/>
          <w:sz w:val="25"/>
          <w:szCs w:val="25"/>
        </w:rPr>
        <w:t>and</w:t>
      </w:r>
      <w:r w:rsidRPr="00152F5C">
        <w:rPr>
          <w:rFonts w:ascii="Times New Roman" w:hAnsi="Times New Roman" w:cs="Times New Roman"/>
          <w:sz w:val="25"/>
          <w:szCs w:val="25"/>
        </w:rPr>
        <w:t xml:space="preserve"> </w:t>
      </w:r>
      <w:r w:rsidR="00BC059D" w:rsidRPr="00152F5C">
        <w:rPr>
          <w:rFonts w:ascii="Times New Roman" w:hAnsi="Times New Roman" w:cs="Times New Roman"/>
          <w:sz w:val="25"/>
          <w:szCs w:val="25"/>
        </w:rPr>
        <w:t>the net metering cap will increase by</w:t>
      </w:r>
      <w:r w:rsidR="00BA7A08" w:rsidRPr="00152F5C">
        <w:rPr>
          <w:rFonts w:ascii="Times New Roman" w:hAnsi="Times New Roman" w:cs="Times New Roman"/>
          <w:sz w:val="25"/>
          <w:szCs w:val="25"/>
        </w:rPr>
        <w:t xml:space="preserve"> another</w:t>
      </w:r>
      <w:r w:rsidR="00BC059D" w:rsidRPr="00152F5C">
        <w:rPr>
          <w:rFonts w:ascii="Times New Roman" w:hAnsi="Times New Roman" w:cs="Times New Roman"/>
          <w:sz w:val="25"/>
          <w:szCs w:val="25"/>
        </w:rPr>
        <w:t xml:space="preserve"> 11.2 MW starting January 1, 2014.</w:t>
      </w:r>
      <w:r w:rsidR="00AB3E38" w:rsidRPr="00152F5C">
        <w:rPr>
          <w:rFonts w:ascii="Times New Roman" w:hAnsi="Times New Roman" w:cs="Times New Roman"/>
          <w:sz w:val="25"/>
          <w:szCs w:val="25"/>
        </w:rPr>
        <w:t xml:space="preserve"> </w:t>
      </w:r>
      <w:r w:rsidR="00CA3B68" w:rsidRPr="00152F5C">
        <w:rPr>
          <w:rFonts w:ascii="Times New Roman" w:hAnsi="Times New Roman" w:cs="Times New Roman"/>
          <w:sz w:val="25"/>
          <w:szCs w:val="25"/>
        </w:rPr>
        <w:t xml:space="preserve">As mentioned above, </w:t>
      </w:r>
      <w:r w:rsidR="00AB3E38" w:rsidRPr="00152F5C">
        <w:rPr>
          <w:rFonts w:ascii="Times New Roman" w:hAnsi="Times New Roman" w:cs="Times New Roman"/>
          <w:sz w:val="25"/>
          <w:szCs w:val="25"/>
        </w:rPr>
        <w:t xml:space="preserve">PSE’s IRP </w:t>
      </w:r>
      <w:r w:rsidR="00CA3B68" w:rsidRPr="00152F5C">
        <w:rPr>
          <w:rFonts w:ascii="Times New Roman" w:hAnsi="Times New Roman" w:cs="Times New Roman"/>
          <w:sz w:val="25"/>
          <w:szCs w:val="25"/>
        </w:rPr>
        <w:t xml:space="preserve">identifies </w:t>
      </w:r>
      <w:r w:rsidR="00BC059D" w:rsidRPr="00152F5C">
        <w:rPr>
          <w:rFonts w:ascii="Times New Roman" w:hAnsi="Times New Roman" w:cs="Times New Roman"/>
          <w:sz w:val="25"/>
          <w:szCs w:val="25"/>
        </w:rPr>
        <w:t>a capacity deficit of</w:t>
      </w:r>
      <w:r w:rsidR="00AB3E38" w:rsidRPr="00152F5C">
        <w:rPr>
          <w:rFonts w:ascii="Times New Roman" w:hAnsi="Times New Roman" w:cs="Times New Roman"/>
          <w:sz w:val="25"/>
          <w:szCs w:val="25"/>
        </w:rPr>
        <w:t xml:space="preserve"> 12 MW in 2017, growing to</w:t>
      </w:r>
      <w:r w:rsidR="00BC059D" w:rsidRPr="00152F5C">
        <w:rPr>
          <w:rFonts w:ascii="Times New Roman" w:hAnsi="Times New Roman" w:cs="Times New Roman"/>
          <w:sz w:val="25"/>
          <w:szCs w:val="25"/>
        </w:rPr>
        <w:t xml:space="preserve"> 100 MW by 2020</w:t>
      </w:r>
      <w:r w:rsidRPr="00152F5C">
        <w:rPr>
          <w:rFonts w:ascii="Times New Roman" w:hAnsi="Times New Roman" w:cs="Times New Roman"/>
          <w:sz w:val="25"/>
          <w:szCs w:val="25"/>
        </w:rPr>
        <w:t>, and yet</w:t>
      </w:r>
      <w:r w:rsidR="00AB3E38" w:rsidRPr="00152F5C">
        <w:rPr>
          <w:rFonts w:ascii="Times New Roman" w:hAnsi="Times New Roman" w:cs="Times New Roman"/>
          <w:sz w:val="25"/>
          <w:szCs w:val="25"/>
        </w:rPr>
        <w:t xml:space="preserve"> PSE did not </w:t>
      </w:r>
      <w:r w:rsidR="00D04991" w:rsidRPr="00152F5C">
        <w:rPr>
          <w:rFonts w:ascii="Times New Roman" w:hAnsi="Times New Roman" w:cs="Times New Roman"/>
          <w:sz w:val="25"/>
          <w:szCs w:val="25"/>
        </w:rPr>
        <w:t xml:space="preserve">explicitly </w:t>
      </w:r>
      <w:r w:rsidR="00AB3E38" w:rsidRPr="00152F5C">
        <w:rPr>
          <w:rFonts w:ascii="Times New Roman" w:hAnsi="Times New Roman" w:cs="Times New Roman"/>
          <w:sz w:val="25"/>
          <w:szCs w:val="25"/>
        </w:rPr>
        <w:t xml:space="preserve">include potential impacts </w:t>
      </w:r>
      <w:r w:rsidR="005F10DA" w:rsidRPr="00152F5C">
        <w:rPr>
          <w:rFonts w:ascii="Times New Roman" w:hAnsi="Times New Roman" w:cs="Times New Roman"/>
          <w:sz w:val="25"/>
          <w:szCs w:val="25"/>
        </w:rPr>
        <w:t>from distributed generation in</w:t>
      </w:r>
      <w:r w:rsidR="00AB3E38" w:rsidRPr="00152F5C">
        <w:rPr>
          <w:rFonts w:ascii="Times New Roman" w:hAnsi="Times New Roman" w:cs="Times New Roman"/>
          <w:sz w:val="25"/>
          <w:szCs w:val="25"/>
        </w:rPr>
        <w:t xml:space="preserve"> its load forecasts</w:t>
      </w:r>
      <w:r w:rsidRPr="00152F5C">
        <w:rPr>
          <w:rFonts w:ascii="Times New Roman" w:hAnsi="Times New Roman" w:cs="Times New Roman"/>
          <w:sz w:val="25"/>
          <w:szCs w:val="25"/>
        </w:rPr>
        <w:t xml:space="preserve">. </w:t>
      </w:r>
      <w:r w:rsidR="005F10DA" w:rsidRPr="00152F5C">
        <w:rPr>
          <w:rFonts w:ascii="Times New Roman" w:hAnsi="Times New Roman" w:cs="Times New Roman"/>
          <w:sz w:val="25"/>
          <w:szCs w:val="25"/>
        </w:rPr>
        <w:t xml:space="preserve">Existing DG capacity, let alone expected DG growth, </w:t>
      </w:r>
      <w:r w:rsidR="001767E1" w:rsidRPr="00152F5C">
        <w:rPr>
          <w:rFonts w:ascii="Times New Roman" w:hAnsi="Times New Roman" w:cs="Times New Roman"/>
          <w:sz w:val="25"/>
          <w:szCs w:val="25"/>
        </w:rPr>
        <w:t xml:space="preserve">could </w:t>
      </w:r>
      <w:r w:rsidR="005F10DA" w:rsidRPr="00152F5C">
        <w:rPr>
          <w:rFonts w:ascii="Times New Roman" w:hAnsi="Times New Roman" w:cs="Times New Roman"/>
          <w:sz w:val="25"/>
          <w:szCs w:val="25"/>
        </w:rPr>
        <w:t xml:space="preserve">significantly </w:t>
      </w:r>
      <w:r w:rsidR="001767E1" w:rsidRPr="00152F5C">
        <w:rPr>
          <w:rFonts w:ascii="Times New Roman" w:hAnsi="Times New Roman" w:cs="Times New Roman"/>
          <w:sz w:val="25"/>
          <w:szCs w:val="25"/>
        </w:rPr>
        <w:t xml:space="preserve">affect the timing of resource acquisition in the </w:t>
      </w:r>
      <w:r w:rsidR="005F10DA" w:rsidRPr="00152F5C">
        <w:rPr>
          <w:rFonts w:ascii="Times New Roman" w:hAnsi="Times New Roman" w:cs="Times New Roman"/>
          <w:sz w:val="25"/>
          <w:szCs w:val="25"/>
        </w:rPr>
        <w:t>first half</w:t>
      </w:r>
      <w:r w:rsidR="001767E1" w:rsidRPr="00152F5C">
        <w:rPr>
          <w:rFonts w:ascii="Times New Roman" w:hAnsi="Times New Roman" w:cs="Times New Roman"/>
          <w:sz w:val="25"/>
          <w:szCs w:val="25"/>
        </w:rPr>
        <w:t xml:space="preserve"> of the planning horizon</w:t>
      </w:r>
      <w:r w:rsidR="003F20B4" w:rsidRPr="00152F5C">
        <w:rPr>
          <w:rFonts w:ascii="Times New Roman" w:hAnsi="Times New Roman" w:cs="Times New Roman"/>
          <w:sz w:val="25"/>
          <w:szCs w:val="25"/>
        </w:rPr>
        <w:t xml:space="preserve">. </w:t>
      </w:r>
      <w:r w:rsidR="009405B3" w:rsidRPr="00152F5C">
        <w:rPr>
          <w:rFonts w:ascii="Times New Roman" w:hAnsi="Times New Roman" w:cs="Times New Roman"/>
          <w:sz w:val="25"/>
          <w:szCs w:val="25"/>
        </w:rPr>
        <w:t>Similar to modeling DG, PSE should also include in its load forecasts the capacity available from customers on interruptible schedules.</w:t>
      </w:r>
    </w:p>
    <w:p w:rsidR="001767E1" w:rsidRPr="00152F5C" w:rsidRDefault="001767E1" w:rsidP="00895DF8">
      <w:pPr>
        <w:spacing w:line="264" w:lineRule="auto"/>
        <w:rPr>
          <w:rFonts w:ascii="Times New Roman" w:hAnsi="Times New Roman" w:cs="Times New Roman"/>
          <w:sz w:val="25"/>
          <w:szCs w:val="25"/>
        </w:rPr>
      </w:pPr>
    </w:p>
    <w:p w:rsidR="004B7273" w:rsidRPr="00152F5C" w:rsidRDefault="004B7273" w:rsidP="00895DF8">
      <w:pPr>
        <w:pStyle w:val="ListParagraph"/>
        <w:numPr>
          <w:ilvl w:val="0"/>
          <w:numId w:val="7"/>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PSE </w:t>
      </w:r>
      <w:r w:rsidR="00313054" w:rsidRPr="00152F5C">
        <w:rPr>
          <w:rFonts w:ascii="Times New Roman" w:hAnsi="Times New Roman" w:cs="Times New Roman"/>
          <w:sz w:val="25"/>
          <w:szCs w:val="25"/>
        </w:rPr>
        <w:t xml:space="preserve">should </w:t>
      </w:r>
      <w:r w:rsidRPr="00152F5C">
        <w:rPr>
          <w:rFonts w:ascii="Times New Roman" w:hAnsi="Times New Roman" w:cs="Times New Roman"/>
          <w:sz w:val="25"/>
          <w:szCs w:val="25"/>
        </w:rPr>
        <w:t>provide greater explanation</w:t>
      </w:r>
      <w:r w:rsidR="00313054" w:rsidRPr="00152F5C">
        <w:rPr>
          <w:rFonts w:ascii="Times New Roman" w:hAnsi="Times New Roman" w:cs="Times New Roman"/>
          <w:sz w:val="25"/>
          <w:szCs w:val="25"/>
        </w:rPr>
        <w:t xml:space="preserve"> and support</w:t>
      </w:r>
      <w:r w:rsidRPr="00152F5C">
        <w:rPr>
          <w:rFonts w:ascii="Times New Roman" w:hAnsi="Times New Roman" w:cs="Times New Roman"/>
          <w:sz w:val="25"/>
          <w:szCs w:val="25"/>
        </w:rPr>
        <w:t xml:space="preserve"> of its load growth assumptions in the next IRP. </w:t>
      </w:r>
    </w:p>
    <w:p w:rsidR="00BC059D" w:rsidRPr="00152F5C" w:rsidRDefault="009B1956" w:rsidP="00895DF8">
      <w:pPr>
        <w:pStyle w:val="ListParagraph"/>
        <w:numPr>
          <w:ilvl w:val="0"/>
          <w:numId w:val="7"/>
        </w:numPr>
        <w:spacing w:line="264" w:lineRule="auto"/>
        <w:rPr>
          <w:rFonts w:ascii="Times New Roman" w:hAnsi="Times New Roman" w:cs="Times New Roman"/>
          <w:sz w:val="25"/>
          <w:szCs w:val="25"/>
        </w:rPr>
      </w:pPr>
      <w:r w:rsidRPr="00152F5C">
        <w:rPr>
          <w:rFonts w:ascii="Times New Roman" w:hAnsi="Times New Roman" w:cs="Times New Roman"/>
          <w:sz w:val="25"/>
          <w:szCs w:val="25"/>
        </w:rPr>
        <w:t>T</w:t>
      </w:r>
      <w:r w:rsidR="00AB3E38" w:rsidRPr="00152F5C">
        <w:rPr>
          <w:rFonts w:ascii="Times New Roman" w:hAnsi="Times New Roman" w:cs="Times New Roman"/>
          <w:sz w:val="25"/>
          <w:szCs w:val="25"/>
        </w:rPr>
        <w:t>he Commission expects PSE to</w:t>
      </w:r>
      <w:r w:rsidR="00D04991" w:rsidRPr="00152F5C">
        <w:rPr>
          <w:rFonts w:ascii="Times New Roman" w:hAnsi="Times New Roman" w:cs="Times New Roman"/>
          <w:sz w:val="25"/>
          <w:szCs w:val="25"/>
        </w:rPr>
        <w:t xml:space="preserve"> model </w:t>
      </w:r>
      <w:r w:rsidR="00AB3E38" w:rsidRPr="00152F5C">
        <w:rPr>
          <w:rFonts w:ascii="Times New Roman" w:hAnsi="Times New Roman" w:cs="Times New Roman"/>
          <w:sz w:val="25"/>
          <w:szCs w:val="25"/>
        </w:rPr>
        <w:t>distributed generation</w:t>
      </w:r>
      <w:r w:rsidR="00153194" w:rsidRPr="00152F5C">
        <w:rPr>
          <w:rFonts w:ascii="Times New Roman" w:hAnsi="Times New Roman" w:cs="Times New Roman"/>
          <w:sz w:val="25"/>
          <w:szCs w:val="25"/>
        </w:rPr>
        <w:t>’s</w:t>
      </w:r>
      <w:r w:rsidR="00AB3E38" w:rsidRPr="00152F5C">
        <w:rPr>
          <w:rFonts w:ascii="Times New Roman" w:hAnsi="Times New Roman" w:cs="Times New Roman"/>
          <w:sz w:val="25"/>
          <w:szCs w:val="25"/>
        </w:rPr>
        <w:t xml:space="preserve"> </w:t>
      </w:r>
      <w:r w:rsidR="00810A55" w:rsidRPr="00152F5C">
        <w:rPr>
          <w:rFonts w:ascii="Times New Roman" w:hAnsi="Times New Roman" w:cs="Times New Roman"/>
          <w:sz w:val="25"/>
          <w:szCs w:val="25"/>
        </w:rPr>
        <w:t xml:space="preserve">growth and contribution to </w:t>
      </w:r>
      <w:r w:rsidR="002C5728" w:rsidRPr="00152F5C">
        <w:rPr>
          <w:rFonts w:ascii="Times New Roman" w:hAnsi="Times New Roman" w:cs="Times New Roman"/>
          <w:sz w:val="25"/>
          <w:szCs w:val="25"/>
        </w:rPr>
        <w:t xml:space="preserve">meeting </w:t>
      </w:r>
      <w:r w:rsidR="00810A55" w:rsidRPr="00152F5C">
        <w:rPr>
          <w:rFonts w:ascii="Times New Roman" w:hAnsi="Times New Roman" w:cs="Times New Roman"/>
          <w:sz w:val="25"/>
          <w:szCs w:val="25"/>
        </w:rPr>
        <w:t>peak</w:t>
      </w:r>
      <w:r w:rsidR="002C5728" w:rsidRPr="00152F5C">
        <w:rPr>
          <w:rFonts w:ascii="Times New Roman" w:hAnsi="Times New Roman" w:cs="Times New Roman"/>
          <w:sz w:val="25"/>
          <w:szCs w:val="25"/>
        </w:rPr>
        <w:t xml:space="preserve"> </w:t>
      </w:r>
      <w:r w:rsidR="00811C17" w:rsidRPr="00152F5C">
        <w:rPr>
          <w:rFonts w:ascii="Times New Roman" w:hAnsi="Times New Roman" w:cs="Times New Roman"/>
          <w:sz w:val="25"/>
          <w:szCs w:val="25"/>
        </w:rPr>
        <w:t xml:space="preserve">and energy </w:t>
      </w:r>
      <w:r w:rsidR="002C5728" w:rsidRPr="00152F5C">
        <w:rPr>
          <w:rFonts w:ascii="Times New Roman" w:hAnsi="Times New Roman" w:cs="Times New Roman"/>
          <w:sz w:val="25"/>
          <w:szCs w:val="25"/>
        </w:rPr>
        <w:t>demand</w:t>
      </w:r>
      <w:r w:rsidR="00810A55" w:rsidRPr="00152F5C">
        <w:rPr>
          <w:rFonts w:ascii="Times New Roman" w:hAnsi="Times New Roman" w:cs="Times New Roman"/>
          <w:sz w:val="25"/>
          <w:szCs w:val="25"/>
        </w:rPr>
        <w:t xml:space="preserve"> in the next IRP</w:t>
      </w:r>
      <w:r w:rsidR="005F10DA" w:rsidRPr="00152F5C">
        <w:rPr>
          <w:rFonts w:ascii="Times New Roman" w:hAnsi="Times New Roman" w:cs="Times New Roman"/>
          <w:sz w:val="25"/>
          <w:szCs w:val="25"/>
        </w:rPr>
        <w:t xml:space="preserve"> and prior to its next </w:t>
      </w:r>
      <w:r w:rsidR="00015BC4" w:rsidRPr="00152F5C">
        <w:rPr>
          <w:rFonts w:ascii="Times New Roman" w:hAnsi="Times New Roman" w:cs="Times New Roman"/>
          <w:sz w:val="25"/>
          <w:szCs w:val="25"/>
        </w:rPr>
        <w:t>Request For Proposals (</w:t>
      </w:r>
      <w:r w:rsidR="005F10DA" w:rsidRPr="00152F5C">
        <w:rPr>
          <w:rFonts w:ascii="Times New Roman" w:hAnsi="Times New Roman" w:cs="Times New Roman"/>
          <w:sz w:val="25"/>
          <w:szCs w:val="25"/>
        </w:rPr>
        <w:t>RFP</w:t>
      </w:r>
      <w:r w:rsidR="00015BC4" w:rsidRPr="00152F5C">
        <w:rPr>
          <w:rFonts w:ascii="Times New Roman" w:hAnsi="Times New Roman" w:cs="Times New Roman"/>
          <w:sz w:val="25"/>
          <w:szCs w:val="25"/>
        </w:rPr>
        <w:t>)</w:t>
      </w:r>
      <w:r w:rsidR="00810A55" w:rsidRPr="00152F5C">
        <w:rPr>
          <w:rFonts w:ascii="Times New Roman" w:hAnsi="Times New Roman" w:cs="Times New Roman"/>
          <w:sz w:val="25"/>
          <w:szCs w:val="25"/>
        </w:rPr>
        <w:t>.</w:t>
      </w:r>
    </w:p>
    <w:p w:rsidR="009405B3" w:rsidRPr="00152F5C" w:rsidRDefault="009405B3" w:rsidP="00895DF8">
      <w:pPr>
        <w:pStyle w:val="ListParagraph"/>
        <w:numPr>
          <w:ilvl w:val="0"/>
          <w:numId w:val="7"/>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PSE </w:t>
      </w:r>
      <w:r w:rsidR="00E94EA1" w:rsidRPr="00152F5C">
        <w:rPr>
          <w:rFonts w:ascii="Times New Roman" w:hAnsi="Times New Roman" w:cs="Times New Roman"/>
          <w:sz w:val="25"/>
          <w:szCs w:val="25"/>
        </w:rPr>
        <w:t xml:space="preserve">should </w:t>
      </w:r>
      <w:r w:rsidRPr="00152F5C">
        <w:rPr>
          <w:rFonts w:ascii="Times New Roman" w:hAnsi="Times New Roman" w:cs="Times New Roman"/>
          <w:sz w:val="25"/>
          <w:szCs w:val="25"/>
        </w:rPr>
        <w:t xml:space="preserve">account for interruptible capacity </w:t>
      </w:r>
      <w:r w:rsidR="00E94EA1" w:rsidRPr="00152F5C">
        <w:rPr>
          <w:rFonts w:ascii="Times New Roman" w:hAnsi="Times New Roman" w:cs="Times New Roman"/>
          <w:sz w:val="25"/>
          <w:szCs w:val="25"/>
        </w:rPr>
        <w:t xml:space="preserve">connected to its system </w:t>
      </w:r>
      <w:r w:rsidRPr="00152F5C">
        <w:rPr>
          <w:rFonts w:ascii="Times New Roman" w:hAnsi="Times New Roman" w:cs="Times New Roman"/>
          <w:sz w:val="25"/>
          <w:szCs w:val="25"/>
        </w:rPr>
        <w:t>when it develops the load forecasts in the next IRP.</w:t>
      </w:r>
    </w:p>
    <w:p w:rsidR="009405B3" w:rsidRPr="00152F5C" w:rsidRDefault="009405B3" w:rsidP="00895DF8">
      <w:pPr>
        <w:spacing w:line="264" w:lineRule="auto"/>
        <w:rPr>
          <w:rFonts w:ascii="Times New Roman" w:hAnsi="Times New Roman" w:cs="Times New Roman"/>
          <w:sz w:val="25"/>
          <w:szCs w:val="25"/>
        </w:rPr>
      </w:pPr>
    </w:p>
    <w:p w:rsidR="00AD6935" w:rsidRPr="00152F5C" w:rsidRDefault="009405B3"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During the IRP development process, the Industrial Customers of Northwest Utilities (ICNU) requested information related to the cost impacts of different planning reserve margins.  </w:t>
      </w:r>
      <w:r w:rsidR="00AD6935" w:rsidRPr="00152F5C">
        <w:rPr>
          <w:rFonts w:ascii="Times New Roman" w:hAnsi="Times New Roman" w:cs="Times New Roman"/>
          <w:sz w:val="25"/>
          <w:szCs w:val="25"/>
        </w:rPr>
        <w:t xml:space="preserve">ICNU has reviewed similar information from other utilities and planned to conduct independent analysis and make specific recommendations regarding appropriate margins. PSE agreed to provide that information, </w:t>
      </w:r>
      <w:r w:rsidR="004916ED" w:rsidRPr="00152F5C">
        <w:rPr>
          <w:rFonts w:ascii="Times New Roman" w:hAnsi="Times New Roman" w:cs="Times New Roman"/>
          <w:sz w:val="25"/>
          <w:szCs w:val="25"/>
        </w:rPr>
        <w:t xml:space="preserve">but </w:t>
      </w:r>
      <w:r w:rsidR="00AD6935" w:rsidRPr="00152F5C">
        <w:rPr>
          <w:rFonts w:ascii="Times New Roman" w:hAnsi="Times New Roman" w:cs="Times New Roman"/>
          <w:sz w:val="25"/>
          <w:szCs w:val="25"/>
        </w:rPr>
        <w:t xml:space="preserve">failed to do so. The Commission believes that the type of public participation offered by ICNU is essential to the development of a robust and effective plan. </w:t>
      </w:r>
      <w:r w:rsidR="00015BC4" w:rsidRPr="00152F5C">
        <w:rPr>
          <w:rFonts w:ascii="Times New Roman" w:hAnsi="Times New Roman" w:cs="Times New Roman"/>
          <w:sz w:val="25"/>
          <w:szCs w:val="25"/>
        </w:rPr>
        <w:t>Limiting</w:t>
      </w:r>
      <w:r w:rsidR="00AD6935" w:rsidRPr="00152F5C">
        <w:rPr>
          <w:rFonts w:ascii="Times New Roman" w:hAnsi="Times New Roman" w:cs="Times New Roman"/>
          <w:sz w:val="25"/>
          <w:szCs w:val="25"/>
        </w:rPr>
        <w:t xml:space="preserve"> such participation by failing to </w:t>
      </w:r>
      <w:r w:rsidR="00FB526A" w:rsidRPr="00152F5C">
        <w:rPr>
          <w:rFonts w:ascii="Times New Roman" w:hAnsi="Times New Roman" w:cs="Times New Roman"/>
          <w:sz w:val="25"/>
          <w:szCs w:val="25"/>
        </w:rPr>
        <w:t xml:space="preserve">respond to reasonable requests for </w:t>
      </w:r>
      <w:r w:rsidR="00AD6935" w:rsidRPr="00152F5C">
        <w:rPr>
          <w:rFonts w:ascii="Times New Roman" w:hAnsi="Times New Roman" w:cs="Times New Roman"/>
          <w:sz w:val="25"/>
          <w:szCs w:val="25"/>
        </w:rPr>
        <w:t>information is unacceptable.</w:t>
      </w:r>
    </w:p>
    <w:p w:rsidR="00AD6935" w:rsidRPr="00152F5C" w:rsidRDefault="00AD6935" w:rsidP="00895DF8">
      <w:pPr>
        <w:spacing w:line="264" w:lineRule="auto"/>
        <w:rPr>
          <w:rFonts w:ascii="Times New Roman" w:hAnsi="Times New Roman" w:cs="Times New Roman"/>
          <w:sz w:val="25"/>
          <w:szCs w:val="25"/>
        </w:rPr>
      </w:pPr>
    </w:p>
    <w:p w:rsidR="009405B3" w:rsidRPr="00152F5C" w:rsidRDefault="004F6B3F" w:rsidP="00895DF8">
      <w:pPr>
        <w:pStyle w:val="ListParagraph"/>
        <w:numPr>
          <w:ilvl w:val="0"/>
          <w:numId w:val="10"/>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PSE should improve the transparency of its planning </w:t>
      </w:r>
      <w:r w:rsidR="00B0184A" w:rsidRPr="00152F5C">
        <w:rPr>
          <w:rFonts w:ascii="Times New Roman" w:hAnsi="Times New Roman" w:cs="Times New Roman"/>
          <w:sz w:val="25"/>
          <w:szCs w:val="25"/>
        </w:rPr>
        <w:t>m</w:t>
      </w:r>
      <w:r w:rsidRPr="00152F5C">
        <w:rPr>
          <w:rFonts w:ascii="Times New Roman" w:hAnsi="Times New Roman" w:cs="Times New Roman"/>
          <w:sz w:val="25"/>
          <w:szCs w:val="25"/>
        </w:rPr>
        <w:t>argin analysis. In the 2015 IRP, the Company should develop a process to allow stakeholders to better understand the assumptions, the analysis, and the results of the company’s planning margin</w:t>
      </w:r>
      <w:r w:rsidR="00B0184A" w:rsidRPr="00152F5C">
        <w:rPr>
          <w:rFonts w:ascii="Times New Roman" w:hAnsi="Times New Roman" w:cs="Times New Roman"/>
          <w:sz w:val="25"/>
          <w:szCs w:val="25"/>
        </w:rPr>
        <w:t>.</w:t>
      </w:r>
      <w:r w:rsidRPr="00152F5C">
        <w:rPr>
          <w:rFonts w:ascii="Times New Roman" w:hAnsi="Times New Roman" w:cs="Times New Roman"/>
          <w:sz w:val="25"/>
          <w:szCs w:val="25"/>
        </w:rPr>
        <w:t xml:space="preserve"> </w:t>
      </w:r>
    </w:p>
    <w:p w:rsidR="009405B3" w:rsidRDefault="009405B3" w:rsidP="00895DF8">
      <w:pPr>
        <w:spacing w:line="264" w:lineRule="auto"/>
        <w:rPr>
          <w:rFonts w:ascii="Times New Roman" w:hAnsi="Times New Roman" w:cs="Times New Roman"/>
          <w:sz w:val="25"/>
          <w:szCs w:val="25"/>
        </w:rPr>
      </w:pPr>
    </w:p>
    <w:p w:rsidR="00152F5C" w:rsidRPr="00152F5C" w:rsidRDefault="00152F5C" w:rsidP="00895DF8">
      <w:pPr>
        <w:spacing w:line="264" w:lineRule="auto"/>
        <w:rPr>
          <w:rFonts w:ascii="Times New Roman" w:hAnsi="Times New Roman" w:cs="Times New Roman"/>
          <w:sz w:val="25"/>
          <w:szCs w:val="25"/>
        </w:rPr>
      </w:pPr>
    </w:p>
    <w:p w:rsidR="00F3297B" w:rsidRPr="00152F5C" w:rsidRDefault="001767E1" w:rsidP="00895DF8">
      <w:pPr>
        <w:spacing w:line="264" w:lineRule="auto"/>
        <w:rPr>
          <w:rFonts w:ascii="Times New Roman" w:hAnsi="Times New Roman" w:cs="Times New Roman"/>
          <w:b/>
          <w:sz w:val="25"/>
          <w:szCs w:val="25"/>
        </w:rPr>
      </w:pPr>
      <w:r w:rsidRPr="00152F5C">
        <w:rPr>
          <w:rFonts w:ascii="Times New Roman" w:hAnsi="Times New Roman" w:cs="Times New Roman"/>
          <w:b/>
          <w:sz w:val="25"/>
          <w:szCs w:val="25"/>
        </w:rPr>
        <w:lastRenderedPageBreak/>
        <w:t>Supply and Demand-Side</w:t>
      </w:r>
      <w:r w:rsidR="00C54A2D" w:rsidRPr="00152F5C">
        <w:rPr>
          <w:rFonts w:ascii="Times New Roman" w:hAnsi="Times New Roman" w:cs="Times New Roman"/>
          <w:b/>
          <w:sz w:val="25"/>
          <w:szCs w:val="25"/>
        </w:rPr>
        <w:t xml:space="preserve"> Resources</w:t>
      </w:r>
    </w:p>
    <w:p w:rsidR="009264ED" w:rsidRPr="00152F5C" w:rsidRDefault="009264ED" w:rsidP="00895DF8">
      <w:pPr>
        <w:spacing w:line="264" w:lineRule="auto"/>
        <w:rPr>
          <w:rFonts w:ascii="Times New Roman" w:hAnsi="Times New Roman" w:cs="Times New Roman"/>
          <w:sz w:val="25"/>
          <w:szCs w:val="25"/>
        </w:rPr>
      </w:pPr>
    </w:p>
    <w:p w:rsidR="00CA3B68" w:rsidRPr="00152F5C" w:rsidRDefault="00BE39B1"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T</w:t>
      </w:r>
      <w:r w:rsidR="00CA3B68" w:rsidRPr="00152F5C">
        <w:rPr>
          <w:rFonts w:ascii="Times New Roman" w:hAnsi="Times New Roman" w:cs="Times New Roman"/>
          <w:sz w:val="25"/>
          <w:szCs w:val="25"/>
        </w:rPr>
        <w:t xml:space="preserve">o meet projected loads, PSE modeled the following prospective resources: </w:t>
      </w:r>
    </w:p>
    <w:p w:rsidR="00CA3B68" w:rsidRPr="00152F5C" w:rsidRDefault="00CA3B68" w:rsidP="00895DF8">
      <w:pPr>
        <w:spacing w:line="264" w:lineRule="auto"/>
        <w:rPr>
          <w:rFonts w:ascii="Times New Roman" w:hAnsi="Times New Roman" w:cs="Times New Roman"/>
          <w:sz w:val="25"/>
          <w:szCs w:val="25"/>
        </w:rPr>
      </w:pPr>
    </w:p>
    <w:p w:rsidR="00CA3B68" w:rsidRPr="00152F5C" w:rsidRDefault="00CA3B68" w:rsidP="00895DF8">
      <w:pPr>
        <w:pStyle w:val="ListParagraph"/>
        <w:numPr>
          <w:ilvl w:val="0"/>
          <w:numId w:val="11"/>
        </w:numPr>
        <w:spacing w:line="264" w:lineRule="auto"/>
        <w:rPr>
          <w:rFonts w:ascii="Times New Roman" w:hAnsi="Times New Roman" w:cs="Times New Roman"/>
          <w:sz w:val="25"/>
          <w:szCs w:val="25"/>
        </w:rPr>
      </w:pPr>
      <w:r w:rsidRPr="00152F5C">
        <w:rPr>
          <w:rFonts w:ascii="Times New Roman" w:hAnsi="Times New Roman" w:cs="Times New Roman"/>
          <w:sz w:val="25"/>
          <w:szCs w:val="25"/>
        </w:rPr>
        <w:t>Renewal of transmission contracts that give PSE access to market purchases from Mid-Columbia</w:t>
      </w:r>
      <w:r w:rsidRPr="00152F5C">
        <w:rPr>
          <w:rStyle w:val="FootnoteReference"/>
          <w:rFonts w:ascii="Times New Roman" w:hAnsi="Times New Roman" w:cs="Times New Roman"/>
          <w:sz w:val="25"/>
          <w:szCs w:val="25"/>
        </w:rPr>
        <w:footnoteReference w:id="6"/>
      </w:r>
      <w:r w:rsidRPr="00152F5C">
        <w:rPr>
          <w:rFonts w:ascii="Times New Roman" w:hAnsi="Times New Roman" w:cs="Times New Roman"/>
          <w:sz w:val="25"/>
          <w:szCs w:val="25"/>
        </w:rPr>
        <w:t xml:space="preserve">; </w:t>
      </w:r>
    </w:p>
    <w:p w:rsidR="00CA3B68" w:rsidRPr="00152F5C" w:rsidRDefault="00CA3B68" w:rsidP="00895DF8">
      <w:pPr>
        <w:pStyle w:val="ListParagraph"/>
        <w:numPr>
          <w:ilvl w:val="0"/>
          <w:numId w:val="11"/>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Combined-cycle combustion turbines (CCCTs); </w:t>
      </w:r>
    </w:p>
    <w:p w:rsidR="00CA3B68" w:rsidRPr="00152F5C" w:rsidRDefault="00CA3B68" w:rsidP="00895DF8">
      <w:pPr>
        <w:pStyle w:val="ListParagraph"/>
        <w:numPr>
          <w:ilvl w:val="0"/>
          <w:numId w:val="11"/>
        </w:numPr>
        <w:spacing w:line="264" w:lineRule="auto"/>
        <w:rPr>
          <w:rFonts w:ascii="Times New Roman" w:hAnsi="Times New Roman" w:cs="Times New Roman"/>
          <w:sz w:val="25"/>
          <w:szCs w:val="25"/>
        </w:rPr>
      </w:pPr>
      <w:r w:rsidRPr="00152F5C">
        <w:rPr>
          <w:rFonts w:ascii="Times New Roman" w:hAnsi="Times New Roman" w:cs="Times New Roman"/>
          <w:sz w:val="25"/>
          <w:szCs w:val="25"/>
        </w:rPr>
        <w:t>Single-cycle combustion turbines (peakers)</w:t>
      </w:r>
      <w:r w:rsidRPr="00152F5C">
        <w:rPr>
          <w:rStyle w:val="FootnoteReference"/>
          <w:rFonts w:ascii="Times New Roman" w:hAnsi="Times New Roman" w:cs="Times New Roman"/>
          <w:sz w:val="25"/>
          <w:szCs w:val="25"/>
        </w:rPr>
        <w:footnoteReference w:id="7"/>
      </w:r>
      <w:r w:rsidRPr="00152F5C">
        <w:rPr>
          <w:rFonts w:ascii="Times New Roman" w:hAnsi="Times New Roman" w:cs="Times New Roman"/>
          <w:sz w:val="25"/>
          <w:szCs w:val="25"/>
        </w:rPr>
        <w:t xml:space="preserve">; </w:t>
      </w:r>
    </w:p>
    <w:p w:rsidR="00CA3B68" w:rsidRPr="00152F5C" w:rsidRDefault="00CA3B68" w:rsidP="00895DF8">
      <w:pPr>
        <w:pStyle w:val="ListParagraph"/>
        <w:numPr>
          <w:ilvl w:val="0"/>
          <w:numId w:val="11"/>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Southeast Washington wind; and </w:t>
      </w:r>
    </w:p>
    <w:p w:rsidR="00CA3B68" w:rsidRPr="00152F5C" w:rsidRDefault="00CA3B68" w:rsidP="00895DF8">
      <w:pPr>
        <w:pStyle w:val="ListParagraph"/>
        <w:numPr>
          <w:ilvl w:val="0"/>
          <w:numId w:val="11"/>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Demand-side resources. </w:t>
      </w:r>
    </w:p>
    <w:p w:rsidR="00CA3B68" w:rsidRPr="00152F5C" w:rsidRDefault="00CA3B68" w:rsidP="00895DF8">
      <w:pPr>
        <w:spacing w:line="264" w:lineRule="auto"/>
        <w:rPr>
          <w:rFonts w:ascii="Times New Roman" w:hAnsi="Times New Roman" w:cs="Times New Roman"/>
          <w:sz w:val="25"/>
          <w:szCs w:val="25"/>
        </w:rPr>
      </w:pPr>
    </w:p>
    <w:p w:rsidR="00CA3B68" w:rsidRPr="00152F5C" w:rsidRDefault="00CA3B68"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plan describes several other resources that PSE did not model because </w:t>
      </w:r>
      <w:r w:rsidR="004916ED" w:rsidRPr="00152F5C">
        <w:rPr>
          <w:rFonts w:ascii="Times New Roman" w:hAnsi="Times New Roman" w:cs="Times New Roman"/>
          <w:sz w:val="25"/>
          <w:szCs w:val="25"/>
        </w:rPr>
        <w:t xml:space="preserve">the assumed resource </w:t>
      </w:r>
      <w:r w:rsidRPr="00152F5C">
        <w:rPr>
          <w:rFonts w:ascii="Times New Roman" w:hAnsi="Times New Roman" w:cs="Times New Roman"/>
          <w:sz w:val="25"/>
          <w:szCs w:val="25"/>
        </w:rPr>
        <w:t xml:space="preserve">costs were too high </w:t>
      </w:r>
      <w:r w:rsidR="00FB526A" w:rsidRPr="00152F5C">
        <w:rPr>
          <w:rFonts w:ascii="Times New Roman" w:hAnsi="Times New Roman" w:cs="Times New Roman"/>
          <w:sz w:val="25"/>
          <w:szCs w:val="25"/>
        </w:rPr>
        <w:t xml:space="preserve">to be practical </w:t>
      </w:r>
      <w:r w:rsidR="004916ED" w:rsidRPr="00152F5C">
        <w:rPr>
          <w:rFonts w:ascii="Times New Roman" w:hAnsi="Times New Roman" w:cs="Times New Roman"/>
          <w:sz w:val="25"/>
          <w:szCs w:val="25"/>
        </w:rPr>
        <w:t xml:space="preserve">or </w:t>
      </w:r>
      <w:r w:rsidRPr="00152F5C">
        <w:rPr>
          <w:rFonts w:ascii="Times New Roman" w:hAnsi="Times New Roman" w:cs="Times New Roman"/>
          <w:sz w:val="25"/>
          <w:szCs w:val="25"/>
        </w:rPr>
        <w:t>their contribution to meeting load was insufficient to displace the need for the resources listed above. These resources include biomass, battery storage, fuel cell</w:t>
      </w:r>
      <w:r w:rsidR="002E78E0" w:rsidRPr="00152F5C">
        <w:rPr>
          <w:rFonts w:ascii="Times New Roman" w:hAnsi="Times New Roman" w:cs="Times New Roman"/>
          <w:sz w:val="25"/>
          <w:szCs w:val="25"/>
        </w:rPr>
        <w:t>s,</w:t>
      </w:r>
      <w:r w:rsidRPr="00152F5C">
        <w:rPr>
          <w:rFonts w:ascii="Times New Roman" w:hAnsi="Times New Roman" w:cs="Times New Roman"/>
          <w:sz w:val="25"/>
          <w:szCs w:val="25"/>
        </w:rPr>
        <w:t xml:space="preserve"> pumped storage hydro, solar, geothermal, tidal and wave power, long-haul wind</w:t>
      </w:r>
      <w:r w:rsidR="00015BC4" w:rsidRPr="00152F5C">
        <w:rPr>
          <w:rFonts w:ascii="Times New Roman" w:hAnsi="Times New Roman" w:cs="Times New Roman"/>
          <w:sz w:val="25"/>
          <w:szCs w:val="25"/>
        </w:rPr>
        <w:t>,</w:t>
      </w:r>
      <w:r w:rsidRPr="00152F5C">
        <w:rPr>
          <w:rFonts w:ascii="Times New Roman" w:hAnsi="Times New Roman" w:cs="Times New Roman"/>
          <w:sz w:val="25"/>
          <w:szCs w:val="25"/>
        </w:rPr>
        <w:t xml:space="preserve"> and unbundled RECs.</w:t>
      </w:r>
    </w:p>
    <w:p w:rsidR="00CA3B68" w:rsidRPr="00152F5C" w:rsidRDefault="00CA3B68" w:rsidP="00895DF8">
      <w:pPr>
        <w:spacing w:line="264" w:lineRule="auto"/>
        <w:rPr>
          <w:rFonts w:ascii="Times New Roman" w:hAnsi="Times New Roman" w:cs="Times New Roman"/>
          <w:sz w:val="25"/>
          <w:szCs w:val="25"/>
        </w:rPr>
      </w:pPr>
    </w:p>
    <w:p w:rsidR="00CA3B68" w:rsidRPr="00152F5C" w:rsidRDefault="00CA3B68"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After modeling a wide variety of economic scenarios, PSE selected the following resources for its </w:t>
      </w:r>
      <w:r w:rsidR="004A61C8" w:rsidRPr="00152F5C">
        <w:rPr>
          <w:rFonts w:ascii="Times New Roman" w:hAnsi="Times New Roman" w:cs="Times New Roman"/>
          <w:sz w:val="25"/>
          <w:szCs w:val="25"/>
        </w:rPr>
        <w:t>“selected resource plan”</w:t>
      </w:r>
      <w:r w:rsidRPr="00152F5C">
        <w:rPr>
          <w:rFonts w:ascii="Times New Roman" w:hAnsi="Times New Roman" w:cs="Times New Roman"/>
          <w:sz w:val="25"/>
          <w:szCs w:val="25"/>
        </w:rPr>
        <w:t>:</w:t>
      </w:r>
    </w:p>
    <w:p w:rsidR="00811C17" w:rsidRPr="00152F5C" w:rsidRDefault="00811C17" w:rsidP="00895DF8">
      <w:pPr>
        <w:spacing w:line="264" w:lineRule="auto"/>
        <w:jc w:val="center"/>
        <w:rPr>
          <w:rFonts w:ascii="Times New Roman" w:hAnsi="Times New Roman" w:cs="Times New Roman"/>
          <w:b/>
          <w:sz w:val="25"/>
          <w:szCs w:val="25"/>
        </w:rPr>
      </w:pPr>
    </w:p>
    <w:p w:rsidR="00152F5C" w:rsidRDefault="00CA3B68"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Table 1.</w:t>
      </w:r>
    </w:p>
    <w:p w:rsidR="00CA3B68" w:rsidRDefault="00CA3B68"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 xml:space="preserve"> Electric Resource Plan, Cumulative Nameplate Capacity of Resource Additions</w:t>
      </w:r>
      <w:r w:rsidRPr="00152F5C">
        <w:rPr>
          <w:rStyle w:val="FootnoteReference"/>
          <w:rFonts w:ascii="Times New Roman" w:hAnsi="Times New Roman" w:cs="Times New Roman"/>
          <w:b/>
          <w:sz w:val="25"/>
          <w:szCs w:val="25"/>
        </w:rPr>
        <w:footnoteReference w:id="8"/>
      </w:r>
    </w:p>
    <w:p w:rsidR="00152F5C" w:rsidRPr="00152F5C" w:rsidRDefault="00152F5C" w:rsidP="00895DF8">
      <w:pPr>
        <w:spacing w:line="264" w:lineRule="auto"/>
        <w:jc w:val="cente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3306"/>
        <w:gridCol w:w="1477"/>
        <w:gridCol w:w="1478"/>
        <w:gridCol w:w="1477"/>
        <w:gridCol w:w="1478"/>
      </w:tblGrid>
      <w:tr w:rsidR="00CA3B68" w:rsidRPr="00152F5C" w:rsidTr="00152F5C">
        <w:tc>
          <w:tcPr>
            <w:tcW w:w="3306" w:type="dxa"/>
          </w:tcPr>
          <w:p w:rsidR="00CA3B68" w:rsidRPr="00152F5C" w:rsidRDefault="00CA3B68" w:rsidP="002C6FD0">
            <w:pPr>
              <w:rPr>
                <w:rFonts w:ascii="Times New Roman" w:hAnsi="Times New Roman" w:cs="Times New Roman"/>
                <w:b/>
                <w:sz w:val="25"/>
                <w:szCs w:val="25"/>
              </w:rPr>
            </w:pPr>
          </w:p>
        </w:tc>
        <w:tc>
          <w:tcPr>
            <w:tcW w:w="1477" w:type="dxa"/>
          </w:tcPr>
          <w:p w:rsidR="00CA3B68" w:rsidRPr="00152F5C" w:rsidRDefault="00CA3B68" w:rsidP="002C6FD0">
            <w:pPr>
              <w:jc w:val="center"/>
              <w:rPr>
                <w:rFonts w:ascii="Times New Roman" w:hAnsi="Times New Roman" w:cs="Times New Roman"/>
                <w:b/>
                <w:sz w:val="25"/>
                <w:szCs w:val="25"/>
              </w:rPr>
            </w:pPr>
            <w:r w:rsidRPr="00152F5C">
              <w:rPr>
                <w:rFonts w:ascii="Times New Roman" w:hAnsi="Times New Roman" w:cs="Times New Roman"/>
                <w:b/>
                <w:sz w:val="25"/>
                <w:szCs w:val="25"/>
              </w:rPr>
              <w:t>2017</w:t>
            </w:r>
          </w:p>
        </w:tc>
        <w:tc>
          <w:tcPr>
            <w:tcW w:w="1478" w:type="dxa"/>
          </w:tcPr>
          <w:p w:rsidR="00CA3B68" w:rsidRPr="00152F5C" w:rsidRDefault="00CA3B68" w:rsidP="002C6FD0">
            <w:pPr>
              <w:jc w:val="center"/>
              <w:rPr>
                <w:rFonts w:ascii="Times New Roman" w:hAnsi="Times New Roman" w:cs="Times New Roman"/>
                <w:b/>
                <w:sz w:val="25"/>
                <w:szCs w:val="25"/>
              </w:rPr>
            </w:pPr>
            <w:r w:rsidRPr="00152F5C">
              <w:rPr>
                <w:rFonts w:ascii="Times New Roman" w:hAnsi="Times New Roman" w:cs="Times New Roman"/>
                <w:b/>
                <w:sz w:val="25"/>
                <w:szCs w:val="25"/>
              </w:rPr>
              <w:t>2023</w:t>
            </w:r>
          </w:p>
        </w:tc>
        <w:tc>
          <w:tcPr>
            <w:tcW w:w="1477" w:type="dxa"/>
          </w:tcPr>
          <w:p w:rsidR="00CA3B68" w:rsidRPr="00152F5C" w:rsidRDefault="00CA3B68" w:rsidP="002C6FD0">
            <w:pPr>
              <w:jc w:val="center"/>
              <w:rPr>
                <w:rFonts w:ascii="Times New Roman" w:hAnsi="Times New Roman" w:cs="Times New Roman"/>
                <w:b/>
                <w:sz w:val="25"/>
                <w:szCs w:val="25"/>
              </w:rPr>
            </w:pPr>
            <w:r w:rsidRPr="00152F5C">
              <w:rPr>
                <w:rFonts w:ascii="Times New Roman" w:hAnsi="Times New Roman" w:cs="Times New Roman"/>
                <w:b/>
                <w:sz w:val="25"/>
                <w:szCs w:val="25"/>
              </w:rPr>
              <w:t>2027</w:t>
            </w:r>
          </w:p>
        </w:tc>
        <w:tc>
          <w:tcPr>
            <w:tcW w:w="1478" w:type="dxa"/>
          </w:tcPr>
          <w:p w:rsidR="00CA3B68" w:rsidRPr="00152F5C" w:rsidRDefault="00CA3B68" w:rsidP="002C6FD0">
            <w:pPr>
              <w:jc w:val="center"/>
              <w:rPr>
                <w:rFonts w:ascii="Times New Roman" w:hAnsi="Times New Roman" w:cs="Times New Roman"/>
                <w:b/>
                <w:sz w:val="25"/>
                <w:szCs w:val="25"/>
              </w:rPr>
            </w:pPr>
            <w:r w:rsidRPr="00152F5C">
              <w:rPr>
                <w:rFonts w:ascii="Times New Roman" w:hAnsi="Times New Roman" w:cs="Times New Roman"/>
                <w:b/>
                <w:sz w:val="25"/>
                <w:szCs w:val="25"/>
              </w:rPr>
              <w:t>2033</w:t>
            </w:r>
          </w:p>
        </w:tc>
      </w:tr>
      <w:tr w:rsidR="00CA3B68" w:rsidRPr="00152F5C" w:rsidTr="00152F5C">
        <w:tc>
          <w:tcPr>
            <w:tcW w:w="3306" w:type="dxa"/>
          </w:tcPr>
          <w:p w:rsidR="00CA3B68" w:rsidRPr="00152F5C" w:rsidRDefault="00CA3B68" w:rsidP="002C6FD0">
            <w:pPr>
              <w:rPr>
                <w:rFonts w:ascii="Times New Roman" w:hAnsi="Times New Roman" w:cs="Times New Roman"/>
                <w:b/>
                <w:sz w:val="25"/>
                <w:szCs w:val="25"/>
              </w:rPr>
            </w:pPr>
            <w:r w:rsidRPr="00152F5C">
              <w:rPr>
                <w:rFonts w:ascii="Times New Roman" w:hAnsi="Times New Roman" w:cs="Times New Roman"/>
                <w:b/>
                <w:sz w:val="25"/>
                <w:szCs w:val="25"/>
              </w:rPr>
              <w:t>Demand-Side Resources (MW)</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327</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800</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887</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1007</w:t>
            </w:r>
          </w:p>
        </w:tc>
      </w:tr>
      <w:tr w:rsidR="00CA3B68" w:rsidRPr="00152F5C" w:rsidTr="00152F5C">
        <w:tc>
          <w:tcPr>
            <w:tcW w:w="3306" w:type="dxa"/>
          </w:tcPr>
          <w:p w:rsidR="00CA3B68" w:rsidRPr="00152F5C" w:rsidRDefault="00CA3B68" w:rsidP="002C6FD0">
            <w:pPr>
              <w:rPr>
                <w:rFonts w:ascii="Times New Roman" w:hAnsi="Times New Roman" w:cs="Times New Roman"/>
                <w:b/>
                <w:sz w:val="25"/>
                <w:szCs w:val="25"/>
              </w:rPr>
            </w:pPr>
            <w:r w:rsidRPr="00152F5C">
              <w:rPr>
                <w:rFonts w:ascii="Times New Roman" w:hAnsi="Times New Roman" w:cs="Times New Roman"/>
                <w:b/>
                <w:sz w:val="25"/>
                <w:szCs w:val="25"/>
              </w:rPr>
              <w:t>Wind (MW)</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0</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300</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500</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600</w:t>
            </w:r>
          </w:p>
        </w:tc>
      </w:tr>
      <w:tr w:rsidR="00CA3B68" w:rsidRPr="00152F5C" w:rsidTr="00152F5C">
        <w:tc>
          <w:tcPr>
            <w:tcW w:w="3306" w:type="dxa"/>
          </w:tcPr>
          <w:p w:rsidR="00CA3B68" w:rsidRPr="00152F5C" w:rsidRDefault="00CA3B68" w:rsidP="002C6FD0">
            <w:pPr>
              <w:rPr>
                <w:rFonts w:ascii="Times New Roman" w:hAnsi="Times New Roman" w:cs="Times New Roman"/>
                <w:b/>
                <w:sz w:val="25"/>
                <w:szCs w:val="25"/>
              </w:rPr>
            </w:pPr>
            <w:r w:rsidRPr="00152F5C">
              <w:rPr>
                <w:rFonts w:ascii="Times New Roman" w:hAnsi="Times New Roman" w:cs="Times New Roman"/>
                <w:b/>
                <w:sz w:val="25"/>
                <w:szCs w:val="25"/>
              </w:rPr>
              <w:t>Peakers (CT in MW)</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221</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442</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1,327</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2,212</w:t>
            </w:r>
          </w:p>
        </w:tc>
      </w:tr>
      <w:tr w:rsidR="00CA3B68" w:rsidRPr="00152F5C" w:rsidTr="00152F5C">
        <w:tc>
          <w:tcPr>
            <w:tcW w:w="3306" w:type="dxa"/>
          </w:tcPr>
          <w:p w:rsidR="00CA3B68" w:rsidRPr="00152F5C" w:rsidRDefault="00CA3B68" w:rsidP="002C6FD0">
            <w:pPr>
              <w:rPr>
                <w:rFonts w:ascii="Times New Roman" w:hAnsi="Times New Roman" w:cs="Times New Roman"/>
                <w:b/>
                <w:sz w:val="25"/>
                <w:szCs w:val="25"/>
              </w:rPr>
            </w:pPr>
            <w:r w:rsidRPr="00152F5C">
              <w:rPr>
                <w:rFonts w:ascii="Times New Roman" w:hAnsi="Times New Roman" w:cs="Times New Roman"/>
                <w:b/>
                <w:sz w:val="25"/>
                <w:szCs w:val="25"/>
              </w:rPr>
              <w:t>Transmission Renewals (MW)</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1,141</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1,407</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1,407</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1,657</w:t>
            </w:r>
          </w:p>
        </w:tc>
      </w:tr>
      <w:tr w:rsidR="00CA3B68" w:rsidRPr="00152F5C" w:rsidTr="00152F5C">
        <w:tc>
          <w:tcPr>
            <w:tcW w:w="3306" w:type="dxa"/>
          </w:tcPr>
          <w:p w:rsidR="00CA3B68" w:rsidRPr="00152F5C" w:rsidRDefault="00CA3B68" w:rsidP="002C6FD0">
            <w:pPr>
              <w:rPr>
                <w:rFonts w:ascii="Times New Roman" w:hAnsi="Times New Roman" w:cs="Times New Roman"/>
                <w:b/>
                <w:sz w:val="25"/>
                <w:szCs w:val="25"/>
              </w:rPr>
            </w:pPr>
            <w:r w:rsidRPr="00152F5C">
              <w:rPr>
                <w:rFonts w:ascii="Times New Roman" w:hAnsi="Times New Roman" w:cs="Times New Roman"/>
                <w:b/>
                <w:sz w:val="25"/>
                <w:szCs w:val="25"/>
              </w:rPr>
              <w:t>Gas Storage (MDth/day Gas)</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100</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100</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100</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150</w:t>
            </w:r>
          </w:p>
        </w:tc>
      </w:tr>
    </w:tbl>
    <w:p w:rsidR="00152F5C" w:rsidRDefault="00152F5C" w:rsidP="00895DF8">
      <w:pPr>
        <w:spacing w:line="264" w:lineRule="auto"/>
        <w:rPr>
          <w:rFonts w:ascii="Times New Roman" w:hAnsi="Times New Roman" w:cs="Times New Roman"/>
          <w:sz w:val="25"/>
          <w:szCs w:val="25"/>
        </w:rPr>
      </w:pPr>
    </w:p>
    <w:p w:rsidR="00152F5C" w:rsidRDefault="00152F5C" w:rsidP="00895DF8">
      <w:pPr>
        <w:spacing w:line="264" w:lineRule="auto"/>
        <w:rPr>
          <w:rFonts w:ascii="Times New Roman" w:hAnsi="Times New Roman" w:cs="Times New Roman"/>
          <w:sz w:val="25"/>
          <w:szCs w:val="25"/>
        </w:rPr>
      </w:pPr>
    </w:p>
    <w:p w:rsidR="00CA3B68" w:rsidRPr="00152F5C" w:rsidRDefault="00152F5C"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The selected resource plan calls for the acquisition of nine peakers in 10 years starting in</w:t>
      </w:r>
    </w:p>
    <w:p w:rsidR="004A61C8" w:rsidRPr="00152F5C" w:rsidRDefault="009264ED"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2023</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This heavy reliance on peakers is grounded in the assumption that sufficient interruptible </w:t>
      </w:r>
      <w:r w:rsidR="00170633" w:rsidRPr="00152F5C">
        <w:rPr>
          <w:rFonts w:ascii="Times New Roman" w:hAnsi="Times New Roman" w:cs="Times New Roman"/>
          <w:sz w:val="25"/>
          <w:szCs w:val="25"/>
        </w:rPr>
        <w:t xml:space="preserve">gas </w:t>
      </w:r>
      <w:r w:rsidRPr="00152F5C">
        <w:rPr>
          <w:rFonts w:ascii="Times New Roman" w:hAnsi="Times New Roman" w:cs="Times New Roman"/>
          <w:sz w:val="25"/>
          <w:szCs w:val="25"/>
        </w:rPr>
        <w:t xml:space="preserve">capacity will be available </w:t>
      </w:r>
      <w:r w:rsidR="00141C09" w:rsidRPr="00152F5C">
        <w:rPr>
          <w:rFonts w:ascii="Times New Roman" w:hAnsi="Times New Roman" w:cs="Times New Roman"/>
          <w:sz w:val="25"/>
          <w:szCs w:val="25"/>
        </w:rPr>
        <w:t xml:space="preserve">to </w:t>
      </w:r>
      <w:r w:rsidR="00170633" w:rsidRPr="00152F5C">
        <w:rPr>
          <w:rFonts w:ascii="Times New Roman" w:hAnsi="Times New Roman" w:cs="Times New Roman"/>
          <w:sz w:val="25"/>
          <w:szCs w:val="25"/>
        </w:rPr>
        <w:t>operate the peakers</w:t>
      </w:r>
      <w:r w:rsidR="00141C09" w:rsidRPr="00152F5C">
        <w:rPr>
          <w:rFonts w:ascii="Times New Roman" w:hAnsi="Times New Roman" w:cs="Times New Roman"/>
          <w:sz w:val="25"/>
          <w:szCs w:val="25"/>
        </w:rPr>
        <w:t xml:space="preserve">. If sufficient capacity is not available, </w:t>
      </w:r>
      <w:r w:rsidR="00015BC4" w:rsidRPr="00152F5C">
        <w:rPr>
          <w:rFonts w:ascii="Times New Roman" w:hAnsi="Times New Roman" w:cs="Times New Roman"/>
          <w:sz w:val="25"/>
          <w:szCs w:val="25"/>
        </w:rPr>
        <w:t>CCCTs</w:t>
      </w:r>
      <w:r w:rsidR="00141C09" w:rsidRPr="00152F5C">
        <w:rPr>
          <w:rFonts w:ascii="Times New Roman" w:hAnsi="Times New Roman" w:cs="Times New Roman"/>
          <w:sz w:val="25"/>
          <w:szCs w:val="25"/>
        </w:rPr>
        <w:t xml:space="preserve"> become more cost-effective. </w:t>
      </w:r>
      <w:r w:rsidR="00FB526A" w:rsidRPr="00152F5C">
        <w:rPr>
          <w:rFonts w:ascii="Times New Roman" w:hAnsi="Times New Roman" w:cs="Times New Roman"/>
          <w:sz w:val="25"/>
          <w:szCs w:val="25"/>
        </w:rPr>
        <w:t>However, w</w:t>
      </w:r>
      <w:r w:rsidR="00141C09" w:rsidRPr="00152F5C">
        <w:rPr>
          <w:rFonts w:ascii="Times New Roman" w:hAnsi="Times New Roman" w:cs="Times New Roman"/>
          <w:sz w:val="25"/>
          <w:szCs w:val="25"/>
        </w:rPr>
        <w:t xml:space="preserve">ithout any analysis to determine what capacity would be considered “sufficient,” PSE’s conclusion that peakers are the least cost natural gas resource is questionable. This conclusion is even more concerning given that PSE acknowledged during the IRP presentation that none of the peakers are needed to balance variable renewable resources. </w:t>
      </w:r>
      <w:r w:rsidR="00D83234" w:rsidRPr="00152F5C">
        <w:rPr>
          <w:rFonts w:ascii="Times New Roman" w:hAnsi="Times New Roman" w:cs="Times New Roman"/>
          <w:sz w:val="25"/>
          <w:szCs w:val="25"/>
        </w:rPr>
        <w:t xml:space="preserve"> We also are concerned, as pointed out by other stakeholders, that the Company’s supply-side analysis overall relies too heavily on one particular type of technology, namely single-cycle</w:t>
      </w:r>
      <w:r w:rsidR="00015BC4" w:rsidRPr="00152F5C">
        <w:rPr>
          <w:rFonts w:ascii="Times New Roman" w:hAnsi="Times New Roman" w:cs="Times New Roman"/>
          <w:sz w:val="25"/>
          <w:szCs w:val="25"/>
        </w:rPr>
        <w:t xml:space="preserve"> gas</w:t>
      </w:r>
      <w:r w:rsidR="00D83234" w:rsidRPr="00152F5C">
        <w:rPr>
          <w:rFonts w:ascii="Times New Roman" w:hAnsi="Times New Roman" w:cs="Times New Roman"/>
          <w:sz w:val="25"/>
          <w:szCs w:val="25"/>
        </w:rPr>
        <w:t xml:space="preserve"> peakers. While these units potentially offer the benefits of quick ramping, lower capital costs, and reliance on interruptible pipeline capacity, we would note that they may be more expensive to operate in a stand</w:t>
      </w:r>
      <w:r w:rsidR="00015BC4" w:rsidRPr="00152F5C">
        <w:rPr>
          <w:rFonts w:ascii="Times New Roman" w:hAnsi="Times New Roman" w:cs="Times New Roman"/>
          <w:sz w:val="25"/>
          <w:szCs w:val="25"/>
        </w:rPr>
        <w:t xml:space="preserve">-by </w:t>
      </w:r>
      <w:r w:rsidR="00D83234" w:rsidRPr="00152F5C">
        <w:rPr>
          <w:rFonts w:ascii="Times New Roman" w:hAnsi="Times New Roman" w:cs="Times New Roman"/>
          <w:sz w:val="25"/>
          <w:szCs w:val="25"/>
        </w:rPr>
        <w:t>mode and may be less efficient in meeting peak demand when running at less than full capacity. We therefore expect the Company to provide more detailed analysis on a broader range of alternatives to</w:t>
      </w:r>
      <w:r w:rsidR="004916ED" w:rsidRPr="00152F5C">
        <w:rPr>
          <w:rFonts w:ascii="Times New Roman" w:hAnsi="Times New Roman" w:cs="Times New Roman"/>
          <w:sz w:val="25"/>
          <w:szCs w:val="25"/>
        </w:rPr>
        <w:t xml:space="preserve"> peakers</w:t>
      </w:r>
      <w:r w:rsidR="00B0184A" w:rsidRPr="00152F5C">
        <w:rPr>
          <w:rFonts w:ascii="Times New Roman" w:hAnsi="Times New Roman" w:cs="Times New Roman"/>
          <w:sz w:val="25"/>
          <w:szCs w:val="25"/>
        </w:rPr>
        <w:t xml:space="preserve"> </w:t>
      </w:r>
      <w:r w:rsidR="00D83234" w:rsidRPr="00152F5C">
        <w:rPr>
          <w:rFonts w:ascii="Times New Roman" w:hAnsi="Times New Roman" w:cs="Times New Roman"/>
          <w:sz w:val="25"/>
          <w:szCs w:val="25"/>
        </w:rPr>
        <w:t>in the next IRP.</w:t>
      </w:r>
    </w:p>
    <w:p w:rsidR="004A61C8" w:rsidRPr="00152F5C" w:rsidRDefault="004A61C8" w:rsidP="00895DF8">
      <w:pPr>
        <w:spacing w:line="264" w:lineRule="auto"/>
        <w:rPr>
          <w:rFonts w:ascii="Times New Roman" w:hAnsi="Times New Roman" w:cs="Times New Roman"/>
          <w:sz w:val="25"/>
          <w:szCs w:val="25"/>
        </w:rPr>
      </w:pPr>
    </w:p>
    <w:p w:rsidR="00AD1FA4" w:rsidRPr="00152F5C" w:rsidRDefault="00141C09"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PSE</w:t>
      </w:r>
      <w:r w:rsidR="00E2222C" w:rsidRPr="00152F5C">
        <w:rPr>
          <w:rFonts w:ascii="Times New Roman" w:hAnsi="Times New Roman" w:cs="Times New Roman"/>
          <w:sz w:val="25"/>
          <w:szCs w:val="25"/>
        </w:rPr>
        <w:t xml:space="preserve"> did not</w:t>
      </w:r>
      <w:r w:rsidRPr="00152F5C">
        <w:rPr>
          <w:rFonts w:ascii="Times New Roman" w:hAnsi="Times New Roman" w:cs="Times New Roman"/>
          <w:sz w:val="25"/>
          <w:szCs w:val="25"/>
        </w:rPr>
        <w:t xml:space="preserve"> provide</w:t>
      </w:r>
      <w:r w:rsidR="00E2222C" w:rsidRPr="00152F5C">
        <w:rPr>
          <w:rFonts w:ascii="Times New Roman" w:hAnsi="Times New Roman" w:cs="Times New Roman"/>
          <w:sz w:val="25"/>
          <w:szCs w:val="25"/>
        </w:rPr>
        <w:t xml:space="preserve"> </w:t>
      </w:r>
      <w:r w:rsidR="00015BC4" w:rsidRPr="00152F5C">
        <w:rPr>
          <w:rFonts w:ascii="Times New Roman" w:hAnsi="Times New Roman" w:cs="Times New Roman"/>
          <w:sz w:val="25"/>
          <w:szCs w:val="25"/>
        </w:rPr>
        <w:t>sufficient</w:t>
      </w:r>
      <w:r w:rsidR="00E2222C" w:rsidRPr="00152F5C">
        <w:rPr>
          <w:rFonts w:ascii="Times New Roman" w:hAnsi="Times New Roman" w:cs="Times New Roman"/>
          <w:sz w:val="25"/>
          <w:szCs w:val="25"/>
        </w:rPr>
        <w:t xml:space="preserve"> </w:t>
      </w:r>
      <w:r w:rsidRPr="00152F5C">
        <w:rPr>
          <w:rFonts w:ascii="Times New Roman" w:hAnsi="Times New Roman" w:cs="Times New Roman"/>
          <w:sz w:val="25"/>
          <w:szCs w:val="25"/>
        </w:rPr>
        <w:t>analysis to show that its</w:t>
      </w:r>
      <w:r w:rsidR="00E2222C" w:rsidRPr="00152F5C">
        <w:rPr>
          <w:rFonts w:ascii="Times New Roman" w:hAnsi="Times New Roman" w:cs="Times New Roman"/>
          <w:sz w:val="25"/>
          <w:szCs w:val="25"/>
        </w:rPr>
        <w:t xml:space="preserve"> peak</w:t>
      </w:r>
      <w:r w:rsidRPr="00152F5C">
        <w:rPr>
          <w:rFonts w:ascii="Times New Roman" w:hAnsi="Times New Roman" w:cs="Times New Roman"/>
          <w:sz w:val="25"/>
          <w:szCs w:val="25"/>
        </w:rPr>
        <w:t xml:space="preserve"> load will become </w:t>
      </w:r>
      <w:r w:rsidR="00313054" w:rsidRPr="00152F5C">
        <w:rPr>
          <w:rFonts w:ascii="Times New Roman" w:hAnsi="Times New Roman" w:cs="Times New Roman"/>
          <w:sz w:val="25"/>
          <w:szCs w:val="25"/>
        </w:rPr>
        <w:t xml:space="preserve">more extreme </w:t>
      </w:r>
      <w:r w:rsidRPr="00152F5C">
        <w:rPr>
          <w:rFonts w:ascii="Times New Roman" w:hAnsi="Times New Roman" w:cs="Times New Roman"/>
          <w:sz w:val="25"/>
          <w:szCs w:val="25"/>
        </w:rPr>
        <w:t>over time</w:t>
      </w:r>
      <w:r w:rsidR="004A61C8" w:rsidRPr="00152F5C">
        <w:rPr>
          <w:rFonts w:ascii="Times New Roman" w:hAnsi="Times New Roman" w:cs="Times New Roman"/>
          <w:sz w:val="25"/>
          <w:szCs w:val="25"/>
        </w:rPr>
        <w:t>.  During its presentation of the IRP, PSE acknowledged that none of the peakers were needed to balance variable renewable resources.  The Commission questions whether peakers are needed</w:t>
      </w:r>
      <w:r w:rsidR="00313054" w:rsidRPr="00152F5C">
        <w:rPr>
          <w:rFonts w:ascii="Times New Roman" w:hAnsi="Times New Roman" w:cs="Times New Roman"/>
          <w:sz w:val="25"/>
          <w:szCs w:val="25"/>
        </w:rPr>
        <w:t xml:space="preserve"> to</w:t>
      </w:r>
      <w:r w:rsidR="004A61C8" w:rsidRPr="00152F5C">
        <w:rPr>
          <w:rFonts w:ascii="Times New Roman" w:hAnsi="Times New Roman" w:cs="Times New Roman"/>
          <w:sz w:val="25"/>
          <w:szCs w:val="25"/>
        </w:rPr>
        <w:t xml:space="preserve"> </w:t>
      </w:r>
      <w:r w:rsidR="00313054" w:rsidRPr="00152F5C">
        <w:rPr>
          <w:rFonts w:ascii="Times New Roman" w:hAnsi="Times New Roman" w:cs="Times New Roman"/>
          <w:sz w:val="25"/>
          <w:szCs w:val="25"/>
        </w:rPr>
        <w:t>meet</w:t>
      </w:r>
      <w:r w:rsidR="00FB526A" w:rsidRPr="00152F5C">
        <w:rPr>
          <w:rFonts w:ascii="Times New Roman" w:hAnsi="Times New Roman" w:cs="Times New Roman"/>
          <w:sz w:val="25"/>
          <w:szCs w:val="25"/>
        </w:rPr>
        <w:t xml:space="preserve"> </w:t>
      </w:r>
      <w:r w:rsidR="004A61C8" w:rsidRPr="00152F5C">
        <w:rPr>
          <w:rFonts w:ascii="Times New Roman" w:hAnsi="Times New Roman" w:cs="Times New Roman"/>
          <w:sz w:val="25"/>
          <w:szCs w:val="25"/>
        </w:rPr>
        <w:t xml:space="preserve">increasing peak load or </w:t>
      </w:r>
      <w:r w:rsidR="00313054" w:rsidRPr="00152F5C">
        <w:rPr>
          <w:rFonts w:ascii="Times New Roman" w:hAnsi="Times New Roman" w:cs="Times New Roman"/>
          <w:sz w:val="25"/>
          <w:szCs w:val="25"/>
        </w:rPr>
        <w:t xml:space="preserve">to </w:t>
      </w:r>
      <w:r w:rsidR="004A61C8" w:rsidRPr="00152F5C">
        <w:rPr>
          <w:rFonts w:ascii="Times New Roman" w:hAnsi="Times New Roman" w:cs="Times New Roman"/>
          <w:sz w:val="25"/>
          <w:szCs w:val="25"/>
        </w:rPr>
        <w:t xml:space="preserve">meet </w:t>
      </w:r>
      <w:r w:rsidR="00FB526A" w:rsidRPr="00152F5C">
        <w:rPr>
          <w:rFonts w:ascii="Times New Roman" w:hAnsi="Times New Roman" w:cs="Times New Roman"/>
          <w:sz w:val="25"/>
          <w:szCs w:val="25"/>
        </w:rPr>
        <w:t>slowly-</w:t>
      </w:r>
      <w:r w:rsidR="004A61C8" w:rsidRPr="00152F5C">
        <w:rPr>
          <w:rFonts w:ascii="Times New Roman" w:hAnsi="Times New Roman" w:cs="Times New Roman"/>
          <w:sz w:val="25"/>
          <w:szCs w:val="25"/>
        </w:rPr>
        <w:t>increasing base</w:t>
      </w:r>
      <w:r w:rsidR="00015BC4" w:rsidRPr="00152F5C">
        <w:rPr>
          <w:rFonts w:ascii="Times New Roman" w:hAnsi="Times New Roman" w:cs="Times New Roman"/>
          <w:sz w:val="25"/>
          <w:szCs w:val="25"/>
        </w:rPr>
        <w:t xml:space="preserve"> </w:t>
      </w:r>
      <w:r w:rsidR="004A61C8" w:rsidRPr="00152F5C">
        <w:rPr>
          <w:rFonts w:ascii="Times New Roman" w:hAnsi="Times New Roman" w:cs="Times New Roman"/>
          <w:sz w:val="25"/>
          <w:szCs w:val="25"/>
        </w:rPr>
        <w:t>load.  If the latter, a</w:t>
      </w:r>
      <w:r w:rsidR="00E2222C" w:rsidRPr="00152F5C">
        <w:rPr>
          <w:rFonts w:ascii="Times New Roman" w:hAnsi="Times New Roman" w:cs="Times New Roman"/>
          <w:sz w:val="25"/>
          <w:szCs w:val="25"/>
        </w:rPr>
        <w:t xml:space="preserve"> steady build</w:t>
      </w:r>
      <w:r w:rsidR="00170633" w:rsidRPr="00152F5C">
        <w:rPr>
          <w:rFonts w:ascii="Times New Roman" w:hAnsi="Times New Roman" w:cs="Times New Roman"/>
          <w:sz w:val="25"/>
          <w:szCs w:val="25"/>
        </w:rPr>
        <w:t>-</w:t>
      </w:r>
      <w:r w:rsidR="00E2222C" w:rsidRPr="00152F5C">
        <w:rPr>
          <w:rFonts w:ascii="Times New Roman" w:hAnsi="Times New Roman" w:cs="Times New Roman"/>
          <w:sz w:val="25"/>
          <w:szCs w:val="25"/>
        </w:rPr>
        <w:t xml:space="preserve">out of peakers </w:t>
      </w:r>
      <w:r w:rsidR="004A61C8" w:rsidRPr="00152F5C">
        <w:rPr>
          <w:rFonts w:ascii="Times New Roman" w:hAnsi="Times New Roman" w:cs="Times New Roman"/>
          <w:sz w:val="25"/>
          <w:szCs w:val="25"/>
        </w:rPr>
        <w:t xml:space="preserve">may not be the </w:t>
      </w:r>
      <w:r w:rsidR="00FB526A" w:rsidRPr="00152F5C">
        <w:rPr>
          <w:rFonts w:ascii="Times New Roman" w:hAnsi="Times New Roman" w:cs="Times New Roman"/>
          <w:sz w:val="25"/>
          <w:szCs w:val="25"/>
        </w:rPr>
        <w:t>least-</w:t>
      </w:r>
      <w:r w:rsidR="004A61C8" w:rsidRPr="00152F5C">
        <w:rPr>
          <w:rFonts w:ascii="Times New Roman" w:hAnsi="Times New Roman" w:cs="Times New Roman"/>
          <w:sz w:val="25"/>
          <w:szCs w:val="25"/>
        </w:rPr>
        <w:t>cost option to meet PSE’s system needs</w:t>
      </w:r>
      <w:r w:rsidR="00E2222C" w:rsidRPr="00152F5C">
        <w:rPr>
          <w:rFonts w:ascii="Times New Roman" w:hAnsi="Times New Roman" w:cs="Times New Roman"/>
          <w:sz w:val="25"/>
          <w:szCs w:val="25"/>
        </w:rPr>
        <w:t xml:space="preserve">. </w:t>
      </w:r>
      <w:r w:rsidR="00A73E02" w:rsidRPr="00152F5C">
        <w:rPr>
          <w:rFonts w:ascii="Times New Roman" w:hAnsi="Times New Roman" w:cs="Times New Roman"/>
          <w:sz w:val="25"/>
          <w:szCs w:val="25"/>
        </w:rPr>
        <w:t xml:space="preserve">The Commission identified </w:t>
      </w:r>
      <w:r w:rsidR="004A61C8" w:rsidRPr="00152F5C">
        <w:rPr>
          <w:rFonts w:ascii="Times New Roman" w:hAnsi="Times New Roman" w:cs="Times New Roman"/>
          <w:sz w:val="25"/>
          <w:szCs w:val="25"/>
        </w:rPr>
        <w:t xml:space="preserve">its </w:t>
      </w:r>
      <w:r w:rsidR="00A73E02" w:rsidRPr="00152F5C">
        <w:rPr>
          <w:rFonts w:ascii="Times New Roman" w:hAnsi="Times New Roman" w:cs="Times New Roman"/>
          <w:sz w:val="25"/>
          <w:szCs w:val="25"/>
        </w:rPr>
        <w:t>concern</w:t>
      </w:r>
      <w:r w:rsidR="004A61C8" w:rsidRPr="00152F5C">
        <w:rPr>
          <w:rFonts w:ascii="Times New Roman" w:hAnsi="Times New Roman" w:cs="Times New Roman"/>
          <w:sz w:val="25"/>
          <w:szCs w:val="25"/>
        </w:rPr>
        <w:t xml:space="preserve"> regarding peaker assumptions</w:t>
      </w:r>
      <w:r w:rsidR="00A73E02" w:rsidRPr="00152F5C">
        <w:rPr>
          <w:rFonts w:ascii="Times New Roman" w:hAnsi="Times New Roman" w:cs="Times New Roman"/>
          <w:sz w:val="25"/>
          <w:szCs w:val="25"/>
        </w:rPr>
        <w:t xml:space="preserve"> in its acknowledgment letter for PSE’s 2011 IRP,</w:t>
      </w:r>
      <w:r w:rsidR="00F87D14" w:rsidRPr="00152F5C">
        <w:rPr>
          <w:rStyle w:val="FootnoteReference"/>
          <w:rFonts w:ascii="Times New Roman" w:hAnsi="Times New Roman" w:cs="Times New Roman"/>
          <w:sz w:val="25"/>
          <w:szCs w:val="25"/>
        </w:rPr>
        <w:footnoteReference w:id="9"/>
      </w:r>
      <w:r w:rsidR="00A73E02" w:rsidRPr="00152F5C">
        <w:rPr>
          <w:rFonts w:ascii="Times New Roman" w:hAnsi="Times New Roman" w:cs="Times New Roman"/>
          <w:sz w:val="25"/>
          <w:szCs w:val="25"/>
        </w:rPr>
        <w:t xml:space="preserve"> and PSE has not sufficiently improved its modeling approach.  The</w:t>
      </w:r>
      <w:r w:rsidR="00E2222C" w:rsidRPr="00152F5C">
        <w:rPr>
          <w:rFonts w:ascii="Times New Roman" w:hAnsi="Times New Roman" w:cs="Times New Roman"/>
          <w:sz w:val="25"/>
          <w:szCs w:val="25"/>
        </w:rPr>
        <w:t xml:space="preserve"> Commission also is concerned about the assumption that “a certain amount of gas storage is available to the CCCTs plants modeled.”</w:t>
      </w:r>
      <w:r w:rsidR="00F87D14" w:rsidRPr="00152F5C">
        <w:rPr>
          <w:rStyle w:val="FootnoteReference"/>
          <w:rFonts w:ascii="Times New Roman" w:hAnsi="Times New Roman" w:cs="Times New Roman"/>
          <w:sz w:val="25"/>
          <w:szCs w:val="25"/>
        </w:rPr>
        <w:footnoteReference w:id="10"/>
      </w:r>
      <w:r w:rsidR="00E2222C" w:rsidRPr="00152F5C">
        <w:rPr>
          <w:rFonts w:ascii="Times New Roman" w:hAnsi="Times New Roman" w:cs="Times New Roman"/>
          <w:sz w:val="25"/>
          <w:szCs w:val="25"/>
        </w:rPr>
        <w:t xml:space="preserve"> Th</w:t>
      </w:r>
      <w:r w:rsidR="00015BC4" w:rsidRPr="00152F5C">
        <w:rPr>
          <w:rFonts w:ascii="Times New Roman" w:hAnsi="Times New Roman" w:cs="Times New Roman"/>
          <w:sz w:val="25"/>
          <w:szCs w:val="25"/>
        </w:rPr>
        <w:t>e company should attempt to quantify to some extent this</w:t>
      </w:r>
      <w:r w:rsidR="00E2222C" w:rsidRPr="00152F5C">
        <w:rPr>
          <w:rFonts w:ascii="Times New Roman" w:hAnsi="Times New Roman" w:cs="Times New Roman"/>
          <w:sz w:val="25"/>
          <w:szCs w:val="25"/>
        </w:rPr>
        <w:t xml:space="preserve"> </w:t>
      </w:r>
      <w:r w:rsidR="00FB526A" w:rsidRPr="00152F5C">
        <w:rPr>
          <w:rFonts w:ascii="Times New Roman" w:hAnsi="Times New Roman" w:cs="Times New Roman"/>
          <w:sz w:val="25"/>
          <w:szCs w:val="25"/>
        </w:rPr>
        <w:t>“</w:t>
      </w:r>
      <w:r w:rsidR="00A73E02" w:rsidRPr="00152F5C">
        <w:rPr>
          <w:rFonts w:ascii="Times New Roman" w:hAnsi="Times New Roman" w:cs="Times New Roman"/>
          <w:sz w:val="25"/>
          <w:szCs w:val="25"/>
        </w:rPr>
        <w:t xml:space="preserve">certain </w:t>
      </w:r>
      <w:r w:rsidR="00E2222C" w:rsidRPr="00152F5C">
        <w:rPr>
          <w:rFonts w:ascii="Times New Roman" w:hAnsi="Times New Roman" w:cs="Times New Roman"/>
          <w:sz w:val="25"/>
          <w:szCs w:val="25"/>
        </w:rPr>
        <w:t>amount</w:t>
      </w:r>
      <w:r w:rsidR="00FB526A" w:rsidRPr="00152F5C">
        <w:rPr>
          <w:rFonts w:ascii="Times New Roman" w:hAnsi="Times New Roman" w:cs="Times New Roman"/>
          <w:sz w:val="25"/>
          <w:szCs w:val="25"/>
        </w:rPr>
        <w:t>”</w:t>
      </w:r>
      <w:r w:rsidR="00E2222C" w:rsidRPr="00152F5C">
        <w:rPr>
          <w:rFonts w:ascii="Times New Roman" w:hAnsi="Times New Roman" w:cs="Times New Roman"/>
          <w:sz w:val="25"/>
          <w:szCs w:val="25"/>
        </w:rPr>
        <w:t xml:space="preserve"> of gas storage</w:t>
      </w:r>
      <w:r w:rsidR="003F20B4" w:rsidRPr="00152F5C">
        <w:rPr>
          <w:rFonts w:ascii="Times New Roman" w:hAnsi="Times New Roman" w:cs="Times New Roman"/>
          <w:sz w:val="25"/>
          <w:szCs w:val="25"/>
        </w:rPr>
        <w:t xml:space="preserve">. </w:t>
      </w:r>
    </w:p>
    <w:p w:rsidR="00AD1FA4" w:rsidRPr="00152F5C" w:rsidRDefault="00AD1FA4" w:rsidP="00895DF8">
      <w:pPr>
        <w:spacing w:line="264" w:lineRule="auto"/>
        <w:rPr>
          <w:rFonts w:ascii="Times New Roman" w:hAnsi="Times New Roman" w:cs="Times New Roman"/>
          <w:sz w:val="25"/>
          <w:szCs w:val="25"/>
        </w:rPr>
      </w:pPr>
    </w:p>
    <w:p w:rsidR="00497DD2" w:rsidRPr="00152F5C" w:rsidRDefault="00B0184A" w:rsidP="00895DF8">
      <w:pPr>
        <w:pStyle w:val="ListParagraph"/>
        <w:numPr>
          <w:ilvl w:val="0"/>
          <w:numId w:val="1"/>
        </w:numPr>
        <w:spacing w:line="264" w:lineRule="auto"/>
        <w:rPr>
          <w:rFonts w:ascii="Times New Roman" w:hAnsi="Times New Roman" w:cs="Times New Roman"/>
          <w:sz w:val="25"/>
          <w:szCs w:val="25"/>
        </w:rPr>
      </w:pPr>
      <w:r w:rsidRPr="00152F5C">
        <w:rPr>
          <w:rFonts w:ascii="Times New Roman" w:hAnsi="Times New Roman" w:cs="Times New Roman"/>
          <w:sz w:val="25"/>
          <w:szCs w:val="25"/>
        </w:rPr>
        <w:t>I</w:t>
      </w:r>
      <w:r w:rsidR="00AD1FA4" w:rsidRPr="00152F5C">
        <w:rPr>
          <w:rFonts w:ascii="Times New Roman" w:hAnsi="Times New Roman" w:cs="Times New Roman"/>
          <w:sz w:val="25"/>
          <w:szCs w:val="25"/>
        </w:rPr>
        <w:t xml:space="preserve">n every IRP, </w:t>
      </w:r>
      <w:r w:rsidR="00E2222C" w:rsidRPr="00152F5C">
        <w:rPr>
          <w:rFonts w:ascii="Times New Roman" w:hAnsi="Times New Roman" w:cs="Times New Roman"/>
          <w:sz w:val="25"/>
          <w:szCs w:val="25"/>
        </w:rPr>
        <w:t xml:space="preserve">PSE should </w:t>
      </w:r>
      <w:r w:rsidR="00AD1FA4" w:rsidRPr="00152F5C">
        <w:rPr>
          <w:rFonts w:ascii="Times New Roman" w:hAnsi="Times New Roman" w:cs="Times New Roman"/>
          <w:sz w:val="25"/>
          <w:szCs w:val="25"/>
        </w:rPr>
        <w:t xml:space="preserve">attempt to quantify </w:t>
      </w:r>
      <w:r w:rsidR="00A73E02" w:rsidRPr="00152F5C">
        <w:rPr>
          <w:rFonts w:ascii="Times New Roman" w:hAnsi="Times New Roman" w:cs="Times New Roman"/>
          <w:sz w:val="25"/>
          <w:szCs w:val="25"/>
        </w:rPr>
        <w:t xml:space="preserve">and validate </w:t>
      </w:r>
      <w:r w:rsidR="00AD1FA4" w:rsidRPr="00152F5C">
        <w:rPr>
          <w:rFonts w:ascii="Times New Roman" w:hAnsi="Times New Roman" w:cs="Times New Roman"/>
          <w:sz w:val="25"/>
          <w:szCs w:val="25"/>
        </w:rPr>
        <w:t xml:space="preserve">assumptions regarding </w:t>
      </w:r>
      <w:r w:rsidR="002C5728" w:rsidRPr="00152F5C">
        <w:rPr>
          <w:rFonts w:ascii="Times New Roman" w:hAnsi="Times New Roman" w:cs="Times New Roman"/>
          <w:sz w:val="25"/>
          <w:szCs w:val="25"/>
        </w:rPr>
        <w:t xml:space="preserve">each </w:t>
      </w:r>
      <w:r w:rsidR="00AD1FA4" w:rsidRPr="00152F5C">
        <w:rPr>
          <w:rFonts w:ascii="Times New Roman" w:hAnsi="Times New Roman" w:cs="Times New Roman"/>
          <w:sz w:val="25"/>
          <w:szCs w:val="25"/>
        </w:rPr>
        <w:t>resource</w:t>
      </w:r>
      <w:r w:rsidR="002C5728" w:rsidRPr="00152F5C">
        <w:rPr>
          <w:rFonts w:ascii="Times New Roman" w:hAnsi="Times New Roman" w:cs="Times New Roman"/>
          <w:sz w:val="25"/>
          <w:szCs w:val="25"/>
        </w:rPr>
        <w:t>’s</w:t>
      </w:r>
      <w:r w:rsidR="00AD1FA4" w:rsidRPr="00152F5C">
        <w:rPr>
          <w:rFonts w:ascii="Times New Roman" w:hAnsi="Times New Roman" w:cs="Times New Roman"/>
          <w:sz w:val="25"/>
          <w:szCs w:val="25"/>
        </w:rPr>
        <w:t xml:space="preserve"> operational and performance characteristics</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For example, PSE should quantify the amount of interruptible gas capacity used by peakers in the model, and provide the details for assuming that this capacity will be available when needed.  </w:t>
      </w:r>
    </w:p>
    <w:p w:rsidR="004A1ABD" w:rsidRPr="00152F5C" w:rsidRDefault="004A1ABD" w:rsidP="00895DF8">
      <w:pPr>
        <w:pStyle w:val="ListParagraph"/>
        <w:numPr>
          <w:ilvl w:val="0"/>
          <w:numId w:val="1"/>
        </w:numPr>
        <w:spacing w:line="264" w:lineRule="auto"/>
        <w:rPr>
          <w:rFonts w:ascii="Times New Roman" w:hAnsi="Times New Roman" w:cs="Times New Roman"/>
          <w:sz w:val="25"/>
          <w:szCs w:val="25"/>
        </w:rPr>
      </w:pPr>
      <w:r w:rsidRPr="00152F5C">
        <w:rPr>
          <w:rFonts w:ascii="Times New Roman" w:hAnsi="Times New Roman" w:cs="Times New Roman"/>
          <w:sz w:val="25"/>
          <w:szCs w:val="25"/>
        </w:rPr>
        <w:t>Explain how changes in the load ratio (peak to base) affect the relative economics of different types of generation resources</w:t>
      </w:r>
      <w:r w:rsidR="002E78E0" w:rsidRPr="00152F5C">
        <w:rPr>
          <w:rFonts w:ascii="Times New Roman" w:hAnsi="Times New Roman" w:cs="Times New Roman"/>
          <w:sz w:val="25"/>
          <w:szCs w:val="25"/>
        </w:rPr>
        <w:t>.</w:t>
      </w:r>
    </w:p>
    <w:p w:rsidR="00BA7A08" w:rsidRPr="00152F5C" w:rsidRDefault="0008702B" w:rsidP="00895DF8">
      <w:pPr>
        <w:pStyle w:val="ListParagraph"/>
        <w:numPr>
          <w:ilvl w:val="0"/>
          <w:numId w:val="1"/>
        </w:numPr>
        <w:spacing w:line="264" w:lineRule="auto"/>
        <w:rPr>
          <w:rFonts w:ascii="Times New Roman" w:hAnsi="Times New Roman" w:cs="Times New Roman"/>
          <w:sz w:val="25"/>
          <w:szCs w:val="25"/>
        </w:rPr>
      </w:pPr>
      <w:r w:rsidRPr="00152F5C">
        <w:rPr>
          <w:rFonts w:ascii="Times New Roman" w:hAnsi="Times New Roman" w:cs="Times New Roman"/>
          <w:sz w:val="25"/>
          <w:szCs w:val="25"/>
        </w:rPr>
        <w:lastRenderedPageBreak/>
        <w:t>Provide more detailed justification for any assumptions or inputs into the load forecasting model</w:t>
      </w:r>
      <w:r w:rsidR="00DD4BF1" w:rsidRPr="00152F5C">
        <w:rPr>
          <w:rFonts w:ascii="Times New Roman" w:hAnsi="Times New Roman" w:cs="Times New Roman"/>
          <w:sz w:val="25"/>
          <w:szCs w:val="25"/>
        </w:rPr>
        <w:t>.</w:t>
      </w:r>
      <w:r w:rsidRPr="00152F5C">
        <w:rPr>
          <w:rFonts w:ascii="Times New Roman" w:hAnsi="Times New Roman" w:cs="Times New Roman"/>
          <w:sz w:val="25"/>
          <w:szCs w:val="25"/>
        </w:rPr>
        <w:t xml:space="preserve"> </w:t>
      </w:r>
    </w:p>
    <w:p w:rsidR="009264ED" w:rsidRPr="00152F5C" w:rsidRDefault="009264ED" w:rsidP="00895DF8">
      <w:pPr>
        <w:spacing w:line="264" w:lineRule="auto"/>
        <w:rPr>
          <w:rFonts w:ascii="Times New Roman" w:hAnsi="Times New Roman" w:cs="Times New Roman"/>
          <w:sz w:val="25"/>
          <w:szCs w:val="25"/>
        </w:rPr>
      </w:pPr>
    </w:p>
    <w:p w:rsidR="00497DD2" w:rsidRPr="00152F5C" w:rsidRDefault="00497DD2"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In its 2011 IRP Acknowledgment letter, the Commission requested that the Company include “a discussion of the technologies of electric storage, their cost-effectiveness, commercial availability, and proper classification compared to other forms of generation.”</w:t>
      </w:r>
      <w:r w:rsidR="00582816" w:rsidRPr="00152F5C">
        <w:rPr>
          <w:rStyle w:val="FootnoteReference"/>
          <w:rFonts w:ascii="Times New Roman" w:hAnsi="Times New Roman" w:cs="Times New Roman"/>
          <w:sz w:val="25"/>
          <w:szCs w:val="25"/>
        </w:rPr>
        <w:footnoteReference w:id="11"/>
      </w:r>
      <w:r w:rsidRPr="00152F5C">
        <w:rPr>
          <w:rFonts w:ascii="Times New Roman" w:hAnsi="Times New Roman" w:cs="Times New Roman"/>
          <w:sz w:val="25"/>
          <w:szCs w:val="25"/>
        </w:rPr>
        <w:t xml:space="preserve">  Although PSE added discussion of energy storage technologies to the 2013 IRP, we find the level of evaluation to be insufficient. The primary source of cost and performance data was from a study conducted in 2010. Energy storage is rapidly developing, and the Commission questions whether the use of 2010 data for the 2013 IRP gave energy storage a fair opportunity to compete with other resource options. PSE received multiple storage bids in a recent </w:t>
      </w:r>
      <w:r w:rsidR="00015BC4" w:rsidRPr="00152F5C">
        <w:rPr>
          <w:rFonts w:ascii="Times New Roman" w:hAnsi="Times New Roman" w:cs="Times New Roman"/>
          <w:sz w:val="25"/>
          <w:szCs w:val="25"/>
        </w:rPr>
        <w:t>RFP</w:t>
      </w:r>
      <w:r w:rsidRPr="00152F5C">
        <w:rPr>
          <w:rFonts w:ascii="Times New Roman" w:hAnsi="Times New Roman" w:cs="Times New Roman"/>
          <w:sz w:val="25"/>
          <w:szCs w:val="25"/>
        </w:rPr>
        <w:t xml:space="preserve"> solicitation process, which PSE could have used to update cost and operational assumptions for those storage technologies</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Further, PSE</w:t>
      </w:r>
      <w:r w:rsidR="00015BC4" w:rsidRPr="00152F5C">
        <w:rPr>
          <w:rFonts w:ascii="Times New Roman" w:hAnsi="Times New Roman" w:cs="Times New Roman"/>
          <w:sz w:val="25"/>
          <w:szCs w:val="25"/>
        </w:rPr>
        <w:t xml:space="preserve"> does not explain its</w:t>
      </w:r>
      <w:r w:rsidRPr="00152F5C">
        <w:rPr>
          <w:rFonts w:ascii="Times New Roman" w:hAnsi="Times New Roman" w:cs="Times New Roman"/>
          <w:sz w:val="25"/>
          <w:szCs w:val="25"/>
        </w:rPr>
        <w:t xml:space="preserve"> </w:t>
      </w:r>
      <w:r w:rsidR="001C28B9" w:rsidRPr="00152F5C">
        <w:rPr>
          <w:rFonts w:ascii="Times New Roman" w:hAnsi="Times New Roman" w:cs="Times New Roman"/>
          <w:sz w:val="25"/>
          <w:szCs w:val="25"/>
        </w:rPr>
        <w:t>method for quantifying</w:t>
      </w:r>
      <w:r w:rsidRPr="00152F5C">
        <w:rPr>
          <w:rFonts w:ascii="Times New Roman" w:hAnsi="Times New Roman" w:cs="Times New Roman"/>
          <w:sz w:val="25"/>
          <w:szCs w:val="25"/>
        </w:rPr>
        <w:t xml:space="preserve"> energy storage costs and benefits. </w:t>
      </w:r>
    </w:p>
    <w:p w:rsidR="00497DD2" w:rsidRPr="00152F5C" w:rsidRDefault="00497DD2" w:rsidP="00895DF8">
      <w:pPr>
        <w:spacing w:line="264" w:lineRule="auto"/>
        <w:rPr>
          <w:rFonts w:ascii="Times New Roman" w:hAnsi="Times New Roman" w:cs="Times New Roman"/>
          <w:sz w:val="25"/>
          <w:szCs w:val="25"/>
        </w:rPr>
      </w:pPr>
    </w:p>
    <w:p w:rsidR="00F745CD" w:rsidRPr="00152F5C" w:rsidRDefault="00015BC4" w:rsidP="00A72231">
      <w:pPr>
        <w:pStyle w:val="ListParagraph"/>
        <w:numPr>
          <w:ilvl w:val="0"/>
          <w:numId w:val="5"/>
        </w:numPr>
        <w:spacing w:line="264" w:lineRule="auto"/>
        <w:rPr>
          <w:rFonts w:ascii="Times New Roman" w:hAnsi="Times New Roman" w:cs="Times New Roman"/>
          <w:sz w:val="25"/>
          <w:szCs w:val="25"/>
        </w:rPr>
      </w:pPr>
      <w:r w:rsidRPr="00152F5C">
        <w:rPr>
          <w:rFonts w:ascii="Times New Roman" w:hAnsi="Times New Roman" w:cs="Times New Roman"/>
          <w:sz w:val="25"/>
          <w:szCs w:val="25"/>
        </w:rPr>
        <w:t>In</w:t>
      </w:r>
      <w:r w:rsidR="004E329B" w:rsidRPr="00152F5C">
        <w:rPr>
          <w:rFonts w:ascii="Times New Roman" w:hAnsi="Times New Roman" w:cs="Times New Roman"/>
          <w:sz w:val="25"/>
          <w:szCs w:val="25"/>
        </w:rPr>
        <w:t xml:space="preserve"> </w:t>
      </w:r>
      <w:r w:rsidR="00C25E2E" w:rsidRPr="00152F5C">
        <w:rPr>
          <w:rFonts w:ascii="Times New Roman" w:hAnsi="Times New Roman" w:cs="Times New Roman"/>
          <w:sz w:val="25"/>
          <w:szCs w:val="25"/>
        </w:rPr>
        <w:t>its</w:t>
      </w:r>
      <w:r w:rsidR="004E329B" w:rsidRPr="00152F5C">
        <w:rPr>
          <w:rFonts w:ascii="Times New Roman" w:hAnsi="Times New Roman" w:cs="Times New Roman"/>
          <w:sz w:val="25"/>
          <w:szCs w:val="25"/>
        </w:rPr>
        <w:t xml:space="preserve"> next IRP, </w:t>
      </w:r>
      <w:r w:rsidR="00497DD2" w:rsidRPr="00152F5C">
        <w:rPr>
          <w:rFonts w:ascii="Times New Roman" w:hAnsi="Times New Roman" w:cs="Times New Roman"/>
          <w:sz w:val="25"/>
          <w:szCs w:val="25"/>
        </w:rPr>
        <w:t xml:space="preserve">PSE </w:t>
      </w:r>
      <w:r w:rsidR="001767E1" w:rsidRPr="00152F5C">
        <w:rPr>
          <w:rFonts w:ascii="Times New Roman" w:hAnsi="Times New Roman" w:cs="Times New Roman"/>
          <w:sz w:val="25"/>
          <w:szCs w:val="25"/>
        </w:rPr>
        <w:t xml:space="preserve">should </w:t>
      </w:r>
      <w:r w:rsidR="00497DD2" w:rsidRPr="00152F5C">
        <w:rPr>
          <w:rFonts w:ascii="Times New Roman" w:hAnsi="Times New Roman" w:cs="Times New Roman"/>
          <w:sz w:val="25"/>
          <w:szCs w:val="25"/>
        </w:rPr>
        <w:t>update its energy storage analysis with recent market data, clarify its assumptions regarding expected operational conditions for storage systems, and include ancillary services in the energy storage anal</w:t>
      </w:r>
      <w:r w:rsidR="001767E1" w:rsidRPr="00152F5C">
        <w:rPr>
          <w:rFonts w:ascii="Times New Roman" w:hAnsi="Times New Roman" w:cs="Times New Roman"/>
          <w:sz w:val="25"/>
          <w:szCs w:val="25"/>
        </w:rPr>
        <w:t>ysis</w:t>
      </w:r>
      <w:r w:rsidR="003F20B4" w:rsidRPr="00152F5C">
        <w:rPr>
          <w:rFonts w:ascii="Times New Roman" w:hAnsi="Times New Roman" w:cs="Times New Roman"/>
          <w:sz w:val="25"/>
          <w:szCs w:val="25"/>
        </w:rPr>
        <w:t xml:space="preserve">. </w:t>
      </w:r>
      <w:r w:rsidR="00B62367" w:rsidRPr="00152F5C">
        <w:rPr>
          <w:rFonts w:ascii="Times New Roman" w:hAnsi="Times New Roman" w:cs="Times New Roman"/>
          <w:sz w:val="25"/>
          <w:szCs w:val="25"/>
        </w:rPr>
        <w:t xml:space="preserve">The Commission encourages PSE to rely on a wide variety of national and state data, especially </w:t>
      </w:r>
      <w:r w:rsidR="00C25E2E" w:rsidRPr="00152F5C">
        <w:rPr>
          <w:rFonts w:ascii="Times New Roman" w:hAnsi="Times New Roman" w:cs="Times New Roman"/>
          <w:sz w:val="25"/>
          <w:szCs w:val="25"/>
        </w:rPr>
        <w:t xml:space="preserve">those available </w:t>
      </w:r>
      <w:r w:rsidR="00B62367" w:rsidRPr="00152F5C">
        <w:rPr>
          <w:rFonts w:ascii="Times New Roman" w:hAnsi="Times New Roman" w:cs="Times New Roman"/>
          <w:sz w:val="25"/>
          <w:szCs w:val="25"/>
        </w:rPr>
        <w:t>on the California storage market as providers respond to the recent decision by the California PUC in an Order implementing AB 2514.  The first solicitation of bids is scheduled for December 2014, and new market data should be generated through this RFP.</w:t>
      </w:r>
      <w:r w:rsidR="002C5728" w:rsidRPr="00152F5C">
        <w:rPr>
          <w:rFonts w:ascii="Times New Roman" w:hAnsi="Times New Roman" w:cs="Times New Roman"/>
          <w:sz w:val="25"/>
          <w:szCs w:val="25"/>
        </w:rPr>
        <w:t xml:space="preserve">  </w:t>
      </w:r>
    </w:p>
    <w:p w:rsidR="00497DD2" w:rsidRPr="00152F5C" w:rsidRDefault="00497DD2" w:rsidP="00895DF8">
      <w:pPr>
        <w:pStyle w:val="ListParagraph"/>
        <w:numPr>
          <w:ilvl w:val="0"/>
          <w:numId w:val="5"/>
        </w:numPr>
        <w:spacing w:line="264" w:lineRule="auto"/>
        <w:rPr>
          <w:rFonts w:ascii="Times New Roman" w:hAnsi="Times New Roman" w:cs="Times New Roman"/>
          <w:sz w:val="25"/>
          <w:szCs w:val="25"/>
        </w:rPr>
      </w:pPr>
      <w:r w:rsidRPr="00152F5C">
        <w:rPr>
          <w:rFonts w:ascii="Times New Roman" w:hAnsi="Times New Roman" w:cs="Times New Roman"/>
          <w:sz w:val="25"/>
          <w:szCs w:val="25"/>
        </w:rPr>
        <w:t>PSE should specify the operating and performance characteristics it prioritizes for energy storage technologies prior to issuing its next RFP</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 </w:t>
      </w:r>
    </w:p>
    <w:p w:rsidR="00875C0D" w:rsidRPr="00152F5C" w:rsidRDefault="00875C0D" w:rsidP="00895DF8">
      <w:pPr>
        <w:spacing w:line="264" w:lineRule="auto"/>
        <w:rPr>
          <w:rFonts w:ascii="Times New Roman" w:hAnsi="Times New Roman" w:cs="Times New Roman"/>
          <w:sz w:val="25"/>
          <w:szCs w:val="25"/>
        </w:rPr>
      </w:pPr>
    </w:p>
    <w:p w:rsidR="00F3297B" w:rsidRPr="00152F5C" w:rsidRDefault="00D04991"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Commission considers the conservation potential assessment </w:t>
      </w:r>
      <w:r w:rsidR="004A61C8" w:rsidRPr="00152F5C">
        <w:rPr>
          <w:rFonts w:ascii="Times New Roman" w:hAnsi="Times New Roman" w:cs="Times New Roman"/>
          <w:sz w:val="25"/>
          <w:szCs w:val="25"/>
        </w:rPr>
        <w:t>in Appendix N</w:t>
      </w:r>
      <w:r w:rsidRPr="00152F5C">
        <w:rPr>
          <w:rFonts w:ascii="Times New Roman" w:hAnsi="Times New Roman" w:cs="Times New Roman"/>
          <w:sz w:val="25"/>
          <w:szCs w:val="25"/>
        </w:rPr>
        <w:t xml:space="preserve"> to be adequate</w:t>
      </w:r>
      <w:r w:rsidR="002C5728" w:rsidRPr="00152F5C">
        <w:rPr>
          <w:rFonts w:ascii="Times New Roman" w:hAnsi="Times New Roman" w:cs="Times New Roman"/>
          <w:sz w:val="25"/>
          <w:szCs w:val="25"/>
        </w:rPr>
        <w:t xml:space="preserve"> for the purposes of the IRP</w:t>
      </w:r>
      <w:r w:rsidRPr="00152F5C">
        <w:rPr>
          <w:rFonts w:ascii="Times New Roman" w:hAnsi="Times New Roman" w:cs="Times New Roman"/>
          <w:sz w:val="25"/>
          <w:szCs w:val="25"/>
        </w:rPr>
        <w:t xml:space="preserve">, and the Commission </w:t>
      </w:r>
      <w:r w:rsidR="004A61C8" w:rsidRPr="00152F5C">
        <w:rPr>
          <w:rFonts w:ascii="Times New Roman" w:hAnsi="Times New Roman" w:cs="Times New Roman"/>
          <w:sz w:val="25"/>
          <w:szCs w:val="25"/>
        </w:rPr>
        <w:t>address</w:t>
      </w:r>
      <w:r w:rsidR="002E78E0" w:rsidRPr="00152F5C">
        <w:rPr>
          <w:rFonts w:ascii="Times New Roman" w:hAnsi="Times New Roman" w:cs="Times New Roman"/>
          <w:sz w:val="25"/>
          <w:szCs w:val="25"/>
        </w:rPr>
        <w:t>ed</w:t>
      </w:r>
      <w:r w:rsidR="004A61C8" w:rsidRPr="00152F5C">
        <w:rPr>
          <w:rFonts w:ascii="Times New Roman" w:hAnsi="Times New Roman" w:cs="Times New Roman"/>
          <w:sz w:val="25"/>
          <w:szCs w:val="25"/>
        </w:rPr>
        <w:t xml:space="preserve"> the results of the assessment</w:t>
      </w:r>
      <w:r w:rsidRPr="00152F5C">
        <w:rPr>
          <w:rFonts w:ascii="Times New Roman" w:hAnsi="Times New Roman" w:cs="Times New Roman"/>
          <w:sz w:val="25"/>
          <w:szCs w:val="25"/>
        </w:rPr>
        <w:t xml:space="preserve"> through the biennial conservation target setting process. However, we </w:t>
      </w:r>
      <w:r w:rsidR="0016437F" w:rsidRPr="00152F5C">
        <w:rPr>
          <w:rFonts w:ascii="Times New Roman" w:hAnsi="Times New Roman" w:cs="Times New Roman"/>
          <w:sz w:val="25"/>
          <w:szCs w:val="25"/>
        </w:rPr>
        <w:t xml:space="preserve">note that </w:t>
      </w:r>
      <w:r w:rsidRPr="00152F5C">
        <w:rPr>
          <w:rFonts w:ascii="Times New Roman" w:hAnsi="Times New Roman" w:cs="Times New Roman"/>
          <w:sz w:val="25"/>
          <w:szCs w:val="25"/>
        </w:rPr>
        <w:t xml:space="preserve">PSE can improve </w:t>
      </w:r>
      <w:r w:rsidR="002A075E" w:rsidRPr="00152F5C">
        <w:rPr>
          <w:rFonts w:ascii="Times New Roman" w:hAnsi="Times New Roman" w:cs="Times New Roman"/>
          <w:sz w:val="25"/>
          <w:szCs w:val="25"/>
        </w:rPr>
        <w:t xml:space="preserve">the </w:t>
      </w:r>
      <w:r w:rsidR="002C5728" w:rsidRPr="00152F5C">
        <w:rPr>
          <w:rFonts w:ascii="Times New Roman" w:hAnsi="Times New Roman" w:cs="Times New Roman"/>
          <w:sz w:val="25"/>
          <w:szCs w:val="25"/>
        </w:rPr>
        <w:t xml:space="preserve">usefulness </w:t>
      </w:r>
      <w:r w:rsidRPr="00152F5C">
        <w:rPr>
          <w:rFonts w:ascii="Times New Roman" w:hAnsi="Times New Roman" w:cs="Times New Roman"/>
          <w:sz w:val="25"/>
          <w:szCs w:val="25"/>
        </w:rPr>
        <w:t xml:space="preserve">of </w:t>
      </w:r>
      <w:r w:rsidR="002A075E" w:rsidRPr="00152F5C">
        <w:rPr>
          <w:rFonts w:ascii="Times New Roman" w:hAnsi="Times New Roman" w:cs="Times New Roman"/>
          <w:sz w:val="25"/>
          <w:szCs w:val="25"/>
        </w:rPr>
        <w:t>its</w:t>
      </w:r>
      <w:r w:rsidRPr="00152F5C">
        <w:rPr>
          <w:rFonts w:ascii="Times New Roman" w:hAnsi="Times New Roman" w:cs="Times New Roman"/>
          <w:sz w:val="25"/>
          <w:szCs w:val="25"/>
        </w:rPr>
        <w:t xml:space="preserve"> conservation potential assessment</w:t>
      </w:r>
      <w:r w:rsidR="00D76A68" w:rsidRPr="00152F5C">
        <w:rPr>
          <w:rFonts w:ascii="Times New Roman" w:hAnsi="Times New Roman" w:cs="Times New Roman"/>
          <w:sz w:val="25"/>
          <w:szCs w:val="25"/>
        </w:rPr>
        <w:t xml:space="preserve"> </w:t>
      </w:r>
      <w:r w:rsidR="0016437F" w:rsidRPr="00152F5C">
        <w:rPr>
          <w:rFonts w:ascii="Times New Roman" w:hAnsi="Times New Roman" w:cs="Times New Roman"/>
          <w:sz w:val="25"/>
          <w:szCs w:val="25"/>
        </w:rPr>
        <w:t>by modeling demand response as a resource</w:t>
      </w:r>
      <w:r w:rsidR="00C25E2E" w:rsidRPr="00152F5C">
        <w:rPr>
          <w:rFonts w:ascii="Times New Roman" w:hAnsi="Times New Roman" w:cs="Times New Roman"/>
          <w:sz w:val="25"/>
          <w:szCs w:val="25"/>
        </w:rPr>
        <w:t xml:space="preserve"> separate</w:t>
      </w:r>
      <w:r w:rsidR="0016437F" w:rsidRPr="00152F5C">
        <w:rPr>
          <w:rFonts w:ascii="Times New Roman" w:hAnsi="Times New Roman" w:cs="Times New Roman"/>
          <w:sz w:val="25"/>
          <w:szCs w:val="25"/>
        </w:rPr>
        <w:t xml:space="preserve"> from energy </w:t>
      </w:r>
      <w:r w:rsidR="002C5728" w:rsidRPr="00152F5C">
        <w:rPr>
          <w:rFonts w:ascii="Times New Roman" w:hAnsi="Times New Roman" w:cs="Times New Roman"/>
          <w:sz w:val="25"/>
          <w:szCs w:val="25"/>
        </w:rPr>
        <w:t>efficiency</w:t>
      </w:r>
      <w:r w:rsidRPr="00152F5C">
        <w:rPr>
          <w:rFonts w:ascii="Times New Roman" w:hAnsi="Times New Roman" w:cs="Times New Roman"/>
          <w:sz w:val="25"/>
          <w:szCs w:val="25"/>
        </w:rPr>
        <w:t xml:space="preserve">. The </w:t>
      </w:r>
      <w:r w:rsidR="002C5728" w:rsidRPr="00152F5C">
        <w:rPr>
          <w:rFonts w:ascii="Times New Roman" w:hAnsi="Times New Roman" w:cs="Times New Roman"/>
          <w:sz w:val="25"/>
          <w:szCs w:val="25"/>
        </w:rPr>
        <w:t>assessment</w:t>
      </w:r>
      <w:r w:rsidRPr="00152F5C">
        <w:rPr>
          <w:rFonts w:ascii="Times New Roman" w:hAnsi="Times New Roman" w:cs="Times New Roman"/>
          <w:sz w:val="25"/>
          <w:szCs w:val="25"/>
        </w:rPr>
        <w:t xml:space="preserve">, conducted by </w:t>
      </w:r>
      <w:r w:rsidR="00B107EF" w:rsidRPr="00152F5C">
        <w:rPr>
          <w:rFonts w:ascii="Times New Roman" w:hAnsi="Times New Roman" w:cs="Times New Roman"/>
          <w:sz w:val="25"/>
          <w:szCs w:val="25"/>
        </w:rPr>
        <w:t xml:space="preserve">The </w:t>
      </w:r>
      <w:r w:rsidRPr="00152F5C">
        <w:rPr>
          <w:rFonts w:ascii="Times New Roman" w:hAnsi="Times New Roman" w:cs="Times New Roman"/>
          <w:sz w:val="25"/>
          <w:szCs w:val="25"/>
        </w:rPr>
        <w:t>Cadmus</w:t>
      </w:r>
      <w:r w:rsidR="00B107EF" w:rsidRPr="00152F5C">
        <w:rPr>
          <w:rFonts w:ascii="Times New Roman" w:hAnsi="Times New Roman" w:cs="Times New Roman"/>
          <w:sz w:val="25"/>
          <w:szCs w:val="25"/>
        </w:rPr>
        <w:t xml:space="preserve"> Group</w:t>
      </w:r>
      <w:r w:rsidRPr="00152F5C">
        <w:rPr>
          <w:rFonts w:ascii="Times New Roman" w:hAnsi="Times New Roman" w:cs="Times New Roman"/>
          <w:sz w:val="25"/>
          <w:szCs w:val="25"/>
        </w:rPr>
        <w:t>, identifies the cost-effective demand response potential available in PSE’s service territory, in addition to traditional energy efficiency measures. Demand response programs typically have very different peak reduction characteristics than energy efficiency measures, but PSE combined these resources into the same cost bundles for modeling least-cost resource portfolios</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The effect is that the IRP </w:t>
      </w:r>
      <w:r w:rsidR="00C25E2E" w:rsidRPr="00152F5C">
        <w:rPr>
          <w:rFonts w:ascii="Times New Roman" w:hAnsi="Times New Roman" w:cs="Times New Roman"/>
          <w:sz w:val="25"/>
          <w:szCs w:val="25"/>
        </w:rPr>
        <w:t>does not take into account</w:t>
      </w:r>
      <w:r w:rsidRPr="00152F5C">
        <w:rPr>
          <w:rFonts w:ascii="Times New Roman" w:hAnsi="Times New Roman" w:cs="Times New Roman"/>
          <w:sz w:val="25"/>
          <w:szCs w:val="25"/>
        </w:rPr>
        <w:t xml:space="preserve"> the flexible peak reduction benefits provided by demand response</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The </w:t>
      </w:r>
      <w:r w:rsidRPr="00152F5C">
        <w:rPr>
          <w:rFonts w:ascii="Times New Roman" w:hAnsi="Times New Roman" w:cs="Times New Roman"/>
          <w:sz w:val="25"/>
          <w:szCs w:val="25"/>
        </w:rPr>
        <w:lastRenderedPageBreak/>
        <w:t>Commission is concerned that the IRP fails to provide useful guidance on how much demand response the Company should pursue, and on what timeline</w:t>
      </w:r>
      <w:r w:rsidR="003F20B4" w:rsidRPr="00152F5C">
        <w:rPr>
          <w:rFonts w:ascii="Times New Roman" w:hAnsi="Times New Roman" w:cs="Times New Roman"/>
          <w:sz w:val="25"/>
          <w:szCs w:val="25"/>
        </w:rPr>
        <w:t xml:space="preserve">. </w:t>
      </w:r>
    </w:p>
    <w:p w:rsidR="002135F1" w:rsidRPr="00152F5C" w:rsidRDefault="002135F1" w:rsidP="00895DF8">
      <w:pPr>
        <w:spacing w:line="264" w:lineRule="auto"/>
        <w:rPr>
          <w:rFonts w:ascii="Times New Roman" w:hAnsi="Times New Roman" w:cs="Times New Roman"/>
          <w:sz w:val="25"/>
          <w:szCs w:val="25"/>
        </w:rPr>
      </w:pPr>
    </w:p>
    <w:p w:rsidR="00D04991" w:rsidRPr="00152F5C" w:rsidRDefault="00695F1A" w:rsidP="00895DF8">
      <w:pPr>
        <w:pStyle w:val="ListParagraph"/>
        <w:numPr>
          <w:ilvl w:val="0"/>
          <w:numId w:val="5"/>
        </w:numPr>
        <w:spacing w:line="264" w:lineRule="auto"/>
        <w:rPr>
          <w:rFonts w:ascii="Times New Roman" w:hAnsi="Times New Roman" w:cs="Times New Roman"/>
          <w:sz w:val="25"/>
          <w:szCs w:val="25"/>
        </w:rPr>
      </w:pPr>
      <w:r w:rsidRPr="00152F5C">
        <w:rPr>
          <w:rFonts w:ascii="Times New Roman" w:hAnsi="Times New Roman" w:cs="Times New Roman"/>
          <w:sz w:val="25"/>
          <w:szCs w:val="25"/>
        </w:rPr>
        <w:t>I</w:t>
      </w:r>
      <w:r w:rsidR="00D04991" w:rsidRPr="00152F5C">
        <w:rPr>
          <w:rFonts w:ascii="Times New Roman" w:hAnsi="Times New Roman" w:cs="Times New Roman"/>
          <w:sz w:val="25"/>
          <w:szCs w:val="25"/>
        </w:rPr>
        <w:t xml:space="preserve">n </w:t>
      </w:r>
      <w:r w:rsidR="00313054" w:rsidRPr="00152F5C">
        <w:rPr>
          <w:rFonts w:ascii="Times New Roman" w:hAnsi="Times New Roman" w:cs="Times New Roman"/>
          <w:sz w:val="25"/>
          <w:szCs w:val="25"/>
        </w:rPr>
        <w:t xml:space="preserve">the next </w:t>
      </w:r>
      <w:r w:rsidR="00D04991" w:rsidRPr="00152F5C">
        <w:rPr>
          <w:rFonts w:ascii="Times New Roman" w:hAnsi="Times New Roman" w:cs="Times New Roman"/>
          <w:sz w:val="25"/>
          <w:szCs w:val="25"/>
        </w:rPr>
        <w:t xml:space="preserve">IRP, PSE </w:t>
      </w:r>
      <w:r w:rsidRPr="00152F5C">
        <w:rPr>
          <w:rFonts w:ascii="Times New Roman" w:hAnsi="Times New Roman" w:cs="Times New Roman"/>
          <w:sz w:val="25"/>
          <w:szCs w:val="25"/>
        </w:rPr>
        <w:t xml:space="preserve">should </w:t>
      </w:r>
      <w:r w:rsidR="00D04991" w:rsidRPr="00152F5C">
        <w:rPr>
          <w:rFonts w:ascii="Times New Roman" w:hAnsi="Times New Roman" w:cs="Times New Roman"/>
          <w:sz w:val="25"/>
          <w:szCs w:val="25"/>
        </w:rPr>
        <w:t xml:space="preserve">model demand response as a resource </w:t>
      </w:r>
      <w:r w:rsidR="00C25E2E" w:rsidRPr="00152F5C">
        <w:rPr>
          <w:rFonts w:ascii="Times New Roman" w:hAnsi="Times New Roman" w:cs="Times New Roman"/>
          <w:sz w:val="25"/>
          <w:szCs w:val="25"/>
        </w:rPr>
        <w:t xml:space="preserve">separate </w:t>
      </w:r>
      <w:r w:rsidR="00D04991" w:rsidRPr="00152F5C">
        <w:rPr>
          <w:rFonts w:ascii="Times New Roman" w:hAnsi="Times New Roman" w:cs="Times New Roman"/>
          <w:sz w:val="25"/>
          <w:szCs w:val="25"/>
        </w:rPr>
        <w:t>from energy efficiency</w:t>
      </w:r>
      <w:r w:rsidR="004A1ABD" w:rsidRPr="00152F5C">
        <w:rPr>
          <w:sz w:val="25"/>
          <w:szCs w:val="25"/>
        </w:rPr>
        <w:t xml:space="preserve"> </w:t>
      </w:r>
      <w:r w:rsidR="004A1ABD" w:rsidRPr="00152F5C">
        <w:rPr>
          <w:rFonts w:ascii="Times New Roman" w:hAnsi="Times New Roman" w:cs="Times New Roman"/>
          <w:sz w:val="25"/>
          <w:szCs w:val="25"/>
        </w:rPr>
        <w:t>in the portfolio screening model</w:t>
      </w:r>
      <w:r w:rsidR="00D04991" w:rsidRPr="00152F5C">
        <w:rPr>
          <w:rFonts w:ascii="Times New Roman" w:hAnsi="Times New Roman" w:cs="Times New Roman"/>
          <w:sz w:val="25"/>
          <w:szCs w:val="25"/>
        </w:rPr>
        <w:t xml:space="preserve">. </w:t>
      </w:r>
    </w:p>
    <w:p w:rsidR="00F3297B" w:rsidRPr="00152F5C" w:rsidRDefault="00F3297B" w:rsidP="00895DF8">
      <w:pPr>
        <w:spacing w:line="264" w:lineRule="auto"/>
        <w:rPr>
          <w:rFonts w:ascii="Times New Roman" w:hAnsi="Times New Roman" w:cs="Times New Roman"/>
          <w:sz w:val="25"/>
          <w:szCs w:val="25"/>
        </w:rPr>
      </w:pPr>
    </w:p>
    <w:p w:rsidR="00F3297B" w:rsidRPr="00152F5C" w:rsidRDefault="00F3297B" w:rsidP="00895DF8">
      <w:pPr>
        <w:spacing w:line="264" w:lineRule="auto"/>
        <w:rPr>
          <w:rFonts w:ascii="Times New Roman" w:hAnsi="Times New Roman" w:cs="Times New Roman"/>
          <w:b/>
          <w:sz w:val="25"/>
          <w:szCs w:val="25"/>
        </w:rPr>
      </w:pPr>
      <w:r w:rsidRPr="00152F5C">
        <w:rPr>
          <w:rFonts w:ascii="Times New Roman" w:hAnsi="Times New Roman" w:cs="Times New Roman"/>
          <w:b/>
          <w:sz w:val="25"/>
          <w:szCs w:val="25"/>
        </w:rPr>
        <w:t>CO</w:t>
      </w:r>
      <w:r w:rsidRPr="00152F5C">
        <w:rPr>
          <w:rFonts w:ascii="Times New Roman" w:hAnsi="Times New Roman" w:cs="Times New Roman"/>
          <w:b/>
          <w:sz w:val="25"/>
          <w:szCs w:val="25"/>
          <w:vertAlign w:val="subscript"/>
        </w:rPr>
        <w:t>2</w:t>
      </w:r>
      <w:r w:rsidRPr="00152F5C">
        <w:rPr>
          <w:rFonts w:ascii="Times New Roman" w:hAnsi="Times New Roman" w:cs="Times New Roman"/>
          <w:b/>
          <w:sz w:val="25"/>
          <w:szCs w:val="25"/>
        </w:rPr>
        <w:t xml:space="preserve"> </w:t>
      </w:r>
      <w:r w:rsidR="00C25E2E" w:rsidRPr="00152F5C">
        <w:rPr>
          <w:rFonts w:ascii="Times New Roman" w:hAnsi="Times New Roman" w:cs="Times New Roman"/>
          <w:b/>
          <w:sz w:val="25"/>
          <w:szCs w:val="25"/>
        </w:rPr>
        <w:t>Cost</w:t>
      </w:r>
      <w:r w:rsidRPr="00152F5C">
        <w:rPr>
          <w:rFonts w:ascii="Times New Roman" w:hAnsi="Times New Roman" w:cs="Times New Roman"/>
          <w:b/>
          <w:sz w:val="25"/>
          <w:szCs w:val="25"/>
        </w:rPr>
        <w:t>s</w:t>
      </w:r>
    </w:p>
    <w:p w:rsidR="00F3297B" w:rsidRPr="00152F5C" w:rsidRDefault="00F3297B" w:rsidP="00895DF8">
      <w:pPr>
        <w:spacing w:line="264" w:lineRule="auto"/>
        <w:rPr>
          <w:rFonts w:ascii="Times New Roman" w:hAnsi="Times New Roman" w:cs="Times New Roman"/>
          <w:sz w:val="25"/>
          <w:szCs w:val="25"/>
        </w:rPr>
      </w:pPr>
    </w:p>
    <w:p w:rsidR="00E00E60" w:rsidRPr="00152F5C" w:rsidRDefault="002172F8"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Building from the Company’s 2011 IRP, PSE included four CO</w:t>
      </w:r>
      <w:r w:rsidRPr="00152F5C">
        <w:rPr>
          <w:rFonts w:ascii="Times New Roman" w:hAnsi="Times New Roman" w:cs="Times New Roman"/>
          <w:sz w:val="25"/>
          <w:szCs w:val="25"/>
          <w:vertAlign w:val="subscript"/>
        </w:rPr>
        <w:t>2</w:t>
      </w:r>
      <w:r w:rsidRPr="00152F5C">
        <w:rPr>
          <w:rFonts w:ascii="Times New Roman" w:hAnsi="Times New Roman" w:cs="Times New Roman"/>
          <w:sz w:val="25"/>
          <w:szCs w:val="25"/>
        </w:rPr>
        <w:t xml:space="preserve"> price or cost forecasts in the 2013 IRP</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PSE assigned relative probabilities to the forecasts to conduct stochastic analysis and develop a weighted average cost of CO</w:t>
      </w:r>
      <w:r w:rsidRPr="00152F5C">
        <w:rPr>
          <w:rFonts w:ascii="Times New Roman" w:hAnsi="Times New Roman" w:cs="Times New Roman"/>
          <w:sz w:val="25"/>
          <w:szCs w:val="25"/>
          <w:vertAlign w:val="subscript"/>
        </w:rPr>
        <w:t>2</w:t>
      </w:r>
      <w:r w:rsidRPr="00152F5C">
        <w:rPr>
          <w:rFonts w:ascii="Times New Roman" w:hAnsi="Times New Roman" w:cs="Times New Roman"/>
          <w:sz w:val="25"/>
          <w:szCs w:val="25"/>
        </w:rPr>
        <w:t>. The forecasts were used in a variety of scenarios to determine the impact of various CO</w:t>
      </w:r>
      <w:r w:rsidRPr="00152F5C">
        <w:rPr>
          <w:rFonts w:ascii="Times New Roman" w:hAnsi="Times New Roman" w:cs="Times New Roman"/>
          <w:sz w:val="25"/>
          <w:szCs w:val="25"/>
          <w:vertAlign w:val="subscript"/>
        </w:rPr>
        <w:t>2</w:t>
      </w:r>
      <w:r w:rsidRPr="00152F5C">
        <w:rPr>
          <w:rFonts w:ascii="Times New Roman" w:hAnsi="Times New Roman" w:cs="Times New Roman"/>
          <w:sz w:val="25"/>
          <w:szCs w:val="25"/>
        </w:rPr>
        <w:t xml:space="preserve"> prices on the optimal resource portfolio</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However, PSE assumed </w:t>
      </w:r>
      <w:r w:rsidR="006C5F1E" w:rsidRPr="00152F5C">
        <w:rPr>
          <w:rFonts w:ascii="Times New Roman" w:hAnsi="Times New Roman" w:cs="Times New Roman"/>
          <w:sz w:val="25"/>
          <w:szCs w:val="25"/>
        </w:rPr>
        <w:t>in its B</w:t>
      </w:r>
      <w:r w:rsidR="00C25E2E" w:rsidRPr="00152F5C">
        <w:rPr>
          <w:rFonts w:ascii="Times New Roman" w:hAnsi="Times New Roman" w:cs="Times New Roman"/>
          <w:sz w:val="25"/>
          <w:szCs w:val="25"/>
        </w:rPr>
        <w:t xml:space="preserve">ase </w:t>
      </w:r>
      <w:r w:rsidR="006C5F1E" w:rsidRPr="00152F5C">
        <w:rPr>
          <w:rFonts w:ascii="Times New Roman" w:hAnsi="Times New Roman" w:cs="Times New Roman"/>
          <w:sz w:val="25"/>
          <w:szCs w:val="25"/>
        </w:rPr>
        <w:t>Scenario</w:t>
      </w:r>
      <w:r w:rsidR="00C25E2E" w:rsidRPr="00152F5C">
        <w:rPr>
          <w:rFonts w:ascii="Times New Roman" w:hAnsi="Times New Roman" w:cs="Times New Roman"/>
          <w:sz w:val="25"/>
          <w:szCs w:val="25"/>
        </w:rPr>
        <w:t xml:space="preserve"> </w:t>
      </w:r>
      <w:r w:rsidRPr="00152F5C">
        <w:rPr>
          <w:rFonts w:ascii="Times New Roman" w:hAnsi="Times New Roman" w:cs="Times New Roman"/>
          <w:sz w:val="25"/>
          <w:szCs w:val="25"/>
        </w:rPr>
        <w:t>that there would be a zero cost of CO</w:t>
      </w:r>
      <w:r w:rsidRPr="00152F5C">
        <w:rPr>
          <w:rFonts w:ascii="Times New Roman" w:hAnsi="Times New Roman" w:cs="Times New Roman"/>
          <w:sz w:val="25"/>
          <w:szCs w:val="25"/>
          <w:vertAlign w:val="subscript"/>
        </w:rPr>
        <w:t>2</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The Commission finds this inappropriate for a number of reasons</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Although PSE is not currently paying for CO</w:t>
      </w:r>
      <w:r w:rsidRPr="00152F5C">
        <w:rPr>
          <w:rFonts w:ascii="Times New Roman" w:hAnsi="Times New Roman" w:cs="Times New Roman"/>
          <w:sz w:val="25"/>
          <w:szCs w:val="25"/>
          <w:vertAlign w:val="subscript"/>
        </w:rPr>
        <w:t>2</w:t>
      </w:r>
      <w:r w:rsidRPr="00152F5C">
        <w:rPr>
          <w:rFonts w:ascii="Times New Roman" w:hAnsi="Times New Roman" w:cs="Times New Roman"/>
          <w:sz w:val="25"/>
          <w:szCs w:val="25"/>
        </w:rPr>
        <w:t xml:space="preserve"> emissions, there is growing evidence that society and PSE ratepayers are bearing the costs of those emissions, and that those costs are not zero</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PSE already acknowledges a cost of carbon in its rate design</w:t>
      </w:r>
      <w:r w:rsidR="003F20B4" w:rsidRPr="00152F5C">
        <w:rPr>
          <w:rFonts w:ascii="Times New Roman" w:hAnsi="Times New Roman" w:cs="Times New Roman"/>
          <w:sz w:val="25"/>
          <w:szCs w:val="25"/>
        </w:rPr>
        <w:t xml:space="preserve">. </w:t>
      </w:r>
      <w:r w:rsidR="00E00E60" w:rsidRPr="00152F5C">
        <w:rPr>
          <w:rFonts w:ascii="Times New Roman" w:hAnsi="Times New Roman" w:cs="Times New Roman"/>
          <w:sz w:val="25"/>
          <w:szCs w:val="25"/>
        </w:rPr>
        <w:t>Since</w:t>
      </w:r>
      <w:r w:rsidRPr="00152F5C">
        <w:rPr>
          <w:rFonts w:ascii="Times New Roman" w:hAnsi="Times New Roman" w:cs="Times New Roman"/>
          <w:sz w:val="25"/>
          <w:szCs w:val="25"/>
        </w:rPr>
        <w:t xml:space="preserve"> PSE’s 2009 general rate case, PSE has </w:t>
      </w:r>
      <w:r w:rsidR="00866293" w:rsidRPr="00152F5C">
        <w:rPr>
          <w:rFonts w:ascii="Times New Roman" w:hAnsi="Times New Roman" w:cs="Times New Roman"/>
          <w:sz w:val="25"/>
          <w:szCs w:val="25"/>
        </w:rPr>
        <w:t>included a</w:t>
      </w:r>
      <w:r w:rsidRPr="00152F5C">
        <w:rPr>
          <w:rFonts w:ascii="Times New Roman" w:hAnsi="Times New Roman" w:cs="Times New Roman"/>
          <w:sz w:val="25"/>
          <w:szCs w:val="25"/>
        </w:rPr>
        <w:t xml:space="preserve"> CO</w:t>
      </w:r>
      <w:r w:rsidRPr="00152F5C">
        <w:rPr>
          <w:rFonts w:ascii="Times New Roman" w:hAnsi="Times New Roman" w:cs="Times New Roman"/>
          <w:sz w:val="25"/>
          <w:szCs w:val="25"/>
          <w:vertAlign w:val="subscript"/>
        </w:rPr>
        <w:t xml:space="preserve">2 </w:t>
      </w:r>
      <w:r w:rsidR="00E00E60" w:rsidRPr="00152F5C">
        <w:rPr>
          <w:rFonts w:ascii="Times New Roman" w:hAnsi="Times New Roman" w:cs="Times New Roman"/>
          <w:sz w:val="25"/>
          <w:szCs w:val="25"/>
        </w:rPr>
        <w:t>emissions cost</w:t>
      </w:r>
      <w:r w:rsidR="00866293" w:rsidRPr="00152F5C">
        <w:rPr>
          <w:rFonts w:ascii="Times New Roman" w:hAnsi="Times New Roman" w:cs="Times New Roman"/>
          <w:sz w:val="25"/>
          <w:szCs w:val="25"/>
        </w:rPr>
        <w:t xml:space="preserve"> forecast</w:t>
      </w:r>
      <w:r w:rsidR="00E00E60" w:rsidRPr="00152F5C">
        <w:rPr>
          <w:rFonts w:ascii="Times New Roman" w:hAnsi="Times New Roman" w:cs="Times New Roman"/>
          <w:sz w:val="25"/>
          <w:szCs w:val="25"/>
        </w:rPr>
        <w:t xml:space="preserve"> drawn from the IRPs</w:t>
      </w:r>
      <w:r w:rsidR="00866293" w:rsidRPr="00152F5C">
        <w:rPr>
          <w:rFonts w:ascii="Times New Roman" w:hAnsi="Times New Roman" w:cs="Times New Roman"/>
          <w:sz w:val="25"/>
          <w:szCs w:val="25"/>
        </w:rPr>
        <w:t xml:space="preserve"> </w:t>
      </w:r>
      <w:r w:rsidR="00E00E60" w:rsidRPr="00152F5C">
        <w:rPr>
          <w:rFonts w:ascii="Times New Roman" w:hAnsi="Times New Roman" w:cs="Times New Roman"/>
          <w:sz w:val="25"/>
          <w:szCs w:val="25"/>
        </w:rPr>
        <w:t>in its peak credit allocation methodology</w:t>
      </w:r>
      <w:r w:rsidR="003F20B4" w:rsidRPr="00152F5C">
        <w:rPr>
          <w:rFonts w:ascii="Times New Roman" w:hAnsi="Times New Roman" w:cs="Times New Roman"/>
          <w:sz w:val="25"/>
          <w:szCs w:val="25"/>
        </w:rPr>
        <w:t xml:space="preserve">. </w:t>
      </w:r>
      <w:r w:rsidR="00E00E60" w:rsidRPr="00152F5C">
        <w:rPr>
          <w:rFonts w:ascii="Times New Roman" w:hAnsi="Times New Roman" w:cs="Times New Roman"/>
          <w:sz w:val="25"/>
          <w:szCs w:val="25"/>
        </w:rPr>
        <w:t xml:space="preserve">The Company provided the following justification for this change in its </w:t>
      </w:r>
      <w:r w:rsidR="00C25E2E" w:rsidRPr="00152F5C">
        <w:rPr>
          <w:rFonts w:ascii="Times New Roman" w:hAnsi="Times New Roman" w:cs="Times New Roman"/>
          <w:sz w:val="25"/>
          <w:szCs w:val="25"/>
        </w:rPr>
        <w:t xml:space="preserve">2009 </w:t>
      </w:r>
      <w:r w:rsidR="00E00E60" w:rsidRPr="00152F5C">
        <w:rPr>
          <w:rFonts w:ascii="Times New Roman" w:hAnsi="Times New Roman" w:cs="Times New Roman"/>
          <w:sz w:val="25"/>
          <w:szCs w:val="25"/>
        </w:rPr>
        <w:t>testimony:</w:t>
      </w:r>
    </w:p>
    <w:p w:rsidR="00E00E60" w:rsidRPr="00152F5C" w:rsidRDefault="00E00E60" w:rsidP="00895DF8">
      <w:pPr>
        <w:spacing w:line="264" w:lineRule="auto"/>
        <w:rPr>
          <w:rFonts w:ascii="Times New Roman" w:hAnsi="Times New Roman" w:cs="Times New Roman"/>
          <w:sz w:val="25"/>
          <w:szCs w:val="25"/>
        </w:rPr>
      </w:pPr>
    </w:p>
    <w:p w:rsidR="00E00E60" w:rsidRPr="00152F5C" w:rsidRDefault="00E00E60" w:rsidP="00895DF8">
      <w:pPr>
        <w:spacing w:line="264" w:lineRule="auto"/>
        <w:ind w:left="720"/>
        <w:rPr>
          <w:rFonts w:ascii="Times New Roman" w:hAnsi="Times New Roman" w:cs="Times New Roman"/>
          <w:sz w:val="25"/>
          <w:szCs w:val="25"/>
        </w:rPr>
      </w:pPr>
      <w:r w:rsidRPr="00152F5C">
        <w:rPr>
          <w:rFonts w:ascii="Times New Roman" w:hAnsi="Times New Roman" w:cs="Times New Roman"/>
          <w:sz w:val="25"/>
          <w:szCs w:val="25"/>
        </w:rPr>
        <w:t>While there continues to be uncertainty surrounding the ultimate way in which greenhouse gases will be regulated, since the Company's last general rate case, there has been a greater recognition that some form of regulation will apply in the future</w:t>
      </w:r>
      <w:r w:rsidR="00C25E2E" w:rsidRPr="00152F5C">
        <w:rPr>
          <w:rFonts w:ascii="Times New Roman" w:hAnsi="Times New Roman" w:cs="Times New Roman"/>
          <w:sz w:val="25"/>
          <w:szCs w:val="25"/>
        </w:rPr>
        <w:t xml:space="preserve">. … </w:t>
      </w:r>
      <w:r w:rsidRPr="00152F5C">
        <w:rPr>
          <w:rFonts w:ascii="Times New Roman" w:hAnsi="Times New Roman" w:cs="Times New Roman"/>
          <w:sz w:val="25"/>
          <w:szCs w:val="25"/>
        </w:rPr>
        <w:t>With the heightened state of interest in controlling greenhouse gas emissions at the state and federal levels, and consistent with the recognition of future emissions costs in its resource planning, the Company believes the time is right to introduce these costs int</w:t>
      </w:r>
      <w:r w:rsidR="00017C68" w:rsidRPr="00152F5C">
        <w:rPr>
          <w:rFonts w:ascii="Times New Roman" w:hAnsi="Times New Roman" w:cs="Times New Roman"/>
          <w:sz w:val="25"/>
          <w:szCs w:val="25"/>
        </w:rPr>
        <w:t>o the peak credit methodology.</w:t>
      </w:r>
      <w:r w:rsidRPr="00152F5C">
        <w:rPr>
          <w:rStyle w:val="FootnoteReference"/>
          <w:rFonts w:ascii="Times New Roman" w:hAnsi="Times New Roman" w:cs="Times New Roman"/>
          <w:sz w:val="25"/>
          <w:szCs w:val="25"/>
        </w:rPr>
        <w:footnoteReference w:id="12"/>
      </w:r>
    </w:p>
    <w:p w:rsidR="00F728BB" w:rsidRPr="00152F5C" w:rsidRDefault="00F728BB" w:rsidP="00895DF8">
      <w:pPr>
        <w:spacing w:line="264" w:lineRule="auto"/>
        <w:rPr>
          <w:rFonts w:ascii="Times New Roman" w:hAnsi="Times New Roman" w:cs="Times New Roman"/>
          <w:sz w:val="25"/>
          <w:szCs w:val="25"/>
        </w:rPr>
      </w:pPr>
    </w:p>
    <w:p w:rsidR="00E00E60" w:rsidRPr="00152F5C" w:rsidRDefault="00E00E6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PSE has maintained this approach for including emissions in its peak credit methodology through subsequent rate cases. The Commission finds it inconsistent for PSE to include a cost of CO</w:t>
      </w:r>
      <w:r w:rsidRPr="00152F5C">
        <w:rPr>
          <w:rFonts w:ascii="Times New Roman" w:hAnsi="Times New Roman" w:cs="Times New Roman"/>
          <w:sz w:val="25"/>
          <w:szCs w:val="25"/>
          <w:vertAlign w:val="subscript"/>
        </w:rPr>
        <w:t>2</w:t>
      </w:r>
      <w:r w:rsidRPr="00152F5C">
        <w:rPr>
          <w:rFonts w:ascii="Times New Roman" w:hAnsi="Times New Roman" w:cs="Times New Roman"/>
          <w:sz w:val="25"/>
          <w:szCs w:val="25"/>
        </w:rPr>
        <w:t xml:space="preserve"> in its cost of service but omit a similar </w:t>
      </w:r>
      <w:r w:rsidR="003F20B4" w:rsidRPr="00152F5C">
        <w:rPr>
          <w:rFonts w:ascii="Times New Roman" w:hAnsi="Times New Roman" w:cs="Times New Roman"/>
          <w:sz w:val="25"/>
          <w:szCs w:val="25"/>
        </w:rPr>
        <w:t xml:space="preserve">“recognition of </w:t>
      </w:r>
      <w:r w:rsidR="006C5F1E" w:rsidRPr="00152F5C">
        <w:rPr>
          <w:rFonts w:ascii="Times New Roman" w:hAnsi="Times New Roman" w:cs="Times New Roman"/>
          <w:sz w:val="25"/>
          <w:szCs w:val="25"/>
        </w:rPr>
        <w:t>future emissions costs” in the B</w:t>
      </w:r>
      <w:r w:rsidR="003F20B4" w:rsidRPr="00152F5C">
        <w:rPr>
          <w:rFonts w:ascii="Times New Roman" w:hAnsi="Times New Roman" w:cs="Times New Roman"/>
          <w:sz w:val="25"/>
          <w:szCs w:val="25"/>
        </w:rPr>
        <w:t xml:space="preserve">ase </w:t>
      </w:r>
      <w:r w:rsidR="006C5F1E" w:rsidRPr="00152F5C">
        <w:rPr>
          <w:rFonts w:ascii="Times New Roman" w:hAnsi="Times New Roman" w:cs="Times New Roman"/>
          <w:sz w:val="25"/>
          <w:szCs w:val="25"/>
        </w:rPr>
        <w:t>Scenario</w:t>
      </w:r>
      <w:r w:rsidR="003F20B4" w:rsidRPr="00152F5C">
        <w:rPr>
          <w:rFonts w:ascii="Times New Roman" w:hAnsi="Times New Roman" w:cs="Times New Roman"/>
          <w:sz w:val="25"/>
          <w:szCs w:val="25"/>
        </w:rPr>
        <w:t xml:space="preserve"> of its </w:t>
      </w:r>
      <w:r w:rsidRPr="00152F5C">
        <w:rPr>
          <w:rFonts w:ascii="Times New Roman" w:hAnsi="Times New Roman" w:cs="Times New Roman"/>
          <w:sz w:val="25"/>
          <w:szCs w:val="25"/>
        </w:rPr>
        <w:t>IRP</w:t>
      </w:r>
      <w:r w:rsidR="003F20B4" w:rsidRPr="00152F5C">
        <w:rPr>
          <w:rFonts w:ascii="Times New Roman" w:hAnsi="Times New Roman" w:cs="Times New Roman"/>
          <w:sz w:val="25"/>
          <w:szCs w:val="25"/>
        </w:rPr>
        <w:t xml:space="preserve">. </w:t>
      </w:r>
      <w:r w:rsidR="00C51098" w:rsidRPr="00152F5C">
        <w:rPr>
          <w:rFonts w:ascii="Times New Roman" w:hAnsi="Times New Roman" w:cs="Times New Roman"/>
          <w:sz w:val="25"/>
          <w:szCs w:val="25"/>
        </w:rPr>
        <w:t>PSE’s own judgment of risk resulted in a weighted average cost of CO</w:t>
      </w:r>
      <w:r w:rsidR="00C51098" w:rsidRPr="00152F5C">
        <w:rPr>
          <w:rFonts w:ascii="Times New Roman" w:hAnsi="Times New Roman" w:cs="Times New Roman"/>
          <w:sz w:val="25"/>
          <w:szCs w:val="25"/>
          <w:vertAlign w:val="subscript"/>
        </w:rPr>
        <w:t>2</w:t>
      </w:r>
      <w:r w:rsidR="00C51098" w:rsidRPr="00152F5C">
        <w:rPr>
          <w:rFonts w:ascii="Times New Roman" w:hAnsi="Times New Roman" w:cs="Times New Roman"/>
          <w:sz w:val="25"/>
          <w:szCs w:val="25"/>
        </w:rPr>
        <w:t xml:space="preserve"> that is quite similar to the forecast embedded in the</w:t>
      </w:r>
      <w:r w:rsidR="00751CC2" w:rsidRPr="00152F5C">
        <w:rPr>
          <w:rFonts w:ascii="Times New Roman" w:hAnsi="Times New Roman" w:cs="Times New Roman"/>
          <w:sz w:val="25"/>
          <w:szCs w:val="25"/>
        </w:rPr>
        <w:t xml:space="preserve"> Company’s</w:t>
      </w:r>
      <w:r w:rsidR="00C51098" w:rsidRPr="00152F5C">
        <w:rPr>
          <w:rFonts w:ascii="Times New Roman" w:hAnsi="Times New Roman" w:cs="Times New Roman"/>
          <w:sz w:val="25"/>
          <w:szCs w:val="25"/>
        </w:rPr>
        <w:t xml:space="preserve"> peak credit methodology.</w:t>
      </w:r>
    </w:p>
    <w:p w:rsidR="00C51098" w:rsidRPr="00152F5C" w:rsidRDefault="00C51098" w:rsidP="00895DF8">
      <w:pPr>
        <w:spacing w:line="264" w:lineRule="auto"/>
        <w:rPr>
          <w:rFonts w:ascii="Times New Roman" w:hAnsi="Times New Roman" w:cs="Times New Roman"/>
          <w:sz w:val="25"/>
          <w:szCs w:val="25"/>
        </w:rPr>
      </w:pPr>
    </w:p>
    <w:p w:rsidR="00C51098" w:rsidRPr="00152F5C" w:rsidRDefault="003F20B4" w:rsidP="00895DF8">
      <w:pPr>
        <w:pStyle w:val="ListParagraph"/>
        <w:numPr>
          <w:ilvl w:val="0"/>
          <w:numId w:val="5"/>
        </w:numPr>
        <w:spacing w:line="264" w:lineRule="auto"/>
        <w:rPr>
          <w:rFonts w:ascii="Times New Roman" w:hAnsi="Times New Roman" w:cs="Times New Roman"/>
          <w:sz w:val="25"/>
          <w:szCs w:val="25"/>
        </w:rPr>
      </w:pPr>
      <w:r w:rsidRPr="00152F5C">
        <w:rPr>
          <w:rFonts w:ascii="Times New Roman" w:hAnsi="Times New Roman" w:cs="Times New Roman"/>
          <w:sz w:val="25"/>
          <w:szCs w:val="25"/>
        </w:rPr>
        <w:t>PSE’s next IRP must include</w:t>
      </w:r>
      <w:r w:rsidR="006C5F1E" w:rsidRPr="00152F5C">
        <w:rPr>
          <w:rFonts w:ascii="Times New Roman" w:hAnsi="Times New Roman" w:cs="Times New Roman"/>
          <w:sz w:val="25"/>
          <w:szCs w:val="25"/>
        </w:rPr>
        <w:t xml:space="preserve"> in the B</w:t>
      </w:r>
      <w:r w:rsidR="00C25E2E" w:rsidRPr="00152F5C">
        <w:rPr>
          <w:rFonts w:ascii="Times New Roman" w:hAnsi="Times New Roman" w:cs="Times New Roman"/>
          <w:sz w:val="25"/>
          <w:szCs w:val="25"/>
        </w:rPr>
        <w:t xml:space="preserve">ase </w:t>
      </w:r>
      <w:r w:rsidR="006C5F1E" w:rsidRPr="00152F5C">
        <w:rPr>
          <w:rFonts w:ascii="Times New Roman" w:hAnsi="Times New Roman" w:cs="Times New Roman"/>
          <w:sz w:val="25"/>
          <w:szCs w:val="25"/>
        </w:rPr>
        <w:t>Scenario</w:t>
      </w:r>
      <w:r w:rsidRPr="00152F5C">
        <w:rPr>
          <w:rFonts w:ascii="Times New Roman" w:hAnsi="Times New Roman" w:cs="Times New Roman"/>
          <w:sz w:val="25"/>
          <w:szCs w:val="25"/>
        </w:rPr>
        <w:t xml:space="preserve"> a non</w:t>
      </w:r>
      <w:r w:rsidR="00B107EF" w:rsidRPr="00152F5C">
        <w:rPr>
          <w:rFonts w:ascii="Times New Roman" w:hAnsi="Times New Roman" w:cs="Times New Roman"/>
          <w:sz w:val="25"/>
          <w:szCs w:val="25"/>
        </w:rPr>
        <w:t>-</w:t>
      </w:r>
      <w:r w:rsidRPr="00152F5C">
        <w:rPr>
          <w:rFonts w:ascii="Times New Roman" w:hAnsi="Times New Roman" w:cs="Times New Roman"/>
          <w:sz w:val="25"/>
          <w:szCs w:val="25"/>
        </w:rPr>
        <w:t>zero cost of CO</w:t>
      </w:r>
      <w:r w:rsidRPr="00152F5C">
        <w:rPr>
          <w:rFonts w:ascii="Times New Roman" w:hAnsi="Times New Roman" w:cs="Times New Roman"/>
          <w:sz w:val="25"/>
          <w:szCs w:val="25"/>
          <w:vertAlign w:val="subscript"/>
        </w:rPr>
        <w:t>2</w:t>
      </w:r>
      <w:r w:rsidR="00C25E2E" w:rsidRPr="00152F5C">
        <w:rPr>
          <w:rFonts w:ascii="Times New Roman" w:hAnsi="Times New Roman" w:cs="Times New Roman"/>
          <w:sz w:val="25"/>
          <w:szCs w:val="25"/>
        </w:rPr>
        <w:t xml:space="preserve"> emissions</w:t>
      </w:r>
      <w:r w:rsidRPr="00152F5C">
        <w:rPr>
          <w:rFonts w:ascii="Times New Roman" w:hAnsi="Times New Roman" w:cs="Times New Roman"/>
          <w:sz w:val="25"/>
          <w:szCs w:val="25"/>
        </w:rPr>
        <w:t>.</w:t>
      </w:r>
      <w:r w:rsidR="00E63EFA" w:rsidRPr="00152F5C">
        <w:rPr>
          <w:rFonts w:ascii="Times New Roman" w:hAnsi="Times New Roman" w:cs="Times New Roman"/>
          <w:sz w:val="25"/>
          <w:szCs w:val="25"/>
        </w:rPr>
        <w:t xml:space="preserve"> This issue is discussed more fully in Attachment B.</w:t>
      </w:r>
    </w:p>
    <w:p w:rsidR="00B945D8" w:rsidRPr="00152F5C" w:rsidRDefault="00B945D8" w:rsidP="00895DF8">
      <w:pPr>
        <w:spacing w:line="264" w:lineRule="auto"/>
        <w:rPr>
          <w:rFonts w:ascii="Times New Roman" w:hAnsi="Times New Roman" w:cs="Times New Roman"/>
          <w:sz w:val="25"/>
          <w:szCs w:val="25"/>
        </w:rPr>
      </w:pPr>
    </w:p>
    <w:p w:rsidR="00F3297B" w:rsidRPr="00152F5C" w:rsidRDefault="00F3297B" w:rsidP="00895DF8">
      <w:pPr>
        <w:spacing w:line="264" w:lineRule="auto"/>
        <w:rPr>
          <w:rFonts w:ascii="Times New Roman" w:hAnsi="Times New Roman" w:cs="Times New Roman"/>
          <w:b/>
          <w:sz w:val="25"/>
          <w:szCs w:val="25"/>
        </w:rPr>
      </w:pPr>
      <w:r w:rsidRPr="00152F5C">
        <w:rPr>
          <w:rFonts w:ascii="Times New Roman" w:hAnsi="Times New Roman" w:cs="Times New Roman"/>
          <w:b/>
          <w:sz w:val="25"/>
          <w:szCs w:val="25"/>
        </w:rPr>
        <w:lastRenderedPageBreak/>
        <w:t xml:space="preserve">Transmission </w:t>
      </w:r>
      <w:r w:rsidR="00313054" w:rsidRPr="00152F5C">
        <w:rPr>
          <w:rFonts w:ascii="Times New Roman" w:hAnsi="Times New Roman" w:cs="Times New Roman"/>
          <w:b/>
          <w:sz w:val="25"/>
          <w:szCs w:val="25"/>
        </w:rPr>
        <w:t xml:space="preserve">and </w:t>
      </w:r>
      <w:r w:rsidRPr="00152F5C">
        <w:rPr>
          <w:rFonts w:ascii="Times New Roman" w:hAnsi="Times New Roman" w:cs="Times New Roman"/>
          <w:b/>
          <w:sz w:val="25"/>
          <w:szCs w:val="25"/>
        </w:rPr>
        <w:t xml:space="preserve">Distribution </w:t>
      </w:r>
    </w:p>
    <w:p w:rsidR="00CD7C5F" w:rsidRPr="00152F5C" w:rsidRDefault="00CD7C5F" w:rsidP="00895DF8">
      <w:pPr>
        <w:spacing w:line="264" w:lineRule="auto"/>
        <w:rPr>
          <w:rFonts w:ascii="Times New Roman" w:hAnsi="Times New Roman" w:cs="Times New Roman"/>
          <w:sz w:val="25"/>
          <w:szCs w:val="25"/>
        </w:rPr>
      </w:pPr>
    </w:p>
    <w:p w:rsidR="00497DD2" w:rsidRPr="00152F5C" w:rsidRDefault="00BE39B1"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New resources typically require additional transmission and distribution facilities to connect to a utility’s system.  However, </w:t>
      </w:r>
      <w:r w:rsidR="00CD7C5F" w:rsidRPr="00152F5C">
        <w:rPr>
          <w:rFonts w:ascii="Times New Roman" w:hAnsi="Times New Roman" w:cs="Times New Roman"/>
          <w:sz w:val="25"/>
          <w:szCs w:val="25"/>
        </w:rPr>
        <w:t xml:space="preserve">PSE </w:t>
      </w:r>
      <w:r w:rsidRPr="00152F5C">
        <w:rPr>
          <w:rFonts w:ascii="Times New Roman" w:hAnsi="Times New Roman" w:cs="Times New Roman"/>
          <w:sz w:val="25"/>
          <w:szCs w:val="25"/>
        </w:rPr>
        <w:t xml:space="preserve">only </w:t>
      </w:r>
      <w:r w:rsidR="00CD7C5F" w:rsidRPr="00152F5C">
        <w:rPr>
          <w:rFonts w:ascii="Times New Roman" w:hAnsi="Times New Roman" w:cs="Times New Roman"/>
          <w:sz w:val="25"/>
          <w:szCs w:val="25"/>
        </w:rPr>
        <w:t>model</w:t>
      </w:r>
      <w:r w:rsidRPr="00152F5C">
        <w:rPr>
          <w:rFonts w:ascii="Times New Roman" w:hAnsi="Times New Roman" w:cs="Times New Roman"/>
          <w:sz w:val="25"/>
          <w:szCs w:val="25"/>
        </w:rPr>
        <w:t>ed</w:t>
      </w:r>
      <w:r w:rsidR="00CD7C5F" w:rsidRPr="00152F5C">
        <w:rPr>
          <w:rFonts w:ascii="Times New Roman" w:hAnsi="Times New Roman" w:cs="Times New Roman"/>
          <w:sz w:val="25"/>
          <w:szCs w:val="25"/>
        </w:rPr>
        <w:t xml:space="preserve"> new resources</w:t>
      </w:r>
      <w:r w:rsidR="00B945D8" w:rsidRPr="00152F5C">
        <w:rPr>
          <w:rFonts w:ascii="Times New Roman" w:hAnsi="Times New Roman" w:cs="Times New Roman"/>
          <w:sz w:val="25"/>
          <w:szCs w:val="25"/>
        </w:rPr>
        <w:t xml:space="preserve"> </w:t>
      </w:r>
      <w:r w:rsidR="00CD7C5F" w:rsidRPr="00152F5C">
        <w:rPr>
          <w:rFonts w:ascii="Times New Roman" w:hAnsi="Times New Roman" w:cs="Times New Roman"/>
          <w:sz w:val="25"/>
          <w:szCs w:val="25"/>
        </w:rPr>
        <w:t xml:space="preserve">located west of the Cascades, </w:t>
      </w:r>
      <w:r w:rsidRPr="00152F5C">
        <w:rPr>
          <w:rFonts w:ascii="Times New Roman" w:hAnsi="Times New Roman" w:cs="Times New Roman"/>
          <w:sz w:val="25"/>
          <w:szCs w:val="25"/>
        </w:rPr>
        <w:t xml:space="preserve">and assumed </w:t>
      </w:r>
      <w:r w:rsidR="00CD7C5F" w:rsidRPr="00152F5C">
        <w:rPr>
          <w:rFonts w:ascii="Times New Roman" w:hAnsi="Times New Roman" w:cs="Times New Roman"/>
          <w:sz w:val="25"/>
          <w:szCs w:val="25"/>
        </w:rPr>
        <w:t xml:space="preserve">that </w:t>
      </w:r>
      <w:r w:rsidR="00B37F7E" w:rsidRPr="00152F5C">
        <w:rPr>
          <w:rFonts w:ascii="Times New Roman" w:hAnsi="Times New Roman" w:cs="Times New Roman"/>
          <w:sz w:val="25"/>
          <w:szCs w:val="25"/>
        </w:rPr>
        <w:t>the output of these resources could be delivered to PSE’s load (and to market) without new transmission or distribution facilities</w:t>
      </w:r>
      <w:r w:rsidR="00CD7C5F" w:rsidRPr="00152F5C">
        <w:rPr>
          <w:rFonts w:ascii="Times New Roman" w:hAnsi="Times New Roman" w:cs="Times New Roman"/>
          <w:sz w:val="25"/>
          <w:szCs w:val="25"/>
        </w:rPr>
        <w:t xml:space="preserve">. </w:t>
      </w:r>
      <w:r w:rsidR="00B37F7E" w:rsidRPr="00152F5C">
        <w:rPr>
          <w:rFonts w:ascii="Times New Roman" w:hAnsi="Times New Roman" w:cs="Times New Roman"/>
          <w:sz w:val="25"/>
          <w:szCs w:val="25"/>
        </w:rPr>
        <w:t xml:space="preserve"> In </w:t>
      </w:r>
      <w:r w:rsidR="00CD7C5F" w:rsidRPr="00152F5C">
        <w:rPr>
          <w:rFonts w:ascii="Times New Roman" w:hAnsi="Times New Roman" w:cs="Times New Roman"/>
          <w:sz w:val="25"/>
          <w:szCs w:val="25"/>
        </w:rPr>
        <w:t xml:space="preserve">contrast to the </w:t>
      </w:r>
      <w:r w:rsidRPr="00152F5C">
        <w:rPr>
          <w:rFonts w:ascii="Times New Roman" w:hAnsi="Times New Roman" w:cs="Times New Roman"/>
          <w:sz w:val="25"/>
          <w:szCs w:val="25"/>
        </w:rPr>
        <w:t xml:space="preserve">2011 </w:t>
      </w:r>
      <w:r w:rsidR="00CD7C5F" w:rsidRPr="00152F5C">
        <w:rPr>
          <w:rFonts w:ascii="Times New Roman" w:hAnsi="Times New Roman" w:cs="Times New Roman"/>
          <w:sz w:val="25"/>
          <w:szCs w:val="25"/>
        </w:rPr>
        <w:t xml:space="preserve">IRP, this IRP </w:t>
      </w:r>
      <w:r w:rsidRPr="00152F5C">
        <w:rPr>
          <w:rFonts w:ascii="Times New Roman" w:hAnsi="Times New Roman" w:cs="Times New Roman"/>
          <w:sz w:val="25"/>
          <w:szCs w:val="25"/>
        </w:rPr>
        <w:t>did not include any</w:t>
      </w:r>
      <w:r w:rsidR="00CD7C5F" w:rsidRPr="00152F5C">
        <w:rPr>
          <w:rFonts w:ascii="Times New Roman" w:hAnsi="Times New Roman" w:cs="Times New Roman"/>
          <w:sz w:val="25"/>
          <w:szCs w:val="25"/>
        </w:rPr>
        <w:t xml:space="preserve"> evaluat</w:t>
      </w:r>
      <w:r w:rsidRPr="00152F5C">
        <w:rPr>
          <w:rFonts w:ascii="Times New Roman" w:hAnsi="Times New Roman" w:cs="Times New Roman"/>
          <w:sz w:val="25"/>
          <w:szCs w:val="25"/>
        </w:rPr>
        <w:t>ion of</w:t>
      </w:r>
      <w:r w:rsidR="00CD7C5F" w:rsidRPr="00152F5C">
        <w:rPr>
          <w:rFonts w:ascii="Times New Roman" w:hAnsi="Times New Roman" w:cs="Times New Roman"/>
          <w:sz w:val="25"/>
          <w:szCs w:val="25"/>
        </w:rPr>
        <w:t xml:space="preserve"> new pot</w:t>
      </w:r>
      <w:r w:rsidR="00D5676F" w:rsidRPr="00152F5C">
        <w:rPr>
          <w:rFonts w:ascii="Times New Roman" w:hAnsi="Times New Roman" w:cs="Times New Roman"/>
          <w:sz w:val="25"/>
          <w:szCs w:val="25"/>
        </w:rPr>
        <w:t>ential transmission projects</w:t>
      </w:r>
      <w:r w:rsidR="00703C97" w:rsidRPr="00152F5C">
        <w:rPr>
          <w:rFonts w:ascii="Times New Roman" w:hAnsi="Times New Roman" w:cs="Times New Roman"/>
          <w:sz w:val="25"/>
          <w:szCs w:val="25"/>
        </w:rPr>
        <w:t xml:space="preserve"> even though the Plan calls for nea</w:t>
      </w:r>
      <w:r w:rsidR="006701C2" w:rsidRPr="00152F5C">
        <w:rPr>
          <w:rFonts w:ascii="Times New Roman" w:hAnsi="Times New Roman" w:cs="Times New Roman"/>
          <w:sz w:val="25"/>
          <w:szCs w:val="25"/>
        </w:rPr>
        <w:t>r</w:t>
      </w:r>
      <w:r w:rsidR="00703C97" w:rsidRPr="00152F5C">
        <w:rPr>
          <w:rFonts w:ascii="Times New Roman" w:hAnsi="Times New Roman" w:cs="Times New Roman"/>
          <w:sz w:val="25"/>
          <w:szCs w:val="25"/>
        </w:rPr>
        <w:t xml:space="preserve">ly a dozen new </w:t>
      </w:r>
      <w:r w:rsidR="00B107EF" w:rsidRPr="00152F5C">
        <w:rPr>
          <w:rFonts w:ascii="Times New Roman" w:hAnsi="Times New Roman" w:cs="Times New Roman"/>
          <w:sz w:val="25"/>
          <w:szCs w:val="25"/>
        </w:rPr>
        <w:t>p</w:t>
      </w:r>
      <w:r w:rsidR="00703C97" w:rsidRPr="00152F5C">
        <w:rPr>
          <w:rFonts w:ascii="Times New Roman" w:hAnsi="Times New Roman" w:cs="Times New Roman"/>
          <w:sz w:val="25"/>
          <w:szCs w:val="25"/>
        </w:rPr>
        <w:t>eakers</w:t>
      </w:r>
      <w:r w:rsidR="00D5676F" w:rsidRPr="00152F5C">
        <w:rPr>
          <w:rFonts w:ascii="Times New Roman" w:hAnsi="Times New Roman" w:cs="Times New Roman"/>
          <w:sz w:val="25"/>
          <w:szCs w:val="25"/>
        </w:rPr>
        <w:t xml:space="preserve">. Chapter 7 of the IRP describes PSE’s </w:t>
      </w:r>
      <w:r w:rsidR="00040B1E" w:rsidRPr="00152F5C">
        <w:rPr>
          <w:rFonts w:ascii="Times New Roman" w:hAnsi="Times New Roman" w:cs="Times New Roman"/>
          <w:sz w:val="25"/>
          <w:szCs w:val="25"/>
        </w:rPr>
        <w:t xml:space="preserve">current </w:t>
      </w:r>
      <w:r w:rsidR="00D5676F" w:rsidRPr="00152F5C">
        <w:rPr>
          <w:rFonts w:ascii="Times New Roman" w:hAnsi="Times New Roman" w:cs="Times New Roman"/>
          <w:sz w:val="25"/>
          <w:szCs w:val="25"/>
        </w:rPr>
        <w:t xml:space="preserve">distribution infrastructure plan. However, this plan is developed outside of the IRP by a different group within the Company, and there is very little connection between it and the resources modeled in the rest of the IRP. </w:t>
      </w:r>
      <w:r w:rsidR="00B945D8" w:rsidRPr="00152F5C">
        <w:rPr>
          <w:rFonts w:ascii="Times New Roman" w:hAnsi="Times New Roman" w:cs="Times New Roman"/>
          <w:sz w:val="25"/>
          <w:szCs w:val="25"/>
        </w:rPr>
        <w:t xml:space="preserve">Should the Company pursue resources that are not adjacent to its service territory, the Commission fully expects PSE to consider the costs of transmission for those resources. </w:t>
      </w:r>
    </w:p>
    <w:p w:rsidR="00497DD2" w:rsidRPr="00152F5C" w:rsidRDefault="00497DD2" w:rsidP="00895DF8">
      <w:pPr>
        <w:spacing w:line="264" w:lineRule="auto"/>
        <w:rPr>
          <w:rFonts w:ascii="Times New Roman" w:hAnsi="Times New Roman" w:cs="Times New Roman"/>
          <w:sz w:val="25"/>
          <w:szCs w:val="25"/>
        </w:rPr>
      </w:pPr>
    </w:p>
    <w:p w:rsidR="00497DD2" w:rsidRPr="00152F5C" w:rsidRDefault="00B945D8" w:rsidP="00895DF8">
      <w:pPr>
        <w:pStyle w:val="ListParagraph"/>
        <w:numPr>
          <w:ilvl w:val="0"/>
          <w:numId w:val="6"/>
        </w:numPr>
        <w:spacing w:line="264" w:lineRule="auto"/>
        <w:rPr>
          <w:rFonts w:ascii="Times New Roman" w:hAnsi="Times New Roman" w:cs="Times New Roman"/>
          <w:sz w:val="25"/>
          <w:szCs w:val="25"/>
        </w:rPr>
      </w:pPr>
      <w:r w:rsidRPr="00152F5C">
        <w:rPr>
          <w:rFonts w:ascii="Times New Roman" w:hAnsi="Times New Roman" w:cs="Times New Roman"/>
          <w:sz w:val="25"/>
          <w:szCs w:val="25"/>
        </w:rPr>
        <w:t>In the next IRP, PSE should model the transmission constraints present in its system and the impact those constraints have on resource selection</w:t>
      </w:r>
      <w:r w:rsidR="003F20B4" w:rsidRPr="00152F5C">
        <w:rPr>
          <w:rFonts w:ascii="Times New Roman" w:hAnsi="Times New Roman" w:cs="Times New Roman"/>
          <w:sz w:val="25"/>
          <w:szCs w:val="25"/>
        </w:rPr>
        <w:t xml:space="preserve">. </w:t>
      </w:r>
    </w:p>
    <w:p w:rsidR="00CD7C5F" w:rsidRPr="00152F5C" w:rsidRDefault="00CD7C5F" w:rsidP="00895DF8">
      <w:pPr>
        <w:pStyle w:val="ListParagraph"/>
        <w:numPr>
          <w:ilvl w:val="0"/>
          <w:numId w:val="6"/>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Company should </w:t>
      </w:r>
      <w:r w:rsidR="00932EFB" w:rsidRPr="00152F5C">
        <w:rPr>
          <w:rFonts w:ascii="Times New Roman" w:hAnsi="Times New Roman" w:cs="Times New Roman"/>
          <w:sz w:val="25"/>
          <w:szCs w:val="25"/>
        </w:rPr>
        <w:t xml:space="preserve">explicitly </w:t>
      </w:r>
      <w:r w:rsidR="00B945D8" w:rsidRPr="00152F5C">
        <w:rPr>
          <w:rFonts w:ascii="Times New Roman" w:hAnsi="Times New Roman" w:cs="Times New Roman"/>
          <w:sz w:val="25"/>
          <w:szCs w:val="25"/>
        </w:rPr>
        <w:t>describe</w:t>
      </w:r>
      <w:r w:rsidRPr="00152F5C">
        <w:rPr>
          <w:rFonts w:ascii="Times New Roman" w:hAnsi="Times New Roman" w:cs="Times New Roman"/>
          <w:sz w:val="25"/>
          <w:szCs w:val="25"/>
        </w:rPr>
        <w:t xml:space="preserve"> the relationship between the infrastructure and IRP planning processes</w:t>
      </w:r>
      <w:r w:rsidR="00B945D8" w:rsidRPr="00152F5C">
        <w:rPr>
          <w:rFonts w:ascii="Times New Roman" w:hAnsi="Times New Roman" w:cs="Times New Roman"/>
          <w:sz w:val="25"/>
          <w:szCs w:val="25"/>
        </w:rPr>
        <w:t>.</w:t>
      </w:r>
    </w:p>
    <w:p w:rsidR="00F745CD" w:rsidRPr="00152F5C" w:rsidRDefault="00F745CD" w:rsidP="00895DF8">
      <w:pPr>
        <w:spacing w:line="264" w:lineRule="auto"/>
        <w:rPr>
          <w:rFonts w:ascii="Times New Roman" w:hAnsi="Times New Roman" w:cs="Times New Roman"/>
          <w:sz w:val="25"/>
          <w:szCs w:val="25"/>
        </w:rPr>
      </w:pPr>
    </w:p>
    <w:p w:rsidR="00F3297B" w:rsidRPr="00152F5C" w:rsidRDefault="00A906C8" w:rsidP="00895DF8">
      <w:pPr>
        <w:spacing w:line="264" w:lineRule="auto"/>
        <w:rPr>
          <w:rFonts w:ascii="Times New Roman" w:hAnsi="Times New Roman" w:cs="Times New Roman"/>
          <w:b/>
          <w:sz w:val="25"/>
          <w:szCs w:val="25"/>
        </w:rPr>
      </w:pPr>
      <w:r w:rsidRPr="00152F5C">
        <w:rPr>
          <w:rFonts w:ascii="Times New Roman" w:hAnsi="Times New Roman" w:cs="Times New Roman"/>
          <w:b/>
          <w:sz w:val="25"/>
          <w:szCs w:val="25"/>
        </w:rPr>
        <w:t>Process</w:t>
      </w:r>
    </w:p>
    <w:p w:rsidR="005F10DA" w:rsidRPr="00152F5C" w:rsidRDefault="005F10DA" w:rsidP="00895DF8">
      <w:pPr>
        <w:spacing w:line="264" w:lineRule="auto"/>
        <w:rPr>
          <w:rFonts w:ascii="Times New Roman" w:hAnsi="Times New Roman" w:cs="Times New Roman"/>
          <w:sz w:val="25"/>
          <w:szCs w:val="25"/>
        </w:rPr>
      </w:pPr>
    </w:p>
    <w:p w:rsidR="003E1D1A" w:rsidRPr="00152F5C" w:rsidRDefault="005F10DA"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process for developing the 2013 IRP saw a marked increase in public participation from recent IRP processes. </w:t>
      </w:r>
      <w:r w:rsidR="00B107EF" w:rsidRPr="00152F5C">
        <w:rPr>
          <w:rFonts w:ascii="Times New Roman" w:hAnsi="Times New Roman" w:cs="Times New Roman"/>
          <w:sz w:val="25"/>
          <w:szCs w:val="25"/>
        </w:rPr>
        <w:t xml:space="preserve">This is in no small part due to the increased </w:t>
      </w:r>
      <w:r w:rsidR="002E061B" w:rsidRPr="00152F5C">
        <w:rPr>
          <w:rFonts w:ascii="Times New Roman" w:hAnsi="Times New Roman" w:cs="Times New Roman"/>
          <w:sz w:val="25"/>
          <w:szCs w:val="25"/>
        </w:rPr>
        <w:t>salience</w:t>
      </w:r>
      <w:r w:rsidR="00B107EF" w:rsidRPr="00152F5C">
        <w:rPr>
          <w:rFonts w:ascii="Times New Roman" w:hAnsi="Times New Roman" w:cs="Times New Roman"/>
          <w:sz w:val="25"/>
          <w:szCs w:val="25"/>
        </w:rPr>
        <w:t xml:space="preserve"> of issues related to PSE’s coal resources, which are the subject of litigation by some organizations participating in the IRP process.  </w:t>
      </w:r>
      <w:r w:rsidRPr="00152F5C">
        <w:rPr>
          <w:rFonts w:ascii="Times New Roman" w:hAnsi="Times New Roman" w:cs="Times New Roman"/>
          <w:sz w:val="25"/>
          <w:szCs w:val="25"/>
        </w:rPr>
        <w:t xml:space="preserve">After a few Advisory Group meetings, </w:t>
      </w:r>
      <w:r w:rsidR="00DB615C" w:rsidRPr="00152F5C">
        <w:rPr>
          <w:rFonts w:ascii="Times New Roman" w:hAnsi="Times New Roman" w:cs="Times New Roman"/>
          <w:sz w:val="25"/>
          <w:szCs w:val="25"/>
        </w:rPr>
        <w:t xml:space="preserve">Commission </w:t>
      </w:r>
      <w:r w:rsidRPr="00152F5C">
        <w:rPr>
          <w:rFonts w:ascii="Times New Roman" w:hAnsi="Times New Roman" w:cs="Times New Roman"/>
          <w:sz w:val="25"/>
          <w:szCs w:val="25"/>
        </w:rPr>
        <w:t>Staff</w:t>
      </w:r>
      <w:r w:rsidR="00DB615C" w:rsidRPr="00152F5C">
        <w:rPr>
          <w:rFonts w:ascii="Times New Roman" w:hAnsi="Times New Roman" w:cs="Times New Roman"/>
          <w:sz w:val="25"/>
          <w:szCs w:val="25"/>
        </w:rPr>
        <w:t xml:space="preserve"> (Staff)</w:t>
      </w:r>
      <w:r w:rsidRPr="00152F5C">
        <w:rPr>
          <w:rFonts w:ascii="Times New Roman" w:hAnsi="Times New Roman" w:cs="Times New Roman"/>
          <w:sz w:val="25"/>
          <w:szCs w:val="25"/>
        </w:rPr>
        <w:t xml:space="preserve"> encouraged PSE to hire a facilitator to help keep the meetings respectful, focused</w:t>
      </w:r>
      <w:r w:rsidR="00B107EF" w:rsidRPr="00152F5C">
        <w:rPr>
          <w:rFonts w:ascii="Times New Roman" w:hAnsi="Times New Roman" w:cs="Times New Roman"/>
          <w:sz w:val="25"/>
          <w:szCs w:val="25"/>
        </w:rPr>
        <w:t>,</w:t>
      </w:r>
      <w:r w:rsidRPr="00152F5C">
        <w:rPr>
          <w:rFonts w:ascii="Times New Roman" w:hAnsi="Times New Roman" w:cs="Times New Roman"/>
          <w:sz w:val="25"/>
          <w:szCs w:val="25"/>
        </w:rPr>
        <w:t xml:space="preserve"> and productive</w:t>
      </w:r>
      <w:r w:rsidR="003F20B4" w:rsidRPr="00152F5C">
        <w:rPr>
          <w:rFonts w:ascii="Times New Roman" w:hAnsi="Times New Roman" w:cs="Times New Roman"/>
          <w:sz w:val="25"/>
          <w:szCs w:val="25"/>
        </w:rPr>
        <w:t xml:space="preserve">. </w:t>
      </w:r>
      <w:r w:rsidR="00E63EFA" w:rsidRPr="00152F5C">
        <w:rPr>
          <w:rFonts w:ascii="Times New Roman" w:hAnsi="Times New Roman" w:cs="Times New Roman"/>
          <w:sz w:val="25"/>
          <w:szCs w:val="25"/>
        </w:rPr>
        <w:t>PSE did so, and t</w:t>
      </w:r>
      <w:r w:rsidRPr="00152F5C">
        <w:rPr>
          <w:rFonts w:ascii="Times New Roman" w:hAnsi="Times New Roman" w:cs="Times New Roman"/>
          <w:sz w:val="25"/>
          <w:szCs w:val="25"/>
        </w:rPr>
        <w:t xml:space="preserve">his significantly improved the tone of the meetings, and resulted in more structured meetings and more transparent communication. </w:t>
      </w:r>
      <w:r w:rsidR="003E1D1A" w:rsidRPr="00152F5C">
        <w:rPr>
          <w:rFonts w:ascii="Times New Roman" w:hAnsi="Times New Roman" w:cs="Times New Roman"/>
          <w:sz w:val="25"/>
          <w:szCs w:val="25"/>
        </w:rPr>
        <w:t>PSE has committed to working with an outside facilitator to restructure and facilitate its 2015 IRP stakeholder engagement</w:t>
      </w:r>
      <w:r w:rsidR="00DD4BF1" w:rsidRPr="00152F5C">
        <w:rPr>
          <w:rFonts w:ascii="Times New Roman" w:hAnsi="Times New Roman" w:cs="Times New Roman"/>
          <w:sz w:val="25"/>
          <w:szCs w:val="25"/>
        </w:rPr>
        <w:t xml:space="preserve"> process</w:t>
      </w:r>
      <w:r w:rsidR="003E1D1A" w:rsidRPr="00152F5C">
        <w:rPr>
          <w:rFonts w:ascii="Times New Roman" w:hAnsi="Times New Roman" w:cs="Times New Roman"/>
          <w:sz w:val="25"/>
          <w:szCs w:val="25"/>
        </w:rPr>
        <w:t>.</w:t>
      </w:r>
    </w:p>
    <w:p w:rsidR="003E1D1A" w:rsidRPr="00152F5C" w:rsidRDefault="003E1D1A" w:rsidP="00895DF8">
      <w:pPr>
        <w:spacing w:line="264" w:lineRule="auto"/>
        <w:rPr>
          <w:rFonts w:ascii="Times New Roman" w:hAnsi="Times New Roman" w:cs="Times New Roman"/>
          <w:sz w:val="25"/>
          <w:szCs w:val="25"/>
        </w:rPr>
      </w:pPr>
    </w:p>
    <w:p w:rsidR="00DC7006" w:rsidRPr="00152F5C" w:rsidRDefault="005F10DA"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Despite the improvement, Advisory Group members expressed continued frustration with</w:t>
      </w:r>
      <w:r w:rsidR="009838F9" w:rsidRPr="00152F5C">
        <w:rPr>
          <w:rFonts w:ascii="Times New Roman" w:hAnsi="Times New Roman" w:cs="Times New Roman"/>
          <w:sz w:val="25"/>
          <w:szCs w:val="25"/>
        </w:rPr>
        <w:t xml:space="preserve"> the way</w:t>
      </w:r>
      <w:r w:rsidRPr="00152F5C">
        <w:rPr>
          <w:rFonts w:ascii="Times New Roman" w:hAnsi="Times New Roman" w:cs="Times New Roman"/>
          <w:sz w:val="25"/>
          <w:szCs w:val="25"/>
        </w:rPr>
        <w:t xml:space="preserve"> PSE </w:t>
      </w:r>
      <w:r w:rsidR="009838F9" w:rsidRPr="00152F5C">
        <w:rPr>
          <w:rFonts w:ascii="Times New Roman" w:hAnsi="Times New Roman" w:cs="Times New Roman"/>
          <w:sz w:val="25"/>
          <w:szCs w:val="25"/>
        </w:rPr>
        <w:t xml:space="preserve">responded </w:t>
      </w:r>
      <w:r w:rsidRPr="00152F5C">
        <w:rPr>
          <w:rFonts w:ascii="Times New Roman" w:hAnsi="Times New Roman" w:cs="Times New Roman"/>
          <w:sz w:val="25"/>
          <w:szCs w:val="25"/>
        </w:rPr>
        <w:t xml:space="preserve">to questions or requests for data. </w:t>
      </w:r>
      <w:r w:rsidR="009838F9" w:rsidRPr="00152F5C">
        <w:rPr>
          <w:rFonts w:ascii="Times New Roman" w:hAnsi="Times New Roman" w:cs="Times New Roman"/>
          <w:sz w:val="25"/>
          <w:szCs w:val="25"/>
        </w:rPr>
        <w:t xml:space="preserve">Incomplete access </w:t>
      </w:r>
      <w:r w:rsidR="006E245F" w:rsidRPr="00152F5C">
        <w:rPr>
          <w:rFonts w:ascii="Times New Roman" w:hAnsi="Times New Roman" w:cs="Times New Roman"/>
          <w:sz w:val="25"/>
          <w:szCs w:val="25"/>
        </w:rPr>
        <w:t>to confidential information hindered Advisory Group pa</w:t>
      </w:r>
      <w:r w:rsidR="00605A5B" w:rsidRPr="00152F5C">
        <w:rPr>
          <w:rFonts w:ascii="Times New Roman" w:hAnsi="Times New Roman" w:cs="Times New Roman"/>
          <w:sz w:val="25"/>
          <w:szCs w:val="25"/>
        </w:rPr>
        <w:t>rticipation and trust</w:t>
      </w:r>
      <w:r w:rsidR="006E245F" w:rsidRPr="00152F5C">
        <w:rPr>
          <w:rFonts w:ascii="Times New Roman" w:hAnsi="Times New Roman" w:cs="Times New Roman"/>
          <w:sz w:val="25"/>
          <w:szCs w:val="25"/>
        </w:rPr>
        <w:t xml:space="preserve">. </w:t>
      </w:r>
      <w:r w:rsidR="003E1D1A" w:rsidRPr="00152F5C">
        <w:rPr>
          <w:rFonts w:ascii="Times New Roman" w:hAnsi="Times New Roman" w:cs="Times New Roman"/>
          <w:sz w:val="25"/>
          <w:szCs w:val="25"/>
        </w:rPr>
        <w:t>C</w:t>
      </w:r>
      <w:r w:rsidR="00DB615C" w:rsidRPr="00152F5C">
        <w:rPr>
          <w:rFonts w:ascii="Times New Roman" w:hAnsi="Times New Roman" w:cs="Times New Roman"/>
          <w:sz w:val="25"/>
          <w:szCs w:val="25"/>
        </w:rPr>
        <w:t xml:space="preserve">ertain data </w:t>
      </w:r>
      <w:r w:rsidR="003E1D1A" w:rsidRPr="00152F5C">
        <w:rPr>
          <w:rFonts w:ascii="Times New Roman" w:hAnsi="Times New Roman" w:cs="Times New Roman"/>
          <w:sz w:val="25"/>
          <w:szCs w:val="25"/>
        </w:rPr>
        <w:t>w</w:t>
      </w:r>
      <w:r w:rsidR="00E63EFA" w:rsidRPr="00152F5C">
        <w:rPr>
          <w:rFonts w:ascii="Times New Roman" w:hAnsi="Times New Roman" w:cs="Times New Roman"/>
          <w:sz w:val="25"/>
          <w:szCs w:val="25"/>
        </w:rPr>
        <w:t>ere</w:t>
      </w:r>
      <w:r w:rsidR="003E1D1A" w:rsidRPr="00152F5C">
        <w:rPr>
          <w:rFonts w:ascii="Times New Roman" w:hAnsi="Times New Roman" w:cs="Times New Roman"/>
          <w:sz w:val="25"/>
          <w:szCs w:val="25"/>
        </w:rPr>
        <w:t xml:space="preserve"> not provided to the full Advisory Group or presented in t</w:t>
      </w:r>
      <w:r w:rsidR="00DB615C" w:rsidRPr="00152F5C">
        <w:rPr>
          <w:rFonts w:ascii="Times New Roman" w:hAnsi="Times New Roman" w:cs="Times New Roman"/>
          <w:sz w:val="25"/>
          <w:szCs w:val="25"/>
        </w:rPr>
        <w:t xml:space="preserve">he </w:t>
      </w:r>
      <w:r w:rsidR="00325C90" w:rsidRPr="00152F5C">
        <w:rPr>
          <w:rFonts w:ascii="Times New Roman" w:hAnsi="Times New Roman" w:cs="Times New Roman"/>
          <w:sz w:val="25"/>
          <w:szCs w:val="25"/>
        </w:rPr>
        <w:t xml:space="preserve">filed </w:t>
      </w:r>
      <w:r w:rsidR="00DB615C" w:rsidRPr="00152F5C">
        <w:rPr>
          <w:rFonts w:ascii="Times New Roman" w:hAnsi="Times New Roman" w:cs="Times New Roman"/>
          <w:sz w:val="25"/>
          <w:szCs w:val="25"/>
        </w:rPr>
        <w:t>IRP</w:t>
      </w:r>
      <w:r w:rsidR="003E1D1A" w:rsidRPr="00152F5C">
        <w:rPr>
          <w:rFonts w:ascii="Times New Roman" w:hAnsi="Times New Roman" w:cs="Times New Roman"/>
          <w:sz w:val="25"/>
          <w:szCs w:val="25"/>
        </w:rPr>
        <w:t xml:space="preserve"> due to concerns about confidentiality</w:t>
      </w:r>
      <w:r w:rsidR="00DB615C" w:rsidRPr="00152F5C">
        <w:rPr>
          <w:rFonts w:ascii="Times New Roman" w:hAnsi="Times New Roman" w:cs="Times New Roman"/>
          <w:sz w:val="25"/>
          <w:szCs w:val="25"/>
        </w:rPr>
        <w:t xml:space="preserve">. </w:t>
      </w:r>
      <w:r w:rsidR="00E63EFA" w:rsidRPr="00152F5C">
        <w:rPr>
          <w:rFonts w:ascii="Times New Roman" w:hAnsi="Times New Roman" w:cs="Times New Roman"/>
          <w:sz w:val="25"/>
          <w:szCs w:val="25"/>
        </w:rPr>
        <w:t xml:space="preserve">Yet, PSE did not take advantage of standard Commission practice for the handling confidential information. </w:t>
      </w:r>
      <w:r w:rsidR="00DC7006" w:rsidRPr="00152F5C">
        <w:rPr>
          <w:rFonts w:ascii="Times New Roman" w:hAnsi="Times New Roman" w:cs="Times New Roman"/>
          <w:sz w:val="25"/>
          <w:szCs w:val="25"/>
        </w:rPr>
        <w:t>T</w:t>
      </w:r>
      <w:r w:rsidR="00DB615C" w:rsidRPr="00152F5C">
        <w:rPr>
          <w:rFonts w:ascii="Times New Roman" w:hAnsi="Times New Roman" w:cs="Times New Roman"/>
          <w:sz w:val="25"/>
          <w:szCs w:val="25"/>
        </w:rPr>
        <w:t>h</w:t>
      </w:r>
      <w:r w:rsidR="00325C90" w:rsidRPr="00152F5C">
        <w:rPr>
          <w:rFonts w:ascii="Times New Roman" w:hAnsi="Times New Roman" w:cs="Times New Roman"/>
          <w:sz w:val="25"/>
          <w:szCs w:val="25"/>
        </w:rPr>
        <w:t>e</w:t>
      </w:r>
      <w:r w:rsidR="00DB615C" w:rsidRPr="00152F5C">
        <w:rPr>
          <w:rFonts w:ascii="Times New Roman" w:hAnsi="Times New Roman" w:cs="Times New Roman"/>
          <w:sz w:val="25"/>
          <w:szCs w:val="25"/>
        </w:rPr>
        <w:t>s</w:t>
      </w:r>
      <w:r w:rsidR="00325C90" w:rsidRPr="00152F5C">
        <w:rPr>
          <w:rFonts w:ascii="Times New Roman" w:hAnsi="Times New Roman" w:cs="Times New Roman"/>
          <w:sz w:val="25"/>
          <w:szCs w:val="25"/>
        </w:rPr>
        <w:t>e omissions</w:t>
      </w:r>
      <w:r w:rsidR="00DB615C" w:rsidRPr="00152F5C">
        <w:rPr>
          <w:rFonts w:ascii="Times New Roman" w:hAnsi="Times New Roman" w:cs="Times New Roman"/>
          <w:sz w:val="25"/>
          <w:szCs w:val="25"/>
        </w:rPr>
        <w:t xml:space="preserve"> inhibited Staff review of the IRP, which the Commission find</w:t>
      </w:r>
      <w:r w:rsidR="00E63EFA" w:rsidRPr="00152F5C">
        <w:rPr>
          <w:rFonts w:ascii="Times New Roman" w:hAnsi="Times New Roman" w:cs="Times New Roman"/>
          <w:sz w:val="25"/>
          <w:szCs w:val="25"/>
        </w:rPr>
        <w:t>s</w:t>
      </w:r>
      <w:r w:rsidR="00DB615C" w:rsidRPr="00152F5C">
        <w:rPr>
          <w:rFonts w:ascii="Times New Roman" w:hAnsi="Times New Roman" w:cs="Times New Roman"/>
          <w:sz w:val="25"/>
          <w:szCs w:val="25"/>
        </w:rPr>
        <w:t xml:space="preserve"> </w:t>
      </w:r>
      <w:r w:rsidR="00E63EFA" w:rsidRPr="00152F5C">
        <w:rPr>
          <w:rFonts w:ascii="Times New Roman" w:hAnsi="Times New Roman" w:cs="Times New Roman"/>
          <w:sz w:val="25"/>
          <w:szCs w:val="25"/>
        </w:rPr>
        <w:t>un</w:t>
      </w:r>
      <w:r w:rsidR="00DB615C" w:rsidRPr="00152F5C">
        <w:rPr>
          <w:rFonts w:ascii="Times New Roman" w:hAnsi="Times New Roman" w:cs="Times New Roman"/>
          <w:sz w:val="25"/>
          <w:szCs w:val="25"/>
        </w:rPr>
        <w:t>acceptable.</w:t>
      </w:r>
    </w:p>
    <w:p w:rsidR="005F10DA" w:rsidRPr="00152F5C" w:rsidRDefault="005F10DA" w:rsidP="00895DF8">
      <w:pPr>
        <w:spacing w:line="264" w:lineRule="auto"/>
        <w:rPr>
          <w:rFonts w:ascii="Times New Roman" w:hAnsi="Times New Roman" w:cs="Times New Roman"/>
          <w:sz w:val="25"/>
          <w:szCs w:val="25"/>
        </w:rPr>
      </w:pPr>
    </w:p>
    <w:p w:rsidR="005F10DA" w:rsidRPr="00152F5C" w:rsidRDefault="00733D61" w:rsidP="00895DF8">
      <w:pPr>
        <w:pStyle w:val="ListParagraph"/>
        <w:numPr>
          <w:ilvl w:val="0"/>
          <w:numId w:val="8"/>
        </w:numPr>
        <w:spacing w:line="264" w:lineRule="auto"/>
        <w:rPr>
          <w:rFonts w:ascii="Times New Roman" w:hAnsi="Times New Roman" w:cs="Times New Roman"/>
          <w:sz w:val="25"/>
          <w:szCs w:val="25"/>
        </w:rPr>
      </w:pPr>
      <w:r w:rsidRPr="00152F5C">
        <w:rPr>
          <w:rFonts w:ascii="Times New Roman" w:hAnsi="Times New Roman" w:cs="Times New Roman"/>
          <w:sz w:val="25"/>
          <w:szCs w:val="25"/>
        </w:rPr>
        <w:lastRenderedPageBreak/>
        <w:t>The Commission</w:t>
      </w:r>
      <w:r w:rsidR="005F10DA" w:rsidRPr="00152F5C">
        <w:rPr>
          <w:rFonts w:ascii="Times New Roman" w:hAnsi="Times New Roman" w:cs="Times New Roman"/>
          <w:sz w:val="25"/>
          <w:szCs w:val="25"/>
        </w:rPr>
        <w:t xml:space="preserve"> </w:t>
      </w:r>
      <w:r w:rsidRPr="00152F5C">
        <w:rPr>
          <w:rFonts w:ascii="Times New Roman" w:hAnsi="Times New Roman" w:cs="Times New Roman"/>
          <w:sz w:val="25"/>
          <w:szCs w:val="25"/>
        </w:rPr>
        <w:t>encourages</w:t>
      </w:r>
      <w:r w:rsidR="005F10DA" w:rsidRPr="00152F5C">
        <w:rPr>
          <w:rFonts w:ascii="Times New Roman" w:hAnsi="Times New Roman" w:cs="Times New Roman"/>
          <w:sz w:val="25"/>
          <w:szCs w:val="25"/>
        </w:rPr>
        <w:t xml:space="preserve"> PSE </w:t>
      </w:r>
      <w:r w:rsidRPr="00152F5C">
        <w:rPr>
          <w:rFonts w:ascii="Times New Roman" w:hAnsi="Times New Roman" w:cs="Times New Roman"/>
          <w:sz w:val="25"/>
          <w:szCs w:val="25"/>
        </w:rPr>
        <w:t xml:space="preserve">to </w:t>
      </w:r>
      <w:r w:rsidR="005F10DA" w:rsidRPr="00152F5C">
        <w:rPr>
          <w:rFonts w:ascii="Times New Roman" w:hAnsi="Times New Roman" w:cs="Times New Roman"/>
          <w:sz w:val="25"/>
          <w:szCs w:val="25"/>
        </w:rPr>
        <w:t xml:space="preserve">continue </w:t>
      </w:r>
      <w:r w:rsidRPr="00152F5C">
        <w:rPr>
          <w:rFonts w:ascii="Times New Roman" w:hAnsi="Times New Roman" w:cs="Times New Roman"/>
          <w:sz w:val="25"/>
          <w:szCs w:val="25"/>
        </w:rPr>
        <w:t>using</w:t>
      </w:r>
      <w:r w:rsidR="005F10DA" w:rsidRPr="00152F5C">
        <w:rPr>
          <w:rFonts w:ascii="Times New Roman" w:hAnsi="Times New Roman" w:cs="Times New Roman"/>
          <w:sz w:val="25"/>
          <w:szCs w:val="25"/>
        </w:rPr>
        <w:t xml:space="preserve"> an outside facilitator to </w:t>
      </w:r>
      <w:r w:rsidRPr="00152F5C">
        <w:rPr>
          <w:rFonts w:ascii="Times New Roman" w:hAnsi="Times New Roman" w:cs="Times New Roman"/>
          <w:sz w:val="25"/>
          <w:szCs w:val="25"/>
        </w:rPr>
        <w:t>manage</w:t>
      </w:r>
      <w:r w:rsidR="005F10DA" w:rsidRPr="00152F5C">
        <w:rPr>
          <w:rFonts w:ascii="Times New Roman" w:hAnsi="Times New Roman" w:cs="Times New Roman"/>
          <w:sz w:val="25"/>
          <w:szCs w:val="25"/>
        </w:rPr>
        <w:t xml:space="preserve"> the </w:t>
      </w:r>
      <w:r w:rsidR="00B107EF" w:rsidRPr="00152F5C">
        <w:rPr>
          <w:rFonts w:ascii="Times New Roman" w:hAnsi="Times New Roman" w:cs="Times New Roman"/>
          <w:sz w:val="25"/>
          <w:szCs w:val="25"/>
        </w:rPr>
        <w:t>A</w:t>
      </w:r>
      <w:r w:rsidR="00325C90" w:rsidRPr="00152F5C">
        <w:rPr>
          <w:rFonts w:ascii="Times New Roman" w:hAnsi="Times New Roman" w:cs="Times New Roman"/>
          <w:sz w:val="25"/>
          <w:szCs w:val="25"/>
        </w:rPr>
        <w:t xml:space="preserve">dvisory </w:t>
      </w:r>
      <w:r w:rsidR="00B107EF" w:rsidRPr="00152F5C">
        <w:rPr>
          <w:rFonts w:ascii="Times New Roman" w:hAnsi="Times New Roman" w:cs="Times New Roman"/>
          <w:sz w:val="25"/>
          <w:szCs w:val="25"/>
        </w:rPr>
        <w:t>G</w:t>
      </w:r>
      <w:r w:rsidR="00325C90" w:rsidRPr="00152F5C">
        <w:rPr>
          <w:rFonts w:ascii="Times New Roman" w:hAnsi="Times New Roman" w:cs="Times New Roman"/>
          <w:sz w:val="25"/>
          <w:szCs w:val="25"/>
        </w:rPr>
        <w:t xml:space="preserve">roup </w:t>
      </w:r>
      <w:r w:rsidR="005F10DA" w:rsidRPr="00152F5C">
        <w:rPr>
          <w:rFonts w:ascii="Times New Roman" w:hAnsi="Times New Roman" w:cs="Times New Roman"/>
          <w:sz w:val="25"/>
          <w:szCs w:val="25"/>
        </w:rPr>
        <w:t>meetings</w:t>
      </w:r>
      <w:r w:rsidR="003F20B4" w:rsidRPr="00152F5C">
        <w:rPr>
          <w:rFonts w:ascii="Times New Roman" w:hAnsi="Times New Roman" w:cs="Times New Roman"/>
          <w:sz w:val="25"/>
          <w:szCs w:val="25"/>
        </w:rPr>
        <w:t xml:space="preserve">. </w:t>
      </w:r>
      <w:r w:rsidR="00325C90" w:rsidRPr="00152F5C">
        <w:rPr>
          <w:rFonts w:ascii="Times New Roman" w:hAnsi="Times New Roman" w:cs="Times New Roman"/>
          <w:sz w:val="25"/>
          <w:szCs w:val="25"/>
        </w:rPr>
        <w:t>Additionally</w:t>
      </w:r>
      <w:r w:rsidRPr="00152F5C">
        <w:rPr>
          <w:rFonts w:ascii="Times New Roman" w:hAnsi="Times New Roman" w:cs="Times New Roman"/>
          <w:sz w:val="25"/>
          <w:szCs w:val="25"/>
        </w:rPr>
        <w:t xml:space="preserve">, the Commission </w:t>
      </w:r>
      <w:r w:rsidR="00695F1A" w:rsidRPr="00152F5C">
        <w:rPr>
          <w:rFonts w:ascii="Times New Roman" w:hAnsi="Times New Roman" w:cs="Times New Roman"/>
          <w:sz w:val="25"/>
          <w:szCs w:val="25"/>
        </w:rPr>
        <w:t xml:space="preserve">expects </w:t>
      </w:r>
      <w:r w:rsidRPr="00152F5C">
        <w:rPr>
          <w:rFonts w:ascii="Times New Roman" w:hAnsi="Times New Roman" w:cs="Times New Roman"/>
          <w:sz w:val="25"/>
          <w:szCs w:val="25"/>
        </w:rPr>
        <w:t xml:space="preserve">the Company </w:t>
      </w:r>
      <w:r w:rsidR="009838F9" w:rsidRPr="00152F5C">
        <w:rPr>
          <w:rFonts w:ascii="Times New Roman" w:hAnsi="Times New Roman" w:cs="Times New Roman"/>
          <w:sz w:val="25"/>
          <w:szCs w:val="25"/>
        </w:rPr>
        <w:t>to provid</w:t>
      </w:r>
      <w:r w:rsidR="00325C90" w:rsidRPr="00152F5C">
        <w:rPr>
          <w:rFonts w:ascii="Times New Roman" w:hAnsi="Times New Roman" w:cs="Times New Roman"/>
          <w:sz w:val="25"/>
          <w:szCs w:val="25"/>
        </w:rPr>
        <w:t>e</w:t>
      </w:r>
      <w:r w:rsidR="009838F9" w:rsidRPr="00152F5C">
        <w:rPr>
          <w:rFonts w:ascii="Times New Roman" w:hAnsi="Times New Roman" w:cs="Times New Roman"/>
          <w:sz w:val="25"/>
          <w:szCs w:val="25"/>
        </w:rPr>
        <w:t xml:space="preserve"> written responses to all </w:t>
      </w:r>
      <w:r w:rsidR="00B107EF" w:rsidRPr="00152F5C">
        <w:rPr>
          <w:rFonts w:ascii="Times New Roman" w:hAnsi="Times New Roman" w:cs="Times New Roman"/>
          <w:sz w:val="25"/>
          <w:szCs w:val="25"/>
        </w:rPr>
        <w:t>A</w:t>
      </w:r>
      <w:r w:rsidR="00695F1A" w:rsidRPr="00152F5C">
        <w:rPr>
          <w:rFonts w:ascii="Times New Roman" w:hAnsi="Times New Roman" w:cs="Times New Roman"/>
          <w:sz w:val="25"/>
          <w:szCs w:val="25"/>
        </w:rPr>
        <w:t xml:space="preserve">dvisory </w:t>
      </w:r>
      <w:r w:rsidR="00B107EF" w:rsidRPr="00152F5C">
        <w:rPr>
          <w:rFonts w:ascii="Times New Roman" w:hAnsi="Times New Roman" w:cs="Times New Roman"/>
          <w:sz w:val="25"/>
          <w:szCs w:val="25"/>
        </w:rPr>
        <w:t>G</w:t>
      </w:r>
      <w:r w:rsidR="00695F1A" w:rsidRPr="00152F5C">
        <w:rPr>
          <w:rFonts w:ascii="Times New Roman" w:hAnsi="Times New Roman" w:cs="Times New Roman"/>
          <w:sz w:val="25"/>
          <w:szCs w:val="25"/>
        </w:rPr>
        <w:t xml:space="preserve">roup </w:t>
      </w:r>
      <w:r w:rsidR="009838F9" w:rsidRPr="00152F5C">
        <w:rPr>
          <w:rFonts w:ascii="Times New Roman" w:hAnsi="Times New Roman" w:cs="Times New Roman"/>
          <w:sz w:val="25"/>
          <w:szCs w:val="25"/>
        </w:rPr>
        <w:t xml:space="preserve">questions </w:t>
      </w:r>
      <w:r w:rsidR="00325C90" w:rsidRPr="00152F5C">
        <w:rPr>
          <w:rFonts w:ascii="Times New Roman" w:hAnsi="Times New Roman" w:cs="Times New Roman"/>
          <w:sz w:val="25"/>
          <w:szCs w:val="25"/>
        </w:rPr>
        <w:t xml:space="preserve">submitted to </w:t>
      </w:r>
      <w:r w:rsidR="00E63EFA" w:rsidRPr="00152F5C">
        <w:rPr>
          <w:rFonts w:ascii="Times New Roman" w:hAnsi="Times New Roman" w:cs="Times New Roman"/>
          <w:sz w:val="25"/>
          <w:szCs w:val="25"/>
        </w:rPr>
        <w:t xml:space="preserve">the </w:t>
      </w:r>
      <w:r w:rsidR="00325C90" w:rsidRPr="00152F5C">
        <w:rPr>
          <w:rFonts w:ascii="Times New Roman" w:hAnsi="Times New Roman" w:cs="Times New Roman"/>
          <w:sz w:val="25"/>
          <w:szCs w:val="25"/>
        </w:rPr>
        <w:t xml:space="preserve">Company in writing, </w:t>
      </w:r>
      <w:r w:rsidR="009838F9" w:rsidRPr="00152F5C">
        <w:rPr>
          <w:rFonts w:ascii="Times New Roman" w:hAnsi="Times New Roman" w:cs="Times New Roman"/>
          <w:sz w:val="25"/>
          <w:szCs w:val="25"/>
        </w:rPr>
        <w:t xml:space="preserve">and </w:t>
      </w:r>
      <w:r w:rsidR="00325C90" w:rsidRPr="00152F5C">
        <w:rPr>
          <w:rFonts w:ascii="Times New Roman" w:hAnsi="Times New Roman" w:cs="Times New Roman"/>
          <w:sz w:val="25"/>
          <w:szCs w:val="25"/>
        </w:rPr>
        <w:t xml:space="preserve">to </w:t>
      </w:r>
      <w:r w:rsidR="009838F9" w:rsidRPr="00152F5C">
        <w:rPr>
          <w:rFonts w:ascii="Times New Roman" w:hAnsi="Times New Roman" w:cs="Times New Roman"/>
          <w:sz w:val="25"/>
          <w:szCs w:val="25"/>
        </w:rPr>
        <w:t>provide minutes</w:t>
      </w:r>
      <w:r w:rsidRPr="00152F5C">
        <w:rPr>
          <w:rFonts w:ascii="Times New Roman" w:hAnsi="Times New Roman" w:cs="Times New Roman"/>
          <w:sz w:val="25"/>
          <w:szCs w:val="25"/>
        </w:rPr>
        <w:t xml:space="preserve"> </w:t>
      </w:r>
      <w:r w:rsidR="00325C90" w:rsidRPr="00152F5C">
        <w:rPr>
          <w:rFonts w:ascii="Times New Roman" w:hAnsi="Times New Roman" w:cs="Times New Roman"/>
          <w:sz w:val="25"/>
          <w:szCs w:val="25"/>
        </w:rPr>
        <w:t xml:space="preserve">for each </w:t>
      </w:r>
      <w:r w:rsidR="00B107EF" w:rsidRPr="00152F5C">
        <w:rPr>
          <w:rFonts w:ascii="Times New Roman" w:hAnsi="Times New Roman" w:cs="Times New Roman"/>
          <w:sz w:val="25"/>
          <w:szCs w:val="25"/>
        </w:rPr>
        <w:t>A</w:t>
      </w:r>
      <w:r w:rsidR="00325C90" w:rsidRPr="00152F5C">
        <w:rPr>
          <w:rFonts w:ascii="Times New Roman" w:hAnsi="Times New Roman" w:cs="Times New Roman"/>
          <w:sz w:val="25"/>
          <w:szCs w:val="25"/>
        </w:rPr>
        <w:t xml:space="preserve">dvisory </w:t>
      </w:r>
      <w:r w:rsidR="00B107EF" w:rsidRPr="00152F5C">
        <w:rPr>
          <w:rFonts w:ascii="Times New Roman" w:hAnsi="Times New Roman" w:cs="Times New Roman"/>
          <w:sz w:val="25"/>
          <w:szCs w:val="25"/>
        </w:rPr>
        <w:t>G</w:t>
      </w:r>
      <w:r w:rsidR="00325C90" w:rsidRPr="00152F5C">
        <w:rPr>
          <w:rFonts w:ascii="Times New Roman" w:hAnsi="Times New Roman" w:cs="Times New Roman"/>
          <w:sz w:val="25"/>
          <w:szCs w:val="25"/>
        </w:rPr>
        <w:t xml:space="preserve">roup meeting.  The Commission </w:t>
      </w:r>
      <w:r w:rsidR="00695F1A" w:rsidRPr="00152F5C">
        <w:rPr>
          <w:rFonts w:ascii="Times New Roman" w:hAnsi="Times New Roman" w:cs="Times New Roman"/>
          <w:sz w:val="25"/>
          <w:szCs w:val="25"/>
        </w:rPr>
        <w:t>request</w:t>
      </w:r>
      <w:r w:rsidR="00325C90" w:rsidRPr="00152F5C">
        <w:rPr>
          <w:rFonts w:ascii="Times New Roman" w:hAnsi="Times New Roman" w:cs="Times New Roman"/>
          <w:sz w:val="25"/>
          <w:szCs w:val="25"/>
        </w:rPr>
        <w:t xml:space="preserve">s the Company include these practices in its </w:t>
      </w:r>
      <w:r w:rsidRPr="00152F5C">
        <w:rPr>
          <w:rFonts w:ascii="Times New Roman" w:hAnsi="Times New Roman" w:cs="Times New Roman"/>
          <w:sz w:val="25"/>
          <w:szCs w:val="25"/>
        </w:rPr>
        <w:t>workplan for the next IRP.</w:t>
      </w:r>
    </w:p>
    <w:p w:rsidR="00877314" w:rsidRPr="00152F5C" w:rsidRDefault="00877314" w:rsidP="00877314">
      <w:pPr>
        <w:pStyle w:val="ListParagraph"/>
        <w:numPr>
          <w:ilvl w:val="0"/>
          <w:numId w:val="8"/>
        </w:numPr>
        <w:spacing w:line="264" w:lineRule="auto"/>
        <w:rPr>
          <w:rFonts w:ascii="Times New Roman" w:hAnsi="Times New Roman" w:cs="Times New Roman"/>
          <w:sz w:val="25"/>
          <w:szCs w:val="25"/>
        </w:rPr>
      </w:pPr>
      <w:r w:rsidRPr="00152F5C">
        <w:rPr>
          <w:rFonts w:ascii="Times New Roman" w:hAnsi="Times New Roman" w:cs="Times New Roman"/>
          <w:sz w:val="25"/>
          <w:szCs w:val="25"/>
        </w:rPr>
        <w:t>PSE should work with stakeholders to develop a reasonable set of input assumptions and reasonable set of results in a format that will be useful for stakeholders.</w:t>
      </w:r>
    </w:p>
    <w:p w:rsidR="00877314" w:rsidRPr="00152F5C" w:rsidRDefault="00E63EFA" w:rsidP="00877314">
      <w:pPr>
        <w:pStyle w:val="ListParagraph"/>
        <w:numPr>
          <w:ilvl w:val="0"/>
          <w:numId w:val="8"/>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If necessary, </w:t>
      </w:r>
      <w:r w:rsidR="00DC7006" w:rsidRPr="00152F5C">
        <w:rPr>
          <w:rFonts w:ascii="Times New Roman" w:hAnsi="Times New Roman" w:cs="Times New Roman"/>
          <w:sz w:val="25"/>
          <w:szCs w:val="25"/>
        </w:rPr>
        <w:t>PSE should make full use of existing provisions to manage confidential information.</w:t>
      </w:r>
    </w:p>
    <w:p w:rsidR="00CD7C5F" w:rsidRPr="00152F5C" w:rsidRDefault="00CD7C5F" w:rsidP="00895DF8">
      <w:pPr>
        <w:spacing w:line="264" w:lineRule="auto"/>
        <w:rPr>
          <w:rFonts w:ascii="Times New Roman" w:hAnsi="Times New Roman" w:cs="Times New Roman"/>
          <w:sz w:val="25"/>
          <w:szCs w:val="25"/>
        </w:rPr>
      </w:pPr>
    </w:p>
    <w:p w:rsidR="00F3297B" w:rsidRPr="00152F5C" w:rsidRDefault="00F3297B" w:rsidP="00895DF8">
      <w:pPr>
        <w:pStyle w:val="ListParagraph"/>
        <w:numPr>
          <w:ilvl w:val="0"/>
          <w:numId w:val="13"/>
        </w:numPr>
        <w:spacing w:line="264" w:lineRule="auto"/>
        <w:ind w:left="1080"/>
        <w:rPr>
          <w:rFonts w:ascii="Times New Roman" w:hAnsi="Times New Roman" w:cs="Times New Roman"/>
          <w:b/>
          <w:sz w:val="25"/>
          <w:szCs w:val="25"/>
          <w:u w:val="single"/>
        </w:rPr>
      </w:pPr>
      <w:r w:rsidRPr="00152F5C">
        <w:rPr>
          <w:rFonts w:ascii="Times New Roman" w:hAnsi="Times New Roman" w:cs="Times New Roman"/>
          <w:b/>
          <w:sz w:val="25"/>
          <w:szCs w:val="25"/>
          <w:u w:val="single"/>
        </w:rPr>
        <w:t>Natural Gas Resources</w:t>
      </w:r>
    </w:p>
    <w:p w:rsidR="00F3297B" w:rsidRPr="00152F5C" w:rsidRDefault="00F3297B" w:rsidP="00895DF8">
      <w:pPr>
        <w:spacing w:line="264" w:lineRule="auto"/>
        <w:rPr>
          <w:rFonts w:ascii="Times New Roman" w:hAnsi="Times New Roman" w:cs="Times New Roman"/>
          <w:sz w:val="25"/>
          <w:szCs w:val="25"/>
        </w:rPr>
      </w:pPr>
    </w:p>
    <w:p w:rsidR="002C6FD0" w:rsidRPr="00152F5C" w:rsidRDefault="002C6FD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PSE expects that annual natural gas load will increase at an average annual rate of 1.4 percent per year, growing from approximately 1.1 billion therms in 2012 to almost 1.5 billion therms in 2033.  PSE also expects peak loads to increase at an average rate of 1.8 percent per year, from 8.9 million therms in 2012 to 13.5 million therms in 2033. Many of the same economic and regional inputs and assumptions are used for developing its natural gas load forecasts as for the electric load forecasts.  </w:t>
      </w:r>
    </w:p>
    <w:p w:rsidR="002C6FD0" w:rsidRPr="00152F5C" w:rsidRDefault="002C6FD0" w:rsidP="00895DF8">
      <w:pPr>
        <w:spacing w:line="264" w:lineRule="auto"/>
        <w:rPr>
          <w:rFonts w:ascii="Times New Roman" w:hAnsi="Times New Roman" w:cs="Times New Roman"/>
          <w:sz w:val="25"/>
          <w:szCs w:val="25"/>
        </w:rPr>
      </w:pPr>
    </w:p>
    <w:p w:rsidR="004D6D21" w:rsidRPr="00152F5C" w:rsidRDefault="00D76A68"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The Commission considers PSE’s approach to natural gas modeling and the reasoning applied</w:t>
      </w:r>
      <w:r w:rsidR="001E20F9" w:rsidRPr="00152F5C">
        <w:rPr>
          <w:rFonts w:ascii="Times New Roman" w:hAnsi="Times New Roman" w:cs="Times New Roman"/>
          <w:sz w:val="25"/>
          <w:szCs w:val="25"/>
        </w:rPr>
        <w:t xml:space="preserve"> to model results to be sound. </w:t>
      </w:r>
      <w:r w:rsidRPr="00152F5C">
        <w:rPr>
          <w:rFonts w:ascii="Times New Roman" w:hAnsi="Times New Roman" w:cs="Times New Roman"/>
          <w:sz w:val="25"/>
          <w:szCs w:val="25"/>
        </w:rPr>
        <w:t xml:space="preserve">The Company evaluated an alternative extreme weather peak design and concluded that further analysis of that design is required. The Commission appreciates PSE’s commitment to using appropriate methodology </w:t>
      </w:r>
      <w:r w:rsidR="00AB356B" w:rsidRPr="00152F5C">
        <w:rPr>
          <w:rFonts w:ascii="Times New Roman" w:hAnsi="Times New Roman" w:cs="Times New Roman"/>
          <w:sz w:val="25"/>
          <w:szCs w:val="25"/>
        </w:rPr>
        <w:t>as well as its</w:t>
      </w:r>
      <w:r w:rsidRPr="00152F5C">
        <w:rPr>
          <w:rFonts w:ascii="Times New Roman" w:hAnsi="Times New Roman" w:cs="Times New Roman"/>
          <w:sz w:val="25"/>
          <w:szCs w:val="25"/>
        </w:rPr>
        <w:t xml:space="preserve"> caution in </w:t>
      </w:r>
      <w:r w:rsidR="00AB356B" w:rsidRPr="00152F5C">
        <w:rPr>
          <w:rFonts w:ascii="Times New Roman" w:hAnsi="Times New Roman" w:cs="Times New Roman"/>
          <w:sz w:val="25"/>
          <w:szCs w:val="25"/>
        </w:rPr>
        <w:t>considering a</w:t>
      </w:r>
      <w:r w:rsidRPr="00152F5C">
        <w:rPr>
          <w:rFonts w:ascii="Times New Roman" w:hAnsi="Times New Roman" w:cs="Times New Roman"/>
          <w:sz w:val="25"/>
          <w:szCs w:val="25"/>
        </w:rPr>
        <w:t xml:space="preserve"> </w:t>
      </w:r>
      <w:r w:rsidR="00AB356B" w:rsidRPr="00152F5C">
        <w:rPr>
          <w:rFonts w:ascii="Times New Roman" w:hAnsi="Times New Roman" w:cs="Times New Roman"/>
          <w:sz w:val="25"/>
          <w:szCs w:val="25"/>
        </w:rPr>
        <w:t>methodological change</w:t>
      </w:r>
      <w:r w:rsidR="001E20F9"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The Commission also recognizes PSE’s efforts to evaluate the impact of </w:t>
      </w:r>
      <w:r w:rsidR="00932EFB" w:rsidRPr="00152F5C">
        <w:rPr>
          <w:rFonts w:ascii="Times New Roman" w:hAnsi="Times New Roman" w:cs="Times New Roman"/>
          <w:sz w:val="25"/>
          <w:szCs w:val="25"/>
        </w:rPr>
        <w:t xml:space="preserve">the </w:t>
      </w:r>
      <w:r w:rsidRPr="00152F5C">
        <w:rPr>
          <w:rFonts w:ascii="Times New Roman" w:hAnsi="Times New Roman" w:cs="Times New Roman"/>
          <w:sz w:val="25"/>
          <w:szCs w:val="25"/>
        </w:rPr>
        <w:t>gas sales and gas-for-power p</w:t>
      </w:r>
      <w:r w:rsidR="001E20F9" w:rsidRPr="00152F5C">
        <w:rPr>
          <w:rFonts w:ascii="Times New Roman" w:hAnsi="Times New Roman" w:cs="Times New Roman"/>
          <w:sz w:val="25"/>
          <w:szCs w:val="25"/>
        </w:rPr>
        <w:t xml:space="preserve">ortfolios on its resource mix. </w:t>
      </w:r>
      <w:r w:rsidRPr="00152F5C">
        <w:rPr>
          <w:rFonts w:ascii="Times New Roman" w:hAnsi="Times New Roman" w:cs="Times New Roman"/>
          <w:sz w:val="25"/>
          <w:szCs w:val="25"/>
        </w:rPr>
        <w:t>We encourage PSE to continue to refine both of these analyses in the next IRP.</w:t>
      </w:r>
    </w:p>
    <w:p w:rsidR="002C6FD0" w:rsidRPr="00152F5C" w:rsidRDefault="002C6FD0" w:rsidP="00895DF8">
      <w:pPr>
        <w:spacing w:line="264" w:lineRule="auto"/>
        <w:rPr>
          <w:rFonts w:ascii="Times New Roman" w:hAnsi="Times New Roman" w:cs="Times New Roman"/>
          <w:sz w:val="25"/>
          <w:szCs w:val="25"/>
        </w:rPr>
      </w:pPr>
    </w:p>
    <w:p w:rsidR="002C6FD0" w:rsidRPr="00152F5C" w:rsidRDefault="002C6FD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To meet projected loads, PSE modeled the following resource options:</w:t>
      </w:r>
    </w:p>
    <w:p w:rsidR="002C6FD0" w:rsidRPr="00152F5C" w:rsidRDefault="002C6FD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Expansion of the Westcoast Pipeline and associated expansion of Northwest Pipeline (NWP);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proposed Kingsvale-Oliver Reinforcement Project (KORP) and associated expansion of NWP;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t>Two options for the prospective Palomar/Blue Bridge pipeline</w:t>
      </w:r>
      <w:r w:rsidR="00B62367" w:rsidRPr="00152F5C">
        <w:rPr>
          <w:rFonts w:ascii="Times New Roman" w:hAnsi="Times New Roman" w:cs="Times New Roman"/>
          <w:sz w:val="25"/>
          <w:szCs w:val="25"/>
        </w:rPr>
        <w:t>, or what is now termed the Northwest Market Area Expansion (N-MAX) project</w:t>
      </w:r>
      <w:r w:rsidRPr="00152F5C">
        <w:rPr>
          <w:rFonts w:ascii="Times New Roman" w:hAnsi="Times New Roman" w:cs="Times New Roman"/>
          <w:sz w:val="25"/>
          <w:szCs w:val="25"/>
        </w:rPr>
        <w:t xml:space="preserve">;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proposed PSE LNG peak-shaving facility;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Upgrades to the existing Swarr propane-air injection facility;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lastRenderedPageBreak/>
        <w:t xml:space="preserve">Expansion of Northwest Natural’s Mist storage facility; and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t>Demand-side resources.</w:t>
      </w:r>
    </w:p>
    <w:p w:rsidR="002C6FD0" w:rsidRPr="00152F5C" w:rsidRDefault="002C6FD0" w:rsidP="00895DF8">
      <w:pPr>
        <w:spacing w:line="264" w:lineRule="auto"/>
        <w:rPr>
          <w:rFonts w:ascii="Times New Roman" w:hAnsi="Times New Roman" w:cs="Times New Roman"/>
          <w:sz w:val="25"/>
          <w:szCs w:val="25"/>
        </w:rPr>
      </w:pPr>
    </w:p>
    <w:p w:rsidR="002C6FD0" w:rsidRPr="00152F5C" w:rsidRDefault="002C6FD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After modeling a wide variety of economic scenarios, PSE selected the following resources for its Plan:</w:t>
      </w:r>
    </w:p>
    <w:p w:rsidR="00D76A68" w:rsidRPr="00152F5C" w:rsidRDefault="00D76A68" w:rsidP="00895DF8">
      <w:pPr>
        <w:spacing w:line="264" w:lineRule="auto"/>
        <w:rPr>
          <w:rFonts w:ascii="Times New Roman" w:hAnsi="Times New Roman" w:cs="Times New Roman"/>
          <w:sz w:val="25"/>
          <w:szCs w:val="25"/>
        </w:rPr>
      </w:pPr>
    </w:p>
    <w:p w:rsidR="00152F5C" w:rsidRDefault="00B10424" w:rsidP="00152F5C">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Table 2.</w:t>
      </w:r>
    </w:p>
    <w:p w:rsidR="00B10424" w:rsidRDefault="00B10424" w:rsidP="00152F5C">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Gas Resource Plan, Cumulative Additions in MDth/Day of Capacity</w:t>
      </w:r>
      <w:r w:rsidRPr="00152F5C">
        <w:rPr>
          <w:rStyle w:val="FootnoteReference"/>
          <w:rFonts w:ascii="Times New Roman" w:hAnsi="Times New Roman" w:cs="Times New Roman"/>
          <w:b/>
          <w:sz w:val="25"/>
          <w:szCs w:val="25"/>
        </w:rPr>
        <w:footnoteReference w:id="13"/>
      </w:r>
    </w:p>
    <w:p w:rsidR="00152F5C" w:rsidRPr="00152F5C" w:rsidRDefault="00152F5C" w:rsidP="00152F5C">
      <w:pPr>
        <w:spacing w:line="264" w:lineRule="auto"/>
        <w:jc w:val="cente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2965"/>
        <w:gridCol w:w="1563"/>
        <w:gridCol w:w="1563"/>
        <w:gridCol w:w="1562"/>
        <w:gridCol w:w="1563"/>
      </w:tblGrid>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p>
        </w:tc>
        <w:tc>
          <w:tcPr>
            <w:tcW w:w="1630" w:type="dxa"/>
          </w:tcPr>
          <w:p w:rsidR="00B10424" w:rsidRPr="00152F5C" w:rsidRDefault="00B10424" w:rsidP="00556845">
            <w:pPr>
              <w:jc w:val="center"/>
              <w:rPr>
                <w:rFonts w:ascii="Times New Roman" w:hAnsi="Times New Roman" w:cs="Times New Roman"/>
                <w:b/>
                <w:sz w:val="25"/>
                <w:szCs w:val="25"/>
              </w:rPr>
            </w:pPr>
            <w:r w:rsidRPr="00152F5C">
              <w:rPr>
                <w:rFonts w:ascii="Times New Roman" w:hAnsi="Times New Roman" w:cs="Times New Roman"/>
                <w:b/>
                <w:sz w:val="25"/>
                <w:szCs w:val="25"/>
              </w:rPr>
              <w:t>2018-2019</w:t>
            </w:r>
          </w:p>
        </w:tc>
        <w:tc>
          <w:tcPr>
            <w:tcW w:w="1631" w:type="dxa"/>
          </w:tcPr>
          <w:p w:rsidR="00B10424" w:rsidRPr="00152F5C" w:rsidRDefault="00B10424" w:rsidP="00556845">
            <w:pPr>
              <w:jc w:val="center"/>
              <w:rPr>
                <w:rFonts w:ascii="Times New Roman" w:hAnsi="Times New Roman" w:cs="Times New Roman"/>
                <w:b/>
                <w:sz w:val="25"/>
                <w:szCs w:val="25"/>
              </w:rPr>
            </w:pPr>
            <w:r w:rsidRPr="00152F5C">
              <w:rPr>
                <w:rFonts w:ascii="Times New Roman" w:hAnsi="Times New Roman" w:cs="Times New Roman"/>
                <w:b/>
                <w:sz w:val="25"/>
                <w:szCs w:val="25"/>
              </w:rPr>
              <w:t>2022-2023</w:t>
            </w:r>
          </w:p>
        </w:tc>
        <w:tc>
          <w:tcPr>
            <w:tcW w:w="1630" w:type="dxa"/>
          </w:tcPr>
          <w:p w:rsidR="00B10424" w:rsidRPr="00152F5C" w:rsidRDefault="00B10424" w:rsidP="00556845">
            <w:pPr>
              <w:jc w:val="center"/>
              <w:rPr>
                <w:rFonts w:ascii="Times New Roman" w:hAnsi="Times New Roman" w:cs="Times New Roman"/>
                <w:b/>
                <w:sz w:val="25"/>
                <w:szCs w:val="25"/>
              </w:rPr>
            </w:pPr>
            <w:r w:rsidRPr="00152F5C">
              <w:rPr>
                <w:rFonts w:ascii="Times New Roman" w:hAnsi="Times New Roman" w:cs="Times New Roman"/>
                <w:b/>
                <w:sz w:val="25"/>
                <w:szCs w:val="25"/>
              </w:rPr>
              <w:t>2027-2028</w:t>
            </w:r>
          </w:p>
        </w:tc>
        <w:tc>
          <w:tcPr>
            <w:tcW w:w="1631" w:type="dxa"/>
          </w:tcPr>
          <w:p w:rsidR="00B10424" w:rsidRPr="00152F5C" w:rsidRDefault="00B10424" w:rsidP="00556845">
            <w:pPr>
              <w:jc w:val="center"/>
              <w:rPr>
                <w:rFonts w:ascii="Times New Roman" w:hAnsi="Times New Roman" w:cs="Times New Roman"/>
                <w:b/>
                <w:sz w:val="25"/>
                <w:szCs w:val="25"/>
              </w:rPr>
            </w:pPr>
            <w:r w:rsidRPr="00152F5C">
              <w:rPr>
                <w:rFonts w:ascii="Times New Roman" w:hAnsi="Times New Roman" w:cs="Times New Roman"/>
                <w:b/>
                <w:sz w:val="25"/>
                <w:szCs w:val="25"/>
              </w:rPr>
              <w:t>2032-2033</w:t>
            </w:r>
          </w:p>
        </w:tc>
      </w:tr>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Demand-Side Resources</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15</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28</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33</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37</w:t>
            </w:r>
          </w:p>
        </w:tc>
      </w:tr>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PSE LNG</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r>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Swarr Upgrade</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30</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30</w:t>
            </w:r>
          </w:p>
        </w:tc>
      </w:tr>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Mist Storage Expansion</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r>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Westcoast/NWP Expansion</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54</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150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150</w:t>
            </w:r>
          </w:p>
        </w:tc>
      </w:tr>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KORP/NWP Expansion</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0</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78</w:t>
            </w:r>
          </w:p>
        </w:tc>
      </w:tr>
    </w:tbl>
    <w:p w:rsidR="002C6FD0" w:rsidRPr="00152F5C" w:rsidRDefault="002C6FD0" w:rsidP="00F3297B">
      <w:pPr>
        <w:rPr>
          <w:rFonts w:ascii="Times New Roman" w:hAnsi="Times New Roman" w:cs="Times New Roman"/>
          <w:sz w:val="25"/>
          <w:szCs w:val="25"/>
        </w:rPr>
      </w:pPr>
    </w:p>
    <w:p w:rsidR="00D76A68" w:rsidRPr="00152F5C" w:rsidRDefault="001E20F9"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PSE has a policy of acquiring natural gas resources roughly four years ahead of need, due to the long lead time for constructing new supply resources and the need to acquire large blocks of pipeline capacity at a given time. The Commission acknowledges the reasonableness of this approach, but is concerned that PSE’s modeling does not fully reflect this </w:t>
      </w:r>
      <w:r w:rsidR="00B107EF" w:rsidRPr="00152F5C">
        <w:rPr>
          <w:rFonts w:ascii="Times New Roman" w:hAnsi="Times New Roman" w:cs="Times New Roman"/>
          <w:sz w:val="25"/>
          <w:szCs w:val="25"/>
        </w:rPr>
        <w:t xml:space="preserve">lead-time </w:t>
      </w:r>
      <w:r w:rsidRPr="00152F5C">
        <w:rPr>
          <w:rFonts w:ascii="Times New Roman" w:hAnsi="Times New Roman" w:cs="Times New Roman"/>
          <w:sz w:val="25"/>
          <w:szCs w:val="25"/>
        </w:rPr>
        <w:t xml:space="preserve">constraint.  PSE’s model selects 17 MDth per day of Mist Storage in </w:t>
      </w:r>
      <w:r w:rsidR="00B10424" w:rsidRPr="00152F5C">
        <w:rPr>
          <w:rFonts w:ascii="Times New Roman" w:hAnsi="Times New Roman" w:cs="Times New Roman"/>
          <w:sz w:val="25"/>
          <w:szCs w:val="25"/>
        </w:rPr>
        <w:t xml:space="preserve">the </w:t>
      </w:r>
      <w:r w:rsidRPr="00152F5C">
        <w:rPr>
          <w:rFonts w:ascii="Times New Roman" w:hAnsi="Times New Roman" w:cs="Times New Roman"/>
          <w:sz w:val="25"/>
          <w:szCs w:val="25"/>
        </w:rPr>
        <w:t>2018-2019</w:t>
      </w:r>
      <w:r w:rsidR="00B10424" w:rsidRPr="00152F5C">
        <w:rPr>
          <w:rFonts w:ascii="Times New Roman" w:hAnsi="Times New Roman" w:cs="Times New Roman"/>
          <w:sz w:val="25"/>
          <w:szCs w:val="25"/>
        </w:rPr>
        <w:t xml:space="preserve"> heating season</w:t>
      </w:r>
      <w:r w:rsidRPr="00152F5C">
        <w:rPr>
          <w:rFonts w:ascii="Times New Roman" w:hAnsi="Times New Roman" w:cs="Times New Roman"/>
          <w:sz w:val="25"/>
          <w:szCs w:val="25"/>
        </w:rPr>
        <w:t>, which increases to 50 MDth p</w:t>
      </w:r>
      <w:r w:rsidR="00AB5BDE" w:rsidRPr="00152F5C">
        <w:rPr>
          <w:rFonts w:ascii="Times New Roman" w:hAnsi="Times New Roman" w:cs="Times New Roman"/>
          <w:sz w:val="25"/>
          <w:szCs w:val="25"/>
        </w:rPr>
        <w:t xml:space="preserve">er day by 2022-2023. </w:t>
      </w:r>
      <w:r w:rsidR="00B10424" w:rsidRPr="00152F5C">
        <w:rPr>
          <w:rFonts w:ascii="Times New Roman" w:hAnsi="Times New Roman" w:cs="Times New Roman"/>
          <w:sz w:val="25"/>
          <w:szCs w:val="25"/>
        </w:rPr>
        <w:t xml:space="preserve">However, </w:t>
      </w:r>
      <w:r w:rsidR="00AB5BDE" w:rsidRPr="00152F5C">
        <w:rPr>
          <w:rFonts w:ascii="Times New Roman" w:hAnsi="Times New Roman" w:cs="Times New Roman"/>
          <w:sz w:val="25"/>
          <w:szCs w:val="25"/>
        </w:rPr>
        <w:t xml:space="preserve">PSE’s </w:t>
      </w:r>
      <w:r w:rsidR="00170633" w:rsidRPr="00152F5C">
        <w:rPr>
          <w:rFonts w:ascii="Times New Roman" w:hAnsi="Times New Roman" w:cs="Times New Roman"/>
          <w:sz w:val="25"/>
          <w:szCs w:val="25"/>
        </w:rPr>
        <w:t>Plan</w:t>
      </w:r>
      <w:r w:rsidR="00AB5BDE" w:rsidRPr="00152F5C">
        <w:rPr>
          <w:rFonts w:ascii="Times New Roman" w:hAnsi="Times New Roman" w:cs="Times New Roman"/>
          <w:sz w:val="25"/>
          <w:szCs w:val="25"/>
        </w:rPr>
        <w:t xml:space="preserve"> calls for acquisition of the full 50 MDth per day by 2018-2019 to secure the capacity needed in later years. Early acquisition of 50 MDth per day of Mist Storage, combined with demand-side resources</w:t>
      </w:r>
      <w:r w:rsidR="00B107EF" w:rsidRPr="00152F5C">
        <w:rPr>
          <w:rFonts w:ascii="Times New Roman" w:hAnsi="Times New Roman" w:cs="Times New Roman"/>
          <w:sz w:val="25"/>
          <w:szCs w:val="25"/>
        </w:rPr>
        <w:t>,</w:t>
      </w:r>
      <w:r w:rsidR="00AB5BDE" w:rsidRPr="00152F5C">
        <w:rPr>
          <w:rFonts w:ascii="Times New Roman" w:hAnsi="Times New Roman" w:cs="Times New Roman"/>
          <w:sz w:val="25"/>
          <w:szCs w:val="25"/>
        </w:rPr>
        <w:t xml:space="preserve"> </w:t>
      </w:r>
      <w:r w:rsidR="00E63EFA" w:rsidRPr="00152F5C">
        <w:rPr>
          <w:rFonts w:ascii="Times New Roman" w:hAnsi="Times New Roman" w:cs="Times New Roman"/>
          <w:sz w:val="25"/>
          <w:szCs w:val="25"/>
        </w:rPr>
        <w:t>would appear to meet</w:t>
      </w:r>
      <w:r w:rsidR="00AB5BDE" w:rsidRPr="00152F5C">
        <w:rPr>
          <w:rFonts w:ascii="Times New Roman" w:hAnsi="Times New Roman" w:cs="Times New Roman"/>
          <w:sz w:val="25"/>
          <w:szCs w:val="25"/>
        </w:rPr>
        <w:t xml:space="preserve"> PSE’s resource need until the 2020-2021 heating season</w:t>
      </w:r>
      <w:r w:rsidR="00E63EFA" w:rsidRPr="00152F5C">
        <w:rPr>
          <w:rFonts w:ascii="Times New Roman" w:hAnsi="Times New Roman" w:cs="Times New Roman"/>
          <w:sz w:val="25"/>
          <w:szCs w:val="25"/>
        </w:rPr>
        <w:t>. The company should analyze the relative additional necessity of additional Mist storage in conjunction with the LNG and Swarr resources.</w:t>
      </w:r>
    </w:p>
    <w:p w:rsidR="00AB5BDE" w:rsidRPr="00152F5C" w:rsidRDefault="00AB5BDE" w:rsidP="00895DF8">
      <w:pPr>
        <w:spacing w:line="264" w:lineRule="auto"/>
        <w:rPr>
          <w:rFonts w:ascii="Times New Roman" w:hAnsi="Times New Roman" w:cs="Times New Roman"/>
          <w:sz w:val="25"/>
          <w:szCs w:val="25"/>
        </w:rPr>
      </w:pPr>
    </w:p>
    <w:p w:rsidR="00152F5C" w:rsidRDefault="00AB5BDE" w:rsidP="00895DF8">
      <w:pPr>
        <w:pStyle w:val="ListParagraph"/>
        <w:numPr>
          <w:ilvl w:val="0"/>
          <w:numId w:val="9"/>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In the next IRP, PSE </w:t>
      </w:r>
      <w:r w:rsidR="00313054" w:rsidRPr="00152F5C">
        <w:rPr>
          <w:rFonts w:ascii="Times New Roman" w:hAnsi="Times New Roman" w:cs="Times New Roman"/>
          <w:sz w:val="25"/>
          <w:szCs w:val="25"/>
        </w:rPr>
        <w:t xml:space="preserve">should </w:t>
      </w:r>
      <w:r w:rsidRPr="00152F5C">
        <w:rPr>
          <w:rFonts w:ascii="Times New Roman" w:hAnsi="Times New Roman" w:cs="Times New Roman"/>
          <w:sz w:val="25"/>
          <w:szCs w:val="25"/>
        </w:rPr>
        <w:t>conduct a second run of its model once the appropriate blocks of pipeline capacity are selected, to assess whether early acquisition of pipeline blocks impacts the timing of the selection of other resources.</w:t>
      </w:r>
    </w:p>
    <w:p w:rsidR="001E20F9" w:rsidRPr="00152F5C" w:rsidRDefault="00152F5C" w:rsidP="00152F5C">
      <w:pPr>
        <w:rPr>
          <w:rFonts w:ascii="Times New Roman" w:hAnsi="Times New Roman" w:cs="Times New Roman"/>
          <w:sz w:val="25"/>
          <w:szCs w:val="25"/>
        </w:rPr>
      </w:pPr>
      <w:r>
        <w:rPr>
          <w:rFonts w:ascii="Times New Roman" w:hAnsi="Times New Roman" w:cs="Times New Roman"/>
          <w:sz w:val="25"/>
          <w:szCs w:val="25"/>
        </w:rPr>
        <w:br w:type="page"/>
      </w:r>
    </w:p>
    <w:p w:rsidR="00B451BD" w:rsidRPr="00152F5C" w:rsidRDefault="00B451BD" w:rsidP="00895DF8">
      <w:pPr>
        <w:spacing w:line="264" w:lineRule="auto"/>
        <w:rPr>
          <w:rFonts w:ascii="Times New Roman" w:hAnsi="Times New Roman" w:cs="Times New Roman"/>
          <w:sz w:val="25"/>
          <w:szCs w:val="25"/>
        </w:rPr>
      </w:pPr>
    </w:p>
    <w:p w:rsidR="00B451BD" w:rsidRPr="00152F5C" w:rsidRDefault="00B451BD" w:rsidP="00895DF8">
      <w:pPr>
        <w:pStyle w:val="ListParagraph"/>
        <w:numPr>
          <w:ilvl w:val="0"/>
          <w:numId w:val="13"/>
        </w:numPr>
        <w:spacing w:line="264" w:lineRule="auto"/>
        <w:ind w:left="1080"/>
        <w:rPr>
          <w:rFonts w:ascii="Times New Roman" w:hAnsi="Times New Roman" w:cs="Times New Roman"/>
          <w:sz w:val="25"/>
          <w:szCs w:val="25"/>
          <w:u w:val="single"/>
        </w:rPr>
      </w:pPr>
      <w:r w:rsidRPr="00152F5C">
        <w:rPr>
          <w:rFonts w:ascii="Times New Roman" w:hAnsi="Times New Roman" w:cs="Times New Roman"/>
          <w:b/>
          <w:sz w:val="25"/>
          <w:szCs w:val="25"/>
          <w:u w:val="single"/>
        </w:rPr>
        <w:t>Conclusion</w:t>
      </w:r>
    </w:p>
    <w:p w:rsidR="00B451BD" w:rsidRPr="00152F5C" w:rsidRDefault="00B451BD" w:rsidP="00895DF8">
      <w:pPr>
        <w:spacing w:line="264" w:lineRule="auto"/>
        <w:rPr>
          <w:rFonts w:ascii="Times New Roman" w:hAnsi="Times New Roman" w:cs="Times New Roman"/>
          <w:sz w:val="25"/>
          <w:szCs w:val="25"/>
        </w:rPr>
      </w:pPr>
    </w:p>
    <w:p w:rsidR="00B451BD" w:rsidRPr="00152F5C" w:rsidRDefault="00B451BD"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Commission acknowledges that Puget Sound Energy’s 2013 Electric and Natural Gas Integrated Resource </w:t>
      </w:r>
      <w:r w:rsidR="00170633" w:rsidRPr="00152F5C">
        <w:rPr>
          <w:rFonts w:ascii="Times New Roman" w:hAnsi="Times New Roman" w:cs="Times New Roman"/>
          <w:sz w:val="25"/>
          <w:szCs w:val="25"/>
        </w:rPr>
        <w:t>Plan</w:t>
      </w:r>
      <w:r w:rsidRPr="00152F5C">
        <w:rPr>
          <w:rFonts w:ascii="Times New Roman" w:hAnsi="Times New Roman" w:cs="Times New Roman"/>
          <w:sz w:val="25"/>
          <w:szCs w:val="25"/>
        </w:rPr>
        <w:t xml:space="preserve"> complies with WAC 480-100-238 and WAC 480-90-238.</w:t>
      </w:r>
      <w:r w:rsidR="00AB356B" w:rsidRPr="00152F5C">
        <w:rPr>
          <w:rFonts w:ascii="Times New Roman" w:hAnsi="Times New Roman" w:cs="Times New Roman"/>
          <w:sz w:val="25"/>
          <w:szCs w:val="25"/>
        </w:rPr>
        <w:t xml:space="preserve">  However, in several areas, PSE’s </w:t>
      </w:r>
      <w:r w:rsidR="00B107EF" w:rsidRPr="00152F5C">
        <w:rPr>
          <w:rFonts w:ascii="Times New Roman" w:hAnsi="Times New Roman" w:cs="Times New Roman"/>
          <w:sz w:val="25"/>
          <w:szCs w:val="25"/>
        </w:rPr>
        <w:t xml:space="preserve">Electric </w:t>
      </w:r>
      <w:r w:rsidR="00AB356B" w:rsidRPr="00152F5C">
        <w:rPr>
          <w:rFonts w:ascii="Times New Roman" w:hAnsi="Times New Roman" w:cs="Times New Roman"/>
          <w:sz w:val="25"/>
          <w:szCs w:val="25"/>
        </w:rPr>
        <w:t xml:space="preserve">IRP fails to meet the </w:t>
      </w:r>
      <w:r w:rsidR="00F34EE8" w:rsidRPr="00152F5C">
        <w:rPr>
          <w:rFonts w:ascii="Times New Roman" w:hAnsi="Times New Roman" w:cs="Times New Roman"/>
          <w:sz w:val="25"/>
          <w:szCs w:val="25"/>
        </w:rPr>
        <w:t xml:space="preserve">Commission’s </w:t>
      </w:r>
      <w:r w:rsidR="00AB356B" w:rsidRPr="00152F5C">
        <w:rPr>
          <w:rFonts w:ascii="Times New Roman" w:hAnsi="Times New Roman" w:cs="Times New Roman"/>
          <w:sz w:val="25"/>
          <w:szCs w:val="25"/>
        </w:rPr>
        <w:t xml:space="preserve">expectations of </w:t>
      </w:r>
      <w:r w:rsidR="00F34EE8" w:rsidRPr="00152F5C">
        <w:rPr>
          <w:rFonts w:ascii="Times New Roman" w:hAnsi="Times New Roman" w:cs="Times New Roman"/>
          <w:sz w:val="25"/>
          <w:szCs w:val="25"/>
        </w:rPr>
        <w:t>clarity</w:t>
      </w:r>
      <w:r w:rsidR="00C54D7D" w:rsidRPr="00152F5C">
        <w:rPr>
          <w:rFonts w:ascii="Times New Roman" w:hAnsi="Times New Roman" w:cs="Times New Roman"/>
          <w:sz w:val="25"/>
          <w:szCs w:val="25"/>
        </w:rPr>
        <w:t>, transparency</w:t>
      </w:r>
      <w:r w:rsidR="00F34EE8" w:rsidRPr="00152F5C">
        <w:rPr>
          <w:rFonts w:ascii="Times New Roman" w:hAnsi="Times New Roman" w:cs="Times New Roman"/>
          <w:sz w:val="25"/>
          <w:szCs w:val="25"/>
        </w:rPr>
        <w:t xml:space="preserve"> and thoroughness. The Commission expects PSE to follow the recommendations outlined in this letter as it develops its next IRP.</w:t>
      </w:r>
    </w:p>
    <w:p w:rsidR="00152F5C" w:rsidRPr="00152F5C" w:rsidRDefault="00152F5C">
      <w:pPr>
        <w:spacing w:line="264" w:lineRule="auto"/>
        <w:rPr>
          <w:rFonts w:ascii="Times New Roman" w:hAnsi="Times New Roman" w:cs="Times New Roman"/>
          <w:sz w:val="25"/>
          <w:szCs w:val="25"/>
        </w:rPr>
      </w:pPr>
    </w:p>
    <w:sectPr w:rsidR="00152F5C" w:rsidRPr="00152F5C" w:rsidSect="00152F5C">
      <w:footerReference w:type="default" r:id="rId9"/>
      <w:footerReference w:type="first" r:id="rId10"/>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12" w:rsidRDefault="004D2112" w:rsidP="00173E8B">
      <w:r>
        <w:separator/>
      </w:r>
    </w:p>
  </w:endnote>
  <w:endnote w:type="continuationSeparator" w:id="0">
    <w:p w:rsidR="004D2112" w:rsidRDefault="004D2112" w:rsidP="0017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640048"/>
      <w:docPartObj>
        <w:docPartGallery w:val="Page Numbers (Bottom of Page)"/>
        <w:docPartUnique/>
      </w:docPartObj>
    </w:sdtPr>
    <w:sdtEndPr>
      <w:rPr>
        <w:rFonts w:ascii="Times New Roman" w:hAnsi="Times New Roman" w:cs="Times New Roman"/>
        <w:noProof/>
      </w:rPr>
    </w:sdtEndPr>
    <w:sdtContent>
      <w:p w:rsidR="00DD4BF1" w:rsidRPr="00E94EA1" w:rsidRDefault="00DD4BF1">
        <w:pPr>
          <w:pStyle w:val="Footer"/>
          <w:jc w:val="center"/>
          <w:rPr>
            <w:rFonts w:ascii="Times New Roman" w:hAnsi="Times New Roman" w:cs="Times New Roman"/>
          </w:rPr>
        </w:pPr>
        <w:r w:rsidRPr="00E94EA1">
          <w:rPr>
            <w:rFonts w:ascii="Times New Roman" w:hAnsi="Times New Roman" w:cs="Times New Roman"/>
          </w:rPr>
          <w:fldChar w:fldCharType="begin"/>
        </w:r>
        <w:r w:rsidRPr="00E94EA1">
          <w:rPr>
            <w:rFonts w:ascii="Times New Roman" w:hAnsi="Times New Roman" w:cs="Times New Roman"/>
          </w:rPr>
          <w:instrText xml:space="preserve"> PAGE   \* MERGEFORMAT </w:instrText>
        </w:r>
        <w:r w:rsidRPr="00E94EA1">
          <w:rPr>
            <w:rFonts w:ascii="Times New Roman" w:hAnsi="Times New Roman" w:cs="Times New Roman"/>
          </w:rPr>
          <w:fldChar w:fldCharType="separate"/>
        </w:r>
        <w:r w:rsidR="003F18E2">
          <w:rPr>
            <w:rFonts w:ascii="Times New Roman" w:hAnsi="Times New Roman" w:cs="Times New Roman"/>
            <w:noProof/>
          </w:rPr>
          <w:t>11</w:t>
        </w:r>
        <w:r w:rsidRPr="00E94EA1">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09748"/>
      <w:docPartObj>
        <w:docPartGallery w:val="Page Numbers (Bottom of Page)"/>
        <w:docPartUnique/>
      </w:docPartObj>
    </w:sdtPr>
    <w:sdtEndPr>
      <w:rPr>
        <w:rFonts w:ascii="Times New Roman" w:hAnsi="Times New Roman" w:cs="Times New Roman"/>
        <w:noProof/>
      </w:rPr>
    </w:sdtEndPr>
    <w:sdtContent>
      <w:p w:rsidR="00DD4BF1" w:rsidRPr="00556845" w:rsidRDefault="00DD4BF1">
        <w:pPr>
          <w:pStyle w:val="Footer"/>
          <w:jc w:val="center"/>
          <w:rPr>
            <w:rFonts w:ascii="Times New Roman" w:hAnsi="Times New Roman" w:cs="Times New Roman"/>
          </w:rPr>
        </w:pPr>
        <w:r w:rsidRPr="00556845">
          <w:rPr>
            <w:rFonts w:ascii="Times New Roman" w:hAnsi="Times New Roman" w:cs="Times New Roman"/>
          </w:rPr>
          <w:fldChar w:fldCharType="begin"/>
        </w:r>
        <w:r w:rsidRPr="00556845">
          <w:rPr>
            <w:rFonts w:ascii="Times New Roman" w:hAnsi="Times New Roman" w:cs="Times New Roman"/>
          </w:rPr>
          <w:instrText xml:space="preserve"> PAGE   \* MERGEFORMAT </w:instrText>
        </w:r>
        <w:r w:rsidRPr="00556845">
          <w:rPr>
            <w:rFonts w:ascii="Times New Roman" w:hAnsi="Times New Roman" w:cs="Times New Roman"/>
          </w:rPr>
          <w:fldChar w:fldCharType="separate"/>
        </w:r>
        <w:r w:rsidR="003F18E2">
          <w:rPr>
            <w:rFonts w:ascii="Times New Roman" w:hAnsi="Times New Roman" w:cs="Times New Roman"/>
            <w:noProof/>
          </w:rPr>
          <w:t>1</w:t>
        </w:r>
        <w:r w:rsidRPr="00556845">
          <w:rPr>
            <w:rFonts w:ascii="Times New Roman" w:hAnsi="Times New Roman" w:cs="Times New Roman"/>
            <w:noProof/>
          </w:rPr>
          <w:fldChar w:fldCharType="end"/>
        </w:r>
      </w:p>
    </w:sdtContent>
  </w:sdt>
  <w:p w:rsidR="00DD4BF1" w:rsidRDefault="00DD4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12" w:rsidRDefault="004D2112" w:rsidP="00173E8B">
      <w:r>
        <w:separator/>
      </w:r>
    </w:p>
  </w:footnote>
  <w:footnote w:type="continuationSeparator" w:id="0">
    <w:p w:rsidR="004D2112" w:rsidRDefault="004D2112" w:rsidP="00173E8B">
      <w:r>
        <w:continuationSeparator/>
      </w:r>
    </w:p>
  </w:footnote>
  <w:footnote w:id="1">
    <w:p w:rsidR="00DD4BF1" w:rsidRPr="00F10EEB" w:rsidRDefault="00DD4BF1" w:rsidP="00556845">
      <w:pPr>
        <w:pStyle w:val="FootnoteText"/>
        <w:spacing w:after="120"/>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PSE 2013 IRP, </w:t>
      </w:r>
      <w:r w:rsidR="00E63EFA">
        <w:rPr>
          <w:rFonts w:ascii="Times New Roman" w:hAnsi="Times New Roman" w:cs="Times New Roman"/>
          <w:sz w:val="22"/>
          <w:szCs w:val="22"/>
        </w:rPr>
        <w:t>p</w:t>
      </w:r>
      <w:r w:rsidRPr="00F10EEB">
        <w:rPr>
          <w:rFonts w:ascii="Times New Roman" w:hAnsi="Times New Roman" w:cs="Times New Roman"/>
          <w:sz w:val="22"/>
          <w:szCs w:val="22"/>
        </w:rPr>
        <w:t>age H-20. PSE includes 2012 in its load forecasts because the forecasts were developed in 2012.</w:t>
      </w:r>
    </w:p>
  </w:footnote>
  <w:footnote w:id="2">
    <w:p w:rsidR="00DD4BF1" w:rsidRPr="00F10EEB" w:rsidRDefault="00DD4BF1" w:rsidP="00556845">
      <w:pPr>
        <w:pStyle w:val="FootnoteText"/>
        <w:spacing w:after="120"/>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PSE 2013 IRP, </w:t>
      </w:r>
      <w:r w:rsidR="00E63EFA">
        <w:rPr>
          <w:rFonts w:ascii="Times New Roman" w:hAnsi="Times New Roman" w:cs="Times New Roman"/>
          <w:sz w:val="22"/>
          <w:szCs w:val="22"/>
        </w:rPr>
        <w:t>p</w:t>
      </w:r>
      <w:r w:rsidRPr="00F10EEB">
        <w:rPr>
          <w:rFonts w:ascii="Times New Roman" w:hAnsi="Times New Roman" w:cs="Times New Roman"/>
          <w:sz w:val="22"/>
          <w:szCs w:val="22"/>
        </w:rPr>
        <w:t xml:space="preserve">age 1-5.  </w:t>
      </w:r>
    </w:p>
  </w:footnote>
  <w:footnote w:id="3">
    <w:p w:rsidR="00DD4BF1" w:rsidRPr="00F10EEB" w:rsidRDefault="00DD4BF1" w:rsidP="00556845">
      <w:pPr>
        <w:pStyle w:val="FootnoteText"/>
        <w:spacing w:after="120"/>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PSE 2013 IRP, </w:t>
      </w:r>
      <w:r w:rsidR="00E63EFA">
        <w:rPr>
          <w:rFonts w:ascii="Times New Roman" w:hAnsi="Times New Roman" w:cs="Times New Roman"/>
          <w:sz w:val="22"/>
          <w:szCs w:val="22"/>
        </w:rPr>
        <w:t>p</w:t>
      </w:r>
      <w:r w:rsidRPr="00F10EEB">
        <w:rPr>
          <w:rFonts w:ascii="Times New Roman" w:hAnsi="Times New Roman" w:cs="Times New Roman"/>
          <w:sz w:val="22"/>
          <w:szCs w:val="22"/>
        </w:rPr>
        <w:t>age</w:t>
      </w:r>
      <w:r w:rsidR="00E63EFA">
        <w:rPr>
          <w:rFonts w:ascii="Times New Roman" w:hAnsi="Times New Roman" w:cs="Times New Roman"/>
          <w:sz w:val="22"/>
          <w:szCs w:val="22"/>
        </w:rPr>
        <w:t>s</w:t>
      </w:r>
      <w:r w:rsidRPr="00F10EEB">
        <w:rPr>
          <w:rFonts w:ascii="Times New Roman" w:hAnsi="Times New Roman" w:cs="Times New Roman"/>
          <w:sz w:val="22"/>
          <w:szCs w:val="22"/>
        </w:rPr>
        <w:t xml:space="preserve"> H-19 and H-21, see also bottom of page H-1.</w:t>
      </w:r>
    </w:p>
  </w:footnote>
  <w:footnote w:id="4">
    <w:p w:rsidR="00DD4BF1" w:rsidRPr="00F10EEB" w:rsidRDefault="00DD4BF1" w:rsidP="00556845">
      <w:pPr>
        <w:pStyle w:val="FootnoteText"/>
        <w:spacing w:after="120"/>
        <w:rPr>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PSE 2013 IRP, </w:t>
      </w:r>
      <w:r w:rsidR="00E63EFA">
        <w:rPr>
          <w:rFonts w:ascii="Times New Roman" w:hAnsi="Times New Roman" w:cs="Times New Roman"/>
          <w:sz w:val="22"/>
          <w:szCs w:val="22"/>
        </w:rPr>
        <w:t>p</w:t>
      </w:r>
      <w:r w:rsidRPr="00F10EEB">
        <w:rPr>
          <w:rFonts w:ascii="Times New Roman" w:hAnsi="Times New Roman" w:cs="Times New Roman"/>
          <w:sz w:val="22"/>
          <w:szCs w:val="22"/>
        </w:rPr>
        <w:t>age H-16. The difference between the projected 1.4 percent employment growth and the 0.8 percent employment growth over the last 15 years.</w:t>
      </w:r>
    </w:p>
  </w:footnote>
  <w:footnote w:id="5">
    <w:p w:rsidR="00DD4BF1" w:rsidRPr="00AB3E38" w:rsidRDefault="00DD4BF1" w:rsidP="00F10EEB">
      <w:pPr>
        <w:pStyle w:val="FootnoteText"/>
        <w:spacing w:after="120"/>
        <w:rPr>
          <w:rFonts w:ascii="Times New Roman" w:hAnsi="Times New Roman" w:cs="Times New Roman"/>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Docket UE-131883, Puget Sound Energy Comments filed November 6, 2013.</w:t>
      </w:r>
    </w:p>
  </w:footnote>
  <w:footnote w:id="6">
    <w:p w:rsidR="00DD4BF1" w:rsidRPr="00F10EEB" w:rsidRDefault="00DD4BF1" w:rsidP="00F10EEB">
      <w:pPr>
        <w:pStyle w:val="FootnoteText"/>
        <w:spacing w:after="120"/>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In meeting its peak load needs, PSE includes transmission capacity to Mid-C</w:t>
      </w:r>
      <w:r w:rsidR="00015BC4">
        <w:rPr>
          <w:rFonts w:ascii="Times New Roman" w:hAnsi="Times New Roman" w:cs="Times New Roman"/>
          <w:sz w:val="22"/>
          <w:szCs w:val="22"/>
        </w:rPr>
        <w:t>olumbia generation resources</w:t>
      </w:r>
      <w:r w:rsidRPr="00F10EEB">
        <w:rPr>
          <w:rFonts w:ascii="Times New Roman" w:hAnsi="Times New Roman" w:cs="Times New Roman"/>
          <w:sz w:val="22"/>
          <w:szCs w:val="22"/>
        </w:rPr>
        <w:t xml:space="preserve"> in its supply-side resources even though the transmission capacity does not have a specific generator committed to supply power. </w:t>
      </w:r>
    </w:p>
  </w:footnote>
  <w:footnote w:id="7">
    <w:p w:rsidR="00DD4BF1" w:rsidRPr="006A4F92" w:rsidRDefault="00DD4BF1" w:rsidP="00F10EEB">
      <w:pPr>
        <w:pStyle w:val="FootnoteText"/>
        <w:spacing w:after="120"/>
        <w:rPr>
          <w:rFonts w:ascii="Times New Roman" w:hAnsi="Times New Roman" w:cs="Times New Roman"/>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Although PSE evaluated the capital and operating costs of multiple peaker sizes, as well as peakers on both the west</w:t>
      </w:r>
      <w:r>
        <w:rPr>
          <w:rFonts w:ascii="Times New Roman" w:hAnsi="Times New Roman" w:cs="Times New Roman"/>
          <w:sz w:val="22"/>
          <w:szCs w:val="22"/>
        </w:rPr>
        <w:t xml:space="preserve"> </w:t>
      </w:r>
      <w:r w:rsidRPr="00F10EEB">
        <w:rPr>
          <w:rFonts w:ascii="Times New Roman" w:hAnsi="Times New Roman" w:cs="Times New Roman"/>
          <w:sz w:val="22"/>
          <w:szCs w:val="22"/>
        </w:rPr>
        <w:t>side and east</w:t>
      </w:r>
      <w:r>
        <w:rPr>
          <w:rFonts w:ascii="Times New Roman" w:hAnsi="Times New Roman" w:cs="Times New Roman"/>
          <w:sz w:val="22"/>
          <w:szCs w:val="22"/>
        </w:rPr>
        <w:t xml:space="preserve"> </w:t>
      </w:r>
      <w:r w:rsidRPr="00F10EEB">
        <w:rPr>
          <w:rFonts w:ascii="Times New Roman" w:hAnsi="Times New Roman" w:cs="Times New Roman"/>
          <w:sz w:val="22"/>
          <w:szCs w:val="22"/>
        </w:rPr>
        <w:t>side of the Cascades, PSE only modeled westside 221 MW Frame peakers with oil backup in the scenarios.</w:t>
      </w:r>
    </w:p>
  </w:footnote>
  <w:footnote w:id="8">
    <w:p w:rsidR="00DD4BF1" w:rsidRPr="00F10EEB" w:rsidRDefault="00DD4BF1" w:rsidP="00F10EEB">
      <w:pPr>
        <w:pStyle w:val="FootnoteText"/>
        <w:spacing w:after="120"/>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PSE 2013 Integrated Resource Plan, </w:t>
      </w:r>
      <w:r w:rsidR="00E63EFA">
        <w:rPr>
          <w:rFonts w:ascii="Times New Roman" w:hAnsi="Times New Roman" w:cs="Times New Roman"/>
          <w:sz w:val="22"/>
          <w:szCs w:val="22"/>
        </w:rPr>
        <w:t xml:space="preserve">page </w:t>
      </w:r>
      <w:r w:rsidRPr="00F10EEB">
        <w:rPr>
          <w:rFonts w:ascii="Times New Roman" w:hAnsi="Times New Roman" w:cs="Times New Roman"/>
          <w:sz w:val="22"/>
          <w:szCs w:val="22"/>
        </w:rPr>
        <w:t>1-8.</w:t>
      </w:r>
    </w:p>
  </w:footnote>
  <w:footnote w:id="9">
    <w:p w:rsidR="00DD4BF1" w:rsidRPr="00F10EEB" w:rsidRDefault="00DD4BF1" w:rsidP="00F10EEB">
      <w:pPr>
        <w:pStyle w:val="FootnoteText"/>
        <w:spacing w:after="120"/>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Dockets UE-100961 and UG-100960, IRP Acknowledgment Letter Attachment, page 7.</w:t>
      </w:r>
    </w:p>
  </w:footnote>
  <w:footnote w:id="10">
    <w:p w:rsidR="00DD4BF1" w:rsidRPr="00F10EEB" w:rsidRDefault="00DD4BF1" w:rsidP="00F10EEB">
      <w:pPr>
        <w:pStyle w:val="FootnoteText"/>
        <w:spacing w:after="120"/>
        <w:rPr>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Dockets UE-120767 and UG-120768, PSE 2013 Integrated Resource Plan, page 5-24.</w:t>
      </w:r>
    </w:p>
  </w:footnote>
  <w:footnote w:id="11">
    <w:p w:rsidR="00DD4BF1" w:rsidRPr="00582816" w:rsidRDefault="00DD4BF1" w:rsidP="00F10EEB">
      <w:pPr>
        <w:pStyle w:val="FootnoteText"/>
        <w:spacing w:after="120"/>
        <w:rPr>
          <w:rFonts w:ascii="Times New Roman" w:hAnsi="Times New Roman" w:cs="Times New Roman"/>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Dockets UE-100961 and UG-100960, IRP Acknowledgment Letter Attachment, page 9.</w:t>
      </w:r>
    </w:p>
  </w:footnote>
  <w:footnote w:id="12">
    <w:p w:rsidR="00DD4BF1" w:rsidRPr="00F10EEB" w:rsidRDefault="00DD4BF1">
      <w:pPr>
        <w:pStyle w:val="FootnoteText"/>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Docket UE-090704, Exhibit No. JAP-1T, 6:10-7:12.</w:t>
      </w:r>
    </w:p>
  </w:footnote>
  <w:footnote w:id="13">
    <w:p w:rsidR="00DD4BF1" w:rsidRPr="00F10EEB" w:rsidRDefault="00DD4BF1">
      <w:pPr>
        <w:pStyle w:val="FootnoteText"/>
        <w:rPr>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PSE 2013 Integrated Resource Plan, page 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0616"/>
    <w:multiLevelType w:val="hybridMultilevel"/>
    <w:tmpl w:val="A6A4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A10FC"/>
    <w:multiLevelType w:val="hybridMultilevel"/>
    <w:tmpl w:val="8E24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67495"/>
    <w:multiLevelType w:val="hybridMultilevel"/>
    <w:tmpl w:val="1F3E0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D602B"/>
    <w:multiLevelType w:val="hybridMultilevel"/>
    <w:tmpl w:val="2F24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97C14"/>
    <w:multiLevelType w:val="hybridMultilevel"/>
    <w:tmpl w:val="A8E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C3B4B"/>
    <w:multiLevelType w:val="hybridMultilevel"/>
    <w:tmpl w:val="E374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46502C"/>
    <w:multiLevelType w:val="hybridMultilevel"/>
    <w:tmpl w:val="5560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3A3F9A"/>
    <w:multiLevelType w:val="hybridMultilevel"/>
    <w:tmpl w:val="F08813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E76B7B"/>
    <w:multiLevelType w:val="hybridMultilevel"/>
    <w:tmpl w:val="CC38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C1595A"/>
    <w:multiLevelType w:val="hybridMultilevel"/>
    <w:tmpl w:val="F420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32567D"/>
    <w:multiLevelType w:val="hybridMultilevel"/>
    <w:tmpl w:val="A580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A06BF9"/>
    <w:multiLevelType w:val="hybridMultilevel"/>
    <w:tmpl w:val="08EE01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75AB0273"/>
    <w:multiLevelType w:val="hybridMultilevel"/>
    <w:tmpl w:val="335E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780EE3"/>
    <w:multiLevelType w:val="hybridMultilevel"/>
    <w:tmpl w:val="BAF4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1"/>
  </w:num>
  <w:num w:numId="5">
    <w:abstractNumId w:val="6"/>
  </w:num>
  <w:num w:numId="6">
    <w:abstractNumId w:val="0"/>
  </w:num>
  <w:num w:numId="7">
    <w:abstractNumId w:val="12"/>
  </w:num>
  <w:num w:numId="8">
    <w:abstractNumId w:val="8"/>
  </w:num>
  <w:num w:numId="9">
    <w:abstractNumId w:val="3"/>
  </w:num>
  <w:num w:numId="10">
    <w:abstractNumId w:val="11"/>
  </w:num>
  <w:num w:numId="11">
    <w:abstractNumId w:val="10"/>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7B"/>
    <w:rsid w:val="00015BC4"/>
    <w:rsid w:val="00017C68"/>
    <w:rsid w:val="00040B1E"/>
    <w:rsid w:val="00075B75"/>
    <w:rsid w:val="000806B6"/>
    <w:rsid w:val="00085DF0"/>
    <w:rsid w:val="0008702B"/>
    <w:rsid w:val="000E640C"/>
    <w:rsid w:val="00113742"/>
    <w:rsid w:val="0013657D"/>
    <w:rsid w:val="00141C09"/>
    <w:rsid w:val="00152F5C"/>
    <w:rsid w:val="00153194"/>
    <w:rsid w:val="0016437F"/>
    <w:rsid w:val="00170633"/>
    <w:rsid w:val="00173E8B"/>
    <w:rsid w:val="001767E1"/>
    <w:rsid w:val="001835FA"/>
    <w:rsid w:val="00194566"/>
    <w:rsid w:val="001A46BB"/>
    <w:rsid w:val="001B2D21"/>
    <w:rsid w:val="001C17DC"/>
    <w:rsid w:val="001C28B9"/>
    <w:rsid w:val="001C5AB1"/>
    <w:rsid w:val="001D3EB3"/>
    <w:rsid w:val="001E00F2"/>
    <w:rsid w:val="001E1D7A"/>
    <w:rsid w:val="001E20F9"/>
    <w:rsid w:val="001E4DDD"/>
    <w:rsid w:val="001F03DC"/>
    <w:rsid w:val="002135F1"/>
    <w:rsid w:val="002172F8"/>
    <w:rsid w:val="002217F3"/>
    <w:rsid w:val="0024637F"/>
    <w:rsid w:val="002851E9"/>
    <w:rsid w:val="002A075E"/>
    <w:rsid w:val="002C039A"/>
    <w:rsid w:val="002C41DE"/>
    <w:rsid w:val="002C5728"/>
    <w:rsid w:val="002C6FD0"/>
    <w:rsid w:val="002E061B"/>
    <w:rsid w:val="002E78E0"/>
    <w:rsid w:val="00313054"/>
    <w:rsid w:val="00325C90"/>
    <w:rsid w:val="003447AE"/>
    <w:rsid w:val="003464EE"/>
    <w:rsid w:val="0038400C"/>
    <w:rsid w:val="003A062B"/>
    <w:rsid w:val="003E1D1A"/>
    <w:rsid w:val="003F1174"/>
    <w:rsid w:val="003F18E2"/>
    <w:rsid w:val="003F20B4"/>
    <w:rsid w:val="003F564C"/>
    <w:rsid w:val="00402BA5"/>
    <w:rsid w:val="00463210"/>
    <w:rsid w:val="004916ED"/>
    <w:rsid w:val="00497DD2"/>
    <w:rsid w:val="004A1ABD"/>
    <w:rsid w:val="004A61C8"/>
    <w:rsid w:val="004B7273"/>
    <w:rsid w:val="004D2112"/>
    <w:rsid w:val="004D6D21"/>
    <w:rsid w:val="004E329B"/>
    <w:rsid w:val="004F6B3F"/>
    <w:rsid w:val="00512F4B"/>
    <w:rsid w:val="00530921"/>
    <w:rsid w:val="00536AED"/>
    <w:rsid w:val="00552600"/>
    <w:rsid w:val="00556845"/>
    <w:rsid w:val="00575D07"/>
    <w:rsid w:val="00582816"/>
    <w:rsid w:val="00591509"/>
    <w:rsid w:val="005A6C74"/>
    <w:rsid w:val="005F10DA"/>
    <w:rsid w:val="00605A5B"/>
    <w:rsid w:val="0061558B"/>
    <w:rsid w:val="006256C8"/>
    <w:rsid w:val="00662C7A"/>
    <w:rsid w:val="006701C2"/>
    <w:rsid w:val="00672F7B"/>
    <w:rsid w:val="00695F1A"/>
    <w:rsid w:val="006A41EE"/>
    <w:rsid w:val="006A5B8B"/>
    <w:rsid w:val="006C5F1E"/>
    <w:rsid w:val="006D628C"/>
    <w:rsid w:val="006E245F"/>
    <w:rsid w:val="00703C97"/>
    <w:rsid w:val="00733D61"/>
    <w:rsid w:val="00751CC2"/>
    <w:rsid w:val="00777E34"/>
    <w:rsid w:val="00784F23"/>
    <w:rsid w:val="007B658E"/>
    <w:rsid w:val="007C43A5"/>
    <w:rsid w:val="00810A55"/>
    <w:rsid w:val="00811C17"/>
    <w:rsid w:val="008360EC"/>
    <w:rsid w:val="00841D2A"/>
    <w:rsid w:val="00866293"/>
    <w:rsid w:val="00875C0D"/>
    <w:rsid w:val="00877314"/>
    <w:rsid w:val="00895DF8"/>
    <w:rsid w:val="008A2174"/>
    <w:rsid w:val="008B377E"/>
    <w:rsid w:val="008C530B"/>
    <w:rsid w:val="008C6FF7"/>
    <w:rsid w:val="008C7D92"/>
    <w:rsid w:val="00915423"/>
    <w:rsid w:val="009264ED"/>
    <w:rsid w:val="00932EFB"/>
    <w:rsid w:val="009405B3"/>
    <w:rsid w:val="00981969"/>
    <w:rsid w:val="009838F9"/>
    <w:rsid w:val="009A0339"/>
    <w:rsid w:val="009B0344"/>
    <w:rsid w:val="009B1956"/>
    <w:rsid w:val="009B70C1"/>
    <w:rsid w:val="009E145F"/>
    <w:rsid w:val="00A079AE"/>
    <w:rsid w:val="00A13DFB"/>
    <w:rsid w:val="00A54785"/>
    <w:rsid w:val="00A72231"/>
    <w:rsid w:val="00A73E02"/>
    <w:rsid w:val="00A84C2A"/>
    <w:rsid w:val="00A85E31"/>
    <w:rsid w:val="00A906C8"/>
    <w:rsid w:val="00AA368D"/>
    <w:rsid w:val="00AB356B"/>
    <w:rsid w:val="00AB3E38"/>
    <w:rsid w:val="00AB5BDE"/>
    <w:rsid w:val="00AB6145"/>
    <w:rsid w:val="00AD1FA4"/>
    <w:rsid w:val="00AD3312"/>
    <w:rsid w:val="00AD47CD"/>
    <w:rsid w:val="00AD6935"/>
    <w:rsid w:val="00AE1274"/>
    <w:rsid w:val="00AE273E"/>
    <w:rsid w:val="00AE76C4"/>
    <w:rsid w:val="00B0184A"/>
    <w:rsid w:val="00B10424"/>
    <w:rsid w:val="00B107EF"/>
    <w:rsid w:val="00B13041"/>
    <w:rsid w:val="00B37F7E"/>
    <w:rsid w:val="00B451BD"/>
    <w:rsid w:val="00B471A6"/>
    <w:rsid w:val="00B62367"/>
    <w:rsid w:val="00B930C3"/>
    <w:rsid w:val="00B93C49"/>
    <w:rsid w:val="00B945D8"/>
    <w:rsid w:val="00BA7A08"/>
    <w:rsid w:val="00BB7F71"/>
    <w:rsid w:val="00BC059D"/>
    <w:rsid w:val="00BE39B1"/>
    <w:rsid w:val="00BF3B02"/>
    <w:rsid w:val="00BF7903"/>
    <w:rsid w:val="00C25E2E"/>
    <w:rsid w:val="00C36F0E"/>
    <w:rsid w:val="00C51098"/>
    <w:rsid w:val="00C54A2D"/>
    <w:rsid w:val="00C54D7D"/>
    <w:rsid w:val="00C66BCB"/>
    <w:rsid w:val="00C80AAF"/>
    <w:rsid w:val="00C82524"/>
    <w:rsid w:val="00CA3B68"/>
    <w:rsid w:val="00CD7C5F"/>
    <w:rsid w:val="00D04991"/>
    <w:rsid w:val="00D21FA5"/>
    <w:rsid w:val="00D5676F"/>
    <w:rsid w:val="00D64702"/>
    <w:rsid w:val="00D758A0"/>
    <w:rsid w:val="00D76A68"/>
    <w:rsid w:val="00D83234"/>
    <w:rsid w:val="00D91A48"/>
    <w:rsid w:val="00DA033F"/>
    <w:rsid w:val="00DA1B86"/>
    <w:rsid w:val="00DB0C62"/>
    <w:rsid w:val="00DB615C"/>
    <w:rsid w:val="00DB6665"/>
    <w:rsid w:val="00DC7006"/>
    <w:rsid w:val="00DD11E2"/>
    <w:rsid w:val="00DD2A47"/>
    <w:rsid w:val="00DD4BF1"/>
    <w:rsid w:val="00DF1A3B"/>
    <w:rsid w:val="00E00E60"/>
    <w:rsid w:val="00E168C5"/>
    <w:rsid w:val="00E2222C"/>
    <w:rsid w:val="00E31666"/>
    <w:rsid w:val="00E46D4C"/>
    <w:rsid w:val="00E63EFA"/>
    <w:rsid w:val="00E94EA1"/>
    <w:rsid w:val="00F10EEB"/>
    <w:rsid w:val="00F20A56"/>
    <w:rsid w:val="00F21B68"/>
    <w:rsid w:val="00F2763E"/>
    <w:rsid w:val="00F3297B"/>
    <w:rsid w:val="00F34DA8"/>
    <w:rsid w:val="00F34EE8"/>
    <w:rsid w:val="00F728BB"/>
    <w:rsid w:val="00F745CD"/>
    <w:rsid w:val="00F87D14"/>
    <w:rsid w:val="00FB526A"/>
    <w:rsid w:val="00FC78B6"/>
    <w:rsid w:val="00FD6261"/>
    <w:rsid w:val="00FE095C"/>
    <w:rsid w:val="00FE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3297B"/>
    <w:pPr>
      <w:ind w:left="720"/>
      <w:contextualSpacing/>
    </w:pPr>
  </w:style>
  <w:style w:type="paragraph" w:styleId="Header">
    <w:name w:val="header"/>
    <w:basedOn w:val="Normal"/>
    <w:link w:val="HeaderChar"/>
    <w:uiPriority w:val="99"/>
    <w:unhideWhenUsed/>
    <w:rsid w:val="00173E8B"/>
    <w:pPr>
      <w:tabs>
        <w:tab w:val="center" w:pos="4680"/>
        <w:tab w:val="right" w:pos="9360"/>
      </w:tabs>
    </w:pPr>
  </w:style>
  <w:style w:type="character" w:customStyle="1" w:styleId="HeaderChar">
    <w:name w:val="Header Char"/>
    <w:basedOn w:val="DefaultParagraphFont"/>
    <w:link w:val="Header"/>
    <w:uiPriority w:val="99"/>
    <w:rsid w:val="00173E8B"/>
  </w:style>
  <w:style w:type="paragraph" w:styleId="Footer">
    <w:name w:val="footer"/>
    <w:basedOn w:val="Normal"/>
    <w:link w:val="FooterChar"/>
    <w:uiPriority w:val="99"/>
    <w:unhideWhenUsed/>
    <w:rsid w:val="00173E8B"/>
    <w:pPr>
      <w:tabs>
        <w:tab w:val="center" w:pos="4680"/>
        <w:tab w:val="right" w:pos="9360"/>
      </w:tabs>
    </w:pPr>
  </w:style>
  <w:style w:type="character" w:customStyle="1" w:styleId="FooterChar">
    <w:name w:val="Footer Char"/>
    <w:basedOn w:val="DefaultParagraphFont"/>
    <w:link w:val="Footer"/>
    <w:uiPriority w:val="99"/>
    <w:rsid w:val="00173E8B"/>
  </w:style>
  <w:style w:type="paragraph" w:styleId="FootnoteText">
    <w:name w:val="footnote text"/>
    <w:basedOn w:val="Normal"/>
    <w:link w:val="FootnoteTextChar"/>
    <w:uiPriority w:val="99"/>
    <w:unhideWhenUsed/>
    <w:rsid w:val="00AB3E38"/>
    <w:rPr>
      <w:sz w:val="20"/>
      <w:szCs w:val="20"/>
    </w:rPr>
  </w:style>
  <w:style w:type="character" w:customStyle="1" w:styleId="FootnoteTextChar">
    <w:name w:val="Footnote Text Char"/>
    <w:basedOn w:val="DefaultParagraphFont"/>
    <w:link w:val="FootnoteText"/>
    <w:uiPriority w:val="99"/>
    <w:rsid w:val="00AB3E38"/>
    <w:rPr>
      <w:sz w:val="20"/>
      <w:szCs w:val="20"/>
    </w:rPr>
  </w:style>
  <w:style w:type="character" w:styleId="FootnoteReference">
    <w:name w:val="footnote reference"/>
    <w:basedOn w:val="DefaultParagraphFont"/>
    <w:uiPriority w:val="99"/>
    <w:semiHidden/>
    <w:unhideWhenUsed/>
    <w:rsid w:val="00AB3E38"/>
    <w:rPr>
      <w:vertAlign w:val="superscript"/>
    </w:rPr>
  </w:style>
  <w:style w:type="character" w:styleId="CommentReference">
    <w:name w:val="annotation reference"/>
    <w:basedOn w:val="DefaultParagraphFont"/>
    <w:uiPriority w:val="99"/>
    <w:semiHidden/>
    <w:unhideWhenUsed/>
    <w:rsid w:val="00DF1A3B"/>
    <w:rPr>
      <w:sz w:val="16"/>
      <w:szCs w:val="16"/>
    </w:rPr>
  </w:style>
  <w:style w:type="paragraph" w:styleId="CommentText">
    <w:name w:val="annotation text"/>
    <w:basedOn w:val="Normal"/>
    <w:link w:val="CommentTextChar"/>
    <w:uiPriority w:val="99"/>
    <w:semiHidden/>
    <w:unhideWhenUsed/>
    <w:rsid w:val="00DF1A3B"/>
    <w:rPr>
      <w:sz w:val="20"/>
      <w:szCs w:val="20"/>
    </w:rPr>
  </w:style>
  <w:style w:type="character" w:customStyle="1" w:styleId="CommentTextChar">
    <w:name w:val="Comment Text Char"/>
    <w:basedOn w:val="DefaultParagraphFont"/>
    <w:link w:val="CommentText"/>
    <w:uiPriority w:val="99"/>
    <w:semiHidden/>
    <w:rsid w:val="00DF1A3B"/>
    <w:rPr>
      <w:sz w:val="20"/>
      <w:szCs w:val="20"/>
    </w:rPr>
  </w:style>
  <w:style w:type="paragraph" w:styleId="CommentSubject">
    <w:name w:val="annotation subject"/>
    <w:basedOn w:val="CommentText"/>
    <w:next w:val="CommentText"/>
    <w:link w:val="CommentSubjectChar"/>
    <w:uiPriority w:val="99"/>
    <w:semiHidden/>
    <w:unhideWhenUsed/>
    <w:rsid w:val="00DF1A3B"/>
    <w:rPr>
      <w:b/>
      <w:bCs/>
    </w:rPr>
  </w:style>
  <w:style w:type="character" w:customStyle="1" w:styleId="CommentSubjectChar">
    <w:name w:val="Comment Subject Char"/>
    <w:basedOn w:val="CommentTextChar"/>
    <w:link w:val="CommentSubject"/>
    <w:uiPriority w:val="99"/>
    <w:semiHidden/>
    <w:rsid w:val="00DF1A3B"/>
    <w:rPr>
      <w:b/>
      <w:bCs/>
      <w:sz w:val="20"/>
      <w:szCs w:val="20"/>
    </w:rPr>
  </w:style>
  <w:style w:type="paragraph" w:styleId="BalloonText">
    <w:name w:val="Balloon Text"/>
    <w:basedOn w:val="Normal"/>
    <w:link w:val="BalloonTextChar"/>
    <w:uiPriority w:val="99"/>
    <w:semiHidden/>
    <w:unhideWhenUsed/>
    <w:rsid w:val="00DF1A3B"/>
    <w:rPr>
      <w:rFonts w:ascii="Tahoma" w:hAnsi="Tahoma" w:cs="Tahoma"/>
      <w:sz w:val="16"/>
      <w:szCs w:val="16"/>
    </w:rPr>
  </w:style>
  <w:style w:type="character" w:customStyle="1" w:styleId="BalloonTextChar">
    <w:name w:val="Balloon Text Char"/>
    <w:basedOn w:val="DefaultParagraphFont"/>
    <w:link w:val="BalloonText"/>
    <w:uiPriority w:val="99"/>
    <w:semiHidden/>
    <w:rsid w:val="00DF1A3B"/>
    <w:rPr>
      <w:rFonts w:ascii="Tahoma" w:hAnsi="Tahoma" w:cs="Tahoma"/>
      <w:sz w:val="16"/>
      <w:szCs w:val="16"/>
    </w:rPr>
  </w:style>
  <w:style w:type="table" w:styleId="TableGrid">
    <w:name w:val="Table Grid"/>
    <w:basedOn w:val="TableNormal"/>
    <w:uiPriority w:val="59"/>
    <w:rsid w:val="00CA3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3297B"/>
    <w:pPr>
      <w:ind w:left="720"/>
      <w:contextualSpacing/>
    </w:pPr>
  </w:style>
  <w:style w:type="paragraph" w:styleId="Header">
    <w:name w:val="header"/>
    <w:basedOn w:val="Normal"/>
    <w:link w:val="HeaderChar"/>
    <w:uiPriority w:val="99"/>
    <w:unhideWhenUsed/>
    <w:rsid w:val="00173E8B"/>
    <w:pPr>
      <w:tabs>
        <w:tab w:val="center" w:pos="4680"/>
        <w:tab w:val="right" w:pos="9360"/>
      </w:tabs>
    </w:pPr>
  </w:style>
  <w:style w:type="character" w:customStyle="1" w:styleId="HeaderChar">
    <w:name w:val="Header Char"/>
    <w:basedOn w:val="DefaultParagraphFont"/>
    <w:link w:val="Header"/>
    <w:uiPriority w:val="99"/>
    <w:rsid w:val="00173E8B"/>
  </w:style>
  <w:style w:type="paragraph" w:styleId="Footer">
    <w:name w:val="footer"/>
    <w:basedOn w:val="Normal"/>
    <w:link w:val="FooterChar"/>
    <w:uiPriority w:val="99"/>
    <w:unhideWhenUsed/>
    <w:rsid w:val="00173E8B"/>
    <w:pPr>
      <w:tabs>
        <w:tab w:val="center" w:pos="4680"/>
        <w:tab w:val="right" w:pos="9360"/>
      </w:tabs>
    </w:pPr>
  </w:style>
  <w:style w:type="character" w:customStyle="1" w:styleId="FooterChar">
    <w:name w:val="Footer Char"/>
    <w:basedOn w:val="DefaultParagraphFont"/>
    <w:link w:val="Footer"/>
    <w:uiPriority w:val="99"/>
    <w:rsid w:val="00173E8B"/>
  </w:style>
  <w:style w:type="paragraph" w:styleId="FootnoteText">
    <w:name w:val="footnote text"/>
    <w:basedOn w:val="Normal"/>
    <w:link w:val="FootnoteTextChar"/>
    <w:uiPriority w:val="99"/>
    <w:unhideWhenUsed/>
    <w:rsid w:val="00AB3E38"/>
    <w:rPr>
      <w:sz w:val="20"/>
      <w:szCs w:val="20"/>
    </w:rPr>
  </w:style>
  <w:style w:type="character" w:customStyle="1" w:styleId="FootnoteTextChar">
    <w:name w:val="Footnote Text Char"/>
    <w:basedOn w:val="DefaultParagraphFont"/>
    <w:link w:val="FootnoteText"/>
    <w:uiPriority w:val="99"/>
    <w:rsid w:val="00AB3E38"/>
    <w:rPr>
      <w:sz w:val="20"/>
      <w:szCs w:val="20"/>
    </w:rPr>
  </w:style>
  <w:style w:type="character" w:styleId="FootnoteReference">
    <w:name w:val="footnote reference"/>
    <w:basedOn w:val="DefaultParagraphFont"/>
    <w:uiPriority w:val="99"/>
    <w:semiHidden/>
    <w:unhideWhenUsed/>
    <w:rsid w:val="00AB3E38"/>
    <w:rPr>
      <w:vertAlign w:val="superscript"/>
    </w:rPr>
  </w:style>
  <w:style w:type="character" w:styleId="CommentReference">
    <w:name w:val="annotation reference"/>
    <w:basedOn w:val="DefaultParagraphFont"/>
    <w:uiPriority w:val="99"/>
    <w:semiHidden/>
    <w:unhideWhenUsed/>
    <w:rsid w:val="00DF1A3B"/>
    <w:rPr>
      <w:sz w:val="16"/>
      <w:szCs w:val="16"/>
    </w:rPr>
  </w:style>
  <w:style w:type="paragraph" w:styleId="CommentText">
    <w:name w:val="annotation text"/>
    <w:basedOn w:val="Normal"/>
    <w:link w:val="CommentTextChar"/>
    <w:uiPriority w:val="99"/>
    <w:semiHidden/>
    <w:unhideWhenUsed/>
    <w:rsid w:val="00DF1A3B"/>
    <w:rPr>
      <w:sz w:val="20"/>
      <w:szCs w:val="20"/>
    </w:rPr>
  </w:style>
  <w:style w:type="character" w:customStyle="1" w:styleId="CommentTextChar">
    <w:name w:val="Comment Text Char"/>
    <w:basedOn w:val="DefaultParagraphFont"/>
    <w:link w:val="CommentText"/>
    <w:uiPriority w:val="99"/>
    <w:semiHidden/>
    <w:rsid w:val="00DF1A3B"/>
    <w:rPr>
      <w:sz w:val="20"/>
      <w:szCs w:val="20"/>
    </w:rPr>
  </w:style>
  <w:style w:type="paragraph" w:styleId="CommentSubject">
    <w:name w:val="annotation subject"/>
    <w:basedOn w:val="CommentText"/>
    <w:next w:val="CommentText"/>
    <w:link w:val="CommentSubjectChar"/>
    <w:uiPriority w:val="99"/>
    <w:semiHidden/>
    <w:unhideWhenUsed/>
    <w:rsid w:val="00DF1A3B"/>
    <w:rPr>
      <w:b/>
      <w:bCs/>
    </w:rPr>
  </w:style>
  <w:style w:type="character" w:customStyle="1" w:styleId="CommentSubjectChar">
    <w:name w:val="Comment Subject Char"/>
    <w:basedOn w:val="CommentTextChar"/>
    <w:link w:val="CommentSubject"/>
    <w:uiPriority w:val="99"/>
    <w:semiHidden/>
    <w:rsid w:val="00DF1A3B"/>
    <w:rPr>
      <w:b/>
      <w:bCs/>
      <w:sz w:val="20"/>
      <w:szCs w:val="20"/>
    </w:rPr>
  </w:style>
  <w:style w:type="paragraph" w:styleId="BalloonText">
    <w:name w:val="Balloon Text"/>
    <w:basedOn w:val="Normal"/>
    <w:link w:val="BalloonTextChar"/>
    <w:uiPriority w:val="99"/>
    <w:semiHidden/>
    <w:unhideWhenUsed/>
    <w:rsid w:val="00DF1A3B"/>
    <w:rPr>
      <w:rFonts w:ascii="Tahoma" w:hAnsi="Tahoma" w:cs="Tahoma"/>
      <w:sz w:val="16"/>
      <w:szCs w:val="16"/>
    </w:rPr>
  </w:style>
  <w:style w:type="character" w:customStyle="1" w:styleId="BalloonTextChar">
    <w:name w:val="Balloon Text Char"/>
    <w:basedOn w:val="DefaultParagraphFont"/>
    <w:link w:val="BalloonText"/>
    <w:uiPriority w:val="99"/>
    <w:semiHidden/>
    <w:rsid w:val="00DF1A3B"/>
    <w:rPr>
      <w:rFonts w:ascii="Tahoma" w:hAnsi="Tahoma" w:cs="Tahoma"/>
      <w:sz w:val="16"/>
      <w:szCs w:val="16"/>
    </w:rPr>
  </w:style>
  <w:style w:type="table" w:styleId="TableGrid">
    <w:name w:val="Table Grid"/>
    <w:basedOn w:val="TableNormal"/>
    <w:uiPriority w:val="59"/>
    <w:rsid w:val="00CA3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2014-02-06T08:00:00+00:00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4E9082-0B5C-423F-A32C-5CB58BEE1F20}"/>
</file>

<file path=customXml/itemProps2.xml><?xml version="1.0" encoding="utf-8"?>
<ds:datastoreItem xmlns:ds="http://schemas.openxmlformats.org/officeDocument/2006/customXml" ds:itemID="{9FBB530F-BF1C-483A-AC09-DA9B4397FB50}"/>
</file>

<file path=customXml/itemProps3.xml><?xml version="1.0" encoding="utf-8"?>
<ds:datastoreItem xmlns:ds="http://schemas.openxmlformats.org/officeDocument/2006/customXml" ds:itemID="{842A87E3-E71B-49D8-9215-109C65A4F115}"/>
</file>

<file path=customXml/itemProps4.xml><?xml version="1.0" encoding="utf-8"?>
<ds:datastoreItem xmlns:ds="http://schemas.openxmlformats.org/officeDocument/2006/customXml" ds:itemID="{E2BE7551-6BE6-4D83-B3EA-B8836CB71F21}"/>
</file>

<file path=customXml/itemProps5.xml><?xml version="1.0" encoding="utf-8"?>
<ds:datastoreItem xmlns:ds="http://schemas.openxmlformats.org/officeDocument/2006/customXml" ds:itemID="{F08C86CD-1F8F-4760-AFC5-A40B491A47B6}"/>
</file>

<file path=docProps/app.xml><?xml version="1.0" encoding="utf-8"?>
<Properties xmlns="http://schemas.openxmlformats.org/officeDocument/2006/extended-properties" xmlns:vt="http://schemas.openxmlformats.org/officeDocument/2006/docPropsVTypes">
  <Template>Normal.dotm</Template>
  <TotalTime>0</TotalTime>
  <Pages>11</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2014-02-04T16:47:00Z</dcterms:created>
  <dcterms:modified xsi:type="dcterms:W3CDTF">2014-02-06T20:08:00Z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