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8D" w:rsidRPr="00255659" w:rsidRDefault="00F8418D" w:rsidP="00540A76">
      <w:pPr>
        <w:pStyle w:val="single"/>
        <w:spacing w:before="0" w:line="240" w:lineRule="auto"/>
        <w:ind w:left="4320" w:firstLine="0"/>
        <w:rPr>
          <w:rStyle w:val="Strong"/>
        </w:rPr>
      </w:pPr>
      <w:r w:rsidRPr="00255659">
        <w:rPr>
          <w:rStyle w:val="Strong"/>
        </w:rPr>
        <w:t>EXH</w:t>
      </w:r>
      <w:r w:rsidR="004F1C95" w:rsidRPr="00255659">
        <w:rPr>
          <w:rStyle w:val="Strong"/>
        </w:rPr>
        <w:t>.</w:t>
      </w:r>
      <w:r w:rsidR="00255659">
        <w:rPr>
          <w:rStyle w:val="Strong"/>
        </w:rPr>
        <w:t xml:space="preserve"> </w:t>
      </w:r>
      <w:r w:rsidR="005448D9" w:rsidRPr="00255659">
        <w:rPr>
          <w:rStyle w:val="Strong"/>
        </w:rPr>
        <w:t>RAM</w:t>
      </w:r>
      <w:r w:rsidR="004F1C95" w:rsidRPr="00255659">
        <w:rPr>
          <w:rStyle w:val="Strong"/>
        </w:rPr>
        <w:t>-</w:t>
      </w:r>
      <w:r w:rsidR="005448D9" w:rsidRPr="00255659">
        <w:rPr>
          <w:rStyle w:val="Strong"/>
        </w:rPr>
        <w:t>12</w:t>
      </w:r>
      <w:r w:rsidR="004F1C95" w:rsidRPr="00255659">
        <w:rPr>
          <w:rStyle w:val="Strong"/>
        </w:rPr>
        <w:t>T</w:t>
      </w:r>
      <w:r w:rsidR="004F1C95" w:rsidRPr="00255659">
        <w:rPr>
          <w:rStyle w:val="Strong"/>
        </w:rPr>
        <w:br/>
        <w:t xml:space="preserve">DOCKETS </w:t>
      </w:r>
      <w:r w:rsidRPr="00255659">
        <w:rPr>
          <w:rStyle w:val="Strong"/>
        </w:rPr>
        <w:t>UE-1</w:t>
      </w:r>
      <w:r w:rsidR="00B01500" w:rsidRPr="00255659">
        <w:rPr>
          <w:rStyle w:val="Strong"/>
        </w:rPr>
        <w:t>7</w:t>
      </w:r>
      <w:r w:rsidR="00F5016E" w:rsidRPr="00255659">
        <w:rPr>
          <w:rStyle w:val="Strong"/>
        </w:rPr>
        <w:t>0033</w:t>
      </w:r>
      <w:r w:rsidRPr="00255659">
        <w:rPr>
          <w:rStyle w:val="Strong"/>
        </w:rPr>
        <w:t>/UG-1</w:t>
      </w:r>
      <w:r w:rsidR="00B01500" w:rsidRPr="00255659">
        <w:rPr>
          <w:rStyle w:val="Strong"/>
        </w:rPr>
        <w:t>7</w:t>
      </w:r>
      <w:r w:rsidR="00F5016E" w:rsidRPr="00255659">
        <w:rPr>
          <w:rStyle w:val="Strong"/>
        </w:rPr>
        <w:t>0034</w:t>
      </w:r>
      <w:r w:rsidRPr="00255659">
        <w:rPr>
          <w:rStyle w:val="Strong"/>
        </w:rPr>
        <w:br/>
        <w:t>201</w:t>
      </w:r>
      <w:r w:rsidR="00B01500" w:rsidRPr="00255659">
        <w:rPr>
          <w:rStyle w:val="Strong"/>
        </w:rPr>
        <w:t>7</w:t>
      </w:r>
      <w:r w:rsidRPr="00255659">
        <w:rPr>
          <w:rStyle w:val="Strong"/>
        </w:rPr>
        <w:t xml:space="preserve"> PSE GENERAL RATE CASE</w:t>
      </w:r>
      <w:r w:rsidRPr="00255659">
        <w:rPr>
          <w:rStyle w:val="Strong"/>
        </w:rPr>
        <w:br/>
        <w:t>WITNESS: </w:t>
      </w:r>
      <w:r w:rsidR="005448D9" w:rsidRPr="00255659">
        <w:rPr>
          <w:b/>
        </w:rPr>
        <w:t>DR. ROGER A. MORIN</w:t>
      </w:r>
    </w:p>
    <w:p w:rsidR="00F8418D" w:rsidRPr="00255659" w:rsidRDefault="00F8418D" w:rsidP="00540A76">
      <w:pPr>
        <w:pStyle w:val="center"/>
        <w:keepLines w:val="0"/>
        <w:spacing w:before="1200" w:line="240" w:lineRule="auto"/>
        <w:rPr>
          <w:b/>
        </w:rPr>
      </w:pPr>
      <w:r w:rsidRPr="00255659">
        <w:rPr>
          <w:b/>
        </w:rPr>
        <w:t>BEFORE THE</w:t>
      </w:r>
    </w:p>
    <w:p w:rsidR="00F8418D" w:rsidRPr="00255659" w:rsidRDefault="00F8418D" w:rsidP="00540A76">
      <w:pPr>
        <w:pStyle w:val="center"/>
        <w:keepLines w:val="0"/>
        <w:spacing w:before="0" w:after="720" w:line="240" w:lineRule="auto"/>
        <w:rPr>
          <w:b/>
        </w:rPr>
      </w:pPr>
      <w:r w:rsidRPr="00255659">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255659" w:rsidTr="00760094">
        <w:trPr>
          <w:cantSplit/>
        </w:trPr>
        <w:tc>
          <w:tcPr>
            <w:tcW w:w="4418" w:type="dxa"/>
            <w:tcBorders>
              <w:bottom w:val="single" w:sz="4" w:space="0" w:color="auto"/>
              <w:right w:val="single" w:sz="4" w:space="0" w:color="auto"/>
            </w:tcBorders>
          </w:tcPr>
          <w:p w:rsidR="00F8418D" w:rsidRPr="00255659" w:rsidRDefault="00F8418D" w:rsidP="00540A76">
            <w:pPr>
              <w:pStyle w:val="SingleSpacing"/>
              <w:spacing w:line="240" w:lineRule="auto"/>
              <w:rPr>
                <w:b/>
                <w:sz w:val="24"/>
              </w:rPr>
            </w:pPr>
            <w:r w:rsidRPr="00255659">
              <w:rPr>
                <w:b/>
                <w:sz w:val="24"/>
              </w:rPr>
              <w:t>WASHINGTON UTILITIES AND</w:t>
            </w:r>
          </w:p>
          <w:p w:rsidR="007852E7" w:rsidRPr="00255659" w:rsidRDefault="00F8418D" w:rsidP="00540A76">
            <w:pPr>
              <w:pStyle w:val="SingleSpacing"/>
              <w:spacing w:after="240" w:line="240" w:lineRule="auto"/>
              <w:rPr>
                <w:b/>
                <w:sz w:val="24"/>
              </w:rPr>
            </w:pPr>
            <w:r w:rsidRPr="00255659">
              <w:rPr>
                <w:b/>
                <w:sz w:val="24"/>
              </w:rPr>
              <w:t>TRANSPORTATION COMMISSION,</w:t>
            </w:r>
          </w:p>
          <w:p w:rsidR="007852E7" w:rsidRPr="00255659" w:rsidRDefault="00F8418D" w:rsidP="00540A76">
            <w:pPr>
              <w:pStyle w:val="SingleSpacing"/>
              <w:spacing w:after="240" w:line="240" w:lineRule="auto"/>
              <w:ind w:left="2438"/>
              <w:rPr>
                <w:b/>
                <w:sz w:val="24"/>
              </w:rPr>
            </w:pPr>
            <w:r w:rsidRPr="00255659">
              <w:rPr>
                <w:b/>
                <w:sz w:val="24"/>
              </w:rPr>
              <w:t>Complainant,</w:t>
            </w:r>
          </w:p>
          <w:p w:rsidR="007852E7" w:rsidRPr="00255659" w:rsidRDefault="00F8418D" w:rsidP="00540A76">
            <w:pPr>
              <w:pStyle w:val="SingleSpacing"/>
              <w:spacing w:after="240" w:line="240" w:lineRule="auto"/>
              <w:ind w:left="728"/>
              <w:rPr>
                <w:b/>
                <w:sz w:val="24"/>
              </w:rPr>
            </w:pPr>
            <w:r w:rsidRPr="00255659">
              <w:rPr>
                <w:b/>
                <w:sz w:val="24"/>
              </w:rPr>
              <w:t>v.</w:t>
            </w:r>
          </w:p>
          <w:p w:rsidR="00F8418D" w:rsidRPr="00255659" w:rsidRDefault="004F1C95" w:rsidP="00540A76">
            <w:pPr>
              <w:pStyle w:val="SingleSpacing"/>
              <w:spacing w:after="240" w:line="240" w:lineRule="auto"/>
              <w:ind w:left="8"/>
              <w:rPr>
                <w:b/>
                <w:sz w:val="24"/>
              </w:rPr>
            </w:pPr>
            <w:r w:rsidRPr="00255659">
              <w:rPr>
                <w:b/>
                <w:sz w:val="24"/>
              </w:rPr>
              <w:t>PUGET SOUND ENERGY,</w:t>
            </w:r>
          </w:p>
          <w:p w:rsidR="00F8418D" w:rsidRPr="00255659" w:rsidRDefault="00F8418D" w:rsidP="00540A76">
            <w:pPr>
              <w:pStyle w:val="SingleSpacing"/>
              <w:spacing w:after="240" w:line="240" w:lineRule="auto"/>
              <w:ind w:left="2438"/>
              <w:rPr>
                <w:b/>
                <w:sz w:val="24"/>
              </w:rPr>
            </w:pPr>
            <w:r w:rsidRPr="00255659">
              <w:rPr>
                <w:b/>
                <w:sz w:val="24"/>
              </w:rPr>
              <w:t>Respondent.</w:t>
            </w:r>
          </w:p>
        </w:tc>
        <w:tc>
          <w:tcPr>
            <w:tcW w:w="360" w:type="dxa"/>
            <w:tcBorders>
              <w:left w:val="single" w:sz="4" w:space="0" w:color="auto"/>
            </w:tcBorders>
          </w:tcPr>
          <w:p w:rsidR="00F8418D" w:rsidRPr="00255659" w:rsidRDefault="00F8418D" w:rsidP="00540A76">
            <w:pPr>
              <w:spacing w:line="240" w:lineRule="auto"/>
              <w:rPr>
                <w:b/>
              </w:rPr>
            </w:pPr>
          </w:p>
        </w:tc>
        <w:tc>
          <w:tcPr>
            <w:tcW w:w="4423" w:type="dxa"/>
            <w:vAlign w:val="center"/>
          </w:tcPr>
          <w:p w:rsidR="00F8418D" w:rsidRPr="00255659" w:rsidRDefault="004F1C95" w:rsidP="00540A76">
            <w:pPr>
              <w:pStyle w:val="SingleSpacing"/>
              <w:spacing w:line="240" w:lineRule="auto"/>
              <w:ind w:left="198"/>
              <w:rPr>
                <w:b/>
                <w:sz w:val="24"/>
              </w:rPr>
            </w:pPr>
            <w:r w:rsidRPr="00255659">
              <w:rPr>
                <w:b/>
                <w:sz w:val="24"/>
              </w:rPr>
              <w:t xml:space="preserve">Docket </w:t>
            </w:r>
            <w:r w:rsidR="00F8418D" w:rsidRPr="00255659">
              <w:rPr>
                <w:b/>
                <w:sz w:val="24"/>
              </w:rPr>
              <w:t>UE-1</w:t>
            </w:r>
            <w:r w:rsidR="00B01500" w:rsidRPr="00255659">
              <w:rPr>
                <w:b/>
                <w:sz w:val="24"/>
              </w:rPr>
              <w:t>7</w:t>
            </w:r>
            <w:r w:rsidR="00F5016E" w:rsidRPr="00255659">
              <w:rPr>
                <w:b/>
                <w:sz w:val="24"/>
              </w:rPr>
              <w:t>0033</w:t>
            </w:r>
          </w:p>
          <w:p w:rsidR="00F8418D" w:rsidRPr="00255659" w:rsidRDefault="004F1C95" w:rsidP="00540A76">
            <w:pPr>
              <w:pStyle w:val="SingleSpacing"/>
              <w:spacing w:line="240" w:lineRule="auto"/>
              <w:ind w:left="198"/>
              <w:rPr>
                <w:b/>
                <w:sz w:val="24"/>
              </w:rPr>
            </w:pPr>
            <w:r w:rsidRPr="00255659">
              <w:rPr>
                <w:b/>
                <w:sz w:val="24"/>
              </w:rPr>
              <w:t xml:space="preserve">Docket </w:t>
            </w:r>
            <w:r w:rsidR="00F8418D" w:rsidRPr="00255659">
              <w:rPr>
                <w:b/>
                <w:sz w:val="24"/>
              </w:rPr>
              <w:t>UG-1</w:t>
            </w:r>
            <w:r w:rsidR="00B01500" w:rsidRPr="00255659">
              <w:rPr>
                <w:b/>
                <w:sz w:val="24"/>
              </w:rPr>
              <w:t>7</w:t>
            </w:r>
            <w:r w:rsidR="00F5016E" w:rsidRPr="00255659">
              <w:rPr>
                <w:b/>
                <w:sz w:val="24"/>
              </w:rPr>
              <w:t>0034</w:t>
            </w:r>
          </w:p>
        </w:tc>
      </w:tr>
    </w:tbl>
    <w:p w:rsidR="00914544" w:rsidRPr="00255659" w:rsidRDefault="00F8418D" w:rsidP="00540A76">
      <w:pPr>
        <w:pStyle w:val="center"/>
        <w:keepLines w:val="0"/>
        <w:spacing w:before="720" w:line="240" w:lineRule="auto"/>
        <w:rPr>
          <w:b/>
        </w:rPr>
      </w:pPr>
      <w:r w:rsidRPr="00255659">
        <w:rPr>
          <w:b/>
        </w:rPr>
        <w:t xml:space="preserve">PREFILED </w:t>
      </w:r>
      <w:r w:rsidR="00632256" w:rsidRPr="00255659">
        <w:rPr>
          <w:b/>
        </w:rPr>
        <w:t>REBUTTAL</w:t>
      </w:r>
      <w:r w:rsidRPr="00255659">
        <w:rPr>
          <w:b/>
        </w:rPr>
        <w:t xml:space="preserve"> TESTIMONY</w:t>
      </w:r>
      <w:r w:rsidR="00F83BDA">
        <w:rPr>
          <w:b/>
        </w:rPr>
        <w:br/>
      </w:r>
      <w:r w:rsidRPr="00255659">
        <w:rPr>
          <w:b/>
        </w:rPr>
        <w:t xml:space="preserve">(NONCONFIDENTIAL) </w:t>
      </w:r>
      <w:r w:rsidR="00914544" w:rsidRPr="00255659">
        <w:rPr>
          <w:b/>
        </w:rPr>
        <w:t>OF</w:t>
      </w:r>
    </w:p>
    <w:p w:rsidR="004F1C95" w:rsidRPr="00255659" w:rsidRDefault="005448D9" w:rsidP="00540A76">
      <w:pPr>
        <w:pStyle w:val="center"/>
        <w:keepLines w:val="0"/>
        <w:spacing w:after="240" w:line="240" w:lineRule="auto"/>
        <w:rPr>
          <w:b/>
        </w:rPr>
      </w:pPr>
      <w:r w:rsidRPr="00255659">
        <w:rPr>
          <w:b/>
        </w:rPr>
        <w:t>DR. ROGER A. MORIN</w:t>
      </w:r>
    </w:p>
    <w:p w:rsidR="004F1C95" w:rsidRPr="00255659" w:rsidRDefault="00F8418D" w:rsidP="00F83BDA">
      <w:pPr>
        <w:pStyle w:val="center"/>
        <w:keepLines w:val="0"/>
        <w:spacing w:before="0" w:after="3840" w:line="240" w:lineRule="auto"/>
        <w:rPr>
          <w:b/>
        </w:rPr>
      </w:pPr>
      <w:r w:rsidRPr="00255659">
        <w:rPr>
          <w:b/>
        </w:rPr>
        <w:t>O</w:t>
      </w:r>
      <w:r w:rsidR="004F1C95" w:rsidRPr="00255659">
        <w:rPr>
          <w:b/>
        </w:rPr>
        <w:t>N BEHALF OF PUGET SOUND ENERGY</w:t>
      </w:r>
    </w:p>
    <w:p w:rsidR="00F8418D" w:rsidRPr="00255659" w:rsidRDefault="007852E7" w:rsidP="00540A76">
      <w:pPr>
        <w:spacing w:line="240" w:lineRule="auto"/>
        <w:ind w:firstLine="0"/>
        <w:jc w:val="center"/>
        <w:rPr>
          <w:b/>
          <w:bCs/>
          <w:szCs w:val="24"/>
        </w:rPr>
      </w:pPr>
      <w:r w:rsidRPr="00255659">
        <w:rPr>
          <w:b/>
        </w:rPr>
        <w:t xml:space="preserve">AUGUST </w:t>
      </w:r>
      <w:r w:rsidR="00BC2ACE" w:rsidRPr="00255659">
        <w:rPr>
          <w:b/>
        </w:rPr>
        <w:t>9</w:t>
      </w:r>
      <w:r w:rsidR="00F8418D" w:rsidRPr="00255659">
        <w:rPr>
          <w:b/>
        </w:rPr>
        <w:t>, 201</w:t>
      </w:r>
      <w:r w:rsidR="00B01500" w:rsidRPr="00255659">
        <w:rPr>
          <w:b/>
        </w:rPr>
        <w:t>7</w:t>
      </w:r>
    </w:p>
    <w:p w:rsidR="00F8418D" w:rsidRPr="00255659" w:rsidRDefault="00F8418D" w:rsidP="00540A76">
      <w:pPr>
        <w:spacing w:line="240" w:lineRule="auto"/>
        <w:ind w:firstLine="0"/>
        <w:jc w:val="center"/>
        <w:rPr>
          <w:b/>
          <w:bCs/>
          <w:szCs w:val="24"/>
        </w:rPr>
        <w:sectPr w:rsidR="00F8418D" w:rsidRPr="00255659">
          <w:headerReference w:type="default" r:id="rId9"/>
          <w:footerReference w:type="default" r:id="rId10"/>
          <w:pgSz w:w="12240" w:h="15840" w:code="1"/>
          <w:pgMar w:top="1440" w:right="1440" w:bottom="1440" w:left="2160" w:header="720" w:footer="864" w:gutter="0"/>
          <w:pgNumType w:start="1"/>
          <w:cols w:space="720"/>
          <w:rtlGutter/>
        </w:sectPr>
      </w:pPr>
    </w:p>
    <w:p w:rsidR="007852E7" w:rsidRPr="00255659" w:rsidRDefault="00761068" w:rsidP="00540A76">
      <w:pPr>
        <w:spacing w:after="480" w:line="240" w:lineRule="auto"/>
        <w:ind w:left="720" w:right="720" w:firstLine="0"/>
        <w:jc w:val="center"/>
        <w:rPr>
          <w:b/>
          <w:bCs/>
          <w:szCs w:val="24"/>
        </w:rPr>
      </w:pPr>
      <w:r w:rsidRPr="00255659">
        <w:rPr>
          <w:b/>
          <w:bCs/>
          <w:szCs w:val="24"/>
        </w:rPr>
        <w:lastRenderedPageBreak/>
        <w:t>PUGET SOUND ENERGY</w:t>
      </w:r>
      <w:bookmarkStart w:id="0" w:name="TOCTitle"/>
    </w:p>
    <w:p w:rsidR="007852E7" w:rsidRPr="00255659" w:rsidRDefault="00A706E6" w:rsidP="00F83BDA">
      <w:pPr>
        <w:spacing w:after="240" w:line="240" w:lineRule="auto"/>
        <w:ind w:left="720" w:right="720" w:firstLine="0"/>
        <w:jc w:val="center"/>
        <w:rPr>
          <w:b/>
          <w:bCs/>
          <w:szCs w:val="24"/>
        </w:rPr>
      </w:pPr>
      <w:r w:rsidRPr="00255659">
        <w:rPr>
          <w:b/>
        </w:rPr>
        <w:t>PREFILED REBUTTAL TESTIMONY</w:t>
      </w:r>
      <w:r w:rsidR="00F83BDA">
        <w:rPr>
          <w:b/>
        </w:rPr>
        <w:br/>
      </w:r>
      <w:r w:rsidRPr="00255659">
        <w:rPr>
          <w:b/>
        </w:rPr>
        <w:t>(NONCONFIDENTIAL) OF</w:t>
      </w:r>
      <w:r w:rsidR="007852E7" w:rsidRPr="00255659">
        <w:rPr>
          <w:b/>
        </w:rPr>
        <w:br/>
      </w:r>
      <w:r w:rsidR="005448D9" w:rsidRPr="00255659">
        <w:rPr>
          <w:b/>
        </w:rPr>
        <w:t>DR. ROGER A. MORIN</w:t>
      </w:r>
    </w:p>
    <w:p w:rsidR="00F8418D" w:rsidRPr="00C8234D" w:rsidRDefault="00F8418D" w:rsidP="00540A76">
      <w:pPr>
        <w:spacing w:after="480" w:line="240" w:lineRule="auto"/>
        <w:ind w:left="720" w:right="720" w:firstLine="0"/>
        <w:jc w:val="center"/>
        <w:rPr>
          <w:b/>
          <w:bCs/>
          <w:szCs w:val="24"/>
        </w:rPr>
      </w:pPr>
      <w:r w:rsidRPr="00C8234D">
        <w:rPr>
          <w:b/>
          <w:bCs/>
        </w:rPr>
        <w:t>CONTENTS</w:t>
      </w:r>
      <w:bookmarkEnd w:id="0"/>
    </w:p>
    <w:p w:rsidR="00F83BDA" w:rsidRPr="00F83BDA" w:rsidRDefault="00F8418D">
      <w:pPr>
        <w:pStyle w:val="TOC1"/>
        <w:rPr>
          <w:rFonts w:asciiTheme="minorHAnsi" w:eastAsiaTheme="minorEastAsia" w:hAnsiTheme="minorHAnsi" w:cstheme="minorBidi"/>
          <w:color w:val="auto"/>
          <w:sz w:val="22"/>
          <w:szCs w:val="22"/>
          <w:lang w:eastAsia="en-US"/>
        </w:rPr>
      </w:pPr>
      <w:r w:rsidRPr="00F83BDA">
        <w:rPr>
          <w:bCs/>
          <w:color w:val="auto"/>
        </w:rPr>
        <w:fldChar w:fldCharType="begin"/>
      </w:r>
      <w:r w:rsidRPr="00F83BDA">
        <w:rPr>
          <w:bCs/>
          <w:color w:val="auto"/>
        </w:rPr>
        <w:instrText xml:space="preserve"> TOC \o "1-5" \h \z \u </w:instrText>
      </w:r>
      <w:r w:rsidRPr="00F83BDA">
        <w:rPr>
          <w:bCs/>
          <w:color w:val="auto"/>
        </w:rPr>
        <w:fldChar w:fldCharType="separate"/>
      </w:r>
      <w:hyperlink w:anchor="_Toc489887856" w:history="1">
        <w:r w:rsidR="00F83BDA" w:rsidRPr="00F83BDA">
          <w:rPr>
            <w:rStyle w:val="Hyperlink"/>
            <w:color w:val="auto"/>
          </w:rPr>
          <w:t>I.</w:t>
        </w:r>
        <w:r w:rsidR="00F83BDA" w:rsidRPr="00F83BDA">
          <w:rPr>
            <w:rFonts w:asciiTheme="minorHAnsi" w:eastAsiaTheme="minorEastAsia" w:hAnsiTheme="minorHAnsi" w:cstheme="minorBidi"/>
            <w:color w:val="auto"/>
            <w:sz w:val="22"/>
            <w:szCs w:val="22"/>
            <w:lang w:eastAsia="en-US"/>
          </w:rPr>
          <w:tab/>
        </w:r>
        <w:r w:rsidR="00F83BDA" w:rsidRPr="00F83BDA">
          <w:rPr>
            <w:rStyle w:val="Hyperlink"/>
            <w:color w:val="auto"/>
          </w:rPr>
          <w:t>INTRODUCTION</w:t>
        </w:r>
        <w:r w:rsidR="00F83BDA" w:rsidRPr="00F83BDA">
          <w:rPr>
            <w:webHidden/>
            <w:color w:val="auto"/>
          </w:rPr>
          <w:tab/>
        </w:r>
        <w:r w:rsidR="00F83BDA" w:rsidRPr="00F83BDA">
          <w:rPr>
            <w:webHidden/>
            <w:color w:val="auto"/>
          </w:rPr>
          <w:fldChar w:fldCharType="begin"/>
        </w:r>
        <w:r w:rsidR="00F83BDA" w:rsidRPr="00F83BDA">
          <w:rPr>
            <w:webHidden/>
            <w:color w:val="auto"/>
          </w:rPr>
          <w:instrText xml:space="preserve"> PAGEREF _Toc489887856 \h </w:instrText>
        </w:r>
        <w:r w:rsidR="00F83BDA" w:rsidRPr="00F83BDA">
          <w:rPr>
            <w:webHidden/>
            <w:color w:val="auto"/>
          </w:rPr>
        </w:r>
        <w:r w:rsidR="00F83BDA" w:rsidRPr="00F83BDA">
          <w:rPr>
            <w:webHidden/>
            <w:color w:val="auto"/>
          </w:rPr>
          <w:fldChar w:fldCharType="separate"/>
        </w:r>
        <w:r w:rsidR="00F83BDA" w:rsidRPr="00F83BDA">
          <w:rPr>
            <w:webHidden/>
            <w:color w:val="auto"/>
          </w:rPr>
          <w:t>1</w:t>
        </w:r>
        <w:r w:rsidR="00F83BDA" w:rsidRPr="00F83BDA">
          <w:rPr>
            <w:webHidden/>
            <w:color w:val="auto"/>
          </w:rPr>
          <w:fldChar w:fldCharType="end"/>
        </w:r>
      </w:hyperlink>
    </w:p>
    <w:p w:rsidR="00F83BDA" w:rsidRPr="00F83BDA" w:rsidRDefault="00F83BDA">
      <w:pPr>
        <w:pStyle w:val="TOC1"/>
        <w:rPr>
          <w:rFonts w:asciiTheme="minorHAnsi" w:eastAsiaTheme="minorEastAsia" w:hAnsiTheme="minorHAnsi" w:cstheme="minorBidi"/>
          <w:color w:val="auto"/>
          <w:sz w:val="22"/>
          <w:szCs w:val="22"/>
          <w:lang w:eastAsia="en-US"/>
        </w:rPr>
      </w:pPr>
      <w:hyperlink w:anchor="_Toc489887857" w:history="1">
        <w:r w:rsidRPr="00F83BDA">
          <w:rPr>
            <w:rStyle w:val="Hyperlink"/>
            <w:color w:val="auto"/>
            <w:lang w:eastAsia="en-US"/>
          </w:rPr>
          <w:t>II.</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REBUTTAL OF DR. WOOLRIDGE</w:t>
        </w:r>
        <w:r w:rsidRPr="00F83BDA">
          <w:rPr>
            <w:webHidden/>
            <w:color w:val="auto"/>
          </w:rPr>
          <w:tab/>
        </w:r>
        <w:r w:rsidRPr="00F83BDA">
          <w:rPr>
            <w:webHidden/>
            <w:color w:val="auto"/>
          </w:rPr>
          <w:fldChar w:fldCharType="begin"/>
        </w:r>
        <w:r w:rsidRPr="00F83BDA">
          <w:rPr>
            <w:webHidden/>
            <w:color w:val="auto"/>
          </w:rPr>
          <w:instrText xml:space="preserve"> PAGEREF _Toc489887857 \h </w:instrText>
        </w:r>
        <w:r w:rsidRPr="00F83BDA">
          <w:rPr>
            <w:webHidden/>
            <w:color w:val="auto"/>
          </w:rPr>
        </w:r>
        <w:r w:rsidRPr="00F83BDA">
          <w:rPr>
            <w:webHidden/>
            <w:color w:val="auto"/>
          </w:rPr>
          <w:fldChar w:fldCharType="separate"/>
        </w:r>
        <w:r w:rsidRPr="00F83BDA">
          <w:rPr>
            <w:webHidden/>
            <w:color w:val="auto"/>
          </w:rPr>
          <w:t>3</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58" w:history="1">
        <w:r w:rsidRPr="00F83BDA">
          <w:rPr>
            <w:rStyle w:val="Hyperlink"/>
            <w:color w:val="auto"/>
            <w:lang w:eastAsia="en-US"/>
          </w:rPr>
          <w:t>A.</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Recommended Return on Equity for PSE is Outside the Mainstream for Electric and Combination Electric and Gas Utilities</w:t>
        </w:r>
        <w:r w:rsidRPr="00F83BDA">
          <w:rPr>
            <w:webHidden/>
            <w:color w:val="auto"/>
          </w:rPr>
          <w:tab/>
        </w:r>
        <w:r w:rsidRPr="00F83BDA">
          <w:rPr>
            <w:webHidden/>
            <w:color w:val="auto"/>
          </w:rPr>
          <w:fldChar w:fldCharType="begin"/>
        </w:r>
        <w:r w:rsidRPr="00F83BDA">
          <w:rPr>
            <w:webHidden/>
            <w:color w:val="auto"/>
          </w:rPr>
          <w:instrText xml:space="preserve"> PAGEREF _Toc489887858 \h </w:instrText>
        </w:r>
        <w:r w:rsidRPr="00F83BDA">
          <w:rPr>
            <w:webHidden/>
            <w:color w:val="auto"/>
          </w:rPr>
        </w:r>
        <w:r w:rsidRPr="00F83BDA">
          <w:rPr>
            <w:webHidden/>
            <w:color w:val="auto"/>
          </w:rPr>
          <w:fldChar w:fldCharType="separate"/>
        </w:r>
        <w:r w:rsidRPr="00F83BDA">
          <w:rPr>
            <w:webHidden/>
            <w:color w:val="auto"/>
          </w:rPr>
          <w:t>10</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59" w:history="1">
        <w:r w:rsidRPr="00F83BDA">
          <w:rPr>
            <w:rStyle w:val="Hyperlink"/>
            <w:color w:val="auto"/>
            <w:lang w:eastAsia="en-US"/>
          </w:rPr>
          <w:t>B.</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DCF Results Should be Given Very Little, If Any, Weight Because Dr. Woolridge Has Relied on Erroneous Data Inputs</w:t>
        </w:r>
        <w:r w:rsidRPr="00F83BDA">
          <w:rPr>
            <w:webHidden/>
            <w:color w:val="auto"/>
          </w:rPr>
          <w:tab/>
        </w:r>
        <w:r w:rsidRPr="00F83BDA">
          <w:rPr>
            <w:webHidden/>
            <w:color w:val="auto"/>
          </w:rPr>
          <w:fldChar w:fldCharType="begin"/>
        </w:r>
        <w:r w:rsidRPr="00F83BDA">
          <w:rPr>
            <w:webHidden/>
            <w:color w:val="auto"/>
          </w:rPr>
          <w:instrText xml:space="preserve"> PAGEREF _Toc489887859 \h </w:instrText>
        </w:r>
        <w:r w:rsidRPr="00F83BDA">
          <w:rPr>
            <w:webHidden/>
            <w:color w:val="auto"/>
          </w:rPr>
        </w:r>
        <w:r w:rsidRPr="00F83BDA">
          <w:rPr>
            <w:webHidden/>
            <w:color w:val="auto"/>
          </w:rPr>
          <w:fldChar w:fldCharType="separate"/>
        </w:r>
        <w:r w:rsidRPr="00F83BDA">
          <w:rPr>
            <w:webHidden/>
            <w:color w:val="auto"/>
          </w:rPr>
          <w:t>13</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0" w:history="1">
        <w:r w:rsidRPr="00F83BDA">
          <w:rPr>
            <w:rStyle w:val="Hyperlink"/>
            <w:color w:val="auto"/>
          </w:rPr>
          <w:t>1.</w:t>
        </w:r>
        <w:r w:rsidRPr="00F83BDA">
          <w:rPr>
            <w:rFonts w:asciiTheme="minorHAnsi" w:eastAsiaTheme="minorEastAsia" w:hAnsiTheme="minorHAnsi" w:cstheme="minorBidi"/>
            <w:color w:val="auto"/>
            <w:sz w:val="22"/>
            <w:szCs w:val="22"/>
            <w:lang w:eastAsia="en-US"/>
          </w:rPr>
          <w:tab/>
        </w:r>
        <w:r w:rsidRPr="00F83BDA">
          <w:rPr>
            <w:rStyle w:val="Hyperlink"/>
            <w:color w:val="auto"/>
          </w:rPr>
          <w:t>Dr. Woolridge Understates Dividend Yield by Using a Spot Dividend Yield Inflated By One-Half of the Expected Dividend Growth</w:t>
        </w:r>
        <w:r w:rsidRPr="00F83BDA">
          <w:rPr>
            <w:webHidden/>
            <w:color w:val="auto"/>
          </w:rPr>
          <w:tab/>
        </w:r>
        <w:r w:rsidRPr="00F83BDA">
          <w:rPr>
            <w:webHidden/>
            <w:color w:val="auto"/>
          </w:rPr>
          <w:fldChar w:fldCharType="begin"/>
        </w:r>
        <w:r w:rsidRPr="00F83BDA">
          <w:rPr>
            <w:webHidden/>
            <w:color w:val="auto"/>
          </w:rPr>
          <w:instrText xml:space="preserve"> PAGEREF _Toc489887860 \h </w:instrText>
        </w:r>
        <w:r w:rsidRPr="00F83BDA">
          <w:rPr>
            <w:webHidden/>
            <w:color w:val="auto"/>
          </w:rPr>
        </w:r>
        <w:r w:rsidRPr="00F83BDA">
          <w:rPr>
            <w:webHidden/>
            <w:color w:val="auto"/>
          </w:rPr>
          <w:fldChar w:fldCharType="separate"/>
        </w:r>
        <w:r w:rsidRPr="00F83BDA">
          <w:rPr>
            <w:webHidden/>
            <w:color w:val="auto"/>
          </w:rPr>
          <w:t>13</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1" w:history="1">
        <w:r w:rsidRPr="00F83BDA">
          <w:rPr>
            <w:rStyle w:val="Hyperlink"/>
            <w:color w:val="auto"/>
          </w:rPr>
          <w:t>2.</w:t>
        </w:r>
        <w:r w:rsidRPr="00F83BDA">
          <w:rPr>
            <w:rFonts w:asciiTheme="minorHAnsi" w:eastAsiaTheme="minorEastAsia" w:hAnsiTheme="minorHAnsi" w:cstheme="minorBidi"/>
            <w:color w:val="auto"/>
            <w:sz w:val="22"/>
            <w:szCs w:val="22"/>
            <w:lang w:eastAsia="en-US"/>
          </w:rPr>
          <w:tab/>
        </w:r>
        <w:r w:rsidRPr="00F83BDA">
          <w:rPr>
            <w:rStyle w:val="Hyperlink"/>
            <w:color w:val="auto"/>
          </w:rPr>
          <w:t>Dr. Woolridge Erroneously Relies on Historical Growth Rates in His DCF Analysis</w:t>
        </w:r>
        <w:r w:rsidRPr="00F83BDA">
          <w:rPr>
            <w:webHidden/>
            <w:color w:val="auto"/>
          </w:rPr>
          <w:tab/>
        </w:r>
        <w:r w:rsidRPr="00F83BDA">
          <w:rPr>
            <w:webHidden/>
            <w:color w:val="auto"/>
          </w:rPr>
          <w:fldChar w:fldCharType="begin"/>
        </w:r>
        <w:r w:rsidRPr="00F83BDA">
          <w:rPr>
            <w:webHidden/>
            <w:color w:val="auto"/>
          </w:rPr>
          <w:instrText xml:space="preserve"> PAGEREF _Toc489887861 \h </w:instrText>
        </w:r>
        <w:r w:rsidRPr="00F83BDA">
          <w:rPr>
            <w:webHidden/>
            <w:color w:val="auto"/>
          </w:rPr>
        </w:r>
        <w:r w:rsidRPr="00F83BDA">
          <w:rPr>
            <w:webHidden/>
            <w:color w:val="auto"/>
          </w:rPr>
          <w:fldChar w:fldCharType="separate"/>
        </w:r>
        <w:r w:rsidRPr="00F83BDA">
          <w:rPr>
            <w:webHidden/>
            <w:color w:val="auto"/>
          </w:rPr>
          <w:t>15</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2" w:history="1">
        <w:r w:rsidRPr="00F83BDA">
          <w:rPr>
            <w:rStyle w:val="Hyperlink"/>
            <w:color w:val="auto"/>
          </w:rPr>
          <w:t>3.</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 Inappropriately Relies on the Sustainable Growth Methodology in the DCF Analysis Whereby He is Forced to Assume the Answer to Implement the Methodology</w:t>
        </w:r>
        <w:r w:rsidRPr="00F83BDA">
          <w:rPr>
            <w:webHidden/>
            <w:color w:val="auto"/>
          </w:rPr>
          <w:tab/>
        </w:r>
        <w:r w:rsidRPr="00F83BDA">
          <w:rPr>
            <w:webHidden/>
            <w:color w:val="auto"/>
          </w:rPr>
          <w:fldChar w:fldCharType="begin"/>
        </w:r>
        <w:r w:rsidRPr="00F83BDA">
          <w:rPr>
            <w:webHidden/>
            <w:color w:val="auto"/>
          </w:rPr>
          <w:instrText xml:space="preserve"> PAGEREF _Toc489887862 \h </w:instrText>
        </w:r>
        <w:r w:rsidRPr="00F83BDA">
          <w:rPr>
            <w:webHidden/>
            <w:color w:val="auto"/>
          </w:rPr>
        </w:r>
        <w:r w:rsidRPr="00F83BDA">
          <w:rPr>
            <w:webHidden/>
            <w:color w:val="auto"/>
          </w:rPr>
          <w:fldChar w:fldCharType="separate"/>
        </w:r>
        <w:r w:rsidRPr="00F83BDA">
          <w:rPr>
            <w:webHidden/>
            <w:color w:val="auto"/>
          </w:rPr>
          <w:t>18</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3" w:history="1">
        <w:r w:rsidRPr="00F83BDA">
          <w:rPr>
            <w:rStyle w:val="Hyperlink"/>
            <w:color w:val="auto"/>
          </w:rPr>
          <w:t>4.</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 Uses an Ambiguous and Arbitrary Growth Rates in His DCF Analyses</w:t>
        </w:r>
        <w:r w:rsidRPr="00F83BDA">
          <w:rPr>
            <w:webHidden/>
            <w:color w:val="auto"/>
          </w:rPr>
          <w:tab/>
        </w:r>
        <w:r w:rsidRPr="00F83BDA">
          <w:rPr>
            <w:webHidden/>
            <w:color w:val="auto"/>
          </w:rPr>
          <w:fldChar w:fldCharType="begin"/>
        </w:r>
        <w:r w:rsidRPr="00F83BDA">
          <w:rPr>
            <w:webHidden/>
            <w:color w:val="auto"/>
          </w:rPr>
          <w:instrText xml:space="preserve"> PAGEREF _Toc489887863 \h </w:instrText>
        </w:r>
        <w:r w:rsidRPr="00F83BDA">
          <w:rPr>
            <w:webHidden/>
            <w:color w:val="auto"/>
          </w:rPr>
        </w:r>
        <w:r w:rsidRPr="00F83BDA">
          <w:rPr>
            <w:webHidden/>
            <w:color w:val="auto"/>
          </w:rPr>
          <w:fldChar w:fldCharType="separate"/>
        </w:r>
        <w:r w:rsidRPr="00F83BDA">
          <w:rPr>
            <w:webHidden/>
            <w:color w:val="auto"/>
          </w:rPr>
          <w:t>24</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64" w:history="1">
        <w:r w:rsidRPr="00F83BDA">
          <w:rPr>
            <w:rStyle w:val="Hyperlink"/>
            <w:color w:val="auto"/>
            <w:lang w:eastAsia="en-US"/>
          </w:rPr>
          <w:t>C.</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CAPM Results Should be Given Very Little, If Any, Weight Because Mr. Hill Has Relied on Erroneous Data Inputs.</w:t>
        </w:r>
        <w:r w:rsidRPr="00F83BDA">
          <w:rPr>
            <w:webHidden/>
            <w:color w:val="auto"/>
          </w:rPr>
          <w:tab/>
        </w:r>
        <w:r w:rsidRPr="00F83BDA">
          <w:rPr>
            <w:webHidden/>
            <w:color w:val="auto"/>
          </w:rPr>
          <w:fldChar w:fldCharType="begin"/>
        </w:r>
        <w:r w:rsidRPr="00F83BDA">
          <w:rPr>
            <w:webHidden/>
            <w:color w:val="auto"/>
          </w:rPr>
          <w:instrText xml:space="preserve"> PAGEREF _Toc489887864 \h </w:instrText>
        </w:r>
        <w:r w:rsidRPr="00F83BDA">
          <w:rPr>
            <w:webHidden/>
            <w:color w:val="auto"/>
          </w:rPr>
        </w:r>
        <w:r w:rsidRPr="00F83BDA">
          <w:rPr>
            <w:webHidden/>
            <w:color w:val="auto"/>
          </w:rPr>
          <w:fldChar w:fldCharType="separate"/>
        </w:r>
        <w:r w:rsidRPr="00F83BDA">
          <w:rPr>
            <w:webHidden/>
            <w:color w:val="auto"/>
          </w:rPr>
          <w:t>27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5" w:history="1">
        <w:r w:rsidRPr="00F83BDA">
          <w:rPr>
            <w:rStyle w:val="Hyperlink"/>
            <w:color w:val="auto"/>
            <w:lang w:eastAsia="en-US"/>
          </w:rPr>
          <w:t>1.</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t>
        </w:r>
        <w:r w:rsidRPr="00F83BDA">
          <w:rPr>
            <w:rStyle w:val="Hyperlink"/>
            <w:snapToGrid w:val="0"/>
            <w:color w:val="auto"/>
            <w:lang w:eastAsia="en-US"/>
          </w:rPr>
          <w:t>Woolridge Should Have Relied on Projected Long-Term Treasury Interest Rates in Selecting a Risk-Free Rate for His CAPM Analyses</w:t>
        </w:r>
        <w:r w:rsidRPr="00F83BDA">
          <w:rPr>
            <w:webHidden/>
            <w:color w:val="auto"/>
          </w:rPr>
          <w:tab/>
        </w:r>
        <w:r w:rsidRPr="00F83BDA">
          <w:rPr>
            <w:webHidden/>
            <w:color w:val="auto"/>
          </w:rPr>
          <w:fldChar w:fldCharType="begin"/>
        </w:r>
        <w:r w:rsidRPr="00F83BDA">
          <w:rPr>
            <w:webHidden/>
            <w:color w:val="auto"/>
          </w:rPr>
          <w:instrText xml:space="preserve"> PAGEREF _Toc489887865 \h </w:instrText>
        </w:r>
        <w:r w:rsidRPr="00F83BDA">
          <w:rPr>
            <w:webHidden/>
            <w:color w:val="auto"/>
          </w:rPr>
        </w:r>
        <w:r w:rsidRPr="00F83BDA">
          <w:rPr>
            <w:webHidden/>
            <w:color w:val="auto"/>
          </w:rPr>
          <w:fldChar w:fldCharType="separate"/>
        </w:r>
        <w:r w:rsidRPr="00F83BDA">
          <w:rPr>
            <w:webHidden/>
            <w:color w:val="auto"/>
          </w:rPr>
          <w:t>28</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6" w:history="1">
        <w:r w:rsidRPr="00F83BDA">
          <w:rPr>
            <w:rStyle w:val="Hyperlink"/>
            <w:color w:val="auto"/>
            <w:lang w:eastAsia="en-US"/>
          </w:rPr>
          <w:t>2.</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t>
        </w:r>
        <w:r w:rsidRPr="00F83BDA">
          <w:rPr>
            <w:rStyle w:val="Hyperlink"/>
            <w:bCs/>
            <w:color w:val="auto"/>
            <w:lang w:eastAsia="en-US"/>
          </w:rPr>
          <w:t>Woolridge Should Have Relied on Mean Estimates of Value Line Betas Rather than on Median Estimates of Value Line Betas</w:t>
        </w:r>
        <w:r w:rsidRPr="00F83BDA">
          <w:rPr>
            <w:webHidden/>
            <w:color w:val="auto"/>
          </w:rPr>
          <w:tab/>
        </w:r>
        <w:r w:rsidRPr="00F83BDA">
          <w:rPr>
            <w:webHidden/>
            <w:color w:val="auto"/>
          </w:rPr>
          <w:fldChar w:fldCharType="begin"/>
        </w:r>
        <w:r w:rsidRPr="00F83BDA">
          <w:rPr>
            <w:webHidden/>
            <w:color w:val="auto"/>
          </w:rPr>
          <w:instrText xml:space="preserve"> PAGEREF _Toc489887866 \h </w:instrText>
        </w:r>
        <w:r w:rsidRPr="00F83BDA">
          <w:rPr>
            <w:webHidden/>
            <w:color w:val="auto"/>
          </w:rPr>
        </w:r>
        <w:r w:rsidRPr="00F83BDA">
          <w:rPr>
            <w:webHidden/>
            <w:color w:val="auto"/>
          </w:rPr>
          <w:fldChar w:fldCharType="separate"/>
        </w:r>
        <w:r w:rsidRPr="00F83BDA">
          <w:rPr>
            <w:webHidden/>
            <w:color w:val="auto"/>
          </w:rPr>
          <w:t>29</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67" w:history="1">
        <w:r w:rsidRPr="00F83BDA">
          <w:rPr>
            <w:rStyle w:val="Hyperlink"/>
            <w:color w:val="auto"/>
            <w:lang w:eastAsia="en-US"/>
          </w:rPr>
          <w:t>3.</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CAPM Market Risk Premium</w:t>
        </w:r>
        <w:r w:rsidRPr="00F83BDA">
          <w:rPr>
            <w:webHidden/>
            <w:color w:val="auto"/>
          </w:rPr>
          <w:tab/>
        </w:r>
        <w:r w:rsidRPr="00F83BDA">
          <w:rPr>
            <w:webHidden/>
            <w:color w:val="auto"/>
          </w:rPr>
          <w:fldChar w:fldCharType="begin"/>
        </w:r>
        <w:r w:rsidRPr="00F83BDA">
          <w:rPr>
            <w:webHidden/>
            <w:color w:val="auto"/>
          </w:rPr>
          <w:instrText xml:space="preserve"> PAGEREF _Toc489887867 \h </w:instrText>
        </w:r>
        <w:r w:rsidRPr="00F83BDA">
          <w:rPr>
            <w:webHidden/>
            <w:color w:val="auto"/>
          </w:rPr>
        </w:r>
        <w:r w:rsidRPr="00F83BDA">
          <w:rPr>
            <w:webHidden/>
            <w:color w:val="auto"/>
          </w:rPr>
          <w:fldChar w:fldCharType="separate"/>
        </w:r>
        <w:r w:rsidRPr="00F83BDA">
          <w:rPr>
            <w:webHidden/>
            <w:color w:val="auto"/>
          </w:rPr>
          <w:t>29</w:t>
        </w:r>
        <w:r w:rsidRPr="00F83BDA">
          <w:rPr>
            <w:webHidden/>
            <w:color w:val="auto"/>
          </w:rPr>
          <w:fldChar w:fldCharType="end"/>
        </w:r>
      </w:hyperlink>
    </w:p>
    <w:p w:rsidR="00F83BDA" w:rsidRPr="00F83BDA" w:rsidRDefault="00F83BDA">
      <w:pPr>
        <w:pStyle w:val="TOC4"/>
        <w:rPr>
          <w:rFonts w:asciiTheme="minorHAnsi" w:eastAsiaTheme="minorEastAsia" w:hAnsiTheme="minorHAnsi" w:cstheme="minorBidi"/>
          <w:color w:val="auto"/>
          <w:sz w:val="22"/>
          <w:szCs w:val="22"/>
          <w:lang w:eastAsia="en-US"/>
        </w:rPr>
      </w:pPr>
      <w:hyperlink w:anchor="_Toc489887868" w:history="1">
        <w:r w:rsidRPr="00F83BDA">
          <w:rPr>
            <w:rStyle w:val="Hyperlink"/>
            <w:color w:val="auto"/>
          </w:rPr>
          <w:t>a.</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t>
        </w:r>
        <w:r w:rsidRPr="00F83BDA">
          <w:rPr>
            <w:rStyle w:val="Hyperlink"/>
            <w:color w:val="auto"/>
          </w:rPr>
          <w:t>Woolridge Selectively Cites to Academic Studies in an Attempt to Justify His Unreasonably Low Market Risk Premium of 5.5 Percent</w:t>
        </w:r>
        <w:r w:rsidRPr="00F83BDA">
          <w:rPr>
            <w:webHidden/>
            <w:color w:val="auto"/>
          </w:rPr>
          <w:tab/>
        </w:r>
        <w:r w:rsidRPr="00F83BDA">
          <w:rPr>
            <w:webHidden/>
            <w:color w:val="auto"/>
          </w:rPr>
          <w:fldChar w:fldCharType="begin"/>
        </w:r>
        <w:r w:rsidRPr="00F83BDA">
          <w:rPr>
            <w:webHidden/>
            <w:color w:val="auto"/>
          </w:rPr>
          <w:instrText xml:space="preserve"> PAGEREF _Toc489887868 \h </w:instrText>
        </w:r>
        <w:r w:rsidRPr="00F83BDA">
          <w:rPr>
            <w:webHidden/>
            <w:color w:val="auto"/>
          </w:rPr>
        </w:r>
        <w:r w:rsidRPr="00F83BDA">
          <w:rPr>
            <w:webHidden/>
            <w:color w:val="auto"/>
          </w:rPr>
          <w:fldChar w:fldCharType="separate"/>
        </w:r>
        <w:r w:rsidRPr="00F83BDA">
          <w:rPr>
            <w:webHidden/>
            <w:color w:val="auto"/>
          </w:rPr>
          <w:t>32</w:t>
        </w:r>
        <w:r w:rsidRPr="00F83BDA">
          <w:rPr>
            <w:webHidden/>
            <w:color w:val="auto"/>
          </w:rPr>
          <w:fldChar w:fldCharType="end"/>
        </w:r>
      </w:hyperlink>
    </w:p>
    <w:p w:rsidR="00F83BDA" w:rsidRPr="00F83BDA" w:rsidRDefault="00F83BDA">
      <w:pPr>
        <w:pStyle w:val="TOC4"/>
        <w:rPr>
          <w:rFonts w:asciiTheme="minorHAnsi" w:eastAsiaTheme="minorEastAsia" w:hAnsiTheme="minorHAnsi" w:cstheme="minorBidi"/>
          <w:color w:val="auto"/>
          <w:sz w:val="22"/>
          <w:szCs w:val="22"/>
          <w:lang w:eastAsia="en-US"/>
        </w:rPr>
      </w:pPr>
      <w:hyperlink w:anchor="_Toc489887869" w:history="1">
        <w:r w:rsidRPr="00F83BDA">
          <w:rPr>
            <w:rStyle w:val="Hyperlink"/>
            <w:color w:val="auto"/>
            <w:lang w:eastAsia="en-US"/>
          </w:rPr>
          <w:t>b.</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Market Risk Premium Estimate of 5.5 Percent Inappropriately Relies on Geometric Mean Market Risk Premiums</w:t>
        </w:r>
        <w:r w:rsidRPr="00F83BDA">
          <w:rPr>
            <w:webHidden/>
            <w:color w:val="auto"/>
          </w:rPr>
          <w:tab/>
        </w:r>
        <w:r w:rsidRPr="00F83BDA">
          <w:rPr>
            <w:webHidden/>
            <w:color w:val="auto"/>
          </w:rPr>
          <w:fldChar w:fldCharType="begin"/>
        </w:r>
        <w:r w:rsidRPr="00F83BDA">
          <w:rPr>
            <w:webHidden/>
            <w:color w:val="auto"/>
          </w:rPr>
          <w:instrText xml:space="preserve"> PAGEREF _Toc489887869 \h </w:instrText>
        </w:r>
        <w:r w:rsidRPr="00F83BDA">
          <w:rPr>
            <w:webHidden/>
            <w:color w:val="auto"/>
          </w:rPr>
        </w:r>
        <w:r w:rsidRPr="00F83BDA">
          <w:rPr>
            <w:webHidden/>
            <w:color w:val="auto"/>
          </w:rPr>
          <w:fldChar w:fldCharType="separate"/>
        </w:r>
        <w:r w:rsidRPr="00F83BDA">
          <w:rPr>
            <w:webHidden/>
            <w:color w:val="auto"/>
          </w:rPr>
          <w:t>37</w:t>
        </w:r>
        <w:r w:rsidRPr="00F83BDA">
          <w:rPr>
            <w:webHidden/>
            <w:color w:val="auto"/>
          </w:rPr>
          <w:fldChar w:fldCharType="end"/>
        </w:r>
      </w:hyperlink>
    </w:p>
    <w:p w:rsidR="00F83BDA" w:rsidRPr="00F83BDA" w:rsidRDefault="00F83BDA">
      <w:pPr>
        <w:pStyle w:val="TOC4"/>
        <w:rPr>
          <w:rFonts w:asciiTheme="minorHAnsi" w:eastAsiaTheme="minorEastAsia" w:hAnsiTheme="minorHAnsi" w:cstheme="minorBidi"/>
          <w:color w:val="auto"/>
          <w:sz w:val="22"/>
          <w:szCs w:val="22"/>
          <w:lang w:eastAsia="en-US"/>
        </w:rPr>
      </w:pPr>
      <w:hyperlink w:anchor="_Toc489887870" w:history="1">
        <w:r w:rsidRPr="00F83BDA">
          <w:rPr>
            <w:rStyle w:val="Hyperlink"/>
            <w:color w:val="auto"/>
            <w:lang w:eastAsia="en-US"/>
          </w:rPr>
          <w:t>c.</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 Should Have Used Historical Market Risk Premium Estimates That Use the Income Component of Bond Returns</w:t>
        </w:r>
        <w:r w:rsidRPr="00F83BDA">
          <w:rPr>
            <w:webHidden/>
            <w:color w:val="auto"/>
          </w:rPr>
          <w:tab/>
        </w:r>
        <w:r w:rsidRPr="00F83BDA">
          <w:rPr>
            <w:webHidden/>
            <w:color w:val="auto"/>
          </w:rPr>
          <w:fldChar w:fldCharType="begin"/>
        </w:r>
        <w:r w:rsidRPr="00F83BDA">
          <w:rPr>
            <w:webHidden/>
            <w:color w:val="auto"/>
          </w:rPr>
          <w:instrText xml:space="preserve"> PAGEREF _Toc489887870 \h </w:instrText>
        </w:r>
        <w:r w:rsidRPr="00F83BDA">
          <w:rPr>
            <w:webHidden/>
            <w:color w:val="auto"/>
          </w:rPr>
        </w:r>
        <w:r w:rsidRPr="00F83BDA">
          <w:rPr>
            <w:webHidden/>
            <w:color w:val="auto"/>
          </w:rPr>
          <w:fldChar w:fldCharType="separate"/>
        </w:r>
        <w:r w:rsidRPr="00F83BDA">
          <w:rPr>
            <w:webHidden/>
            <w:color w:val="auto"/>
          </w:rPr>
          <w:t>44</w:t>
        </w:r>
        <w:r w:rsidRPr="00F83BDA">
          <w:rPr>
            <w:webHidden/>
            <w:color w:val="auto"/>
          </w:rPr>
          <w:fldChar w:fldCharType="end"/>
        </w:r>
      </w:hyperlink>
    </w:p>
    <w:p w:rsidR="00F83BDA" w:rsidRPr="00F83BDA" w:rsidRDefault="00F83BDA">
      <w:pPr>
        <w:pStyle w:val="TOC4"/>
        <w:rPr>
          <w:rFonts w:asciiTheme="minorHAnsi" w:eastAsiaTheme="minorEastAsia" w:hAnsiTheme="minorHAnsi" w:cstheme="minorBidi"/>
          <w:color w:val="auto"/>
          <w:sz w:val="22"/>
          <w:szCs w:val="22"/>
          <w:lang w:eastAsia="en-US"/>
        </w:rPr>
      </w:pPr>
      <w:hyperlink w:anchor="_Toc489887871" w:history="1">
        <w:r w:rsidRPr="00F83BDA">
          <w:rPr>
            <w:rStyle w:val="Hyperlink"/>
            <w:color w:val="auto"/>
            <w:lang w:eastAsia="en-US"/>
          </w:rPr>
          <w:t>d.</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Regulatory Decisions</w:t>
        </w:r>
        <w:r w:rsidRPr="00F83BDA">
          <w:rPr>
            <w:webHidden/>
            <w:color w:val="auto"/>
          </w:rPr>
          <w:tab/>
        </w:r>
        <w:r w:rsidRPr="00F83BDA">
          <w:rPr>
            <w:webHidden/>
            <w:color w:val="auto"/>
          </w:rPr>
          <w:fldChar w:fldCharType="begin"/>
        </w:r>
        <w:r w:rsidRPr="00F83BDA">
          <w:rPr>
            <w:webHidden/>
            <w:color w:val="auto"/>
          </w:rPr>
          <w:instrText xml:space="preserve"> PAGEREF _Toc489887871 \h </w:instrText>
        </w:r>
        <w:r w:rsidRPr="00F83BDA">
          <w:rPr>
            <w:webHidden/>
            <w:color w:val="auto"/>
          </w:rPr>
        </w:r>
        <w:r w:rsidRPr="00F83BDA">
          <w:rPr>
            <w:webHidden/>
            <w:color w:val="auto"/>
          </w:rPr>
          <w:fldChar w:fldCharType="separate"/>
        </w:r>
        <w:r w:rsidRPr="00F83BDA">
          <w:rPr>
            <w:webHidden/>
            <w:color w:val="auto"/>
          </w:rPr>
          <w:t>45</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2" w:history="1">
        <w:r w:rsidRPr="00F83BDA">
          <w:rPr>
            <w:rStyle w:val="Hyperlink"/>
            <w:color w:val="auto"/>
          </w:rPr>
          <w:t>4.</w:t>
        </w:r>
        <w:r w:rsidRPr="00F83BDA">
          <w:rPr>
            <w:rFonts w:asciiTheme="minorHAnsi" w:eastAsiaTheme="minorEastAsia" w:hAnsiTheme="minorHAnsi" w:cstheme="minorBidi"/>
            <w:color w:val="auto"/>
            <w:sz w:val="22"/>
            <w:szCs w:val="22"/>
            <w:lang w:eastAsia="en-US"/>
          </w:rPr>
          <w:tab/>
        </w:r>
        <w:r w:rsidRPr="00F83BDA">
          <w:rPr>
            <w:rStyle w:val="Hyperlink"/>
            <w:color w:val="auto"/>
          </w:rPr>
          <w:t>Dr. Woolridge Erroneously Relies Exclusively on the Plain Vanilla Version of the CAPM</w:t>
        </w:r>
        <w:r w:rsidRPr="00F83BDA">
          <w:rPr>
            <w:webHidden/>
            <w:color w:val="auto"/>
          </w:rPr>
          <w:tab/>
        </w:r>
        <w:r w:rsidRPr="00F83BDA">
          <w:rPr>
            <w:webHidden/>
            <w:color w:val="auto"/>
          </w:rPr>
          <w:fldChar w:fldCharType="begin"/>
        </w:r>
        <w:r w:rsidRPr="00F83BDA">
          <w:rPr>
            <w:webHidden/>
            <w:color w:val="auto"/>
          </w:rPr>
          <w:instrText xml:space="preserve"> PAGEREF _Toc489887872 \h </w:instrText>
        </w:r>
        <w:r w:rsidRPr="00F83BDA">
          <w:rPr>
            <w:webHidden/>
            <w:color w:val="auto"/>
          </w:rPr>
        </w:r>
        <w:r w:rsidRPr="00F83BDA">
          <w:rPr>
            <w:webHidden/>
            <w:color w:val="auto"/>
          </w:rPr>
          <w:fldChar w:fldCharType="separate"/>
        </w:r>
        <w:r w:rsidRPr="00F83BDA">
          <w:rPr>
            <w:webHidden/>
            <w:color w:val="auto"/>
          </w:rPr>
          <w:t>46</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73" w:history="1">
        <w:r w:rsidRPr="00F83BDA">
          <w:rPr>
            <w:rStyle w:val="Hyperlink"/>
            <w:color w:val="auto"/>
            <w:lang w:eastAsia="en-US"/>
          </w:rPr>
          <w:t>D.</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Criticisms of My Direct Testimony are Unfounded, are Without Merit, and Should be Ignored by the Commission</w:t>
        </w:r>
        <w:r w:rsidRPr="00F83BDA">
          <w:rPr>
            <w:webHidden/>
            <w:color w:val="auto"/>
          </w:rPr>
          <w:tab/>
        </w:r>
        <w:r w:rsidRPr="00F83BDA">
          <w:rPr>
            <w:webHidden/>
            <w:color w:val="auto"/>
          </w:rPr>
          <w:fldChar w:fldCharType="begin"/>
        </w:r>
        <w:r w:rsidRPr="00F83BDA">
          <w:rPr>
            <w:webHidden/>
            <w:color w:val="auto"/>
          </w:rPr>
          <w:instrText xml:space="preserve"> PAGEREF _Toc489887873 \h </w:instrText>
        </w:r>
        <w:r w:rsidRPr="00F83BDA">
          <w:rPr>
            <w:webHidden/>
            <w:color w:val="auto"/>
          </w:rPr>
        </w:r>
        <w:r w:rsidRPr="00F83BDA">
          <w:rPr>
            <w:webHidden/>
            <w:color w:val="auto"/>
          </w:rPr>
          <w:fldChar w:fldCharType="separate"/>
        </w:r>
        <w:r w:rsidRPr="00F83BDA">
          <w:rPr>
            <w:webHidden/>
            <w:color w:val="auto"/>
          </w:rPr>
          <w:t>47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4" w:history="1">
        <w:r w:rsidRPr="00F83BDA">
          <w:rPr>
            <w:rStyle w:val="Hyperlink"/>
            <w:color w:val="auto"/>
            <w:lang w:eastAsia="en-US"/>
          </w:rPr>
          <w:t>1.</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Denunciation of Analysts’ Growth Forecasts as Unreasonable Proxies for the DCF Growth Rate is Without Foundation and is Inconsistent with the Empirical Finance Literature on the Subject</w:t>
        </w:r>
        <w:r w:rsidRPr="00F83BDA">
          <w:rPr>
            <w:webHidden/>
            <w:color w:val="auto"/>
          </w:rPr>
          <w:tab/>
        </w:r>
        <w:r w:rsidRPr="00F83BDA">
          <w:rPr>
            <w:webHidden/>
            <w:color w:val="auto"/>
          </w:rPr>
          <w:fldChar w:fldCharType="begin"/>
        </w:r>
        <w:r w:rsidRPr="00F83BDA">
          <w:rPr>
            <w:webHidden/>
            <w:color w:val="auto"/>
          </w:rPr>
          <w:instrText xml:space="preserve"> PAGEREF _Toc489887874 \h </w:instrText>
        </w:r>
        <w:r w:rsidRPr="00F83BDA">
          <w:rPr>
            <w:webHidden/>
            <w:color w:val="auto"/>
          </w:rPr>
        </w:r>
        <w:r w:rsidRPr="00F83BDA">
          <w:rPr>
            <w:webHidden/>
            <w:color w:val="auto"/>
          </w:rPr>
          <w:fldChar w:fldCharType="separate"/>
        </w:r>
        <w:r w:rsidRPr="00F83BDA">
          <w:rPr>
            <w:webHidden/>
            <w:color w:val="auto"/>
          </w:rPr>
          <w:t>47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5" w:history="1">
        <w:r w:rsidRPr="00F83BDA">
          <w:rPr>
            <w:rStyle w:val="Hyperlink"/>
            <w:color w:val="auto"/>
            <w:lang w:eastAsia="en-US"/>
          </w:rPr>
          <w:t>2.</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Contrary to the Erroneous Assertions of Dr. Woolridge, the Empirical CAPM</w:t>
        </w:r>
        <w:r w:rsidRPr="00F83BDA">
          <w:rPr>
            <w:rStyle w:val="Hyperlink"/>
            <w:color w:val="auto"/>
          </w:rPr>
          <w:t xml:space="preserve"> </w:t>
        </w:r>
        <w:r w:rsidRPr="00F83BDA">
          <w:rPr>
            <w:rStyle w:val="Hyperlink"/>
            <w:iCs/>
            <w:color w:val="auto"/>
          </w:rPr>
          <w:t>Has Been Theoretically and Empirically Validated Refereed Journals</w:t>
        </w:r>
        <w:r w:rsidRPr="00F83BDA">
          <w:rPr>
            <w:webHidden/>
            <w:color w:val="auto"/>
          </w:rPr>
          <w:tab/>
        </w:r>
        <w:r w:rsidRPr="00F83BDA">
          <w:rPr>
            <w:webHidden/>
            <w:color w:val="auto"/>
          </w:rPr>
          <w:fldChar w:fldCharType="begin"/>
        </w:r>
        <w:r w:rsidRPr="00F83BDA">
          <w:rPr>
            <w:webHidden/>
            <w:color w:val="auto"/>
          </w:rPr>
          <w:instrText xml:space="preserve"> PAGEREF _Toc489887875 \h </w:instrText>
        </w:r>
        <w:r w:rsidRPr="00F83BDA">
          <w:rPr>
            <w:webHidden/>
            <w:color w:val="auto"/>
          </w:rPr>
        </w:r>
        <w:r w:rsidRPr="00F83BDA">
          <w:rPr>
            <w:webHidden/>
            <w:color w:val="auto"/>
          </w:rPr>
          <w:fldChar w:fldCharType="separate"/>
        </w:r>
        <w:r w:rsidRPr="00F83BDA">
          <w:rPr>
            <w:webHidden/>
            <w:color w:val="auto"/>
          </w:rPr>
          <w:t>54</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6" w:history="1">
        <w:r w:rsidRPr="00F83BDA">
          <w:rPr>
            <w:rStyle w:val="Hyperlink"/>
            <w:color w:val="auto"/>
            <w:lang w:eastAsia="en-US"/>
          </w:rPr>
          <w:t>3.</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 Incorrectly Asserts that Little Weight Should be Placed on Interest Rate Forecasts in Projecting the Risk-Free Rate for CAPM Analyses</w:t>
        </w:r>
        <w:r w:rsidRPr="00F83BDA">
          <w:rPr>
            <w:webHidden/>
            <w:color w:val="auto"/>
          </w:rPr>
          <w:tab/>
        </w:r>
        <w:r w:rsidRPr="00F83BDA">
          <w:rPr>
            <w:webHidden/>
            <w:color w:val="auto"/>
          </w:rPr>
          <w:fldChar w:fldCharType="begin"/>
        </w:r>
        <w:r w:rsidRPr="00F83BDA">
          <w:rPr>
            <w:webHidden/>
            <w:color w:val="auto"/>
          </w:rPr>
          <w:instrText xml:space="preserve"> PAGEREF _Toc489887876 \h </w:instrText>
        </w:r>
        <w:r w:rsidRPr="00F83BDA">
          <w:rPr>
            <w:webHidden/>
            <w:color w:val="auto"/>
          </w:rPr>
        </w:r>
        <w:r w:rsidRPr="00F83BDA">
          <w:rPr>
            <w:webHidden/>
            <w:color w:val="auto"/>
          </w:rPr>
          <w:fldChar w:fldCharType="separate"/>
        </w:r>
        <w:r w:rsidRPr="00F83BDA">
          <w:rPr>
            <w:webHidden/>
            <w:color w:val="auto"/>
          </w:rPr>
          <w:t>55</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7" w:history="1">
        <w:r w:rsidRPr="00F83BDA">
          <w:rPr>
            <w:rStyle w:val="Hyperlink"/>
            <w:color w:val="auto"/>
            <w:lang w:eastAsia="en-US"/>
          </w:rPr>
          <w:t>4.</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Woolridge’s Criticisms of My Market Risk Premium Are Without Merit and Should be Disregarded</w:t>
        </w:r>
        <w:r w:rsidRPr="00F83BDA">
          <w:rPr>
            <w:webHidden/>
            <w:color w:val="auto"/>
          </w:rPr>
          <w:tab/>
        </w:r>
        <w:r w:rsidRPr="00F83BDA">
          <w:rPr>
            <w:webHidden/>
            <w:color w:val="auto"/>
          </w:rPr>
          <w:fldChar w:fldCharType="begin"/>
        </w:r>
        <w:r w:rsidRPr="00F83BDA">
          <w:rPr>
            <w:webHidden/>
            <w:color w:val="auto"/>
          </w:rPr>
          <w:instrText xml:space="preserve"> PAGEREF _Toc489887877 \h </w:instrText>
        </w:r>
        <w:r w:rsidRPr="00F83BDA">
          <w:rPr>
            <w:webHidden/>
            <w:color w:val="auto"/>
          </w:rPr>
        </w:r>
        <w:r w:rsidRPr="00F83BDA">
          <w:rPr>
            <w:webHidden/>
            <w:color w:val="auto"/>
          </w:rPr>
          <w:fldChar w:fldCharType="separate"/>
        </w:r>
        <w:r w:rsidRPr="00F83BDA">
          <w:rPr>
            <w:webHidden/>
            <w:color w:val="auto"/>
          </w:rPr>
          <w:t>56</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8" w:history="1">
        <w:r w:rsidRPr="00F83BDA">
          <w:rPr>
            <w:rStyle w:val="Hyperlink"/>
            <w:color w:val="auto"/>
            <w:lang w:eastAsia="en-US"/>
          </w:rPr>
          <w:t>5.</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Dr. Woolridge Incorrectly Argues that My Allowed Risk Premium Study is a Gauge of Commission Behavior and Not Investor Behavior</w:t>
        </w:r>
        <w:r w:rsidRPr="00F83BDA">
          <w:rPr>
            <w:webHidden/>
            <w:color w:val="auto"/>
          </w:rPr>
          <w:tab/>
        </w:r>
        <w:r w:rsidRPr="00F83BDA">
          <w:rPr>
            <w:webHidden/>
            <w:color w:val="auto"/>
          </w:rPr>
          <w:fldChar w:fldCharType="begin"/>
        </w:r>
        <w:r w:rsidRPr="00F83BDA">
          <w:rPr>
            <w:webHidden/>
            <w:color w:val="auto"/>
          </w:rPr>
          <w:instrText xml:space="preserve"> PAGEREF _Toc489887878 \h </w:instrText>
        </w:r>
        <w:r w:rsidRPr="00F83BDA">
          <w:rPr>
            <w:webHidden/>
            <w:color w:val="auto"/>
          </w:rPr>
        </w:r>
        <w:r w:rsidRPr="00F83BDA">
          <w:rPr>
            <w:webHidden/>
            <w:color w:val="auto"/>
          </w:rPr>
          <w:fldChar w:fldCharType="separate"/>
        </w:r>
        <w:r w:rsidRPr="00F83BDA">
          <w:rPr>
            <w:webHidden/>
            <w:color w:val="auto"/>
          </w:rPr>
          <w:t>59</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79" w:history="1">
        <w:r w:rsidRPr="00F83BDA">
          <w:rPr>
            <w:rStyle w:val="Hyperlink"/>
            <w:color w:val="auto"/>
            <w:lang w:eastAsia="en-US"/>
          </w:rPr>
          <w:t>6.</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Market-to-Book Ratios are Largely Irrelevant in Establishing Rates of Regulated Utilities, and Dr. Woolridge’s Views on the Role of Market-to-Book Ratios in Regulation are Misguided</w:t>
        </w:r>
        <w:r w:rsidRPr="00F83BDA">
          <w:rPr>
            <w:webHidden/>
            <w:color w:val="auto"/>
          </w:rPr>
          <w:tab/>
        </w:r>
        <w:r w:rsidRPr="00F83BDA">
          <w:rPr>
            <w:webHidden/>
            <w:color w:val="auto"/>
          </w:rPr>
          <w:fldChar w:fldCharType="begin"/>
        </w:r>
        <w:r w:rsidRPr="00F83BDA">
          <w:rPr>
            <w:webHidden/>
            <w:color w:val="auto"/>
          </w:rPr>
          <w:instrText xml:space="preserve"> PAGEREF _Toc489887879 \h </w:instrText>
        </w:r>
        <w:r w:rsidRPr="00F83BDA">
          <w:rPr>
            <w:webHidden/>
            <w:color w:val="auto"/>
          </w:rPr>
        </w:r>
        <w:r w:rsidRPr="00F83BDA">
          <w:rPr>
            <w:webHidden/>
            <w:color w:val="auto"/>
          </w:rPr>
          <w:fldChar w:fldCharType="separate"/>
        </w:r>
        <w:r w:rsidRPr="00F83BDA">
          <w:rPr>
            <w:webHidden/>
            <w:color w:val="auto"/>
          </w:rPr>
          <w:t>59</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80" w:history="1">
        <w:r w:rsidRPr="00F83BDA">
          <w:rPr>
            <w:rStyle w:val="Hyperlink"/>
            <w:color w:val="auto"/>
            <w:lang w:eastAsia="en-US"/>
          </w:rPr>
          <w:t>E.</w:t>
        </w:r>
        <w:r w:rsidRPr="00F83BDA">
          <w:rPr>
            <w:rFonts w:asciiTheme="minorHAnsi" w:eastAsiaTheme="minorEastAsia" w:hAnsiTheme="minorHAnsi" w:cstheme="minorBidi"/>
            <w:color w:val="auto"/>
            <w:sz w:val="22"/>
            <w:szCs w:val="22"/>
            <w:lang w:eastAsia="en-US"/>
          </w:rPr>
          <w:tab/>
        </w:r>
        <w:r w:rsidRPr="00F83BDA">
          <w:rPr>
            <w:rStyle w:val="Hyperlink"/>
            <w:color w:val="auto"/>
          </w:rPr>
          <w:t xml:space="preserve">Dr. Woolridge’s Return on Equity </w:t>
        </w:r>
        <w:r w:rsidRPr="00F83BDA">
          <w:rPr>
            <w:rStyle w:val="Hyperlink"/>
            <w:color w:val="auto"/>
            <w:lang w:val="x-none"/>
          </w:rPr>
          <w:t xml:space="preserve">Recommendation </w:t>
        </w:r>
        <w:r w:rsidRPr="00F83BDA">
          <w:rPr>
            <w:rStyle w:val="Hyperlink"/>
            <w:color w:val="auto"/>
          </w:rPr>
          <w:t xml:space="preserve">Should </w:t>
        </w:r>
        <w:r w:rsidRPr="00F83BDA">
          <w:rPr>
            <w:rStyle w:val="Hyperlink"/>
            <w:color w:val="auto"/>
            <w:lang w:val="x-none"/>
          </w:rPr>
          <w:t xml:space="preserve">be </w:t>
        </w:r>
        <w:r w:rsidRPr="00F83BDA">
          <w:rPr>
            <w:rStyle w:val="Hyperlink"/>
            <w:color w:val="auto"/>
          </w:rPr>
          <w:t xml:space="preserve">Treated </w:t>
        </w:r>
        <w:r w:rsidRPr="00F83BDA">
          <w:rPr>
            <w:rStyle w:val="Hyperlink"/>
            <w:color w:val="auto"/>
            <w:lang w:val="x-none"/>
          </w:rPr>
          <w:t>with Extreme Caution by the Commission</w:t>
        </w:r>
        <w:r w:rsidRPr="00F83BDA">
          <w:rPr>
            <w:webHidden/>
            <w:color w:val="auto"/>
          </w:rPr>
          <w:tab/>
        </w:r>
        <w:r w:rsidRPr="00F83BDA">
          <w:rPr>
            <w:webHidden/>
            <w:color w:val="auto"/>
          </w:rPr>
          <w:fldChar w:fldCharType="begin"/>
        </w:r>
        <w:r w:rsidRPr="00F83BDA">
          <w:rPr>
            <w:webHidden/>
            <w:color w:val="auto"/>
          </w:rPr>
          <w:instrText xml:space="preserve"> PAGEREF _Toc489887880 \h </w:instrText>
        </w:r>
        <w:r w:rsidRPr="00F83BDA">
          <w:rPr>
            <w:webHidden/>
            <w:color w:val="auto"/>
          </w:rPr>
        </w:r>
        <w:r w:rsidRPr="00F83BDA">
          <w:rPr>
            <w:webHidden/>
            <w:color w:val="auto"/>
          </w:rPr>
          <w:fldChar w:fldCharType="separate"/>
        </w:r>
        <w:r w:rsidRPr="00F83BDA">
          <w:rPr>
            <w:webHidden/>
            <w:color w:val="auto"/>
          </w:rPr>
          <w:t>62</w:t>
        </w:r>
        <w:r w:rsidRPr="00F83BDA">
          <w:rPr>
            <w:webHidden/>
            <w:color w:val="auto"/>
          </w:rPr>
          <w:fldChar w:fldCharType="end"/>
        </w:r>
      </w:hyperlink>
    </w:p>
    <w:p w:rsidR="00F83BDA" w:rsidRPr="00F83BDA" w:rsidRDefault="00F83BDA">
      <w:pPr>
        <w:pStyle w:val="TOC1"/>
        <w:rPr>
          <w:rFonts w:asciiTheme="minorHAnsi" w:eastAsiaTheme="minorEastAsia" w:hAnsiTheme="minorHAnsi" w:cstheme="minorBidi"/>
          <w:color w:val="auto"/>
          <w:sz w:val="22"/>
          <w:szCs w:val="22"/>
          <w:lang w:eastAsia="en-US"/>
        </w:rPr>
      </w:pPr>
      <w:hyperlink w:anchor="_Toc489887881" w:history="1">
        <w:r w:rsidRPr="00F83BDA">
          <w:rPr>
            <w:rStyle w:val="Hyperlink"/>
            <w:color w:val="auto"/>
          </w:rPr>
          <w:t>III.</w:t>
        </w:r>
        <w:r w:rsidRPr="00F83BDA">
          <w:rPr>
            <w:rFonts w:asciiTheme="minorHAnsi" w:eastAsiaTheme="minorEastAsia" w:hAnsiTheme="minorHAnsi" w:cstheme="minorBidi"/>
            <w:color w:val="auto"/>
            <w:sz w:val="22"/>
            <w:szCs w:val="22"/>
            <w:lang w:eastAsia="en-US"/>
          </w:rPr>
          <w:tab/>
        </w:r>
        <w:r w:rsidRPr="00F83BDA">
          <w:rPr>
            <w:rStyle w:val="Hyperlink"/>
            <w:color w:val="auto"/>
          </w:rPr>
          <w:t>REBUTTAL TO MR. PARCELL’S TESTIMONY</w:t>
        </w:r>
        <w:r w:rsidRPr="00F83BDA">
          <w:rPr>
            <w:webHidden/>
            <w:color w:val="auto"/>
          </w:rPr>
          <w:tab/>
        </w:r>
        <w:r w:rsidRPr="00F83BDA">
          <w:rPr>
            <w:webHidden/>
            <w:color w:val="auto"/>
          </w:rPr>
          <w:fldChar w:fldCharType="begin"/>
        </w:r>
        <w:r w:rsidRPr="00F83BDA">
          <w:rPr>
            <w:webHidden/>
            <w:color w:val="auto"/>
          </w:rPr>
          <w:instrText xml:space="preserve"> PAGEREF _Toc489887881 \h </w:instrText>
        </w:r>
        <w:r w:rsidRPr="00F83BDA">
          <w:rPr>
            <w:webHidden/>
            <w:color w:val="auto"/>
          </w:rPr>
        </w:r>
        <w:r w:rsidRPr="00F83BDA">
          <w:rPr>
            <w:webHidden/>
            <w:color w:val="auto"/>
          </w:rPr>
          <w:fldChar w:fldCharType="separate"/>
        </w:r>
        <w:r w:rsidRPr="00F83BDA">
          <w:rPr>
            <w:webHidden/>
            <w:color w:val="auto"/>
          </w:rPr>
          <w:t>64</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82" w:history="1">
        <w:r w:rsidRPr="00F83BDA">
          <w:rPr>
            <w:rStyle w:val="Hyperlink"/>
            <w:color w:val="auto"/>
            <w:lang w:eastAsia="en-US"/>
          </w:rPr>
          <w:t>A.</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Mr. Parcell’s DCF Results Should be Given Very Little, If Any, Weight Because Mr. Parcell Has Relied on Erroneous Data Inputs</w:t>
        </w:r>
        <w:r w:rsidRPr="00F83BDA">
          <w:rPr>
            <w:webHidden/>
            <w:color w:val="auto"/>
          </w:rPr>
          <w:tab/>
        </w:r>
        <w:r w:rsidRPr="00F83BDA">
          <w:rPr>
            <w:webHidden/>
            <w:color w:val="auto"/>
          </w:rPr>
          <w:fldChar w:fldCharType="begin"/>
        </w:r>
        <w:r w:rsidRPr="00F83BDA">
          <w:rPr>
            <w:webHidden/>
            <w:color w:val="auto"/>
          </w:rPr>
          <w:instrText xml:space="preserve"> PAGEREF _Toc489887882 \h </w:instrText>
        </w:r>
        <w:r w:rsidRPr="00F83BDA">
          <w:rPr>
            <w:webHidden/>
            <w:color w:val="auto"/>
          </w:rPr>
        </w:r>
        <w:r w:rsidRPr="00F83BDA">
          <w:rPr>
            <w:webHidden/>
            <w:color w:val="auto"/>
          </w:rPr>
          <w:fldChar w:fldCharType="separate"/>
        </w:r>
        <w:r w:rsidRPr="00F83BDA">
          <w:rPr>
            <w:webHidden/>
            <w:color w:val="auto"/>
          </w:rPr>
          <w:t>67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3" w:history="1">
        <w:r w:rsidRPr="00F83BDA">
          <w:rPr>
            <w:rStyle w:val="Hyperlink"/>
            <w:color w:val="auto"/>
          </w:rPr>
          <w:t>1.</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 Understates Dividend Yield by Using a Spot Dividend Yield Inflated By One-Half of the Expected Dividend Growth</w:t>
        </w:r>
        <w:r w:rsidRPr="00F83BDA">
          <w:rPr>
            <w:webHidden/>
            <w:color w:val="auto"/>
          </w:rPr>
          <w:tab/>
        </w:r>
        <w:r w:rsidRPr="00F83BDA">
          <w:rPr>
            <w:webHidden/>
            <w:color w:val="auto"/>
          </w:rPr>
          <w:fldChar w:fldCharType="begin"/>
        </w:r>
        <w:r w:rsidRPr="00F83BDA">
          <w:rPr>
            <w:webHidden/>
            <w:color w:val="auto"/>
          </w:rPr>
          <w:instrText xml:space="preserve"> PAGEREF _Toc489887883 \h </w:instrText>
        </w:r>
        <w:r w:rsidRPr="00F83BDA">
          <w:rPr>
            <w:webHidden/>
            <w:color w:val="auto"/>
          </w:rPr>
        </w:r>
        <w:r w:rsidRPr="00F83BDA">
          <w:rPr>
            <w:webHidden/>
            <w:color w:val="auto"/>
          </w:rPr>
          <w:fldChar w:fldCharType="separate"/>
        </w:r>
        <w:r w:rsidRPr="00F83BDA">
          <w:rPr>
            <w:webHidden/>
            <w:color w:val="auto"/>
          </w:rPr>
          <w:t>67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4" w:history="1">
        <w:r w:rsidRPr="00F83BDA">
          <w:rPr>
            <w:rStyle w:val="Hyperlink"/>
            <w:color w:val="auto"/>
          </w:rPr>
          <w:t>2.</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 Uses the Retention Growth Method, a Method that Should Be Given Little, If Any, Weight</w:t>
        </w:r>
        <w:r w:rsidRPr="00F83BDA">
          <w:rPr>
            <w:webHidden/>
            <w:color w:val="auto"/>
          </w:rPr>
          <w:tab/>
        </w:r>
        <w:r w:rsidRPr="00F83BDA">
          <w:rPr>
            <w:webHidden/>
            <w:color w:val="auto"/>
          </w:rPr>
          <w:fldChar w:fldCharType="begin"/>
        </w:r>
        <w:r w:rsidRPr="00F83BDA">
          <w:rPr>
            <w:webHidden/>
            <w:color w:val="auto"/>
          </w:rPr>
          <w:instrText xml:space="preserve"> PAGEREF _Toc489887884 \h </w:instrText>
        </w:r>
        <w:r w:rsidRPr="00F83BDA">
          <w:rPr>
            <w:webHidden/>
            <w:color w:val="auto"/>
          </w:rPr>
        </w:r>
        <w:r w:rsidRPr="00F83BDA">
          <w:rPr>
            <w:webHidden/>
            <w:color w:val="auto"/>
          </w:rPr>
          <w:fldChar w:fldCharType="separate"/>
        </w:r>
        <w:r w:rsidRPr="00F83BDA">
          <w:rPr>
            <w:webHidden/>
            <w:color w:val="auto"/>
          </w:rPr>
          <w:t>67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5" w:history="1">
        <w:r w:rsidRPr="00F83BDA">
          <w:rPr>
            <w:rStyle w:val="Hyperlink"/>
            <w:color w:val="auto"/>
          </w:rPr>
          <w:t>3.</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Parcell’s Historical Growth Rates Should Be Given Little, If Any, Weight</w:t>
        </w:r>
        <w:r w:rsidRPr="00F83BDA">
          <w:rPr>
            <w:webHidden/>
            <w:color w:val="auto"/>
          </w:rPr>
          <w:tab/>
        </w:r>
        <w:r w:rsidRPr="00F83BDA">
          <w:rPr>
            <w:webHidden/>
            <w:color w:val="auto"/>
          </w:rPr>
          <w:fldChar w:fldCharType="begin"/>
        </w:r>
        <w:r w:rsidRPr="00F83BDA">
          <w:rPr>
            <w:webHidden/>
            <w:color w:val="auto"/>
          </w:rPr>
          <w:instrText xml:space="preserve"> PAGEREF _Toc489887885 \h </w:instrText>
        </w:r>
        <w:r w:rsidRPr="00F83BDA">
          <w:rPr>
            <w:webHidden/>
            <w:color w:val="auto"/>
          </w:rPr>
        </w:r>
        <w:r w:rsidRPr="00F83BDA">
          <w:rPr>
            <w:webHidden/>
            <w:color w:val="auto"/>
          </w:rPr>
          <w:fldChar w:fldCharType="separate"/>
        </w:r>
        <w:r w:rsidRPr="00F83BDA">
          <w:rPr>
            <w:webHidden/>
            <w:color w:val="auto"/>
          </w:rPr>
          <w:t>68</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86" w:history="1">
        <w:r w:rsidRPr="00F83BDA">
          <w:rPr>
            <w:rStyle w:val="Hyperlink"/>
            <w:color w:val="auto"/>
          </w:rPr>
          <w:t>B.</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Parcell’s CAPM Results Should Be Given Very Little, If Any, Weight</w:t>
        </w:r>
        <w:r w:rsidRPr="00F83BDA">
          <w:rPr>
            <w:webHidden/>
            <w:color w:val="auto"/>
          </w:rPr>
          <w:tab/>
        </w:r>
        <w:r w:rsidRPr="00F83BDA">
          <w:rPr>
            <w:webHidden/>
            <w:color w:val="auto"/>
          </w:rPr>
          <w:fldChar w:fldCharType="begin"/>
        </w:r>
        <w:r w:rsidRPr="00F83BDA">
          <w:rPr>
            <w:webHidden/>
            <w:color w:val="auto"/>
          </w:rPr>
          <w:instrText xml:space="preserve"> PAGEREF _Toc489887886 \h </w:instrText>
        </w:r>
        <w:r w:rsidRPr="00F83BDA">
          <w:rPr>
            <w:webHidden/>
            <w:color w:val="auto"/>
          </w:rPr>
        </w:r>
        <w:r w:rsidRPr="00F83BDA">
          <w:rPr>
            <w:webHidden/>
            <w:color w:val="auto"/>
          </w:rPr>
          <w:fldChar w:fldCharType="separate"/>
        </w:r>
        <w:r w:rsidRPr="00F83BDA">
          <w:rPr>
            <w:webHidden/>
            <w:color w:val="auto"/>
          </w:rPr>
          <w:t>72</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7" w:history="1">
        <w:r w:rsidRPr="00F83BDA">
          <w:rPr>
            <w:rStyle w:val="Hyperlink"/>
            <w:color w:val="auto"/>
          </w:rPr>
          <w:t>1.</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Parcell’s Risk-Free Rate Proxy in His CAPM Analysis Should Be Predicated on Interest Rate Forecasts</w:t>
        </w:r>
        <w:r w:rsidRPr="00F83BDA">
          <w:rPr>
            <w:webHidden/>
            <w:color w:val="auto"/>
          </w:rPr>
          <w:tab/>
        </w:r>
        <w:r w:rsidRPr="00F83BDA">
          <w:rPr>
            <w:webHidden/>
            <w:color w:val="auto"/>
          </w:rPr>
          <w:fldChar w:fldCharType="begin"/>
        </w:r>
        <w:r w:rsidRPr="00F83BDA">
          <w:rPr>
            <w:webHidden/>
            <w:color w:val="auto"/>
          </w:rPr>
          <w:instrText xml:space="preserve"> PAGEREF _Toc489887887 \h </w:instrText>
        </w:r>
        <w:r w:rsidRPr="00F83BDA">
          <w:rPr>
            <w:webHidden/>
            <w:color w:val="auto"/>
          </w:rPr>
        </w:r>
        <w:r w:rsidRPr="00F83BDA">
          <w:rPr>
            <w:webHidden/>
            <w:color w:val="auto"/>
          </w:rPr>
          <w:fldChar w:fldCharType="separate"/>
        </w:r>
        <w:r w:rsidRPr="00F83BDA">
          <w:rPr>
            <w:webHidden/>
            <w:color w:val="auto"/>
          </w:rPr>
          <w:t>72</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8" w:history="1">
        <w:r w:rsidRPr="00F83BDA">
          <w:rPr>
            <w:rStyle w:val="Hyperlink"/>
            <w:color w:val="auto"/>
          </w:rPr>
          <w:t>2.</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Parcell’s Beta Estimate in His CAPM Analysis Is Reasonable</w:t>
        </w:r>
        <w:r w:rsidRPr="00F83BDA">
          <w:rPr>
            <w:webHidden/>
            <w:color w:val="auto"/>
          </w:rPr>
          <w:tab/>
        </w:r>
        <w:r w:rsidRPr="00F83BDA">
          <w:rPr>
            <w:webHidden/>
            <w:color w:val="auto"/>
          </w:rPr>
          <w:fldChar w:fldCharType="begin"/>
        </w:r>
        <w:r w:rsidRPr="00F83BDA">
          <w:rPr>
            <w:webHidden/>
            <w:color w:val="auto"/>
          </w:rPr>
          <w:instrText xml:space="preserve"> PAGEREF _Toc489887888 \h </w:instrText>
        </w:r>
        <w:r w:rsidRPr="00F83BDA">
          <w:rPr>
            <w:webHidden/>
            <w:color w:val="auto"/>
          </w:rPr>
        </w:r>
        <w:r w:rsidRPr="00F83BDA">
          <w:rPr>
            <w:webHidden/>
            <w:color w:val="auto"/>
          </w:rPr>
          <w:fldChar w:fldCharType="separate"/>
        </w:r>
        <w:r w:rsidRPr="00F83BDA">
          <w:rPr>
            <w:webHidden/>
            <w:color w:val="auto"/>
          </w:rPr>
          <w:t>73</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89" w:history="1">
        <w:r w:rsidRPr="00F83BDA">
          <w:rPr>
            <w:rStyle w:val="Hyperlink"/>
            <w:color w:val="auto"/>
          </w:rPr>
          <w:t>3.</w:t>
        </w:r>
        <w:r w:rsidRPr="00F83BDA">
          <w:rPr>
            <w:rFonts w:asciiTheme="minorHAnsi" w:eastAsiaTheme="minorEastAsia" w:hAnsiTheme="minorHAnsi" w:cstheme="minorBidi"/>
            <w:color w:val="auto"/>
            <w:sz w:val="22"/>
            <w:szCs w:val="22"/>
            <w:lang w:eastAsia="en-US"/>
          </w:rPr>
          <w:tab/>
        </w:r>
        <w:r w:rsidRPr="00F83BDA">
          <w:rPr>
            <w:rStyle w:val="Hyperlink"/>
            <w:color w:val="auto"/>
          </w:rPr>
          <w:t>Mr. Parcell’s Market Risk Premium of 5.8 Percent Understates the Market Risk Premium</w:t>
        </w:r>
        <w:r w:rsidRPr="00F83BDA">
          <w:rPr>
            <w:webHidden/>
            <w:color w:val="auto"/>
          </w:rPr>
          <w:tab/>
        </w:r>
        <w:r w:rsidRPr="00F83BDA">
          <w:rPr>
            <w:webHidden/>
            <w:color w:val="auto"/>
          </w:rPr>
          <w:fldChar w:fldCharType="begin"/>
        </w:r>
        <w:r w:rsidRPr="00F83BDA">
          <w:rPr>
            <w:webHidden/>
            <w:color w:val="auto"/>
          </w:rPr>
          <w:instrText xml:space="preserve"> PAGEREF _Toc489887889 \h </w:instrText>
        </w:r>
        <w:r w:rsidRPr="00F83BDA">
          <w:rPr>
            <w:webHidden/>
            <w:color w:val="auto"/>
          </w:rPr>
        </w:r>
        <w:r w:rsidRPr="00F83BDA">
          <w:rPr>
            <w:webHidden/>
            <w:color w:val="auto"/>
          </w:rPr>
          <w:fldChar w:fldCharType="separate"/>
        </w:r>
        <w:r w:rsidRPr="00F83BDA">
          <w:rPr>
            <w:webHidden/>
            <w:color w:val="auto"/>
          </w:rPr>
          <w:t>73</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90" w:history="1">
        <w:r w:rsidRPr="00F83BDA">
          <w:rPr>
            <w:rStyle w:val="Hyperlink"/>
            <w:color w:val="auto"/>
            <w:lang w:eastAsia="en-US"/>
          </w:rPr>
          <w:t>C.</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Mr. Parcell’s Criticisms of My Direct Testimony are Unfounded, are Without Merit, and Should be Ignored by the Commission</w:t>
        </w:r>
        <w:r w:rsidRPr="00F83BDA">
          <w:rPr>
            <w:webHidden/>
            <w:color w:val="auto"/>
          </w:rPr>
          <w:tab/>
        </w:r>
        <w:r w:rsidRPr="00F83BDA">
          <w:rPr>
            <w:webHidden/>
            <w:color w:val="auto"/>
          </w:rPr>
          <w:fldChar w:fldCharType="begin"/>
        </w:r>
        <w:r w:rsidRPr="00F83BDA">
          <w:rPr>
            <w:webHidden/>
            <w:color w:val="auto"/>
          </w:rPr>
          <w:instrText xml:space="preserve"> PAGEREF _Toc489887890 \h </w:instrText>
        </w:r>
        <w:r w:rsidRPr="00F83BDA">
          <w:rPr>
            <w:webHidden/>
            <w:color w:val="auto"/>
          </w:rPr>
        </w:r>
        <w:r w:rsidRPr="00F83BDA">
          <w:rPr>
            <w:webHidden/>
            <w:color w:val="auto"/>
          </w:rPr>
          <w:fldChar w:fldCharType="separate"/>
        </w:r>
        <w:r w:rsidRPr="00F83BDA">
          <w:rPr>
            <w:webHidden/>
            <w:color w:val="auto"/>
          </w:rPr>
          <w:t>76</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91" w:history="1">
        <w:r w:rsidRPr="00F83BDA">
          <w:rPr>
            <w:rStyle w:val="Hyperlink"/>
            <w:color w:val="auto"/>
            <w:lang w:eastAsia="en-US"/>
          </w:rPr>
          <w:t>1.</w:t>
        </w:r>
        <w:r w:rsidRPr="00F83BDA">
          <w:rPr>
            <w:rFonts w:asciiTheme="minorHAnsi" w:eastAsiaTheme="minorEastAsia" w:hAnsiTheme="minorHAnsi" w:cstheme="minorBidi"/>
            <w:color w:val="auto"/>
            <w:sz w:val="22"/>
            <w:szCs w:val="22"/>
            <w:lang w:eastAsia="en-US"/>
          </w:rPr>
          <w:tab/>
        </w:r>
        <w:r w:rsidRPr="00F83BDA">
          <w:rPr>
            <w:rStyle w:val="Hyperlink"/>
            <w:color w:val="auto"/>
          </w:rPr>
          <w:t>Mr. </w:t>
        </w:r>
        <w:r w:rsidRPr="00F83BDA">
          <w:rPr>
            <w:rStyle w:val="Hyperlink"/>
            <w:bCs/>
            <w:color w:val="auto"/>
            <w:lang w:eastAsia="en-US"/>
          </w:rPr>
          <w:t>Parcell’s Assertions that the Empirical CAPM Inflates CAPM Result for Selected Companies or Industries are Erroneous</w:t>
        </w:r>
        <w:r w:rsidRPr="00F83BDA">
          <w:rPr>
            <w:webHidden/>
            <w:color w:val="auto"/>
          </w:rPr>
          <w:tab/>
        </w:r>
        <w:r w:rsidRPr="00F83BDA">
          <w:rPr>
            <w:webHidden/>
            <w:color w:val="auto"/>
          </w:rPr>
          <w:fldChar w:fldCharType="begin"/>
        </w:r>
        <w:r w:rsidRPr="00F83BDA">
          <w:rPr>
            <w:webHidden/>
            <w:color w:val="auto"/>
          </w:rPr>
          <w:instrText xml:space="preserve"> PAGEREF _Toc489887891 \h </w:instrText>
        </w:r>
        <w:r w:rsidRPr="00F83BDA">
          <w:rPr>
            <w:webHidden/>
            <w:color w:val="auto"/>
          </w:rPr>
        </w:r>
        <w:r w:rsidRPr="00F83BDA">
          <w:rPr>
            <w:webHidden/>
            <w:color w:val="auto"/>
          </w:rPr>
          <w:fldChar w:fldCharType="separate"/>
        </w:r>
        <w:r w:rsidRPr="00F83BDA">
          <w:rPr>
            <w:webHidden/>
            <w:color w:val="auto"/>
          </w:rPr>
          <w:t>76</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92" w:history="1">
        <w:r w:rsidRPr="00F83BDA">
          <w:rPr>
            <w:rStyle w:val="Hyperlink"/>
            <w:color w:val="auto"/>
            <w:lang w:eastAsia="en-US"/>
          </w:rPr>
          <w:t>2.</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Risk Premium Methodology</w:t>
        </w:r>
        <w:r w:rsidRPr="00F83BDA">
          <w:rPr>
            <w:webHidden/>
            <w:color w:val="auto"/>
          </w:rPr>
          <w:tab/>
        </w:r>
        <w:r w:rsidRPr="00F83BDA">
          <w:rPr>
            <w:webHidden/>
            <w:color w:val="auto"/>
          </w:rPr>
          <w:fldChar w:fldCharType="begin"/>
        </w:r>
        <w:r w:rsidRPr="00F83BDA">
          <w:rPr>
            <w:webHidden/>
            <w:color w:val="auto"/>
          </w:rPr>
          <w:instrText xml:space="preserve"> PAGEREF _Toc489887892 \h </w:instrText>
        </w:r>
        <w:r w:rsidRPr="00F83BDA">
          <w:rPr>
            <w:webHidden/>
            <w:color w:val="auto"/>
          </w:rPr>
        </w:r>
        <w:r w:rsidRPr="00F83BDA">
          <w:rPr>
            <w:webHidden/>
            <w:color w:val="auto"/>
          </w:rPr>
          <w:fldChar w:fldCharType="separate"/>
        </w:r>
        <w:r w:rsidRPr="00F83BDA">
          <w:rPr>
            <w:webHidden/>
            <w:color w:val="auto"/>
          </w:rPr>
          <w:t>77</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93" w:history="1">
        <w:r w:rsidRPr="00F83BDA">
          <w:rPr>
            <w:rStyle w:val="Hyperlink"/>
            <w:color w:val="auto"/>
            <w:lang w:eastAsia="en-US"/>
          </w:rPr>
          <w:t>3.</w:t>
        </w:r>
        <w:r w:rsidRPr="00F83BDA">
          <w:rPr>
            <w:rFonts w:asciiTheme="minorHAnsi" w:eastAsiaTheme="minorEastAsia" w:hAnsiTheme="minorHAnsi" w:cstheme="minorBidi"/>
            <w:color w:val="auto"/>
            <w:sz w:val="22"/>
            <w:szCs w:val="22"/>
            <w:lang w:eastAsia="en-US"/>
          </w:rPr>
          <w:tab/>
        </w:r>
        <w:r w:rsidRPr="00F83BDA">
          <w:rPr>
            <w:rStyle w:val="Hyperlink"/>
            <w:color w:val="auto"/>
          </w:rPr>
          <w:t>Mr. </w:t>
        </w:r>
        <w:r w:rsidRPr="00F83BDA">
          <w:rPr>
            <w:rStyle w:val="Hyperlink"/>
            <w:bCs/>
            <w:color w:val="auto"/>
            <w:lang w:eastAsia="en-US"/>
          </w:rPr>
          <w:t xml:space="preserve">Parcell Fails to Recognize that </w:t>
        </w:r>
        <w:r w:rsidRPr="00F83BDA">
          <w:rPr>
            <w:rStyle w:val="Hyperlink"/>
            <w:bCs/>
            <w:color w:val="auto"/>
          </w:rPr>
          <w:t xml:space="preserve">the </w:t>
        </w:r>
        <w:r w:rsidRPr="00F83BDA">
          <w:rPr>
            <w:rStyle w:val="Hyperlink"/>
            <w:color w:val="auto"/>
          </w:rPr>
          <w:t>Average Allowed Return on Equity Authorized by State Utility Commissions for Electric Utilities in 2017 is 9.9 percent</w:t>
        </w:r>
        <w:r w:rsidRPr="00F83BDA">
          <w:rPr>
            <w:webHidden/>
            <w:color w:val="auto"/>
          </w:rPr>
          <w:tab/>
        </w:r>
        <w:r w:rsidRPr="00F83BDA">
          <w:rPr>
            <w:webHidden/>
            <w:color w:val="auto"/>
          </w:rPr>
          <w:fldChar w:fldCharType="begin"/>
        </w:r>
        <w:r w:rsidRPr="00F83BDA">
          <w:rPr>
            <w:webHidden/>
            <w:color w:val="auto"/>
          </w:rPr>
          <w:instrText xml:space="preserve"> PAGEREF _Toc489887893 \h </w:instrText>
        </w:r>
        <w:r w:rsidRPr="00F83BDA">
          <w:rPr>
            <w:webHidden/>
            <w:color w:val="auto"/>
          </w:rPr>
        </w:r>
        <w:r w:rsidRPr="00F83BDA">
          <w:rPr>
            <w:webHidden/>
            <w:color w:val="auto"/>
          </w:rPr>
          <w:fldChar w:fldCharType="separate"/>
        </w:r>
        <w:r w:rsidRPr="00F83BDA">
          <w:rPr>
            <w:webHidden/>
            <w:color w:val="auto"/>
          </w:rPr>
          <w:t>78</w:t>
        </w:r>
        <w:r w:rsidRPr="00F83BDA">
          <w:rPr>
            <w:webHidden/>
            <w:color w:val="auto"/>
          </w:rPr>
          <w:fldChar w:fldCharType="end"/>
        </w:r>
      </w:hyperlink>
    </w:p>
    <w:p w:rsidR="00F83BDA" w:rsidRPr="00F83BDA" w:rsidRDefault="00F83BDA">
      <w:pPr>
        <w:pStyle w:val="TOC3"/>
        <w:rPr>
          <w:rFonts w:asciiTheme="minorHAnsi" w:eastAsiaTheme="minorEastAsia" w:hAnsiTheme="minorHAnsi" w:cstheme="minorBidi"/>
          <w:color w:val="auto"/>
          <w:sz w:val="22"/>
          <w:szCs w:val="22"/>
          <w:lang w:eastAsia="en-US"/>
        </w:rPr>
      </w:pPr>
      <w:hyperlink w:anchor="_Toc489887894" w:history="1">
        <w:r w:rsidRPr="00F83BDA">
          <w:rPr>
            <w:rStyle w:val="Hyperlink"/>
            <w:color w:val="auto"/>
            <w:lang w:eastAsia="en-US"/>
          </w:rPr>
          <w:t>4.</w:t>
        </w:r>
        <w:r w:rsidRPr="00F83BDA">
          <w:rPr>
            <w:rFonts w:asciiTheme="minorHAnsi" w:eastAsiaTheme="minorEastAsia" w:hAnsiTheme="minorHAnsi" w:cstheme="minorBidi"/>
            <w:color w:val="auto"/>
            <w:sz w:val="22"/>
            <w:szCs w:val="22"/>
            <w:lang w:eastAsia="en-US"/>
          </w:rPr>
          <w:tab/>
        </w:r>
        <w:r w:rsidRPr="00F83BDA">
          <w:rPr>
            <w:rStyle w:val="Hyperlink"/>
            <w:bCs/>
            <w:color w:val="auto"/>
          </w:rPr>
          <w:t>Mr. Parcell Incorrectly Asserts that It is Inappropriate to Take into Account Size Differences of Companies When Determining the Return of Equity</w:t>
        </w:r>
        <w:r w:rsidRPr="00F83BDA">
          <w:rPr>
            <w:webHidden/>
            <w:color w:val="auto"/>
          </w:rPr>
          <w:tab/>
        </w:r>
        <w:r w:rsidRPr="00F83BDA">
          <w:rPr>
            <w:webHidden/>
            <w:color w:val="auto"/>
          </w:rPr>
          <w:fldChar w:fldCharType="begin"/>
        </w:r>
        <w:r w:rsidRPr="00F83BDA">
          <w:rPr>
            <w:webHidden/>
            <w:color w:val="auto"/>
          </w:rPr>
          <w:instrText xml:space="preserve"> PAGEREF _Toc489887894 \h </w:instrText>
        </w:r>
        <w:r w:rsidRPr="00F83BDA">
          <w:rPr>
            <w:webHidden/>
            <w:color w:val="auto"/>
          </w:rPr>
        </w:r>
        <w:r w:rsidRPr="00F83BDA">
          <w:rPr>
            <w:webHidden/>
            <w:color w:val="auto"/>
          </w:rPr>
          <w:fldChar w:fldCharType="separate"/>
        </w:r>
        <w:r w:rsidRPr="00F83BDA">
          <w:rPr>
            <w:webHidden/>
            <w:color w:val="auto"/>
          </w:rPr>
          <w:t>79</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95" w:history="1">
        <w:r w:rsidRPr="00F83BDA">
          <w:rPr>
            <w:rStyle w:val="Hyperlink"/>
            <w:color w:val="auto"/>
            <w:lang w:eastAsia="en-US"/>
          </w:rPr>
          <w:t>D.</w:t>
        </w:r>
        <w:r w:rsidRPr="00F83BDA">
          <w:rPr>
            <w:rFonts w:asciiTheme="minorHAnsi" w:eastAsiaTheme="minorEastAsia" w:hAnsiTheme="minorHAnsi" w:cstheme="minorBidi"/>
            <w:color w:val="auto"/>
            <w:sz w:val="22"/>
            <w:szCs w:val="22"/>
            <w:lang w:eastAsia="en-US"/>
          </w:rPr>
          <w:tab/>
        </w:r>
        <w:r w:rsidRPr="00F83BDA">
          <w:rPr>
            <w:rStyle w:val="Hyperlink"/>
            <w:color w:val="auto"/>
          </w:rPr>
          <w:t xml:space="preserve">Mr. Parcell’s Return on Equity </w:t>
        </w:r>
        <w:r w:rsidRPr="00F83BDA">
          <w:rPr>
            <w:rStyle w:val="Hyperlink"/>
            <w:color w:val="auto"/>
            <w:lang w:val="x-none"/>
          </w:rPr>
          <w:t xml:space="preserve">Recommendation </w:t>
        </w:r>
        <w:r w:rsidRPr="00F83BDA">
          <w:rPr>
            <w:rStyle w:val="Hyperlink"/>
            <w:color w:val="auto"/>
          </w:rPr>
          <w:t>is Understated</w:t>
        </w:r>
        <w:r w:rsidRPr="00F83BDA">
          <w:rPr>
            <w:webHidden/>
            <w:color w:val="auto"/>
          </w:rPr>
          <w:tab/>
        </w:r>
        <w:r w:rsidRPr="00F83BDA">
          <w:rPr>
            <w:webHidden/>
            <w:color w:val="auto"/>
          </w:rPr>
          <w:fldChar w:fldCharType="begin"/>
        </w:r>
        <w:r w:rsidRPr="00F83BDA">
          <w:rPr>
            <w:webHidden/>
            <w:color w:val="auto"/>
          </w:rPr>
          <w:instrText xml:space="preserve"> PAGEREF _Toc489887895 \h </w:instrText>
        </w:r>
        <w:r w:rsidRPr="00F83BDA">
          <w:rPr>
            <w:webHidden/>
            <w:color w:val="auto"/>
          </w:rPr>
        </w:r>
        <w:r w:rsidRPr="00F83BDA">
          <w:rPr>
            <w:webHidden/>
            <w:color w:val="auto"/>
          </w:rPr>
          <w:fldChar w:fldCharType="separate"/>
        </w:r>
        <w:r w:rsidRPr="00F83BDA">
          <w:rPr>
            <w:webHidden/>
            <w:color w:val="auto"/>
          </w:rPr>
          <w:t>81</w:t>
        </w:r>
        <w:r w:rsidRPr="00F83BDA">
          <w:rPr>
            <w:webHidden/>
            <w:color w:val="auto"/>
          </w:rPr>
          <w:fldChar w:fldCharType="end"/>
        </w:r>
      </w:hyperlink>
    </w:p>
    <w:p w:rsidR="00F83BDA" w:rsidRPr="00F83BDA" w:rsidRDefault="00F83BDA">
      <w:pPr>
        <w:pStyle w:val="TOC1"/>
        <w:rPr>
          <w:rFonts w:asciiTheme="minorHAnsi" w:eastAsiaTheme="minorEastAsia" w:hAnsiTheme="minorHAnsi" w:cstheme="minorBidi"/>
          <w:color w:val="auto"/>
          <w:sz w:val="22"/>
          <w:szCs w:val="22"/>
          <w:lang w:eastAsia="en-US"/>
        </w:rPr>
      </w:pPr>
      <w:hyperlink w:anchor="_Toc489887896" w:history="1">
        <w:r w:rsidRPr="00F83BDA">
          <w:rPr>
            <w:rStyle w:val="Hyperlink"/>
            <w:color w:val="auto"/>
            <w:lang w:eastAsia="en-US"/>
          </w:rPr>
          <w:t>IV.</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RESPONSE TO MR. GORMAN’S COMMENTS</w:t>
        </w:r>
        <w:r w:rsidRPr="00F83BDA">
          <w:rPr>
            <w:webHidden/>
            <w:color w:val="auto"/>
          </w:rPr>
          <w:tab/>
        </w:r>
        <w:r w:rsidRPr="00F83BDA">
          <w:rPr>
            <w:webHidden/>
            <w:color w:val="auto"/>
          </w:rPr>
          <w:fldChar w:fldCharType="begin"/>
        </w:r>
        <w:r w:rsidRPr="00F83BDA">
          <w:rPr>
            <w:webHidden/>
            <w:color w:val="auto"/>
          </w:rPr>
          <w:instrText xml:space="preserve"> PAGEREF _Toc489887896 \h </w:instrText>
        </w:r>
        <w:r w:rsidRPr="00F83BDA">
          <w:rPr>
            <w:webHidden/>
            <w:color w:val="auto"/>
          </w:rPr>
        </w:r>
        <w:r w:rsidRPr="00F83BDA">
          <w:rPr>
            <w:webHidden/>
            <w:color w:val="auto"/>
          </w:rPr>
          <w:fldChar w:fldCharType="separate"/>
        </w:r>
        <w:r w:rsidRPr="00F83BDA">
          <w:rPr>
            <w:webHidden/>
            <w:color w:val="auto"/>
          </w:rPr>
          <w:t>82</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97" w:history="1">
        <w:r w:rsidRPr="00F83BDA">
          <w:rPr>
            <w:rStyle w:val="Hyperlink"/>
            <w:color w:val="auto"/>
            <w:lang w:eastAsia="en-US"/>
          </w:rPr>
          <w:t>A.</w:t>
        </w:r>
        <w:r w:rsidRPr="00F83BDA">
          <w:rPr>
            <w:rFonts w:asciiTheme="minorHAnsi" w:eastAsiaTheme="minorEastAsia" w:hAnsiTheme="minorHAnsi" w:cstheme="minorBidi"/>
            <w:color w:val="auto"/>
            <w:sz w:val="22"/>
            <w:szCs w:val="22"/>
            <w:lang w:eastAsia="en-US"/>
          </w:rPr>
          <w:tab/>
        </w:r>
        <w:r w:rsidRPr="00F83BDA">
          <w:rPr>
            <w:rStyle w:val="Hyperlink"/>
            <w:color w:val="auto"/>
          </w:rPr>
          <w:t>Mr. Gorman’s Argument that It is Unreasonable to Use Value Line Growth Rates in a DCF Analysisis Both Astonishing and Incorrect</w:t>
        </w:r>
        <w:r w:rsidRPr="00F83BDA">
          <w:rPr>
            <w:webHidden/>
            <w:color w:val="auto"/>
          </w:rPr>
          <w:tab/>
        </w:r>
        <w:r w:rsidRPr="00F83BDA">
          <w:rPr>
            <w:webHidden/>
            <w:color w:val="auto"/>
          </w:rPr>
          <w:fldChar w:fldCharType="begin"/>
        </w:r>
        <w:r w:rsidRPr="00F83BDA">
          <w:rPr>
            <w:webHidden/>
            <w:color w:val="auto"/>
          </w:rPr>
          <w:instrText xml:space="preserve"> PAGEREF _Toc489887897 \h </w:instrText>
        </w:r>
        <w:r w:rsidRPr="00F83BDA">
          <w:rPr>
            <w:webHidden/>
            <w:color w:val="auto"/>
          </w:rPr>
        </w:r>
        <w:r w:rsidRPr="00F83BDA">
          <w:rPr>
            <w:webHidden/>
            <w:color w:val="auto"/>
          </w:rPr>
          <w:fldChar w:fldCharType="separate"/>
        </w:r>
        <w:r w:rsidRPr="00F83BDA">
          <w:rPr>
            <w:webHidden/>
            <w:color w:val="auto"/>
          </w:rPr>
          <w:t>83</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98" w:history="1">
        <w:r w:rsidRPr="00F83BDA">
          <w:rPr>
            <w:rStyle w:val="Hyperlink"/>
            <w:color w:val="auto"/>
            <w:lang w:eastAsia="en-US"/>
          </w:rPr>
          <w:t>B.</w:t>
        </w:r>
        <w:r w:rsidRPr="00F83BDA">
          <w:rPr>
            <w:rFonts w:asciiTheme="minorHAnsi" w:eastAsiaTheme="minorEastAsia" w:hAnsiTheme="minorHAnsi" w:cstheme="minorBidi"/>
            <w:color w:val="auto"/>
            <w:sz w:val="22"/>
            <w:szCs w:val="22"/>
            <w:lang w:eastAsia="en-US"/>
          </w:rPr>
          <w:tab/>
        </w:r>
        <w:r w:rsidRPr="00F83BDA">
          <w:rPr>
            <w:rStyle w:val="Hyperlink"/>
            <w:bCs/>
            <w:color w:val="auto"/>
          </w:rPr>
          <w:t xml:space="preserve">Mr. Gorman’s Exclusive Reliance on </w:t>
        </w:r>
        <w:r w:rsidRPr="00F83BDA">
          <w:rPr>
            <w:rStyle w:val="Hyperlink"/>
            <w:color w:val="auto"/>
          </w:rPr>
          <w:t xml:space="preserve">the </w:t>
        </w:r>
        <w:r w:rsidRPr="00F83BDA">
          <w:rPr>
            <w:rStyle w:val="Hyperlink"/>
            <w:color w:val="auto"/>
            <w:lang w:eastAsia="en-US"/>
          </w:rPr>
          <w:t>Forecast Long-Term Interest Rates Published in The Blue Chip Financial Forecasts is Misplaced</w:t>
        </w:r>
        <w:r w:rsidRPr="00F83BDA">
          <w:rPr>
            <w:webHidden/>
            <w:color w:val="auto"/>
          </w:rPr>
          <w:tab/>
        </w:r>
        <w:r w:rsidRPr="00F83BDA">
          <w:rPr>
            <w:webHidden/>
            <w:color w:val="auto"/>
          </w:rPr>
          <w:fldChar w:fldCharType="begin"/>
        </w:r>
        <w:r w:rsidRPr="00F83BDA">
          <w:rPr>
            <w:webHidden/>
            <w:color w:val="auto"/>
          </w:rPr>
          <w:instrText xml:space="preserve"> PAGEREF _Toc489887898 \h </w:instrText>
        </w:r>
        <w:r w:rsidRPr="00F83BDA">
          <w:rPr>
            <w:webHidden/>
            <w:color w:val="auto"/>
          </w:rPr>
        </w:r>
        <w:r w:rsidRPr="00F83BDA">
          <w:rPr>
            <w:webHidden/>
            <w:color w:val="auto"/>
          </w:rPr>
          <w:fldChar w:fldCharType="separate"/>
        </w:r>
        <w:r w:rsidRPr="00F83BDA">
          <w:rPr>
            <w:webHidden/>
            <w:color w:val="auto"/>
          </w:rPr>
          <w:t>86</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899" w:history="1">
        <w:r w:rsidRPr="00F83BDA">
          <w:rPr>
            <w:rStyle w:val="Hyperlink"/>
            <w:color w:val="auto"/>
            <w:lang w:eastAsia="en-US"/>
          </w:rPr>
          <w:t>C.</w:t>
        </w:r>
        <w:r w:rsidRPr="00F83BDA">
          <w:rPr>
            <w:rFonts w:asciiTheme="minorHAnsi" w:eastAsiaTheme="minorEastAsia" w:hAnsiTheme="minorHAnsi" w:cstheme="minorBidi"/>
            <w:color w:val="auto"/>
            <w:sz w:val="22"/>
            <w:szCs w:val="22"/>
            <w:lang w:eastAsia="en-US"/>
          </w:rPr>
          <w:tab/>
        </w:r>
        <w:r w:rsidRPr="00F83BDA">
          <w:rPr>
            <w:rStyle w:val="Hyperlink"/>
            <w:color w:val="auto"/>
          </w:rPr>
          <w:t>Mr. </w:t>
        </w:r>
        <w:r w:rsidRPr="00F83BDA">
          <w:rPr>
            <w:rStyle w:val="Hyperlink"/>
            <w:color w:val="auto"/>
            <w:lang w:eastAsia="en-US"/>
          </w:rPr>
          <w:t>Gorman’s Purported Concerns with My Empirical CAPM Analysis Arise from His Confusing the Adjustment of Beta with the Empirical CAPM</w:t>
        </w:r>
        <w:r w:rsidRPr="00F83BDA">
          <w:rPr>
            <w:webHidden/>
            <w:color w:val="auto"/>
          </w:rPr>
          <w:tab/>
        </w:r>
        <w:r w:rsidRPr="00F83BDA">
          <w:rPr>
            <w:webHidden/>
            <w:color w:val="auto"/>
          </w:rPr>
          <w:fldChar w:fldCharType="begin"/>
        </w:r>
        <w:r w:rsidRPr="00F83BDA">
          <w:rPr>
            <w:webHidden/>
            <w:color w:val="auto"/>
          </w:rPr>
          <w:instrText xml:space="preserve"> PAGEREF _Toc489887899 \h </w:instrText>
        </w:r>
        <w:r w:rsidRPr="00F83BDA">
          <w:rPr>
            <w:webHidden/>
            <w:color w:val="auto"/>
          </w:rPr>
        </w:r>
        <w:r w:rsidRPr="00F83BDA">
          <w:rPr>
            <w:webHidden/>
            <w:color w:val="auto"/>
          </w:rPr>
          <w:fldChar w:fldCharType="separate"/>
        </w:r>
        <w:r w:rsidRPr="00F83BDA">
          <w:rPr>
            <w:webHidden/>
            <w:color w:val="auto"/>
          </w:rPr>
          <w:t>87</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900" w:history="1">
        <w:r w:rsidRPr="00F83BDA">
          <w:rPr>
            <w:rStyle w:val="Hyperlink"/>
            <w:color w:val="auto"/>
            <w:lang w:eastAsia="en-US"/>
          </w:rPr>
          <w:t>D.</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Mr. Gorman Erroneously Argues that the Inverse Relationship Between Equity Risk Premiums and Interest Rates is Not Supported by Academic Research</w:t>
        </w:r>
        <w:r w:rsidRPr="00F83BDA">
          <w:rPr>
            <w:webHidden/>
            <w:color w:val="auto"/>
          </w:rPr>
          <w:tab/>
        </w:r>
        <w:r w:rsidRPr="00F83BDA">
          <w:rPr>
            <w:webHidden/>
            <w:color w:val="auto"/>
          </w:rPr>
          <w:fldChar w:fldCharType="begin"/>
        </w:r>
        <w:r w:rsidRPr="00F83BDA">
          <w:rPr>
            <w:webHidden/>
            <w:color w:val="auto"/>
          </w:rPr>
          <w:instrText xml:space="preserve"> PAGEREF _Toc489887900 \h </w:instrText>
        </w:r>
        <w:r w:rsidRPr="00F83BDA">
          <w:rPr>
            <w:webHidden/>
            <w:color w:val="auto"/>
          </w:rPr>
        </w:r>
        <w:r w:rsidRPr="00F83BDA">
          <w:rPr>
            <w:webHidden/>
            <w:color w:val="auto"/>
          </w:rPr>
          <w:fldChar w:fldCharType="separate"/>
        </w:r>
        <w:r w:rsidRPr="00F83BDA">
          <w:rPr>
            <w:webHidden/>
            <w:color w:val="auto"/>
          </w:rPr>
          <w:t>88</w:t>
        </w:r>
        <w:r w:rsidRPr="00F83BDA">
          <w:rPr>
            <w:webHidden/>
            <w:color w:val="auto"/>
          </w:rPr>
          <w:fldChar w:fldCharType="end"/>
        </w:r>
      </w:hyperlink>
    </w:p>
    <w:p w:rsidR="00F83BDA" w:rsidRPr="00F83BDA" w:rsidRDefault="00F83BDA">
      <w:pPr>
        <w:pStyle w:val="TOC2"/>
        <w:rPr>
          <w:rFonts w:asciiTheme="minorHAnsi" w:eastAsiaTheme="minorEastAsia" w:hAnsiTheme="minorHAnsi" w:cstheme="minorBidi"/>
          <w:color w:val="auto"/>
          <w:sz w:val="22"/>
          <w:szCs w:val="22"/>
          <w:lang w:eastAsia="en-US"/>
        </w:rPr>
      </w:pPr>
      <w:hyperlink w:anchor="_Toc489887901" w:history="1">
        <w:r w:rsidRPr="00F83BDA">
          <w:rPr>
            <w:rStyle w:val="Hyperlink"/>
            <w:color w:val="auto"/>
            <w:lang w:eastAsia="en-US"/>
          </w:rPr>
          <w:t>E.</w:t>
        </w:r>
        <w:r w:rsidRPr="00F83BDA">
          <w:rPr>
            <w:rFonts w:asciiTheme="minorHAnsi" w:eastAsiaTheme="minorEastAsia" w:hAnsiTheme="minorHAnsi" w:cstheme="minorBidi"/>
            <w:color w:val="auto"/>
            <w:sz w:val="22"/>
            <w:szCs w:val="22"/>
            <w:lang w:eastAsia="en-US"/>
          </w:rPr>
          <w:tab/>
        </w:r>
        <w:r w:rsidRPr="00F83BDA">
          <w:rPr>
            <w:rStyle w:val="Hyperlink"/>
            <w:color w:val="auto"/>
            <w:lang w:eastAsia="en-US"/>
          </w:rPr>
          <w:t xml:space="preserve">The Commission Should Expressly Reject </w:t>
        </w:r>
        <w:r w:rsidRPr="00F83BDA">
          <w:rPr>
            <w:rStyle w:val="Hyperlink"/>
            <w:color w:val="auto"/>
          </w:rPr>
          <w:t>Mr. </w:t>
        </w:r>
        <w:r w:rsidRPr="00F83BDA">
          <w:rPr>
            <w:rStyle w:val="Hyperlink"/>
            <w:snapToGrid w:val="0"/>
            <w:color w:val="auto"/>
            <w:lang w:eastAsia="en-US"/>
          </w:rPr>
          <w:t>Gorman’s Recommendation to Adjust PSE’s Return on Equity Downward in the Event Revenue Decoupling Continues</w:t>
        </w:r>
        <w:r w:rsidRPr="00F83BDA">
          <w:rPr>
            <w:webHidden/>
            <w:color w:val="auto"/>
          </w:rPr>
          <w:tab/>
        </w:r>
        <w:r w:rsidRPr="00F83BDA">
          <w:rPr>
            <w:webHidden/>
            <w:color w:val="auto"/>
          </w:rPr>
          <w:fldChar w:fldCharType="begin"/>
        </w:r>
        <w:r w:rsidRPr="00F83BDA">
          <w:rPr>
            <w:webHidden/>
            <w:color w:val="auto"/>
          </w:rPr>
          <w:instrText xml:space="preserve"> PAGEREF _Toc489887901 \h </w:instrText>
        </w:r>
        <w:r w:rsidRPr="00F83BDA">
          <w:rPr>
            <w:webHidden/>
            <w:color w:val="auto"/>
          </w:rPr>
        </w:r>
        <w:r w:rsidRPr="00F83BDA">
          <w:rPr>
            <w:webHidden/>
            <w:color w:val="auto"/>
          </w:rPr>
          <w:fldChar w:fldCharType="separate"/>
        </w:r>
        <w:r w:rsidRPr="00F83BDA">
          <w:rPr>
            <w:webHidden/>
            <w:color w:val="auto"/>
          </w:rPr>
          <w:t>91</w:t>
        </w:r>
        <w:r w:rsidRPr="00F83BDA">
          <w:rPr>
            <w:webHidden/>
            <w:color w:val="auto"/>
          </w:rPr>
          <w:fldChar w:fldCharType="end"/>
        </w:r>
      </w:hyperlink>
    </w:p>
    <w:p w:rsidR="00F83BDA" w:rsidRPr="00F83BDA" w:rsidRDefault="00F83BDA">
      <w:pPr>
        <w:pStyle w:val="TOC1"/>
        <w:rPr>
          <w:rFonts w:asciiTheme="minorHAnsi" w:eastAsiaTheme="minorEastAsia" w:hAnsiTheme="minorHAnsi" w:cstheme="minorBidi"/>
          <w:color w:val="auto"/>
          <w:sz w:val="22"/>
          <w:szCs w:val="22"/>
          <w:lang w:eastAsia="en-US"/>
        </w:rPr>
      </w:pPr>
      <w:hyperlink w:anchor="_Toc489887902" w:history="1">
        <w:r w:rsidRPr="00F83BDA">
          <w:rPr>
            <w:rStyle w:val="Hyperlink"/>
            <w:color w:val="auto"/>
          </w:rPr>
          <w:t>V.</w:t>
        </w:r>
        <w:r w:rsidRPr="00F83BDA">
          <w:rPr>
            <w:rFonts w:asciiTheme="minorHAnsi" w:eastAsiaTheme="minorEastAsia" w:hAnsiTheme="minorHAnsi" w:cstheme="minorBidi"/>
            <w:color w:val="auto"/>
            <w:sz w:val="22"/>
            <w:szCs w:val="22"/>
            <w:lang w:eastAsia="en-US"/>
          </w:rPr>
          <w:tab/>
        </w:r>
        <w:r w:rsidRPr="00F83BDA">
          <w:rPr>
            <w:rStyle w:val="Hyperlink"/>
            <w:color w:val="auto"/>
          </w:rPr>
          <w:t>CONCLUSION</w:t>
        </w:r>
        <w:r w:rsidRPr="00F83BDA">
          <w:rPr>
            <w:webHidden/>
            <w:color w:val="auto"/>
          </w:rPr>
          <w:tab/>
        </w:r>
        <w:r w:rsidRPr="00F83BDA">
          <w:rPr>
            <w:webHidden/>
            <w:color w:val="auto"/>
          </w:rPr>
          <w:fldChar w:fldCharType="begin"/>
        </w:r>
        <w:r w:rsidRPr="00F83BDA">
          <w:rPr>
            <w:webHidden/>
            <w:color w:val="auto"/>
          </w:rPr>
          <w:instrText xml:space="preserve"> PAGEREF _Toc489887902 \h </w:instrText>
        </w:r>
        <w:r w:rsidRPr="00F83BDA">
          <w:rPr>
            <w:webHidden/>
            <w:color w:val="auto"/>
          </w:rPr>
        </w:r>
        <w:r w:rsidRPr="00F83BDA">
          <w:rPr>
            <w:webHidden/>
            <w:color w:val="auto"/>
          </w:rPr>
          <w:fldChar w:fldCharType="separate"/>
        </w:r>
        <w:r w:rsidRPr="00F83BDA">
          <w:rPr>
            <w:webHidden/>
            <w:color w:val="auto"/>
          </w:rPr>
          <w:t>95</w:t>
        </w:r>
        <w:r w:rsidRPr="00F83BDA">
          <w:rPr>
            <w:webHidden/>
            <w:color w:val="auto"/>
          </w:rPr>
          <w:fldChar w:fldCharType="end"/>
        </w:r>
      </w:hyperlink>
    </w:p>
    <w:p w:rsidR="00F83BDA" w:rsidRDefault="00F8418D" w:rsidP="00540A76">
      <w:pPr>
        <w:pStyle w:val="TOC1"/>
        <w:rPr>
          <w:bCs/>
          <w:color w:val="auto"/>
        </w:rPr>
      </w:pPr>
      <w:r w:rsidRPr="00F83BDA">
        <w:rPr>
          <w:bCs/>
          <w:color w:val="auto"/>
        </w:rPr>
        <w:fldChar w:fldCharType="end"/>
      </w:r>
    </w:p>
    <w:p w:rsidR="00F83BDA" w:rsidRDefault="00F83BDA">
      <w:pPr>
        <w:spacing w:line="240" w:lineRule="auto"/>
        <w:ind w:firstLine="0"/>
        <w:rPr>
          <w:rFonts w:eastAsia="SimSun"/>
          <w:bCs/>
          <w:noProof/>
          <w:szCs w:val="24"/>
        </w:rPr>
      </w:pPr>
      <w:r>
        <w:rPr>
          <w:bCs/>
        </w:rPr>
        <w:br w:type="page"/>
      </w:r>
    </w:p>
    <w:p w:rsidR="009D1F78" w:rsidRDefault="009D1F78" w:rsidP="00540A76">
      <w:pPr>
        <w:pStyle w:val="TOC1"/>
        <w:rPr>
          <w:b/>
          <w:bCs/>
          <w:color w:val="auto"/>
        </w:rPr>
      </w:pPr>
    </w:p>
    <w:p w:rsidR="00F83BDA" w:rsidRPr="00F83BDA" w:rsidRDefault="00F83BDA" w:rsidP="00F83BDA">
      <w:pPr>
        <w:keepLines/>
        <w:tabs>
          <w:tab w:val="left" w:leader="dot" w:pos="8640"/>
          <w:tab w:val="right" w:pos="9000"/>
        </w:tabs>
        <w:spacing w:before="240" w:after="360" w:line="240" w:lineRule="auto"/>
        <w:ind w:left="720" w:hanging="720"/>
        <w:jc w:val="center"/>
        <w:rPr>
          <w:rFonts w:eastAsia="SimSun"/>
          <w:b/>
          <w:bCs/>
          <w:noProof/>
          <w:szCs w:val="24"/>
        </w:rPr>
      </w:pPr>
      <w:r w:rsidRPr="00F83BDA">
        <w:rPr>
          <w:rFonts w:eastAsia="SimSun"/>
          <w:b/>
          <w:bCs/>
          <w:noProof/>
          <w:szCs w:val="24"/>
        </w:rPr>
        <w:t>LIST OF EXHIBITS</w:t>
      </w:r>
    </w:p>
    <w:p w:rsidR="00F83BDA" w:rsidRPr="00F83BDA" w:rsidRDefault="00F83BDA" w:rsidP="00F83BDA">
      <w:pPr>
        <w:keepLines/>
        <w:tabs>
          <w:tab w:val="left" w:leader="dot" w:pos="8640"/>
          <w:tab w:val="right" w:pos="9000"/>
        </w:tabs>
        <w:spacing w:before="240" w:line="240" w:lineRule="atLeast"/>
        <w:ind w:left="1440" w:hanging="1440"/>
        <w:rPr>
          <w:rFonts w:eastAsia="SimSun"/>
          <w:bCs/>
          <w:noProof/>
          <w:szCs w:val="24"/>
        </w:rPr>
      </w:pPr>
      <w:r>
        <w:rPr>
          <w:rFonts w:eastAsia="SimSun"/>
          <w:bCs/>
          <w:noProof/>
          <w:szCs w:val="24"/>
        </w:rPr>
        <w:t>Exh. RAM-13</w:t>
      </w:r>
      <w:r>
        <w:rPr>
          <w:rFonts w:eastAsia="SimSun"/>
          <w:bCs/>
          <w:noProof/>
          <w:szCs w:val="24"/>
        </w:rPr>
        <w:tab/>
        <w:t>Puget Sound Energy Response to Public Counsel Data Request No. 333</w:t>
      </w:r>
    </w:p>
    <w:p w:rsidR="00F83BDA" w:rsidRPr="00B1034A" w:rsidRDefault="00F83BDA" w:rsidP="00F83BDA">
      <w:pPr>
        <w:pStyle w:val="TOC1"/>
        <w:rPr>
          <w:b/>
          <w:bCs/>
          <w:color w:val="auto"/>
        </w:rPr>
        <w:sectPr w:rsidR="00F83BDA" w:rsidRPr="00B1034A">
          <w:headerReference w:type="default" r:id="rId11"/>
          <w:footerReference w:type="default" r:id="rId12"/>
          <w:pgSz w:w="12240" w:h="15840" w:code="1"/>
          <w:pgMar w:top="1440" w:right="1440" w:bottom="1440" w:left="2160" w:header="864" w:footer="576" w:gutter="0"/>
          <w:pgNumType w:fmt="lowerRoman" w:start="1"/>
          <w:cols w:space="720"/>
        </w:sectPr>
      </w:pPr>
    </w:p>
    <w:p w:rsidR="007852E7" w:rsidRPr="00255659" w:rsidRDefault="00F8418D" w:rsidP="00540A76">
      <w:pPr>
        <w:spacing w:after="480" w:line="240" w:lineRule="auto"/>
        <w:ind w:left="720" w:right="720" w:firstLine="0"/>
        <w:jc w:val="center"/>
        <w:rPr>
          <w:b/>
          <w:bCs/>
          <w:szCs w:val="24"/>
        </w:rPr>
      </w:pPr>
      <w:r w:rsidRPr="00255659">
        <w:rPr>
          <w:b/>
          <w:bCs/>
          <w:szCs w:val="24"/>
        </w:rPr>
        <w:lastRenderedPageBreak/>
        <w:t>PUGET SOUND ENERGY</w:t>
      </w:r>
      <w:bookmarkStart w:id="1" w:name="_Toc125167531"/>
      <w:bookmarkStart w:id="2" w:name="_Toc127023381"/>
    </w:p>
    <w:p w:rsidR="00A706E6" w:rsidRPr="00255659" w:rsidRDefault="00A706E6" w:rsidP="00540A76">
      <w:pPr>
        <w:spacing w:after="480" w:line="240" w:lineRule="auto"/>
        <w:ind w:left="720" w:right="720" w:firstLine="0"/>
        <w:jc w:val="center"/>
        <w:rPr>
          <w:b/>
        </w:rPr>
      </w:pPr>
      <w:r w:rsidRPr="00255659">
        <w:rPr>
          <w:b/>
        </w:rPr>
        <w:t>PREFILED REBUTTAL TESTIMONY</w:t>
      </w:r>
      <w:r w:rsidR="00F83BDA">
        <w:rPr>
          <w:b/>
        </w:rPr>
        <w:br/>
      </w:r>
      <w:r w:rsidRPr="00255659">
        <w:rPr>
          <w:b/>
        </w:rPr>
        <w:t>(NONCONFIDENTIAL) OF</w:t>
      </w:r>
      <w:r w:rsidR="007852E7" w:rsidRPr="00255659">
        <w:rPr>
          <w:b/>
        </w:rPr>
        <w:br/>
      </w:r>
      <w:r w:rsidR="005448D9" w:rsidRPr="00255659">
        <w:rPr>
          <w:b/>
        </w:rPr>
        <w:t>DR. ROGER A. MORIN</w:t>
      </w:r>
    </w:p>
    <w:p w:rsidR="00F8418D" w:rsidRPr="00255659" w:rsidRDefault="00F8418D" w:rsidP="00540A76">
      <w:pPr>
        <w:pStyle w:val="Heading1"/>
      </w:pPr>
      <w:bookmarkStart w:id="3" w:name="_Toc489887856"/>
      <w:r w:rsidRPr="00255659">
        <w:t>I.</w:t>
      </w:r>
      <w:r w:rsidRPr="00255659">
        <w:tab/>
        <w:t>INTRODUCTION</w:t>
      </w:r>
      <w:bookmarkEnd w:id="1"/>
      <w:bookmarkEnd w:id="2"/>
      <w:bookmarkEnd w:id="3"/>
    </w:p>
    <w:p w:rsidR="00F8418D" w:rsidRPr="00255659" w:rsidRDefault="00F8418D" w:rsidP="00540A76">
      <w:pPr>
        <w:pStyle w:val="question"/>
      </w:pPr>
      <w:r w:rsidRPr="00255659">
        <w:t>Q.</w:t>
      </w:r>
      <w:r w:rsidRPr="00255659">
        <w:tab/>
      </w:r>
      <w:r w:rsidR="00F5016E" w:rsidRPr="00255659">
        <w:t xml:space="preserve">Are you the same </w:t>
      </w:r>
      <w:r w:rsidR="005448D9" w:rsidRPr="00255659">
        <w:t>Dr.</w:t>
      </w:r>
      <w:r w:rsidR="006B5168">
        <w:t> </w:t>
      </w:r>
      <w:r w:rsidR="005448D9" w:rsidRPr="00255659">
        <w:t xml:space="preserve">Roger A. Morin </w:t>
      </w:r>
      <w:r w:rsidR="00F5016E" w:rsidRPr="00255659">
        <w:t>who submitted prefiled direct testimony on January</w:t>
      </w:r>
      <w:r w:rsidR="003C6E2B">
        <w:t> </w:t>
      </w:r>
      <w:r w:rsidR="00F5016E" w:rsidRPr="00255659">
        <w:t>13, 2017</w:t>
      </w:r>
      <w:r w:rsidR="00632256" w:rsidRPr="00255659">
        <w:t>,</w:t>
      </w:r>
      <w:r w:rsidR="001F313C" w:rsidRPr="00255659">
        <w:t xml:space="preserve"> </w:t>
      </w:r>
      <w:r w:rsidR="00F5016E" w:rsidRPr="00255659">
        <w:t>on behalf of Puget Sound Energy in this proceeding?</w:t>
      </w:r>
    </w:p>
    <w:p w:rsidR="003C6E2B" w:rsidRPr="003C6E2B" w:rsidRDefault="003C6E2B" w:rsidP="00540A76">
      <w:pPr>
        <w:pStyle w:val="answer"/>
        <w:rPr>
          <w:rFonts w:eastAsia="SimSun"/>
        </w:rPr>
      </w:pPr>
      <w:r>
        <w:t>A.</w:t>
      </w:r>
      <w:r>
        <w:tab/>
        <w:t xml:space="preserve">Yes. I filed prefiled direct testimony, Exh. RAM-1T, and supporting exhibits, Exh. RAM-2 through Exh. RAM-15, on </w:t>
      </w:r>
      <w:r w:rsidRPr="00255659">
        <w:t>January</w:t>
      </w:r>
      <w:r>
        <w:t> </w:t>
      </w:r>
      <w:r w:rsidRPr="00255659">
        <w:t>13, 2017</w:t>
      </w:r>
      <w:r>
        <w:t>.</w:t>
      </w:r>
    </w:p>
    <w:p w:rsidR="00F8418D" w:rsidRPr="00255659" w:rsidRDefault="00F8418D" w:rsidP="00540A76">
      <w:pPr>
        <w:pStyle w:val="question"/>
      </w:pPr>
      <w:r w:rsidRPr="00255659">
        <w:t>Q.</w:t>
      </w:r>
      <w:r w:rsidRPr="00255659">
        <w:tab/>
        <w:t xml:space="preserve">What is the purpose of your </w:t>
      </w:r>
      <w:r w:rsidR="00632256" w:rsidRPr="00255659">
        <w:t>rebuttal</w:t>
      </w:r>
      <w:r w:rsidR="00F5016E" w:rsidRPr="00255659">
        <w:t xml:space="preserve"> </w:t>
      </w:r>
      <w:r w:rsidRPr="00255659">
        <w:t>testimony?</w:t>
      </w:r>
    </w:p>
    <w:p w:rsidR="003C6E2B" w:rsidRPr="003C6E2B" w:rsidRDefault="003C6E2B" w:rsidP="00540A76">
      <w:pPr>
        <w:pStyle w:val="answer"/>
        <w:rPr>
          <w:rFonts w:eastAsia="SimSun"/>
        </w:rPr>
      </w:pPr>
      <w:r>
        <w:t>A.</w:t>
      </w:r>
      <w:r>
        <w:tab/>
        <w:t xml:space="preserve">I have been asked by </w:t>
      </w:r>
      <w:r w:rsidRPr="00255659">
        <w:t>Puget Sound Energy (</w:t>
      </w:r>
      <w:r>
        <w:t>“</w:t>
      </w:r>
      <w:r w:rsidRPr="00255659">
        <w:t>PSE</w:t>
      </w:r>
      <w:r>
        <w:t>”</w:t>
      </w:r>
      <w:r w:rsidRPr="00255659">
        <w:t xml:space="preserve">) </w:t>
      </w:r>
      <w:r>
        <w:t>to respond to each of the following cost of capital testimonies:</w:t>
      </w:r>
    </w:p>
    <w:p w:rsidR="003C6E2B" w:rsidRDefault="003C6E2B" w:rsidP="00540A76">
      <w:pPr>
        <w:pStyle w:val="answer"/>
        <w:spacing w:before="0" w:after="280" w:line="240" w:lineRule="auto"/>
        <w:ind w:left="2160" w:right="720"/>
      </w:pPr>
      <w:r>
        <w:t>(i)</w:t>
      </w:r>
      <w:r>
        <w:tab/>
        <w:t>the Prefiled Direct Testimony of Dr. J. Randall Wooldridge, Exh. JRW-1T, on behalf of the Public Counsel Section of the Washington Attorney General’s Office (“Public Counsel”),</w:t>
      </w:r>
    </w:p>
    <w:p w:rsidR="003C6E2B" w:rsidRDefault="003C6E2B" w:rsidP="00540A76">
      <w:pPr>
        <w:pStyle w:val="answer"/>
        <w:spacing w:before="0" w:after="280" w:line="240" w:lineRule="auto"/>
        <w:ind w:left="2160" w:right="720"/>
      </w:pPr>
      <w:r>
        <w:t>(ii)</w:t>
      </w:r>
      <w:r>
        <w:tab/>
        <w:t>the Prefiled Testimony of David C. Parcell, Exh. DCP-1T, on behalf of the Staff of Washington Utilities and Transportation Commission (“Commission Staff”); and</w:t>
      </w:r>
    </w:p>
    <w:p w:rsidR="003C6E2B" w:rsidRDefault="003C6E2B" w:rsidP="00540A76">
      <w:pPr>
        <w:pStyle w:val="answer"/>
        <w:spacing w:before="0" w:after="280" w:line="240" w:lineRule="auto"/>
        <w:ind w:left="2160" w:right="720"/>
      </w:pPr>
      <w:r>
        <w:t>(iii)</w:t>
      </w:r>
      <w:r>
        <w:tab/>
        <w:t>the Prefiled Response Testimony of Mr. Michael P. Gorman, Exh. MPG-1T, on behalf of the Industrial Customers of Northwest Utilities (“ICNU”).</w:t>
      </w:r>
    </w:p>
    <w:p w:rsidR="00DC3098" w:rsidRDefault="00DC3098" w:rsidP="00DC3098">
      <w:pPr>
        <w:pStyle w:val="question"/>
      </w:pPr>
      <w:r>
        <w:lastRenderedPageBreak/>
        <w:t>Q.</w:t>
      </w:r>
      <w:r>
        <w:tab/>
        <w:t>What return on common equity are these witnesses recommending for PSE?</w:t>
      </w:r>
    </w:p>
    <w:p w:rsidR="00DC3098" w:rsidRPr="00DC3098" w:rsidRDefault="00DC3098" w:rsidP="00DC3098">
      <w:pPr>
        <w:pStyle w:val="answer"/>
        <w:keepNext/>
        <w:keepLines/>
        <w:rPr>
          <w:rFonts w:eastAsia="SimSun"/>
        </w:rPr>
      </w:pPr>
      <w:r>
        <w:t>A.</w:t>
      </w:r>
      <w:r>
        <w:tab/>
        <w:t>The return on common equity recommendations for PSE from two of the three witnesses are as follows:</w:t>
      </w:r>
    </w:p>
    <w:p w:rsidR="00DC3098" w:rsidRDefault="00DC3098" w:rsidP="00DC3098">
      <w:pPr>
        <w:pStyle w:val="answer"/>
        <w:spacing w:after="280" w:line="240" w:lineRule="auto"/>
        <w:ind w:left="3600" w:right="720" w:hanging="2160"/>
      </w:pPr>
      <w:r>
        <w:t>Mr. Parcell</w:t>
      </w:r>
      <w:r>
        <w:tab/>
        <w:t>8.85 percent to 9.50 percent</w:t>
      </w:r>
    </w:p>
    <w:p w:rsidR="00DC3098" w:rsidRDefault="00DC3098" w:rsidP="00DC3098">
      <w:pPr>
        <w:pStyle w:val="answer"/>
        <w:spacing w:after="360" w:line="240" w:lineRule="auto"/>
        <w:ind w:left="3600" w:right="720" w:hanging="2160"/>
      </w:pPr>
      <w:r>
        <w:t>Dr. Woolridge</w:t>
      </w:r>
      <w:r>
        <w:tab/>
        <w:t>7.70</w:t>
      </w:r>
      <w:r w:rsidRPr="00DC3098">
        <w:t xml:space="preserve"> </w:t>
      </w:r>
      <w:r>
        <w:t> percent to 8.90 percent</w:t>
      </w:r>
    </w:p>
    <w:p w:rsidR="00B552CE" w:rsidRDefault="00DC3098" w:rsidP="00B552CE">
      <w:pPr>
        <w:pStyle w:val="answer"/>
        <w:ind w:firstLine="0"/>
      </w:pPr>
      <w:r>
        <w:t xml:space="preserve">Mr. Parcell’s upper range (9.5 percent) is within reasonable striking distance of </w:t>
      </w:r>
      <w:r w:rsidR="00B552CE" w:rsidRPr="00255659">
        <w:rPr>
          <w:rFonts w:eastAsia="SimSun"/>
        </w:rPr>
        <w:t xml:space="preserve">my own </w:t>
      </w:r>
      <w:r w:rsidR="00B552CE">
        <w:rPr>
          <w:rFonts w:eastAsia="SimSun"/>
        </w:rPr>
        <w:t xml:space="preserve">return on equity </w:t>
      </w:r>
      <w:r w:rsidR="00B552CE" w:rsidRPr="00255659">
        <w:rPr>
          <w:rFonts w:eastAsia="SimSun"/>
        </w:rPr>
        <w:t xml:space="preserve">recommendation </w:t>
      </w:r>
      <w:r>
        <w:t>(9.8 percent)</w:t>
      </w:r>
      <w:r w:rsidR="00B552CE" w:rsidRPr="00B552CE">
        <w:t xml:space="preserve"> </w:t>
      </w:r>
      <w:r w:rsidR="00B552CE">
        <w:t>adopted by PSE in this proceeding</w:t>
      </w:r>
      <w:r>
        <w:t>.</w:t>
      </w:r>
      <w:r w:rsidR="00B552CE" w:rsidRPr="00B552CE">
        <w:t xml:space="preserve"> </w:t>
      </w:r>
      <w:r w:rsidR="00B552CE">
        <w:t xml:space="preserve">This rebuttal testimony addresses infirmities in Mr. Parcell’s results that, when corrected, would increase his range of reasonableness to </w:t>
      </w:r>
      <w:r w:rsidR="00B552CE">
        <w:rPr>
          <w:rFonts w:eastAsia="SimSun"/>
        </w:rPr>
        <w:t xml:space="preserve">between </w:t>
      </w:r>
      <w:r w:rsidR="00B552CE" w:rsidRPr="00255659">
        <w:rPr>
          <w:rFonts w:eastAsia="SimSun"/>
        </w:rPr>
        <w:t>9.0</w:t>
      </w:r>
      <w:r w:rsidR="00B552CE">
        <w:rPr>
          <w:rFonts w:eastAsia="SimSun"/>
        </w:rPr>
        <w:t xml:space="preserve"> and </w:t>
      </w:r>
      <w:r w:rsidR="00B552CE" w:rsidRPr="00255659">
        <w:rPr>
          <w:rFonts w:eastAsia="SimSun"/>
        </w:rPr>
        <w:t>10.0</w:t>
      </w:r>
      <w:r w:rsidR="00B552CE">
        <w:rPr>
          <w:rFonts w:eastAsia="SimSun"/>
        </w:rPr>
        <w:t xml:space="preserve"> percent, </w:t>
      </w:r>
      <w:r w:rsidR="00B552CE" w:rsidRPr="00255659">
        <w:rPr>
          <w:rFonts w:eastAsia="SimSun"/>
        </w:rPr>
        <w:t xml:space="preserve">which encompasses my own </w:t>
      </w:r>
      <w:r w:rsidR="00B552CE">
        <w:rPr>
          <w:rFonts w:eastAsia="SimSun"/>
        </w:rPr>
        <w:t xml:space="preserve">return on equity </w:t>
      </w:r>
      <w:r w:rsidR="00B552CE" w:rsidRPr="00255659">
        <w:rPr>
          <w:rFonts w:eastAsia="SimSun"/>
        </w:rPr>
        <w:t>recommendation of 9.8</w:t>
      </w:r>
      <w:r w:rsidR="00B552CE">
        <w:rPr>
          <w:rFonts w:eastAsia="SimSun"/>
        </w:rPr>
        <w:t> percent</w:t>
      </w:r>
      <w:r w:rsidR="00B552CE" w:rsidRPr="00255659">
        <w:rPr>
          <w:rFonts w:eastAsia="SimSun"/>
        </w:rPr>
        <w:t>.</w:t>
      </w:r>
    </w:p>
    <w:p w:rsidR="00307CD6" w:rsidRDefault="00DC3098" w:rsidP="00B552CE">
      <w:pPr>
        <w:pStyle w:val="answer"/>
        <w:ind w:firstLine="0"/>
      </w:pPr>
      <w:r>
        <w:t>Dr. Woolridge’s return on equity recommendation (8.85 percent), however, is more extreme and outside reasonable limits of probability. Therefore, the majority of this rebuttal testimony addresses Dr. Woolridge’s testimony</w:t>
      </w:r>
      <w:r w:rsidR="00B552CE">
        <w:t xml:space="preserve"> and methodologies.</w:t>
      </w:r>
    </w:p>
    <w:p w:rsidR="00307CD6" w:rsidRDefault="00B552CE" w:rsidP="00B552CE">
      <w:pPr>
        <w:pStyle w:val="answer"/>
        <w:ind w:firstLine="0"/>
      </w:pPr>
      <w:r>
        <w:t>Mr. </w:t>
      </w:r>
      <w:r w:rsidR="00DC3098">
        <w:t>Gorman did not offer an</w:t>
      </w:r>
      <w:r>
        <w:t xml:space="preserve"> independent return on equity recommendation for PSE </w:t>
      </w:r>
      <w:r w:rsidR="00DC3098">
        <w:t xml:space="preserve">and </w:t>
      </w:r>
      <w:r>
        <w:t xml:space="preserve">instead </w:t>
      </w:r>
      <w:r w:rsidR="00DC3098">
        <w:t xml:space="preserve">opted to limit his testimony to criticizing my </w:t>
      </w:r>
      <w:r>
        <w:t>direct testimony</w:t>
      </w:r>
      <w:r w:rsidR="00307CD6">
        <w:t xml:space="preserve">. This </w:t>
      </w:r>
      <w:r>
        <w:t xml:space="preserve">rebuttal testimony responds accordingly to demonstrate that his criticisms </w:t>
      </w:r>
      <w:r w:rsidR="00307CD6">
        <w:t xml:space="preserve">are lacking in merit and should be disregarded by the </w:t>
      </w:r>
      <w:r w:rsidR="00516646">
        <w:t xml:space="preserve">Washington Utilities and Transportation </w:t>
      </w:r>
      <w:r w:rsidR="00307CD6">
        <w:t>Commission</w:t>
      </w:r>
      <w:r w:rsidR="00516646">
        <w:t xml:space="preserve"> (the “Commission”)</w:t>
      </w:r>
      <w:r w:rsidR="00307CD6">
        <w:t>.</w:t>
      </w:r>
    </w:p>
    <w:p w:rsidR="00DC3098" w:rsidRPr="00307CD6" w:rsidRDefault="00307CD6" w:rsidP="00B552CE">
      <w:pPr>
        <w:pStyle w:val="answer"/>
        <w:ind w:firstLine="0"/>
      </w:pPr>
      <w:r w:rsidRPr="00307CD6">
        <w:t xml:space="preserve">Finally, Mr. Gorman’s testimony argues for a downward </w:t>
      </w:r>
      <w:r w:rsidRPr="00307CD6">
        <w:rPr>
          <w:snapToGrid w:val="0"/>
          <w:lang w:eastAsia="en-US"/>
        </w:rPr>
        <w:t xml:space="preserve">adjustment to PSE’s return on equity in the event that the revenue decoupling mechanism continues. </w:t>
      </w:r>
      <w:r w:rsidRPr="00307CD6">
        <w:rPr>
          <w:snapToGrid w:val="0"/>
          <w:lang w:eastAsia="en-US"/>
        </w:rPr>
        <w:lastRenderedPageBreak/>
        <w:t xml:space="preserve">This testimony contradicts Mr. Gorman’s prior testimony in PSE’s decoupling remand proceeding before this Commission that </w:t>
      </w:r>
      <w:r w:rsidRPr="00307CD6">
        <w:rPr>
          <w:lang w:eastAsia="en-US"/>
        </w:rPr>
        <w:t>the risk reducing effect of decoupling is reflected adequately in the data derived from the companies in their respective proxy groups</w:t>
      </w:r>
      <w:r>
        <w:rPr>
          <w:lang w:eastAsia="en-US"/>
        </w:rPr>
        <w:t xml:space="preserve">. </w:t>
      </w:r>
      <w:r>
        <w:rPr>
          <w:snapToGrid w:val="0"/>
          <w:lang w:eastAsia="en-US"/>
        </w:rPr>
        <w:t>The Commission should, once again, expressly reject any recommendation for a downward adjustment to return on equity due to the existence of a revenue decoupling mechanism.</w:t>
      </w:r>
    </w:p>
    <w:p w:rsidR="00AA31D3" w:rsidRPr="00255659" w:rsidRDefault="00AA31D3" w:rsidP="00540A76">
      <w:pPr>
        <w:pStyle w:val="Heading1"/>
      </w:pPr>
      <w:bookmarkStart w:id="4" w:name="_Toc489887857"/>
      <w:r w:rsidRPr="00255659">
        <w:rPr>
          <w:szCs w:val="24"/>
          <w:lang w:eastAsia="en-US"/>
        </w:rPr>
        <w:t>II.</w:t>
      </w:r>
      <w:r w:rsidRPr="00255659">
        <w:rPr>
          <w:szCs w:val="24"/>
          <w:lang w:eastAsia="en-US"/>
        </w:rPr>
        <w:tab/>
        <w:t>REBUTTAL OF DR. WOOLRIDGE</w:t>
      </w:r>
      <w:bookmarkEnd w:id="4"/>
    </w:p>
    <w:p w:rsidR="00AA31D3" w:rsidRPr="00255659" w:rsidRDefault="00AA31D3" w:rsidP="00540A76">
      <w:pPr>
        <w:pStyle w:val="question"/>
      </w:pPr>
      <w:r w:rsidRPr="00255659">
        <w:rPr>
          <w:lang w:eastAsia="en-US"/>
        </w:rPr>
        <w:t>Q.</w:t>
      </w:r>
      <w:r w:rsidRPr="00255659">
        <w:rPr>
          <w:lang w:eastAsia="en-US"/>
        </w:rPr>
        <w:tab/>
      </w:r>
      <w:r w:rsidR="0032154D" w:rsidRPr="00255659">
        <w:rPr>
          <w:lang w:eastAsia="en-US"/>
        </w:rPr>
        <w:t xml:space="preserve">Please summarize </w:t>
      </w:r>
      <w:r w:rsidR="0032154D">
        <w:rPr>
          <w:lang w:eastAsia="en-US"/>
        </w:rPr>
        <w:t>D</w:t>
      </w:r>
      <w:r w:rsidR="0032154D" w:rsidRPr="00255659">
        <w:rPr>
          <w:lang w:eastAsia="en-US"/>
        </w:rPr>
        <w:t>r.</w:t>
      </w:r>
      <w:r w:rsidR="0032154D">
        <w:rPr>
          <w:lang w:eastAsia="en-US"/>
        </w:rPr>
        <w:t> </w:t>
      </w:r>
      <w:r w:rsidR="0032154D" w:rsidRPr="00255659">
        <w:rPr>
          <w:lang w:eastAsia="en-US"/>
        </w:rPr>
        <w:t>Woolridge</w:t>
      </w:r>
      <w:r w:rsidR="0032154D">
        <w:rPr>
          <w:lang w:eastAsia="en-US"/>
        </w:rPr>
        <w:t>’</w:t>
      </w:r>
      <w:r w:rsidR="0032154D" w:rsidRPr="00255659">
        <w:rPr>
          <w:lang w:eastAsia="en-US"/>
        </w:rPr>
        <w:t xml:space="preserve">s </w:t>
      </w:r>
      <w:r w:rsidR="0032154D">
        <w:rPr>
          <w:lang w:eastAsia="en-US"/>
        </w:rPr>
        <w:t xml:space="preserve">return on equity </w:t>
      </w:r>
      <w:r w:rsidR="0032154D" w:rsidRPr="00255659">
        <w:rPr>
          <w:lang w:eastAsia="en-US"/>
        </w:rPr>
        <w:t>recommendation</w:t>
      </w:r>
      <w:r w:rsidRPr="00255659">
        <w:rPr>
          <w:lang w:eastAsia="en-US"/>
        </w:rPr>
        <w:t>.</w:t>
      </w:r>
    </w:p>
    <w:p w:rsidR="0032154D" w:rsidRDefault="00AA31D3" w:rsidP="00B552CE">
      <w:pPr>
        <w:pStyle w:val="answer"/>
        <w:rPr>
          <w:lang w:eastAsia="en-US"/>
        </w:rPr>
      </w:pPr>
      <w:r w:rsidRPr="00255659">
        <w:rPr>
          <w:lang w:eastAsia="en-US"/>
        </w:rPr>
        <w:t>A.</w:t>
      </w:r>
      <w:r w:rsidRPr="00255659">
        <w:rPr>
          <w:lang w:eastAsia="en-US"/>
        </w:rPr>
        <w:tab/>
        <w:t>Dr.</w:t>
      </w:r>
      <w:r w:rsidR="006B5168">
        <w:rPr>
          <w:lang w:eastAsia="en-US"/>
        </w:rPr>
        <w:t> </w:t>
      </w:r>
      <w:r w:rsidRPr="00255659">
        <w:rPr>
          <w:lang w:eastAsia="en-US"/>
        </w:rPr>
        <w:t xml:space="preserve">Woolridge recommends a </w:t>
      </w:r>
      <w:r w:rsidR="0032154D">
        <w:rPr>
          <w:lang w:eastAsia="en-US"/>
        </w:rPr>
        <w:t xml:space="preserve">return on equity for PSE </w:t>
      </w:r>
      <w:r w:rsidRPr="00255659">
        <w:rPr>
          <w:lang w:eastAsia="en-US"/>
        </w:rPr>
        <w:t>of only 8.85</w:t>
      </w:r>
      <w:r w:rsidR="0032154D">
        <w:rPr>
          <w:lang w:eastAsia="en-US"/>
        </w:rPr>
        <w:t> percent.</w:t>
      </w:r>
    </w:p>
    <w:p w:rsidR="0032154D" w:rsidRDefault="00AA31D3" w:rsidP="00540A76">
      <w:pPr>
        <w:pStyle w:val="answer"/>
        <w:ind w:firstLine="0"/>
        <w:rPr>
          <w:lang w:eastAsia="en-US"/>
        </w:rPr>
      </w:pPr>
      <w:r w:rsidRPr="00255659">
        <w:rPr>
          <w:lang w:eastAsia="en-US"/>
        </w:rPr>
        <w:t xml:space="preserve">In determining the cost of equity, </w:t>
      </w:r>
      <w:r w:rsidR="006B5168" w:rsidRPr="00255659">
        <w:rPr>
          <w:lang w:eastAsia="en-US"/>
        </w:rPr>
        <w:t>Dr.</w:t>
      </w:r>
      <w:r w:rsidR="006B5168">
        <w:rPr>
          <w:lang w:eastAsia="en-US"/>
        </w:rPr>
        <w:t> </w:t>
      </w:r>
      <w:r w:rsidRPr="00255659">
        <w:rPr>
          <w:lang w:eastAsia="en-US"/>
        </w:rPr>
        <w:t>Woolridge applies a Discounted Cash Flow (</w:t>
      </w:r>
      <w:r w:rsidR="00255659">
        <w:rPr>
          <w:lang w:eastAsia="en-US"/>
        </w:rPr>
        <w:t>“</w:t>
      </w:r>
      <w:r w:rsidRPr="00255659">
        <w:rPr>
          <w:lang w:eastAsia="en-US"/>
        </w:rPr>
        <w:t>DCF</w:t>
      </w:r>
      <w:r w:rsidR="00255659">
        <w:rPr>
          <w:lang w:eastAsia="en-US"/>
        </w:rPr>
        <w:t>”</w:t>
      </w:r>
      <w:r w:rsidRPr="00255659">
        <w:rPr>
          <w:lang w:eastAsia="en-US"/>
        </w:rPr>
        <w:t xml:space="preserve">) analysis to three proxy groups of utilities: </w:t>
      </w:r>
      <w:r w:rsidR="0032154D">
        <w:rPr>
          <w:lang w:eastAsia="en-US"/>
        </w:rPr>
        <w:t>(i) </w:t>
      </w:r>
      <w:r w:rsidRPr="00255659">
        <w:rPr>
          <w:lang w:eastAsia="en-US"/>
        </w:rPr>
        <w:t xml:space="preserve">a group of electric utilities, </w:t>
      </w:r>
      <w:r w:rsidR="0032154D">
        <w:rPr>
          <w:lang w:eastAsia="en-US"/>
        </w:rPr>
        <w:t>(ii) </w:t>
      </w:r>
      <w:r w:rsidR="006B5168" w:rsidRPr="00255659">
        <w:rPr>
          <w:lang w:eastAsia="en-US"/>
        </w:rPr>
        <w:t>Dr.</w:t>
      </w:r>
      <w:r w:rsidR="006B5168">
        <w:rPr>
          <w:lang w:eastAsia="en-US"/>
        </w:rPr>
        <w:t> </w:t>
      </w:r>
      <w:r w:rsidRPr="00255659">
        <w:rPr>
          <w:lang w:eastAsia="en-US"/>
        </w:rPr>
        <w:t>Morin</w:t>
      </w:r>
      <w:r w:rsidR="00255659">
        <w:rPr>
          <w:lang w:eastAsia="en-US"/>
        </w:rPr>
        <w:t>’</w:t>
      </w:r>
      <w:r w:rsidRPr="00255659">
        <w:rPr>
          <w:lang w:eastAsia="en-US"/>
        </w:rPr>
        <w:t xml:space="preserve">s group of electric utilities, and </w:t>
      </w:r>
      <w:r w:rsidR="0032154D">
        <w:rPr>
          <w:lang w:eastAsia="en-US"/>
        </w:rPr>
        <w:t>(iii) </w:t>
      </w:r>
      <w:r w:rsidRPr="00255659">
        <w:rPr>
          <w:lang w:eastAsia="en-US"/>
        </w:rPr>
        <w:t xml:space="preserve">a small group of </w:t>
      </w:r>
      <w:r w:rsidR="002A71E3">
        <w:rPr>
          <w:lang w:eastAsia="en-US"/>
        </w:rPr>
        <w:t>eight</w:t>
      </w:r>
      <w:r w:rsidRPr="00255659">
        <w:rPr>
          <w:lang w:eastAsia="en-US"/>
        </w:rPr>
        <w:t xml:space="preserve"> natural gas utilities.</w:t>
      </w:r>
      <w:r w:rsidR="00255659">
        <w:rPr>
          <w:lang w:eastAsia="en-US"/>
        </w:rPr>
        <w:t xml:space="preserve"> </w:t>
      </w:r>
      <w:r w:rsidR="0032154D" w:rsidRPr="00255659">
        <w:rPr>
          <w:lang w:eastAsia="en-US"/>
        </w:rPr>
        <w:t>Dr.</w:t>
      </w:r>
      <w:r w:rsidR="0032154D">
        <w:rPr>
          <w:lang w:eastAsia="en-US"/>
        </w:rPr>
        <w:t> Woolridge’s DCF analyses produce</w:t>
      </w:r>
      <w:r w:rsidRPr="00255659">
        <w:rPr>
          <w:lang w:eastAsia="en-US"/>
        </w:rPr>
        <w:t xml:space="preserve"> result</w:t>
      </w:r>
      <w:r w:rsidR="0032154D">
        <w:rPr>
          <w:lang w:eastAsia="en-US"/>
        </w:rPr>
        <w:t>s</w:t>
      </w:r>
      <w:r w:rsidRPr="00255659">
        <w:rPr>
          <w:lang w:eastAsia="en-US"/>
        </w:rPr>
        <w:t xml:space="preserve"> of 8.65</w:t>
      </w:r>
      <w:r w:rsidR="0032154D">
        <w:rPr>
          <w:lang w:eastAsia="en-US"/>
        </w:rPr>
        <w:t> percent</w:t>
      </w:r>
      <w:r w:rsidRPr="00255659">
        <w:rPr>
          <w:lang w:eastAsia="en-US"/>
        </w:rPr>
        <w:t>, 8.85</w:t>
      </w:r>
      <w:r w:rsidR="0032154D">
        <w:rPr>
          <w:lang w:eastAsia="en-US"/>
        </w:rPr>
        <w:t> percent</w:t>
      </w:r>
      <w:r w:rsidRPr="00255659">
        <w:rPr>
          <w:lang w:eastAsia="en-US"/>
        </w:rPr>
        <w:t>, and 8.90</w:t>
      </w:r>
      <w:r w:rsidR="0032154D">
        <w:rPr>
          <w:lang w:eastAsia="en-US"/>
        </w:rPr>
        <w:t> percent, respectively,</w:t>
      </w:r>
      <w:r w:rsidRPr="00255659">
        <w:rPr>
          <w:lang w:eastAsia="en-US"/>
        </w:rPr>
        <w:t xml:space="preserve"> for the three groups.</w:t>
      </w:r>
      <w:r w:rsidR="0032154D">
        <w:rPr>
          <w:rStyle w:val="FootnoteReference"/>
          <w:lang w:eastAsia="en-US"/>
        </w:rPr>
        <w:footnoteReference w:id="2"/>
      </w:r>
    </w:p>
    <w:p w:rsidR="00AA31D3" w:rsidRPr="00255659" w:rsidRDefault="006B5168" w:rsidP="00540A76">
      <w:pPr>
        <w:pStyle w:val="answer"/>
        <w:ind w:firstLine="0"/>
        <w:rPr>
          <w:lang w:eastAsia="en-US"/>
        </w:rPr>
      </w:pPr>
      <w:r w:rsidRPr="00255659">
        <w:rPr>
          <w:lang w:eastAsia="en-US"/>
        </w:rPr>
        <w:t>Dr.</w:t>
      </w:r>
      <w:r>
        <w:rPr>
          <w:lang w:eastAsia="en-US"/>
        </w:rPr>
        <w:t> </w:t>
      </w:r>
      <w:r w:rsidR="00AA31D3" w:rsidRPr="00255659">
        <w:rPr>
          <w:lang w:eastAsia="en-US"/>
        </w:rPr>
        <w:t>Woolridge also performs a Capital Asset Pricing Model (</w:t>
      </w:r>
      <w:r w:rsidR="00255659">
        <w:rPr>
          <w:lang w:eastAsia="en-US"/>
        </w:rPr>
        <w:t>“</w:t>
      </w:r>
      <w:r w:rsidR="00AA31D3" w:rsidRPr="00255659">
        <w:rPr>
          <w:lang w:eastAsia="en-US"/>
        </w:rPr>
        <w:t>CAPM</w:t>
      </w:r>
      <w:r w:rsidR="00255659">
        <w:rPr>
          <w:lang w:eastAsia="en-US"/>
        </w:rPr>
        <w:t>”</w:t>
      </w:r>
      <w:r w:rsidR="00AA31D3" w:rsidRPr="00255659">
        <w:rPr>
          <w:lang w:eastAsia="en-US"/>
        </w:rPr>
        <w:t>) analysis, although he does not rely on the results of this analysis in spite of devoting several pages of his testimony to the CAPM and its proper inputs.</w:t>
      </w:r>
      <w:r w:rsidR="00255659">
        <w:rPr>
          <w:lang w:eastAsia="en-US"/>
        </w:rPr>
        <w:t xml:space="preserve"> </w:t>
      </w:r>
      <w:r w:rsidR="00AA31D3" w:rsidRPr="00255659">
        <w:rPr>
          <w:lang w:eastAsia="en-US"/>
        </w:rPr>
        <w:t>The CAPM analysis, summarized on Table</w:t>
      </w:r>
      <w:r w:rsidR="007603AD">
        <w:rPr>
          <w:lang w:eastAsia="en-US"/>
        </w:rPr>
        <w:t> </w:t>
      </w:r>
      <w:r w:rsidR="00AA31D3" w:rsidRPr="00255659">
        <w:rPr>
          <w:lang w:eastAsia="en-US"/>
        </w:rPr>
        <w:t xml:space="preserve">3 </w:t>
      </w:r>
      <w:r w:rsidR="007603AD">
        <w:rPr>
          <w:lang w:eastAsia="en-US"/>
        </w:rPr>
        <w:t>of p</w:t>
      </w:r>
      <w:r w:rsidR="00AA31D3" w:rsidRPr="00255659">
        <w:rPr>
          <w:lang w:eastAsia="en-US"/>
        </w:rPr>
        <w:t>age</w:t>
      </w:r>
      <w:r w:rsidR="007603AD">
        <w:rPr>
          <w:lang w:eastAsia="en-US"/>
        </w:rPr>
        <w:t> </w:t>
      </w:r>
      <w:r w:rsidR="00AA31D3" w:rsidRPr="00255659">
        <w:rPr>
          <w:lang w:eastAsia="en-US"/>
        </w:rPr>
        <w:t>53 of his testimony, produces a result of 7.70</w:t>
      </w:r>
      <w:r w:rsidR="00DD2B52">
        <w:rPr>
          <w:lang w:eastAsia="en-US"/>
        </w:rPr>
        <w:t> percent</w:t>
      </w:r>
      <w:r w:rsidR="00AA31D3" w:rsidRPr="00255659">
        <w:rPr>
          <w:lang w:eastAsia="en-US"/>
        </w:rPr>
        <w:t>, 7.70</w:t>
      </w:r>
      <w:r w:rsidR="00DD2B52">
        <w:rPr>
          <w:lang w:eastAsia="en-US"/>
        </w:rPr>
        <w:t> percent</w:t>
      </w:r>
      <w:r w:rsidR="00AA31D3" w:rsidRPr="00255659">
        <w:rPr>
          <w:lang w:eastAsia="en-US"/>
        </w:rPr>
        <w:t>, and 7.90</w:t>
      </w:r>
      <w:r w:rsidR="00DD2B52">
        <w:rPr>
          <w:lang w:eastAsia="en-US"/>
        </w:rPr>
        <w:t> percent</w:t>
      </w:r>
      <w:r w:rsidR="00AA31D3" w:rsidRPr="00255659">
        <w:rPr>
          <w:lang w:eastAsia="en-US"/>
        </w:rPr>
        <w:t xml:space="preserve"> for the three peer groups, </w:t>
      </w:r>
      <w:r w:rsidR="00AA31D3" w:rsidRPr="00255659">
        <w:rPr>
          <w:lang w:eastAsia="en-US"/>
        </w:rPr>
        <w:lastRenderedPageBreak/>
        <w:t>respectively.</w:t>
      </w:r>
      <w:r w:rsidR="00255659">
        <w:rPr>
          <w:lang w:eastAsia="en-US"/>
        </w:rPr>
        <w:t xml:space="preserve"> </w:t>
      </w:r>
      <w:r w:rsidR="00AA31D3" w:rsidRPr="00255659">
        <w:rPr>
          <w:lang w:eastAsia="en-US"/>
        </w:rPr>
        <w:t xml:space="preserve">Based on his three DCF results, </w:t>
      </w:r>
      <w:r w:rsidRPr="00255659">
        <w:rPr>
          <w:lang w:eastAsia="en-US"/>
        </w:rPr>
        <w:t>Dr.</w:t>
      </w:r>
      <w:r>
        <w:rPr>
          <w:lang w:eastAsia="en-US"/>
        </w:rPr>
        <w:t> </w:t>
      </w:r>
      <w:r w:rsidR="00AA31D3" w:rsidRPr="00255659">
        <w:rPr>
          <w:lang w:eastAsia="en-US"/>
        </w:rPr>
        <w:t>Woolridge concludes that PSE</w:t>
      </w:r>
      <w:r w:rsidR="00255659">
        <w:rPr>
          <w:lang w:eastAsia="en-US"/>
        </w:rPr>
        <w:t>’</w:t>
      </w:r>
      <w:r w:rsidR="00AA31D3" w:rsidRPr="00255659">
        <w:rPr>
          <w:lang w:eastAsia="en-US"/>
        </w:rPr>
        <w:t xml:space="preserve">s </w:t>
      </w:r>
      <w:r w:rsidR="00DD2B52">
        <w:rPr>
          <w:lang w:eastAsia="en-US"/>
        </w:rPr>
        <w:t xml:space="preserve">return on </w:t>
      </w:r>
      <w:r w:rsidR="00AA31D3" w:rsidRPr="00255659">
        <w:rPr>
          <w:lang w:eastAsia="en-US"/>
        </w:rPr>
        <w:t>equity is only 8.85</w:t>
      </w:r>
      <w:r w:rsidR="00DD2B52">
        <w:rPr>
          <w:lang w:eastAsia="en-US"/>
        </w:rPr>
        <w:t> percent</w:t>
      </w:r>
      <w:r w:rsidR="00AA31D3" w:rsidRPr="00255659">
        <w:rPr>
          <w:color w:val="FF0000"/>
          <w:lang w:eastAsia="en-US"/>
        </w:rPr>
        <w:t>.</w:t>
      </w:r>
    </w:p>
    <w:p w:rsidR="00AA31D3" w:rsidRPr="00255659" w:rsidRDefault="00AA31D3" w:rsidP="00540A76">
      <w:pPr>
        <w:pStyle w:val="question"/>
      </w:pPr>
      <w:r w:rsidRPr="00255659">
        <w:rPr>
          <w:lang w:eastAsia="en-US"/>
        </w:rPr>
        <w:t>Q.</w:t>
      </w:r>
      <w:r w:rsidRPr="00255659">
        <w:rPr>
          <w:lang w:eastAsia="en-US"/>
        </w:rPr>
        <w:tab/>
      </w:r>
      <w:r w:rsidR="00821586" w:rsidRPr="00255659">
        <w:rPr>
          <w:lang w:eastAsia="en-US"/>
        </w:rPr>
        <w:t xml:space="preserve">What is your general reaction to </w:t>
      </w:r>
      <w:r w:rsidR="00821586">
        <w:rPr>
          <w:lang w:eastAsia="en-US"/>
        </w:rPr>
        <w:t>D</w:t>
      </w:r>
      <w:r w:rsidR="00821586" w:rsidRPr="00255659">
        <w:rPr>
          <w:lang w:eastAsia="en-US"/>
        </w:rPr>
        <w:t>r.</w:t>
      </w:r>
      <w:r w:rsidR="00821586">
        <w:rPr>
          <w:lang w:eastAsia="en-US"/>
        </w:rPr>
        <w:t> </w:t>
      </w:r>
      <w:r w:rsidR="00821586" w:rsidRPr="00255659">
        <w:rPr>
          <w:lang w:eastAsia="en-US"/>
        </w:rPr>
        <w:t>Woolridge</w:t>
      </w:r>
      <w:r w:rsidR="00821586">
        <w:rPr>
          <w:lang w:eastAsia="en-US"/>
        </w:rPr>
        <w:t>’</w:t>
      </w:r>
      <w:r w:rsidR="00821586" w:rsidRPr="00255659">
        <w:rPr>
          <w:lang w:eastAsia="en-US"/>
        </w:rPr>
        <w:t xml:space="preserve">s </w:t>
      </w:r>
      <w:r w:rsidR="00821586">
        <w:rPr>
          <w:lang w:eastAsia="en-US"/>
        </w:rPr>
        <w:t xml:space="preserve">return on equity </w:t>
      </w:r>
      <w:r w:rsidR="00821586" w:rsidRPr="00255659">
        <w:rPr>
          <w:lang w:eastAsia="en-US"/>
        </w:rPr>
        <w:t>recommendation</w:t>
      </w:r>
      <w:r w:rsidRPr="00255659">
        <w:rPr>
          <w:lang w:eastAsia="en-US"/>
        </w:rPr>
        <w:t>?</w:t>
      </w:r>
    </w:p>
    <w:p w:rsidR="00255659" w:rsidRDefault="00AA31D3" w:rsidP="00540A76">
      <w:pPr>
        <w:pStyle w:val="answer"/>
        <w:rPr>
          <w:lang w:eastAsia="en-US"/>
        </w:rPr>
      </w:pPr>
      <w:r w:rsidRPr="00255659">
        <w:rPr>
          <w:lang w:eastAsia="en-US"/>
        </w:rPr>
        <w:t>A.</w:t>
      </w:r>
      <w:r w:rsidRPr="00255659">
        <w:rPr>
          <w:lang w:eastAsia="en-US"/>
        </w:rPr>
        <w:tab/>
      </w:r>
      <w:r w:rsidR="00821586">
        <w:rPr>
          <w:lang w:eastAsia="en-US"/>
        </w:rPr>
        <w:t>B</w:t>
      </w:r>
      <w:r w:rsidR="00484125">
        <w:rPr>
          <w:lang w:eastAsia="en-US"/>
        </w:rPr>
        <w:t>efore engaging</w:t>
      </w:r>
      <w:r w:rsidR="00821586" w:rsidRPr="00255659">
        <w:rPr>
          <w:lang w:eastAsia="en-US"/>
        </w:rPr>
        <w:t xml:space="preserve"> in a more technical critique</w:t>
      </w:r>
      <w:r w:rsidR="00821586">
        <w:rPr>
          <w:lang w:eastAsia="en-US"/>
        </w:rPr>
        <w:t xml:space="preserve"> of Dr. Woolridge’s testimony, I offer my </w:t>
      </w:r>
      <w:r w:rsidRPr="00255659">
        <w:rPr>
          <w:lang w:eastAsia="en-US"/>
        </w:rPr>
        <w:t xml:space="preserve">general </w:t>
      </w:r>
      <w:r w:rsidR="00821586">
        <w:rPr>
          <w:lang w:eastAsia="en-US"/>
        </w:rPr>
        <w:t xml:space="preserve">reaction </w:t>
      </w:r>
      <w:r w:rsidRPr="00255659">
        <w:rPr>
          <w:lang w:eastAsia="en-US"/>
        </w:rPr>
        <w:t xml:space="preserve">that there are three major infirmities in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s testimony.</w:t>
      </w:r>
      <w:r w:rsidR="00287C5A">
        <w:rPr>
          <w:lang w:eastAsia="en-US"/>
        </w:rPr>
        <w:t xml:space="preserve"> </w:t>
      </w:r>
      <w:r w:rsidRPr="00255659">
        <w:rPr>
          <w:lang w:eastAsia="en-US"/>
        </w:rPr>
        <w:t xml:space="preserve">First,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 xml:space="preserve">s recommended </w:t>
      </w:r>
      <w:r w:rsidR="00821586">
        <w:rPr>
          <w:lang w:eastAsia="en-US"/>
        </w:rPr>
        <w:t xml:space="preserve">return on equity of only </w:t>
      </w:r>
      <w:r w:rsidRPr="00255659">
        <w:rPr>
          <w:lang w:eastAsia="en-US"/>
        </w:rPr>
        <w:t>8.85</w:t>
      </w:r>
      <w:r w:rsidR="00821586">
        <w:rPr>
          <w:lang w:eastAsia="en-US"/>
        </w:rPr>
        <w:t xml:space="preserve"> percent </w:t>
      </w:r>
      <w:r w:rsidRPr="00255659">
        <w:rPr>
          <w:lang w:eastAsia="en-US"/>
        </w:rPr>
        <w:t xml:space="preserve">for PSE lies well outside the zone of reasonableness and outside the zone of currently </w:t>
      </w:r>
      <w:r w:rsidR="00821586">
        <w:rPr>
          <w:lang w:eastAsia="en-US"/>
        </w:rPr>
        <w:t xml:space="preserve">allowed returns on equity authorized by state utility commissions </w:t>
      </w:r>
      <w:r w:rsidRPr="00255659">
        <w:rPr>
          <w:lang w:eastAsia="en-US"/>
        </w:rPr>
        <w:t>in 2017</w:t>
      </w:r>
      <w:r w:rsidR="00821586">
        <w:rPr>
          <w:lang w:eastAsia="en-US"/>
        </w:rPr>
        <w:t>,</w:t>
      </w:r>
      <w:r w:rsidRPr="00255659">
        <w:rPr>
          <w:lang w:eastAsia="en-US"/>
        </w:rPr>
        <w:t xml:space="preserve"> which averages 9.9</w:t>
      </w:r>
      <w:r w:rsidR="00821586">
        <w:rPr>
          <w:lang w:eastAsia="en-US"/>
        </w:rPr>
        <w:t> percent</w:t>
      </w:r>
      <w:r w:rsidRPr="00255659">
        <w:rPr>
          <w:lang w:eastAsia="en-US"/>
        </w:rPr>
        <w:t>.</w:t>
      </w:r>
      <w:r w:rsidR="00287C5A">
        <w:rPr>
          <w:lang w:eastAsia="en-US"/>
        </w:rPr>
        <w:t xml:space="preserve"> </w:t>
      </w:r>
      <w:r w:rsidR="00821586">
        <w:rPr>
          <w:lang w:eastAsia="en-US"/>
        </w:rPr>
        <w:t xml:space="preserve">If adopted by the Commission,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 xml:space="preserve">s recommended </w:t>
      </w:r>
      <w:r w:rsidR="00821586">
        <w:rPr>
          <w:lang w:eastAsia="en-US"/>
        </w:rPr>
        <w:t xml:space="preserve">return on equity </w:t>
      </w:r>
      <w:r w:rsidRPr="00255659">
        <w:rPr>
          <w:lang w:eastAsia="en-US"/>
        </w:rPr>
        <w:t xml:space="preserve">would result in </w:t>
      </w:r>
      <w:r w:rsidR="00821586">
        <w:rPr>
          <w:lang w:eastAsia="en-US"/>
        </w:rPr>
        <w:t xml:space="preserve">PSE having one of </w:t>
      </w:r>
      <w:r w:rsidRPr="00255659">
        <w:rPr>
          <w:lang w:eastAsia="en-US"/>
        </w:rPr>
        <w:t xml:space="preserve">the lowest, if not the lowest, </w:t>
      </w:r>
      <w:r w:rsidR="00821586">
        <w:rPr>
          <w:lang w:eastAsia="en-US"/>
        </w:rPr>
        <w:t xml:space="preserve">allowed return on equity </w:t>
      </w:r>
      <w:r w:rsidRPr="00255659">
        <w:rPr>
          <w:lang w:eastAsia="en-US"/>
        </w:rPr>
        <w:t>for a</w:t>
      </w:r>
      <w:r w:rsidR="00821586">
        <w:rPr>
          <w:lang w:eastAsia="en-US"/>
        </w:rPr>
        <w:t>ny investor-owned</w:t>
      </w:r>
      <w:r w:rsidRPr="00255659">
        <w:rPr>
          <w:lang w:eastAsia="en-US"/>
        </w:rPr>
        <w:t xml:space="preserve"> utility in the country.</w:t>
      </w:r>
      <w:r w:rsidR="00287C5A">
        <w:rPr>
          <w:lang w:eastAsia="en-US"/>
        </w:rPr>
        <w:t xml:space="preserve"> </w:t>
      </w:r>
      <w:r w:rsidRPr="00255659">
        <w:rPr>
          <w:lang w:eastAsia="en-US"/>
        </w:rPr>
        <w:t xml:space="preserve">Moreover,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 xml:space="preserve">s recommended </w:t>
      </w:r>
      <w:r w:rsidR="00821586">
        <w:rPr>
          <w:lang w:eastAsia="en-US"/>
        </w:rPr>
        <w:t xml:space="preserve">return on equity </w:t>
      </w:r>
      <w:r w:rsidRPr="00255659">
        <w:rPr>
          <w:lang w:eastAsia="en-US"/>
        </w:rPr>
        <w:t xml:space="preserve">lies well below the zone of </w:t>
      </w:r>
      <w:r w:rsidR="00821586">
        <w:rPr>
          <w:lang w:eastAsia="en-US"/>
        </w:rPr>
        <w:t>the allowed and expected returns on equity of his own proxy group of electric utilities. N</w:t>
      </w:r>
      <w:r w:rsidRPr="00255659">
        <w:rPr>
          <w:lang w:eastAsia="en-US"/>
        </w:rPr>
        <w:t xml:space="preserve">one of the utilities in </w:t>
      </w:r>
      <w:r w:rsidR="006B5168" w:rsidRPr="00255659">
        <w:rPr>
          <w:lang w:eastAsia="en-US"/>
        </w:rPr>
        <w:t>Dr.</w:t>
      </w:r>
      <w:r w:rsidR="006B5168">
        <w:rPr>
          <w:lang w:eastAsia="en-US"/>
        </w:rPr>
        <w:t> </w:t>
      </w:r>
      <w:r w:rsidRPr="00255659">
        <w:rPr>
          <w:lang w:eastAsia="en-US"/>
        </w:rPr>
        <w:t>Woolridge</w:t>
      </w:r>
      <w:r w:rsidR="00821586">
        <w:rPr>
          <w:lang w:eastAsia="en-US"/>
        </w:rPr>
        <w:t>’s</w:t>
      </w:r>
      <w:r w:rsidRPr="00255659">
        <w:rPr>
          <w:lang w:eastAsia="en-US"/>
        </w:rPr>
        <w:t xml:space="preserve"> </w:t>
      </w:r>
      <w:r w:rsidR="00821586">
        <w:rPr>
          <w:lang w:eastAsia="en-US"/>
        </w:rPr>
        <w:t xml:space="preserve">proxy </w:t>
      </w:r>
      <w:r w:rsidRPr="00255659">
        <w:rPr>
          <w:lang w:eastAsia="en-US"/>
        </w:rPr>
        <w:t xml:space="preserve">group </w:t>
      </w:r>
      <w:r w:rsidR="00821586">
        <w:rPr>
          <w:lang w:eastAsia="en-US"/>
        </w:rPr>
        <w:t xml:space="preserve">of comparable electric utilities has </w:t>
      </w:r>
      <w:r w:rsidRPr="00255659">
        <w:rPr>
          <w:lang w:eastAsia="en-US"/>
        </w:rPr>
        <w:t xml:space="preserve">an allowed return </w:t>
      </w:r>
      <w:r w:rsidR="00CE5CB4">
        <w:rPr>
          <w:lang w:eastAsia="en-US"/>
        </w:rPr>
        <w:t xml:space="preserve">on equity </w:t>
      </w:r>
      <w:r w:rsidRPr="00255659">
        <w:rPr>
          <w:lang w:eastAsia="en-US"/>
        </w:rPr>
        <w:t>anywhere near his recommended 8.85</w:t>
      </w:r>
      <w:r w:rsidR="00CE5CB4">
        <w:rPr>
          <w:lang w:eastAsia="en-US"/>
        </w:rPr>
        <w:t> percent for PSE</w:t>
      </w:r>
      <w:r w:rsidRPr="00255659">
        <w:rPr>
          <w:lang w:eastAsia="en-US"/>
        </w:rPr>
        <w:t>.</w:t>
      </w:r>
      <w:r w:rsidR="00287C5A">
        <w:rPr>
          <w:lang w:eastAsia="en-US"/>
        </w:rPr>
        <w:t xml:space="preserve"> </w:t>
      </w:r>
      <w:r w:rsidRPr="00255659">
        <w:rPr>
          <w:lang w:eastAsia="en-US"/>
        </w:rPr>
        <w:t xml:space="preserve">There would </w:t>
      </w:r>
      <w:r w:rsidR="00CE5CB4">
        <w:rPr>
          <w:lang w:eastAsia="en-US"/>
        </w:rPr>
        <w:t xml:space="preserve">likely </w:t>
      </w:r>
      <w:r w:rsidRPr="00255659">
        <w:rPr>
          <w:lang w:eastAsia="en-US"/>
        </w:rPr>
        <w:t xml:space="preserve">be adverse consequences </w:t>
      </w:r>
      <w:r w:rsidR="00CE5CB4">
        <w:rPr>
          <w:lang w:eastAsia="en-US"/>
        </w:rPr>
        <w:t xml:space="preserve">to PSE’s </w:t>
      </w:r>
      <w:r w:rsidRPr="00255659">
        <w:rPr>
          <w:lang w:eastAsia="en-US"/>
        </w:rPr>
        <w:t xml:space="preserve">credit ratings, financial integrity, </w:t>
      </w:r>
      <w:r w:rsidR="00CE5CB4">
        <w:rPr>
          <w:lang w:eastAsia="en-US"/>
        </w:rPr>
        <w:t xml:space="preserve">and ability to raise </w:t>
      </w:r>
      <w:r w:rsidRPr="00255659">
        <w:rPr>
          <w:lang w:eastAsia="en-US"/>
        </w:rPr>
        <w:t xml:space="preserve">capital </w:t>
      </w:r>
      <w:r w:rsidR="00CE5CB4">
        <w:rPr>
          <w:lang w:eastAsia="en-US"/>
        </w:rPr>
        <w:t xml:space="preserve">if the Commission were to adopt Dr. Woolridge’s recommendation, and these adverse consequences would eventually harm PSE’s customers over time. </w:t>
      </w:r>
      <w:r w:rsidRPr="00255659">
        <w:rPr>
          <w:lang w:eastAsia="en-US"/>
        </w:rPr>
        <w:t xml:space="preserve">These facts provide clear proof that </w:t>
      </w:r>
      <w:r w:rsidR="00CE5CB4">
        <w:rPr>
          <w:lang w:eastAsia="en-US"/>
        </w:rPr>
        <w:t xml:space="preserve">Dr. Woolridge’s return on equity </w:t>
      </w:r>
      <w:r w:rsidRPr="00255659">
        <w:rPr>
          <w:lang w:eastAsia="en-US"/>
        </w:rPr>
        <w:t>recommendation for PSE is far too low.</w:t>
      </w:r>
    </w:p>
    <w:p w:rsidR="00255659" w:rsidRDefault="00AA31D3" w:rsidP="00540A76">
      <w:pPr>
        <w:pStyle w:val="answer"/>
        <w:ind w:firstLine="0"/>
        <w:rPr>
          <w:szCs w:val="24"/>
          <w:lang w:eastAsia="en-US"/>
        </w:rPr>
      </w:pPr>
      <w:r w:rsidRPr="00255659">
        <w:rPr>
          <w:szCs w:val="24"/>
          <w:lang w:eastAsia="en-US"/>
        </w:rPr>
        <w:lastRenderedPageBreak/>
        <w:t xml:space="preserve">The second major structural flaw of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s testimony is that his recommend</w:t>
      </w:r>
      <w:r w:rsidR="00CE5CB4">
        <w:rPr>
          <w:szCs w:val="24"/>
          <w:lang w:eastAsia="en-US"/>
        </w:rPr>
        <w:t>ed return on equity</w:t>
      </w:r>
      <w:r w:rsidRPr="00255659">
        <w:rPr>
          <w:szCs w:val="24"/>
          <w:lang w:eastAsia="en-US"/>
        </w:rPr>
        <w:t xml:space="preserve"> of 8.85</w:t>
      </w:r>
      <w:r w:rsidR="00CE5CB4">
        <w:rPr>
          <w:szCs w:val="24"/>
          <w:lang w:eastAsia="en-US"/>
        </w:rPr>
        <w:t xml:space="preserve"> percent </w:t>
      </w:r>
      <w:r w:rsidRPr="00255659">
        <w:rPr>
          <w:szCs w:val="24"/>
          <w:lang w:eastAsia="en-US"/>
        </w:rPr>
        <w:t xml:space="preserve">rests exclusively on </w:t>
      </w:r>
      <w:r w:rsidR="00CE5CB4">
        <w:rPr>
          <w:szCs w:val="24"/>
          <w:lang w:eastAsia="en-US"/>
        </w:rPr>
        <w:t xml:space="preserve">results derived from </w:t>
      </w:r>
      <w:r w:rsidRPr="00255659">
        <w:rPr>
          <w:szCs w:val="24"/>
          <w:lang w:eastAsia="en-US"/>
        </w:rPr>
        <w:t xml:space="preserve">questionable </w:t>
      </w:r>
      <w:r w:rsidR="00CE5CB4">
        <w:rPr>
          <w:szCs w:val="24"/>
          <w:lang w:eastAsia="en-US"/>
        </w:rPr>
        <w:t xml:space="preserve">inputs and methodologies selected for </w:t>
      </w:r>
      <w:r w:rsidRPr="00255659">
        <w:rPr>
          <w:szCs w:val="24"/>
          <w:lang w:eastAsia="en-US"/>
        </w:rPr>
        <w:t>his DCF analyses.</w:t>
      </w:r>
      <w:r w:rsidR="00287C5A">
        <w:rPr>
          <w:szCs w:val="24"/>
          <w:lang w:eastAsia="en-US"/>
        </w:rPr>
        <w:t xml:space="preserve"> </w:t>
      </w:r>
      <w:r w:rsidR="00CE5CB4">
        <w:rPr>
          <w:szCs w:val="24"/>
          <w:lang w:eastAsia="en-US"/>
        </w:rPr>
        <w:t>Additionally</w:t>
      </w:r>
      <w:r w:rsidRPr="00255659">
        <w:rPr>
          <w:szCs w:val="24"/>
          <w:lang w:eastAsia="en-US"/>
        </w:rPr>
        <w:t>, his CAPM analysis, on which he places little, if any, weight</w:t>
      </w:r>
      <w:r w:rsidR="00CE5CB4">
        <w:rPr>
          <w:szCs w:val="24"/>
          <w:lang w:eastAsia="en-US"/>
        </w:rPr>
        <w:t>,</w:t>
      </w:r>
      <w:r w:rsidRPr="00255659">
        <w:rPr>
          <w:szCs w:val="24"/>
          <w:lang w:eastAsia="en-US"/>
        </w:rPr>
        <w:t xml:space="preserve"> is flawed, as </w:t>
      </w:r>
      <w:r w:rsidR="00CE5CB4">
        <w:rPr>
          <w:szCs w:val="24"/>
          <w:lang w:eastAsia="en-US"/>
        </w:rPr>
        <w:t>discussed below</w:t>
      </w:r>
      <w:r w:rsidRPr="00255659">
        <w:rPr>
          <w:szCs w:val="24"/>
          <w:lang w:eastAsia="en-US"/>
        </w:rPr>
        <w:t>.</w:t>
      </w:r>
    </w:p>
    <w:p w:rsidR="00AA31D3" w:rsidRPr="00255659" w:rsidRDefault="00AA31D3" w:rsidP="00540A76">
      <w:pPr>
        <w:pStyle w:val="answer"/>
        <w:ind w:firstLine="0"/>
        <w:rPr>
          <w:szCs w:val="24"/>
          <w:lang w:eastAsia="en-US"/>
        </w:rPr>
      </w:pPr>
      <w:r w:rsidRPr="00255659">
        <w:rPr>
          <w:szCs w:val="24"/>
          <w:lang w:eastAsia="en-US"/>
        </w:rPr>
        <w:t xml:space="preserve">The third major flaw is that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 xml:space="preserve">s final choice of DCF growth rates, the crux of his recommendation, is arbitrary, contradictory, inconsistent with several statements in his testimony, and cannot be replicated. </w:t>
      </w:r>
    </w:p>
    <w:p w:rsidR="00AA31D3" w:rsidRPr="00255659" w:rsidRDefault="00AA31D3" w:rsidP="00540A76">
      <w:pPr>
        <w:pStyle w:val="question"/>
      </w:pPr>
      <w:r w:rsidRPr="00255659">
        <w:rPr>
          <w:lang w:eastAsia="en-US"/>
        </w:rPr>
        <w:t>Q.</w:t>
      </w:r>
      <w:r w:rsidRPr="00255659">
        <w:rPr>
          <w:lang w:eastAsia="en-US"/>
        </w:rPr>
        <w:tab/>
      </w:r>
      <w:r w:rsidR="00CE5CB4" w:rsidRPr="00255659">
        <w:rPr>
          <w:lang w:eastAsia="en-US"/>
        </w:rPr>
        <w:t xml:space="preserve">Is </w:t>
      </w:r>
      <w:r w:rsidR="00CE5CB4">
        <w:rPr>
          <w:lang w:eastAsia="en-US"/>
        </w:rPr>
        <w:t>D</w:t>
      </w:r>
      <w:r w:rsidR="00CE5CB4" w:rsidRPr="00255659">
        <w:rPr>
          <w:lang w:eastAsia="en-US"/>
        </w:rPr>
        <w:t>r. Woolridge</w:t>
      </w:r>
      <w:r w:rsidR="00CE5CB4">
        <w:rPr>
          <w:lang w:eastAsia="en-US"/>
        </w:rPr>
        <w:t>’</w:t>
      </w:r>
      <w:r w:rsidR="00CE5CB4" w:rsidRPr="00255659">
        <w:rPr>
          <w:lang w:eastAsia="en-US"/>
        </w:rPr>
        <w:t xml:space="preserve">s low recommended </w:t>
      </w:r>
      <w:r w:rsidR="00CE5CB4">
        <w:rPr>
          <w:lang w:eastAsia="en-US"/>
        </w:rPr>
        <w:t xml:space="preserve">return on equity for PSE </w:t>
      </w:r>
      <w:r w:rsidR="00CE5CB4" w:rsidRPr="00255659">
        <w:rPr>
          <w:lang w:eastAsia="en-US"/>
        </w:rPr>
        <w:t>appropriate at this time</w:t>
      </w:r>
      <w:r w:rsidRPr="00255659">
        <w:rPr>
          <w:lang w:eastAsia="en-US"/>
        </w:rPr>
        <w:t>?</w:t>
      </w:r>
    </w:p>
    <w:p w:rsidR="00255659" w:rsidRDefault="00AA31D3" w:rsidP="00540A76">
      <w:pPr>
        <w:pStyle w:val="answer"/>
        <w:rPr>
          <w:lang w:eastAsia="en-US"/>
        </w:rPr>
      </w:pPr>
      <w:r w:rsidRPr="00255659">
        <w:rPr>
          <w:lang w:eastAsia="en-US"/>
        </w:rPr>
        <w:t>A.</w:t>
      </w:r>
      <w:r w:rsidRPr="00255659">
        <w:rPr>
          <w:lang w:eastAsia="en-US"/>
        </w:rPr>
        <w:tab/>
      </w:r>
      <w:r w:rsidR="00CE5CB4">
        <w:rPr>
          <w:lang w:eastAsia="en-US"/>
        </w:rPr>
        <w:t>No</w:t>
      </w:r>
      <w:r w:rsidRPr="00255659">
        <w:rPr>
          <w:lang w:eastAsia="en-US"/>
        </w:rPr>
        <w:t>.</w:t>
      </w:r>
      <w:r w:rsidR="00287C5A">
        <w:rPr>
          <w:lang w:eastAsia="en-US"/>
        </w:rPr>
        <w:t xml:space="preserve">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s recommended ROE of only 8.85</w:t>
      </w:r>
      <w:r w:rsidR="00CE5CB4">
        <w:rPr>
          <w:lang w:eastAsia="en-US"/>
        </w:rPr>
        <w:t> percent,</w:t>
      </w:r>
      <w:r w:rsidRPr="00255659">
        <w:rPr>
          <w:lang w:eastAsia="en-US"/>
        </w:rPr>
        <w:t xml:space="preserve"> which would be among the lowest, if not the lowest, allowed </w:t>
      </w:r>
      <w:r w:rsidR="00CE5CB4">
        <w:rPr>
          <w:lang w:eastAsia="en-US"/>
        </w:rPr>
        <w:t xml:space="preserve">return on equity for an investor-owned utility </w:t>
      </w:r>
      <w:r w:rsidRPr="00255659">
        <w:rPr>
          <w:lang w:eastAsia="en-US"/>
        </w:rPr>
        <w:t>in the country</w:t>
      </w:r>
      <w:r w:rsidR="00CE5CB4">
        <w:rPr>
          <w:lang w:eastAsia="en-US"/>
        </w:rPr>
        <w:t>,</w:t>
      </w:r>
      <w:r w:rsidRPr="00255659">
        <w:rPr>
          <w:lang w:eastAsia="en-US"/>
        </w:rPr>
        <w:t xml:space="preserve"> is untimely and contrary to customers</w:t>
      </w:r>
      <w:r w:rsidR="00255659">
        <w:rPr>
          <w:lang w:eastAsia="en-US"/>
        </w:rPr>
        <w:t>’</w:t>
      </w:r>
      <w:r w:rsidRPr="00255659">
        <w:rPr>
          <w:lang w:eastAsia="en-US"/>
        </w:rPr>
        <w:t xml:space="preserve"> best interests.</w:t>
      </w:r>
      <w:r w:rsidR="00287C5A">
        <w:rPr>
          <w:lang w:eastAsia="en-US"/>
        </w:rPr>
        <w:t xml:space="preserve"> </w:t>
      </w:r>
      <w:r w:rsidR="00CE5CB4">
        <w:rPr>
          <w:lang w:eastAsia="en-US"/>
        </w:rPr>
        <w:t>PSE</w:t>
      </w:r>
      <w:r w:rsidR="00255659">
        <w:rPr>
          <w:lang w:eastAsia="en-US"/>
        </w:rPr>
        <w:t>’</w:t>
      </w:r>
      <w:r w:rsidRPr="00255659">
        <w:rPr>
          <w:lang w:eastAsia="en-US"/>
        </w:rPr>
        <w:t xml:space="preserve">s management is committed to </w:t>
      </w:r>
      <w:r w:rsidR="00CE5CB4">
        <w:rPr>
          <w:lang w:eastAsia="en-US"/>
        </w:rPr>
        <w:t xml:space="preserve">maintaining an </w:t>
      </w:r>
      <w:r w:rsidRPr="00255659">
        <w:rPr>
          <w:lang w:eastAsia="en-US"/>
        </w:rPr>
        <w:t>investment grade creditworthiness so that it will be able to provide reliable and reasonably-priced energy service.</w:t>
      </w:r>
      <w:r w:rsidR="00287C5A">
        <w:rPr>
          <w:lang w:eastAsia="en-US"/>
        </w:rPr>
        <w:t xml:space="preserve"> </w:t>
      </w:r>
      <w:r w:rsidR="00A911DC">
        <w:rPr>
          <w:lang w:eastAsia="en-US"/>
        </w:rPr>
        <w:t>A</w:t>
      </w:r>
      <w:r w:rsidRPr="00255659">
        <w:rPr>
          <w:lang w:eastAsia="en-US"/>
        </w:rPr>
        <w:t xml:space="preserve">pproval of the </w:t>
      </w:r>
      <w:r w:rsidR="00A911DC">
        <w:rPr>
          <w:lang w:eastAsia="en-US"/>
        </w:rPr>
        <w:t xml:space="preserve">a return on equity of 9.8 percent for PSE would </w:t>
      </w:r>
      <w:r w:rsidRPr="00255659">
        <w:rPr>
          <w:lang w:eastAsia="en-US"/>
        </w:rPr>
        <w:t>buttress these goals and provide benefits to PSE customers.</w:t>
      </w:r>
    </w:p>
    <w:p w:rsidR="00AA31D3" w:rsidRPr="00255659" w:rsidRDefault="00AA31D3" w:rsidP="00540A76">
      <w:pPr>
        <w:pStyle w:val="answer"/>
        <w:ind w:firstLine="0"/>
        <w:rPr>
          <w:color w:val="000000"/>
          <w:szCs w:val="24"/>
          <w:lang w:eastAsia="en-US"/>
        </w:rPr>
      </w:pPr>
      <w:r w:rsidRPr="00255659">
        <w:rPr>
          <w:color w:val="000000"/>
          <w:szCs w:val="24"/>
          <w:lang w:val="en-CA" w:eastAsia="en-US"/>
        </w:rPr>
        <w:t>Maintaining a</w:t>
      </w:r>
      <w:r w:rsidR="00A911DC">
        <w:rPr>
          <w:color w:val="000000"/>
          <w:szCs w:val="24"/>
          <w:lang w:val="en-CA" w:eastAsia="en-US"/>
        </w:rPr>
        <w:t>n</w:t>
      </w:r>
      <w:r w:rsidRPr="00255659">
        <w:rPr>
          <w:color w:val="000000"/>
          <w:szCs w:val="24"/>
          <w:lang w:val="en-CA" w:eastAsia="en-US"/>
        </w:rPr>
        <w:t xml:space="preserve"> investment-grade bond rating will have beneficial long-term cost implications for </w:t>
      </w:r>
      <w:r w:rsidR="00A911DC">
        <w:rPr>
          <w:color w:val="000000"/>
          <w:szCs w:val="24"/>
          <w:lang w:val="en-CA" w:eastAsia="en-US"/>
        </w:rPr>
        <w:t xml:space="preserve">PSE </w:t>
      </w:r>
      <w:r w:rsidRPr="00255659">
        <w:rPr>
          <w:color w:val="000000"/>
          <w:szCs w:val="24"/>
          <w:lang w:val="en-CA" w:eastAsia="en-US"/>
        </w:rPr>
        <w:t xml:space="preserve">and its customers as </w:t>
      </w:r>
      <w:r w:rsidR="00A911DC">
        <w:rPr>
          <w:color w:val="000000"/>
          <w:szCs w:val="24"/>
          <w:lang w:val="en-CA" w:eastAsia="en-US"/>
        </w:rPr>
        <w:t>PSE re</w:t>
      </w:r>
      <w:r w:rsidRPr="00255659">
        <w:rPr>
          <w:color w:val="000000"/>
          <w:szCs w:val="24"/>
          <w:lang w:val="en-CA" w:eastAsia="en-US"/>
        </w:rPr>
        <w:t>finances existing debt, issues new capital</w:t>
      </w:r>
      <w:r w:rsidR="00A911DC">
        <w:rPr>
          <w:color w:val="000000"/>
          <w:szCs w:val="24"/>
          <w:lang w:val="en-CA" w:eastAsia="en-US"/>
        </w:rPr>
        <w:t>,</w:t>
      </w:r>
      <w:r w:rsidRPr="00255659">
        <w:rPr>
          <w:color w:val="000000"/>
          <w:szCs w:val="24"/>
          <w:lang w:val="en-CA" w:eastAsia="en-US"/>
        </w:rPr>
        <w:t xml:space="preserve"> and enters into new contractual arrangements.</w:t>
      </w:r>
      <w:r w:rsidR="00287C5A">
        <w:rPr>
          <w:color w:val="000000"/>
          <w:szCs w:val="24"/>
          <w:lang w:val="en-CA" w:eastAsia="en-US"/>
        </w:rPr>
        <w:t xml:space="preserve"> </w:t>
      </w:r>
      <w:r w:rsidRPr="00255659">
        <w:rPr>
          <w:szCs w:val="24"/>
          <w:lang w:val="en-CA" w:eastAsia="en-US"/>
        </w:rPr>
        <w:t>PSE</w:t>
      </w:r>
      <w:r w:rsidR="00255659">
        <w:rPr>
          <w:szCs w:val="24"/>
          <w:lang w:val="en-CA" w:eastAsia="en-US"/>
        </w:rPr>
        <w:t>’</w:t>
      </w:r>
      <w:r w:rsidRPr="00255659">
        <w:rPr>
          <w:szCs w:val="24"/>
          <w:lang w:val="en-CA" w:eastAsia="en-US"/>
        </w:rPr>
        <w:t>s customers have a vested interest in a strong financial position for the utility</w:t>
      </w:r>
      <w:r w:rsidR="00A911DC">
        <w:rPr>
          <w:szCs w:val="24"/>
          <w:lang w:val="en-CA" w:eastAsia="en-US"/>
        </w:rPr>
        <w:t xml:space="preserve">, and the </w:t>
      </w:r>
      <w:r w:rsidRPr="00255659">
        <w:rPr>
          <w:szCs w:val="24"/>
          <w:lang w:val="en-CA" w:eastAsia="en-US"/>
        </w:rPr>
        <w:t xml:space="preserve">interests of customers and shareholders are </w:t>
      </w:r>
      <w:r w:rsidR="00A911DC">
        <w:rPr>
          <w:szCs w:val="24"/>
          <w:lang w:val="en-CA" w:eastAsia="en-US"/>
        </w:rPr>
        <w:t xml:space="preserve">aligned and are not </w:t>
      </w:r>
      <w:r w:rsidRPr="00255659">
        <w:rPr>
          <w:szCs w:val="24"/>
          <w:lang w:val="en-CA" w:eastAsia="en-US"/>
        </w:rPr>
        <w:t>mutually exclusive.</w:t>
      </w:r>
      <w:r w:rsidR="00287C5A">
        <w:rPr>
          <w:szCs w:val="24"/>
          <w:lang w:val="en-CA" w:eastAsia="en-US"/>
        </w:rPr>
        <w:t xml:space="preserve"> </w:t>
      </w:r>
      <w:r w:rsidR="00A911DC">
        <w:rPr>
          <w:szCs w:val="24"/>
          <w:lang w:val="en-CA" w:eastAsia="en-US"/>
        </w:rPr>
        <w:t>B</w:t>
      </w:r>
      <w:r w:rsidRPr="00255659">
        <w:rPr>
          <w:szCs w:val="24"/>
          <w:lang w:val="en-CA" w:eastAsia="en-US"/>
        </w:rPr>
        <w:t xml:space="preserve">oth </w:t>
      </w:r>
      <w:r w:rsidRPr="00255659">
        <w:rPr>
          <w:szCs w:val="24"/>
          <w:lang w:val="en-CA" w:eastAsia="en-US"/>
        </w:rPr>
        <w:lastRenderedPageBreak/>
        <w:t>benefit from a financially sound utility</w:t>
      </w:r>
      <w:r w:rsidR="00A911DC">
        <w:rPr>
          <w:szCs w:val="24"/>
          <w:lang w:val="en-CA" w:eastAsia="en-US"/>
        </w:rPr>
        <w:t xml:space="preserve">, and </w:t>
      </w:r>
      <w:r w:rsidR="006B5168" w:rsidRPr="00255659">
        <w:rPr>
          <w:lang w:eastAsia="en-US"/>
        </w:rPr>
        <w:t>Dr.</w:t>
      </w:r>
      <w:r w:rsidR="006B5168">
        <w:rPr>
          <w:lang w:eastAsia="en-US"/>
        </w:rPr>
        <w:t> </w:t>
      </w:r>
      <w:r w:rsidRPr="00255659">
        <w:rPr>
          <w:szCs w:val="24"/>
          <w:lang w:val="en-CA" w:eastAsia="en-US"/>
        </w:rPr>
        <w:t>Woolridge</w:t>
      </w:r>
      <w:r w:rsidR="00255659">
        <w:rPr>
          <w:szCs w:val="24"/>
          <w:lang w:val="en-CA" w:eastAsia="en-US"/>
        </w:rPr>
        <w:t>’</w:t>
      </w:r>
      <w:r w:rsidRPr="00255659">
        <w:rPr>
          <w:szCs w:val="24"/>
          <w:lang w:val="en-CA" w:eastAsia="en-US"/>
        </w:rPr>
        <w:t xml:space="preserve">s very low recommended </w:t>
      </w:r>
      <w:r w:rsidR="00A911DC">
        <w:rPr>
          <w:szCs w:val="24"/>
          <w:lang w:val="en-CA" w:eastAsia="en-US"/>
        </w:rPr>
        <w:t>return on equity for PSE, if granted, would be detrimental to</w:t>
      </w:r>
      <w:r w:rsidRPr="00255659">
        <w:rPr>
          <w:szCs w:val="24"/>
          <w:lang w:val="en-CA" w:eastAsia="en-US"/>
        </w:rPr>
        <w:t xml:space="preserve"> </w:t>
      </w:r>
      <w:r w:rsidR="00A911DC">
        <w:rPr>
          <w:szCs w:val="24"/>
          <w:lang w:val="en-CA" w:eastAsia="en-US"/>
        </w:rPr>
        <w:t xml:space="preserve">the maintenance of </w:t>
      </w:r>
      <w:r w:rsidRPr="00255659">
        <w:rPr>
          <w:szCs w:val="24"/>
          <w:lang w:val="en-CA" w:eastAsia="en-US"/>
        </w:rPr>
        <w:t>an investment-grade goal and contrary to customers</w:t>
      </w:r>
      <w:r w:rsidR="00255659">
        <w:rPr>
          <w:szCs w:val="24"/>
          <w:lang w:val="en-CA" w:eastAsia="en-US"/>
        </w:rPr>
        <w:t>’</w:t>
      </w:r>
      <w:r w:rsidRPr="00255659">
        <w:rPr>
          <w:szCs w:val="24"/>
          <w:lang w:val="en-CA" w:eastAsia="en-US"/>
        </w:rPr>
        <w:t xml:space="preserve"> interests.</w:t>
      </w:r>
    </w:p>
    <w:p w:rsidR="00AA31D3" w:rsidRPr="00255659" w:rsidRDefault="00AA31D3" w:rsidP="00540A76">
      <w:pPr>
        <w:pStyle w:val="question"/>
      </w:pPr>
      <w:r w:rsidRPr="00255659">
        <w:rPr>
          <w:lang w:eastAsia="en-US"/>
        </w:rPr>
        <w:t>Q.</w:t>
      </w:r>
      <w:r w:rsidRPr="00255659">
        <w:rPr>
          <w:lang w:eastAsia="en-US"/>
        </w:rPr>
        <w:tab/>
      </w:r>
      <w:r w:rsidR="00A911DC">
        <w:rPr>
          <w:lang w:eastAsia="en-US"/>
        </w:rPr>
        <w:t>W</w:t>
      </w:r>
      <w:r w:rsidR="00A911DC" w:rsidRPr="00255659">
        <w:rPr>
          <w:lang w:eastAsia="en-US"/>
        </w:rPr>
        <w:t xml:space="preserve">hat are the basic conclusions of your rebuttal to </w:t>
      </w:r>
      <w:r w:rsidR="00A911DC">
        <w:rPr>
          <w:lang w:eastAsia="en-US"/>
        </w:rPr>
        <w:t>D</w:t>
      </w:r>
      <w:r w:rsidR="00A911DC" w:rsidRPr="00255659">
        <w:rPr>
          <w:lang w:eastAsia="en-US"/>
        </w:rPr>
        <w:t>r</w:t>
      </w:r>
      <w:r w:rsidRPr="00255659">
        <w:rPr>
          <w:lang w:eastAsia="en-US"/>
        </w:rPr>
        <w:t>.</w:t>
      </w:r>
      <w:r w:rsidR="00A911DC">
        <w:rPr>
          <w:lang w:eastAsia="en-US"/>
        </w:rPr>
        <w:t> </w:t>
      </w:r>
      <w:r w:rsidR="00A911DC" w:rsidRPr="00255659">
        <w:rPr>
          <w:lang w:eastAsia="en-US"/>
        </w:rPr>
        <w:t>Woolridge</w:t>
      </w:r>
      <w:r w:rsidR="00A911DC">
        <w:rPr>
          <w:lang w:eastAsia="en-US"/>
        </w:rPr>
        <w:t xml:space="preserve">’s return on equity </w:t>
      </w:r>
      <w:r w:rsidR="00A911DC" w:rsidRPr="00255659">
        <w:rPr>
          <w:lang w:eastAsia="en-US"/>
        </w:rPr>
        <w:t>testimony</w:t>
      </w:r>
      <w:r w:rsidRPr="00255659">
        <w:rPr>
          <w:lang w:eastAsia="en-US"/>
        </w:rPr>
        <w:t>?</w:t>
      </w:r>
    </w:p>
    <w:p w:rsidR="00AA31D3" w:rsidRPr="00255659" w:rsidRDefault="00AA31D3" w:rsidP="00540A76">
      <w:pPr>
        <w:pStyle w:val="answer"/>
        <w:rPr>
          <w:b/>
        </w:rPr>
      </w:pPr>
      <w:r w:rsidRPr="00255659">
        <w:t>A.</w:t>
      </w:r>
      <w:r w:rsidRPr="00255659">
        <w:tab/>
      </w:r>
      <w:r w:rsidR="006B5168" w:rsidRPr="00255659">
        <w:rPr>
          <w:lang w:eastAsia="en-US"/>
        </w:rPr>
        <w:t>Dr.</w:t>
      </w:r>
      <w:r w:rsidR="006B5168">
        <w:rPr>
          <w:lang w:eastAsia="en-US"/>
        </w:rPr>
        <w:t> </w:t>
      </w:r>
      <w:r w:rsidRPr="00255659">
        <w:t>Woolridge</w:t>
      </w:r>
      <w:r w:rsidR="00255659">
        <w:t>’</w:t>
      </w:r>
      <w:r w:rsidRPr="00255659">
        <w:t xml:space="preserve">s </w:t>
      </w:r>
      <w:r w:rsidR="00A911DC">
        <w:t xml:space="preserve">return on equity </w:t>
      </w:r>
      <w:r w:rsidRPr="00255659">
        <w:t xml:space="preserve">recommendation </w:t>
      </w:r>
      <w:r w:rsidR="00A911DC">
        <w:t xml:space="preserve">of 8.85 percent </w:t>
      </w:r>
      <w:r w:rsidRPr="00255659">
        <w:t>rests entirely on arbitrary DCF growth rates that have been plucked out of thin air</w:t>
      </w:r>
      <w:r w:rsidR="00A911DC">
        <w:t xml:space="preserve"> </w:t>
      </w:r>
      <w:r w:rsidRPr="00255659">
        <w:t>and should be given little, if any, weight in the Commission</w:t>
      </w:r>
      <w:r w:rsidR="00255659">
        <w:t>’</w:t>
      </w:r>
      <w:r w:rsidRPr="00255659">
        <w:t xml:space="preserve">s considerations. </w:t>
      </w:r>
    </w:p>
    <w:p w:rsidR="00AA31D3" w:rsidRPr="00255659" w:rsidRDefault="00AA31D3" w:rsidP="00540A76">
      <w:pPr>
        <w:pStyle w:val="question"/>
      </w:pPr>
      <w:r w:rsidRPr="00255659">
        <w:rPr>
          <w:lang w:eastAsia="en-US"/>
        </w:rPr>
        <w:t>Q.</w:t>
      </w:r>
      <w:r w:rsidRPr="00255659">
        <w:rPr>
          <w:lang w:eastAsia="en-US"/>
        </w:rPr>
        <w:tab/>
      </w:r>
      <w:r w:rsidR="00A911DC" w:rsidRPr="00255659">
        <w:rPr>
          <w:lang w:eastAsia="en-US"/>
        </w:rPr>
        <w:t xml:space="preserve">Do you have any other general comment on </w:t>
      </w:r>
      <w:r w:rsidR="00A911DC">
        <w:rPr>
          <w:lang w:eastAsia="en-US"/>
        </w:rPr>
        <w:t>D</w:t>
      </w:r>
      <w:r w:rsidR="00A911DC" w:rsidRPr="00255659">
        <w:rPr>
          <w:lang w:eastAsia="en-US"/>
        </w:rPr>
        <w:t>r. Woolridge</w:t>
      </w:r>
      <w:r w:rsidR="00A911DC">
        <w:rPr>
          <w:lang w:eastAsia="en-US"/>
        </w:rPr>
        <w:t>’</w:t>
      </w:r>
      <w:r w:rsidR="00A911DC" w:rsidRPr="00255659">
        <w:rPr>
          <w:lang w:eastAsia="en-US"/>
        </w:rPr>
        <w:t>s testimony</w:t>
      </w:r>
      <w:r w:rsidRPr="00255659">
        <w:rPr>
          <w:lang w:eastAsia="en-US"/>
        </w:rPr>
        <w:t>?</w:t>
      </w:r>
    </w:p>
    <w:p w:rsidR="00255659" w:rsidRPr="00A911DC" w:rsidRDefault="00AA31D3" w:rsidP="00540A76">
      <w:pPr>
        <w:pStyle w:val="answer"/>
        <w:rPr>
          <w:lang w:eastAsia="en-US"/>
        </w:rPr>
      </w:pPr>
      <w:r w:rsidRPr="00255659">
        <w:rPr>
          <w:lang w:eastAsia="en-US"/>
        </w:rPr>
        <w:t>A.</w:t>
      </w:r>
      <w:r w:rsidRPr="00255659">
        <w:rPr>
          <w:lang w:eastAsia="en-US"/>
        </w:rPr>
        <w:tab/>
        <w:t>Yes, I do.</w:t>
      </w:r>
      <w:r w:rsidR="00A911DC" w:rsidRPr="00A911DC">
        <w:rPr>
          <w:lang w:eastAsia="en-US"/>
        </w:rPr>
        <w:t xml:space="preserve"> </w:t>
      </w:r>
      <w:r w:rsidR="00A911DC" w:rsidRPr="00255659">
        <w:rPr>
          <w:lang w:eastAsia="en-US"/>
        </w:rPr>
        <w:t>Dr.</w:t>
      </w:r>
      <w:r w:rsidR="00A911DC">
        <w:rPr>
          <w:lang w:eastAsia="en-US"/>
        </w:rPr>
        <w:t> </w:t>
      </w:r>
      <w:r w:rsidR="00A911DC" w:rsidRPr="00255659">
        <w:rPr>
          <w:bCs/>
          <w:szCs w:val="24"/>
          <w:lang w:val="x-none" w:eastAsia="x-none"/>
        </w:rPr>
        <w:t xml:space="preserve">Woolridge is quite inconsistent on </w:t>
      </w:r>
      <w:r w:rsidR="00A911DC">
        <w:rPr>
          <w:bCs/>
          <w:szCs w:val="24"/>
          <w:lang w:eastAsia="x-none"/>
        </w:rPr>
        <w:t xml:space="preserve">the use of the </w:t>
      </w:r>
      <w:r w:rsidR="00A911DC" w:rsidRPr="00255659">
        <w:t>median value rather than the mean value when computing averages of the various data sets</w:t>
      </w:r>
      <w:r w:rsidRPr="00255659">
        <w:rPr>
          <w:bCs/>
          <w:szCs w:val="24"/>
          <w:lang w:val="x-none" w:eastAsia="x-none"/>
        </w:rPr>
        <w:t>.</w:t>
      </w:r>
      <w:r w:rsidR="00287C5A">
        <w:rPr>
          <w:bCs/>
          <w:szCs w:val="24"/>
          <w:lang w:eastAsia="x-none"/>
        </w:rPr>
        <w:t xml:space="preserve"> </w:t>
      </w:r>
      <w:r w:rsidRPr="00255659">
        <w:rPr>
          <w:bCs/>
          <w:szCs w:val="24"/>
          <w:lang w:val="x-none" w:eastAsia="x-none"/>
        </w:rPr>
        <w:t xml:space="preserve">Throughout his testimony, </w:t>
      </w:r>
      <w:r w:rsidR="006B5168" w:rsidRPr="00255659">
        <w:rPr>
          <w:lang w:eastAsia="en-US"/>
        </w:rPr>
        <w:t>Dr.</w:t>
      </w:r>
      <w:r w:rsidR="006B5168">
        <w:rPr>
          <w:lang w:eastAsia="en-US"/>
        </w:rPr>
        <w:t> </w:t>
      </w:r>
      <w:r w:rsidRPr="00255659">
        <w:rPr>
          <w:bCs/>
          <w:szCs w:val="24"/>
          <w:lang w:val="x-none" w:eastAsia="x-none"/>
        </w:rPr>
        <w:t>Woolridge sometimes chooses the mean, sometimes the median, sometimes both.</w:t>
      </w:r>
      <w:r w:rsidR="00287C5A">
        <w:rPr>
          <w:bCs/>
          <w:szCs w:val="24"/>
          <w:lang w:eastAsia="x-none"/>
        </w:rPr>
        <w:t xml:space="preserve"> </w:t>
      </w:r>
      <w:r w:rsidRPr="00255659">
        <w:rPr>
          <w:bCs/>
          <w:szCs w:val="24"/>
          <w:lang w:val="x-none" w:eastAsia="x-none"/>
        </w:rPr>
        <w:t xml:space="preserve">For example, </w:t>
      </w:r>
      <w:r w:rsidR="00A911DC">
        <w:rPr>
          <w:bCs/>
          <w:szCs w:val="24"/>
          <w:lang w:eastAsia="x-none"/>
        </w:rPr>
        <w:t xml:space="preserve">Dr. Woolridge reports </w:t>
      </w:r>
      <w:r w:rsidR="00D01F16">
        <w:rPr>
          <w:bCs/>
          <w:szCs w:val="24"/>
          <w:lang w:eastAsia="x-none"/>
        </w:rPr>
        <w:t xml:space="preserve">both </w:t>
      </w:r>
      <w:r w:rsidR="00A911DC">
        <w:rPr>
          <w:bCs/>
          <w:szCs w:val="24"/>
          <w:lang w:eastAsia="x-none"/>
        </w:rPr>
        <w:t xml:space="preserve">mean </w:t>
      </w:r>
      <w:r w:rsidR="00D01F16">
        <w:rPr>
          <w:bCs/>
          <w:szCs w:val="24"/>
          <w:lang w:eastAsia="x-none"/>
        </w:rPr>
        <w:t xml:space="preserve">and median </w:t>
      </w:r>
      <w:r w:rsidR="00A911DC">
        <w:rPr>
          <w:bCs/>
          <w:szCs w:val="24"/>
          <w:lang w:eastAsia="x-none"/>
        </w:rPr>
        <w:t xml:space="preserve">results on </w:t>
      </w:r>
      <w:r w:rsidR="00D01F16">
        <w:rPr>
          <w:bCs/>
          <w:szCs w:val="24"/>
          <w:lang w:eastAsia="x-none"/>
        </w:rPr>
        <w:t>page</w:t>
      </w:r>
      <w:r w:rsidR="00D01F16">
        <w:t xml:space="preserve"> 1 of </w:t>
      </w:r>
      <w:r w:rsidRPr="00255659">
        <w:rPr>
          <w:bCs/>
          <w:szCs w:val="24"/>
          <w:lang w:val="x-none" w:eastAsia="x-none"/>
        </w:rPr>
        <w:t>Exh</w:t>
      </w:r>
      <w:r w:rsidR="00D01F16">
        <w:rPr>
          <w:bCs/>
          <w:szCs w:val="24"/>
          <w:lang w:eastAsia="x-none"/>
        </w:rPr>
        <w:t>.</w:t>
      </w:r>
      <w:r w:rsidR="00A911DC">
        <w:rPr>
          <w:bCs/>
          <w:szCs w:val="24"/>
          <w:lang w:eastAsia="x-none"/>
        </w:rPr>
        <w:t> </w:t>
      </w:r>
      <w:r w:rsidRPr="00255659">
        <w:rPr>
          <w:bCs/>
          <w:szCs w:val="24"/>
          <w:lang w:val="x-none" w:eastAsia="x-none"/>
        </w:rPr>
        <w:t>JRW-6</w:t>
      </w:r>
      <w:r w:rsidR="00D01F16">
        <w:rPr>
          <w:bCs/>
          <w:szCs w:val="24"/>
          <w:lang w:eastAsia="x-none"/>
        </w:rPr>
        <w:t>, but he only reports mean results on page 2 of the same exhibit. Elsewhere, such as Exh. JRW-12, Dr. Woolridge reports both median and median results but then appears to rely on the mean of the median results</w:t>
      </w:r>
      <w:r w:rsidRPr="00255659">
        <w:rPr>
          <w:bCs/>
          <w:szCs w:val="24"/>
          <w:lang w:val="x-none" w:eastAsia="x-none"/>
        </w:rPr>
        <w:t>.</w:t>
      </w:r>
    </w:p>
    <w:p w:rsidR="00AA31D3" w:rsidRPr="00255659" w:rsidRDefault="00D01F16" w:rsidP="00540A76">
      <w:pPr>
        <w:pStyle w:val="answer"/>
        <w:ind w:firstLine="0"/>
        <w:rPr>
          <w:lang w:eastAsia="en-US"/>
        </w:rPr>
      </w:pPr>
      <w:r>
        <w:rPr>
          <w:bCs/>
          <w:szCs w:val="24"/>
          <w:lang w:eastAsia="x-none"/>
        </w:rPr>
        <w:t xml:space="preserve">Dr. Woolridge inappropriate </w:t>
      </w:r>
      <w:r w:rsidR="00AA31D3" w:rsidRPr="00255659">
        <w:rPr>
          <w:bCs/>
          <w:szCs w:val="24"/>
          <w:lang w:val="x-none" w:eastAsia="x-none"/>
        </w:rPr>
        <w:t>use</w:t>
      </w:r>
      <w:r>
        <w:rPr>
          <w:bCs/>
          <w:szCs w:val="24"/>
          <w:lang w:eastAsia="x-none"/>
        </w:rPr>
        <w:t>s</w:t>
      </w:r>
      <w:r w:rsidR="00AA31D3" w:rsidRPr="00255659">
        <w:rPr>
          <w:bCs/>
          <w:szCs w:val="24"/>
          <w:lang w:val="x-none" w:eastAsia="x-none"/>
        </w:rPr>
        <w:t xml:space="preserve"> median </w:t>
      </w:r>
      <w:r>
        <w:rPr>
          <w:bCs/>
          <w:szCs w:val="24"/>
          <w:lang w:eastAsia="x-none"/>
        </w:rPr>
        <w:t xml:space="preserve">results </w:t>
      </w:r>
      <w:r w:rsidR="00AA31D3" w:rsidRPr="00255659">
        <w:rPr>
          <w:bCs/>
          <w:szCs w:val="24"/>
          <w:lang w:val="x-none" w:eastAsia="x-none"/>
        </w:rPr>
        <w:t>as a measure of central tendency when estimating the cost of capital.</w:t>
      </w:r>
      <w:r w:rsidR="00287C5A">
        <w:rPr>
          <w:bCs/>
          <w:szCs w:val="24"/>
          <w:lang w:eastAsia="x-none"/>
        </w:rPr>
        <w:t xml:space="preserve"> </w:t>
      </w:r>
      <w:r w:rsidR="00AA31D3" w:rsidRPr="00255659">
        <w:rPr>
          <w:bCs/>
          <w:szCs w:val="24"/>
          <w:lang w:val="x-none" w:eastAsia="x-none"/>
        </w:rPr>
        <w:t xml:space="preserve">The median is defined as the </w:t>
      </w:r>
      <w:r w:rsidR="00AA31D3" w:rsidRPr="00D01F16">
        <w:rPr>
          <w:bCs/>
          <w:i/>
          <w:szCs w:val="24"/>
          <w:lang w:val="x-none" w:eastAsia="x-none"/>
        </w:rPr>
        <w:t>single</w:t>
      </w:r>
      <w:r w:rsidR="00AA31D3" w:rsidRPr="00255659">
        <w:rPr>
          <w:bCs/>
          <w:szCs w:val="24"/>
          <w:lang w:val="x-none" w:eastAsia="x-none"/>
        </w:rPr>
        <w:t xml:space="preserve"> number in a</w:t>
      </w:r>
      <w:r w:rsidR="00AA31D3" w:rsidRPr="00255659">
        <w:rPr>
          <w:szCs w:val="24"/>
          <w:lang w:val="x-none" w:eastAsia="x-none"/>
        </w:rPr>
        <w:t xml:space="preserve"> series of numbers that divides the highest half of the numbers from the lowest half of the numbers in the series.</w:t>
      </w:r>
      <w:r w:rsidR="00287C5A">
        <w:rPr>
          <w:szCs w:val="24"/>
          <w:lang w:eastAsia="x-none"/>
        </w:rPr>
        <w:t xml:space="preserve"> </w:t>
      </w:r>
      <w:r w:rsidR="00AA31D3" w:rsidRPr="00255659">
        <w:rPr>
          <w:szCs w:val="24"/>
          <w:lang w:val="x-none" w:eastAsia="x-none"/>
        </w:rPr>
        <w:t xml:space="preserve">For example, if you had a series of numbers 8, 9, </w:t>
      </w:r>
      <w:r w:rsidR="00AA31D3" w:rsidRPr="00255659">
        <w:rPr>
          <w:szCs w:val="24"/>
          <w:lang w:val="x-none" w:eastAsia="x-none"/>
        </w:rPr>
        <w:lastRenderedPageBreak/>
        <w:t>10, 11, 12, the median of that series would be 10</w:t>
      </w:r>
      <w:r>
        <w:rPr>
          <w:szCs w:val="24"/>
          <w:lang w:eastAsia="x-none"/>
        </w:rPr>
        <w:t xml:space="preserve"> because </w:t>
      </w:r>
      <w:r w:rsidR="00AA31D3" w:rsidRPr="00255659">
        <w:rPr>
          <w:szCs w:val="24"/>
          <w:lang w:val="x-none" w:eastAsia="x-none"/>
        </w:rPr>
        <w:t>there are two values greater than 10 and two that are less than 10.</w:t>
      </w:r>
      <w:r w:rsidR="00287C5A">
        <w:rPr>
          <w:szCs w:val="24"/>
          <w:lang w:eastAsia="x-none"/>
        </w:rPr>
        <w:t xml:space="preserve"> </w:t>
      </w:r>
      <w:r w:rsidR="00AA31D3" w:rsidRPr="00255659">
        <w:rPr>
          <w:szCs w:val="24"/>
          <w:lang w:val="x-none" w:eastAsia="x-none"/>
        </w:rPr>
        <w:t>The mean (simple average) of that same series is also 10.</w:t>
      </w:r>
      <w:r w:rsidR="00287C5A">
        <w:rPr>
          <w:szCs w:val="24"/>
          <w:lang w:eastAsia="x-none"/>
        </w:rPr>
        <w:t xml:space="preserve"> </w:t>
      </w:r>
      <w:r w:rsidR="00AA31D3" w:rsidRPr="00255659">
        <w:rPr>
          <w:szCs w:val="24"/>
          <w:lang w:val="x-none" w:eastAsia="x-none"/>
        </w:rPr>
        <w:t xml:space="preserve">However, consider the following series of </w:t>
      </w:r>
      <w:r>
        <w:rPr>
          <w:szCs w:val="24"/>
          <w:lang w:eastAsia="x-none"/>
        </w:rPr>
        <w:t>numbers</w:t>
      </w:r>
      <w:r w:rsidR="00AA31D3" w:rsidRPr="00255659">
        <w:rPr>
          <w:szCs w:val="24"/>
          <w:lang w:val="x-none" w:eastAsia="x-none"/>
        </w:rPr>
        <w:t>:</w:t>
      </w:r>
      <w:r w:rsidR="00287C5A">
        <w:rPr>
          <w:szCs w:val="24"/>
          <w:lang w:eastAsia="x-none"/>
        </w:rPr>
        <w:t xml:space="preserve"> </w:t>
      </w:r>
      <w:r w:rsidR="00AA31D3" w:rsidRPr="00255659">
        <w:rPr>
          <w:szCs w:val="24"/>
          <w:lang w:val="x-none" w:eastAsia="x-none"/>
        </w:rPr>
        <w:t>8, 9, 10, 13, 15.</w:t>
      </w:r>
      <w:r w:rsidR="00287C5A">
        <w:rPr>
          <w:szCs w:val="24"/>
          <w:lang w:eastAsia="x-none"/>
        </w:rPr>
        <w:t xml:space="preserve"> </w:t>
      </w:r>
      <w:r w:rsidR="00AA31D3" w:rsidRPr="00255659">
        <w:rPr>
          <w:szCs w:val="24"/>
          <w:lang w:val="x-none" w:eastAsia="x-none"/>
        </w:rPr>
        <w:t>The median of this series remains 10, but the mean is now 11.</w:t>
      </w:r>
      <w:r w:rsidR="00287C5A">
        <w:rPr>
          <w:szCs w:val="24"/>
          <w:lang w:eastAsia="x-none"/>
        </w:rPr>
        <w:t xml:space="preserve"> </w:t>
      </w:r>
      <w:r w:rsidR="00AA31D3" w:rsidRPr="00255659">
        <w:rPr>
          <w:szCs w:val="24"/>
          <w:lang w:val="x-none" w:eastAsia="x-none"/>
        </w:rPr>
        <w:t xml:space="preserve">The median </w:t>
      </w:r>
      <w:r>
        <w:rPr>
          <w:szCs w:val="24"/>
          <w:lang w:eastAsia="x-none"/>
        </w:rPr>
        <w:t xml:space="preserve">discards </w:t>
      </w:r>
      <w:r w:rsidR="00AA31D3" w:rsidRPr="00255659">
        <w:rPr>
          <w:szCs w:val="24"/>
          <w:lang w:val="x-none" w:eastAsia="x-none"/>
        </w:rPr>
        <w:t>all information contained in the data series except one number.</w:t>
      </w:r>
      <w:r w:rsidR="00287C5A">
        <w:rPr>
          <w:szCs w:val="24"/>
          <w:lang w:eastAsia="x-none"/>
        </w:rPr>
        <w:t xml:space="preserve"> </w:t>
      </w:r>
      <w:r w:rsidR="00AA31D3" w:rsidRPr="00255659">
        <w:rPr>
          <w:szCs w:val="24"/>
          <w:lang w:val="x-none" w:eastAsia="x-none"/>
        </w:rPr>
        <w:t>Proponents of using the median argue that use of the median attenuates the impact of outliers.</w:t>
      </w:r>
      <w:r w:rsidR="00287C5A">
        <w:rPr>
          <w:szCs w:val="24"/>
          <w:lang w:eastAsia="x-none"/>
        </w:rPr>
        <w:t xml:space="preserve"> </w:t>
      </w:r>
      <w:r w:rsidR="00BD299C">
        <w:rPr>
          <w:szCs w:val="24"/>
          <w:lang w:eastAsia="x-none"/>
        </w:rPr>
        <w:t>In return on equity calculations, however</w:t>
      </w:r>
      <w:r w:rsidR="00AA31D3" w:rsidRPr="00255659">
        <w:rPr>
          <w:szCs w:val="24"/>
          <w:lang w:val="x-none" w:eastAsia="x-none"/>
        </w:rPr>
        <w:t xml:space="preserve">, </w:t>
      </w:r>
      <w:r w:rsidR="00BD299C">
        <w:rPr>
          <w:szCs w:val="24"/>
          <w:lang w:eastAsia="x-none"/>
        </w:rPr>
        <w:t xml:space="preserve">it is impossible to </w:t>
      </w:r>
      <w:r w:rsidR="00AA31D3" w:rsidRPr="00255659">
        <w:rPr>
          <w:szCs w:val="24"/>
          <w:lang w:val="x-none" w:eastAsia="x-none"/>
        </w:rPr>
        <w:t xml:space="preserve">know </w:t>
      </w:r>
      <w:r w:rsidR="00AA31D3" w:rsidRPr="00BD299C">
        <w:rPr>
          <w:i/>
          <w:szCs w:val="24"/>
          <w:lang w:val="x-none" w:eastAsia="x-none"/>
        </w:rPr>
        <w:t>a priori</w:t>
      </w:r>
      <w:r w:rsidR="00AA31D3" w:rsidRPr="00255659">
        <w:rPr>
          <w:szCs w:val="24"/>
          <w:lang w:val="x-none" w:eastAsia="x-none"/>
        </w:rPr>
        <w:t xml:space="preserve"> </w:t>
      </w:r>
      <w:r w:rsidR="00BD299C">
        <w:rPr>
          <w:szCs w:val="24"/>
          <w:lang w:eastAsia="x-none"/>
        </w:rPr>
        <w:t xml:space="preserve">what </w:t>
      </w:r>
      <w:r w:rsidR="00AA31D3" w:rsidRPr="00255659">
        <w:rPr>
          <w:szCs w:val="24"/>
          <w:lang w:val="x-none" w:eastAsia="x-none"/>
        </w:rPr>
        <w:t>values</w:t>
      </w:r>
      <w:r w:rsidR="00BD299C">
        <w:rPr>
          <w:szCs w:val="24"/>
          <w:lang w:eastAsia="x-none"/>
        </w:rPr>
        <w:t>, if any,</w:t>
      </w:r>
      <w:r w:rsidR="00AA31D3" w:rsidRPr="00255659">
        <w:rPr>
          <w:szCs w:val="24"/>
          <w:lang w:val="x-none" w:eastAsia="x-none"/>
        </w:rPr>
        <w:t xml:space="preserve"> are outliers.</w:t>
      </w:r>
      <w:r w:rsidR="00287C5A">
        <w:rPr>
          <w:szCs w:val="24"/>
          <w:lang w:eastAsia="x-none"/>
        </w:rPr>
        <w:t xml:space="preserve"> </w:t>
      </w:r>
      <w:r w:rsidR="00BD299C">
        <w:rPr>
          <w:szCs w:val="24"/>
          <w:lang w:eastAsia="x-none"/>
        </w:rPr>
        <w:t>Therefore</w:t>
      </w:r>
      <w:r w:rsidR="00AA31D3" w:rsidRPr="00255659">
        <w:rPr>
          <w:szCs w:val="24"/>
          <w:lang w:val="x-none" w:eastAsia="x-none"/>
        </w:rPr>
        <w:t xml:space="preserve">, it is preferable to use all the values in a data series, which is what the mean does, instead of relying on a single number as the median does. In short, </w:t>
      </w:r>
      <w:r w:rsidR="006B5168" w:rsidRPr="00255659">
        <w:rPr>
          <w:lang w:eastAsia="en-US"/>
        </w:rPr>
        <w:t>Dr.</w:t>
      </w:r>
      <w:r w:rsidR="006B5168">
        <w:rPr>
          <w:lang w:eastAsia="en-US"/>
        </w:rPr>
        <w:t> </w:t>
      </w:r>
      <w:r w:rsidR="00AA31D3" w:rsidRPr="00255659">
        <w:rPr>
          <w:szCs w:val="24"/>
          <w:lang w:val="x-none" w:eastAsia="x-none"/>
        </w:rPr>
        <w:t>Woolridge should have consistently relied on means rather than medians.</w:t>
      </w:r>
      <w:r w:rsidR="00287C5A">
        <w:rPr>
          <w:szCs w:val="24"/>
          <w:lang w:eastAsia="x-none"/>
        </w:rPr>
        <w:t xml:space="preserve"> </w:t>
      </w:r>
      <w:r w:rsidR="00BD299C">
        <w:rPr>
          <w:szCs w:val="24"/>
          <w:lang w:eastAsia="x-none"/>
        </w:rPr>
        <w:t xml:space="preserve">It may be that Dr. Woolridge’s use of median values </w:t>
      </w:r>
      <w:r w:rsidR="00AA31D3" w:rsidRPr="00255659">
        <w:rPr>
          <w:szCs w:val="24"/>
          <w:lang w:val="x-none" w:eastAsia="x-none"/>
        </w:rPr>
        <w:t>is somewhat result-oriented</w:t>
      </w:r>
      <w:r w:rsidR="00BD299C">
        <w:rPr>
          <w:szCs w:val="24"/>
          <w:lang w:eastAsia="x-none"/>
        </w:rPr>
        <w:t xml:space="preserve"> because median values may </w:t>
      </w:r>
      <w:r w:rsidR="00BD299C">
        <w:rPr>
          <w:szCs w:val="24"/>
          <w:lang w:val="x-none" w:eastAsia="x-none"/>
        </w:rPr>
        <w:t>result</w:t>
      </w:r>
      <w:r w:rsidR="00AA31D3" w:rsidRPr="00255659">
        <w:rPr>
          <w:szCs w:val="24"/>
          <w:lang w:val="x-none" w:eastAsia="x-none"/>
        </w:rPr>
        <w:t xml:space="preserve"> in lower estimates of central tendency.</w:t>
      </w:r>
    </w:p>
    <w:p w:rsidR="00AA31D3" w:rsidRPr="00255659" w:rsidRDefault="00AA31D3" w:rsidP="00540A76">
      <w:pPr>
        <w:pStyle w:val="question"/>
      </w:pPr>
      <w:r w:rsidRPr="00255659">
        <w:rPr>
          <w:lang w:eastAsia="en-US"/>
        </w:rPr>
        <w:t>Q.</w:t>
      </w:r>
      <w:r w:rsidRPr="00255659">
        <w:rPr>
          <w:lang w:eastAsia="en-US"/>
        </w:rPr>
        <w:tab/>
      </w:r>
      <w:r w:rsidR="00BD299C">
        <w:rPr>
          <w:lang w:eastAsia="en-US"/>
        </w:rPr>
        <w:t>P</w:t>
      </w:r>
      <w:r w:rsidR="00BD299C" w:rsidRPr="00255659">
        <w:rPr>
          <w:lang w:eastAsia="en-US"/>
        </w:rPr>
        <w:t xml:space="preserve">lease summarize your specific criticisms of </w:t>
      </w:r>
      <w:r w:rsidR="00BD299C">
        <w:rPr>
          <w:lang w:eastAsia="en-US"/>
        </w:rPr>
        <w:t>D</w:t>
      </w:r>
      <w:r w:rsidR="00BD299C" w:rsidRPr="00255659">
        <w:rPr>
          <w:lang w:eastAsia="en-US"/>
        </w:rPr>
        <w:t>r.</w:t>
      </w:r>
      <w:r w:rsidR="00BD299C">
        <w:rPr>
          <w:lang w:eastAsia="en-US"/>
        </w:rPr>
        <w:t> W</w:t>
      </w:r>
      <w:r w:rsidR="00BD299C" w:rsidRPr="00255659">
        <w:rPr>
          <w:lang w:eastAsia="en-US"/>
        </w:rPr>
        <w:t>oolridge</w:t>
      </w:r>
      <w:r w:rsidR="00BD299C">
        <w:rPr>
          <w:lang w:eastAsia="en-US"/>
        </w:rPr>
        <w:t>’</w:t>
      </w:r>
      <w:r w:rsidR="00BD299C" w:rsidRPr="00255659">
        <w:rPr>
          <w:lang w:eastAsia="en-US"/>
        </w:rPr>
        <w:t xml:space="preserve">s </w:t>
      </w:r>
      <w:r w:rsidR="00BD299C">
        <w:rPr>
          <w:lang w:eastAsia="en-US"/>
        </w:rPr>
        <w:t xml:space="preserve">return on equity </w:t>
      </w:r>
      <w:r w:rsidR="00BD299C" w:rsidRPr="00255659">
        <w:rPr>
          <w:lang w:eastAsia="en-US"/>
        </w:rPr>
        <w:t>testimony</w:t>
      </w:r>
      <w:r w:rsidRPr="00255659">
        <w:rPr>
          <w:lang w:eastAsia="en-US"/>
        </w:rPr>
        <w:t>.</w:t>
      </w:r>
    </w:p>
    <w:p w:rsidR="00D14A77" w:rsidRDefault="00AA31D3" w:rsidP="00D14A77">
      <w:pPr>
        <w:pStyle w:val="answer"/>
        <w:rPr>
          <w:szCs w:val="24"/>
          <w:lang w:eastAsia="en-US"/>
        </w:rPr>
      </w:pPr>
      <w:r w:rsidRPr="00255659">
        <w:rPr>
          <w:szCs w:val="24"/>
          <w:lang w:eastAsia="en-US"/>
        </w:rPr>
        <w:t>A.</w:t>
      </w:r>
      <w:r w:rsidRPr="00255659">
        <w:rPr>
          <w:szCs w:val="24"/>
          <w:lang w:eastAsia="en-US"/>
        </w:rPr>
        <w:tab/>
        <w:t xml:space="preserve">On technical and methodological grounds, I have </w:t>
      </w:r>
      <w:r w:rsidR="00193FEC">
        <w:rPr>
          <w:szCs w:val="24"/>
          <w:lang w:eastAsia="en-US"/>
        </w:rPr>
        <w:t>eight</w:t>
      </w:r>
      <w:r w:rsidRPr="00255659">
        <w:rPr>
          <w:szCs w:val="24"/>
          <w:lang w:eastAsia="en-US"/>
        </w:rPr>
        <w:t xml:space="preserve"> specific criticisms</w:t>
      </w:r>
      <w:r w:rsidR="00BD299C">
        <w:rPr>
          <w:szCs w:val="24"/>
          <w:lang w:eastAsia="en-US"/>
        </w:rPr>
        <w:t xml:space="preserve"> regarding </w:t>
      </w:r>
      <w:r w:rsidR="00BD299C">
        <w:rPr>
          <w:lang w:eastAsia="en-US"/>
        </w:rPr>
        <w:t>D</w:t>
      </w:r>
      <w:r w:rsidR="00BD299C" w:rsidRPr="00255659">
        <w:rPr>
          <w:lang w:eastAsia="en-US"/>
        </w:rPr>
        <w:t>r.</w:t>
      </w:r>
      <w:r w:rsidR="00BD299C">
        <w:rPr>
          <w:lang w:eastAsia="en-US"/>
        </w:rPr>
        <w:t> W</w:t>
      </w:r>
      <w:r w:rsidR="00BD299C" w:rsidRPr="00255659">
        <w:rPr>
          <w:lang w:eastAsia="en-US"/>
        </w:rPr>
        <w:t>oolridge</w:t>
      </w:r>
      <w:r w:rsidR="00BD299C">
        <w:rPr>
          <w:lang w:eastAsia="en-US"/>
        </w:rPr>
        <w:t>’</w:t>
      </w:r>
      <w:r w:rsidR="00BD299C" w:rsidRPr="00255659">
        <w:rPr>
          <w:lang w:eastAsia="en-US"/>
        </w:rPr>
        <w:t xml:space="preserve">s </w:t>
      </w:r>
      <w:r w:rsidR="00BD299C">
        <w:rPr>
          <w:lang w:eastAsia="en-US"/>
        </w:rPr>
        <w:t xml:space="preserve">return on equity </w:t>
      </w:r>
      <w:r w:rsidR="00BD299C" w:rsidRPr="00255659">
        <w:rPr>
          <w:lang w:eastAsia="en-US"/>
        </w:rPr>
        <w:t>testimony</w:t>
      </w:r>
      <w:r w:rsidRPr="00255659">
        <w:rPr>
          <w:szCs w:val="24"/>
          <w:lang w:eastAsia="en-US"/>
        </w:rPr>
        <w:t>:</w:t>
      </w:r>
    </w:p>
    <w:p w:rsidR="00D14A77" w:rsidRDefault="00255659" w:rsidP="00D14A77">
      <w:pPr>
        <w:pStyle w:val="answer"/>
        <w:ind w:left="1440"/>
        <w:rPr>
          <w:lang w:eastAsia="en-US"/>
        </w:rPr>
      </w:pPr>
      <w:r>
        <w:rPr>
          <w:lang w:eastAsia="en-US"/>
        </w:rPr>
        <w:t>1.</w:t>
      </w:r>
      <w:r>
        <w:rPr>
          <w:lang w:eastAsia="en-US"/>
        </w:rPr>
        <w:tab/>
      </w:r>
      <w:r w:rsidR="00AA31D3" w:rsidRPr="00255659">
        <w:rPr>
          <w:b/>
          <w:szCs w:val="24"/>
          <w:u w:val="single"/>
          <w:lang w:eastAsia="en-US"/>
        </w:rPr>
        <w:t>Return Recommendation Well Out of The Mainstream</w:t>
      </w:r>
      <w:r w:rsidR="00AA31D3" w:rsidRPr="00255659">
        <w:rPr>
          <w:b/>
          <w:szCs w:val="24"/>
          <w:lang w:eastAsia="en-US"/>
        </w:rPr>
        <w:t>.</w:t>
      </w:r>
      <w:r w:rsidR="00AA31D3" w:rsidRPr="00255659">
        <w:rPr>
          <w:szCs w:val="24"/>
          <w:lang w:eastAsia="en-US"/>
        </w:rPr>
        <w:t xml:space="preserve">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s recommended return is outside the zone of currently allowed rates of return for electric utilities in the United States and for his own primary sample of electric utilities.</w:t>
      </w:r>
      <w:r w:rsidR="00287C5A">
        <w:rPr>
          <w:szCs w:val="24"/>
          <w:lang w:eastAsia="en-US"/>
        </w:rPr>
        <w:t xml:space="preserve"> </w:t>
      </w:r>
      <w:r w:rsidR="00AA31D3" w:rsidRPr="00255659">
        <w:rPr>
          <w:szCs w:val="24"/>
          <w:lang w:eastAsia="en-US"/>
        </w:rPr>
        <w:t xml:space="preserve">The average allowed </w:t>
      </w:r>
      <w:r w:rsidR="00D14A77">
        <w:rPr>
          <w:szCs w:val="24"/>
          <w:lang w:eastAsia="en-US"/>
        </w:rPr>
        <w:t xml:space="preserve">return on equity authorized by state utility commissions </w:t>
      </w:r>
      <w:r w:rsidR="00AA31D3" w:rsidRPr="00255659">
        <w:rPr>
          <w:szCs w:val="24"/>
          <w:lang w:eastAsia="en-US"/>
        </w:rPr>
        <w:t xml:space="preserve">for electric utilities in 2017 </w:t>
      </w:r>
      <w:r w:rsidR="00AA31D3" w:rsidRPr="00255659">
        <w:rPr>
          <w:szCs w:val="24"/>
          <w:lang w:eastAsia="en-US"/>
        </w:rPr>
        <w:lastRenderedPageBreak/>
        <w:t>is 9.9</w:t>
      </w:r>
      <w:r w:rsidR="00D14A77">
        <w:rPr>
          <w:szCs w:val="24"/>
          <w:lang w:eastAsia="en-US"/>
        </w:rPr>
        <w:t> percent</w:t>
      </w:r>
      <w:r w:rsidR="00AA31D3" w:rsidRPr="00255659">
        <w:rPr>
          <w:szCs w:val="24"/>
          <w:lang w:eastAsia="en-US"/>
        </w:rPr>
        <w:t>.</w:t>
      </w:r>
      <w:r w:rsidR="00287C5A">
        <w:rPr>
          <w:szCs w:val="24"/>
          <w:lang w:eastAsia="en-US"/>
        </w:rPr>
        <w:t xml:space="preserve"> </w:t>
      </w:r>
      <w:r w:rsidR="00AA31D3" w:rsidRPr="00255659">
        <w:rPr>
          <w:szCs w:val="24"/>
          <w:lang w:eastAsia="en-US"/>
        </w:rPr>
        <w:t>The Commission</w:t>
      </w:r>
      <w:r>
        <w:rPr>
          <w:szCs w:val="24"/>
          <w:lang w:eastAsia="en-US"/>
        </w:rPr>
        <w:t>’</w:t>
      </w:r>
      <w:r w:rsidR="00AA31D3" w:rsidRPr="00255659">
        <w:rPr>
          <w:szCs w:val="24"/>
          <w:lang w:eastAsia="en-US"/>
        </w:rPr>
        <w:t xml:space="preserve">s currently </w:t>
      </w:r>
      <w:r w:rsidR="00D14A77">
        <w:rPr>
          <w:szCs w:val="24"/>
          <w:lang w:eastAsia="en-US"/>
        </w:rPr>
        <w:t xml:space="preserve">allowed return on equity </w:t>
      </w:r>
      <w:r w:rsidR="00AA31D3" w:rsidRPr="00255659">
        <w:rPr>
          <w:szCs w:val="24"/>
          <w:lang w:eastAsia="en-US"/>
        </w:rPr>
        <w:t xml:space="preserve">for </w:t>
      </w:r>
      <w:r w:rsidR="00D14A77">
        <w:rPr>
          <w:szCs w:val="24"/>
          <w:lang w:eastAsia="en-US"/>
        </w:rPr>
        <w:t xml:space="preserve">PSE </w:t>
      </w:r>
      <w:r w:rsidR="00AA31D3" w:rsidRPr="00255659">
        <w:rPr>
          <w:szCs w:val="24"/>
          <w:lang w:eastAsia="en-US"/>
        </w:rPr>
        <w:t>is 9.8</w:t>
      </w:r>
      <w:r w:rsidR="00D14A77">
        <w:rPr>
          <w:szCs w:val="24"/>
          <w:lang w:eastAsia="en-US"/>
        </w:rPr>
        <w:t> percent</w:t>
      </w:r>
      <w:r w:rsidR="00AA31D3" w:rsidRPr="00255659">
        <w:rPr>
          <w:szCs w:val="24"/>
          <w:lang w:eastAsia="en-US"/>
        </w:rPr>
        <w:t>, the same as my own recommendation.</w:t>
      </w:r>
      <w:r w:rsidR="00287C5A">
        <w:rPr>
          <w:szCs w:val="24"/>
          <w:lang w:eastAsia="en-US"/>
        </w:rPr>
        <w:t xml:space="preserve"> </w:t>
      </w:r>
      <w:r w:rsidR="00D14A77">
        <w:rPr>
          <w:szCs w:val="24"/>
          <w:lang w:eastAsia="en-US"/>
        </w:rPr>
        <w:t>F</w:t>
      </w:r>
      <w:r w:rsidR="00D14A77" w:rsidRPr="00255659">
        <w:rPr>
          <w:szCs w:val="24"/>
          <w:lang w:eastAsia="en-US"/>
        </w:rPr>
        <w:t xml:space="preserve">or </w:t>
      </w:r>
      <w:r w:rsidR="00D14A77" w:rsidRPr="00255659">
        <w:rPr>
          <w:lang w:eastAsia="en-US"/>
        </w:rPr>
        <w:t>Dr.</w:t>
      </w:r>
      <w:r w:rsidR="00D14A77">
        <w:rPr>
          <w:lang w:eastAsia="en-US"/>
        </w:rPr>
        <w:t> </w:t>
      </w:r>
      <w:r w:rsidR="00D14A77" w:rsidRPr="00255659">
        <w:rPr>
          <w:szCs w:val="24"/>
          <w:lang w:eastAsia="en-US"/>
        </w:rPr>
        <w:t>Woolridge</w:t>
      </w:r>
      <w:r w:rsidR="00D14A77">
        <w:rPr>
          <w:szCs w:val="24"/>
          <w:lang w:eastAsia="en-US"/>
        </w:rPr>
        <w:t>’</w:t>
      </w:r>
      <w:r w:rsidR="00D14A77" w:rsidRPr="00255659">
        <w:rPr>
          <w:szCs w:val="24"/>
          <w:lang w:eastAsia="en-US"/>
        </w:rPr>
        <w:t xml:space="preserve">s own </w:t>
      </w:r>
      <w:r w:rsidR="00D14A77">
        <w:rPr>
          <w:szCs w:val="24"/>
          <w:lang w:eastAsia="en-US"/>
        </w:rPr>
        <w:t xml:space="preserve">proxy group of comparable electric utilities, </w:t>
      </w:r>
      <w:r w:rsidR="00AA31D3" w:rsidRPr="00255659">
        <w:rPr>
          <w:szCs w:val="24"/>
          <w:lang w:eastAsia="en-US"/>
        </w:rPr>
        <w:t xml:space="preserve">the currently </w:t>
      </w:r>
      <w:r w:rsidR="00D14A77">
        <w:rPr>
          <w:szCs w:val="24"/>
          <w:lang w:eastAsia="en-US"/>
        </w:rPr>
        <w:t xml:space="preserve">allowed return on equity </w:t>
      </w:r>
      <w:r w:rsidR="00AA31D3" w:rsidRPr="00255659">
        <w:rPr>
          <w:szCs w:val="24"/>
          <w:lang w:eastAsia="en-US"/>
        </w:rPr>
        <w:t>averages 10.0</w:t>
      </w:r>
      <w:r w:rsidR="00D14A77">
        <w:rPr>
          <w:szCs w:val="24"/>
          <w:lang w:eastAsia="en-US"/>
        </w:rPr>
        <w:t> percent</w:t>
      </w:r>
      <w:r w:rsidR="00AA31D3" w:rsidRPr="00255659">
        <w:rPr>
          <w:szCs w:val="24"/>
          <w:lang w:eastAsia="en-US"/>
        </w:rPr>
        <w:t xml:space="preserve">, and Value Line </w:t>
      </w:r>
      <w:r w:rsidR="00D14A77">
        <w:rPr>
          <w:szCs w:val="24"/>
          <w:lang w:eastAsia="en-US"/>
        </w:rPr>
        <w:t xml:space="preserve">estimates </w:t>
      </w:r>
      <w:r w:rsidR="00AA31D3" w:rsidRPr="00255659">
        <w:rPr>
          <w:szCs w:val="24"/>
          <w:lang w:eastAsia="en-US"/>
        </w:rPr>
        <w:t xml:space="preserve">expected </w:t>
      </w:r>
      <w:r w:rsidR="00D14A77">
        <w:rPr>
          <w:szCs w:val="24"/>
          <w:lang w:eastAsia="en-US"/>
        </w:rPr>
        <w:t xml:space="preserve">average returns on equity of </w:t>
      </w:r>
      <w:r w:rsidR="00AA31D3" w:rsidRPr="00255659">
        <w:rPr>
          <w:szCs w:val="24"/>
          <w:lang w:eastAsia="en-US"/>
        </w:rPr>
        <w:t>10.7</w:t>
      </w:r>
      <w:r w:rsidR="00D14A77">
        <w:rPr>
          <w:szCs w:val="24"/>
          <w:lang w:eastAsia="en-US"/>
        </w:rPr>
        <w:t> percent</w:t>
      </w:r>
      <w:r w:rsidR="00AA31D3" w:rsidRPr="00255659">
        <w:rPr>
          <w:szCs w:val="24"/>
          <w:lang w:eastAsia="en-US"/>
        </w:rPr>
        <w:t xml:space="preserve">. These </w:t>
      </w:r>
      <w:r w:rsidR="00D14A77">
        <w:rPr>
          <w:szCs w:val="24"/>
          <w:lang w:eastAsia="en-US"/>
        </w:rPr>
        <w:t xml:space="preserve">allowed </w:t>
      </w:r>
      <w:r w:rsidR="00AA31D3" w:rsidRPr="00255659">
        <w:rPr>
          <w:szCs w:val="24"/>
          <w:lang w:eastAsia="en-US"/>
        </w:rPr>
        <w:t xml:space="preserve">and expected returns </w:t>
      </w:r>
      <w:r w:rsidR="00D14A77">
        <w:rPr>
          <w:szCs w:val="24"/>
          <w:lang w:eastAsia="en-US"/>
        </w:rPr>
        <w:t xml:space="preserve">on equity </w:t>
      </w:r>
      <w:r w:rsidR="00AA31D3" w:rsidRPr="00255659">
        <w:rPr>
          <w:szCs w:val="24"/>
          <w:lang w:eastAsia="en-US"/>
        </w:rPr>
        <w:t xml:space="preserve">exceed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s low 8.</w:t>
      </w:r>
      <w:r>
        <w:rPr>
          <w:szCs w:val="24"/>
          <w:lang w:eastAsia="en-US"/>
        </w:rPr>
        <w:t>85</w:t>
      </w:r>
      <w:r w:rsidR="00D14A77">
        <w:rPr>
          <w:szCs w:val="24"/>
          <w:lang w:eastAsia="en-US"/>
        </w:rPr>
        <w:t xml:space="preserve"> percent </w:t>
      </w:r>
      <w:r>
        <w:rPr>
          <w:szCs w:val="24"/>
          <w:lang w:eastAsia="en-US"/>
        </w:rPr>
        <w:t>recommended return for PSE</w:t>
      </w:r>
      <w:r w:rsidR="00D14A77" w:rsidRPr="00D14A77">
        <w:rPr>
          <w:szCs w:val="24"/>
          <w:lang w:eastAsia="en-US"/>
        </w:rPr>
        <w:t xml:space="preserve"> </w:t>
      </w:r>
      <w:r w:rsidR="00D14A77" w:rsidRPr="00255659">
        <w:rPr>
          <w:szCs w:val="24"/>
          <w:lang w:eastAsia="en-US"/>
        </w:rPr>
        <w:t>by a significant margin</w:t>
      </w:r>
      <w:r>
        <w:rPr>
          <w:szCs w:val="24"/>
          <w:lang w:eastAsia="en-US"/>
        </w:rPr>
        <w:t>.</w:t>
      </w:r>
    </w:p>
    <w:p w:rsidR="001B79BF" w:rsidRDefault="00255659" w:rsidP="001B79BF">
      <w:pPr>
        <w:pStyle w:val="answer"/>
        <w:ind w:left="1440"/>
        <w:rPr>
          <w:lang w:eastAsia="en-US"/>
        </w:rPr>
      </w:pPr>
      <w:r>
        <w:rPr>
          <w:szCs w:val="24"/>
          <w:lang w:eastAsia="en-US"/>
        </w:rPr>
        <w:t>2.</w:t>
      </w:r>
      <w:r>
        <w:rPr>
          <w:szCs w:val="24"/>
          <w:lang w:eastAsia="en-US"/>
        </w:rPr>
        <w:tab/>
      </w:r>
      <w:r w:rsidR="00AA31D3" w:rsidRPr="00255659">
        <w:rPr>
          <w:b/>
          <w:bCs/>
          <w:szCs w:val="24"/>
          <w:u w:val="single"/>
          <w:lang w:eastAsia="en-US"/>
        </w:rPr>
        <w:t>Understated Dividend Yield</w:t>
      </w:r>
      <w:r w:rsidR="00AA31D3" w:rsidRPr="00255659">
        <w:rPr>
          <w:b/>
          <w:bCs/>
          <w:szCs w:val="24"/>
          <w:lang w:eastAsia="en-US"/>
        </w:rPr>
        <w:t>.</w:t>
      </w:r>
      <w:r w:rsidR="00287C5A">
        <w:rPr>
          <w:b/>
          <w:bCs/>
          <w:szCs w:val="24"/>
          <w:lang w:eastAsia="en-US"/>
        </w:rPr>
        <w:t xml:space="preserve">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s dividend yield component is understated because it is not consistent with the annual form of the DCF model. It is inappropriate to</w:t>
      </w:r>
      <w:r w:rsidR="00AA31D3" w:rsidRPr="00255659">
        <w:rPr>
          <w:b/>
          <w:bCs/>
          <w:szCs w:val="24"/>
          <w:lang w:eastAsia="en-US"/>
        </w:rPr>
        <w:t xml:space="preserve"> </w:t>
      </w:r>
      <w:r w:rsidR="00AA31D3" w:rsidRPr="00255659">
        <w:rPr>
          <w:bCs/>
          <w:szCs w:val="24"/>
          <w:lang w:eastAsia="en-US"/>
        </w:rPr>
        <w:t>increase</w:t>
      </w:r>
      <w:r w:rsidR="00AA31D3" w:rsidRPr="00255659">
        <w:rPr>
          <w:b/>
          <w:bCs/>
          <w:szCs w:val="24"/>
          <w:lang w:eastAsia="en-US"/>
        </w:rPr>
        <w:t xml:space="preserve"> </w:t>
      </w:r>
      <w:r w:rsidR="00AA31D3" w:rsidRPr="00255659">
        <w:rPr>
          <w:szCs w:val="24"/>
          <w:lang w:eastAsia="en-US"/>
        </w:rPr>
        <w:t>the dividend yield by adding one-half the future growth rate to the spot dividend yield.</w:t>
      </w:r>
      <w:r w:rsidR="00287C5A">
        <w:rPr>
          <w:szCs w:val="24"/>
          <w:lang w:eastAsia="en-US"/>
        </w:rPr>
        <w:t xml:space="preserve"> </w:t>
      </w:r>
      <w:r w:rsidR="00AA31D3" w:rsidRPr="00255659">
        <w:rPr>
          <w:szCs w:val="24"/>
          <w:lang w:eastAsia="en-US"/>
        </w:rPr>
        <w:t>The appropriate manner of computing the expected dividend yield when using the plain vanilla annual DCF model is to add the full growth rate rather than one-half the growth rate.</w:t>
      </w:r>
      <w:r w:rsidR="00287C5A">
        <w:rPr>
          <w:szCs w:val="24"/>
          <w:lang w:eastAsia="en-US"/>
        </w:rPr>
        <w:t xml:space="preserve"> </w:t>
      </w:r>
      <w:r w:rsidR="00AA31D3" w:rsidRPr="00255659">
        <w:rPr>
          <w:szCs w:val="24"/>
          <w:lang w:eastAsia="en-US"/>
        </w:rPr>
        <w:t>This adjustment also allows for the failure of the annual DCF model to allow for the quarterly timing of dividend payments.</w:t>
      </w:r>
      <w:r w:rsidR="00287C5A">
        <w:rPr>
          <w:szCs w:val="24"/>
          <w:lang w:eastAsia="en-US"/>
        </w:rPr>
        <w:t xml:space="preserve"> </w:t>
      </w:r>
      <w:r w:rsidR="00AA31D3" w:rsidRPr="00255659">
        <w:rPr>
          <w:szCs w:val="24"/>
          <w:lang w:eastAsia="en-US"/>
        </w:rPr>
        <w:t xml:space="preserve">In short,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s DCF results are understated by some 10</w:t>
      </w:r>
      <w:r w:rsidR="001B79BF">
        <w:rPr>
          <w:szCs w:val="24"/>
          <w:lang w:eastAsia="en-US"/>
        </w:rPr>
        <w:t> </w:t>
      </w:r>
      <w:r w:rsidR="00AA31D3" w:rsidRPr="00255659">
        <w:rPr>
          <w:szCs w:val="24"/>
          <w:lang w:eastAsia="en-US"/>
        </w:rPr>
        <w:t xml:space="preserve">basis points </w:t>
      </w:r>
      <w:r w:rsidR="001B79BF">
        <w:rPr>
          <w:szCs w:val="24"/>
          <w:lang w:eastAsia="en-US"/>
        </w:rPr>
        <w:t xml:space="preserve">(i.e., 0.1 percent) </w:t>
      </w:r>
      <w:r w:rsidR="00AA31D3" w:rsidRPr="00255659">
        <w:rPr>
          <w:szCs w:val="24"/>
          <w:lang w:eastAsia="en-US"/>
        </w:rPr>
        <w:t>alone related to this single flaw.</w:t>
      </w:r>
    </w:p>
    <w:p w:rsidR="001B79BF" w:rsidRDefault="00255659" w:rsidP="001B79BF">
      <w:pPr>
        <w:pStyle w:val="answer"/>
        <w:ind w:left="1440"/>
        <w:rPr>
          <w:szCs w:val="24"/>
          <w:lang w:eastAsia="en-US"/>
        </w:rPr>
      </w:pPr>
      <w:r>
        <w:rPr>
          <w:lang w:eastAsia="en-US"/>
        </w:rPr>
        <w:t>3.</w:t>
      </w:r>
      <w:r>
        <w:rPr>
          <w:lang w:eastAsia="en-US"/>
        </w:rPr>
        <w:tab/>
      </w:r>
      <w:r w:rsidR="00AA31D3" w:rsidRPr="00255659">
        <w:rPr>
          <w:b/>
          <w:szCs w:val="24"/>
          <w:u w:val="single"/>
          <w:lang w:eastAsia="en-US"/>
        </w:rPr>
        <w:t>DCF Historical Growth Rates</w:t>
      </w:r>
      <w:r w:rsidR="00AA31D3" w:rsidRPr="00255659">
        <w:rPr>
          <w:b/>
          <w:szCs w:val="24"/>
          <w:lang w:eastAsia="en-US"/>
        </w:rPr>
        <w:t>.</w:t>
      </w:r>
      <w:r w:rsidR="00287C5A">
        <w:rPr>
          <w:szCs w:val="24"/>
          <w:lang w:eastAsia="en-US"/>
        </w:rPr>
        <w:t xml:space="preserve"> </w:t>
      </w:r>
      <w:r w:rsidR="006B5168" w:rsidRPr="00255659">
        <w:rPr>
          <w:lang w:eastAsia="en-US"/>
        </w:rPr>
        <w:t>Dr.</w:t>
      </w:r>
      <w:r w:rsidR="006B5168">
        <w:rPr>
          <w:lang w:eastAsia="en-US"/>
        </w:rPr>
        <w:t> </w:t>
      </w:r>
      <w:r w:rsidR="00AA31D3" w:rsidRPr="00255659">
        <w:rPr>
          <w:szCs w:val="24"/>
          <w:lang w:eastAsia="en-US"/>
        </w:rPr>
        <w:t>Woolridge examines thirteen</w:t>
      </w:r>
      <w:r w:rsidR="00AA31D3" w:rsidRPr="00255659">
        <w:rPr>
          <w:color w:val="FF0000"/>
          <w:szCs w:val="24"/>
          <w:lang w:eastAsia="en-US"/>
        </w:rPr>
        <w:t xml:space="preserve"> </w:t>
      </w:r>
      <w:r w:rsidR="00AA31D3" w:rsidRPr="00255659">
        <w:rPr>
          <w:color w:val="000000"/>
          <w:szCs w:val="24"/>
          <w:lang w:eastAsia="en-US"/>
        </w:rPr>
        <w:t xml:space="preserve">growth </w:t>
      </w:r>
      <w:r w:rsidR="00AA31D3" w:rsidRPr="00255659">
        <w:rPr>
          <w:szCs w:val="24"/>
          <w:lang w:eastAsia="en-US"/>
        </w:rPr>
        <w:t>proxies</w:t>
      </w:r>
      <w:r w:rsidR="001B79BF" w:rsidRPr="001B79BF">
        <w:rPr>
          <w:szCs w:val="24"/>
          <w:lang w:eastAsia="en-US"/>
        </w:rPr>
        <w:t xml:space="preserve"> </w:t>
      </w:r>
      <w:r w:rsidR="001B79BF">
        <w:rPr>
          <w:szCs w:val="24"/>
          <w:lang w:eastAsia="en-US"/>
        </w:rPr>
        <w:t xml:space="preserve">for the </w:t>
      </w:r>
      <w:r w:rsidR="001B79BF" w:rsidRPr="00255659">
        <w:rPr>
          <w:szCs w:val="24"/>
          <w:lang w:eastAsia="en-US"/>
        </w:rPr>
        <w:t>growth component of the DCF model,</w:t>
      </w:r>
      <w:r w:rsidR="00AA31D3" w:rsidRPr="00255659">
        <w:rPr>
          <w:szCs w:val="24"/>
          <w:lang w:eastAsia="en-US"/>
        </w:rPr>
        <w:t xml:space="preserve"> six of which are historical growth rates in earnings, dividends, and book value, despite substantial changes occurring in the energy utility industry that have made history questionable.</w:t>
      </w:r>
      <w:r w:rsidR="00287C5A">
        <w:rPr>
          <w:szCs w:val="24"/>
          <w:lang w:eastAsia="en-US"/>
        </w:rPr>
        <w:t xml:space="preserve"> </w:t>
      </w:r>
      <w:r w:rsidR="00AA31D3" w:rsidRPr="00255659">
        <w:rPr>
          <w:szCs w:val="24"/>
          <w:lang w:eastAsia="en-US"/>
        </w:rPr>
        <w:t xml:space="preserve">Moreover, historical growth rates are somewhat </w:t>
      </w:r>
      <w:r w:rsidR="00AA31D3" w:rsidRPr="00255659">
        <w:rPr>
          <w:szCs w:val="24"/>
          <w:lang w:eastAsia="en-US"/>
        </w:rPr>
        <w:lastRenderedPageBreak/>
        <w:t>redundant since historical growth patterns are already reflected in analysts</w:t>
      </w:r>
      <w:r>
        <w:rPr>
          <w:szCs w:val="24"/>
          <w:lang w:eastAsia="en-US"/>
        </w:rPr>
        <w:t>’</w:t>
      </w:r>
      <w:r w:rsidR="00AA31D3" w:rsidRPr="00255659">
        <w:rPr>
          <w:szCs w:val="24"/>
          <w:lang w:eastAsia="en-US"/>
        </w:rPr>
        <w:t xml:space="preserve"> growth forecasts, which he also uses.</w:t>
      </w:r>
      <w:r w:rsidR="00287C5A">
        <w:rPr>
          <w:szCs w:val="24"/>
          <w:lang w:eastAsia="en-US"/>
        </w:rPr>
        <w:t xml:space="preserve"> </w:t>
      </w:r>
      <w:r w:rsidR="001B79BF">
        <w:rPr>
          <w:szCs w:val="24"/>
          <w:lang w:eastAsia="en-US"/>
        </w:rPr>
        <w:t>Finally</w:t>
      </w:r>
      <w:r w:rsidR="00AA31D3" w:rsidRPr="00255659">
        <w:rPr>
          <w:szCs w:val="24"/>
          <w:lang w:eastAsia="en-US"/>
        </w:rPr>
        <w:t xml:space="preserve">, the stock price </w:t>
      </w:r>
      <w:r w:rsidR="006B5168" w:rsidRPr="00255659">
        <w:rPr>
          <w:lang w:eastAsia="en-US"/>
        </w:rPr>
        <w:t>Dr.</w:t>
      </w:r>
      <w:r w:rsidR="006B5168">
        <w:rPr>
          <w:lang w:eastAsia="en-US"/>
        </w:rPr>
        <w:t> </w:t>
      </w:r>
      <w:r w:rsidR="00AA31D3" w:rsidRPr="00255659">
        <w:rPr>
          <w:szCs w:val="24"/>
          <w:lang w:eastAsia="en-US"/>
        </w:rPr>
        <w:t>Woolridge uses in his DCF analysis is predicated on analysts</w:t>
      </w:r>
      <w:r>
        <w:rPr>
          <w:szCs w:val="24"/>
          <w:lang w:eastAsia="en-US"/>
        </w:rPr>
        <w:t>’</w:t>
      </w:r>
      <w:r w:rsidR="00AA31D3" w:rsidRPr="00255659">
        <w:rPr>
          <w:szCs w:val="24"/>
          <w:lang w:eastAsia="en-US"/>
        </w:rPr>
        <w:t xml:space="preserve"> growth forecasts and n</w:t>
      </w:r>
      <w:r>
        <w:rPr>
          <w:szCs w:val="24"/>
          <w:lang w:eastAsia="en-US"/>
        </w:rPr>
        <w:t>ot on historical growth rates.</w:t>
      </w:r>
    </w:p>
    <w:p w:rsidR="001B79BF" w:rsidRDefault="00255659" w:rsidP="001B79BF">
      <w:pPr>
        <w:pStyle w:val="answer"/>
        <w:ind w:left="1440"/>
        <w:rPr>
          <w:lang w:eastAsia="en-US"/>
        </w:rPr>
      </w:pPr>
      <w:r>
        <w:rPr>
          <w:szCs w:val="24"/>
          <w:lang w:eastAsia="en-US"/>
        </w:rPr>
        <w:t>4.</w:t>
      </w:r>
      <w:r>
        <w:rPr>
          <w:szCs w:val="24"/>
          <w:lang w:eastAsia="en-US"/>
        </w:rPr>
        <w:tab/>
      </w:r>
      <w:r w:rsidR="00AA31D3" w:rsidRPr="00255659">
        <w:rPr>
          <w:b/>
          <w:szCs w:val="24"/>
          <w:u w:val="single"/>
          <w:lang w:val="x-none" w:eastAsia="x-none"/>
        </w:rPr>
        <w:t>Sustainable Growth Method</w:t>
      </w:r>
      <w:r w:rsidR="001B79BF">
        <w:rPr>
          <w:b/>
          <w:szCs w:val="24"/>
          <w:u w:val="single"/>
          <w:lang w:eastAsia="x-none"/>
        </w:rPr>
        <w:t>ology</w:t>
      </w:r>
      <w:r w:rsidR="00AA31D3" w:rsidRPr="00255659">
        <w:rPr>
          <w:b/>
          <w:szCs w:val="24"/>
          <w:lang w:val="x-none" w:eastAsia="x-none"/>
        </w:rPr>
        <w:t>.</w:t>
      </w:r>
      <w:r w:rsidR="00287C5A">
        <w:rPr>
          <w:szCs w:val="24"/>
          <w:lang w:eastAsia="x-none"/>
        </w:rPr>
        <w:t xml:space="preserve"> </w:t>
      </w:r>
      <w:r w:rsidR="00AA31D3" w:rsidRPr="00255659">
        <w:rPr>
          <w:szCs w:val="24"/>
          <w:lang w:val="x-none" w:eastAsia="x-none"/>
        </w:rPr>
        <w:t xml:space="preserve">The sustainable growth </w:t>
      </w:r>
      <w:r w:rsidR="001B79BF">
        <w:rPr>
          <w:szCs w:val="24"/>
          <w:lang w:eastAsia="x-none"/>
        </w:rPr>
        <w:t xml:space="preserve">methodology </w:t>
      </w:r>
      <w:r w:rsidR="001B79BF" w:rsidRPr="00255659">
        <w:rPr>
          <w:szCs w:val="24"/>
          <w:lang w:val="x-none" w:eastAsia="x-none"/>
        </w:rPr>
        <w:t xml:space="preserve">employed by </w:t>
      </w:r>
      <w:r w:rsidR="001B79BF" w:rsidRPr="00255659">
        <w:rPr>
          <w:lang w:eastAsia="en-US"/>
        </w:rPr>
        <w:t>Dr.</w:t>
      </w:r>
      <w:r w:rsidR="001B79BF">
        <w:rPr>
          <w:lang w:eastAsia="en-US"/>
        </w:rPr>
        <w:t> </w:t>
      </w:r>
      <w:r w:rsidR="001B79BF" w:rsidRPr="00255659">
        <w:rPr>
          <w:szCs w:val="24"/>
          <w:lang w:val="x-none" w:eastAsia="x-none"/>
        </w:rPr>
        <w:t xml:space="preserve">Woolridge </w:t>
      </w:r>
      <w:r w:rsidR="00AA31D3" w:rsidRPr="00255659">
        <w:rPr>
          <w:szCs w:val="24"/>
          <w:lang w:val="x-none" w:eastAsia="x-none"/>
        </w:rPr>
        <w:t>for estimating the growth component in the DCF formula is logically inconsistent</w:t>
      </w:r>
      <w:r w:rsidR="00AA31D3" w:rsidRPr="00255659">
        <w:rPr>
          <w:b/>
          <w:szCs w:val="24"/>
          <w:lang w:val="x-none" w:eastAsia="x-none"/>
        </w:rPr>
        <w:t xml:space="preserve"> </w:t>
      </w:r>
      <w:r w:rsidR="00AA31D3" w:rsidRPr="00255659">
        <w:rPr>
          <w:szCs w:val="24"/>
          <w:lang w:val="x-none" w:eastAsia="x-none"/>
        </w:rPr>
        <w:t>because one is forced to assume the answer to implement the method.</w:t>
      </w:r>
      <w:r w:rsidR="00287C5A">
        <w:rPr>
          <w:szCs w:val="24"/>
          <w:lang w:eastAsia="x-none"/>
        </w:rPr>
        <w:t xml:space="preserve"> </w:t>
      </w:r>
      <w:r w:rsidR="00AA31D3" w:rsidRPr="00255659">
        <w:rPr>
          <w:szCs w:val="24"/>
          <w:lang w:val="x-none" w:eastAsia="x-none"/>
        </w:rPr>
        <w:t xml:space="preserve">Moreover, </w:t>
      </w:r>
      <w:r w:rsidR="006B5168" w:rsidRPr="00255659">
        <w:rPr>
          <w:lang w:eastAsia="en-US"/>
        </w:rPr>
        <w:t>Dr.</w:t>
      </w:r>
      <w:r w:rsidR="006B5168">
        <w:rPr>
          <w:lang w:eastAsia="en-US"/>
        </w:rPr>
        <w:t> </w:t>
      </w:r>
      <w:r w:rsidR="00AA31D3" w:rsidRPr="00255659">
        <w:rPr>
          <w:szCs w:val="24"/>
          <w:lang w:val="x-none" w:eastAsia="x-none"/>
        </w:rPr>
        <w:t>Woolridge</w:t>
      </w:r>
      <w:r>
        <w:rPr>
          <w:szCs w:val="24"/>
          <w:lang w:val="x-none" w:eastAsia="x-none"/>
        </w:rPr>
        <w:t>’</w:t>
      </w:r>
      <w:r w:rsidR="00AA31D3" w:rsidRPr="00255659">
        <w:rPr>
          <w:szCs w:val="24"/>
          <w:lang w:val="x-none" w:eastAsia="x-none"/>
        </w:rPr>
        <w:t>s sustainable growth methodology fails to account for external stock financing.</w:t>
      </w:r>
    </w:p>
    <w:p w:rsidR="001B79BF" w:rsidRDefault="00255659" w:rsidP="001B79BF">
      <w:pPr>
        <w:pStyle w:val="answer"/>
        <w:ind w:left="1440"/>
        <w:rPr>
          <w:lang w:eastAsia="en-US"/>
        </w:rPr>
      </w:pPr>
      <w:r>
        <w:rPr>
          <w:lang w:eastAsia="en-US"/>
        </w:rPr>
        <w:t>5.</w:t>
      </w:r>
      <w:r>
        <w:rPr>
          <w:lang w:eastAsia="en-US"/>
        </w:rPr>
        <w:tab/>
      </w:r>
      <w:r w:rsidR="00AA31D3" w:rsidRPr="00255659">
        <w:rPr>
          <w:b/>
          <w:szCs w:val="24"/>
          <w:u w:val="single"/>
          <w:lang w:eastAsia="en-US"/>
        </w:rPr>
        <w:t>Analysts</w:t>
      </w:r>
      <w:r w:rsidRPr="00255659">
        <w:rPr>
          <w:b/>
          <w:szCs w:val="24"/>
          <w:u w:val="single"/>
          <w:lang w:eastAsia="en-US"/>
        </w:rPr>
        <w:t>’</w:t>
      </w:r>
      <w:r w:rsidR="00AA31D3" w:rsidRPr="00255659">
        <w:rPr>
          <w:b/>
          <w:szCs w:val="24"/>
          <w:u w:val="single"/>
          <w:lang w:eastAsia="en-US"/>
        </w:rPr>
        <w:t xml:space="preserve"> Growth Forecasts</w:t>
      </w:r>
      <w:r w:rsidR="00AA31D3" w:rsidRPr="00255659">
        <w:rPr>
          <w:szCs w:val="24"/>
          <w:lang w:eastAsia="en-US"/>
        </w:rPr>
        <w:t xml:space="preserve">. </w:t>
      </w:r>
      <w:r w:rsidR="006B5168" w:rsidRPr="00255659">
        <w:rPr>
          <w:lang w:eastAsia="en-US"/>
        </w:rPr>
        <w:t>Dr.</w:t>
      </w:r>
      <w:r w:rsidR="006B5168">
        <w:rPr>
          <w:lang w:eastAsia="en-US"/>
        </w:rPr>
        <w:t> </w:t>
      </w:r>
      <w:r w:rsidR="00AA31D3" w:rsidRPr="00255659">
        <w:rPr>
          <w:szCs w:val="24"/>
          <w:lang w:eastAsia="en-US"/>
        </w:rPr>
        <w:t xml:space="preserve">Woolridge decries the use of analyst growth forecasts and criticizes my </w:t>
      </w:r>
      <w:r w:rsidR="001B79BF">
        <w:rPr>
          <w:szCs w:val="24"/>
          <w:lang w:eastAsia="en-US"/>
        </w:rPr>
        <w:t xml:space="preserve">direct testimony’s </w:t>
      </w:r>
      <w:r w:rsidR="00AA31D3" w:rsidRPr="00255659">
        <w:rPr>
          <w:szCs w:val="24"/>
          <w:lang w:eastAsia="en-US"/>
        </w:rPr>
        <w:t>use of such forecasts.</w:t>
      </w:r>
      <w:r w:rsidR="00287C5A">
        <w:rPr>
          <w:szCs w:val="24"/>
          <w:lang w:eastAsia="en-US"/>
        </w:rPr>
        <w:t xml:space="preserve"> </w:t>
      </w:r>
      <w:r w:rsidR="00AA31D3" w:rsidRPr="00255659">
        <w:rPr>
          <w:szCs w:val="24"/>
          <w:lang w:eastAsia="en-US"/>
        </w:rPr>
        <w:t xml:space="preserve">Yet, inexplicably, </w:t>
      </w:r>
      <w:r w:rsidR="001B79BF">
        <w:rPr>
          <w:szCs w:val="24"/>
          <w:lang w:eastAsia="en-US"/>
        </w:rPr>
        <w:t xml:space="preserve">Dr. Woolridge </w:t>
      </w:r>
      <w:r w:rsidR="00AA31D3" w:rsidRPr="00255659">
        <w:rPr>
          <w:szCs w:val="24"/>
          <w:lang w:eastAsia="en-US"/>
        </w:rPr>
        <w:t>ends up relying exclusively on such forecasts in deriving his DCF growth rates and fin</w:t>
      </w:r>
      <w:r w:rsidR="001B79BF">
        <w:rPr>
          <w:szCs w:val="24"/>
          <w:lang w:eastAsia="en-US"/>
        </w:rPr>
        <w:t>al recommendation.</w:t>
      </w:r>
    </w:p>
    <w:p w:rsidR="001B79BF" w:rsidRDefault="00255659" w:rsidP="001B79BF">
      <w:pPr>
        <w:pStyle w:val="answer"/>
        <w:ind w:left="1440"/>
        <w:rPr>
          <w:szCs w:val="24"/>
          <w:lang w:eastAsia="en-US"/>
        </w:rPr>
      </w:pPr>
      <w:r>
        <w:rPr>
          <w:lang w:eastAsia="en-US"/>
        </w:rPr>
        <w:t>6.</w:t>
      </w:r>
      <w:r>
        <w:rPr>
          <w:lang w:eastAsia="en-US"/>
        </w:rPr>
        <w:tab/>
      </w:r>
      <w:r w:rsidR="00AA31D3" w:rsidRPr="00255659">
        <w:rPr>
          <w:b/>
          <w:szCs w:val="24"/>
          <w:u w:val="single"/>
          <w:lang w:eastAsia="en-US"/>
        </w:rPr>
        <w:t>CAPM</w:t>
      </w:r>
      <w:r w:rsidR="00AA31D3" w:rsidRPr="00255659">
        <w:rPr>
          <w:szCs w:val="24"/>
          <w:u w:val="single"/>
          <w:lang w:eastAsia="en-US"/>
        </w:rPr>
        <w:t xml:space="preserve"> </w:t>
      </w:r>
      <w:r w:rsidR="00AA31D3" w:rsidRPr="00255659">
        <w:rPr>
          <w:b/>
          <w:szCs w:val="24"/>
          <w:u w:val="single"/>
          <w:lang w:eastAsia="en-US"/>
        </w:rPr>
        <w:t>Market Risk Premium</w:t>
      </w:r>
      <w:r w:rsidR="00AA31D3" w:rsidRPr="00255659">
        <w:rPr>
          <w:b/>
          <w:szCs w:val="24"/>
          <w:lang w:eastAsia="en-US"/>
        </w:rPr>
        <w:t>.</w:t>
      </w:r>
      <w:r w:rsidR="00287C5A">
        <w:rPr>
          <w:szCs w:val="24"/>
          <w:lang w:eastAsia="en-US"/>
        </w:rPr>
        <w:t xml:space="preserve">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 xml:space="preserve">s estimate of the </w:t>
      </w:r>
      <w:r w:rsidR="00D14A77">
        <w:rPr>
          <w:szCs w:val="24"/>
          <w:lang w:eastAsia="en-US"/>
        </w:rPr>
        <w:t xml:space="preserve">market risk premium </w:t>
      </w:r>
      <w:r w:rsidR="001B79BF">
        <w:rPr>
          <w:szCs w:val="24"/>
          <w:lang w:eastAsia="en-US"/>
        </w:rPr>
        <w:t xml:space="preserve">for his CAPM analyses </w:t>
      </w:r>
      <w:r w:rsidR="00AA31D3" w:rsidRPr="00255659">
        <w:rPr>
          <w:szCs w:val="24"/>
          <w:lang w:eastAsia="en-US"/>
        </w:rPr>
        <w:t xml:space="preserve">is far too low because: </w:t>
      </w:r>
      <w:r w:rsidR="00D14A77">
        <w:rPr>
          <w:szCs w:val="24"/>
          <w:lang w:eastAsia="en-US"/>
        </w:rPr>
        <w:t>(i</w:t>
      </w:r>
      <w:r w:rsidR="00AA31D3" w:rsidRPr="00255659">
        <w:rPr>
          <w:szCs w:val="24"/>
          <w:lang w:eastAsia="en-US"/>
        </w:rPr>
        <w:t>)</w:t>
      </w:r>
      <w:r w:rsidR="00D14A77">
        <w:rPr>
          <w:szCs w:val="24"/>
          <w:lang w:eastAsia="en-US"/>
        </w:rPr>
        <w:t> </w:t>
      </w:r>
      <w:r w:rsidR="00AA31D3" w:rsidRPr="00255659">
        <w:rPr>
          <w:szCs w:val="24"/>
          <w:lang w:eastAsia="en-US"/>
        </w:rPr>
        <w:t>he has erroneously included the results of studies which employ geometric means instead of the correct arithmetic means;</w:t>
      </w:r>
      <w:r w:rsidR="00287C5A">
        <w:rPr>
          <w:szCs w:val="24"/>
          <w:lang w:eastAsia="en-US"/>
        </w:rPr>
        <w:t xml:space="preserve"> </w:t>
      </w:r>
      <w:r w:rsidR="00D14A77">
        <w:rPr>
          <w:szCs w:val="24"/>
          <w:lang w:eastAsia="en-US"/>
        </w:rPr>
        <w:t>(ii</w:t>
      </w:r>
      <w:r w:rsidR="00AA31D3" w:rsidRPr="00255659">
        <w:rPr>
          <w:szCs w:val="24"/>
          <w:lang w:eastAsia="en-US"/>
        </w:rPr>
        <w:t>)</w:t>
      </w:r>
      <w:r w:rsidR="00D14A77">
        <w:rPr>
          <w:szCs w:val="24"/>
          <w:lang w:eastAsia="en-US"/>
        </w:rPr>
        <w:t xml:space="preserve"> he </w:t>
      </w:r>
      <w:r w:rsidR="00AA31D3" w:rsidRPr="00255659">
        <w:rPr>
          <w:szCs w:val="24"/>
          <w:lang w:eastAsia="en-US"/>
        </w:rPr>
        <w:t xml:space="preserve">arbitrary </w:t>
      </w:r>
      <w:r w:rsidR="00D14A77">
        <w:rPr>
          <w:szCs w:val="24"/>
          <w:lang w:eastAsia="en-US"/>
        </w:rPr>
        <w:t>selects the</w:t>
      </w:r>
      <w:r w:rsidR="00AA31D3" w:rsidRPr="00255659">
        <w:rPr>
          <w:szCs w:val="24"/>
          <w:lang w:eastAsia="en-US"/>
        </w:rPr>
        <w:t xml:space="preserve"> literature on which he relies; and </w:t>
      </w:r>
      <w:r w:rsidR="00D14A77">
        <w:rPr>
          <w:szCs w:val="24"/>
          <w:lang w:eastAsia="en-US"/>
        </w:rPr>
        <w:t>(iii) </w:t>
      </w:r>
      <w:r w:rsidR="00AA31D3" w:rsidRPr="00255659">
        <w:rPr>
          <w:szCs w:val="24"/>
          <w:lang w:eastAsia="en-US"/>
        </w:rPr>
        <w:t>he has misrepresented</w:t>
      </w:r>
      <w:r>
        <w:rPr>
          <w:szCs w:val="24"/>
          <w:lang w:eastAsia="en-US"/>
        </w:rPr>
        <w:t xml:space="preserve"> the literature on the subject.</w:t>
      </w:r>
    </w:p>
    <w:p w:rsidR="001B79BF" w:rsidRDefault="00255659" w:rsidP="001B79BF">
      <w:pPr>
        <w:pStyle w:val="answer"/>
        <w:ind w:left="1440"/>
        <w:rPr>
          <w:lang w:eastAsia="en-US"/>
        </w:rPr>
      </w:pPr>
      <w:r>
        <w:rPr>
          <w:szCs w:val="24"/>
          <w:lang w:eastAsia="en-US"/>
        </w:rPr>
        <w:t>7.</w:t>
      </w:r>
      <w:r>
        <w:rPr>
          <w:szCs w:val="24"/>
          <w:lang w:eastAsia="en-US"/>
        </w:rPr>
        <w:tab/>
      </w:r>
      <w:r w:rsidR="00AA31D3" w:rsidRPr="00255659">
        <w:rPr>
          <w:b/>
          <w:szCs w:val="24"/>
          <w:u w:val="single"/>
          <w:lang w:eastAsia="en-US"/>
        </w:rPr>
        <w:t>CAPM and the Empirical CAPM</w:t>
      </w:r>
      <w:r w:rsidR="00AA31D3" w:rsidRPr="00255659">
        <w:rPr>
          <w:b/>
          <w:szCs w:val="24"/>
          <w:lang w:eastAsia="en-US"/>
        </w:rPr>
        <w:t>.</w:t>
      </w:r>
      <w:r w:rsidR="00287C5A">
        <w:rPr>
          <w:szCs w:val="24"/>
          <w:lang w:eastAsia="en-US"/>
        </w:rPr>
        <w:t xml:space="preserve"> </w:t>
      </w:r>
      <w:r w:rsidR="00AA31D3" w:rsidRPr="00255659">
        <w:rPr>
          <w:szCs w:val="24"/>
          <w:lang w:eastAsia="en-US"/>
        </w:rPr>
        <w:t xml:space="preserve">The plain vanilla version of the CAPM used by </w:t>
      </w:r>
      <w:r w:rsidR="006B5168" w:rsidRPr="00255659">
        <w:rPr>
          <w:lang w:eastAsia="en-US"/>
        </w:rPr>
        <w:t>Dr.</w:t>
      </w:r>
      <w:r w:rsidR="006B5168">
        <w:rPr>
          <w:lang w:eastAsia="en-US"/>
        </w:rPr>
        <w:t> </w:t>
      </w:r>
      <w:r w:rsidR="00AA31D3" w:rsidRPr="00255659">
        <w:rPr>
          <w:szCs w:val="24"/>
          <w:lang w:eastAsia="en-US"/>
        </w:rPr>
        <w:t xml:space="preserve">Woolridge understates </w:t>
      </w:r>
      <w:r w:rsidR="001B79BF">
        <w:rPr>
          <w:szCs w:val="24"/>
          <w:lang w:eastAsia="en-US"/>
        </w:rPr>
        <w:t xml:space="preserve">returns </w:t>
      </w:r>
      <w:r w:rsidR="00AA31D3" w:rsidRPr="00255659">
        <w:rPr>
          <w:szCs w:val="24"/>
          <w:lang w:eastAsia="en-US"/>
        </w:rPr>
        <w:t>of equity for low-beta securities</w:t>
      </w:r>
      <w:r w:rsidR="001B79BF">
        <w:rPr>
          <w:szCs w:val="24"/>
          <w:lang w:eastAsia="en-US"/>
        </w:rPr>
        <w:t>, such as PSE</w:t>
      </w:r>
      <w:r w:rsidR="00AA31D3" w:rsidRPr="00255659">
        <w:rPr>
          <w:szCs w:val="24"/>
          <w:lang w:eastAsia="en-US"/>
        </w:rPr>
        <w:t>.</w:t>
      </w:r>
    </w:p>
    <w:p w:rsidR="00AA31D3" w:rsidRPr="00255659" w:rsidRDefault="00255659" w:rsidP="001B79BF">
      <w:pPr>
        <w:pStyle w:val="answer"/>
        <w:ind w:left="1440"/>
        <w:rPr>
          <w:lang w:eastAsia="en-US"/>
        </w:rPr>
      </w:pPr>
      <w:r>
        <w:rPr>
          <w:lang w:eastAsia="en-US"/>
        </w:rPr>
        <w:lastRenderedPageBreak/>
        <w:t>8.</w:t>
      </w:r>
      <w:r>
        <w:rPr>
          <w:lang w:eastAsia="en-US"/>
        </w:rPr>
        <w:tab/>
      </w:r>
      <w:r w:rsidR="00AA31D3" w:rsidRPr="00255659">
        <w:rPr>
          <w:b/>
          <w:szCs w:val="24"/>
          <w:u w:val="single"/>
          <w:lang w:eastAsia="en-US"/>
        </w:rPr>
        <w:t>Unfounded criticisms</w:t>
      </w:r>
      <w:r w:rsidR="00AA31D3" w:rsidRPr="00255659">
        <w:rPr>
          <w:szCs w:val="24"/>
          <w:lang w:eastAsia="en-US"/>
        </w:rPr>
        <w:t>.</w:t>
      </w:r>
      <w:r w:rsidR="00287C5A">
        <w:rPr>
          <w:szCs w:val="24"/>
          <w:lang w:eastAsia="en-US"/>
        </w:rPr>
        <w:t xml:space="preserve"> </w:t>
      </w:r>
      <w:r w:rsidR="006B5168" w:rsidRPr="00255659">
        <w:rPr>
          <w:lang w:eastAsia="en-US"/>
        </w:rPr>
        <w:t>Dr.</w:t>
      </w:r>
      <w:r w:rsidR="006B5168">
        <w:rPr>
          <w:lang w:eastAsia="en-US"/>
        </w:rPr>
        <w:t> </w:t>
      </w:r>
      <w:r w:rsidR="00AA31D3" w:rsidRPr="00255659">
        <w:rPr>
          <w:szCs w:val="24"/>
          <w:lang w:eastAsia="en-US"/>
        </w:rPr>
        <w:t>Woolridge</w:t>
      </w:r>
      <w:r>
        <w:rPr>
          <w:szCs w:val="24"/>
          <w:lang w:eastAsia="en-US"/>
        </w:rPr>
        <w:t>’</w:t>
      </w:r>
      <w:r w:rsidR="00AA31D3" w:rsidRPr="00255659">
        <w:rPr>
          <w:szCs w:val="24"/>
          <w:lang w:eastAsia="en-US"/>
        </w:rPr>
        <w:t xml:space="preserve">s criticisms of my </w:t>
      </w:r>
      <w:r w:rsidR="001B79BF">
        <w:rPr>
          <w:szCs w:val="24"/>
          <w:lang w:eastAsia="en-US"/>
        </w:rPr>
        <w:t xml:space="preserve">direct </w:t>
      </w:r>
      <w:r w:rsidR="00AA31D3" w:rsidRPr="00255659">
        <w:rPr>
          <w:szCs w:val="24"/>
          <w:lang w:eastAsia="en-US"/>
        </w:rPr>
        <w:t xml:space="preserve">testimony are unfounded. </w:t>
      </w:r>
    </w:p>
    <w:p w:rsidR="00AA31D3" w:rsidRPr="00255659" w:rsidRDefault="00AA31D3" w:rsidP="00540A76">
      <w:pPr>
        <w:pStyle w:val="answer"/>
        <w:ind w:firstLine="0"/>
        <w:rPr>
          <w:lang w:eastAsia="en-US"/>
        </w:rPr>
      </w:pPr>
      <w:r w:rsidRPr="00255659">
        <w:rPr>
          <w:lang w:eastAsia="en-US"/>
        </w:rPr>
        <w:t>I shall now discuss each criticism in turn.</w:t>
      </w:r>
    </w:p>
    <w:p w:rsidR="002A71E3" w:rsidRPr="002A71E3" w:rsidRDefault="002A71E3" w:rsidP="00540A76">
      <w:pPr>
        <w:pStyle w:val="Heading2"/>
        <w:rPr>
          <w:lang w:eastAsia="en-US"/>
        </w:rPr>
      </w:pPr>
      <w:bookmarkStart w:id="6" w:name="_Toc489887858"/>
      <w:r w:rsidRPr="002A71E3">
        <w:rPr>
          <w:lang w:eastAsia="en-US"/>
        </w:rPr>
        <w:t>A.</w:t>
      </w:r>
      <w:r w:rsidRPr="002A71E3">
        <w:rPr>
          <w:lang w:eastAsia="en-US"/>
        </w:rPr>
        <w:tab/>
      </w:r>
      <w:r>
        <w:rPr>
          <w:lang w:eastAsia="en-US"/>
        </w:rPr>
        <w:t>D</w:t>
      </w:r>
      <w:r w:rsidRPr="002A71E3">
        <w:rPr>
          <w:lang w:eastAsia="en-US"/>
        </w:rPr>
        <w:t>r.</w:t>
      </w:r>
      <w:r>
        <w:rPr>
          <w:lang w:eastAsia="en-US"/>
        </w:rPr>
        <w:t xml:space="preserve"> Woolridge’s </w:t>
      </w:r>
      <w:r w:rsidRPr="002A71E3">
        <w:rPr>
          <w:lang w:eastAsia="en-US"/>
        </w:rPr>
        <w:t xml:space="preserve">Recommended </w:t>
      </w:r>
      <w:r>
        <w:rPr>
          <w:lang w:eastAsia="en-US"/>
        </w:rPr>
        <w:t xml:space="preserve">Return on Equity </w:t>
      </w:r>
      <w:r w:rsidRPr="002A71E3">
        <w:rPr>
          <w:lang w:eastAsia="en-US"/>
        </w:rPr>
        <w:t>for PSE is Outside the Mainstream for Electric and Combination Electric and Gas Utilities</w:t>
      </w:r>
      <w:bookmarkEnd w:id="6"/>
    </w:p>
    <w:p w:rsidR="00AA31D3" w:rsidRPr="00255659" w:rsidRDefault="002A71E3" w:rsidP="00540A76">
      <w:pPr>
        <w:pStyle w:val="question"/>
      </w:pPr>
      <w:r w:rsidRPr="002A71E3">
        <w:rPr>
          <w:lang w:eastAsia="en-US"/>
        </w:rPr>
        <w:t>Q.</w:t>
      </w:r>
      <w:r w:rsidRPr="002A71E3">
        <w:rPr>
          <w:lang w:eastAsia="en-US"/>
        </w:rPr>
        <w:tab/>
        <w:t xml:space="preserve">Are allowed </w:t>
      </w:r>
      <w:r w:rsidR="00FE2FCA">
        <w:rPr>
          <w:lang w:eastAsia="en-US"/>
        </w:rPr>
        <w:t xml:space="preserve">returns on equity </w:t>
      </w:r>
      <w:r w:rsidRPr="002A71E3">
        <w:rPr>
          <w:lang w:eastAsia="en-US"/>
        </w:rPr>
        <w:t xml:space="preserve">of electric and combination electric and gas utilities important determinants of investor growth perceptions and investor expected returns? </w:t>
      </w:r>
    </w:p>
    <w:p w:rsidR="00E74490" w:rsidRPr="00255659" w:rsidRDefault="00AA31D3" w:rsidP="00540A76">
      <w:pPr>
        <w:pStyle w:val="answer"/>
        <w:rPr>
          <w:lang w:eastAsia="en-US"/>
        </w:rPr>
      </w:pPr>
      <w:r w:rsidRPr="00255659">
        <w:rPr>
          <w:lang w:eastAsia="en-US"/>
        </w:rPr>
        <w:t>A.</w:t>
      </w:r>
      <w:r w:rsidRPr="00255659">
        <w:rPr>
          <w:lang w:eastAsia="en-US"/>
        </w:rPr>
        <w:tab/>
      </w:r>
      <w:r w:rsidR="002A71E3">
        <w:rPr>
          <w:lang w:eastAsia="en-US"/>
        </w:rPr>
        <w:t>Yes</w:t>
      </w:r>
      <w:r w:rsidRPr="00255659">
        <w:rPr>
          <w:lang w:eastAsia="en-US"/>
        </w:rPr>
        <w:t>.</w:t>
      </w:r>
      <w:r w:rsidR="00287C5A">
        <w:rPr>
          <w:lang w:eastAsia="en-US"/>
        </w:rPr>
        <w:t xml:space="preserve"> </w:t>
      </w:r>
      <w:r w:rsidRPr="00255659">
        <w:rPr>
          <w:lang w:eastAsia="en-US"/>
        </w:rPr>
        <w:t>Allowed returns, while certainly not a precise indication of a company</w:t>
      </w:r>
      <w:r w:rsidR="00255659">
        <w:rPr>
          <w:lang w:eastAsia="en-US"/>
        </w:rPr>
        <w:t>’</w:t>
      </w:r>
      <w:r w:rsidRPr="00255659">
        <w:rPr>
          <w:lang w:eastAsia="en-US"/>
        </w:rPr>
        <w:t>s cost of equity capital, are nevertheless important determinants of investor growth perceptions and investor expected returns.</w:t>
      </w:r>
      <w:r w:rsidR="00287C5A">
        <w:rPr>
          <w:lang w:eastAsia="en-US"/>
        </w:rPr>
        <w:t xml:space="preserve"> </w:t>
      </w:r>
      <w:r w:rsidRPr="00255659">
        <w:rPr>
          <w:lang w:eastAsia="en-US"/>
        </w:rPr>
        <w:t xml:space="preserve">They also serve to provide some perspective on the validity and reasonableness of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s recommendation.</w:t>
      </w:r>
    </w:p>
    <w:p w:rsidR="00E74490" w:rsidRPr="00255659" w:rsidRDefault="00D135C1" w:rsidP="00540A76">
      <w:pPr>
        <w:pStyle w:val="answer"/>
        <w:ind w:firstLine="0"/>
        <w:rPr>
          <w:szCs w:val="24"/>
          <w:lang w:eastAsia="en-US"/>
        </w:rPr>
      </w:pPr>
      <w:r w:rsidRPr="00255659">
        <w:rPr>
          <w:szCs w:val="24"/>
          <w:lang w:eastAsia="en-US"/>
        </w:rPr>
        <w:t xml:space="preserve">The </w:t>
      </w:r>
      <w:r>
        <w:rPr>
          <w:szCs w:val="24"/>
          <w:lang w:eastAsia="en-US"/>
        </w:rPr>
        <w:t xml:space="preserve">return on equity </w:t>
      </w:r>
      <w:r w:rsidRPr="00255659">
        <w:rPr>
          <w:szCs w:val="24"/>
          <w:lang w:eastAsia="en-US"/>
        </w:rPr>
        <w:t>currently allowed by the Commission for PSE is 9.8</w:t>
      </w:r>
      <w:r>
        <w:rPr>
          <w:szCs w:val="24"/>
          <w:lang w:eastAsia="en-US"/>
        </w:rPr>
        <w:t> percent</w:t>
      </w:r>
      <w:r w:rsidRPr="00255659">
        <w:rPr>
          <w:szCs w:val="24"/>
          <w:lang w:eastAsia="en-US"/>
        </w:rPr>
        <w:t>, the same as my own recommendation of 9.8</w:t>
      </w:r>
      <w:r>
        <w:rPr>
          <w:szCs w:val="24"/>
          <w:lang w:eastAsia="en-US"/>
        </w:rPr>
        <w:t xml:space="preserve"> percent </w:t>
      </w:r>
      <w:r w:rsidRPr="00255659">
        <w:rPr>
          <w:szCs w:val="24"/>
          <w:lang w:eastAsia="en-US"/>
        </w:rPr>
        <w:t xml:space="preserve">in this proceeding. </w:t>
      </w:r>
      <w:r w:rsidR="00AA31D3" w:rsidRPr="00255659">
        <w:rPr>
          <w:szCs w:val="24"/>
          <w:lang w:eastAsia="en-US"/>
        </w:rPr>
        <w:t xml:space="preserve">The average allowed </w:t>
      </w:r>
      <w:r w:rsidR="002A71E3">
        <w:rPr>
          <w:szCs w:val="24"/>
          <w:lang w:eastAsia="en-US"/>
        </w:rPr>
        <w:t xml:space="preserve">return on equity </w:t>
      </w:r>
      <w:r w:rsidR="00AA31D3" w:rsidRPr="00255659">
        <w:rPr>
          <w:szCs w:val="24"/>
          <w:lang w:eastAsia="en-US"/>
        </w:rPr>
        <w:t>in the electric utility industry</w:t>
      </w:r>
      <w:r w:rsidR="002A71E3">
        <w:rPr>
          <w:szCs w:val="24"/>
          <w:lang w:eastAsia="en-US"/>
        </w:rPr>
        <w:t>—</w:t>
      </w:r>
      <w:r w:rsidR="00AA31D3" w:rsidRPr="00255659">
        <w:rPr>
          <w:szCs w:val="24"/>
          <w:lang w:eastAsia="en-US"/>
        </w:rPr>
        <w:t>as reported by SNL (formerly Regulatory Research Associates) in its most recent survey of regulatory decisions in 2017</w:t>
      </w:r>
      <w:r w:rsidR="002A71E3">
        <w:rPr>
          <w:szCs w:val="24"/>
          <w:lang w:eastAsia="en-US"/>
        </w:rPr>
        <w:t>—</w:t>
      </w:r>
      <w:r w:rsidR="00AA31D3" w:rsidRPr="00255659">
        <w:rPr>
          <w:szCs w:val="24"/>
          <w:lang w:eastAsia="en-US"/>
        </w:rPr>
        <w:t>is 9.9</w:t>
      </w:r>
      <w:r>
        <w:rPr>
          <w:szCs w:val="24"/>
          <w:lang w:eastAsia="en-US"/>
        </w:rPr>
        <w:t> percent</w:t>
      </w:r>
      <w:r w:rsidR="002A71E3">
        <w:rPr>
          <w:szCs w:val="24"/>
          <w:lang w:eastAsia="en-US"/>
        </w:rPr>
        <w:t xml:space="preserve">. </w:t>
      </w:r>
      <w:r>
        <w:rPr>
          <w:szCs w:val="24"/>
          <w:lang w:eastAsia="en-US"/>
        </w:rPr>
        <w:t xml:space="preserve">Moreover, according to Value Line, </w:t>
      </w:r>
      <w:r w:rsidR="00D6114F">
        <w:rPr>
          <w:szCs w:val="24"/>
          <w:lang w:eastAsia="en-US"/>
        </w:rPr>
        <w:t>(i) </w:t>
      </w:r>
      <w:r>
        <w:rPr>
          <w:szCs w:val="24"/>
          <w:lang w:eastAsia="en-US"/>
        </w:rPr>
        <w:t>t</w:t>
      </w:r>
      <w:r w:rsidR="00AA31D3" w:rsidRPr="00255659">
        <w:rPr>
          <w:szCs w:val="24"/>
          <w:lang w:eastAsia="en-US"/>
        </w:rPr>
        <w:t xml:space="preserve">he average allowed </w:t>
      </w:r>
      <w:r>
        <w:rPr>
          <w:szCs w:val="24"/>
          <w:lang w:eastAsia="en-US"/>
        </w:rPr>
        <w:t xml:space="preserve">return on equity </w:t>
      </w:r>
      <w:r w:rsidR="00AA31D3" w:rsidRPr="00255659">
        <w:rPr>
          <w:szCs w:val="24"/>
          <w:lang w:eastAsia="en-US"/>
        </w:rPr>
        <w:t xml:space="preserve">for the electric utilities in </w:t>
      </w:r>
      <w:r w:rsidR="006B5168" w:rsidRPr="00255659">
        <w:rPr>
          <w:lang w:eastAsia="en-US"/>
        </w:rPr>
        <w:t>Dr.</w:t>
      </w:r>
      <w:r w:rsidR="006B5168">
        <w:rPr>
          <w:lang w:eastAsia="en-US"/>
        </w:rPr>
        <w:t> </w:t>
      </w:r>
      <w:r w:rsidR="00AA31D3" w:rsidRPr="00255659">
        <w:rPr>
          <w:szCs w:val="24"/>
          <w:lang w:eastAsia="en-US"/>
        </w:rPr>
        <w:t xml:space="preserve">Woolridge own peer group </w:t>
      </w:r>
      <w:r>
        <w:rPr>
          <w:szCs w:val="24"/>
          <w:lang w:eastAsia="en-US"/>
        </w:rPr>
        <w:t xml:space="preserve">is </w:t>
      </w:r>
      <w:r w:rsidR="00AA31D3" w:rsidRPr="00255659">
        <w:rPr>
          <w:szCs w:val="24"/>
          <w:lang w:eastAsia="en-US"/>
        </w:rPr>
        <w:t>10.0</w:t>
      </w:r>
      <w:r>
        <w:rPr>
          <w:szCs w:val="24"/>
          <w:lang w:eastAsia="en-US"/>
        </w:rPr>
        <w:t> percent</w:t>
      </w:r>
      <w:r w:rsidR="00D6114F">
        <w:rPr>
          <w:szCs w:val="24"/>
          <w:lang w:eastAsia="en-US"/>
        </w:rPr>
        <w:t xml:space="preserve"> and (ii) the average expected </w:t>
      </w:r>
      <w:r>
        <w:rPr>
          <w:szCs w:val="24"/>
          <w:lang w:eastAsia="en-US"/>
        </w:rPr>
        <w:t xml:space="preserve">return </w:t>
      </w:r>
      <w:r w:rsidR="00D6114F">
        <w:rPr>
          <w:szCs w:val="24"/>
          <w:lang w:eastAsia="en-US"/>
        </w:rPr>
        <w:t xml:space="preserve">on </w:t>
      </w:r>
      <w:r>
        <w:rPr>
          <w:szCs w:val="24"/>
          <w:lang w:eastAsia="en-US"/>
        </w:rPr>
        <w:t xml:space="preserve">equity </w:t>
      </w:r>
      <w:r w:rsidR="00AA31D3" w:rsidRPr="00255659">
        <w:rPr>
          <w:szCs w:val="24"/>
          <w:lang w:eastAsia="en-US"/>
        </w:rPr>
        <w:t xml:space="preserve">for these same </w:t>
      </w:r>
      <w:r w:rsidR="00D6114F" w:rsidRPr="00255659">
        <w:rPr>
          <w:szCs w:val="24"/>
          <w:lang w:eastAsia="en-US"/>
        </w:rPr>
        <w:t xml:space="preserve">electric utilities </w:t>
      </w:r>
      <w:r w:rsidR="00D6114F">
        <w:rPr>
          <w:szCs w:val="24"/>
          <w:lang w:eastAsia="en-US"/>
        </w:rPr>
        <w:t xml:space="preserve">is </w:t>
      </w:r>
      <w:r w:rsidR="00AA31D3" w:rsidRPr="00255659">
        <w:rPr>
          <w:szCs w:val="24"/>
          <w:lang w:eastAsia="en-US"/>
        </w:rPr>
        <w:t>10.7</w:t>
      </w:r>
      <w:r>
        <w:rPr>
          <w:szCs w:val="24"/>
          <w:lang w:eastAsia="en-US"/>
        </w:rPr>
        <w:t> percent</w:t>
      </w:r>
      <w:r w:rsidR="00AA31D3" w:rsidRPr="00255659">
        <w:rPr>
          <w:szCs w:val="24"/>
          <w:lang w:eastAsia="en-US"/>
        </w:rPr>
        <w:t>.</w:t>
      </w:r>
      <w:r w:rsidR="00287C5A">
        <w:rPr>
          <w:szCs w:val="24"/>
          <w:lang w:eastAsia="en-US"/>
        </w:rPr>
        <w:t xml:space="preserve"> </w:t>
      </w:r>
    </w:p>
    <w:p w:rsidR="00AA31D3" w:rsidRPr="00E51C96" w:rsidRDefault="00E51C96" w:rsidP="00BD299C">
      <w:pPr>
        <w:pStyle w:val="TableHeading"/>
      </w:pPr>
      <w:r w:rsidRPr="00E51C96">
        <w:lastRenderedPageBreak/>
        <w:t>Table</w:t>
      </w:r>
      <w:r>
        <w:t> </w:t>
      </w:r>
      <w:r w:rsidRPr="00E51C96">
        <w:t>1. Authorized And Expected Returns</w:t>
      </w:r>
    </w:p>
    <w:tbl>
      <w:tblPr>
        <w:tblW w:w="8500" w:type="dxa"/>
        <w:tblInd w:w="108" w:type="dxa"/>
        <w:tblLook w:val="04A0" w:firstRow="1" w:lastRow="0" w:firstColumn="1" w:lastColumn="0" w:noHBand="0" w:noVBand="1"/>
      </w:tblPr>
      <w:tblGrid>
        <w:gridCol w:w="480"/>
        <w:gridCol w:w="5120"/>
        <w:gridCol w:w="1440"/>
        <w:gridCol w:w="1460"/>
      </w:tblGrid>
      <w:tr w:rsidR="00AA31D3" w:rsidRPr="00D135C1" w:rsidTr="00AA31D3">
        <w:trPr>
          <w:trHeight w:val="320"/>
        </w:trPr>
        <w:tc>
          <w:tcPr>
            <w:tcW w:w="480" w:type="dxa"/>
            <w:noWrap/>
            <w:vAlign w:val="bottom"/>
            <w:hideMark/>
          </w:tcPr>
          <w:p w:rsidR="00AA31D3" w:rsidRPr="00D135C1" w:rsidRDefault="00AA31D3" w:rsidP="00BD299C">
            <w:pPr>
              <w:keepNext/>
              <w:keepLines/>
              <w:spacing w:before="60" w:after="60" w:line="240" w:lineRule="auto"/>
              <w:ind w:firstLine="0"/>
              <w:rPr>
                <w:rFonts w:eastAsia="Cambria"/>
                <w:b/>
                <w:sz w:val="20"/>
                <w:lang w:eastAsia="en-US"/>
              </w:rPr>
            </w:pPr>
          </w:p>
        </w:tc>
        <w:tc>
          <w:tcPr>
            <w:tcW w:w="5120" w:type="dxa"/>
            <w:noWrap/>
            <w:vAlign w:val="bottom"/>
            <w:hideMark/>
          </w:tcPr>
          <w:p w:rsidR="00AA31D3" w:rsidRPr="00D135C1" w:rsidRDefault="00AA31D3" w:rsidP="00BD299C">
            <w:pPr>
              <w:keepNext/>
              <w:keepLines/>
              <w:autoSpaceDN w:val="0"/>
              <w:spacing w:before="60" w:after="60" w:line="240" w:lineRule="auto"/>
              <w:ind w:firstLine="0"/>
              <w:jc w:val="center"/>
              <w:rPr>
                <w:b/>
                <w:sz w:val="20"/>
              </w:rPr>
            </w:pPr>
            <w:r w:rsidRPr="00D135C1">
              <w:rPr>
                <w:b/>
                <w:sz w:val="20"/>
              </w:rPr>
              <w:t>Company</w:t>
            </w:r>
          </w:p>
        </w:tc>
        <w:tc>
          <w:tcPr>
            <w:tcW w:w="1440" w:type="dxa"/>
            <w:noWrap/>
            <w:vAlign w:val="bottom"/>
            <w:hideMark/>
          </w:tcPr>
          <w:p w:rsidR="00AA31D3" w:rsidRPr="00D135C1" w:rsidRDefault="00D6114F" w:rsidP="00BD299C">
            <w:pPr>
              <w:keepNext/>
              <w:keepLines/>
              <w:autoSpaceDN w:val="0"/>
              <w:spacing w:before="60" w:after="60" w:line="240" w:lineRule="auto"/>
              <w:ind w:firstLine="0"/>
              <w:jc w:val="center"/>
              <w:rPr>
                <w:b/>
                <w:sz w:val="20"/>
              </w:rPr>
            </w:pPr>
            <w:r>
              <w:rPr>
                <w:b/>
                <w:sz w:val="20"/>
              </w:rPr>
              <w:t xml:space="preserve">VL </w:t>
            </w:r>
            <w:r w:rsidR="00AA31D3" w:rsidRPr="00D135C1">
              <w:rPr>
                <w:b/>
                <w:sz w:val="20"/>
              </w:rPr>
              <w:t>Allowed ROE</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b/>
                <w:sz w:val="20"/>
              </w:rPr>
            </w:pPr>
            <w:r w:rsidRPr="00D135C1">
              <w:rPr>
                <w:b/>
                <w:sz w:val="20"/>
              </w:rPr>
              <w:t>VL Exp</w:t>
            </w:r>
            <w:r w:rsidR="00D6114F">
              <w:rPr>
                <w:b/>
                <w:sz w:val="20"/>
              </w:rPr>
              <w:t>ected</w:t>
            </w:r>
            <w:r w:rsidRPr="00D135C1">
              <w:rPr>
                <w:b/>
                <w:sz w:val="20"/>
              </w:rPr>
              <w:t xml:space="preserve"> ROE</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ALLETE, Inc. (NYSE-ALE)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10.38%</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Alliant</w:t>
            </w:r>
            <w:r w:rsidR="00287C5A" w:rsidRPr="00D135C1">
              <w:rPr>
                <w:sz w:val="20"/>
              </w:rPr>
              <w:t xml:space="preserve"> </w:t>
            </w:r>
            <w:r w:rsidRPr="00D135C1">
              <w:rPr>
                <w:sz w:val="20"/>
              </w:rPr>
              <w:t>Energy Corporation (NYSE-LNT)</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10.50%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13.0%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3</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Ameren Corporation (NYSE-AEE)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9.60%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4</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American Electric Power Co. (NYSE-AEP)</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10.30%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11.0%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5</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Avista Corporation (NYSE-AVA)</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8.0%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6</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CMS Energy Corporation (NYSE-CMS)</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10.10%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13.5%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7</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lang w:val="it-IT"/>
              </w:rPr>
            </w:pPr>
            <w:r w:rsidRPr="00D135C1">
              <w:rPr>
                <w:sz w:val="20"/>
                <w:lang w:val="it-IT"/>
              </w:rPr>
              <w:t>Consolidated Edison, Inc. (NYSE-ED)</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9.00%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8.5%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8</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lang w:val="fr-FR"/>
              </w:rPr>
            </w:pPr>
            <w:r w:rsidRPr="00D135C1">
              <w:rPr>
                <w:sz w:val="20"/>
                <w:lang w:val="fr-FR"/>
              </w:rPr>
              <w:t>Dominion Resources, Inc. (NYSE-D)</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10.90%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19.0%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9</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DTE Energy Company (NYSE-DTE)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10.10%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10</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Duke Energy Corporation (NYSE-DUK)</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10.10%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8.5%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11</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Edison International (NYSE-EIX)</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10.45%</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11.0%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12</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lang w:val="es-ES_tradnl"/>
              </w:rPr>
            </w:pPr>
            <w:r w:rsidRPr="00D135C1">
              <w:rPr>
                <w:sz w:val="20"/>
                <w:lang w:val="es-ES_tradnl"/>
              </w:rPr>
              <w:t>El Paso Electric Company (NYSE-EE)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9.48%</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13</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Entergy Corporation (NYSE-ETR)</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14</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Eversource Energy (NYSE-ES)</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9.40%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15</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FirstEnergy Corporation (NYSE-FE)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9.75%</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12.5%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16</w:t>
            </w:r>
          </w:p>
        </w:tc>
        <w:tc>
          <w:tcPr>
            <w:tcW w:w="5120" w:type="dxa"/>
            <w:noWrap/>
            <w:vAlign w:val="bottom"/>
            <w:hideMark/>
          </w:tcPr>
          <w:p w:rsidR="00AA31D3" w:rsidRPr="00D135C1" w:rsidRDefault="00C8234D" w:rsidP="00BD299C">
            <w:pPr>
              <w:keepNext/>
              <w:keepLines/>
              <w:autoSpaceDN w:val="0"/>
              <w:spacing w:before="60" w:after="60" w:line="240" w:lineRule="auto"/>
              <w:ind w:firstLine="0"/>
              <w:rPr>
                <w:sz w:val="20"/>
              </w:rPr>
            </w:pPr>
            <w:r w:rsidRPr="00D135C1">
              <w:rPr>
                <w:sz w:val="20"/>
              </w:rPr>
              <w:t>Hawaiian Electric Indus</w:t>
            </w:r>
            <w:r w:rsidR="00AA31D3" w:rsidRPr="00D135C1">
              <w:rPr>
                <w:sz w:val="20"/>
              </w:rPr>
              <w:t>tries (NYSE-HEC)</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17</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IDACORP, Inc. (NYSE-IDA)</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18</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MGE Energy, Inc. (NYSE-MGEE)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10.20%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11.0%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19</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NorthWestern Corporation (NYSE-NWE)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9.80%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20</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lang w:val="nl-NL"/>
              </w:rPr>
            </w:pPr>
            <w:r w:rsidRPr="00D135C1">
              <w:rPr>
                <w:sz w:val="20"/>
                <w:lang w:val="nl-NL"/>
              </w:rPr>
              <w:t>OGE Energy Corp. (NYSE-OGE)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9.70%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12.0%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21</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Otter Tail Corporation (NDQ-OTTR)</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na</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22</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lang w:val="it-IT"/>
              </w:rPr>
            </w:pPr>
            <w:r w:rsidRPr="00D135C1">
              <w:rPr>
                <w:sz w:val="20"/>
                <w:lang w:val="it-IT"/>
              </w:rPr>
              <w:t>PG&amp;E Corporation (NYSE-PCG)</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10.40%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23</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Pinnacle West Capital Corp. (NYSE-PNW)</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24</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PNM Resources, Inc. (NYSE-PNM)</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25</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Portland General Electric Company (NYSE-POR)</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9.60%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26</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PPL Corporation (NYSE-PPL)</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na</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13.5%</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27</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SCANA Corporation (NYSE-SCG)</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10.25%</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10.0%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28</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Southern Company (NYSE-SO)</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12.50%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12.0%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29</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WEC Energy Group (NYSE-WEC)</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9.50%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11.0%</w:t>
            </w:r>
          </w:p>
        </w:tc>
      </w:tr>
      <w:tr w:rsidR="00AA31D3" w:rsidRPr="00D135C1" w:rsidTr="00AA31D3">
        <w:trPr>
          <w:trHeight w:val="320"/>
        </w:trPr>
        <w:tc>
          <w:tcPr>
            <w:tcW w:w="480" w:type="dxa"/>
            <w:noWrap/>
            <w:vAlign w:val="bottom"/>
            <w:hideMark/>
          </w:tcPr>
          <w:p w:rsidR="00AA31D3" w:rsidRPr="00D135C1" w:rsidRDefault="00AA31D3" w:rsidP="00BD299C">
            <w:pPr>
              <w:keepNext/>
              <w:keepLines/>
              <w:autoSpaceDN w:val="0"/>
              <w:spacing w:before="60" w:after="60" w:line="240" w:lineRule="auto"/>
              <w:ind w:firstLine="0"/>
              <w:jc w:val="right"/>
              <w:rPr>
                <w:sz w:val="20"/>
              </w:rPr>
            </w:pPr>
            <w:r w:rsidRPr="00D135C1">
              <w:rPr>
                <w:sz w:val="20"/>
              </w:rPr>
              <w:t>30</w:t>
            </w:r>
          </w:p>
        </w:tc>
        <w:tc>
          <w:tcPr>
            <w:tcW w:w="5120" w:type="dxa"/>
            <w:noWrap/>
            <w:vAlign w:val="bottom"/>
            <w:hideMark/>
          </w:tcPr>
          <w:p w:rsidR="00AA31D3" w:rsidRPr="00D135C1" w:rsidRDefault="00AA31D3" w:rsidP="00BD299C">
            <w:pPr>
              <w:keepNext/>
              <w:keepLines/>
              <w:autoSpaceDN w:val="0"/>
              <w:spacing w:before="60" w:after="60" w:line="240" w:lineRule="auto"/>
              <w:ind w:firstLine="0"/>
              <w:rPr>
                <w:sz w:val="20"/>
              </w:rPr>
            </w:pPr>
            <w:r w:rsidRPr="00D135C1">
              <w:rPr>
                <w:sz w:val="20"/>
              </w:rPr>
              <w:t>Xcel Energy Inc. (NYSE-XEL)</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9.80%</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sz w:val="20"/>
              </w:rPr>
            </w:pPr>
            <w:r w:rsidRPr="00D135C1">
              <w:rPr>
                <w:sz w:val="20"/>
              </w:rPr>
              <w:t>11.0%</w:t>
            </w:r>
          </w:p>
        </w:tc>
      </w:tr>
      <w:tr w:rsidR="00AA31D3" w:rsidRPr="00D135C1" w:rsidTr="00AA31D3">
        <w:trPr>
          <w:trHeight w:val="320"/>
        </w:trPr>
        <w:tc>
          <w:tcPr>
            <w:tcW w:w="480" w:type="dxa"/>
            <w:noWrap/>
            <w:vAlign w:val="bottom"/>
            <w:hideMark/>
          </w:tcPr>
          <w:p w:rsidR="00AA31D3" w:rsidRPr="00D135C1" w:rsidRDefault="00AA31D3" w:rsidP="00BD299C">
            <w:pPr>
              <w:keepNext/>
              <w:keepLines/>
              <w:spacing w:before="60" w:after="60" w:line="240" w:lineRule="auto"/>
              <w:ind w:firstLine="0"/>
              <w:rPr>
                <w:rFonts w:eastAsia="Cambria"/>
                <w:sz w:val="20"/>
                <w:lang w:eastAsia="en-US"/>
              </w:rPr>
            </w:pPr>
          </w:p>
        </w:tc>
        <w:tc>
          <w:tcPr>
            <w:tcW w:w="5120" w:type="dxa"/>
            <w:noWrap/>
            <w:vAlign w:val="bottom"/>
            <w:hideMark/>
          </w:tcPr>
          <w:p w:rsidR="00AA31D3" w:rsidRPr="00D135C1" w:rsidRDefault="00AA31D3" w:rsidP="00BD299C">
            <w:pPr>
              <w:keepNext/>
              <w:keepLines/>
              <w:spacing w:before="60" w:after="60" w:line="240" w:lineRule="auto"/>
              <w:ind w:firstLine="0"/>
              <w:rPr>
                <w:rFonts w:eastAsia="Cambria"/>
                <w:sz w:val="20"/>
                <w:lang w:eastAsia="en-US"/>
              </w:rPr>
            </w:pPr>
          </w:p>
        </w:tc>
        <w:tc>
          <w:tcPr>
            <w:tcW w:w="1440" w:type="dxa"/>
            <w:noWrap/>
            <w:vAlign w:val="bottom"/>
            <w:hideMark/>
          </w:tcPr>
          <w:p w:rsidR="00AA31D3" w:rsidRPr="00D135C1" w:rsidRDefault="00AA31D3" w:rsidP="00BD299C">
            <w:pPr>
              <w:keepNext/>
              <w:keepLines/>
              <w:spacing w:before="60" w:after="60" w:line="240" w:lineRule="auto"/>
              <w:ind w:firstLine="0"/>
              <w:rPr>
                <w:rFonts w:eastAsia="Cambria"/>
                <w:sz w:val="20"/>
                <w:lang w:eastAsia="en-US"/>
              </w:rPr>
            </w:pPr>
          </w:p>
        </w:tc>
        <w:tc>
          <w:tcPr>
            <w:tcW w:w="1460" w:type="dxa"/>
            <w:noWrap/>
            <w:vAlign w:val="bottom"/>
            <w:hideMark/>
          </w:tcPr>
          <w:p w:rsidR="00AA31D3" w:rsidRPr="00D135C1" w:rsidRDefault="00AA31D3" w:rsidP="00BD299C">
            <w:pPr>
              <w:keepNext/>
              <w:keepLines/>
              <w:spacing w:before="60" w:after="60" w:line="240" w:lineRule="auto"/>
              <w:ind w:firstLine="0"/>
              <w:rPr>
                <w:rFonts w:eastAsia="Cambria"/>
                <w:sz w:val="20"/>
                <w:lang w:eastAsia="en-US"/>
              </w:rPr>
            </w:pPr>
          </w:p>
        </w:tc>
      </w:tr>
      <w:tr w:rsidR="00AA31D3" w:rsidRPr="00D135C1" w:rsidTr="00AA31D3">
        <w:trPr>
          <w:trHeight w:val="320"/>
        </w:trPr>
        <w:tc>
          <w:tcPr>
            <w:tcW w:w="480" w:type="dxa"/>
            <w:noWrap/>
            <w:vAlign w:val="bottom"/>
            <w:hideMark/>
          </w:tcPr>
          <w:p w:rsidR="00AA31D3" w:rsidRPr="00D135C1" w:rsidRDefault="00AA31D3" w:rsidP="00BD299C">
            <w:pPr>
              <w:keepNext/>
              <w:keepLines/>
              <w:spacing w:before="60" w:after="60" w:line="240" w:lineRule="auto"/>
              <w:ind w:firstLine="0"/>
              <w:rPr>
                <w:rFonts w:eastAsia="Cambria"/>
                <w:sz w:val="20"/>
                <w:lang w:eastAsia="en-US"/>
              </w:rPr>
            </w:pPr>
          </w:p>
        </w:tc>
        <w:tc>
          <w:tcPr>
            <w:tcW w:w="5120" w:type="dxa"/>
            <w:noWrap/>
            <w:vAlign w:val="bottom"/>
            <w:hideMark/>
          </w:tcPr>
          <w:p w:rsidR="00AA31D3" w:rsidRPr="00D135C1" w:rsidRDefault="00AA31D3" w:rsidP="00BD299C">
            <w:pPr>
              <w:keepNext/>
              <w:keepLines/>
              <w:autoSpaceDN w:val="0"/>
              <w:spacing w:before="60" w:after="60" w:line="240" w:lineRule="auto"/>
              <w:ind w:firstLine="0"/>
              <w:rPr>
                <w:b/>
                <w:bCs/>
                <w:sz w:val="20"/>
              </w:rPr>
            </w:pPr>
            <w:r w:rsidRPr="00D135C1">
              <w:rPr>
                <w:b/>
                <w:bCs/>
                <w:sz w:val="20"/>
              </w:rPr>
              <w:t>AVERAGE</w:t>
            </w:r>
          </w:p>
        </w:tc>
        <w:tc>
          <w:tcPr>
            <w:tcW w:w="1440" w:type="dxa"/>
            <w:noWrap/>
            <w:vAlign w:val="bottom"/>
            <w:hideMark/>
          </w:tcPr>
          <w:p w:rsidR="00AA31D3" w:rsidRPr="00D135C1" w:rsidRDefault="00AA31D3" w:rsidP="00BD299C">
            <w:pPr>
              <w:keepNext/>
              <w:keepLines/>
              <w:autoSpaceDN w:val="0"/>
              <w:spacing w:before="60" w:after="60" w:line="240" w:lineRule="auto"/>
              <w:ind w:firstLine="0"/>
              <w:jc w:val="center"/>
              <w:rPr>
                <w:b/>
                <w:bCs/>
                <w:sz w:val="20"/>
              </w:rPr>
            </w:pPr>
            <w:r w:rsidRPr="00D135C1">
              <w:rPr>
                <w:b/>
                <w:bCs/>
                <w:sz w:val="20"/>
              </w:rPr>
              <w:t>10.03%</w:t>
            </w:r>
          </w:p>
        </w:tc>
        <w:tc>
          <w:tcPr>
            <w:tcW w:w="1460" w:type="dxa"/>
            <w:noWrap/>
            <w:vAlign w:val="bottom"/>
            <w:hideMark/>
          </w:tcPr>
          <w:p w:rsidR="00AA31D3" w:rsidRPr="00D135C1" w:rsidRDefault="00AA31D3" w:rsidP="00BD299C">
            <w:pPr>
              <w:keepNext/>
              <w:keepLines/>
              <w:autoSpaceDN w:val="0"/>
              <w:spacing w:before="60" w:after="60" w:line="240" w:lineRule="auto"/>
              <w:ind w:firstLine="0"/>
              <w:jc w:val="center"/>
              <w:rPr>
                <w:b/>
                <w:bCs/>
                <w:sz w:val="20"/>
              </w:rPr>
            </w:pPr>
            <w:r w:rsidRPr="00D135C1">
              <w:rPr>
                <w:b/>
                <w:bCs/>
                <w:sz w:val="20"/>
              </w:rPr>
              <w:t>10.70%</w:t>
            </w:r>
          </w:p>
        </w:tc>
      </w:tr>
    </w:tbl>
    <w:p w:rsidR="00AA31D3" w:rsidRPr="00D135C1" w:rsidRDefault="00AA31D3" w:rsidP="00540A76">
      <w:pPr>
        <w:overflowPunct w:val="0"/>
        <w:autoSpaceDE w:val="0"/>
        <w:autoSpaceDN w:val="0"/>
        <w:adjustRightInd w:val="0"/>
        <w:spacing w:before="240" w:after="240" w:line="240" w:lineRule="auto"/>
        <w:ind w:left="540" w:firstLine="0"/>
        <w:rPr>
          <w:sz w:val="20"/>
          <w:lang w:eastAsia="en-US"/>
        </w:rPr>
      </w:pPr>
      <w:r w:rsidRPr="00D135C1">
        <w:rPr>
          <w:b/>
          <w:sz w:val="20"/>
          <w:lang w:eastAsia="en-US"/>
        </w:rPr>
        <w:t>Source:</w:t>
      </w:r>
      <w:r w:rsidRPr="00D135C1">
        <w:rPr>
          <w:sz w:val="20"/>
          <w:lang w:eastAsia="en-US"/>
        </w:rPr>
        <w:t xml:space="preserve"> Value Line 7/2017</w:t>
      </w:r>
    </w:p>
    <w:p w:rsidR="005E3624" w:rsidRDefault="00D135C1" w:rsidP="005E3624">
      <w:pPr>
        <w:pStyle w:val="answer"/>
        <w:ind w:firstLine="0"/>
        <w:rPr>
          <w:szCs w:val="24"/>
          <w:lang w:eastAsia="en-US"/>
        </w:rPr>
      </w:pPr>
      <w:bookmarkStart w:id="7" w:name="_Toc109272641"/>
      <w:r w:rsidRPr="00255659">
        <w:rPr>
          <w:szCs w:val="24"/>
          <w:lang w:eastAsia="en-US"/>
        </w:rPr>
        <w:lastRenderedPageBreak/>
        <w:t xml:space="preserve">These </w:t>
      </w:r>
      <w:r w:rsidR="00D6114F">
        <w:rPr>
          <w:szCs w:val="24"/>
          <w:lang w:eastAsia="en-US"/>
        </w:rPr>
        <w:t xml:space="preserve">allowed and expected returns on equity substantially </w:t>
      </w:r>
      <w:r w:rsidRPr="00255659">
        <w:rPr>
          <w:szCs w:val="24"/>
          <w:lang w:eastAsia="en-US"/>
        </w:rPr>
        <w:t xml:space="preserve">exceed </w:t>
      </w:r>
      <w:r w:rsidRPr="00255659">
        <w:rPr>
          <w:lang w:eastAsia="en-US"/>
        </w:rPr>
        <w:t>Dr.</w:t>
      </w:r>
      <w:r>
        <w:rPr>
          <w:lang w:eastAsia="en-US"/>
        </w:rPr>
        <w:t> </w:t>
      </w:r>
      <w:r w:rsidRPr="00255659">
        <w:rPr>
          <w:szCs w:val="24"/>
          <w:lang w:eastAsia="en-US"/>
        </w:rPr>
        <w:t>Woolridge</w:t>
      </w:r>
      <w:r>
        <w:rPr>
          <w:szCs w:val="24"/>
          <w:lang w:eastAsia="en-US"/>
        </w:rPr>
        <w:t>’</w:t>
      </w:r>
      <w:r w:rsidRPr="00255659">
        <w:rPr>
          <w:szCs w:val="24"/>
          <w:lang w:eastAsia="en-US"/>
        </w:rPr>
        <w:t xml:space="preserve">s recommended </w:t>
      </w:r>
      <w:r w:rsidR="00D6114F">
        <w:rPr>
          <w:szCs w:val="24"/>
          <w:lang w:eastAsia="en-US"/>
        </w:rPr>
        <w:t xml:space="preserve">return on equity </w:t>
      </w:r>
      <w:r w:rsidRPr="00255659">
        <w:rPr>
          <w:szCs w:val="24"/>
          <w:lang w:eastAsia="en-US"/>
        </w:rPr>
        <w:t>for PSE</w:t>
      </w:r>
      <w:r w:rsidR="00D6114F">
        <w:rPr>
          <w:szCs w:val="24"/>
          <w:lang w:eastAsia="en-US"/>
        </w:rPr>
        <w:t xml:space="preserve"> of </w:t>
      </w:r>
      <w:r w:rsidR="00D6114F" w:rsidRPr="00255659">
        <w:rPr>
          <w:szCs w:val="24"/>
          <w:lang w:eastAsia="en-US"/>
        </w:rPr>
        <w:t>only 8.85</w:t>
      </w:r>
      <w:r w:rsidR="00DD2B52">
        <w:rPr>
          <w:lang w:eastAsia="en-US"/>
        </w:rPr>
        <w:t> percent</w:t>
      </w:r>
      <w:r w:rsidRPr="00255659">
        <w:rPr>
          <w:szCs w:val="24"/>
          <w:lang w:eastAsia="en-US"/>
        </w:rPr>
        <w:t xml:space="preserve">. </w:t>
      </w:r>
      <w:r w:rsidR="005E3624">
        <w:rPr>
          <w:szCs w:val="24"/>
          <w:lang w:eastAsia="en-US"/>
        </w:rPr>
        <w:t xml:space="preserve">Indeed, Dr. Woolridge’s recommended returns on equity </w:t>
      </w:r>
      <w:r w:rsidR="005E3624" w:rsidRPr="005E3624">
        <w:rPr>
          <w:szCs w:val="24"/>
          <w:lang w:eastAsia="en-US"/>
        </w:rPr>
        <w:t xml:space="preserve">consistently understate the </w:t>
      </w:r>
      <w:r w:rsidR="005E3624">
        <w:rPr>
          <w:szCs w:val="24"/>
          <w:lang w:eastAsia="en-US"/>
        </w:rPr>
        <w:t xml:space="preserve">returns on equity </w:t>
      </w:r>
      <w:r w:rsidR="005E3624" w:rsidRPr="005E3624">
        <w:rPr>
          <w:szCs w:val="24"/>
          <w:lang w:eastAsia="en-US"/>
        </w:rPr>
        <w:t xml:space="preserve">by </w:t>
      </w:r>
      <w:r w:rsidR="005E3624">
        <w:rPr>
          <w:szCs w:val="24"/>
          <w:lang w:eastAsia="en-US"/>
        </w:rPr>
        <w:t xml:space="preserve">state utility commissions </w:t>
      </w:r>
      <w:r w:rsidR="005E3624" w:rsidRPr="005E3624">
        <w:rPr>
          <w:szCs w:val="24"/>
          <w:lang w:eastAsia="en-US"/>
        </w:rPr>
        <w:t>by at least 1</w:t>
      </w:r>
      <w:r w:rsidR="005E3624">
        <w:rPr>
          <w:szCs w:val="24"/>
          <w:lang w:eastAsia="en-US"/>
        </w:rPr>
        <w:t> percent</w:t>
      </w:r>
      <w:r w:rsidR="005E3624" w:rsidRPr="005E3624">
        <w:rPr>
          <w:szCs w:val="24"/>
          <w:lang w:eastAsia="en-US"/>
        </w:rPr>
        <w:t xml:space="preserve">, as shown on </w:t>
      </w:r>
      <w:r w:rsidR="005E3624">
        <w:rPr>
          <w:szCs w:val="24"/>
          <w:lang w:eastAsia="en-US"/>
        </w:rPr>
        <w:t xml:space="preserve">Figure 1 below. </w:t>
      </w:r>
    </w:p>
    <w:p w:rsidR="00140580" w:rsidRPr="00E51C96" w:rsidRDefault="00140580" w:rsidP="00140580">
      <w:pPr>
        <w:pStyle w:val="TableHeading"/>
      </w:pPr>
      <w:r>
        <w:t>Figure 1</w:t>
      </w:r>
      <w:r w:rsidRPr="00E51C96">
        <w:t xml:space="preserve">. Dr. Woolridge’s </w:t>
      </w:r>
      <w:r>
        <w:t>Consistent Understatement</w:t>
      </w:r>
      <w:r w:rsidR="00DC3098">
        <w:br/>
      </w:r>
      <w:r>
        <w:t>of</w:t>
      </w:r>
      <w:r w:rsidR="00DC3098">
        <w:t xml:space="preserve"> Utility</w:t>
      </w:r>
      <w:r>
        <w:t xml:space="preserve"> Returns on Equity</w:t>
      </w:r>
    </w:p>
    <w:p w:rsidR="005E3624" w:rsidRDefault="00DC3098" w:rsidP="005E3624">
      <w:pPr>
        <w:pStyle w:val="answer"/>
        <w:ind w:firstLine="0"/>
        <w:rPr>
          <w:szCs w:val="24"/>
          <w:lang w:eastAsia="en-US"/>
        </w:rPr>
      </w:pPr>
      <w:r>
        <w:rPr>
          <w:noProof/>
          <w:lang w:eastAsia="en-US"/>
        </w:rPr>
        <w:drawing>
          <wp:inline distT="0" distB="0" distL="0" distR="0" wp14:anchorId="622E2853" wp14:editId="1FCDDFB5">
            <wp:extent cx="5193030" cy="3581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3624" w:rsidRDefault="00140580" w:rsidP="005E3624">
      <w:pPr>
        <w:pStyle w:val="answer"/>
        <w:ind w:firstLine="0"/>
        <w:rPr>
          <w:szCs w:val="24"/>
          <w:lang w:eastAsia="en-US"/>
        </w:rPr>
      </w:pPr>
      <w:r>
        <w:rPr>
          <w:szCs w:val="24"/>
          <w:lang w:eastAsia="en-US"/>
        </w:rPr>
        <w:t xml:space="preserve">Adjustment </w:t>
      </w:r>
      <w:r w:rsidR="005E3624" w:rsidRPr="005E3624">
        <w:rPr>
          <w:szCs w:val="24"/>
          <w:lang w:eastAsia="en-US"/>
        </w:rPr>
        <w:t xml:space="preserve">of </w:t>
      </w:r>
      <w:r>
        <w:rPr>
          <w:szCs w:val="24"/>
          <w:lang w:eastAsia="en-US"/>
        </w:rPr>
        <w:t xml:space="preserve">Dr. Woolridge’s consistent </w:t>
      </w:r>
      <w:r w:rsidR="005E3624" w:rsidRPr="005E3624">
        <w:rPr>
          <w:szCs w:val="24"/>
          <w:lang w:eastAsia="en-US"/>
        </w:rPr>
        <w:t xml:space="preserve">understatement would </w:t>
      </w:r>
      <w:r>
        <w:rPr>
          <w:szCs w:val="24"/>
          <w:lang w:eastAsia="en-US"/>
        </w:rPr>
        <w:t>(i) </w:t>
      </w:r>
      <w:r w:rsidR="005E3624" w:rsidRPr="005E3624">
        <w:rPr>
          <w:szCs w:val="24"/>
          <w:lang w:eastAsia="en-US"/>
        </w:rPr>
        <w:t xml:space="preserve">raise the top end of this </w:t>
      </w:r>
      <w:r>
        <w:rPr>
          <w:szCs w:val="24"/>
          <w:lang w:eastAsia="en-US"/>
        </w:rPr>
        <w:t xml:space="preserve">range </w:t>
      </w:r>
      <w:r w:rsidR="005E3624" w:rsidRPr="005E3624">
        <w:rPr>
          <w:szCs w:val="24"/>
          <w:lang w:eastAsia="en-US"/>
        </w:rPr>
        <w:t>from 8.9</w:t>
      </w:r>
      <w:r>
        <w:rPr>
          <w:szCs w:val="24"/>
          <w:lang w:eastAsia="en-US"/>
        </w:rPr>
        <w:t> percent</w:t>
      </w:r>
      <w:r w:rsidR="005E3624" w:rsidRPr="005E3624">
        <w:rPr>
          <w:szCs w:val="24"/>
          <w:lang w:eastAsia="en-US"/>
        </w:rPr>
        <w:t xml:space="preserve"> to 9.9</w:t>
      </w:r>
      <w:r>
        <w:rPr>
          <w:szCs w:val="24"/>
          <w:lang w:eastAsia="en-US"/>
        </w:rPr>
        <w:t xml:space="preserve"> percent and (ii) increase his </w:t>
      </w:r>
      <w:r w:rsidRPr="00255659">
        <w:rPr>
          <w:lang w:eastAsia="en-US"/>
        </w:rPr>
        <w:t>recommend</w:t>
      </w:r>
      <w:r>
        <w:rPr>
          <w:lang w:eastAsia="en-US"/>
        </w:rPr>
        <w:t>ed</w:t>
      </w:r>
      <w:r w:rsidRPr="00255659">
        <w:rPr>
          <w:lang w:eastAsia="en-US"/>
        </w:rPr>
        <w:t xml:space="preserve"> </w:t>
      </w:r>
      <w:r>
        <w:rPr>
          <w:lang w:eastAsia="en-US"/>
        </w:rPr>
        <w:t xml:space="preserve">return on equity for PSE from </w:t>
      </w:r>
      <w:r w:rsidRPr="00255659">
        <w:rPr>
          <w:lang w:eastAsia="en-US"/>
        </w:rPr>
        <w:t>8.85</w:t>
      </w:r>
      <w:r>
        <w:rPr>
          <w:lang w:eastAsia="en-US"/>
        </w:rPr>
        <w:t> percent to 9.85 percent. This adjusted return on equity of 9.85 percent is nearly identical to the return on equity of 9.8 percent proposed by PSE in this proceeding.</w:t>
      </w:r>
    </w:p>
    <w:p w:rsidR="005E3624" w:rsidRPr="00255659" w:rsidRDefault="005E3624" w:rsidP="005E3624">
      <w:pPr>
        <w:pStyle w:val="answer"/>
        <w:ind w:firstLine="0"/>
        <w:rPr>
          <w:szCs w:val="24"/>
          <w:lang w:eastAsia="en-US"/>
        </w:rPr>
      </w:pPr>
      <w:r w:rsidRPr="00255659">
        <w:rPr>
          <w:szCs w:val="24"/>
          <w:lang w:eastAsia="en-US"/>
        </w:rPr>
        <w:lastRenderedPageBreak/>
        <w:t xml:space="preserve">In short, </w:t>
      </w:r>
      <w:r w:rsidRPr="00255659">
        <w:rPr>
          <w:lang w:eastAsia="en-US"/>
        </w:rPr>
        <w:t>Dr.</w:t>
      </w:r>
      <w:r>
        <w:rPr>
          <w:lang w:eastAsia="en-US"/>
        </w:rPr>
        <w:t> </w:t>
      </w:r>
      <w:r w:rsidRPr="00255659">
        <w:rPr>
          <w:szCs w:val="24"/>
          <w:lang w:eastAsia="en-US"/>
        </w:rPr>
        <w:t>Woolridge</w:t>
      </w:r>
      <w:r>
        <w:rPr>
          <w:szCs w:val="24"/>
          <w:lang w:eastAsia="en-US"/>
        </w:rPr>
        <w:t>’</w:t>
      </w:r>
      <w:r w:rsidRPr="00255659">
        <w:rPr>
          <w:szCs w:val="24"/>
          <w:lang w:eastAsia="en-US"/>
        </w:rPr>
        <w:t xml:space="preserve">s recommendation is well outside the mainstream of the allowed rates of return that were current during the period in which </w:t>
      </w:r>
      <w:r w:rsidRPr="00255659">
        <w:rPr>
          <w:lang w:eastAsia="en-US"/>
        </w:rPr>
        <w:t>Dr.</w:t>
      </w:r>
      <w:r>
        <w:rPr>
          <w:lang w:eastAsia="en-US"/>
        </w:rPr>
        <w:t> </w:t>
      </w:r>
      <w:r w:rsidRPr="00255659">
        <w:rPr>
          <w:szCs w:val="24"/>
          <w:lang w:eastAsia="en-US"/>
        </w:rPr>
        <w:t xml:space="preserve">Woolridge performed his analysis and lies outside the zone of recently authorized returns for </w:t>
      </w:r>
      <w:r w:rsidRPr="002A71E3">
        <w:rPr>
          <w:lang w:eastAsia="en-US"/>
        </w:rPr>
        <w:t>electric and combination electric and gas utilities</w:t>
      </w:r>
      <w:r w:rsidRPr="00255659">
        <w:rPr>
          <w:szCs w:val="24"/>
          <w:lang w:eastAsia="en-US"/>
        </w:rPr>
        <w:t xml:space="preserve"> and for </w:t>
      </w:r>
      <w:r>
        <w:rPr>
          <w:szCs w:val="24"/>
          <w:lang w:eastAsia="en-US"/>
        </w:rPr>
        <w:t xml:space="preserve">Dr. Woolridge’s </w:t>
      </w:r>
      <w:r w:rsidRPr="00255659">
        <w:rPr>
          <w:szCs w:val="24"/>
          <w:lang w:eastAsia="en-US"/>
        </w:rPr>
        <w:t>own sample of companies.</w:t>
      </w:r>
    </w:p>
    <w:p w:rsidR="00D6114F" w:rsidRDefault="00D6114F" w:rsidP="00540A76">
      <w:pPr>
        <w:pStyle w:val="Heading2"/>
        <w:rPr>
          <w:lang w:eastAsia="en-US"/>
        </w:rPr>
      </w:pPr>
      <w:bookmarkStart w:id="8" w:name="_Toc489887859"/>
      <w:r w:rsidRPr="00D6114F">
        <w:rPr>
          <w:lang w:eastAsia="en-US"/>
        </w:rPr>
        <w:t>B.</w:t>
      </w:r>
      <w:r w:rsidRPr="00D6114F">
        <w:rPr>
          <w:lang w:eastAsia="en-US"/>
        </w:rPr>
        <w:tab/>
      </w:r>
      <w:r>
        <w:rPr>
          <w:lang w:eastAsia="en-US"/>
        </w:rPr>
        <w:t>D</w:t>
      </w:r>
      <w:r w:rsidRPr="00D6114F">
        <w:rPr>
          <w:lang w:eastAsia="en-US"/>
        </w:rPr>
        <w:t>r.</w:t>
      </w:r>
      <w:r>
        <w:rPr>
          <w:lang w:eastAsia="en-US"/>
        </w:rPr>
        <w:t> Woolridge</w:t>
      </w:r>
      <w:r w:rsidRPr="00D6114F">
        <w:rPr>
          <w:lang w:eastAsia="en-US"/>
        </w:rPr>
        <w:t xml:space="preserve">’s DCF Results Should be Given Very Little, If Any, Weight Because </w:t>
      </w:r>
      <w:r>
        <w:rPr>
          <w:lang w:eastAsia="en-US"/>
        </w:rPr>
        <w:t>D</w:t>
      </w:r>
      <w:r w:rsidRPr="00D6114F">
        <w:rPr>
          <w:lang w:eastAsia="en-US"/>
        </w:rPr>
        <w:t>r.</w:t>
      </w:r>
      <w:r>
        <w:rPr>
          <w:lang w:eastAsia="en-US"/>
        </w:rPr>
        <w:t> Woolridge</w:t>
      </w:r>
      <w:r w:rsidRPr="00D6114F">
        <w:rPr>
          <w:lang w:eastAsia="en-US"/>
        </w:rPr>
        <w:t xml:space="preserve"> Has Relied on Erroneous Data Inputs</w:t>
      </w:r>
      <w:bookmarkEnd w:id="8"/>
      <w:r w:rsidRPr="00D6114F">
        <w:rPr>
          <w:lang w:eastAsia="en-US"/>
        </w:rPr>
        <w:t xml:space="preserve"> </w:t>
      </w:r>
    </w:p>
    <w:p w:rsidR="00C34FAA" w:rsidRPr="00255659" w:rsidRDefault="00C34FAA" w:rsidP="00540A76">
      <w:pPr>
        <w:pStyle w:val="Heading3"/>
        <w:rPr>
          <w:lang w:eastAsia="en-US"/>
        </w:rPr>
      </w:pPr>
      <w:bookmarkStart w:id="9" w:name="_Toc489887860"/>
      <w:bookmarkEnd w:id="7"/>
      <w:r>
        <w:t>1</w:t>
      </w:r>
      <w:r w:rsidRPr="00255659">
        <w:t>.</w:t>
      </w:r>
      <w:r w:rsidRPr="00255659">
        <w:tab/>
      </w:r>
      <w:r>
        <w:t>D</w:t>
      </w:r>
      <w:r w:rsidRPr="00255659">
        <w:t>r.</w:t>
      </w:r>
      <w:r>
        <w:t xml:space="preserve"> Woolridge </w:t>
      </w:r>
      <w:r w:rsidRPr="00255659">
        <w:t>Understates Dividend Yield by Using a Spot Dividend Yield Inflated By One-Half of the Expected Dividend Growth</w:t>
      </w:r>
      <w:bookmarkEnd w:id="9"/>
      <w:r w:rsidRPr="00255659">
        <w:t xml:space="preserve"> </w:t>
      </w:r>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Do</w:t>
      </w:r>
      <w:r w:rsidR="00FE2FCA">
        <w:rPr>
          <w:lang w:eastAsia="en-US"/>
        </w:rPr>
        <w:t xml:space="preserve">es </w:t>
      </w:r>
      <w:r w:rsidR="006B5168" w:rsidRPr="00255659">
        <w:rPr>
          <w:lang w:eastAsia="en-US"/>
        </w:rPr>
        <w:t>Dr.</w:t>
      </w:r>
      <w:r w:rsidR="006B5168">
        <w:rPr>
          <w:lang w:eastAsia="en-US"/>
        </w:rPr>
        <w:t> </w:t>
      </w:r>
      <w:r w:rsidR="003C7909" w:rsidRPr="00255659">
        <w:rPr>
          <w:lang w:eastAsia="en-US"/>
        </w:rPr>
        <w:t>Woolridge</w:t>
      </w:r>
      <w:r w:rsidR="00255659">
        <w:rPr>
          <w:lang w:eastAsia="en-US"/>
        </w:rPr>
        <w:t>’</w:t>
      </w:r>
      <w:r w:rsidR="003C7909" w:rsidRPr="00255659">
        <w:rPr>
          <w:lang w:eastAsia="en-US"/>
        </w:rPr>
        <w:t xml:space="preserve">s </w:t>
      </w:r>
      <w:r w:rsidR="00FE2FCA">
        <w:rPr>
          <w:lang w:eastAsia="en-US"/>
        </w:rPr>
        <w:t xml:space="preserve">use an appropriate </w:t>
      </w:r>
      <w:r w:rsidR="003C7909" w:rsidRPr="00255659">
        <w:rPr>
          <w:lang w:eastAsia="en-US"/>
        </w:rPr>
        <w:t xml:space="preserve">dividend yield component in </w:t>
      </w:r>
      <w:r w:rsidR="00FE2FCA">
        <w:rPr>
          <w:lang w:eastAsia="en-US"/>
        </w:rPr>
        <w:t xml:space="preserve">his </w:t>
      </w:r>
      <w:r w:rsidRPr="00255659">
        <w:rPr>
          <w:lang w:eastAsia="en-US"/>
        </w:rPr>
        <w:t xml:space="preserve">DCF </w:t>
      </w:r>
      <w:r w:rsidR="003C7909" w:rsidRPr="00255659">
        <w:rPr>
          <w:lang w:eastAsia="en-US"/>
        </w:rPr>
        <w:t>analys</w:t>
      </w:r>
      <w:r w:rsidR="00FE2FCA">
        <w:rPr>
          <w:lang w:eastAsia="en-US"/>
        </w:rPr>
        <w:t>e</w:t>
      </w:r>
      <w:r w:rsidR="003C7909" w:rsidRPr="00255659">
        <w:rPr>
          <w:lang w:eastAsia="en-US"/>
        </w:rPr>
        <w:t>s</w:t>
      </w:r>
      <w:r w:rsidRPr="00255659">
        <w:rPr>
          <w:lang w:eastAsia="en-US"/>
        </w:rPr>
        <w:t>?</w:t>
      </w:r>
    </w:p>
    <w:p w:rsidR="003C7909" w:rsidRPr="00255659" w:rsidRDefault="00AA31D3" w:rsidP="00540A76">
      <w:pPr>
        <w:pStyle w:val="answer"/>
        <w:rPr>
          <w:szCs w:val="24"/>
          <w:lang w:eastAsia="en-US"/>
        </w:rPr>
      </w:pPr>
      <w:r w:rsidRPr="00255659">
        <w:rPr>
          <w:szCs w:val="24"/>
          <w:lang w:eastAsia="en-US"/>
        </w:rPr>
        <w:t>A.</w:t>
      </w:r>
      <w:r w:rsidRPr="00255659">
        <w:rPr>
          <w:szCs w:val="24"/>
          <w:lang w:eastAsia="en-US"/>
        </w:rPr>
        <w:tab/>
      </w:r>
      <w:r w:rsidR="00FE2FCA">
        <w:rPr>
          <w:szCs w:val="24"/>
          <w:lang w:eastAsia="en-US"/>
        </w:rPr>
        <w:t>No</w:t>
      </w:r>
      <w:r w:rsidRPr="00255659">
        <w:rPr>
          <w:szCs w:val="24"/>
          <w:lang w:eastAsia="en-US"/>
        </w:rPr>
        <w:t>.</w:t>
      </w:r>
      <w:r w:rsidR="00287C5A">
        <w:rPr>
          <w:szCs w:val="24"/>
          <w:lang w:eastAsia="en-US"/>
        </w:rPr>
        <w:t xml:space="preserve"> </w:t>
      </w:r>
      <w:r w:rsidR="006B5168" w:rsidRPr="00255659">
        <w:rPr>
          <w:lang w:eastAsia="en-US"/>
        </w:rPr>
        <w:t>Dr.</w:t>
      </w:r>
      <w:r w:rsidR="006B5168">
        <w:rPr>
          <w:lang w:eastAsia="en-US"/>
        </w:rPr>
        <w:t> </w:t>
      </w:r>
      <w:r w:rsidRPr="00255659">
        <w:rPr>
          <w:szCs w:val="24"/>
          <w:lang w:eastAsia="en-US"/>
        </w:rPr>
        <w:t>Woolridge</w:t>
      </w:r>
      <w:r w:rsidR="00FE2FCA">
        <w:rPr>
          <w:szCs w:val="24"/>
          <w:lang w:eastAsia="en-US"/>
        </w:rPr>
        <w:t xml:space="preserve"> uses an inappropriate</w:t>
      </w:r>
      <w:r w:rsidRPr="00255659">
        <w:rPr>
          <w:szCs w:val="24"/>
          <w:lang w:eastAsia="en-US"/>
        </w:rPr>
        <w:t xml:space="preserve"> dividend yield calculation in his DCF analys</w:t>
      </w:r>
      <w:r w:rsidR="00FE2FCA">
        <w:rPr>
          <w:szCs w:val="24"/>
          <w:lang w:eastAsia="en-US"/>
        </w:rPr>
        <w:t>e</w:t>
      </w:r>
      <w:r w:rsidRPr="00255659">
        <w:rPr>
          <w:szCs w:val="24"/>
          <w:lang w:eastAsia="en-US"/>
        </w:rPr>
        <w:t>s</w:t>
      </w:r>
      <w:r w:rsidR="00FE2FCA">
        <w:rPr>
          <w:rStyle w:val="FootnoteReference"/>
          <w:szCs w:val="24"/>
          <w:lang w:eastAsia="en-US"/>
        </w:rPr>
        <w:footnoteReference w:id="3"/>
      </w:r>
      <w:r w:rsidRPr="00255659">
        <w:rPr>
          <w:szCs w:val="24"/>
          <w:lang w:eastAsia="en-US"/>
        </w:rPr>
        <w:t xml:space="preserve"> because he multiplied the spot dividend yield by one plus one half the expected growth rate (1 + 0.5g) rather than the conventional one plus the expected growth rate (1 + g).</w:t>
      </w:r>
      <w:r w:rsidR="00287C5A">
        <w:rPr>
          <w:szCs w:val="24"/>
          <w:lang w:eastAsia="en-US"/>
        </w:rPr>
        <w:t xml:space="preserve"> </w:t>
      </w:r>
      <w:r w:rsidRPr="00255659">
        <w:rPr>
          <w:szCs w:val="24"/>
          <w:lang w:eastAsia="en-US"/>
        </w:rPr>
        <w:t>This procedure understates the re</w:t>
      </w:r>
      <w:r w:rsidR="003C7909" w:rsidRPr="00255659">
        <w:rPr>
          <w:szCs w:val="24"/>
          <w:lang w:eastAsia="en-US"/>
        </w:rPr>
        <w:t>turn expected by the investor.</w:t>
      </w:r>
    </w:p>
    <w:p w:rsidR="00FE2FCA" w:rsidRPr="00255659" w:rsidRDefault="00FE2FCA" w:rsidP="00540A76">
      <w:pPr>
        <w:pStyle w:val="question"/>
      </w:pPr>
      <w:r w:rsidRPr="00255659">
        <w:rPr>
          <w:lang w:eastAsia="en-US"/>
        </w:rPr>
        <w:t>Q.</w:t>
      </w:r>
      <w:r w:rsidRPr="00255659">
        <w:rPr>
          <w:lang w:eastAsia="en-US"/>
        </w:rPr>
        <w:tab/>
      </w:r>
      <w:r>
        <w:rPr>
          <w:lang w:eastAsia="en-US"/>
        </w:rPr>
        <w:t xml:space="preserve">Why is </w:t>
      </w:r>
      <w:r w:rsidRPr="00255659">
        <w:rPr>
          <w:lang w:eastAsia="en-US"/>
        </w:rPr>
        <w:t>Dr.</w:t>
      </w:r>
      <w:r>
        <w:rPr>
          <w:lang w:eastAsia="en-US"/>
        </w:rPr>
        <w:t> </w:t>
      </w:r>
      <w:r w:rsidRPr="00255659">
        <w:rPr>
          <w:lang w:eastAsia="en-US"/>
        </w:rPr>
        <w:t>Woolridge</w:t>
      </w:r>
      <w:r>
        <w:rPr>
          <w:lang w:eastAsia="en-US"/>
        </w:rPr>
        <w:t>’</w:t>
      </w:r>
      <w:r w:rsidRPr="00255659">
        <w:rPr>
          <w:lang w:eastAsia="en-US"/>
        </w:rPr>
        <w:t xml:space="preserve">s </w:t>
      </w:r>
      <w:r>
        <w:rPr>
          <w:lang w:eastAsia="en-US"/>
        </w:rPr>
        <w:t xml:space="preserve">adjustment to the </w:t>
      </w:r>
      <w:r w:rsidRPr="00255659">
        <w:rPr>
          <w:lang w:eastAsia="en-US"/>
        </w:rPr>
        <w:t xml:space="preserve">dividend yield component in </w:t>
      </w:r>
      <w:r>
        <w:rPr>
          <w:lang w:eastAsia="en-US"/>
        </w:rPr>
        <w:t xml:space="preserve">his </w:t>
      </w:r>
      <w:r w:rsidRPr="00255659">
        <w:rPr>
          <w:lang w:eastAsia="en-US"/>
        </w:rPr>
        <w:t>DCF analys</w:t>
      </w:r>
      <w:r>
        <w:rPr>
          <w:lang w:eastAsia="en-US"/>
        </w:rPr>
        <w:t>e</w:t>
      </w:r>
      <w:r w:rsidRPr="00255659">
        <w:rPr>
          <w:lang w:eastAsia="en-US"/>
        </w:rPr>
        <w:t>s</w:t>
      </w:r>
      <w:r>
        <w:rPr>
          <w:lang w:eastAsia="en-US"/>
        </w:rPr>
        <w:t xml:space="preserve"> in appropriate</w:t>
      </w:r>
      <w:r w:rsidRPr="00255659">
        <w:rPr>
          <w:lang w:eastAsia="en-US"/>
        </w:rPr>
        <w:t>?</w:t>
      </w:r>
    </w:p>
    <w:p w:rsidR="00573DFB" w:rsidRDefault="00FE2FCA" w:rsidP="00540A76">
      <w:pPr>
        <w:pStyle w:val="answer"/>
        <w:rPr>
          <w:szCs w:val="24"/>
          <w:lang w:eastAsia="en-US"/>
        </w:rPr>
      </w:pPr>
      <w:r w:rsidRPr="00255659">
        <w:rPr>
          <w:szCs w:val="24"/>
          <w:lang w:eastAsia="en-US"/>
        </w:rPr>
        <w:t>A.</w:t>
      </w:r>
      <w:r w:rsidRPr="00255659">
        <w:rPr>
          <w:szCs w:val="24"/>
          <w:lang w:eastAsia="en-US"/>
        </w:rPr>
        <w:tab/>
      </w:r>
      <w:r w:rsidR="00AA31D3" w:rsidRPr="00255659">
        <w:rPr>
          <w:szCs w:val="24"/>
          <w:lang w:eastAsia="en-US"/>
        </w:rPr>
        <w:t xml:space="preserve">The fundamental assumption of the plain vanilla annual DCF model used by </w:t>
      </w:r>
      <w:r w:rsidR="006B5168" w:rsidRPr="00255659">
        <w:rPr>
          <w:lang w:eastAsia="en-US"/>
        </w:rPr>
        <w:t>Dr.</w:t>
      </w:r>
      <w:r w:rsidR="006B5168">
        <w:rPr>
          <w:lang w:eastAsia="en-US"/>
        </w:rPr>
        <w:t> </w:t>
      </w:r>
      <w:r w:rsidR="00AA31D3" w:rsidRPr="00255659">
        <w:rPr>
          <w:szCs w:val="24"/>
          <w:lang w:eastAsia="en-US"/>
        </w:rPr>
        <w:t xml:space="preserve">Woolridge is that dividends are received annually at the end of each year and </w:t>
      </w:r>
      <w:r w:rsidR="00AA31D3" w:rsidRPr="00255659">
        <w:rPr>
          <w:szCs w:val="24"/>
          <w:lang w:eastAsia="en-US"/>
        </w:rPr>
        <w:lastRenderedPageBreak/>
        <w:t>that the first dividend is to be received one year from now.</w:t>
      </w:r>
      <w:r w:rsidR="00287C5A">
        <w:rPr>
          <w:szCs w:val="24"/>
          <w:lang w:eastAsia="en-US"/>
        </w:rPr>
        <w:t xml:space="preserve"> </w:t>
      </w:r>
      <w:r w:rsidR="00AA31D3" w:rsidRPr="00255659">
        <w:rPr>
          <w:lang w:eastAsia="en-US"/>
        </w:rPr>
        <w:t xml:space="preserve">Thus, the appropriate dividend to use in a DCF model is the full prospective dividend </w:t>
      </w:r>
      <w:r w:rsidR="00573DFB">
        <w:rPr>
          <w:lang w:eastAsia="en-US"/>
        </w:rPr>
        <w:t xml:space="preserve">(i.e., </w:t>
      </w:r>
      <w:r w:rsidR="00573DFB" w:rsidRPr="00255659">
        <w:rPr>
          <w:szCs w:val="24"/>
          <w:lang w:eastAsia="en-US"/>
        </w:rPr>
        <w:t>1 + g</w:t>
      </w:r>
      <w:r w:rsidR="00573DFB">
        <w:rPr>
          <w:szCs w:val="24"/>
          <w:lang w:eastAsia="en-US"/>
        </w:rPr>
        <w:t xml:space="preserve">) </w:t>
      </w:r>
      <w:r w:rsidR="00AA31D3" w:rsidRPr="00255659">
        <w:rPr>
          <w:lang w:eastAsia="en-US"/>
        </w:rPr>
        <w:t>to be received at the end of the year.</w:t>
      </w:r>
      <w:r w:rsidR="00287C5A">
        <w:rPr>
          <w:lang w:eastAsia="en-US"/>
        </w:rPr>
        <w:t xml:space="preserve"> </w:t>
      </w:r>
      <w:r w:rsidR="00AA31D3" w:rsidRPr="00255659">
        <w:rPr>
          <w:szCs w:val="24"/>
          <w:lang w:eastAsia="en-US"/>
        </w:rPr>
        <w:t xml:space="preserve">Instead, </w:t>
      </w:r>
      <w:r w:rsidR="006B5168" w:rsidRPr="00255659">
        <w:rPr>
          <w:lang w:eastAsia="en-US"/>
        </w:rPr>
        <w:t>Dr.</w:t>
      </w:r>
      <w:r w:rsidR="006B5168">
        <w:rPr>
          <w:lang w:eastAsia="en-US"/>
        </w:rPr>
        <w:t> </w:t>
      </w:r>
      <w:r w:rsidR="00AA31D3" w:rsidRPr="00255659">
        <w:rPr>
          <w:szCs w:val="24"/>
          <w:lang w:eastAsia="en-US"/>
        </w:rPr>
        <w:t xml:space="preserve">Woolridge calculates the first dividend by multiplying the current dividend by only one plus one-half the growth rate </w:t>
      </w:r>
      <w:r w:rsidR="00573DFB" w:rsidRPr="00255659">
        <w:rPr>
          <w:szCs w:val="24"/>
          <w:lang w:eastAsia="en-US"/>
        </w:rPr>
        <w:t>(</w:t>
      </w:r>
      <w:r w:rsidR="00573DFB">
        <w:rPr>
          <w:szCs w:val="24"/>
          <w:lang w:eastAsia="en-US"/>
        </w:rPr>
        <w:t xml:space="preserve">i.e., </w:t>
      </w:r>
      <w:r w:rsidR="00573DFB" w:rsidRPr="00255659">
        <w:rPr>
          <w:szCs w:val="24"/>
          <w:lang w:eastAsia="en-US"/>
        </w:rPr>
        <w:t xml:space="preserve">1 + 0.5g) </w:t>
      </w:r>
      <w:r w:rsidR="00AA31D3" w:rsidRPr="00255659">
        <w:rPr>
          <w:szCs w:val="24"/>
          <w:lang w:eastAsia="en-US"/>
        </w:rPr>
        <w:t>instead of multiplying by one plus the growth rate.</w:t>
      </w:r>
      <w:r w:rsidR="00287C5A">
        <w:rPr>
          <w:szCs w:val="24"/>
          <w:lang w:eastAsia="en-US"/>
        </w:rPr>
        <w:t xml:space="preserve"> </w:t>
      </w:r>
      <w:r w:rsidR="00AA31D3" w:rsidRPr="00255659">
        <w:rPr>
          <w:szCs w:val="24"/>
          <w:lang w:eastAsia="en-US"/>
        </w:rPr>
        <w:t xml:space="preserve">Since the appropriate dividend to use in a DCF model is the prospective dividend one year from now rather than the dividend one-half year from now, </w:t>
      </w:r>
      <w:r w:rsidR="006B5168" w:rsidRPr="00255659">
        <w:rPr>
          <w:lang w:eastAsia="en-US"/>
        </w:rPr>
        <w:t>Dr.</w:t>
      </w:r>
      <w:r w:rsidR="006B5168">
        <w:rPr>
          <w:lang w:eastAsia="en-US"/>
        </w:rPr>
        <w:t> </w:t>
      </w:r>
      <w:r w:rsidR="00AA31D3" w:rsidRPr="00255659">
        <w:rPr>
          <w:szCs w:val="24"/>
          <w:lang w:eastAsia="en-US"/>
        </w:rPr>
        <w:t>Woolridge</w:t>
      </w:r>
      <w:r w:rsidR="00255659">
        <w:rPr>
          <w:szCs w:val="24"/>
          <w:lang w:eastAsia="en-US"/>
        </w:rPr>
        <w:t>’</w:t>
      </w:r>
      <w:r w:rsidR="00AA31D3" w:rsidRPr="00255659">
        <w:rPr>
          <w:szCs w:val="24"/>
          <w:lang w:eastAsia="en-US"/>
        </w:rPr>
        <w:t>s approach understates the proper dividend yield.</w:t>
      </w:r>
    </w:p>
    <w:p w:rsidR="003C7909" w:rsidRPr="00573DFB" w:rsidRDefault="00573DFB" w:rsidP="00540A76">
      <w:pPr>
        <w:pStyle w:val="answer"/>
        <w:ind w:firstLine="0"/>
        <w:rPr>
          <w:lang w:eastAsia="en-US"/>
        </w:rPr>
      </w:pPr>
      <w:r>
        <w:rPr>
          <w:szCs w:val="24"/>
          <w:lang w:eastAsia="en-US"/>
        </w:rPr>
        <w:t xml:space="preserve">Use of this adjustment factor </w:t>
      </w:r>
      <w:r w:rsidR="00AA31D3" w:rsidRPr="00255659">
        <w:rPr>
          <w:szCs w:val="24"/>
          <w:lang w:eastAsia="en-US"/>
        </w:rPr>
        <w:t xml:space="preserve">creates a downward bias in </w:t>
      </w:r>
      <w:r>
        <w:rPr>
          <w:szCs w:val="24"/>
          <w:lang w:eastAsia="en-US"/>
        </w:rPr>
        <w:t xml:space="preserve">Dr. Woolridge’s </w:t>
      </w:r>
      <w:r w:rsidR="00AA31D3" w:rsidRPr="00255659">
        <w:rPr>
          <w:szCs w:val="24"/>
          <w:lang w:eastAsia="en-US"/>
        </w:rPr>
        <w:t>dividend yield component, and underestimates the cost of equity.</w:t>
      </w:r>
      <w:r w:rsidR="00287C5A">
        <w:rPr>
          <w:szCs w:val="24"/>
          <w:lang w:eastAsia="en-US"/>
        </w:rPr>
        <w:t xml:space="preserve"> </w:t>
      </w:r>
      <w:r w:rsidR="00AA31D3" w:rsidRPr="00255659">
        <w:rPr>
          <w:lang w:eastAsia="en-US"/>
        </w:rPr>
        <w:t>For example, for a spot dividend yield of 4</w:t>
      </w:r>
      <w:r>
        <w:rPr>
          <w:lang w:eastAsia="en-US"/>
        </w:rPr>
        <w:t xml:space="preserve"> percent </w:t>
      </w:r>
      <w:r w:rsidR="00AA31D3" w:rsidRPr="00255659">
        <w:rPr>
          <w:lang w:eastAsia="en-US"/>
        </w:rPr>
        <w:t>and a growth rate of 5</w:t>
      </w:r>
      <w:r>
        <w:rPr>
          <w:lang w:eastAsia="en-US"/>
        </w:rPr>
        <w:t> percent</w:t>
      </w:r>
      <w:r w:rsidR="00AA31D3" w:rsidRPr="00255659">
        <w:rPr>
          <w:lang w:eastAsia="en-US"/>
        </w:rPr>
        <w:t xml:space="preserve">, </w:t>
      </w:r>
      <w:r w:rsidR="006B5168" w:rsidRPr="00255659">
        <w:rPr>
          <w:lang w:eastAsia="en-US"/>
        </w:rPr>
        <w:t>Dr.</w:t>
      </w:r>
      <w:r w:rsidR="006B5168">
        <w:rPr>
          <w:lang w:eastAsia="en-US"/>
        </w:rPr>
        <w:t> </w:t>
      </w:r>
      <w:r w:rsidR="00AA31D3" w:rsidRPr="00255659">
        <w:rPr>
          <w:lang w:eastAsia="en-US"/>
        </w:rPr>
        <w:t>Woolridge</w:t>
      </w:r>
      <w:r w:rsidR="00255659">
        <w:rPr>
          <w:lang w:eastAsia="en-US"/>
        </w:rPr>
        <w:t>’</w:t>
      </w:r>
      <w:r w:rsidR="00AA31D3" w:rsidRPr="00255659">
        <w:rPr>
          <w:lang w:eastAsia="en-US"/>
        </w:rPr>
        <w:t>s estimated dividend yield is 4.1</w:t>
      </w:r>
      <w:r>
        <w:rPr>
          <w:lang w:eastAsia="en-US"/>
        </w:rPr>
        <w:t> percent,</w:t>
      </w:r>
      <w:r>
        <w:rPr>
          <w:rStyle w:val="FootnoteReference"/>
          <w:lang w:eastAsia="en-US"/>
        </w:rPr>
        <w:footnoteReference w:id="4"/>
      </w:r>
      <w:r>
        <w:rPr>
          <w:lang w:eastAsia="en-US"/>
        </w:rPr>
        <w:t xml:space="preserve"> whereas the </w:t>
      </w:r>
      <w:r w:rsidR="00AA31D3" w:rsidRPr="00255659">
        <w:rPr>
          <w:lang w:eastAsia="en-US"/>
        </w:rPr>
        <w:t>correct dividend yield to employ is 4.2</w:t>
      </w:r>
      <w:r>
        <w:rPr>
          <w:lang w:eastAsia="en-US"/>
        </w:rPr>
        <w:t> percent,</w:t>
      </w:r>
      <w:r>
        <w:rPr>
          <w:rStyle w:val="FootnoteReference"/>
          <w:lang w:eastAsia="en-US"/>
        </w:rPr>
        <w:footnoteReference w:id="5"/>
      </w:r>
      <w:r>
        <w:rPr>
          <w:lang w:eastAsia="en-US"/>
        </w:rPr>
        <w:t xml:space="preserve"> </w:t>
      </w:r>
      <w:r w:rsidR="00AA31D3" w:rsidRPr="00255659">
        <w:rPr>
          <w:lang w:eastAsia="en-US"/>
        </w:rPr>
        <w:t>which is 10</w:t>
      </w:r>
      <w:r>
        <w:rPr>
          <w:lang w:eastAsia="en-US"/>
        </w:rPr>
        <w:t> </w:t>
      </w:r>
      <w:r w:rsidR="00AA31D3" w:rsidRPr="00255659">
        <w:rPr>
          <w:lang w:eastAsia="en-US"/>
        </w:rPr>
        <w:t>basis points higher.</w:t>
      </w:r>
    </w:p>
    <w:p w:rsidR="00AA31D3" w:rsidRPr="00255659" w:rsidRDefault="00AA31D3" w:rsidP="00540A76">
      <w:pPr>
        <w:pStyle w:val="answer"/>
        <w:ind w:firstLine="0"/>
        <w:rPr>
          <w:lang w:eastAsia="en-US"/>
        </w:rPr>
      </w:pPr>
      <w:r w:rsidRPr="00255659">
        <w:rPr>
          <w:lang w:eastAsia="en-US"/>
        </w:rPr>
        <w:t>Moreover, the basic annual DCF model ignores the time value of quarterly dividend payments and assumes dividends are paid once a year at the end of the year.</w:t>
      </w:r>
      <w:r w:rsidR="00287C5A">
        <w:rPr>
          <w:lang w:eastAsia="en-US"/>
        </w:rPr>
        <w:t xml:space="preserve"> </w:t>
      </w:r>
      <w:r w:rsidRPr="00255659">
        <w:rPr>
          <w:lang w:eastAsia="en-US"/>
        </w:rPr>
        <w:t>Multiplying the spot dividend yield by (1 + g) is actually a conservative attempt to capture the reality of quarterly dividend payments and understates the expected return on equity.</w:t>
      </w:r>
      <w:r w:rsidR="00287C5A">
        <w:rPr>
          <w:lang w:eastAsia="en-US"/>
        </w:rPr>
        <w:t xml:space="preserve"> </w:t>
      </w:r>
      <w:r w:rsidRPr="00255659">
        <w:rPr>
          <w:lang w:eastAsia="en-US"/>
        </w:rPr>
        <w:t>Use of this method is</w:t>
      </w:r>
      <w:r w:rsidR="001F7858">
        <w:rPr>
          <w:lang w:eastAsia="en-US"/>
        </w:rPr>
        <w:t xml:space="preserve"> </w:t>
      </w:r>
      <w:r w:rsidRPr="00255659">
        <w:rPr>
          <w:lang w:eastAsia="en-US"/>
        </w:rPr>
        <w:t>conservative because the annual DCF model ignores the more frequent compounding of quarterly dividends.</w:t>
      </w:r>
    </w:p>
    <w:p w:rsidR="00C34FAA" w:rsidRPr="00255659" w:rsidRDefault="00C34FAA" w:rsidP="00540A76">
      <w:pPr>
        <w:pStyle w:val="Heading3"/>
        <w:rPr>
          <w:lang w:eastAsia="en-US"/>
        </w:rPr>
      </w:pPr>
      <w:bookmarkStart w:id="10" w:name="_Toc489887861"/>
      <w:r>
        <w:lastRenderedPageBreak/>
        <w:t>2</w:t>
      </w:r>
      <w:r w:rsidRPr="00255659">
        <w:t>.</w:t>
      </w:r>
      <w:r w:rsidRPr="00255659">
        <w:tab/>
      </w:r>
      <w:r>
        <w:t>D</w:t>
      </w:r>
      <w:r w:rsidRPr="00255659">
        <w:t>r.</w:t>
      </w:r>
      <w:r>
        <w:t xml:space="preserve"> Woolridge </w:t>
      </w:r>
      <w:r w:rsidRPr="00C34FAA">
        <w:t>Erroneously Relies on Historical Growth Rates in His DCF Analysis</w:t>
      </w:r>
      <w:bookmarkEnd w:id="10"/>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 xml:space="preserve">What growth rates did </w:t>
      </w:r>
      <w:r w:rsidR="006B5168" w:rsidRPr="00255659">
        <w:rPr>
          <w:lang w:eastAsia="en-US"/>
        </w:rPr>
        <w:t>Dr.</w:t>
      </w:r>
      <w:r w:rsidR="006B5168">
        <w:rPr>
          <w:lang w:eastAsia="en-US"/>
        </w:rPr>
        <w:t> </w:t>
      </w:r>
      <w:r w:rsidR="003C7909" w:rsidRPr="00255659">
        <w:rPr>
          <w:lang w:eastAsia="en-US"/>
        </w:rPr>
        <w:t>Woolridge employ</w:t>
      </w:r>
      <w:r w:rsidR="00C34FAA">
        <w:rPr>
          <w:lang w:eastAsia="en-US"/>
        </w:rPr>
        <w:t xml:space="preserve"> in his DCF analyses</w:t>
      </w:r>
      <w:r w:rsidRPr="00255659">
        <w:rPr>
          <w:lang w:eastAsia="en-US"/>
        </w:rPr>
        <w:t>?</w:t>
      </w:r>
    </w:p>
    <w:p w:rsidR="00F3128F" w:rsidRDefault="00AA31D3" w:rsidP="00540A76">
      <w:pPr>
        <w:pStyle w:val="answer"/>
        <w:rPr>
          <w:szCs w:val="24"/>
          <w:lang w:eastAsia="en-US"/>
        </w:rPr>
      </w:pPr>
      <w:r w:rsidRPr="00255659">
        <w:rPr>
          <w:szCs w:val="24"/>
          <w:lang w:eastAsia="en-US"/>
        </w:rPr>
        <w:t>A.</w:t>
      </w:r>
      <w:r w:rsidRPr="00255659">
        <w:rPr>
          <w:szCs w:val="24"/>
          <w:lang w:eastAsia="en-US"/>
        </w:rPr>
        <w:tab/>
      </w:r>
      <w:r w:rsidR="006B5168" w:rsidRPr="00255659">
        <w:rPr>
          <w:lang w:eastAsia="en-US"/>
        </w:rPr>
        <w:t>Dr.</w:t>
      </w:r>
      <w:r w:rsidR="006B5168">
        <w:rPr>
          <w:lang w:eastAsia="en-US"/>
        </w:rPr>
        <w:t> </w:t>
      </w:r>
      <w:r w:rsidRPr="00255659">
        <w:rPr>
          <w:szCs w:val="24"/>
          <w:lang w:eastAsia="en-US"/>
        </w:rPr>
        <w:t>Woolridge employs a veritable smorgasbord of thirteen growth rates as proxies for the DCF</w:t>
      </w:r>
      <w:r w:rsidR="00C34FAA">
        <w:rPr>
          <w:szCs w:val="24"/>
          <w:lang w:eastAsia="en-US"/>
        </w:rPr>
        <w:t> </w:t>
      </w:r>
      <w:r w:rsidRPr="00255659">
        <w:rPr>
          <w:szCs w:val="24"/>
          <w:lang w:eastAsia="en-US"/>
        </w:rPr>
        <w:t>growth component for each of his three peer groups.</w:t>
      </w:r>
    </w:p>
    <w:p w:rsidR="00AA31D3" w:rsidRPr="00255659" w:rsidRDefault="00F3128F" w:rsidP="00540A76">
      <w:pPr>
        <w:pStyle w:val="answer"/>
        <w:ind w:firstLine="0"/>
        <w:rPr>
          <w:lang w:eastAsia="en-US"/>
        </w:rPr>
      </w:pPr>
      <w:r>
        <w:rPr>
          <w:szCs w:val="24"/>
          <w:lang w:eastAsia="en-US"/>
        </w:rPr>
        <w:t xml:space="preserve">For example, Table 2 below provides the </w:t>
      </w:r>
      <w:r w:rsidR="00AA31D3" w:rsidRPr="00255659">
        <w:rPr>
          <w:szCs w:val="24"/>
          <w:lang w:eastAsia="en-US"/>
        </w:rPr>
        <w:t xml:space="preserve">thirteen </w:t>
      </w:r>
      <w:r>
        <w:rPr>
          <w:szCs w:val="24"/>
          <w:lang w:eastAsia="en-US"/>
        </w:rPr>
        <w:t xml:space="preserve">growth rates used by Dr. Woolridge for his DCF analyses </w:t>
      </w:r>
      <w:r w:rsidR="00AA31D3" w:rsidRPr="00255659">
        <w:rPr>
          <w:szCs w:val="24"/>
          <w:lang w:eastAsia="en-US"/>
        </w:rPr>
        <w:t xml:space="preserve">for </w:t>
      </w:r>
      <w:r>
        <w:rPr>
          <w:szCs w:val="24"/>
          <w:lang w:eastAsia="en-US"/>
        </w:rPr>
        <w:t>his proxy group of electric utilities.</w:t>
      </w:r>
    </w:p>
    <w:p w:rsidR="00AA31D3" w:rsidRPr="00E51C96" w:rsidRDefault="00E51C96" w:rsidP="00540A76">
      <w:pPr>
        <w:pStyle w:val="TableHeading"/>
      </w:pPr>
      <w:r w:rsidRPr="00E51C96">
        <w:t xml:space="preserve">Table 2. Dr. Woolridge’s DCF </w:t>
      </w:r>
      <w:r w:rsidR="000F37FB">
        <w:t>G</w:t>
      </w:r>
      <w:r w:rsidRPr="00E51C96">
        <w:t xml:space="preserve">rowth </w:t>
      </w:r>
      <w:r w:rsidR="000F37FB">
        <w:t>R</w:t>
      </w:r>
      <w:r w:rsidRPr="00E51C96">
        <w:t>ates</w:t>
      </w:r>
      <w:r w:rsidR="00F3128F">
        <w:br/>
        <w:t>for His Proxy Group of Electric Utilities</w:t>
      </w:r>
    </w:p>
    <w:tbl>
      <w:tblPr>
        <w:tblW w:w="5940" w:type="dxa"/>
        <w:tblInd w:w="1440" w:type="dxa"/>
        <w:tblLook w:val="04A0" w:firstRow="1" w:lastRow="0" w:firstColumn="1" w:lastColumn="0" w:noHBand="0" w:noVBand="1"/>
      </w:tblPr>
      <w:tblGrid>
        <w:gridCol w:w="520"/>
        <w:gridCol w:w="4480"/>
        <w:gridCol w:w="940"/>
      </w:tblGrid>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1</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10-yr historical Earnings</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6.1%</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2</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10-yr historical Dividend</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2.9%</w:t>
            </w:r>
          </w:p>
        </w:tc>
      </w:tr>
      <w:tr w:rsidR="00E51C96" w:rsidRPr="00E51C96" w:rsidTr="00AA31D3">
        <w:trPr>
          <w:trHeight w:val="28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3</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10-yr historical Book Value</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5.7%</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5-yr historical Earnings</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6.1%</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5</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5-yr historical Dividend</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4.1%</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6</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5-yr historical Book Value</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5.4%</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7</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Value Line Projected earnings</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4.9%</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8</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Value Line Projected dividend</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3.9%</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9</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Value Line projected Book Value</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4.8%</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10</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Value Line Internal Growth</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4.8%</w:t>
            </w:r>
          </w:p>
        </w:tc>
      </w:tr>
      <w:tr w:rsidR="00E51C96" w:rsidRPr="00E51C96" w:rsidTr="00AA31D3">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11</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 xml:space="preserve">First Call </w:t>
            </w:r>
            <w:r w:rsidR="00C8234D" w:rsidRPr="00E51C96">
              <w:rPr>
                <w:szCs w:val="24"/>
                <w:lang w:eastAsia="en-US"/>
              </w:rPr>
              <w:t>analysts’</w:t>
            </w:r>
            <w:r w:rsidRPr="00E51C96">
              <w:rPr>
                <w:szCs w:val="24"/>
                <w:lang w:eastAsia="en-US"/>
              </w:rPr>
              <w:t xml:space="preserve"> forecasts</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3.1%</w:t>
            </w:r>
          </w:p>
        </w:tc>
      </w:tr>
      <w:tr w:rsidR="00E51C96" w:rsidRPr="00E51C96" w:rsidTr="00E51C96">
        <w:trPr>
          <w:trHeight w:val="300"/>
        </w:trPr>
        <w:tc>
          <w:tcPr>
            <w:tcW w:w="520" w:type="dxa"/>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12</w:t>
            </w:r>
          </w:p>
        </w:tc>
        <w:tc>
          <w:tcPr>
            <w:tcW w:w="4480" w:type="dxa"/>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Zacks analysts</w:t>
            </w:r>
            <w:r w:rsidR="00C8234D">
              <w:rPr>
                <w:szCs w:val="24"/>
                <w:lang w:eastAsia="en-US"/>
              </w:rPr>
              <w:t>’</w:t>
            </w:r>
            <w:r w:rsidRPr="00E51C96">
              <w:rPr>
                <w:szCs w:val="24"/>
                <w:lang w:eastAsia="en-US"/>
              </w:rPr>
              <w:t xml:space="preserve"> forecasts</w:t>
            </w:r>
          </w:p>
        </w:tc>
        <w:tc>
          <w:tcPr>
            <w:tcW w:w="940" w:type="dxa"/>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4.6%</w:t>
            </w:r>
          </w:p>
        </w:tc>
      </w:tr>
      <w:tr w:rsidR="00E51C96" w:rsidRPr="00E51C96" w:rsidTr="00E51C96">
        <w:trPr>
          <w:trHeight w:val="300"/>
        </w:trPr>
        <w:tc>
          <w:tcPr>
            <w:tcW w:w="520" w:type="dxa"/>
            <w:tcBorders>
              <w:bottom w:val="single" w:sz="4" w:space="0" w:color="auto"/>
            </w:tcBorders>
            <w:noWrap/>
            <w:vAlign w:val="bottom"/>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13</w:t>
            </w:r>
          </w:p>
        </w:tc>
        <w:tc>
          <w:tcPr>
            <w:tcW w:w="4480" w:type="dxa"/>
            <w:tcBorders>
              <w:bottom w:val="single" w:sz="4" w:space="0" w:color="auto"/>
            </w:tcBorders>
            <w:shd w:val="clear" w:color="auto" w:fill="FFFFFF"/>
            <w:vAlign w:val="center"/>
            <w:hideMark/>
          </w:tcPr>
          <w:p w:rsidR="00AA31D3" w:rsidRPr="00E51C96" w:rsidRDefault="00AA31D3" w:rsidP="00540A76">
            <w:pPr>
              <w:autoSpaceDN w:val="0"/>
              <w:spacing w:before="60" w:after="60" w:line="240" w:lineRule="auto"/>
              <w:ind w:firstLine="0"/>
              <w:rPr>
                <w:szCs w:val="24"/>
                <w:lang w:eastAsia="en-US"/>
              </w:rPr>
            </w:pPr>
            <w:r w:rsidRPr="00E51C96">
              <w:rPr>
                <w:szCs w:val="24"/>
                <w:lang w:eastAsia="en-US"/>
              </w:rPr>
              <w:t>Reuters analyst</w:t>
            </w:r>
            <w:r w:rsidR="00C8234D">
              <w:rPr>
                <w:szCs w:val="24"/>
                <w:lang w:eastAsia="en-US"/>
              </w:rPr>
              <w:t>s’</w:t>
            </w:r>
            <w:r w:rsidRPr="00E51C96">
              <w:rPr>
                <w:szCs w:val="24"/>
                <w:lang w:eastAsia="en-US"/>
              </w:rPr>
              <w:t xml:space="preserve"> forecasts</w:t>
            </w:r>
          </w:p>
        </w:tc>
        <w:tc>
          <w:tcPr>
            <w:tcW w:w="940" w:type="dxa"/>
            <w:tcBorders>
              <w:bottom w:val="single" w:sz="4" w:space="0" w:color="auto"/>
            </w:tcBorders>
            <w:shd w:val="clear" w:color="auto" w:fill="FFFFFF"/>
            <w:vAlign w:val="center"/>
            <w:hideMark/>
          </w:tcPr>
          <w:p w:rsidR="00AA31D3" w:rsidRPr="00E51C96" w:rsidRDefault="00AA31D3" w:rsidP="00540A76">
            <w:pPr>
              <w:autoSpaceDN w:val="0"/>
              <w:spacing w:before="60" w:after="60" w:line="240" w:lineRule="auto"/>
              <w:ind w:firstLine="0"/>
              <w:jc w:val="center"/>
              <w:rPr>
                <w:szCs w:val="24"/>
                <w:lang w:eastAsia="en-US"/>
              </w:rPr>
            </w:pPr>
            <w:r w:rsidRPr="00E51C96">
              <w:rPr>
                <w:szCs w:val="24"/>
                <w:lang w:eastAsia="en-US"/>
              </w:rPr>
              <w:t>4.5%</w:t>
            </w:r>
          </w:p>
        </w:tc>
      </w:tr>
      <w:tr w:rsidR="00E51C96" w:rsidRPr="00E51C96" w:rsidTr="00E51C96">
        <w:trPr>
          <w:trHeight w:val="300"/>
        </w:trPr>
        <w:tc>
          <w:tcPr>
            <w:tcW w:w="520" w:type="dxa"/>
            <w:tcBorders>
              <w:top w:val="single" w:sz="4" w:space="0" w:color="auto"/>
            </w:tcBorders>
            <w:noWrap/>
            <w:vAlign w:val="bottom"/>
            <w:hideMark/>
          </w:tcPr>
          <w:p w:rsidR="00E51C96" w:rsidRPr="00E51C96" w:rsidRDefault="00E51C96" w:rsidP="00540A76">
            <w:pPr>
              <w:autoSpaceDN w:val="0"/>
              <w:spacing w:before="60" w:after="60" w:line="240" w:lineRule="auto"/>
              <w:ind w:firstLine="0"/>
              <w:jc w:val="center"/>
              <w:rPr>
                <w:szCs w:val="24"/>
                <w:lang w:eastAsia="en-US"/>
              </w:rPr>
            </w:pPr>
          </w:p>
        </w:tc>
        <w:tc>
          <w:tcPr>
            <w:tcW w:w="4480" w:type="dxa"/>
            <w:tcBorders>
              <w:top w:val="single" w:sz="4" w:space="0" w:color="auto"/>
            </w:tcBorders>
            <w:shd w:val="clear" w:color="auto" w:fill="FFFFFF"/>
            <w:vAlign w:val="center"/>
            <w:hideMark/>
          </w:tcPr>
          <w:p w:rsidR="00E51C96" w:rsidRPr="00E51C96" w:rsidRDefault="00E51C96" w:rsidP="00540A76">
            <w:pPr>
              <w:autoSpaceDN w:val="0"/>
              <w:spacing w:before="60" w:after="60" w:line="240" w:lineRule="auto"/>
              <w:ind w:firstLine="0"/>
              <w:rPr>
                <w:b/>
                <w:szCs w:val="24"/>
                <w:lang w:eastAsia="en-US"/>
              </w:rPr>
            </w:pPr>
            <w:r w:rsidRPr="00E51C96">
              <w:rPr>
                <w:b/>
                <w:szCs w:val="24"/>
                <w:lang w:eastAsia="en-US"/>
              </w:rPr>
              <w:t>AVERAGE</w:t>
            </w:r>
          </w:p>
        </w:tc>
        <w:tc>
          <w:tcPr>
            <w:tcW w:w="940" w:type="dxa"/>
            <w:tcBorders>
              <w:top w:val="single" w:sz="4" w:space="0" w:color="auto"/>
            </w:tcBorders>
            <w:shd w:val="clear" w:color="auto" w:fill="FFFFFF"/>
            <w:vAlign w:val="center"/>
            <w:hideMark/>
          </w:tcPr>
          <w:p w:rsidR="00E51C96" w:rsidRPr="00E51C96" w:rsidRDefault="00E51C96" w:rsidP="00540A76">
            <w:pPr>
              <w:autoSpaceDN w:val="0"/>
              <w:spacing w:before="60" w:after="60" w:line="240" w:lineRule="auto"/>
              <w:ind w:firstLine="0"/>
              <w:jc w:val="center"/>
              <w:rPr>
                <w:b/>
                <w:szCs w:val="24"/>
                <w:lang w:eastAsia="en-US"/>
              </w:rPr>
            </w:pPr>
            <w:r w:rsidRPr="00E51C96">
              <w:rPr>
                <w:b/>
                <w:szCs w:val="24"/>
                <w:lang w:eastAsia="en-US"/>
              </w:rPr>
              <w:t>4.7%</w:t>
            </w:r>
          </w:p>
        </w:tc>
      </w:tr>
    </w:tbl>
    <w:p w:rsidR="00AA31D3" w:rsidRPr="00E51C96" w:rsidRDefault="00AA31D3" w:rsidP="00540A76">
      <w:pPr>
        <w:overflowPunct w:val="0"/>
        <w:autoSpaceDE w:val="0"/>
        <w:autoSpaceDN w:val="0"/>
        <w:adjustRightInd w:val="0"/>
        <w:spacing w:before="280" w:after="60" w:line="240" w:lineRule="auto"/>
        <w:ind w:left="1354" w:firstLine="0"/>
        <w:jc w:val="both"/>
        <w:rPr>
          <w:szCs w:val="24"/>
          <w:lang w:eastAsia="en-US"/>
        </w:rPr>
      </w:pPr>
      <w:r w:rsidRPr="00E51C96">
        <w:rPr>
          <w:b/>
          <w:szCs w:val="24"/>
          <w:lang w:eastAsia="en-US"/>
        </w:rPr>
        <w:t>Source:</w:t>
      </w:r>
      <w:r w:rsidRPr="00E51C96">
        <w:rPr>
          <w:szCs w:val="24"/>
          <w:lang w:eastAsia="en-US"/>
        </w:rPr>
        <w:t xml:space="preserve"> Woolridge</w:t>
      </w:r>
      <w:r w:rsidR="00E51C96">
        <w:rPr>
          <w:szCs w:val="24"/>
          <w:lang w:eastAsia="en-US"/>
        </w:rPr>
        <w:t>,</w:t>
      </w:r>
      <w:r w:rsidRPr="00E51C96">
        <w:rPr>
          <w:szCs w:val="24"/>
          <w:lang w:eastAsia="en-US"/>
        </w:rPr>
        <w:t xml:space="preserve"> Exh</w:t>
      </w:r>
      <w:r w:rsidR="00E51C96">
        <w:rPr>
          <w:szCs w:val="24"/>
          <w:lang w:eastAsia="en-US"/>
        </w:rPr>
        <w:t>. </w:t>
      </w:r>
      <w:r w:rsidRPr="00E51C96">
        <w:rPr>
          <w:szCs w:val="24"/>
          <w:lang w:eastAsia="en-US"/>
        </w:rPr>
        <w:t>JRW-12</w:t>
      </w:r>
      <w:r w:rsidR="00E51C96">
        <w:rPr>
          <w:szCs w:val="24"/>
          <w:lang w:eastAsia="en-US"/>
        </w:rPr>
        <w:t>,</w:t>
      </w:r>
      <w:r w:rsidRPr="00E51C96">
        <w:rPr>
          <w:szCs w:val="24"/>
          <w:lang w:eastAsia="en-US"/>
        </w:rPr>
        <w:t xml:space="preserve"> </w:t>
      </w:r>
      <w:r w:rsidR="00E51C96">
        <w:rPr>
          <w:szCs w:val="24"/>
          <w:lang w:eastAsia="en-US"/>
        </w:rPr>
        <w:t>at p</w:t>
      </w:r>
      <w:r w:rsidRPr="00E51C96">
        <w:rPr>
          <w:szCs w:val="24"/>
          <w:lang w:eastAsia="en-US"/>
        </w:rPr>
        <w:t>ages 3-5.</w:t>
      </w:r>
    </w:p>
    <w:p w:rsidR="00AA31D3" w:rsidRPr="00255659" w:rsidRDefault="00AA31D3" w:rsidP="00540A76">
      <w:pPr>
        <w:pStyle w:val="question"/>
        <w:spacing w:before="360"/>
      </w:pPr>
      <w:r w:rsidRPr="00255659">
        <w:rPr>
          <w:lang w:eastAsia="en-US"/>
        </w:rPr>
        <w:lastRenderedPageBreak/>
        <w:t>Q.</w:t>
      </w:r>
      <w:r w:rsidRPr="00255659">
        <w:rPr>
          <w:lang w:eastAsia="en-US"/>
        </w:rPr>
        <w:tab/>
      </w:r>
      <w:r w:rsidR="00453706">
        <w:rPr>
          <w:lang w:eastAsia="en-US"/>
        </w:rPr>
        <w:t xml:space="preserve">Does Dr. Woolridge rely on </w:t>
      </w:r>
      <w:r w:rsidR="003C7909" w:rsidRPr="00255659">
        <w:rPr>
          <w:lang w:eastAsia="en-US"/>
        </w:rPr>
        <w:t xml:space="preserve">historical growth rates in </w:t>
      </w:r>
      <w:r w:rsidR="00453706">
        <w:rPr>
          <w:lang w:eastAsia="en-US"/>
        </w:rPr>
        <w:t xml:space="preserve">his </w:t>
      </w:r>
      <w:r w:rsidR="003C7909" w:rsidRPr="00255659">
        <w:rPr>
          <w:lang w:eastAsia="en-US"/>
        </w:rPr>
        <w:t>DCF</w:t>
      </w:r>
      <w:r w:rsidR="00F3128F">
        <w:rPr>
          <w:lang w:eastAsia="en-US"/>
        </w:rPr>
        <w:t> analyses?</w:t>
      </w:r>
    </w:p>
    <w:p w:rsidR="003C7909" w:rsidRPr="00255659" w:rsidRDefault="00AA31D3" w:rsidP="00540A76">
      <w:pPr>
        <w:pStyle w:val="answer"/>
        <w:rPr>
          <w:szCs w:val="24"/>
          <w:lang w:eastAsia="en-US"/>
        </w:rPr>
      </w:pPr>
      <w:r w:rsidRPr="00255659">
        <w:rPr>
          <w:szCs w:val="24"/>
          <w:lang w:eastAsia="en-US"/>
        </w:rPr>
        <w:t>A.</w:t>
      </w:r>
      <w:r w:rsidRPr="00255659">
        <w:rPr>
          <w:szCs w:val="24"/>
          <w:lang w:eastAsia="en-US"/>
        </w:rPr>
        <w:tab/>
      </w:r>
      <w:r w:rsidR="00453706">
        <w:rPr>
          <w:szCs w:val="24"/>
          <w:lang w:eastAsia="en-US"/>
        </w:rPr>
        <w:t xml:space="preserve">It is unclear whether </w:t>
      </w:r>
      <w:r w:rsidR="00453706">
        <w:rPr>
          <w:lang w:eastAsia="en-US"/>
        </w:rPr>
        <w:t xml:space="preserve">Dr. Woolridge relies on </w:t>
      </w:r>
      <w:r w:rsidR="00453706" w:rsidRPr="00255659">
        <w:rPr>
          <w:lang w:eastAsia="en-US"/>
        </w:rPr>
        <w:t xml:space="preserve">historical growth rates in </w:t>
      </w:r>
      <w:r w:rsidR="00453706">
        <w:rPr>
          <w:lang w:eastAsia="en-US"/>
        </w:rPr>
        <w:t xml:space="preserve">his </w:t>
      </w:r>
      <w:r w:rsidR="00453706" w:rsidRPr="00255659">
        <w:rPr>
          <w:lang w:eastAsia="en-US"/>
        </w:rPr>
        <w:t>DCF</w:t>
      </w:r>
      <w:r w:rsidR="00453706">
        <w:rPr>
          <w:lang w:eastAsia="en-US"/>
        </w:rPr>
        <w:t xml:space="preserve"> analyses. The first </w:t>
      </w:r>
      <w:r w:rsidR="00453706">
        <w:rPr>
          <w:szCs w:val="24"/>
          <w:lang w:eastAsia="en-US"/>
        </w:rPr>
        <w:t>s</w:t>
      </w:r>
      <w:r w:rsidRPr="00255659">
        <w:rPr>
          <w:szCs w:val="24"/>
          <w:lang w:eastAsia="en-US"/>
        </w:rPr>
        <w:t xml:space="preserve">ix of the </w:t>
      </w:r>
      <w:r w:rsidR="00453706" w:rsidRPr="00255659">
        <w:rPr>
          <w:szCs w:val="24"/>
          <w:lang w:eastAsia="en-US"/>
        </w:rPr>
        <w:t xml:space="preserve">thirteen </w:t>
      </w:r>
      <w:r w:rsidR="00453706">
        <w:rPr>
          <w:szCs w:val="24"/>
          <w:lang w:eastAsia="en-US"/>
        </w:rPr>
        <w:t xml:space="preserve">growth rates calculated by Dr. Woolridge and provided in Table 2 above </w:t>
      </w:r>
      <w:r w:rsidRPr="00255659">
        <w:rPr>
          <w:szCs w:val="24"/>
          <w:lang w:eastAsia="en-US"/>
        </w:rPr>
        <w:t>are historical growth rates.</w:t>
      </w:r>
      <w:r w:rsidR="00287C5A">
        <w:rPr>
          <w:szCs w:val="24"/>
          <w:lang w:eastAsia="en-US"/>
        </w:rPr>
        <w:t xml:space="preserve"> </w:t>
      </w:r>
      <w:r w:rsidRPr="00255659">
        <w:rPr>
          <w:szCs w:val="24"/>
          <w:lang w:eastAsia="en-US"/>
        </w:rPr>
        <w:t xml:space="preserve">Although </w:t>
      </w:r>
      <w:r w:rsidR="0045302F">
        <w:rPr>
          <w:szCs w:val="24"/>
          <w:lang w:eastAsia="en-US"/>
        </w:rPr>
        <w:t xml:space="preserve">Dr. Woolridge </w:t>
      </w:r>
      <w:r w:rsidRPr="00255659">
        <w:rPr>
          <w:szCs w:val="24"/>
          <w:lang w:eastAsia="en-US"/>
        </w:rPr>
        <w:t xml:space="preserve">reports </w:t>
      </w:r>
      <w:r w:rsidR="0045302F" w:rsidRPr="0045302F">
        <w:rPr>
          <w:szCs w:val="24"/>
          <w:lang w:eastAsia="en-US"/>
        </w:rPr>
        <w:t xml:space="preserve">median historical growth </w:t>
      </w:r>
      <w:r w:rsidR="0045302F">
        <w:rPr>
          <w:szCs w:val="24"/>
          <w:lang w:eastAsia="en-US"/>
        </w:rPr>
        <w:t>rates for his e</w:t>
      </w:r>
      <w:r w:rsidR="0045302F" w:rsidRPr="0045302F">
        <w:rPr>
          <w:szCs w:val="24"/>
          <w:lang w:eastAsia="en-US"/>
        </w:rPr>
        <w:t>lectric</w:t>
      </w:r>
      <w:r w:rsidR="0045302F">
        <w:rPr>
          <w:szCs w:val="24"/>
          <w:lang w:eastAsia="en-US"/>
        </w:rPr>
        <w:t xml:space="preserve"> p</w:t>
      </w:r>
      <w:r w:rsidR="0045302F" w:rsidRPr="0045302F">
        <w:rPr>
          <w:szCs w:val="24"/>
          <w:lang w:eastAsia="en-US"/>
        </w:rPr>
        <w:t xml:space="preserve">roxy </w:t>
      </w:r>
      <w:r w:rsidR="0045302F">
        <w:rPr>
          <w:szCs w:val="24"/>
          <w:lang w:eastAsia="en-US"/>
        </w:rPr>
        <w:t>g</w:t>
      </w:r>
      <w:r w:rsidR="0045302F" w:rsidRPr="0045302F">
        <w:rPr>
          <w:szCs w:val="24"/>
          <w:lang w:eastAsia="en-US"/>
        </w:rPr>
        <w:t>roup</w:t>
      </w:r>
      <w:r w:rsidR="0045302F">
        <w:rPr>
          <w:szCs w:val="24"/>
          <w:lang w:eastAsia="en-US"/>
        </w:rPr>
        <w:t xml:space="preserve"> that range </w:t>
      </w:r>
      <w:r w:rsidR="0045302F" w:rsidRPr="0045302F">
        <w:rPr>
          <w:szCs w:val="24"/>
          <w:lang w:eastAsia="en-US"/>
        </w:rPr>
        <w:t>from 4.0</w:t>
      </w:r>
      <w:r w:rsidR="0045302F">
        <w:rPr>
          <w:szCs w:val="24"/>
          <w:lang w:eastAsia="en-US"/>
        </w:rPr>
        <w:t> </w:t>
      </w:r>
      <w:r w:rsidR="0045302F" w:rsidRPr="0045302F">
        <w:rPr>
          <w:szCs w:val="24"/>
          <w:lang w:eastAsia="en-US"/>
        </w:rPr>
        <w:t>percent to 5.5</w:t>
      </w:r>
      <w:r w:rsidR="0045302F">
        <w:rPr>
          <w:szCs w:val="24"/>
          <w:lang w:eastAsia="en-US"/>
        </w:rPr>
        <w:t> </w:t>
      </w:r>
      <w:r w:rsidR="0045302F" w:rsidRPr="0045302F">
        <w:rPr>
          <w:szCs w:val="24"/>
          <w:lang w:eastAsia="en-US"/>
        </w:rPr>
        <w:t>percent, with an average of the medians of 4.3</w:t>
      </w:r>
      <w:r w:rsidR="0045302F">
        <w:rPr>
          <w:szCs w:val="24"/>
          <w:lang w:eastAsia="en-US"/>
        </w:rPr>
        <w:t> </w:t>
      </w:r>
      <w:r w:rsidR="0045302F" w:rsidRPr="0045302F">
        <w:rPr>
          <w:szCs w:val="24"/>
          <w:lang w:eastAsia="en-US"/>
        </w:rPr>
        <w:t>percent.</w:t>
      </w:r>
      <w:r w:rsidR="0045302F">
        <w:rPr>
          <w:rStyle w:val="FootnoteReference"/>
          <w:szCs w:val="24"/>
          <w:lang w:eastAsia="en-US"/>
        </w:rPr>
        <w:footnoteReference w:id="6"/>
      </w:r>
      <w:r w:rsidR="0045302F" w:rsidRPr="0045302F">
        <w:rPr>
          <w:szCs w:val="24"/>
          <w:lang w:eastAsia="en-US"/>
        </w:rPr>
        <w:t xml:space="preserve"> </w:t>
      </w:r>
      <w:r w:rsidR="0045302F">
        <w:rPr>
          <w:szCs w:val="24"/>
          <w:lang w:eastAsia="en-US"/>
        </w:rPr>
        <w:t>Notwithstanding this low historical growth rat</w:t>
      </w:r>
      <w:r w:rsidR="00484125">
        <w:rPr>
          <w:szCs w:val="24"/>
          <w:lang w:eastAsia="en-US"/>
        </w:rPr>
        <w:t>e, Dr. Woolridge recommends using</w:t>
      </w:r>
      <w:r w:rsidR="0045302F">
        <w:rPr>
          <w:szCs w:val="24"/>
          <w:lang w:eastAsia="en-US"/>
        </w:rPr>
        <w:t xml:space="preserve"> a growth rate of </w:t>
      </w:r>
      <w:r w:rsidRPr="00255659">
        <w:rPr>
          <w:szCs w:val="24"/>
          <w:lang w:eastAsia="en-US"/>
        </w:rPr>
        <w:t>5.25</w:t>
      </w:r>
      <w:r w:rsidR="0045302F">
        <w:rPr>
          <w:szCs w:val="24"/>
          <w:lang w:eastAsia="en-US"/>
        </w:rPr>
        <w:t> percent for his electric proxy group</w:t>
      </w:r>
      <w:r w:rsidRPr="00255659">
        <w:rPr>
          <w:szCs w:val="24"/>
          <w:lang w:eastAsia="en-US"/>
        </w:rPr>
        <w:t>,</w:t>
      </w:r>
      <w:r w:rsidR="0045302F">
        <w:rPr>
          <w:rStyle w:val="FootnoteReference"/>
          <w:szCs w:val="24"/>
          <w:lang w:eastAsia="en-US"/>
        </w:rPr>
        <w:footnoteReference w:id="7"/>
      </w:r>
      <w:r w:rsidRPr="00255659">
        <w:rPr>
          <w:szCs w:val="24"/>
          <w:lang w:eastAsia="en-US"/>
        </w:rPr>
        <w:t xml:space="preserve"> so that it is difficult to </w:t>
      </w:r>
      <w:r w:rsidR="0045302F">
        <w:rPr>
          <w:szCs w:val="24"/>
          <w:lang w:eastAsia="en-US"/>
        </w:rPr>
        <w:t xml:space="preserve">discern </w:t>
      </w:r>
      <w:r w:rsidRPr="00255659">
        <w:rPr>
          <w:szCs w:val="24"/>
          <w:lang w:eastAsia="en-US"/>
        </w:rPr>
        <w:t>to what extent he places reliance, if any, on historical growth rates.</w:t>
      </w:r>
      <w:r w:rsidR="00287C5A">
        <w:rPr>
          <w:szCs w:val="24"/>
          <w:lang w:eastAsia="en-US"/>
        </w:rPr>
        <w:t xml:space="preserve"> </w:t>
      </w:r>
      <w:r w:rsidRPr="00255659">
        <w:rPr>
          <w:szCs w:val="24"/>
          <w:lang w:eastAsia="en-US"/>
        </w:rPr>
        <w:t xml:space="preserve">To the extent that </w:t>
      </w:r>
      <w:r w:rsidR="00484125">
        <w:rPr>
          <w:szCs w:val="24"/>
          <w:lang w:eastAsia="en-US"/>
        </w:rPr>
        <w:t>Dr. Woolridge did rely</w:t>
      </w:r>
      <w:r w:rsidR="0045302F">
        <w:rPr>
          <w:szCs w:val="24"/>
          <w:lang w:eastAsia="en-US"/>
        </w:rPr>
        <w:t xml:space="preserve"> on historical growth rates</w:t>
      </w:r>
      <w:r w:rsidRPr="00255659">
        <w:rPr>
          <w:szCs w:val="24"/>
          <w:lang w:eastAsia="en-US"/>
        </w:rPr>
        <w:t xml:space="preserve">, </w:t>
      </w:r>
      <w:r w:rsidR="0045302F">
        <w:rPr>
          <w:szCs w:val="24"/>
          <w:lang w:eastAsia="en-US"/>
        </w:rPr>
        <w:t>he did so in error</w:t>
      </w:r>
      <w:r w:rsidRPr="00255659">
        <w:rPr>
          <w:szCs w:val="24"/>
          <w:lang w:eastAsia="en-US"/>
        </w:rPr>
        <w:t>.</w:t>
      </w:r>
    </w:p>
    <w:p w:rsidR="00917A4F" w:rsidRPr="000F37FB" w:rsidRDefault="00917A4F" w:rsidP="00540A76">
      <w:pPr>
        <w:pStyle w:val="TableHeading"/>
        <w:ind w:left="90" w:right="90"/>
      </w:pPr>
      <w:r w:rsidRPr="000F37FB">
        <w:rPr>
          <w:bCs/>
        </w:rPr>
        <w:t>Table</w:t>
      </w:r>
      <w:r>
        <w:rPr>
          <w:bCs/>
        </w:rPr>
        <w:t> </w:t>
      </w:r>
      <w:r w:rsidRPr="000F37FB">
        <w:rPr>
          <w:bCs/>
        </w:rPr>
        <w:t>3</w:t>
      </w:r>
      <w:r w:rsidRPr="000F37FB">
        <w:t>. Dr. </w:t>
      </w:r>
      <w:r w:rsidRPr="000F37FB">
        <w:rPr>
          <w:bCs/>
        </w:rPr>
        <w:t>Woolridge DCF Growth Rate Indicators</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205"/>
        <w:gridCol w:w="1205"/>
        <w:gridCol w:w="1205"/>
      </w:tblGrid>
      <w:tr w:rsidR="00917A4F" w:rsidRPr="00917A4F" w:rsidTr="00917A4F">
        <w:trPr>
          <w:trHeight w:val="340"/>
          <w:jc w:val="center"/>
        </w:trPr>
        <w:tc>
          <w:tcPr>
            <w:tcW w:w="3279" w:type="dxa"/>
            <w:shd w:val="clear" w:color="auto" w:fill="D9D9D9" w:themeFill="background1" w:themeFillShade="D9"/>
            <w:noWrap/>
            <w:vAlign w:val="center"/>
            <w:hideMark/>
          </w:tcPr>
          <w:p w:rsidR="00917A4F" w:rsidRPr="00917A4F" w:rsidRDefault="00917A4F" w:rsidP="00540A76">
            <w:pPr>
              <w:keepNext/>
              <w:keepLines/>
              <w:autoSpaceDN w:val="0"/>
              <w:spacing w:before="60" w:after="60" w:line="240" w:lineRule="auto"/>
              <w:ind w:firstLine="0"/>
              <w:jc w:val="center"/>
              <w:rPr>
                <w:b/>
                <w:sz w:val="20"/>
              </w:rPr>
            </w:pPr>
            <w:r w:rsidRPr="00917A4F">
              <w:rPr>
                <w:b/>
                <w:sz w:val="20"/>
              </w:rPr>
              <w:t>Growth Rate Indicator</w:t>
            </w:r>
          </w:p>
        </w:tc>
        <w:tc>
          <w:tcPr>
            <w:tcW w:w="1205" w:type="dxa"/>
            <w:shd w:val="clear" w:color="auto" w:fill="D9D9D9" w:themeFill="background1" w:themeFillShade="D9"/>
            <w:noWrap/>
            <w:vAlign w:val="center"/>
            <w:hideMark/>
          </w:tcPr>
          <w:p w:rsidR="00917A4F" w:rsidRPr="00917A4F" w:rsidRDefault="00917A4F" w:rsidP="00540A76">
            <w:pPr>
              <w:keepNext/>
              <w:keepLines/>
              <w:autoSpaceDN w:val="0"/>
              <w:spacing w:before="60" w:after="60" w:line="240" w:lineRule="auto"/>
              <w:ind w:firstLine="0"/>
              <w:jc w:val="center"/>
              <w:rPr>
                <w:b/>
                <w:sz w:val="20"/>
              </w:rPr>
            </w:pPr>
            <w:r w:rsidRPr="00917A4F">
              <w:rPr>
                <w:b/>
                <w:sz w:val="20"/>
              </w:rPr>
              <w:t>Electric</w:t>
            </w:r>
            <w:r w:rsidRPr="00917A4F">
              <w:rPr>
                <w:b/>
                <w:sz w:val="20"/>
              </w:rPr>
              <w:br/>
              <w:t>Group</w:t>
            </w:r>
          </w:p>
        </w:tc>
        <w:tc>
          <w:tcPr>
            <w:tcW w:w="1205" w:type="dxa"/>
            <w:shd w:val="clear" w:color="auto" w:fill="D9D9D9" w:themeFill="background1" w:themeFillShade="D9"/>
            <w:noWrap/>
            <w:vAlign w:val="center"/>
            <w:hideMark/>
          </w:tcPr>
          <w:p w:rsidR="00917A4F" w:rsidRPr="00917A4F" w:rsidRDefault="00917A4F" w:rsidP="00540A76">
            <w:pPr>
              <w:keepNext/>
              <w:keepLines/>
              <w:autoSpaceDN w:val="0"/>
              <w:spacing w:before="60" w:after="60" w:line="240" w:lineRule="auto"/>
              <w:ind w:firstLine="0"/>
              <w:jc w:val="center"/>
              <w:rPr>
                <w:b/>
                <w:sz w:val="20"/>
              </w:rPr>
            </w:pPr>
            <w:r w:rsidRPr="00917A4F">
              <w:rPr>
                <w:b/>
                <w:sz w:val="20"/>
              </w:rPr>
              <w:t>Morin</w:t>
            </w:r>
            <w:r w:rsidRPr="00917A4F">
              <w:rPr>
                <w:b/>
                <w:sz w:val="20"/>
              </w:rPr>
              <w:br/>
              <w:t>Group</w:t>
            </w:r>
          </w:p>
        </w:tc>
        <w:tc>
          <w:tcPr>
            <w:tcW w:w="1205" w:type="dxa"/>
            <w:shd w:val="clear" w:color="auto" w:fill="D9D9D9" w:themeFill="background1" w:themeFillShade="D9"/>
            <w:noWrap/>
            <w:vAlign w:val="center"/>
            <w:hideMark/>
          </w:tcPr>
          <w:p w:rsidR="00917A4F" w:rsidRPr="00917A4F" w:rsidRDefault="00917A4F" w:rsidP="00540A76">
            <w:pPr>
              <w:keepNext/>
              <w:keepLines/>
              <w:autoSpaceDN w:val="0"/>
              <w:spacing w:before="60" w:after="60" w:line="240" w:lineRule="auto"/>
              <w:ind w:firstLine="0"/>
              <w:jc w:val="center"/>
              <w:rPr>
                <w:b/>
                <w:sz w:val="20"/>
              </w:rPr>
            </w:pPr>
            <w:r w:rsidRPr="00917A4F">
              <w:rPr>
                <w:b/>
                <w:sz w:val="20"/>
              </w:rPr>
              <w:t>Gas</w:t>
            </w:r>
            <w:r w:rsidRPr="00917A4F">
              <w:rPr>
                <w:b/>
                <w:sz w:val="20"/>
              </w:rPr>
              <w:br/>
              <w:t>Group</w:t>
            </w:r>
          </w:p>
        </w:tc>
      </w:tr>
      <w:tr w:rsidR="00917A4F" w:rsidRPr="00917A4F" w:rsidTr="00F51B93">
        <w:trPr>
          <w:trHeight w:val="512"/>
          <w:jc w:val="center"/>
        </w:trPr>
        <w:tc>
          <w:tcPr>
            <w:tcW w:w="3279" w:type="dxa"/>
            <w:noWrap/>
            <w:vAlign w:val="center"/>
            <w:hideMark/>
          </w:tcPr>
          <w:p w:rsidR="00917A4F" w:rsidRPr="00917A4F" w:rsidRDefault="00917A4F" w:rsidP="00540A76">
            <w:pPr>
              <w:keepNext/>
              <w:keepLines/>
              <w:autoSpaceDN w:val="0"/>
              <w:spacing w:before="60" w:after="60" w:line="240" w:lineRule="auto"/>
              <w:ind w:firstLine="0"/>
              <w:rPr>
                <w:sz w:val="20"/>
              </w:rPr>
            </w:pPr>
            <w:r w:rsidRPr="00917A4F">
              <w:rPr>
                <w:sz w:val="20"/>
              </w:rPr>
              <w:t xml:space="preserve">Historic </w:t>
            </w:r>
            <w:r w:rsidRPr="00B97282">
              <w:rPr>
                <w:iCs/>
                <w:sz w:val="20"/>
              </w:rPr>
              <w:t>Value Line</w:t>
            </w:r>
            <w:r w:rsidRPr="00917A4F">
              <w:rPr>
                <w:sz w:val="20"/>
              </w:rPr>
              <w:t xml:space="preserve"> Growth in</w:t>
            </w:r>
            <w:r w:rsidRPr="00917A4F">
              <w:rPr>
                <w:sz w:val="20"/>
              </w:rPr>
              <w:br/>
              <w:t>EPS, DPS, and BVPS</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u w:val="single"/>
              </w:rPr>
            </w:pPr>
            <w:r w:rsidRPr="00917A4F">
              <w:rPr>
                <w:sz w:val="20"/>
              </w:rPr>
              <w:t>4.3%</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u w:val="single"/>
              </w:rPr>
            </w:pPr>
            <w:r w:rsidRPr="00917A4F">
              <w:rPr>
                <w:sz w:val="20"/>
              </w:rPr>
              <w:t>4.9%</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rPr>
            </w:pPr>
            <w:r w:rsidRPr="00917A4F">
              <w:rPr>
                <w:sz w:val="20"/>
              </w:rPr>
              <w:t>5.4%</w:t>
            </w:r>
          </w:p>
        </w:tc>
      </w:tr>
      <w:tr w:rsidR="00917A4F" w:rsidRPr="00917A4F" w:rsidTr="00F51B93">
        <w:trPr>
          <w:trHeight w:val="71"/>
          <w:jc w:val="center"/>
        </w:trPr>
        <w:tc>
          <w:tcPr>
            <w:tcW w:w="3279" w:type="dxa"/>
            <w:noWrap/>
            <w:vAlign w:val="center"/>
            <w:hideMark/>
          </w:tcPr>
          <w:p w:rsidR="00917A4F" w:rsidRPr="00917A4F" w:rsidRDefault="00917A4F" w:rsidP="00540A76">
            <w:pPr>
              <w:keepNext/>
              <w:keepLines/>
              <w:autoSpaceDN w:val="0"/>
              <w:spacing w:before="60" w:after="60" w:line="240" w:lineRule="auto"/>
              <w:ind w:firstLine="0"/>
              <w:rPr>
                <w:sz w:val="20"/>
              </w:rPr>
            </w:pPr>
            <w:r w:rsidRPr="00917A4F">
              <w:rPr>
                <w:sz w:val="20"/>
              </w:rPr>
              <w:t xml:space="preserve">Projected </w:t>
            </w:r>
            <w:r w:rsidRPr="00B97282">
              <w:rPr>
                <w:iCs/>
                <w:sz w:val="20"/>
              </w:rPr>
              <w:t>Value Line</w:t>
            </w:r>
            <w:r w:rsidRPr="00917A4F">
              <w:rPr>
                <w:sz w:val="20"/>
              </w:rPr>
              <w:t xml:space="preserve"> Growth in</w:t>
            </w:r>
            <w:r w:rsidRPr="00917A4F">
              <w:rPr>
                <w:sz w:val="20"/>
              </w:rPr>
              <w:br/>
              <w:t>EPS, DPS, and BVPS</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u w:val="single"/>
              </w:rPr>
            </w:pPr>
            <w:r w:rsidRPr="00917A4F">
              <w:rPr>
                <w:sz w:val="20"/>
              </w:rPr>
              <w:t>4.8%</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u w:val="single"/>
              </w:rPr>
            </w:pPr>
            <w:r w:rsidRPr="00917A4F">
              <w:rPr>
                <w:sz w:val="20"/>
              </w:rPr>
              <w:t>5.1%</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rPr>
            </w:pPr>
            <w:r w:rsidRPr="00917A4F">
              <w:rPr>
                <w:sz w:val="20"/>
              </w:rPr>
              <w:t>5.4%</w:t>
            </w:r>
          </w:p>
        </w:tc>
      </w:tr>
      <w:tr w:rsidR="00917A4F" w:rsidRPr="00917A4F" w:rsidTr="00F51B93">
        <w:trPr>
          <w:trHeight w:val="71"/>
          <w:jc w:val="center"/>
        </w:trPr>
        <w:tc>
          <w:tcPr>
            <w:tcW w:w="3279" w:type="dxa"/>
            <w:hideMark/>
          </w:tcPr>
          <w:p w:rsidR="00917A4F" w:rsidRPr="00917A4F" w:rsidRDefault="00917A4F" w:rsidP="00540A76">
            <w:pPr>
              <w:keepNext/>
              <w:keepLines/>
              <w:autoSpaceDN w:val="0"/>
              <w:spacing w:before="60" w:after="60" w:line="240" w:lineRule="auto"/>
              <w:ind w:firstLine="0"/>
              <w:rPr>
                <w:sz w:val="20"/>
              </w:rPr>
            </w:pPr>
            <w:r w:rsidRPr="00917A4F">
              <w:rPr>
                <w:sz w:val="20"/>
              </w:rPr>
              <w:t>Sustainable Growth ROE *</w:t>
            </w:r>
            <w:r w:rsidRPr="00917A4F">
              <w:rPr>
                <w:sz w:val="20"/>
              </w:rPr>
              <w:br/>
              <w:t>Retention Rate</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rPr>
            </w:pPr>
            <w:r w:rsidRPr="00917A4F">
              <w:rPr>
                <w:sz w:val="20"/>
              </w:rPr>
              <w:t>3.9%</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rPr>
            </w:pPr>
            <w:r w:rsidRPr="00917A4F">
              <w:rPr>
                <w:sz w:val="20"/>
              </w:rPr>
              <w:t>4.2%</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sz w:val="20"/>
              </w:rPr>
            </w:pPr>
            <w:r w:rsidRPr="00917A4F">
              <w:rPr>
                <w:sz w:val="20"/>
              </w:rPr>
              <w:t>4.2%</w:t>
            </w:r>
          </w:p>
        </w:tc>
      </w:tr>
      <w:tr w:rsidR="00917A4F" w:rsidRPr="00917A4F" w:rsidTr="00F51B93">
        <w:trPr>
          <w:trHeight w:val="71"/>
          <w:jc w:val="center"/>
        </w:trPr>
        <w:tc>
          <w:tcPr>
            <w:tcW w:w="3279" w:type="dxa"/>
            <w:hideMark/>
          </w:tcPr>
          <w:p w:rsidR="00917A4F" w:rsidRPr="00917A4F" w:rsidRDefault="00917A4F" w:rsidP="00540A76">
            <w:pPr>
              <w:keepNext/>
              <w:keepLines/>
              <w:autoSpaceDN w:val="0"/>
              <w:spacing w:before="60" w:after="60" w:line="240" w:lineRule="auto"/>
              <w:ind w:firstLine="0"/>
              <w:rPr>
                <w:sz w:val="20"/>
              </w:rPr>
            </w:pPr>
            <w:r w:rsidRPr="00917A4F">
              <w:rPr>
                <w:sz w:val="20"/>
              </w:rPr>
              <w:t>Projected EPS Growth from Yahoo,</w:t>
            </w:r>
            <w:r w:rsidRPr="00917A4F">
              <w:rPr>
                <w:sz w:val="20"/>
              </w:rPr>
              <w:br/>
              <w:t>Zacks, and Reuters - Mean/Median</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color w:val="000000"/>
                <w:sz w:val="20"/>
              </w:rPr>
            </w:pPr>
            <w:r w:rsidRPr="00917A4F">
              <w:rPr>
                <w:color w:val="000000"/>
                <w:sz w:val="20"/>
              </w:rPr>
              <w:t>4.5%/5.4%</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color w:val="000000"/>
                <w:sz w:val="20"/>
              </w:rPr>
            </w:pPr>
            <w:r w:rsidRPr="00917A4F">
              <w:rPr>
                <w:color w:val="000000"/>
                <w:sz w:val="20"/>
              </w:rPr>
              <w:t>5.5%/5.6%</w:t>
            </w:r>
          </w:p>
        </w:tc>
        <w:tc>
          <w:tcPr>
            <w:tcW w:w="1205" w:type="dxa"/>
            <w:noWrap/>
            <w:vAlign w:val="center"/>
            <w:hideMark/>
          </w:tcPr>
          <w:p w:rsidR="00917A4F" w:rsidRPr="00917A4F" w:rsidRDefault="00917A4F" w:rsidP="00540A76">
            <w:pPr>
              <w:keepNext/>
              <w:keepLines/>
              <w:autoSpaceDN w:val="0"/>
              <w:spacing w:before="60" w:after="60" w:line="240" w:lineRule="auto"/>
              <w:ind w:firstLine="0"/>
              <w:jc w:val="center"/>
              <w:rPr>
                <w:color w:val="000000"/>
                <w:sz w:val="20"/>
              </w:rPr>
            </w:pPr>
            <w:r w:rsidRPr="00917A4F">
              <w:rPr>
                <w:color w:val="000000"/>
                <w:sz w:val="20"/>
              </w:rPr>
              <w:t>6.1%/6.5%</w:t>
            </w:r>
          </w:p>
        </w:tc>
      </w:tr>
      <w:tr w:rsidR="00917A4F" w:rsidRPr="00917A4F" w:rsidTr="00F51B93">
        <w:trPr>
          <w:trHeight w:val="71"/>
          <w:jc w:val="center"/>
        </w:trPr>
        <w:tc>
          <w:tcPr>
            <w:tcW w:w="3279" w:type="dxa"/>
            <w:hideMark/>
          </w:tcPr>
          <w:p w:rsidR="00917A4F" w:rsidRPr="00917A4F" w:rsidRDefault="00917A4F" w:rsidP="00540A76">
            <w:pPr>
              <w:autoSpaceDN w:val="0"/>
              <w:spacing w:before="60" w:after="60" w:line="240" w:lineRule="auto"/>
              <w:ind w:firstLine="0"/>
              <w:rPr>
                <w:sz w:val="20"/>
              </w:rPr>
            </w:pPr>
            <w:r w:rsidRPr="00917A4F">
              <w:rPr>
                <w:sz w:val="20"/>
                <w:lang w:eastAsia="en-US"/>
              </w:rPr>
              <w:t>Woolridge Final Choice of</w:t>
            </w:r>
            <w:r w:rsidRPr="00917A4F">
              <w:rPr>
                <w:sz w:val="20"/>
                <w:lang w:eastAsia="en-US"/>
              </w:rPr>
              <w:br/>
              <w:t>Growth Rates</w:t>
            </w:r>
          </w:p>
        </w:tc>
        <w:tc>
          <w:tcPr>
            <w:tcW w:w="1205" w:type="dxa"/>
            <w:noWrap/>
            <w:vAlign w:val="center"/>
            <w:hideMark/>
          </w:tcPr>
          <w:p w:rsidR="00917A4F" w:rsidRPr="00917A4F" w:rsidRDefault="00917A4F" w:rsidP="00540A76">
            <w:pPr>
              <w:autoSpaceDN w:val="0"/>
              <w:spacing w:before="60" w:after="60" w:line="240" w:lineRule="auto"/>
              <w:ind w:firstLine="0"/>
              <w:jc w:val="center"/>
              <w:rPr>
                <w:color w:val="000000"/>
                <w:sz w:val="20"/>
              </w:rPr>
            </w:pPr>
            <w:r w:rsidRPr="00917A4F">
              <w:rPr>
                <w:color w:val="000000"/>
                <w:sz w:val="20"/>
              </w:rPr>
              <w:t>5.25%</w:t>
            </w:r>
          </w:p>
        </w:tc>
        <w:tc>
          <w:tcPr>
            <w:tcW w:w="1205" w:type="dxa"/>
            <w:noWrap/>
            <w:vAlign w:val="center"/>
            <w:hideMark/>
          </w:tcPr>
          <w:p w:rsidR="00917A4F" w:rsidRPr="00917A4F" w:rsidRDefault="00917A4F" w:rsidP="00540A76">
            <w:pPr>
              <w:autoSpaceDN w:val="0"/>
              <w:spacing w:before="60" w:after="60" w:line="240" w:lineRule="auto"/>
              <w:ind w:firstLine="0"/>
              <w:jc w:val="center"/>
              <w:rPr>
                <w:color w:val="000000"/>
                <w:sz w:val="20"/>
              </w:rPr>
            </w:pPr>
            <w:r w:rsidRPr="00917A4F">
              <w:rPr>
                <w:color w:val="000000"/>
                <w:sz w:val="20"/>
              </w:rPr>
              <w:t>5.5%</w:t>
            </w:r>
          </w:p>
        </w:tc>
        <w:tc>
          <w:tcPr>
            <w:tcW w:w="1205" w:type="dxa"/>
            <w:noWrap/>
            <w:vAlign w:val="center"/>
            <w:hideMark/>
          </w:tcPr>
          <w:p w:rsidR="00917A4F" w:rsidRPr="00917A4F" w:rsidRDefault="00917A4F" w:rsidP="00540A76">
            <w:pPr>
              <w:autoSpaceDN w:val="0"/>
              <w:spacing w:before="60" w:after="60" w:line="240" w:lineRule="auto"/>
              <w:ind w:firstLine="0"/>
              <w:jc w:val="center"/>
              <w:rPr>
                <w:color w:val="000000"/>
                <w:sz w:val="20"/>
              </w:rPr>
            </w:pPr>
            <w:r w:rsidRPr="00917A4F">
              <w:rPr>
                <w:color w:val="000000"/>
                <w:sz w:val="20"/>
              </w:rPr>
              <w:t>6.0%</w:t>
            </w:r>
          </w:p>
        </w:tc>
      </w:tr>
    </w:tbl>
    <w:p w:rsidR="00917A4F" w:rsidRPr="00917A4F" w:rsidRDefault="00917A4F" w:rsidP="00540A76">
      <w:pPr>
        <w:pStyle w:val="answer"/>
        <w:spacing w:before="280"/>
        <w:ind w:left="990" w:firstLine="0"/>
        <w:rPr>
          <w:rFonts w:eastAsia="SimSun"/>
          <w:snapToGrid w:val="0"/>
          <w:sz w:val="20"/>
          <w:lang w:eastAsia="en-US"/>
        </w:rPr>
      </w:pPr>
      <w:r w:rsidRPr="00917A4F">
        <w:rPr>
          <w:b/>
          <w:bCs/>
          <w:sz w:val="20"/>
        </w:rPr>
        <w:t xml:space="preserve">Source: </w:t>
      </w:r>
      <w:r w:rsidRPr="00917A4F">
        <w:rPr>
          <w:bCs/>
          <w:sz w:val="20"/>
        </w:rPr>
        <w:t>Woolridge, Exh. JRW-12, at page 6</w:t>
      </w:r>
      <w:r w:rsidRPr="00917A4F">
        <w:rPr>
          <w:rFonts w:eastAsia="SimSun"/>
          <w:snapToGrid w:val="0"/>
          <w:sz w:val="20"/>
          <w:lang w:val="x-none" w:eastAsia="en-US"/>
        </w:rPr>
        <w:t xml:space="preserve"> </w:t>
      </w:r>
    </w:p>
    <w:p w:rsidR="00221D00" w:rsidRDefault="00AA31D3" w:rsidP="00540A76">
      <w:pPr>
        <w:pStyle w:val="answer"/>
        <w:ind w:firstLine="0"/>
        <w:rPr>
          <w:szCs w:val="24"/>
          <w:lang w:eastAsia="en-US"/>
        </w:rPr>
      </w:pPr>
      <w:r w:rsidRPr="00255659">
        <w:rPr>
          <w:szCs w:val="24"/>
          <w:lang w:eastAsia="en-US"/>
        </w:rPr>
        <w:lastRenderedPageBreak/>
        <w:t>Under circumstances of stability, it is reasonable to assume that historical growth rates in dividends</w:t>
      </w:r>
      <w:r w:rsidR="00221D00">
        <w:rPr>
          <w:szCs w:val="24"/>
          <w:lang w:eastAsia="en-US"/>
        </w:rPr>
        <w:t xml:space="preserve"> and </w:t>
      </w:r>
      <w:r w:rsidRPr="00255659">
        <w:rPr>
          <w:szCs w:val="24"/>
          <w:lang w:eastAsia="en-US"/>
        </w:rPr>
        <w:t>earnings influence investors</w:t>
      </w:r>
      <w:r w:rsidR="00255659">
        <w:rPr>
          <w:szCs w:val="24"/>
          <w:lang w:eastAsia="en-US"/>
        </w:rPr>
        <w:t>’</w:t>
      </w:r>
      <w:r w:rsidRPr="00255659">
        <w:rPr>
          <w:szCs w:val="24"/>
          <w:lang w:eastAsia="en-US"/>
        </w:rPr>
        <w:t xml:space="preserve"> assessment of the long-run growth rate of future dividends</w:t>
      </w:r>
      <w:r w:rsidR="00221D00">
        <w:rPr>
          <w:szCs w:val="24"/>
          <w:lang w:eastAsia="en-US"/>
        </w:rPr>
        <w:t xml:space="preserve"> and </w:t>
      </w:r>
      <w:r w:rsidRPr="00255659">
        <w:rPr>
          <w:szCs w:val="24"/>
          <w:lang w:eastAsia="en-US"/>
        </w:rPr>
        <w:t>earnings.</w:t>
      </w:r>
      <w:r w:rsidR="00287C5A">
        <w:rPr>
          <w:szCs w:val="24"/>
          <w:lang w:eastAsia="en-US"/>
        </w:rPr>
        <w:t xml:space="preserve"> </w:t>
      </w:r>
      <w:r w:rsidRPr="00255659">
        <w:rPr>
          <w:szCs w:val="24"/>
          <w:lang w:eastAsia="en-US"/>
        </w:rPr>
        <w:t>However, because of substantial changes in the energy industry, historical growth rates have little relevance as proxies for future long-term growth.</w:t>
      </w:r>
      <w:r w:rsidR="00287C5A">
        <w:rPr>
          <w:szCs w:val="24"/>
          <w:lang w:eastAsia="en-US"/>
        </w:rPr>
        <w:t xml:space="preserve"> </w:t>
      </w:r>
      <w:r w:rsidR="00221D00">
        <w:rPr>
          <w:szCs w:val="24"/>
          <w:lang w:eastAsia="en-US"/>
        </w:rPr>
        <w:t>H</w:t>
      </w:r>
      <w:r w:rsidR="00221D00" w:rsidRPr="00255659">
        <w:rPr>
          <w:szCs w:val="24"/>
          <w:lang w:eastAsia="en-US"/>
        </w:rPr>
        <w:t>istorical growth rates</w:t>
      </w:r>
      <w:r w:rsidRPr="00255659">
        <w:rPr>
          <w:szCs w:val="24"/>
          <w:lang w:eastAsia="en-US"/>
        </w:rPr>
        <w:t xml:space="preserve"> are downward-biased by the sluggish earnings performance in the last </w:t>
      </w:r>
      <w:r w:rsidR="00221D00">
        <w:rPr>
          <w:szCs w:val="24"/>
          <w:lang w:eastAsia="en-US"/>
        </w:rPr>
        <w:t xml:space="preserve">few </w:t>
      </w:r>
      <w:r w:rsidRPr="00255659">
        <w:rPr>
          <w:szCs w:val="24"/>
          <w:lang w:eastAsia="en-US"/>
        </w:rPr>
        <w:t>decade</w:t>
      </w:r>
      <w:r w:rsidR="00221D00">
        <w:rPr>
          <w:szCs w:val="24"/>
          <w:lang w:eastAsia="en-US"/>
        </w:rPr>
        <w:t>s</w:t>
      </w:r>
      <w:r w:rsidRPr="00255659">
        <w:rPr>
          <w:szCs w:val="24"/>
          <w:lang w:eastAsia="en-US"/>
        </w:rPr>
        <w:t>, due to the structural transformation of the energy utility business from a regulated monopoly to a more competitive environment.</w:t>
      </w:r>
      <w:r w:rsidR="00287C5A">
        <w:rPr>
          <w:szCs w:val="24"/>
          <w:lang w:eastAsia="en-US"/>
        </w:rPr>
        <w:t xml:space="preserve"> </w:t>
      </w:r>
      <w:r w:rsidRPr="00255659">
        <w:rPr>
          <w:szCs w:val="24"/>
          <w:lang w:eastAsia="en-US"/>
        </w:rPr>
        <w:t>Moreover, historical growth rates are largely redundant because such historical growth patterns are already incorporated in analysts</w:t>
      </w:r>
      <w:r w:rsidR="00255659">
        <w:rPr>
          <w:szCs w:val="24"/>
          <w:lang w:eastAsia="en-US"/>
        </w:rPr>
        <w:t>’</w:t>
      </w:r>
      <w:r w:rsidRPr="00255659">
        <w:rPr>
          <w:szCs w:val="24"/>
          <w:lang w:eastAsia="en-US"/>
        </w:rPr>
        <w:t xml:space="preserve"> growth forecasts that should be used in the DCF model.</w:t>
      </w:r>
    </w:p>
    <w:p w:rsidR="00917A4F" w:rsidRPr="00255659" w:rsidRDefault="00917A4F" w:rsidP="00540A76">
      <w:pPr>
        <w:pStyle w:val="answer"/>
        <w:spacing w:before="280"/>
        <w:ind w:firstLine="0"/>
        <w:rPr>
          <w:rFonts w:eastAsia="SimSun"/>
          <w:snapToGrid w:val="0"/>
          <w:szCs w:val="24"/>
          <w:lang w:eastAsia="en-US"/>
        </w:rPr>
      </w:pPr>
      <w:r>
        <w:rPr>
          <w:rFonts w:eastAsia="SimSun"/>
          <w:snapToGrid w:val="0"/>
          <w:szCs w:val="24"/>
          <w:lang w:eastAsia="en-US"/>
        </w:rPr>
        <w:t xml:space="preserve">One </w:t>
      </w:r>
      <w:r w:rsidRPr="00255659">
        <w:rPr>
          <w:rFonts w:eastAsia="SimSun"/>
          <w:snapToGrid w:val="0"/>
          <w:szCs w:val="24"/>
          <w:lang w:val="x-none" w:eastAsia="en-US"/>
        </w:rPr>
        <w:t>would expect that averages of analysts</w:t>
      </w:r>
      <w:r>
        <w:rPr>
          <w:rFonts w:eastAsia="SimSun"/>
          <w:snapToGrid w:val="0"/>
          <w:szCs w:val="24"/>
          <w:lang w:val="x-none" w:eastAsia="en-US"/>
        </w:rPr>
        <w:t>’</w:t>
      </w:r>
      <w:r w:rsidRPr="00255659">
        <w:rPr>
          <w:rFonts w:eastAsia="SimSun"/>
          <w:snapToGrid w:val="0"/>
          <w:szCs w:val="24"/>
          <w:lang w:val="x-none" w:eastAsia="en-US"/>
        </w:rPr>
        <w:t xml:space="preserve"> earnings growth forecasts, such as those contained in IBES, First Call, Reuters, or Zacks, are more reliable estimates of the investors</w:t>
      </w:r>
      <w:r>
        <w:rPr>
          <w:rFonts w:eastAsia="SimSun"/>
          <w:snapToGrid w:val="0"/>
          <w:szCs w:val="24"/>
          <w:lang w:val="x-none" w:eastAsia="en-US"/>
        </w:rPr>
        <w:t>’</w:t>
      </w:r>
      <w:r w:rsidRPr="00255659">
        <w:rPr>
          <w:rFonts w:eastAsia="SimSun"/>
          <w:snapToGrid w:val="0"/>
          <w:szCs w:val="24"/>
          <w:lang w:val="x-none" w:eastAsia="en-US"/>
        </w:rPr>
        <w:t xml:space="preserve"> consensus expectations than either historical growth rates or one particular firm</w:t>
      </w:r>
      <w:r>
        <w:rPr>
          <w:rFonts w:eastAsia="SimSun"/>
          <w:snapToGrid w:val="0"/>
          <w:szCs w:val="24"/>
          <w:lang w:val="x-none" w:eastAsia="en-US"/>
        </w:rPr>
        <w:t>’</w:t>
      </w:r>
      <w:r w:rsidRPr="00255659">
        <w:rPr>
          <w:rFonts w:eastAsia="SimSun"/>
          <w:snapToGrid w:val="0"/>
          <w:szCs w:val="24"/>
          <w:lang w:val="x-none" w:eastAsia="en-US"/>
        </w:rPr>
        <w:t>s dividend growth forecast.</w:t>
      </w:r>
      <w:r>
        <w:rPr>
          <w:rFonts w:eastAsia="SimSun"/>
          <w:snapToGrid w:val="0"/>
          <w:szCs w:val="24"/>
          <w:lang w:eastAsia="en-US"/>
        </w:rPr>
        <w:t xml:space="preserve"> </w:t>
      </w:r>
      <w:r w:rsidRPr="00255659">
        <w:rPr>
          <w:rFonts w:eastAsia="SimSun"/>
          <w:snapToGrid w:val="0"/>
          <w:szCs w:val="24"/>
          <w:lang w:val="x-none" w:eastAsia="en-US"/>
        </w:rPr>
        <w:t>As discussed in my direct testimony and later in my rebuttal, the empirical finance literature</w:t>
      </w:r>
      <w:r w:rsidRPr="00255659">
        <w:rPr>
          <w:rFonts w:eastAsia="SimSun"/>
          <w:snapToGrid w:val="0"/>
          <w:szCs w:val="24"/>
          <w:vertAlign w:val="superscript"/>
          <w:lang w:val="x-none" w:eastAsia="en-US"/>
        </w:rPr>
        <w:footnoteReference w:id="8"/>
      </w:r>
      <w:r w:rsidRPr="00255659">
        <w:rPr>
          <w:rFonts w:eastAsia="SimSun"/>
          <w:snapToGrid w:val="0"/>
          <w:szCs w:val="24"/>
          <w:lang w:val="x-none" w:eastAsia="en-US"/>
        </w:rPr>
        <w:t xml:space="preserve"> has demonstrated that consensus analysts</w:t>
      </w:r>
      <w:r>
        <w:rPr>
          <w:rFonts w:eastAsia="SimSun"/>
          <w:snapToGrid w:val="0"/>
          <w:szCs w:val="24"/>
          <w:lang w:val="x-none" w:eastAsia="en-US"/>
        </w:rPr>
        <w:t>’</w:t>
      </w:r>
      <w:r w:rsidRPr="00255659">
        <w:rPr>
          <w:rFonts w:eastAsia="SimSun"/>
          <w:snapToGrid w:val="0"/>
          <w:szCs w:val="24"/>
          <w:lang w:val="x-none" w:eastAsia="en-US"/>
        </w:rPr>
        <w:t xml:space="preserve"> growth forecasts (i) are reflected in stock prices, (ii) possess a high explanatory power of equity values, and (iii) are used by investors.</w:t>
      </w:r>
    </w:p>
    <w:p w:rsidR="00917A4F" w:rsidRPr="00255659" w:rsidRDefault="00917A4F" w:rsidP="00540A76">
      <w:pPr>
        <w:pStyle w:val="answer"/>
        <w:ind w:firstLine="0"/>
        <w:rPr>
          <w:lang w:eastAsia="en-US"/>
        </w:rPr>
      </w:pPr>
      <w:r w:rsidRPr="00255659">
        <w:rPr>
          <w:rFonts w:eastAsia="SimSun"/>
          <w:snapToGrid w:val="0"/>
          <w:szCs w:val="24"/>
          <w:lang w:val="x-none" w:eastAsia="en-US"/>
        </w:rPr>
        <w:t>Moreover, it is necessary to use earnings forecasts rather than dividend forecasts because of the extreme scarcity of dividend forecasts compared to the availability of earnings forecasts.</w:t>
      </w:r>
      <w:r>
        <w:rPr>
          <w:rFonts w:eastAsia="SimSun"/>
          <w:snapToGrid w:val="0"/>
          <w:szCs w:val="24"/>
          <w:lang w:eastAsia="en-US"/>
        </w:rPr>
        <w:t xml:space="preserve"> </w:t>
      </w:r>
      <w:r w:rsidRPr="00255659">
        <w:rPr>
          <w:rFonts w:eastAsia="SimSun"/>
          <w:snapToGrid w:val="0"/>
          <w:szCs w:val="24"/>
          <w:lang w:val="x-none" w:eastAsia="en-US"/>
        </w:rPr>
        <w:t>Given the paucity of dividend forecasts, use of dividend forecasts produces unreliable DCF results.</w:t>
      </w:r>
    </w:p>
    <w:p w:rsidR="00221D00" w:rsidRPr="00255659" w:rsidRDefault="00917A4F" w:rsidP="00540A76">
      <w:pPr>
        <w:pStyle w:val="answer"/>
        <w:ind w:firstLine="0"/>
        <w:rPr>
          <w:szCs w:val="24"/>
          <w:lang w:eastAsia="en-US"/>
        </w:rPr>
      </w:pPr>
      <w:r>
        <w:rPr>
          <w:szCs w:val="24"/>
          <w:lang w:eastAsia="en-US"/>
        </w:rPr>
        <w:lastRenderedPageBreak/>
        <w:t xml:space="preserve">Finally, and incidentally, </w:t>
      </w:r>
      <w:r w:rsidR="00221D00" w:rsidRPr="00255659">
        <w:rPr>
          <w:szCs w:val="24"/>
          <w:lang w:eastAsia="en-US"/>
        </w:rPr>
        <w:t xml:space="preserve">it is curious that </w:t>
      </w:r>
      <w:r w:rsidR="00221D00" w:rsidRPr="00255659">
        <w:rPr>
          <w:lang w:eastAsia="en-US"/>
        </w:rPr>
        <w:t>Dr.</w:t>
      </w:r>
      <w:r w:rsidR="00221D00">
        <w:rPr>
          <w:lang w:eastAsia="en-US"/>
        </w:rPr>
        <w:t> </w:t>
      </w:r>
      <w:r w:rsidR="00221D00" w:rsidRPr="00255659">
        <w:rPr>
          <w:szCs w:val="24"/>
          <w:lang w:eastAsia="en-US"/>
        </w:rPr>
        <w:t xml:space="preserve">Woolridge devotes considerable testimony in denouncing the use of historical data when estimating the </w:t>
      </w:r>
      <w:r w:rsidR="00221D00">
        <w:rPr>
          <w:szCs w:val="24"/>
          <w:lang w:eastAsia="en-US"/>
        </w:rPr>
        <w:t xml:space="preserve">market risk premium </w:t>
      </w:r>
      <w:r w:rsidR="00221D00" w:rsidRPr="00255659">
        <w:rPr>
          <w:szCs w:val="24"/>
          <w:lang w:eastAsia="en-US"/>
        </w:rPr>
        <w:t xml:space="preserve">component of the CAPM, and argues why historical </w:t>
      </w:r>
      <w:r w:rsidR="00221D00">
        <w:rPr>
          <w:szCs w:val="24"/>
          <w:lang w:eastAsia="en-US"/>
        </w:rPr>
        <w:t>market risk premi</w:t>
      </w:r>
      <w:r w:rsidR="00B46635">
        <w:rPr>
          <w:szCs w:val="24"/>
          <w:lang w:eastAsia="en-US"/>
        </w:rPr>
        <w:t>ums</w:t>
      </w:r>
      <w:r w:rsidR="00221D00">
        <w:rPr>
          <w:szCs w:val="24"/>
          <w:lang w:eastAsia="en-US"/>
        </w:rPr>
        <w:t xml:space="preserve"> </w:t>
      </w:r>
      <w:r w:rsidR="00221D00" w:rsidRPr="00255659">
        <w:rPr>
          <w:szCs w:val="24"/>
          <w:lang w:eastAsia="en-US"/>
        </w:rPr>
        <w:t xml:space="preserve">are irrelevant for estimating future </w:t>
      </w:r>
      <w:r w:rsidR="00221D00">
        <w:rPr>
          <w:szCs w:val="24"/>
          <w:lang w:eastAsia="en-US"/>
        </w:rPr>
        <w:t xml:space="preserve">market risk </w:t>
      </w:r>
      <w:r w:rsidR="00B46635">
        <w:rPr>
          <w:szCs w:val="24"/>
          <w:lang w:eastAsia="en-US"/>
        </w:rPr>
        <w:t>premiums</w:t>
      </w:r>
      <w:r w:rsidR="00221D00" w:rsidRPr="00255659">
        <w:rPr>
          <w:szCs w:val="24"/>
          <w:lang w:eastAsia="en-US"/>
        </w:rPr>
        <w:t xml:space="preserve">, but yet is willing to incorporate </w:t>
      </w:r>
      <w:r w:rsidR="00221D00">
        <w:rPr>
          <w:szCs w:val="24"/>
          <w:lang w:eastAsia="en-US"/>
        </w:rPr>
        <w:t xml:space="preserve">no less than </w:t>
      </w:r>
      <w:r w:rsidR="00221D00" w:rsidRPr="00255659">
        <w:rPr>
          <w:szCs w:val="24"/>
          <w:lang w:eastAsia="en-US"/>
        </w:rPr>
        <w:t xml:space="preserve">six </w:t>
      </w:r>
      <w:r>
        <w:rPr>
          <w:szCs w:val="24"/>
          <w:lang w:eastAsia="en-US"/>
        </w:rPr>
        <w:t xml:space="preserve">historical </w:t>
      </w:r>
      <w:r w:rsidR="00221D00" w:rsidRPr="00255659">
        <w:rPr>
          <w:szCs w:val="24"/>
          <w:lang w:eastAsia="en-US"/>
        </w:rPr>
        <w:t xml:space="preserve">growth proxies </w:t>
      </w:r>
      <w:r w:rsidRPr="00255659">
        <w:rPr>
          <w:szCs w:val="24"/>
          <w:lang w:eastAsia="en-US"/>
        </w:rPr>
        <w:t>into his DCF analys</w:t>
      </w:r>
      <w:r>
        <w:rPr>
          <w:szCs w:val="24"/>
          <w:lang w:eastAsia="en-US"/>
        </w:rPr>
        <w:t>e</w:t>
      </w:r>
      <w:r w:rsidRPr="00255659">
        <w:rPr>
          <w:szCs w:val="24"/>
          <w:lang w:eastAsia="en-US"/>
        </w:rPr>
        <w:t>s</w:t>
      </w:r>
      <w:r w:rsidR="00221D00" w:rsidRPr="00255659">
        <w:rPr>
          <w:szCs w:val="24"/>
          <w:lang w:eastAsia="en-US"/>
        </w:rPr>
        <w:t>.</w:t>
      </w:r>
      <w:r w:rsidR="00221D00">
        <w:rPr>
          <w:szCs w:val="24"/>
          <w:lang w:eastAsia="en-US"/>
        </w:rPr>
        <w:t xml:space="preserve"> </w:t>
      </w:r>
      <w:r w:rsidR="00221D00" w:rsidRPr="00255659">
        <w:rPr>
          <w:szCs w:val="24"/>
          <w:lang w:eastAsia="en-US"/>
        </w:rPr>
        <w:t xml:space="preserve">Nowhere does </w:t>
      </w:r>
      <w:r w:rsidR="00221D00" w:rsidRPr="00255659">
        <w:rPr>
          <w:lang w:eastAsia="en-US"/>
        </w:rPr>
        <w:t>Dr.</w:t>
      </w:r>
      <w:r w:rsidR="00221D00">
        <w:rPr>
          <w:lang w:eastAsia="en-US"/>
        </w:rPr>
        <w:t> </w:t>
      </w:r>
      <w:r w:rsidR="00221D00" w:rsidRPr="00255659">
        <w:rPr>
          <w:szCs w:val="24"/>
          <w:lang w:eastAsia="en-US"/>
        </w:rPr>
        <w:t>Woolridge explain this inconsistency.</w:t>
      </w:r>
    </w:p>
    <w:p w:rsidR="00917A4F" w:rsidRPr="00255659" w:rsidRDefault="00917A4F" w:rsidP="00540A76">
      <w:pPr>
        <w:pStyle w:val="question"/>
      </w:pPr>
      <w:r w:rsidRPr="00255659">
        <w:rPr>
          <w:snapToGrid w:val="0"/>
          <w:lang w:eastAsia="en-US"/>
        </w:rPr>
        <w:t>Q.</w:t>
      </w:r>
      <w:r w:rsidRPr="00255659">
        <w:rPr>
          <w:snapToGrid w:val="0"/>
          <w:lang w:eastAsia="en-US"/>
        </w:rPr>
        <w:tab/>
        <w:t xml:space="preserve">What do you conclude from </w:t>
      </w:r>
      <w:r w:rsidRPr="00255659">
        <w:rPr>
          <w:lang w:eastAsia="en-US"/>
        </w:rPr>
        <w:t>Dr.</w:t>
      </w:r>
      <w:r>
        <w:rPr>
          <w:lang w:eastAsia="en-US"/>
        </w:rPr>
        <w:t> </w:t>
      </w:r>
      <w:r w:rsidRPr="00255659">
        <w:rPr>
          <w:snapToGrid w:val="0"/>
          <w:lang w:eastAsia="en-US"/>
        </w:rPr>
        <w:t>Woolridge</w:t>
      </w:r>
      <w:r>
        <w:rPr>
          <w:snapToGrid w:val="0"/>
          <w:lang w:eastAsia="en-US"/>
        </w:rPr>
        <w:t>’</w:t>
      </w:r>
      <w:r w:rsidRPr="00255659">
        <w:rPr>
          <w:snapToGrid w:val="0"/>
          <w:lang w:eastAsia="en-US"/>
        </w:rPr>
        <w:t>s use of historical growth rates?</w:t>
      </w:r>
    </w:p>
    <w:p w:rsidR="003C7909" w:rsidRPr="00255659" w:rsidRDefault="00917A4F" w:rsidP="00540A76">
      <w:pPr>
        <w:pStyle w:val="answer"/>
        <w:rPr>
          <w:szCs w:val="24"/>
          <w:lang w:eastAsia="en-US"/>
        </w:rPr>
      </w:pPr>
      <w:r>
        <w:rPr>
          <w:szCs w:val="24"/>
          <w:lang w:eastAsia="en-US"/>
        </w:rPr>
        <w:t>A.</w:t>
      </w:r>
      <w:r>
        <w:rPr>
          <w:szCs w:val="24"/>
          <w:lang w:eastAsia="en-US"/>
        </w:rPr>
        <w:tab/>
        <w:t>T</w:t>
      </w:r>
      <w:r w:rsidR="00AA31D3" w:rsidRPr="00255659">
        <w:rPr>
          <w:szCs w:val="24"/>
          <w:lang w:eastAsia="en-US"/>
        </w:rPr>
        <w:t xml:space="preserve">he Commission </w:t>
      </w:r>
      <w:r w:rsidR="00221D00">
        <w:rPr>
          <w:szCs w:val="24"/>
          <w:lang w:eastAsia="en-US"/>
        </w:rPr>
        <w:t xml:space="preserve">should </w:t>
      </w:r>
      <w:r w:rsidR="00AA31D3" w:rsidRPr="00255659">
        <w:rPr>
          <w:szCs w:val="24"/>
          <w:lang w:eastAsia="en-US"/>
        </w:rPr>
        <w:t>reject historical growth rates as proxies for expected growth in the DCF calculation.</w:t>
      </w:r>
      <w:r w:rsidR="00287C5A">
        <w:rPr>
          <w:szCs w:val="24"/>
          <w:lang w:eastAsia="en-US"/>
        </w:rPr>
        <w:t xml:space="preserve"> </w:t>
      </w:r>
      <w:r w:rsidR="00AA31D3" w:rsidRPr="00255659">
        <w:rPr>
          <w:szCs w:val="24"/>
          <w:lang w:eastAsia="en-US"/>
        </w:rPr>
        <w:t xml:space="preserve">In fairness to </w:t>
      </w:r>
      <w:r w:rsidR="006B5168" w:rsidRPr="00255659">
        <w:rPr>
          <w:lang w:eastAsia="en-US"/>
        </w:rPr>
        <w:t>Dr.</w:t>
      </w:r>
      <w:r w:rsidR="006B5168">
        <w:rPr>
          <w:lang w:eastAsia="en-US"/>
        </w:rPr>
        <w:t> </w:t>
      </w:r>
      <w:r w:rsidR="00AA31D3" w:rsidRPr="00255659">
        <w:rPr>
          <w:szCs w:val="24"/>
          <w:lang w:eastAsia="en-US"/>
        </w:rPr>
        <w:t>Woolridge, however, it is not clear from his testimony to what extent, if any, he relied on historical growth rates in deriving his DCF estimates.</w:t>
      </w:r>
      <w:r w:rsidR="00221D00">
        <w:rPr>
          <w:rStyle w:val="FootnoteReference"/>
          <w:szCs w:val="24"/>
          <w:lang w:eastAsia="en-US"/>
        </w:rPr>
        <w:footnoteReference w:id="9"/>
      </w:r>
    </w:p>
    <w:p w:rsidR="00C34FAA" w:rsidRPr="00C34FAA" w:rsidRDefault="00C34FAA" w:rsidP="00540A76">
      <w:pPr>
        <w:pStyle w:val="Heading3"/>
      </w:pPr>
      <w:bookmarkStart w:id="11" w:name="_Toc489887862"/>
      <w:r>
        <w:t>3.</w:t>
      </w:r>
      <w:r>
        <w:tab/>
      </w:r>
      <w:r>
        <w:rPr>
          <w:lang w:eastAsia="en-US"/>
        </w:rPr>
        <w:t>D</w:t>
      </w:r>
      <w:r w:rsidRPr="00C34FAA">
        <w:rPr>
          <w:lang w:eastAsia="en-US"/>
        </w:rPr>
        <w:t>r.</w:t>
      </w:r>
      <w:r>
        <w:rPr>
          <w:lang w:eastAsia="en-US"/>
        </w:rPr>
        <w:t xml:space="preserve"> Woolridge Inappropriately </w:t>
      </w:r>
      <w:r w:rsidRPr="00C34FAA">
        <w:rPr>
          <w:lang w:eastAsia="en-US"/>
        </w:rPr>
        <w:t>Relies on the Sustainable Growth Methodology in the DCF Analysis Whereby He is Forced to Assume the Answer to Implement the Methodology</w:t>
      </w:r>
      <w:bookmarkEnd w:id="11"/>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 xml:space="preserve">Please comment on </w:t>
      </w:r>
      <w:r w:rsidR="006B5168" w:rsidRPr="00255659">
        <w:rPr>
          <w:lang w:eastAsia="en-US"/>
        </w:rPr>
        <w:t>Dr.</w:t>
      </w:r>
      <w:r w:rsidR="006B5168">
        <w:rPr>
          <w:lang w:eastAsia="en-US"/>
        </w:rPr>
        <w:t> </w:t>
      </w:r>
      <w:r w:rsidR="003C7909" w:rsidRPr="00255659">
        <w:rPr>
          <w:lang w:eastAsia="en-US"/>
        </w:rPr>
        <w:t>Woolridge</w:t>
      </w:r>
      <w:r w:rsidR="00255659">
        <w:rPr>
          <w:lang w:eastAsia="en-US"/>
        </w:rPr>
        <w:t>’</w:t>
      </w:r>
      <w:r w:rsidR="003C7909" w:rsidRPr="00255659">
        <w:rPr>
          <w:lang w:eastAsia="en-US"/>
        </w:rPr>
        <w:t>s sustainable growth estimate in the DCF model</w:t>
      </w:r>
      <w:r w:rsidRPr="00255659">
        <w:rPr>
          <w:lang w:eastAsia="en-US"/>
        </w:rPr>
        <w:t xml:space="preserve">. </w:t>
      </w:r>
    </w:p>
    <w:p w:rsidR="00573DFB" w:rsidRDefault="00AA31D3" w:rsidP="00540A76">
      <w:pPr>
        <w:pStyle w:val="answer"/>
        <w:rPr>
          <w:szCs w:val="24"/>
          <w:lang w:eastAsia="en-US"/>
        </w:rPr>
      </w:pPr>
      <w:r w:rsidRPr="00255659">
        <w:rPr>
          <w:szCs w:val="24"/>
          <w:lang w:eastAsia="en-US"/>
        </w:rPr>
        <w:t>A.</w:t>
      </w:r>
      <w:r w:rsidRPr="00255659">
        <w:rPr>
          <w:szCs w:val="24"/>
          <w:lang w:eastAsia="en-US"/>
        </w:rPr>
        <w:tab/>
        <w:t xml:space="preserve">In order to estimate the growth component of the DCF model, </w:t>
      </w:r>
      <w:r w:rsidR="006B5168" w:rsidRPr="00255659">
        <w:rPr>
          <w:lang w:eastAsia="en-US"/>
        </w:rPr>
        <w:t>Dr.</w:t>
      </w:r>
      <w:r w:rsidR="006B5168">
        <w:rPr>
          <w:lang w:eastAsia="en-US"/>
        </w:rPr>
        <w:t> </w:t>
      </w:r>
      <w:r w:rsidRPr="00255659">
        <w:rPr>
          <w:szCs w:val="24"/>
          <w:lang w:eastAsia="en-US"/>
        </w:rPr>
        <w:t xml:space="preserve">Woolridge relies partially on the so-called </w:t>
      </w:r>
      <w:r w:rsidR="00255659">
        <w:rPr>
          <w:szCs w:val="24"/>
          <w:lang w:eastAsia="en-US"/>
        </w:rPr>
        <w:t>“</w:t>
      </w:r>
      <w:r w:rsidRPr="00255659">
        <w:rPr>
          <w:szCs w:val="24"/>
          <w:lang w:eastAsia="en-US"/>
        </w:rPr>
        <w:t>sustainable growth</w:t>
      </w:r>
      <w:r w:rsidR="00255659">
        <w:rPr>
          <w:szCs w:val="24"/>
          <w:lang w:eastAsia="en-US"/>
        </w:rPr>
        <w:t>”</w:t>
      </w:r>
      <w:r w:rsidRPr="00255659">
        <w:rPr>
          <w:szCs w:val="24"/>
          <w:lang w:eastAsia="en-US"/>
        </w:rPr>
        <w:t xml:space="preserve"> method, sometimes referred to as the </w:t>
      </w:r>
      <w:r w:rsidR="00255659">
        <w:rPr>
          <w:szCs w:val="24"/>
          <w:lang w:eastAsia="en-US"/>
        </w:rPr>
        <w:t>“</w:t>
      </w:r>
      <w:r w:rsidRPr="00255659">
        <w:rPr>
          <w:szCs w:val="24"/>
          <w:lang w:eastAsia="en-US"/>
        </w:rPr>
        <w:t>internal growth</w:t>
      </w:r>
      <w:r w:rsidR="00255659">
        <w:rPr>
          <w:szCs w:val="24"/>
          <w:lang w:eastAsia="en-US"/>
        </w:rPr>
        <w:t>”</w:t>
      </w:r>
      <w:r w:rsidRPr="00255659">
        <w:rPr>
          <w:szCs w:val="24"/>
          <w:lang w:eastAsia="en-US"/>
        </w:rPr>
        <w:t xml:space="preserve"> approach, where the growth rate is based on the </w:t>
      </w:r>
      <w:r w:rsidR="00573DFB">
        <w:rPr>
          <w:szCs w:val="24"/>
          <w:lang w:eastAsia="en-US"/>
        </w:rPr>
        <w:t xml:space="preserve">following </w:t>
      </w:r>
      <w:r w:rsidRPr="00255659">
        <w:rPr>
          <w:szCs w:val="24"/>
          <w:lang w:eastAsia="en-US"/>
        </w:rPr>
        <w:t>equation</w:t>
      </w:r>
      <w:r w:rsidR="00573DFB">
        <w:rPr>
          <w:szCs w:val="24"/>
          <w:lang w:eastAsia="en-US"/>
        </w:rPr>
        <w:t>:</w:t>
      </w:r>
    </w:p>
    <w:p w:rsidR="00573DFB" w:rsidRDefault="00573DFB" w:rsidP="00540A76">
      <w:pPr>
        <w:pStyle w:val="answer"/>
        <w:spacing w:after="0" w:line="240" w:lineRule="auto"/>
        <w:jc w:val="center"/>
        <w:rPr>
          <w:szCs w:val="24"/>
          <w:lang w:eastAsia="en-US"/>
        </w:rPr>
      </w:pPr>
      <w:r w:rsidRPr="00255659">
        <w:rPr>
          <w:szCs w:val="24"/>
          <w:lang w:eastAsia="en-US"/>
        </w:rPr>
        <w:lastRenderedPageBreak/>
        <w:t>g = b</w:t>
      </w:r>
      <w:r>
        <w:rPr>
          <w:szCs w:val="24"/>
          <w:lang w:eastAsia="en-US"/>
        </w:rPr>
        <w:t xml:space="preserve"> × </w:t>
      </w:r>
      <w:r w:rsidR="00990ED1">
        <w:rPr>
          <w:szCs w:val="24"/>
          <w:lang w:eastAsia="en-US"/>
        </w:rPr>
        <w:t>r</w:t>
      </w:r>
    </w:p>
    <w:p w:rsidR="00573DFB" w:rsidRPr="00573DFB" w:rsidRDefault="00573DFB" w:rsidP="00540A76">
      <w:pPr>
        <w:pStyle w:val="BlockQuote"/>
        <w:tabs>
          <w:tab w:val="left" w:pos="2520"/>
          <w:tab w:val="left" w:pos="2880"/>
          <w:tab w:val="left" w:pos="3240"/>
          <w:tab w:val="left" w:pos="3600"/>
        </w:tabs>
        <w:spacing w:before="280" w:after="60"/>
        <w:rPr>
          <w:i w:val="0"/>
          <w:lang w:eastAsia="en-US"/>
        </w:rPr>
      </w:pPr>
      <w:r w:rsidRPr="00573DFB">
        <w:rPr>
          <w:i w:val="0"/>
          <w:lang w:eastAsia="en-US"/>
        </w:rPr>
        <w:t>Where:</w:t>
      </w:r>
      <w:r w:rsidRPr="00573DFB">
        <w:rPr>
          <w:i w:val="0"/>
          <w:lang w:eastAsia="en-US"/>
        </w:rPr>
        <w:tab/>
        <w:t>b</w:t>
      </w:r>
      <w:r w:rsidRPr="00573DFB">
        <w:rPr>
          <w:i w:val="0"/>
          <w:lang w:eastAsia="en-US"/>
        </w:rPr>
        <w:tab/>
        <w:t>=</w:t>
      </w:r>
      <w:r w:rsidRPr="00573DFB">
        <w:rPr>
          <w:i w:val="0"/>
          <w:lang w:eastAsia="en-US"/>
        </w:rPr>
        <w:tab/>
        <w:t>the percentage of earnings retained</w:t>
      </w:r>
    </w:p>
    <w:p w:rsidR="00573DFB" w:rsidRPr="00573DFB" w:rsidRDefault="00990ED1" w:rsidP="00540A76">
      <w:pPr>
        <w:pStyle w:val="BlockQuote"/>
        <w:tabs>
          <w:tab w:val="left" w:pos="2520"/>
          <w:tab w:val="left" w:pos="2880"/>
          <w:tab w:val="left" w:pos="3240"/>
          <w:tab w:val="left" w:pos="3600"/>
        </w:tabs>
        <w:spacing w:after="60"/>
        <w:ind w:left="2520"/>
        <w:rPr>
          <w:i w:val="0"/>
          <w:lang w:eastAsia="en-US"/>
        </w:rPr>
      </w:pPr>
      <w:r>
        <w:rPr>
          <w:i w:val="0"/>
          <w:lang w:eastAsia="en-US"/>
        </w:rPr>
        <w:t>r</w:t>
      </w:r>
      <w:r w:rsidR="00573DFB" w:rsidRPr="00573DFB">
        <w:rPr>
          <w:i w:val="0"/>
          <w:lang w:eastAsia="en-US"/>
        </w:rPr>
        <w:tab/>
        <w:t>=</w:t>
      </w:r>
      <w:r w:rsidR="00573DFB" w:rsidRPr="00573DFB">
        <w:rPr>
          <w:i w:val="0"/>
          <w:lang w:eastAsia="en-US"/>
        </w:rPr>
        <w:tab/>
        <w:t>the expected rate of return on book equity</w:t>
      </w:r>
    </w:p>
    <w:p w:rsidR="00990ED1" w:rsidRDefault="006B5168" w:rsidP="00540A76">
      <w:pPr>
        <w:pStyle w:val="answer"/>
        <w:spacing w:before="360"/>
        <w:ind w:firstLine="0"/>
        <w:rPr>
          <w:szCs w:val="24"/>
          <w:lang w:eastAsia="en-US"/>
        </w:rPr>
      </w:pPr>
      <w:r w:rsidRPr="00255659">
        <w:rPr>
          <w:lang w:eastAsia="en-US"/>
        </w:rPr>
        <w:t>Dr.</w:t>
      </w:r>
      <w:r>
        <w:rPr>
          <w:lang w:eastAsia="en-US"/>
        </w:rPr>
        <w:t> </w:t>
      </w:r>
      <w:r w:rsidR="00AA31D3" w:rsidRPr="00255659">
        <w:rPr>
          <w:szCs w:val="24"/>
          <w:lang w:eastAsia="en-US"/>
        </w:rPr>
        <w:t>Woolridge</w:t>
      </w:r>
      <w:r w:rsidR="00990ED1">
        <w:rPr>
          <w:szCs w:val="24"/>
          <w:lang w:eastAsia="en-US"/>
        </w:rPr>
        <w:t>’s</w:t>
      </w:r>
      <w:r w:rsidR="00AA31D3" w:rsidRPr="00255659">
        <w:rPr>
          <w:szCs w:val="24"/>
          <w:lang w:eastAsia="en-US"/>
        </w:rPr>
        <w:t xml:space="preserve"> use of the sustainable growth technique </w:t>
      </w:r>
      <w:r w:rsidR="00990ED1">
        <w:rPr>
          <w:szCs w:val="24"/>
          <w:lang w:eastAsia="en-US"/>
        </w:rPr>
        <w:t xml:space="preserve">is erroneous </w:t>
      </w:r>
      <w:r w:rsidR="00AA31D3" w:rsidRPr="00255659">
        <w:rPr>
          <w:szCs w:val="24"/>
          <w:lang w:eastAsia="en-US"/>
        </w:rPr>
        <w:t>for five reasons:</w:t>
      </w:r>
    </w:p>
    <w:p w:rsidR="00990ED1" w:rsidRDefault="00990ED1" w:rsidP="00540A76">
      <w:pPr>
        <w:spacing w:after="280" w:line="240" w:lineRule="auto"/>
        <w:ind w:left="2160" w:right="720" w:hanging="720"/>
        <w:rPr>
          <w:snapToGrid w:val="0"/>
          <w:lang w:eastAsia="en-US"/>
        </w:rPr>
      </w:pPr>
      <w:r w:rsidRPr="00990ED1">
        <w:rPr>
          <w:snapToGrid w:val="0"/>
          <w:lang w:eastAsia="en-US"/>
        </w:rPr>
        <w:t>(i)</w:t>
      </w:r>
      <w:r w:rsidRPr="00990ED1">
        <w:rPr>
          <w:snapToGrid w:val="0"/>
          <w:lang w:eastAsia="en-US"/>
        </w:rPr>
        <w:tab/>
        <w:t xml:space="preserve">the sustainable growth methodology </w:t>
      </w:r>
      <w:r>
        <w:rPr>
          <w:snapToGrid w:val="0"/>
          <w:lang w:eastAsia="en-US"/>
        </w:rPr>
        <w:t xml:space="preserve">fails to </w:t>
      </w:r>
      <w:r w:rsidRPr="00255659">
        <w:rPr>
          <w:szCs w:val="24"/>
          <w:lang w:eastAsia="en-US"/>
        </w:rPr>
        <w:t>account for the impact of external stock financing on growth, thus understating growth rates</w:t>
      </w:r>
      <w:r>
        <w:rPr>
          <w:szCs w:val="24"/>
          <w:lang w:eastAsia="en-US"/>
        </w:rPr>
        <w:t>;</w:t>
      </w:r>
    </w:p>
    <w:p w:rsidR="00990ED1" w:rsidRPr="00990ED1" w:rsidRDefault="00990ED1" w:rsidP="00540A76">
      <w:pPr>
        <w:spacing w:after="280" w:line="240" w:lineRule="auto"/>
        <w:ind w:left="2160" w:right="720" w:hanging="720"/>
        <w:rPr>
          <w:snapToGrid w:val="0"/>
          <w:lang w:eastAsia="en-US"/>
        </w:rPr>
      </w:pPr>
      <w:r>
        <w:rPr>
          <w:snapToGrid w:val="0"/>
          <w:lang w:eastAsia="en-US"/>
        </w:rPr>
        <w:t>(ii)</w:t>
      </w:r>
      <w:r>
        <w:rPr>
          <w:snapToGrid w:val="0"/>
          <w:lang w:eastAsia="en-US"/>
        </w:rPr>
        <w:tab/>
      </w:r>
      <w:r w:rsidRPr="00990ED1">
        <w:rPr>
          <w:snapToGrid w:val="0"/>
          <w:lang w:eastAsia="en-US"/>
        </w:rPr>
        <w:t>the sustainable growth methodology is logically circular because it requires an estimate of the expected rate of return on equity to estimate the cost of equity using the DCF model;</w:t>
      </w:r>
    </w:p>
    <w:p w:rsidR="00990ED1" w:rsidRPr="00990ED1" w:rsidRDefault="00990ED1" w:rsidP="00540A76">
      <w:pPr>
        <w:spacing w:after="280" w:line="240" w:lineRule="auto"/>
        <w:ind w:left="2160" w:right="720" w:hanging="720"/>
        <w:rPr>
          <w:snapToGrid w:val="0"/>
          <w:lang w:eastAsia="en-US"/>
        </w:rPr>
      </w:pPr>
      <w:r w:rsidRPr="00990ED1">
        <w:rPr>
          <w:snapToGrid w:val="0"/>
          <w:lang w:eastAsia="en-US"/>
        </w:rPr>
        <w:t>(i</w:t>
      </w:r>
      <w:r>
        <w:rPr>
          <w:snapToGrid w:val="0"/>
          <w:lang w:eastAsia="en-US"/>
        </w:rPr>
        <w:t>i</w:t>
      </w:r>
      <w:r w:rsidRPr="00990ED1">
        <w:rPr>
          <w:snapToGrid w:val="0"/>
          <w:lang w:eastAsia="en-US"/>
        </w:rPr>
        <w:t>i)</w:t>
      </w:r>
      <w:r w:rsidRPr="00990ED1">
        <w:rPr>
          <w:snapToGrid w:val="0"/>
          <w:lang w:eastAsia="en-US"/>
        </w:rPr>
        <w:tab/>
        <w:t>the sustainable growth methodology is inconsistent with the academic empirical evidence;</w:t>
      </w:r>
    </w:p>
    <w:p w:rsidR="00990ED1" w:rsidRPr="00990ED1" w:rsidRDefault="00990ED1" w:rsidP="00540A76">
      <w:pPr>
        <w:spacing w:after="280" w:line="240" w:lineRule="auto"/>
        <w:ind w:left="2160" w:right="720" w:hanging="720"/>
        <w:rPr>
          <w:snapToGrid w:val="0"/>
          <w:lang w:eastAsia="en-US"/>
        </w:rPr>
      </w:pPr>
      <w:r w:rsidRPr="00990ED1">
        <w:rPr>
          <w:snapToGrid w:val="0"/>
          <w:lang w:eastAsia="en-US"/>
        </w:rPr>
        <w:t>(i</w:t>
      </w:r>
      <w:r>
        <w:rPr>
          <w:snapToGrid w:val="0"/>
          <w:lang w:eastAsia="en-US"/>
        </w:rPr>
        <w:t>v</w:t>
      </w:r>
      <w:r w:rsidRPr="00990ED1">
        <w:rPr>
          <w:snapToGrid w:val="0"/>
          <w:lang w:eastAsia="en-US"/>
        </w:rPr>
        <w:t>)</w:t>
      </w:r>
      <w:r w:rsidRPr="00990ED1">
        <w:rPr>
          <w:snapToGrid w:val="0"/>
          <w:lang w:eastAsia="en-US"/>
        </w:rPr>
        <w:tab/>
        <w:t>the potential lack of representativeness of Value Line’s forecasts as proxies for the market consensus; and</w:t>
      </w:r>
    </w:p>
    <w:p w:rsidR="00990ED1" w:rsidRPr="00990ED1" w:rsidRDefault="00990ED1" w:rsidP="00540A76">
      <w:pPr>
        <w:spacing w:after="280" w:line="240" w:lineRule="auto"/>
        <w:ind w:left="2160" w:right="720" w:hanging="720"/>
        <w:rPr>
          <w:snapToGrid w:val="0"/>
          <w:lang w:eastAsia="en-US"/>
        </w:rPr>
      </w:pPr>
      <w:r w:rsidRPr="00990ED1">
        <w:rPr>
          <w:snapToGrid w:val="0"/>
          <w:lang w:eastAsia="en-US"/>
        </w:rPr>
        <w:t>(v)</w:t>
      </w:r>
      <w:r w:rsidRPr="00990ED1">
        <w:rPr>
          <w:snapToGrid w:val="0"/>
          <w:lang w:eastAsia="en-US"/>
        </w:rPr>
        <w:tab/>
        <w:t>a technical error.</w:t>
      </w:r>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 xml:space="preserve">Does </w:t>
      </w:r>
      <w:r w:rsidR="006B5168" w:rsidRPr="00255659">
        <w:rPr>
          <w:lang w:eastAsia="en-US"/>
        </w:rPr>
        <w:t>Dr.</w:t>
      </w:r>
      <w:r w:rsidR="006B5168">
        <w:rPr>
          <w:lang w:eastAsia="en-US"/>
        </w:rPr>
        <w:t> </w:t>
      </w:r>
      <w:r w:rsidR="003C7909" w:rsidRPr="00255659">
        <w:rPr>
          <w:lang w:eastAsia="en-US"/>
        </w:rPr>
        <w:t>Woolridge</w:t>
      </w:r>
      <w:r w:rsidR="00255659">
        <w:rPr>
          <w:lang w:eastAsia="en-US"/>
        </w:rPr>
        <w:t>’</w:t>
      </w:r>
      <w:r w:rsidR="003C7909" w:rsidRPr="00255659">
        <w:rPr>
          <w:lang w:eastAsia="en-US"/>
        </w:rPr>
        <w:t>s sustainable growth methodology account for external stock financing</w:t>
      </w:r>
      <w:r w:rsidRPr="00255659">
        <w:rPr>
          <w:lang w:eastAsia="en-US"/>
        </w:rPr>
        <w:t>?</w:t>
      </w:r>
    </w:p>
    <w:p w:rsidR="00EE3220" w:rsidRDefault="00AA31D3" w:rsidP="00540A76">
      <w:pPr>
        <w:pStyle w:val="answer"/>
        <w:rPr>
          <w:szCs w:val="24"/>
          <w:lang w:eastAsia="en-US"/>
        </w:rPr>
      </w:pPr>
      <w:r w:rsidRPr="00255659">
        <w:rPr>
          <w:szCs w:val="24"/>
          <w:lang w:eastAsia="en-US"/>
        </w:rPr>
        <w:t>A.</w:t>
      </w:r>
      <w:r w:rsidRPr="00255659">
        <w:rPr>
          <w:b/>
          <w:szCs w:val="24"/>
          <w:lang w:eastAsia="en-US"/>
        </w:rPr>
        <w:tab/>
      </w:r>
      <w:r w:rsidRPr="00255659">
        <w:rPr>
          <w:szCs w:val="24"/>
          <w:lang w:eastAsia="en-US"/>
        </w:rPr>
        <w:t>No</w:t>
      </w:r>
      <w:r w:rsidR="00990ED1">
        <w:rPr>
          <w:szCs w:val="24"/>
          <w:lang w:eastAsia="en-US"/>
        </w:rPr>
        <w:t xml:space="preserve">. </w:t>
      </w:r>
      <w:r w:rsidR="00990ED1" w:rsidRPr="00255659">
        <w:rPr>
          <w:lang w:eastAsia="en-US"/>
        </w:rPr>
        <w:t>Dr.</w:t>
      </w:r>
      <w:r w:rsidR="00990ED1">
        <w:rPr>
          <w:lang w:eastAsia="en-US"/>
        </w:rPr>
        <w:t> </w:t>
      </w:r>
      <w:r w:rsidR="00990ED1" w:rsidRPr="00255659">
        <w:rPr>
          <w:lang w:eastAsia="en-US"/>
        </w:rPr>
        <w:t>Woolridge</w:t>
      </w:r>
      <w:r w:rsidR="00990ED1">
        <w:rPr>
          <w:lang w:eastAsia="en-US"/>
        </w:rPr>
        <w:t>’</w:t>
      </w:r>
      <w:r w:rsidR="00990ED1" w:rsidRPr="00255659">
        <w:rPr>
          <w:lang w:eastAsia="en-US"/>
        </w:rPr>
        <w:t xml:space="preserve">s sustainable growth methodology </w:t>
      </w:r>
      <w:r w:rsidR="00990ED1">
        <w:rPr>
          <w:lang w:eastAsia="en-US"/>
        </w:rPr>
        <w:t xml:space="preserve">fails to </w:t>
      </w:r>
      <w:r w:rsidR="00990ED1" w:rsidRPr="00255659">
        <w:rPr>
          <w:lang w:eastAsia="en-US"/>
        </w:rPr>
        <w:t>account for external stock financing</w:t>
      </w:r>
      <w:r w:rsidRPr="00255659">
        <w:rPr>
          <w:szCs w:val="24"/>
          <w:lang w:eastAsia="en-US"/>
        </w:rPr>
        <w:t>.</w:t>
      </w:r>
      <w:r w:rsidR="00287C5A">
        <w:rPr>
          <w:b/>
          <w:szCs w:val="24"/>
          <w:lang w:eastAsia="en-US"/>
        </w:rPr>
        <w:t xml:space="preserve"> </w:t>
      </w:r>
      <w:r w:rsidRPr="00255659">
        <w:rPr>
          <w:szCs w:val="24"/>
          <w:lang w:eastAsia="en-US"/>
        </w:rPr>
        <w:t xml:space="preserve">Utilities engage in two kinds of operations: </w:t>
      </w:r>
      <w:r w:rsidR="00990ED1">
        <w:rPr>
          <w:szCs w:val="24"/>
          <w:lang w:eastAsia="en-US"/>
        </w:rPr>
        <w:t>(i</w:t>
      </w:r>
      <w:r w:rsidRPr="00255659">
        <w:rPr>
          <w:szCs w:val="24"/>
          <w:lang w:eastAsia="en-US"/>
        </w:rPr>
        <w:t>)</w:t>
      </w:r>
      <w:r w:rsidR="00990ED1">
        <w:rPr>
          <w:szCs w:val="24"/>
          <w:lang w:eastAsia="en-US"/>
        </w:rPr>
        <w:t xml:space="preserve"> internal </w:t>
      </w:r>
      <w:r w:rsidRPr="00255659">
        <w:rPr>
          <w:szCs w:val="24"/>
          <w:lang w:eastAsia="en-US"/>
        </w:rPr>
        <w:t xml:space="preserve">investment decisions on which </w:t>
      </w:r>
      <w:r w:rsidR="00990ED1">
        <w:rPr>
          <w:szCs w:val="24"/>
          <w:lang w:eastAsia="en-US"/>
        </w:rPr>
        <w:t xml:space="preserve">utilities </w:t>
      </w:r>
      <w:r w:rsidRPr="00255659">
        <w:rPr>
          <w:szCs w:val="24"/>
          <w:lang w:eastAsia="en-US"/>
        </w:rPr>
        <w:t xml:space="preserve">earn the rate of return </w:t>
      </w:r>
      <w:r w:rsidR="00990ED1">
        <w:rPr>
          <w:szCs w:val="24"/>
          <w:lang w:eastAsia="en-US"/>
        </w:rPr>
        <w:t>‘</w:t>
      </w:r>
      <w:r w:rsidRPr="00255659">
        <w:rPr>
          <w:szCs w:val="24"/>
          <w:lang w:eastAsia="en-US"/>
        </w:rPr>
        <w:t>r</w:t>
      </w:r>
      <w:r w:rsidR="00255659">
        <w:rPr>
          <w:szCs w:val="24"/>
          <w:lang w:eastAsia="en-US"/>
        </w:rPr>
        <w:t>’</w:t>
      </w:r>
      <w:r w:rsidRPr="00255659">
        <w:rPr>
          <w:szCs w:val="24"/>
          <w:lang w:eastAsia="en-US"/>
        </w:rPr>
        <w:t xml:space="preserve">, and </w:t>
      </w:r>
      <w:r w:rsidR="00990ED1">
        <w:rPr>
          <w:szCs w:val="24"/>
          <w:lang w:eastAsia="en-US"/>
        </w:rPr>
        <w:t>(ii</w:t>
      </w:r>
      <w:r w:rsidRPr="00255659">
        <w:rPr>
          <w:szCs w:val="24"/>
          <w:lang w:eastAsia="en-US"/>
        </w:rPr>
        <w:t>)</w:t>
      </w:r>
      <w:r w:rsidR="00990ED1">
        <w:rPr>
          <w:szCs w:val="24"/>
          <w:lang w:eastAsia="en-US"/>
        </w:rPr>
        <w:t xml:space="preserve"> external </w:t>
      </w:r>
      <w:r w:rsidRPr="00255659">
        <w:rPr>
          <w:szCs w:val="24"/>
          <w:lang w:eastAsia="en-US"/>
        </w:rPr>
        <w:t xml:space="preserve">financing </w:t>
      </w:r>
      <w:r w:rsidR="00990ED1">
        <w:rPr>
          <w:szCs w:val="24"/>
          <w:lang w:eastAsia="en-US"/>
        </w:rPr>
        <w:t xml:space="preserve">activities </w:t>
      </w:r>
      <w:r w:rsidRPr="00255659">
        <w:rPr>
          <w:szCs w:val="24"/>
          <w:lang w:eastAsia="en-US"/>
        </w:rPr>
        <w:t xml:space="preserve">on which </w:t>
      </w:r>
      <w:r w:rsidR="00990ED1">
        <w:rPr>
          <w:szCs w:val="24"/>
          <w:lang w:eastAsia="en-US"/>
        </w:rPr>
        <w:t xml:space="preserve">utilities </w:t>
      </w:r>
      <w:r w:rsidR="00990ED1" w:rsidRPr="00255659">
        <w:rPr>
          <w:szCs w:val="24"/>
          <w:lang w:eastAsia="en-US"/>
        </w:rPr>
        <w:t xml:space="preserve">earn the rate of return </w:t>
      </w:r>
      <w:r w:rsidR="00990ED1">
        <w:rPr>
          <w:szCs w:val="24"/>
          <w:lang w:eastAsia="en-US"/>
        </w:rPr>
        <w:t>‘s’</w:t>
      </w:r>
      <w:r w:rsidRPr="00255659">
        <w:rPr>
          <w:szCs w:val="24"/>
          <w:lang w:eastAsia="en-US"/>
        </w:rPr>
        <w:t>.</w:t>
      </w:r>
      <w:r w:rsidR="00EE3220">
        <w:rPr>
          <w:szCs w:val="24"/>
          <w:lang w:eastAsia="en-US"/>
        </w:rPr>
        <w:t xml:space="preserve"> Therefore, if </w:t>
      </w:r>
      <w:r w:rsidRPr="00255659">
        <w:rPr>
          <w:szCs w:val="24"/>
          <w:lang w:eastAsia="en-US"/>
        </w:rPr>
        <w:t xml:space="preserve">a utility is expected to finance stock at the rate </w:t>
      </w:r>
      <w:r w:rsidR="00EE3220">
        <w:rPr>
          <w:szCs w:val="24"/>
          <w:lang w:eastAsia="en-US"/>
        </w:rPr>
        <w:t>‘</w:t>
      </w:r>
      <w:r w:rsidRPr="00255659">
        <w:rPr>
          <w:szCs w:val="24"/>
          <w:lang w:eastAsia="en-US"/>
        </w:rPr>
        <w:t>s</w:t>
      </w:r>
      <w:r w:rsidR="00255659">
        <w:rPr>
          <w:szCs w:val="24"/>
          <w:lang w:eastAsia="en-US"/>
        </w:rPr>
        <w:t>’</w:t>
      </w:r>
      <w:r w:rsidRPr="00255659">
        <w:rPr>
          <w:szCs w:val="24"/>
          <w:lang w:eastAsia="en-US"/>
        </w:rPr>
        <w:t xml:space="preserve">, </w:t>
      </w:r>
      <w:r w:rsidR="00EE3220">
        <w:rPr>
          <w:szCs w:val="24"/>
          <w:lang w:eastAsia="en-US"/>
        </w:rPr>
        <w:t xml:space="preserve">the growth component should reflect </w:t>
      </w:r>
      <w:r w:rsidRPr="00255659">
        <w:rPr>
          <w:szCs w:val="24"/>
          <w:lang w:eastAsia="en-US"/>
        </w:rPr>
        <w:t xml:space="preserve">book value per share results from both types of operations, </w:t>
      </w:r>
      <w:r w:rsidR="00EE3220">
        <w:rPr>
          <w:szCs w:val="24"/>
          <w:lang w:eastAsia="en-US"/>
        </w:rPr>
        <w:t>a reflected in the following formula:</w:t>
      </w:r>
    </w:p>
    <w:p w:rsidR="00EE3220" w:rsidRDefault="00EE3220" w:rsidP="00540A76">
      <w:pPr>
        <w:pStyle w:val="answer"/>
        <w:spacing w:after="0" w:line="240" w:lineRule="auto"/>
        <w:jc w:val="center"/>
        <w:rPr>
          <w:szCs w:val="24"/>
          <w:lang w:eastAsia="en-US"/>
        </w:rPr>
      </w:pPr>
      <w:r w:rsidRPr="00255659">
        <w:rPr>
          <w:szCs w:val="24"/>
          <w:lang w:eastAsia="en-US"/>
        </w:rPr>
        <w:lastRenderedPageBreak/>
        <w:t xml:space="preserve">g = </w:t>
      </w:r>
      <w:r>
        <w:rPr>
          <w:szCs w:val="24"/>
          <w:lang w:eastAsia="en-US"/>
        </w:rPr>
        <w:t>(</w:t>
      </w:r>
      <w:r w:rsidRPr="00255659">
        <w:rPr>
          <w:szCs w:val="24"/>
          <w:lang w:eastAsia="en-US"/>
        </w:rPr>
        <w:t>b</w:t>
      </w:r>
      <w:r>
        <w:rPr>
          <w:szCs w:val="24"/>
          <w:lang w:eastAsia="en-US"/>
        </w:rPr>
        <w:t xml:space="preserve"> × r) + (s × v)</w:t>
      </w:r>
    </w:p>
    <w:p w:rsidR="00EE3220" w:rsidRPr="00573DFB" w:rsidRDefault="00EE3220" w:rsidP="00540A76">
      <w:pPr>
        <w:pStyle w:val="BlockQuote"/>
        <w:tabs>
          <w:tab w:val="left" w:pos="2520"/>
          <w:tab w:val="left" w:pos="2880"/>
          <w:tab w:val="left" w:pos="3240"/>
          <w:tab w:val="left" w:pos="3600"/>
        </w:tabs>
        <w:spacing w:before="280" w:after="60"/>
        <w:ind w:left="3240" w:hanging="1800"/>
        <w:rPr>
          <w:i w:val="0"/>
          <w:lang w:eastAsia="en-US"/>
        </w:rPr>
      </w:pPr>
      <w:r w:rsidRPr="00573DFB">
        <w:rPr>
          <w:i w:val="0"/>
          <w:lang w:eastAsia="en-US"/>
        </w:rPr>
        <w:t>Where:</w:t>
      </w:r>
      <w:r w:rsidRPr="00573DFB">
        <w:rPr>
          <w:i w:val="0"/>
          <w:lang w:eastAsia="en-US"/>
        </w:rPr>
        <w:tab/>
        <w:t>b</w:t>
      </w:r>
      <w:r w:rsidRPr="00573DFB">
        <w:rPr>
          <w:i w:val="0"/>
          <w:lang w:eastAsia="en-US"/>
        </w:rPr>
        <w:tab/>
        <w:t>=</w:t>
      </w:r>
      <w:r w:rsidRPr="00573DFB">
        <w:rPr>
          <w:i w:val="0"/>
          <w:lang w:eastAsia="en-US"/>
        </w:rPr>
        <w:tab/>
        <w:t>the percentage of earnings retained</w:t>
      </w:r>
    </w:p>
    <w:p w:rsidR="00EE3220" w:rsidRDefault="00EE3220" w:rsidP="00540A76">
      <w:pPr>
        <w:pStyle w:val="BlockQuote"/>
        <w:tabs>
          <w:tab w:val="left" w:pos="2520"/>
          <w:tab w:val="left" w:pos="2880"/>
          <w:tab w:val="left" w:pos="3240"/>
          <w:tab w:val="left" w:pos="3600"/>
        </w:tabs>
        <w:spacing w:after="60"/>
        <w:ind w:left="3240" w:hanging="720"/>
        <w:rPr>
          <w:i w:val="0"/>
          <w:lang w:eastAsia="en-US"/>
        </w:rPr>
      </w:pPr>
      <w:r>
        <w:rPr>
          <w:i w:val="0"/>
          <w:lang w:eastAsia="en-US"/>
        </w:rPr>
        <w:t>r</w:t>
      </w:r>
      <w:r w:rsidRPr="00573DFB">
        <w:rPr>
          <w:i w:val="0"/>
          <w:lang w:eastAsia="en-US"/>
        </w:rPr>
        <w:tab/>
        <w:t>=</w:t>
      </w:r>
      <w:r w:rsidRPr="00573DFB">
        <w:rPr>
          <w:i w:val="0"/>
          <w:lang w:eastAsia="en-US"/>
        </w:rPr>
        <w:tab/>
        <w:t>the expected rate of return on book equity</w:t>
      </w:r>
    </w:p>
    <w:p w:rsidR="00EE3220" w:rsidRDefault="003C7909" w:rsidP="00540A76">
      <w:pPr>
        <w:pStyle w:val="BlockQuote"/>
        <w:tabs>
          <w:tab w:val="left" w:pos="2520"/>
          <w:tab w:val="left" w:pos="2880"/>
          <w:tab w:val="left" w:pos="3240"/>
          <w:tab w:val="left" w:pos="3600"/>
        </w:tabs>
        <w:spacing w:after="60"/>
        <w:ind w:left="3240" w:hanging="720"/>
        <w:rPr>
          <w:i w:val="0"/>
          <w:lang w:eastAsia="en-US"/>
        </w:rPr>
      </w:pPr>
      <w:r w:rsidRPr="00255659">
        <w:rPr>
          <w:i w:val="0"/>
          <w:lang w:eastAsia="en-US"/>
        </w:rPr>
        <w:t>s</w:t>
      </w:r>
      <w:r w:rsidR="00EE3220">
        <w:rPr>
          <w:i w:val="0"/>
          <w:lang w:eastAsia="en-US"/>
        </w:rPr>
        <w:tab/>
      </w:r>
      <w:r w:rsidR="00AA31D3" w:rsidRPr="00255659">
        <w:rPr>
          <w:i w:val="0"/>
          <w:lang w:eastAsia="en-US"/>
        </w:rPr>
        <w:t>=</w:t>
      </w:r>
      <w:r w:rsidRPr="00255659">
        <w:rPr>
          <w:i w:val="0"/>
          <w:lang w:eastAsia="en-US"/>
        </w:rPr>
        <w:tab/>
      </w:r>
      <w:r w:rsidR="00AA31D3" w:rsidRPr="00255659">
        <w:rPr>
          <w:i w:val="0"/>
          <w:lang w:eastAsia="en-US"/>
        </w:rPr>
        <w:t>funds raised from the</w:t>
      </w:r>
      <w:r w:rsidRPr="00255659">
        <w:rPr>
          <w:i w:val="0"/>
          <w:lang w:eastAsia="en-US"/>
        </w:rPr>
        <w:t xml:space="preserve"> sale of stock as a fraction of </w:t>
      </w:r>
      <w:r w:rsidR="00AA31D3" w:rsidRPr="00255659">
        <w:rPr>
          <w:i w:val="0"/>
          <w:lang w:eastAsia="en-US"/>
        </w:rPr>
        <w:t>existing common equity</w:t>
      </w:r>
    </w:p>
    <w:p w:rsidR="00AA31D3" w:rsidRPr="00255659" w:rsidRDefault="003C7909" w:rsidP="00540A76">
      <w:pPr>
        <w:pStyle w:val="BlockQuote"/>
        <w:tabs>
          <w:tab w:val="left" w:pos="2520"/>
          <w:tab w:val="left" w:pos="2880"/>
          <w:tab w:val="left" w:pos="3240"/>
          <w:tab w:val="left" w:pos="3600"/>
        </w:tabs>
        <w:spacing w:after="60"/>
        <w:ind w:left="3240" w:hanging="720"/>
        <w:rPr>
          <w:i w:val="0"/>
          <w:lang w:eastAsia="en-US"/>
        </w:rPr>
      </w:pPr>
      <w:r w:rsidRPr="00255659">
        <w:rPr>
          <w:i w:val="0"/>
          <w:lang w:eastAsia="en-US"/>
        </w:rPr>
        <w:t>v</w:t>
      </w:r>
      <w:r w:rsidR="00EE3220">
        <w:rPr>
          <w:i w:val="0"/>
          <w:lang w:eastAsia="en-US"/>
        </w:rPr>
        <w:tab/>
      </w:r>
      <w:r w:rsidR="00AA31D3" w:rsidRPr="00255659">
        <w:rPr>
          <w:i w:val="0"/>
          <w:lang w:eastAsia="en-US"/>
        </w:rPr>
        <w:t>=</w:t>
      </w:r>
      <w:r w:rsidR="00EE3220">
        <w:rPr>
          <w:i w:val="0"/>
          <w:lang w:eastAsia="en-US"/>
        </w:rPr>
        <w:tab/>
      </w:r>
      <w:r w:rsidR="00AA31D3" w:rsidRPr="00255659">
        <w:rPr>
          <w:i w:val="0"/>
          <w:lang w:eastAsia="en-US"/>
        </w:rPr>
        <w:t>fraction of the funds raised from sale of stock that accrues to shareholders at the start of the period</w:t>
      </w:r>
    </w:p>
    <w:p w:rsidR="00AA31D3" w:rsidRPr="00255659" w:rsidRDefault="006B5168" w:rsidP="00540A76">
      <w:pPr>
        <w:pStyle w:val="answer"/>
        <w:spacing w:before="360"/>
        <w:ind w:firstLine="0"/>
        <w:rPr>
          <w:lang w:eastAsia="en-US"/>
        </w:rPr>
      </w:pPr>
      <w:r w:rsidRPr="00255659">
        <w:rPr>
          <w:lang w:eastAsia="en-US"/>
        </w:rPr>
        <w:t>Dr.</w:t>
      </w:r>
      <w:r>
        <w:rPr>
          <w:lang w:eastAsia="en-US"/>
        </w:rPr>
        <w:t> </w:t>
      </w:r>
      <w:r w:rsidR="00AA31D3" w:rsidRPr="00255659">
        <w:rPr>
          <w:szCs w:val="24"/>
          <w:lang w:eastAsia="en-US"/>
        </w:rPr>
        <w:t>Woolridge</w:t>
      </w:r>
      <w:r w:rsidR="00255659">
        <w:rPr>
          <w:szCs w:val="24"/>
          <w:lang w:eastAsia="en-US"/>
        </w:rPr>
        <w:t>’</w:t>
      </w:r>
      <w:r w:rsidR="00AA31D3" w:rsidRPr="00255659">
        <w:rPr>
          <w:szCs w:val="24"/>
          <w:lang w:eastAsia="en-US"/>
        </w:rPr>
        <w:t xml:space="preserve">s sustainable growth methodology </w:t>
      </w:r>
      <w:r w:rsidR="00EE3220">
        <w:rPr>
          <w:szCs w:val="24"/>
          <w:lang w:eastAsia="en-US"/>
        </w:rPr>
        <w:t xml:space="preserve">(i.e., </w:t>
      </w:r>
      <w:r w:rsidR="00EE3220" w:rsidRPr="00255659">
        <w:rPr>
          <w:szCs w:val="24"/>
          <w:lang w:eastAsia="en-US"/>
        </w:rPr>
        <w:t>b</w:t>
      </w:r>
      <w:r w:rsidR="00EE3220">
        <w:rPr>
          <w:szCs w:val="24"/>
          <w:lang w:eastAsia="en-US"/>
        </w:rPr>
        <w:t xml:space="preserve"> × r) </w:t>
      </w:r>
      <w:r w:rsidR="00AA31D3" w:rsidRPr="00255659">
        <w:rPr>
          <w:szCs w:val="24"/>
          <w:lang w:eastAsia="en-US"/>
        </w:rPr>
        <w:t>fail</w:t>
      </w:r>
      <w:r w:rsidR="00EE3220">
        <w:rPr>
          <w:szCs w:val="24"/>
          <w:lang w:eastAsia="en-US"/>
        </w:rPr>
        <w:t>s</w:t>
      </w:r>
      <w:r w:rsidR="00AA31D3" w:rsidRPr="00255659">
        <w:rPr>
          <w:szCs w:val="24"/>
          <w:lang w:eastAsia="en-US"/>
        </w:rPr>
        <w:t xml:space="preserve"> to recognize growth stemming from external stock financing</w:t>
      </w:r>
      <w:r w:rsidR="00EE3220">
        <w:rPr>
          <w:szCs w:val="24"/>
          <w:lang w:eastAsia="en-US"/>
        </w:rPr>
        <w:t xml:space="preserve"> (i.e., s × v)</w:t>
      </w:r>
      <w:r w:rsidR="00AA31D3" w:rsidRPr="00255659">
        <w:rPr>
          <w:szCs w:val="24"/>
          <w:lang w:eastAsia="en-US"/>
        </w:rPr>
        <w:t>.</w:t>
      </w:r>
      <w:r w:rsidR="00287C5A">
        <w:rPr>
          <w:szCs w:val="24"/>
          <w:lang w:eastAsia="en-US"/>
        </w:rPr>
        <w:t xml:space="preserve"> </w:t>
      </w:r>
      <w:r w:rsidR="00AA31D3" w:rsidRPr="00255659">
        <w:rPr>
          <w:szCs w:val="24"/>
          <w:lang w:eastAsia="en-US"/>
        </w:rPr>
        <w:t xml:space="preserve">The expectation of continuous stock financing at the rate </w:t>
      </w:r>
      <w:r>
        <w:rPr>
          <w:szCs w:val="24"/>
          <w:lang w:eastAsia="en-US"/>
        </w:rPr>
        <w:t>‘</w:t>
      </w:r>
      <w:r w:rsidR="00AA31D3" w:rsidRPr="00255659">
        <w:rPr>
          <w:szCs w:val="24"/>
          <w:lang w:eastAsia="en-US"/>
        </w:rPr>
        <w:t>s</w:t>
      </w:r>
      <w:r w:rsidR="00255659">
        <w:rPr>
          <w:szCs w:val="24"/>
          <w:lang w:eastAsia="en-US"/>
        </w:rPr>
        <w:t>’</w:t>
      </w:r>
      <w:r w:rsidR="00AA31D3" w:rsidRPr="00255659">
        <w:rPr>
          <w:szCs w:val="24"/>
          <w:lang w:eastAsia="en-US"/>
        </w:rPr>
        <w:t xml:space="preserve"> changes the expected rate of growth from </w:t>
      </w:r>
      <w:r w:rsidR="00EE3220">
        <w:rPr>
          <w:szCs w:val="24"/>
          <w:lang w:eastAsia="en-US"/>
        </w:rPr>
        <w:t>(</w:t>
      </w:r>
      <w:r w:rsidR="00EE3220" w:rsidRPr="00255659">
        <w:rPr>
          <w:szCs w:val="24"/>
          <w:lang w:eastAsia="en-US"/>
        </w:rPr>
        <w:t>b</w:t>
      </w:r>
      <w:r w:rsidR="00EE3220">
        <w:rPr>
          <w:szCs w:val="24"/>
          <w:lang w:eastAsia="en-US"/>
        </w:rPr>
        <w:t xml:space="preserve"> × r) to (</w:t>
      </w:r>
      <w:r w:rsidR="00EE3220" w:rsidRPr="00255659">
        <w:rPr>
          <w:szCs w:val="24"/>
          <w:lang w:eastAsia="en-US"/>
        </w:rPr>
        <w:t>b</w:t>
      </w:r>
      <w:r w:rsidR="00EE3220">
        <w:rPr>
          <w:szCs w:val="24"/>
          <w:lang w:eastAsia="en-US"/>
        </w:rPr>
        <w:t xml:space="preserve"> × r) + (s × v)</w:t>
      </w:r>
      <w:r w:rsidR="00AA31D3" w:rsidRPr="00255659">
        <w:rPr>
          <w:szCs w:val="24"/>
          <w:lang w:eastAsia="en-US"/>
        </w:rPr>
        <w:t>.</w:t>
      </w:r>
      <w:r w:rsidR="00287C5A">
        <w:rPr>
          <w:szCs w:val="24"/>
          <w:lang w:eastAsia="en-US"/>
        </w:rPr>
        <w:t xml:space="preserve"> </w:t>
      </w:r>
      <w:r w:rsidR="00AA31D3" w:rsidRPr="00255659">
        <w:rPr>
          <w:szCs w:val="24"/>
          <w:lang w:eastAsia="en-US"/>
        </w:rPr>
        <w:t xml:space="preserve">By omitting the latter component of growth, </w:t>
      </w:r>
      <w:r w:rsidRPr="00255659">
        <w:rPr>
          <w:lang w:eastAsia="en-US"/>
        </w:rPr>
        <w:t>Dr.</w:t>
      </w:r>
      <w:r>
        <w:rPr>
          <w:lang w:eastAsia="en-US"/>
        </w:rPr>
        <w:t> </w:t>
      </w:r>
      <w:r w:rsidR="00AA31D3" w:rsidRPr="00255659">
        <w:rPr>
          <w:szCs w:val="24"/>
          <w:lang w:eastAsia="en-US"/>
        </w:rPr>
        <w:t>Woolridge understates the growth of his three utility samples from this particular method.</w:t>
      </w:r>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 xml:space="preserve">Is the sustainable growth methodology used by </w:t>
      </w:r>
      <w:r w:rsidR="006B5168" w:rsidRPr="00255659">
        <w:rPr>
          <w:lang w:eastAsia="en-US"/>
        </w:rPr>
        <w:t>Dr.</w:t>
      </w:r>
      <w:r w:rsidR="006B5168">
        <w:rPr>
          <w:lang w:eastAsia="en-US"/>
        </w:rPr>
        <w:t> </w:t>
      </w:r>
      <w:r w:rsidR="003C7909" w:rsidRPr="00255659">
        <w:rPr>
          <w:lang w:eastAsia="en-US"/>
        </w:rPr>
        <w:t>Woolridge logically consistent</w:t>
      </w:r>
      <w:r w:rsidRPr="00255659">
        <w:rPr>
          <w:lang w:eastAsia="en-US"/>
        </w:rPr>
        <w:t>?</w:t>
      </w:r>
    </w:p>
    <w:p w:rsidR="00EE3220" w:rsidRDefault="00AA31D3" w:rsidP="00540A76">
      <w:pPr>
        <w:pStyle w:val="answer"/>
        <w:rPr>
          <w:lang w:eastAsia="en-US"/>
        </w:rPr>
      </w:pPr>
      <w:r w:rsidRPr="00255659">
        <w:rPr>
          <w:lang w:eastAsia="en-US"/>
        </w:rPr>
        <w:t>A.</w:t>
      </w:r>
      <w:r w:rsidRPr="00255659">
        <w:rPr>
          <w:lang w:eastAsia="en-US"/>
        </w:rPr>
        <w:tab/>
        <w:t>No.</w:t>
      </w:r>
      <w:r w:rsidR="00287C5A">
        <w:rPr>
          <w:lang w:eastAsia="en-US"/>
        </w:rPr>
        <w:t xml:space="preserve">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 xml:space="preserve">s sustainable growth methodology </w:t>
      </w:r>
      <w:r w:rsidR="00EE3220">
        <w:rPr>
          <w:lang w:eastAsia="en-US"/>
        </w:rPr>
        <w:t xml:space="preserve">is not </w:t>
      </w:r>
      <w:r w:rsidR="00EE3220" w:rsidRPr="00255659">
        <w:rPr>
          <w:lang w:eastAsia="en-US"/>
        </w:rPr>
        <w:t xml:space="preserve">logically consistent </w:t>
      </w:r>
      <w:r w:rsidR="00EE3220">
        <w:rPr>
          <w:lang w:eastAsia="en-US"/>
        </w:rPr>
        <w:t xml:space="preserve">and </w:t>
      </w:r>
      <w:r w:rsidRPr="00255659">
        <w:rPr>
          <w:lang w:eastAsia="en-US"/>
        </w:rPr>
        <w:t xml:space="preserve">contains a logical contradiction. The contradiction arises because the method requires an explicit assumption on the </w:t>
      </w:r>
      <w:r w:rsidR="00EE3220">
        <w:rPr>
          <w:lang w:eastAsia="en-US"/>
        </w:rPr>
        <w:t xml:space="preserve">return on equity </w:t>
      </w:r>
      <w:r w:rsidRPr="00255659">
        <w:rPr>
          <w:lang w:eastAsia="en-US"/>
        </w:rPr>
        <w:t>expected from the retained earnings that produce future growth.</w:t>
      </w:r>
    </w:p>
    <w:p w:rsidR="003C7909" w:rsidRPr="00255659" w:rsidRDefault="006B5168" w:rsidP="00540A76">
      <w:pPr>
        <w:pStyle w:val="answer"/>
        <w:ind w:firstLine="0"/>
        <w:rPr>
          <w:lang w:eastAsia="en-US"/>
        </w:rPr>
      </w:pPr>
      <w:r w:rsidRPr="00255659">
        <w:rPr>
          <w:lang w:eastAsia="en-US"/>
        </w:rPr>
        <w:t>Dr.</w:t>
      </w:r>
      <w:r>
        <w:rPr>
          <w:lang w:eastAsia="en-US"/>
        </w:rPr>
        <w:t> </w:t>
      </w:r>
      <w:r w:rsidR="00AA31D3" w:rsidRPr="00255659">
        <w:rPr>
          <w:lang w:eastAsia="en-US"/>
        </w:rPr>
        <w:t xml:space="preserve">Woolridge bases his </w:t>
      </w:r>
      <w:r w:rsidR="00EE3220">
        <w:rPr>
          <w:lang w:eastAsia="en-US"/>
        </w:rPr>
        <w:t xml:space="preserve">return on equity </w:t>
      </w:r>
      <w:r w:rsidR="00AA31D3" w:rsidRPr="00255659">
        <w:rPr>
          <w:lang w:eastAsia="en-US"/>
        </w:rPr>
        <w:t>estimate on Value Line</w:t>
      </w:r>
      <w:r w:rsidR="00255659">
        <w:rPr>
          <w:lang w:eastAsia="en-US"/>
        </w:rPr>
        <w:t>’</w:t>
      </w:r>
      <w:r w:rsidR="00AA31D3" w:rsidRPr="00255659">
        <w:rPr>
          <w:lang w:eastAsia="en-US"/>
        </w:rPr>
        <w:t xml:space="preserve">s forecast </w:t>
      </w:r>
      <w:r w:rsidR="00EE3220">
        <w:rPr>
          <w:lang w:eastAsia="en-US"/>
        </w:rPr>
        <w:t xml:space="preserve">returns on equity </w:t>
      </w:r>
      <w:r w:rsidR="00AA31D3" w:rsidRPr="00255659">
        <w:rPr>
          <w:lang w:eastAsia="en-US"/>
        </w:rPr>
        <w:t>for the 2020-2022 period.</w:t>
      </w:r>
      <w:r w:rsidR="00EE3220">
        <w:rPr>
          <w:rStyle w:val="FootnoteReference"/>
          <w:lang w:eastAsia="en-US"/>
        </w:rPr>
        <w:footnoteReference w:id="10"/>
      </w:r>
      <w:r w:rsidR="00287C5A">
        <w:rPr>
          <w:lang w:eastAsia="en-US"/>
        </w:rPr>
        <w:t xml:space="preserve"> </w:t>
      </w:r>
      <w:r w:rsidR="008271D6">
        <w:rPr>
          <w:lang w:eastAsia="en-US"/>
        </w:rPr>
        <w:t xml:space="preserve">However, the returns on equity </w:t>
      </w:r>
      <w:r w:rsidR="00AA31D3" w:rsidRPr="00255659">
        <w:rPr>
          <w:lang w:eastAsia="en-US"/>
        </w:rPr>
        <w:t xml:space="preserve">used </w:t>
      </w:r>
      <w:r w:rsidR="00AA31D3" w:rsidRPr="00255659">
        <w:rPr>
          <w:lang w:eastAsia="en-US"/>
        </w:rPr>
        <w:lastRenderedPageBreak/>
        <w:t xml:space="preserve">by </w:t>
      </w:r>
      <w:r w:rsidRPr="00255659">
        <w:rPr>
          <w:lang w:eastAsia="en-US"/>
        </w:rPr>
        <w:t>Dr.</w:t>
      </w:r>
      <w:r>
        <w:rPr>
          <w:lang w:eastAsia="en-US"/>
        </w:rPr>
        <w:t> </w:t>
      </w:r>
      <w:r w:rsidR="00AA31D3" w:rsidRPr="00255659">
        <w:rPr>
          <w:lang w:eastAsia="en-US"/>
        </w:rPr>
        <w:t xml:space="preserve">Woolridge in calculating the sustainable growth rate do not match </w:t>
      </w:r>
      <w:r w:rsidRPr="00255659">
        <w:rPr>
          <w:lang w:eastAsia="en-US"/>
        </w:rPr>
        <w:t>Dr.</w:t>
      </w:r>
      <w:r>
        <w:rPr>
          <w:lang w:eastAsia="en-US"/>
        </w:rPr>
        <w:t> </w:t>
      </w:r>
      <w:r w:rsidR="00AA31D3" w:rsidRPr="00255659">
        <w:rPr>
          <w:lang w:eastAsia="en-US"/>
        </w:rPr>
        <w:t>Woolridge</w:t>
      </w:r>
      <w:r w:rsidR="00255659">
        <w:rPr>
          <w:lang w:eastAsia="en-US"/>
        </w:rPr>
        <w:t>’</w:t>
      </w:r>
      <w:r w:rsidR="00AA31D3" w:rsidRPr="00255659">
        <w:rPr>
          <w:lang w:eastAsia="en-US"/>
        </w:rPr>
        <w:t xml:space="preserve">s </w:t>
      </w:r>
      <w:r w:rsidR="008271D6">
        <w:rPr>
          <w:lang w:eastAsia="en-US"/>
        </w:rPr>
        <w:t xml:space="preserve">own return on equity </w:t>
      </w:r>
      <w:r w:rsidR="00AA31D3" w:rsidRPr="00255659">
        <w:rPr>
          <w:lang w:eastAsia="en-US"/>
        </w:rPr>
        <w:t>recommendation.</w:t>
      </w:r>
    </w:p>
    <w:p w:rsidR="003C7909" w:rsidRPr="00255659" w:rsidRDefault="00AA31D3" w:rsidP="00540A76">
      <w:pPr>
        <w:pStyle w:val="answer"/>
        <w:ind w:firstLine="0"/>
        <w:rPr>
          <w:color w:val="000000"/>
          <w:szCs w:val="24"/>
          <w:lang w:eastAsia="en-US"/>
        </w:rPr>
      </w:pPr>
      <w:r w:rsidRPr="00255659">
        <w:rPr>
          <w:color w:val="000000"/>
          <w:szCs w:val="24"/>
          <w:lang w:eastAsia="en-US"/>
        </w:rPr>
        <w:t xml:space="preserve">For his first group of electric utilities, the average and median expected </w:t>
      </w:r>
      <w:r w:rsidR="008271D6">
        <w:rPr>
          <w:color w:val="000000"/>
          <w:szCs w:val="24"/>
          <w:lang w:eastAsia="en-US"/>
        </w:rPr>
        <w:t xml:space="preserve">return on equity </w:t>
      </w:r>
      <w:r w:rsidRPr="00255659">
        <w:rPr>
          <w:color w:val="000000"/>
          <w:szCs w:val="24"/>
          <w:lang w:eastAsia="en-US"/>
        </w:rPr>
        <w:t>of 10.8</w:t>
      </w:r>
      <w:r w:rsidR="00DD2B52">
        <w:rPr>
          <w:lang w:eastAsia="en-US"/>
        </w:rPr>
        <w:t> percent</w:t>
      </w:r>
      <w:r w:rsidRPr="00255659">
        <w:rPr>
          <w:color w:val="000000"/>
          <w:szCs w:val="24"/>
          <w:lang w:eastAsia="en-US"/>
        </w:rPr>
        <w:t xml:space="preserve"> and 10.0</w:t>
      </w:r>
      <w:r w:rsidR="00DD2B52">
        <w:rPr>
          <w:lang w:eastAsia="en-US"/>
        </w:rPr>
        <w:t> percent</w:t>
      </w:r>
      <w:r w:rsidRPr="00255659">
        <w:rPr>
          <w:color w:val="000000"/>
          <w:szCs w:val="24"/>
          <w:lang w:eastAsia="en-US"/>
        </w:rPr>
        <w:t xml:space="preserve"> used in </w:t>
      </w:r>
      <w:r w:rsidR="006B5168" w:rsidRPr="00255659">
        <w:rPr>
          <w:lang w:eastAsia="en-US"/>
        </w:rPr>
        <w:t>Dr.</w:t>
      </w:r>
      <w:r w:rsidR="006B5168">
        <w:rPr>
          <w:lang w:eastAsia="en-US"/>
        </w:rPr>
        <w:t> </w:t>
      </w:r>
      <w:r w:rsidRPr="00255659">
        <w:rPr>
          <w:color w:val="000000"/>
          <w:szCs w:val="24"/>
          <w:lang w:eastAsia="en-US"/>
        </w:rPr>
        <w:t>Woolridge</w:t>
      </w:r>
      <w:r w:rsidR="00255659">
        <w:rPr>
          <w:color w:val="000000"/>
          <w:szCs w:val="24"/>
          <w:lang w:eastAsia="en-US"/>
        </w:rPr>
        <w:t>’</w:t>
      </w:r>
      <w:r w:rsidRPr="00255659">
        <w:rPr>
          <w:color w:val="000000"/>
          <w:szCs w:val="24"/>
          <w:lang w:eastAsia="en-US"/>
        </w:rPr>
        <w:t xml:space="preserve">s </w:t>
      </w:r>
      <w:r w:rsidRPr="00255659">
        <w:rPr>
          <w:szCs w:val="24"/>
          <w:lang w:eastAsia="en-US"/>
        </w:rPr>
        <w:t>sustainable</w:t>
      </w:r>
      <w:r w:rsidRPr="00255659">
        <w:rPr>
          <w:color w:val="000000"/>
          <w:szCs w:val="24"/>
          <w:lang w:eastAsia="en-US"/>
        </w:rPr>
        <w:t xml:space="preserve"> growth computation</w:t>
      </w:r>
      <w:r w:rsidR="008271D6">
        <w:rPr>
          <w:rStyle w:val="FootnoteReference"/>
          <w:color w:val="000000"/>
          <w:szCs w:val="24"/>
          <w:lang w:eastAsia="en-US"/>
        </w:rPr>
        <w:footnoteReference w:id="11"/>
      </w:r>
      <w:r w:rsidRPr="00255659">
        <w:rPr>
          <w:color w:val="000000"/>
          <w:szCs w:val="24"/>
          <w:lang w:eastAsia="en-US"/>
        </w:rPr>
        <w:t xml:space="preserve"> </w:t>
      </w:r>
      <w:r w:rsidR="008271D6">
        <w:rPr>
          <w:color w:val="000000"/>
          <w:szCs w:val="24"/>
          <w:lang w:eastAsia="en-US"/>
        </w:rPr>
        <w:t xml:space="preserve">substantially </w:t>
      </w:r>
      <w:r w:rsidRPr="00255659">
        <w:rPr>
          <w:color w:val="000000"/>
          <w:szCs w:val="24"/>
          <w:lang w:eastAsia="en-US"/>
        </w:rPr>
        <w:t xml:space="preserve">exceeds </w:t>
      </w:r>
      <w:r w:rsidR="006B5168" w:rsidRPr="00255659">
        <w:rPr>
          <w:lang w:eastAsia="en-US"/>
        </w:rPr>
        <w:t>Dr.</w:t>
      </w:r>
      <w:r w:rsidR="006B5168">
        <w:rPr>
          <w:lang w:eastAsia="en-US"/>
        </w:rPr>
        <w:t> </w:t>
      </w:r>
      <w:r w:rsidRPr="00255659">
        <w:rPr>
          <w:color w:val="000000"/>
          <w:szCs w:val="24"/>
          <w:lang w:eastAsia="en-US"/>
        </w:rPr>
        <w:t>Woolridge</w:t>
      </w:r>
      <w:r w:rsidR="00255659">
        <w:rPr>
          <w:color w:val="000000"/>
          <w:szCs w:val="24"/>
          <w:lang w:eastAsia="en-US"/>
        </w:rPr>
        <w:t>’</w:t>
      </w:r>
      <w:r w:rsidRPr="00255659">
        <w:rPr>
          <w:color w:val="000000"/>
          <w:szCs w:val="24"/>
          <w:lang w:eastAsia="en-US"/>
        </w:rPr>
        <w:t>s recommended 8.85</w:t>
      </w:r>
      <w:r w:rsidR="00DD2B52">
        <w:rPr>
          <w:lang w:eastAsia="en-US"/>
        </w:rPr>
        <w:t> percent</w:t>
      </w:r>
      <w:r w:rsidRPr="00255659">
        <w:rPr>
          <w:color w:val="000000"/>
          <w:szCs w:val="24"/>
          <w:lang w:eastAsia="en-US"/>
        </w:rPr>
        <w:t>.</w:t>
      </w:r>
      <w:r w:rsidR="00287C5A">
        <w:rPr>
          <w:color w:val="000000"/>
          <w:szCs w:val="24"/>
          <w:lang w:eastAsia="en-US"/>
        </w:rPr>
        <w:t xml:space="preserve"> </w:t>
      </w:r>
      <w:r w:rsidR="006B5168" w:rsidRPr="00255659">
        <w:rPr>
          <w:lang w:eastAsia="en-US"/>
        </w:rPr>
        <w:t>Dr.</w:t>
      </w:r>
      <w:r w:rsidR="006B5168">
        <w:rPr>
          <w:lang w:eastAsia="en-US"/>
        </w:rPr>
        <w:t> </w:t>
      </w:r>
      <w:r w:rsidRPr="00255659">
        <w:rPr>
          <w:color w:val="000000"/>
          <w:szCs w:val="24"/>
          <w:lang w:eastAsia="en-US"/>
        </w:rPr>
        <w:t>Woolridge</w:t>
      </w:r>
      <w:r w:rsidR="00255659">
        <w:rPr>
          <w:color w:val="000000"/>
          <w:szCs w:val="24"/>
          <w:lang w:eastAsia="en-US"/>
        </w:rPr>
        <w:t>’</w:t>
      </w:r>
      <w:r w:rsidRPr="00255659">
        <w:rPr>
          <w:color w:val="000000"/>
          <w:szCs w:val="24"/>
          <w:lang w:eastAsia="en-US"/>
        </w:rPr>
        <w:t xml:space="preserve">s analysis thus assumes that the earned returns </w:t>
      </w:r>
      <w:r w:rsidR="008271D6">
        <w:rPr>
          <w:color w:val="000000"/>
          <w:szCs w:val="24"/>
          <w:lang w:eastAsia="en-US"/>
        </w:rPr>
        <w:t xml:space="preserve">on equity </w:t>
      </w:r>
      <w:r w:rsidRPr="00255659">
        <w:rPr>
          <w:color w:val="000000"/>
          <w:szCs w:val="24"/>
          <w:lang w:eastAsia="en-US"/>
        </w:rPr>
        <w:t xml:space="preserve">of </w:t>
      </w:r>
      <w:r w:rsidR="008271D6">
        <w:rPr>
          <w:color w:val="000000"/>
          <w:szCs w:val="24"/>
          <w:lang w:eastAsia="en-US"/>
        </w:rPr>
        <w:t xml:space="preserve">the electric utilities in Dr. Woolridge’s proxy group would </w:t>
      </w:r>
      <w:r w:rsidRPr="00255659">
        <w:rPr>
          <w:color w:val="000000"/>
          <w:szCs w:val="24"/>
          <w:lang w:eastAsia="en-US"/>
        </w:rPr>
        <w:t>exceed</w:t>
      </w:r>
      <w:r w:rsidR="008271D6">
        <w:rPr>
          <w:color w:val="000000"/>
          <w:szCs w:val="24"/>
          <w:lang w:eastAsia="en-US"/>
        </w:rPr>
        <w:t xml:space="preserve">, in perpetuity, </w:t>
      </w:r>
      <w:r w:rsidRPr="00255659">
        <w:rPr>
          <w:color w:val="000000"/>
          <w:szCs w:val="24"/>
          <w:lang w:eastAsia="en-US"/>
        </w:rPr>
        <w:t xml:space="preserve">what </w:t>
      </w:r>
      <w:r w:rsidR="008271D6">
        <w:rPr>
          <w:color w:val="000000"/>
          <w:szCs w:val="24"/>
          <w:lang w:eastAsia="en-US"/>
        </w:rPr>
        <w:t xml:space="preserve">Dr. Wooldridge </w:t>
      </w:r>
      <w:r w:rsidRPr="00255659">
        <w:rPr>
          <w:color w:val="000000"/>
          <w:szCs w:val="24"/>
          <w:lang w:eastAsia="en-US"/>
        </w:rPr>
        <w:t xml:space="preserve">has determined to be their </w:t>
      </w:r>
      <w:r w:rsidR="008271D6">
        <w:rPr>
          <w:color w:val="000000"/>
          <w:szCs w:val="24"/>
          <w:lang w:eastAsia="en-US"/>
        </w:rPr>
        <w:t xml:space="preserve">returns on </w:t>
      </w:r>
      <w:r w:rsidRPr="00255659">
        <w:rPr>
          <w:color w:val="000000"/>
          <w:szCs w:val="24"/>
          <w:lang w:eastAsia="en-US"/>
        </w:rPr>
        <w:t>equity.</w:t>
      </w:r>
      <w:r w:rsidR="00287C5A">
        <w:rPr>
          <w:color w:val="000000"/>
          <w:szCs w:val="24"/>
          <w:lang w:eastAsia="en-US"/>
        </w:rPr>
        <w:t xml:space="preserve"> </w:t>
      </w:r>
      <w:r w:rsidR="008271D6">
        <w:rPr>
          <w:color w:val="000000"/>
          <w:szCs w:val="24"/>
          <w:lang w:eastAsia="en-US"/>
        </w:rPr>
        <w:t>In other words</w:t>
      </w:r>
      <w:r w:rsidRPr="00255659">
        <w:rPr>
          <w:color w:val="000000"/>
          <w:szCs w:val="24"/>
          <w:lang w:eastAsia="en-US"/>
        </w:rPr>
        <w:t xml:space="preserve">, </w:t>
      </w:r>
      <w:r w:rsidR="006B5168" w:rsidRPr="00255659">
        <w:rPr>
          <w:lang w:eastAsia="en-US"/>
        </w:rPr>
        <w:t>Dr.</w:t>
      </w:r>
      <w:r w:rsidR="006B5168">
        <w:rPr>
          <w:lang w:eastAsia="en-US"/>
        </w:rPr>
        <w:t> </w:t>
      </w:r>
      <w:r w:rsidRPr="00255659">
        <w:rPr>
          <w:color w:val="000000"/>
          <w:szCs w:val="24"/>
          <w:lang w:eastAsia="en-US"/>
        </w:rPr>
        <w:t xml:space="preserve">Woolridge is assuming that these </w:t>
      </w:r>
      <w:r w:rsidR="008271D6">
        <w:rPr>
          <w:color w:val="000000"/>
          <w:szCs w:val="24"/>
          <w:lang w:eastAsia="en-US"/>
        </w:rPr>
        <w:t xml:space="preserve">electric utilities </w:t>
      </w:r>
      <w:r w:rsidRPr="00255659">
        <w:rPr>
          <w:color w:val="000000"/>
          <w:szCs w:val="24"/>
          <w:lang w:eastAsia="en-US"/>
        </w:rPr>
        <w:t xml:space="preserve">will earn </w:t>
      </w:r>
      <w:r w:rsidR="008271D6">
        <w:rPr>
          <w:color w:val="000000"/>
          <w:szCs w:val="24"/>
          <w:lang w:eastAsia="en-US"/>
        </w:rPr>
        <w:t xml:space="preserve">actual returns on equity that are higher than the allowed returns on equity authorized </w:t>
      </w:r>
      <w:r w:rsidRPr="00255659">
        <w:rPr>
          <w:color w:val="000000"/>
          <w:szCs w:val="24"/>
          <w:lang w:eastAsia="en-US"/>
        </w:rPr>
        <w:t xml:space="preserve">by </w:t>
      </w:r>
      <w:r w:rsidR="008271D6">
        <w:rPr>
          <w:color w:val="000000"/>
          <w:szCs w:val="24"/>
          <w:lang w:eastAsia="en-US"/>
        </w:rPr>
        <w:t xml:space="preserve">state utility </w:t>
      </w:r>
      <w:r w:rsidRPr="00255659">
        <w:rPr>
          <w:color w:val="000000"/>
          <w:szCs w:val="24"/>
          <w:lang w:eastAsia="en-US"/>
        </w:rPr>
        <w:t>regulators and reflected in rates.</w:t>
      </w:r>
    </w:p>
    <w:p w:rsidR="000B6B59" w:rsidRDefault="008271D6" w:rsidP="00540A76">
      <w:pPr>
        <w:pStyle w:val="answer"/>
        <w:ind w:firstLine="0"/>
        <w:rPr>
          <w:color w:val="000000"/>
          <w:szCs w:val="24"/>
          <w:lang w:eastAsia="en-US"/>
        </w:rPr>
      </w:pPr>
      <w:r>
        <w:rPr>
          <w:color w:val="000000"/>
          <w:szCs w:val="24"/>
          <w:lang w:eastAsia="en-US"/>
        </w:rPr>
        <w:t xml:space="preserve">Although </w:t>
      </w:r>
      <w:r w:rsidR="00AA31D3" w:rsidRPr="00255659">
        <w:rPr>
          <w:color w:val="000000"/>
          <w:szCs w:val="24"/>
          <w:lang w:eastAsia="en-US"/>
        </w:rPr>
        <w:t>th</w:t>
      </w:r>
      <w:r>
        <w:rPr>
          <w:color w:val="000000"/>
          <w:szCs w:val="24"/>
          <w:lang w:eastAsia="en-US"/>
        </w:rPr>
        <w:t>e</w:t>
      </w:r>
      <w:r w:rsidR="00AA31D3" w:rsidRPr="00255659">
        <w:rPr>
          <w:color w:val="000000"/>
          <w:szCs w:val="24"/>
          <w:lang w:eastAsia="en-US"/>
        </w:rPr>
        <w:t xml:space="preserve"> scenario implicit in </w:t>
      </w:r>
      <w:r w:rsidR="006B5168" w:rsidRPr="00255659">
        <w:rPr>
          <w:lang w:eastAsia="en-US"/>
        </w:rPr>
        <w:t>Dr.</w:t>
      </w:r>
      <w:r w:rsidR="006B5168">
        <w:rPr>
          <w:lang w:eastAsia="en-US"/>
        </w:rPr>
        <w:t> </w:t>
      </w:r>
      <w:r w:rsidR="00AA31D3" w:rsidRPr="00255659">
        <w:rPr>
          <w:color w:val="000000"/>
          <w:szCs w:val="24"/>
          <w:lang w:eastAsia="en-US"/>
        </w:rPr>
        <w:t>Woolridge</w:t>
      </w:r>
      <w:r w:rsidR="00255659">
        <w:rPr>
          <w:color w:val="000000"/>
          <w:szCs w:val="24"/>
          <w:lang w:eastAsia="en-US"/>
        </w:rPr>
        <w:t>’</w:t>
      </w:r>
      <w:r w:rsidR="00AA31D3" w:rsidRPr="00255659">
        <w:rPr>
          <w:color w:val="000000"/>
          <w:szCs w:val="24"/>
          <w:lang w:eastAsia="en-US"/>
        </w:rPr>
        <w:t xml:space="preserve">s </w:t>
      </w:r>
      <w:r w:rsidR="00AA31D3" w:rsidRPr="00255659">
        <w:rPr>
          <w:szCs w:val="24"/>
          <w:lang w:eastAsia="en-US"/>
        </w:rPr>
        <w:t>sustainable</w:t>
      </w:r>
      <w:r w:rsidR="00AA31D3" w:rsidRPr="00255659">
        <w:rPr>
          <w:color w:val="000000"/>
          <w:szCs w:val="24"/>
          <w:lang w:eastAsia="en-US"/>
        </w:rPr>
        <w:t xml:space="preserve"> growth method may be imaginable for an unregulated company, it is implausible to assume for a regulated company whose rates are continually re-set by </w:t>
      </w:r>
      <w:r>
        <w:rPr>
          <w:color w:val="000000"/>
          <w:szCs w:val="24"/>
          <w:lang w:eastAsia="en-US"/>
        </w:rPr>
        <w:t xml:space="preserve">state utility </w:t>
      </w:r>
      <w:r w:rsidR="00AA31D3" w:rsidRPr="00255659">
        <w:rPr>
          <w:color w:val="000000"/>
          <w:szCs w:val="24"/>
          <w:lang w:eastAsia="en-US"/>
        </w:rPr>
        <w:t>regulator</w:t>
      </w:r>
      <w:r>
        <w:rPr>
          <w:color w:val="000000"/>
          <w:szCs w:val="24"/>
          <w:lang w:eastAsia="en-US"/>
        </w:rPr>
        <w:t>s</w:t>
      </w:r>
      <w:r w:rsidR="00AA31D3" w:rsidRPr="00255659">
        <w:rPr>
          <w:color w:val="000000"/>
          <w:szCs w:val="24"/>
          <w:lang w:eastAsia="en-US"/>
        </w:rPr>
        <w:t xml:space="preserve"> at a level designed to permit the </w:t>
      </w:r>
      <w:r>
        <w:rPr>
          <w:color w:val="000000"/>
          <w:szCs w:val="24"/>
          <w:lang w:eastAsia="en-US"/>
        </w:rPr>
        <w:t xml:space="preserve">utility </w:t>
      </w:r>
      <w:r w:rsidR="00AA31D3" w:rsidRPr="00255659">
        <w:rPr>
          <w:color w:val="000000"/>
          <w:szCs w:val="24"/>
          <w:lang w:eastAsia="en-US"/>
        </w:rPr>
        <w:t>to earn a return equal to its cost of capital.</w:t>
      </w:r>
      <w:r w:rsidR="00287C5A">
        <w:rPr>
          <w:color w:val="000000"/>
          <w:szCs w:val="24"/>
          <w:lang w:eastAsia="en-US"/>
        </w:rPr>
        <w:t xml:space="preserve"> </w:t>
      </w:r>
      <w:r w:rsidR="000B6B59" w:rsidRPr="00255659">
        <w:rPr>
          <w:color w:val="000000"/>
          <w:szCs w:val="24"/>
          <w:lang w:eastAsia="en-US"/>
        </w:rPr>
        <w:t>The only way that</w:t>
      </w:r>
      <w:r w:rsidR="000B6B59">
        <w:rPr>
          <w:color w:val="000000"/>
          <w:szCs w:val="24"/>
          <w:lang w:eastAsia="en-US"/>
        </w:rPr>
        <w:t xml:space="preserve"> the electric utilities in Dr. Woolridge’s proxy group could plausibly </w:t>
      </w:r>
      <w:r w:rsidR="000B6B59" w:rsidRPr="00255659">
        <w:rPr>
          <w:color w:val="000000"/>
          <w:szCs w:val="24"/>
          <w:lang w:eastAsia="en-US"/>
        </w:rPr>
        <w:t xml:space="preserve">earn </w:t>
      </w:r>
      <w:r w:rsidR="000B6B59">
        <w:rPr>
          <w:color w:val="000000"/>
          <w:szCs w:val="24"/>
          <w:lang w:eastAsia="en-US"/>
        </w:rPr>
        <w:t xml:space="preserve">returns on equity in a range between </w:t>
      </w:r>
      <w:r w:rsidR="000B6B59" w:rsidRPr="00255659">
        <w:rPr>
          <w:color w:val="000000"/>
          <w:szCs w:val="24"/>
          <w:lang w:eastAsia="en-US"/>
        </w:rPr>
        <w:t>10.0</w:t>
      </w:r>
      <w:r w:rsidR="000B6B59">
        <w:rPr>
          <w:color w:val="000000"/>
          <w:szCs w:val="24"/>
          <w:lang w:eastAsia="en-US"/>
        </w:rPr>
        <w:t xml:space="preserve"> and 10.8 percent </w:t>
      </w:r>
      <w:r w:rsidR="000B6B59" w:rsidRPr="00255659">
        <w:rPr>
          <w:color w:val="000000"/>
          <w:szCs w:val="24"/>
          <w:lang w:eastAsia="en-US"/>
        </w:rPr>
        <w:t xml:space="preserve">is if </w:t>
      </w:r>
      <w:r w:rsidR="000B6B59">
        <w:rPr>
          <w:color w:val="000000"/>
          <w:szCs w:val="24"/>
          <w:lang w:eastAsia="en-US"/>
        </w:rPr>
        <w:t xml:space="preserve">state regulators set </w:t>
      </w:r>
      <w:r w:rsidR="000B6B59" w:rsidRPr="00255659">
        <w:rPr>
          <w:color w:val="000000"/>
          <w:szCs w:val="24"/>
          <w:lang w:eastAsia="en-US"/>
        </w:rPr>
        <w:t xml:space="preserve">rates </w:t>
      </w:r>
      <w:r w:rsidR="000B6B59">
        <w:rPr>
          <w:color w:val="000000"/>
          <w:szCs w:val="24"/>
          <w:lang w:eastAsia="en-US"/>
        </w:rPr>
        <w:t xml:space="preserve">based on allowed returns of equity of between </w:t>
      </w:r>
      <w:r w:rsidR="000B6B59" w:rsidRPr="00255659">
        <w:rPr>
          <w:color w:val="000000"/>
          <w:szCs w:val="24"/>
          <w:lang w:eastAsia="en-US"/>
        </w:rPr>
        <w:t>10.0</w:t>
      </w:r>
      <w:r w:rsidR="000B6B59">
        <w:rPr>
          <w:color w:val="000000"/>
          <w:szCs w:val="24"/>
          <w:lang w:eastAsia="en-US"/>
        </w:rPr>
        <w:t xml:space="preserve"> and 10.8 percent</w:t>
      </w:r>
      <w:r w:rsidR="000B6B59" w:rsidRPr="00255659">
        <w:rPr>
          <w:color w:val="000000"/>
          <w:szCs w:val="24"/>
          <w:lang w:eastAsia="en-US"/>
        </w:rPr>
        <w:t>.</w:t>
      </w:r>
      <w:r w:rsidR="000B6B59">
        <w:rPr>
          <w:color w:val="000000"/>
          <w:szCs w:val="24"/>
          <w:lang w:eastAsia="en-US"/>
        </w:rPr>
        <w:t xml:space="preserve"> </w:t>
      </w:r>
      <w:r w:rsidR="000B6B59" w:rsidRPr="00255659">
        <w:rPr>
          <w:color w:val="000000"/>
          <w:szCs w:val="24"/>
          <w:lang w:eastAsia="en-US"/>
        </w:rPr>
        <w:t xml:space="preserve">The only logical conclusion to be drawn from the data </w:t>
      </w:r>
      <w:r w:rsidR="001F7858" w:rsidRPr="00255659">
        <w:rPr>
          <w:color w:val="000000"/>
          <w:szCs w:val="24"/>
          <w:lang w:eastAsia="en-US"/>
        </w:rPr>
        <w:t xml:space="preserve">in </w:t>
      </w:r>
      <w:r w:rsidR="001F7858" w:rsidRPr="00255659">
        <w:rPr>
          <w:lang w:eastAsia="en-US"/>
        </w:rPr>
        <w:t>Dr.</w:t>
      </w:r>
      <w:r w:rsidR="001F7858">
        <w:rPr>
          <w:lang w:eastAsia="en-US"/>
        </w:rPr>
        <w:t> </w:t>
      </w:r>
      <w:r w:rsidR="001F7858" w:rsidRPr="00255659">
        <w:rPr>
          <w:color w:val="000000"/>
          <w:szCs w:val="24"/>
          <w:lang w:eastAsia="en-US"/>
        </w:rPr>
        <w:t>Woolridge</w:t>
      </w:r>
      <w:r w:rsidR="001F7858">
        <w:rPr>
          <w:color w:val="000000"/>
          <w:szCs w:val="24"/>
          <w:lang w:eastAsia="en-US"/>
        </w:rPr>
        <w:t>’</w:t>
      </w:r>
      <w:r w:rsidR="001F7858" w:rsidRPr="00255659">
        <w:rPr>
          <w:color w:val="000000"/>
          <w:szCs w:val="24"/>
          <w:lang w:eastAsia="en-US"/>
        </w:rPr>
        <w:t xml:space="preserve">s </w:t>
      </w:r>
      <w:r w:rsidR="001F7858" w:rsidRPr="00255659">
        <w:rPr>
          <w:szCs w:val="24"/>
          <w:lang w:eastAsia="en-US"/>
        </w:rPr>
        <w:t>sustainable</w:t>
      </w:r>
      <w:r w:rsidR="001F7858" w:rsidRPr="00255659">
        <w:rPr>
          <w:color w:val="000000"/>
          <w:szCs w:val="24"/>
          <w:lang w:eastAsia="en-US"/>
        </w:rPr>
        <w:t xml:space="preserve"> growth analysis </w:t>
      </w:r>
      <w:r w:rsidR="000B6B59" w:rsidRPr="00255659">
        <w:rPr>
          <w:color w:val="000000"/>
          <w:szCs w:val="24"/>
          <w:lang w:eastAsia="en-US"/>
        </w:rPr>
        <w:t xml:space="preserve">is that the </w:t>
      </w:r>
      <w:r w:rsidR="001F7858">
        <w:rPr>
          <w:color w:val="000000"/>
          <w:szCs w:val="24"/>
          <w:lang w:eastAsia="en-US"/>
        </w:rPr>
        <w:t xml:space="preserve">allowed returns on equity </w:t>
      </w:r>
      <w:r w:rsidR="001F7858">
        <w:rPr>
          <w:color w:val="000000"/>
          <w:szCs w:val="24"/>
          <w:lang w:eastAsia="en-US"/>
        </w:rPr>
        <w:lastRenderedPageBreak/>
        <w:t xml:space="preserve">for the electric utilities in Dr. Woolridge’s proxy group are within the range of between </w:t>
      </w:r>
      <w:r w:rsidR="001F7858" w:rsidRPr="00255659">
        <w:rPr>
          <w:color w:val="000000"/>
          <w:szCs w:val="24"/>
          <w:lang w:eastAsia="en-US"/>
        </w:rPr>
        <w:t>10.0</w:t>
      </w:r>
      <w:r w:rsidR="001F7858">
        <w:rPr>
          <w:color w:val="000000"/>
          <w:szCs w:val="24"/>
          <w:lang w:eastAsia="en-US"/>
        </w:rPr>
        <w:t xml:space="preserve"> and 10.8 percent</w:t>
      </w:r>
      <w:r w:rsidR="000B6B59" w:rsidRPr="00255659">
        <w:rPr>
          <w:color w:val="000000"/>
          <w:szCs w:val="24"/>
          <w:lang w:eastAsia="en-US"/>
        </w:rPr>
        <w:t>.</w:t>
      </w:r>
    </w:p>
    <w:p w:rsidR="00AA31D3" w:rsidRPr="00255659" w:rsidRDefault="00AA31D3" w:rsidP="00540A76">
      <w:pPr>
        <w:pStyle w:val="answer"/>
        <w:ind w:firstLine="0"/>
        <w:rPr>
          <w:color w:val="000000"/>
          <w:szCs w:val="24"/>
          <w:lang w:eastAsia="en-US"/>
        </w:rPr>
      </w:pPr>
      <w:r w:rsidRPr="00255659">
        <w:rPr>
          <w:color w:val="000000"/>
          <w:szCs w:val="24"/>
          <w:lang w:eastAsia="en-US"/>
        </w:rPr>
        <w:t>Th</w:t>
      </w:r>
      <w:r w:rsidR="001F7858">
        <w:rPr>
          <w:color w:val="000000"/>
          <w:szCs w:val="24"/>
          <w:lang w:eastAsia="en-US"/>
        </w:rPr>
        <w:t xml:space="preserve">e </w:t>
      </w:r>
      <w:r w:rsidRPr="00255659">
        <w:rPr>
          <w:color w:val="000000"/>
          <w:szCs w:val="24"/>
          <w:lang w:eastAsia="en-US"/>
        </w:rPr>
        <w:t xml:space="preserve">logical flaw </w:t>
      </w:r>
      <w:r w:rsidR="001F7858">
        <w:rPr>
          <w:color w:val="000000"/>
          <w:szCs w:val="24"/>
          <w:lang w:eastAsia="en-US"/>
        </w:rPr>
        <w:t xml:space="preserve">discussed above </w:t>
      </w:r>
      <w:r w:rsidRPr="00255659">
        <w:rPr>
          <w:color w:val="000000"/>
          <w:szCs w:val="24"/>
          <w:lang w:eastAsia="en-US"/>
        </w:rPr>
        <w:t xml:space="preserve">compromises the integrity of </w:t>
      </w:r>
      <w:r w:rsidR="006B5168" w:rsidRPr="00255659">
        <w:rPr>
          <w:lang w:eastAsia="en-US"/>
        </w:rPr>
        <w:t>Dr.</w:t>
      </w:r>
      <w:r w:rsidR="006B5168">
        <w:rPr>
          <w:lang w:eastAsia="en-US"/>
        </w:rPr>
        <w:t> </w:t>
      </w:r>
      <w:r w:rsidRPr="00255659">
        <w:rPr>
          <w:color w:val="000000"/>
          <w:szCs w:val="24"/>
          <w:lang w:eastAsia="en-US"/>
        </w:rPr>
        <w:t>Woolridge</w:t>
      </w:r>
      <w:r w:rsidR="00255659">
        <w:rPr>
          <w:color w:val="000000"/>
          <w:szCs w:val="24"/>
          <w:lang w:eastAsia="en-US"/>
        </w:rPr>
        <w:t>’</w:t>
      </w:r>
      <w:r w:rsidRPr="00255659">
        <w:rPr>
          <w:color w:val="000000"/>
          <w:szCs w:val="24"/>
          <w:lang w:eastAsia="en-US"/>
        </w:rPr>
        <w:t xml:space="preserve">s </w:t>
      </w:r>
      <w:r w:rsidR="000B6B59">
        <w:rPr>
          <w:color w:val="000000"/>
          <w:szCs w:val="24"/>
          <w:lang w:eastAsia="en-US"/>
        </w:rPr>
        <w:t>sustainable growth methodology</w:t>
      </w:r>
      <w:r w:rsidRPr="00255659">
        <w:rPr>
          <w:color w:val="000000"/>
          <w:szCs w:val="24"/>
          <w:lang w:eastAsia="en-US"/>
        </w:rPr>
        <w:t xml:space="preserve">, and should be a sufficient basis for rejecting the results produced by this </w:t>
      </w:r>
      <w:r w:rsidR="000B6B59">
        <w:rPr>
          <w:color w:val="000000"/>
          <w:szCs w:val="24"/>
          <w:lang w:eastAsia="en-US"/>
        </w:rPr>
        <w:t>methodology</w:t>
      </w:r>
      <w:r w:rsidRPr="00255659">
        <w:rPr>
          <w:color w:val="000000"/>
          <w:szCs w:val="24"/>
          <w:lang w:eastAsia="en-US"/>
        </w:rPr>
        <w:t>.</w:t>
      </w:r>
      <w:r w:rsidR="000B6B59">
        <w:rPr>
          <w:color w:val="000000"/>
          <w:szCs w:val="24"/>
          <w:lang w:eastAsia="en-US"/>
        </w:rPr>
        <w:t xml:space="preserve"> In essence, by using an assumed return on equity as an input for a formula to calculate a different return on equity, </w:t>
      </w:r>
      <w:r w:rsidR="006B5168" w:rsidRPr="00255659">
        <w:rPr>
          <w:lang w:eastAsia="en-US"/>
        </w:rPr>
        <w:t>Dr.</w:t>
      </w:r>
      <w:r w:rsidR="006B5168">
        <w:rPr>
          <w:lang w:eastAsia="en-US"/>
        </w:rPr>
        <w:t> </w:t>
      </w:r>
      <w:r w:rsidRPr="00255659">
        <w:rPr>
          <w:color w:val="000000"/>
          <w:szCs w:val="24"/>
          <w:lang w:eastAsia="en-US"/>
        </w:rPr>
        <w:t xml:space="preserve">Woolridge </w:t>
      </w:r>
      <w:r w:rsidR="000B6B59">
        <w:rPr>
          <w:color w:val="000000"/>
          <w:szCs w:val="24"/>
          <w:lang w:eastAsia="en-US"/>
        </w:rPr>
        <w:t xml:space="preserve">would </w:t>
      </w:r>
      <w:r w:rsidRPr="00255659">
        <w:rPr>
          <w:color w:val="000000"/>
          <w:szCs w:val="24"/>
          <w:lang w:eastAsia="en-US"/>
        </w:rPr>
        <w:t xml:space="preserve">require the Commission to make two inconsistent findings regarding </w:t>
      </w:r>
      <w:r w:rsidR="000B6B59">
        <w:rPr>
          <w:color w:val="000000"/>
          <w:szCs w:val="24"/>
          <w:lang w:eastAsia="en-US"/>
        </w:rPr>
        <w:t>the appropriate return on equity for PSE</w:t>
      </w:r>
      <w:r w:rsidRPr="00255659">
        <w:rPr>
          <w:color w:val="000000"/>
          <w:szCs w:val="24"/>
          <w:lang w:eastAsia="en-US"/>
        </w:rPr>
        <w:t>.</w:t>
      </w:r>
      <w:r w:rsidR="00287C5A">
        <w:rPr>
          <w:color w:val="000000"/>
          <w:szCs w:val="24"/>
          <w:lang w:eastAsia="en-US"/>
        </w:rPr>
        <w:t xml:space="preserve"> </w:t>
      </w:r>
      <w:r w:rsidR="000B6B59">
        <w:rPr>
          <w:color w:val="000000"/>
          <w:szCs w:val="24"/>
          <w:lang w:eastAsia="en-US"/>
        </w:rPr>
        <w:t xml:space="preserve">It is </w:t>
      </w:r>
      <w:r w:rsidRPr="00255659">
        <w:rPr>
          <w:color w:val="000000"/>
          <w:szCs w:val="24"/>
          <w:lang w:eastAsia="en-US"/>
        </w:rPr>
        <w:t>perplex</w:t>
      </w:r>
      <w:r w:rsidR="000B6B59">
        <w:rPr>
          <w:color w:val="000000"/>
          <w:szCs w:val="24"/>
          <w:lang w:eastAsia="en-US"/>
        </w:rPr>
        <w:t>ing</w:t>
      </w:r>
      <w:r w:rsidRPr="00255659">
        <w:rPr>
          <w:color w:val="000000"/>
          <w:szCs w:val="24"/>
          <w:lang w:eastAsia="en-US"/>
        </w:rPr>
        <w:t xml:space="preserve"> </w:t>
      </w:r>
      <w:r w:rsidR="000B6B59">
        <w:rPr>
          <w:color w:val="000000"/>
          <w:szCs w:val="24"/>
          <w:lang w:eastAsia="en-US"/>
        </w:rPr>
        <w:t xml:space="preserve">how </w:t>
      </w:r>
      <w:r w:rsidR="006B5168" w:rsidRPr="00255659">
        <w:rPr>
          <w:lang w:eastAsia="en-US"/>
        </w:rPr>
        <w:t>Dr.</w:t>
      </w:r>
      <w:r w:rsidR="006B5168">
        <w:rPr>
          <w:lang w:eastAsia="en-US"/>
        </w:rPr>
        <w:t> </w:t>
      </w:r>
      <w:r w:rsidRPr="00255659">
        <w:rPr>
          <w:color w:val="000000"/>
          <w:szCs w:val="24"/>
          <w:lang w:eastAsia="en-US"/>
        </w:rPr>
        <w:t xml:space="preserve">Woolridge </w:t>
      </w:r>
      <w:r w:rsidR="000B6B59">
        <w:rPr>
          <w:color w:val="000000"/>
          <w:szCs w:val="24"/>
          <w:lang w:eastAsia="en-US"/>
        </w:rPr>
        <w:t>would assume</w:t>
      </w:r>
      <w:r w:rsidRPr="00255659">
        <w:rPr>
          <w:color w:val="000000"/>
          <w:szCs w:val="24"/>
          <w:lang w:eastAsia="en-US"/>
        </w:rPr>
        <w:t xml:space="preserve"> that his </w:t>
      </w:r>
      <w:r w:rsidR="000B6B59">
        <w:rPr>
          <w:color w:val="000000"/>
          <w:szCs w:val="24"/>
          <w:lang w:eastAsia="en-US"/>
        </w:rPr>
        <w:t xml:space="preserve">proxy group of </w:t>
      </w:r>
      <w:r w:rsidRPr="00255659">
        <w:rPr>
          <w:color w:val="000000"/>
          <w:szCs w:val="24"/>
          <w:lang w:eastAsia="en-US"/>
        </w:rPr>
        <w:t xml:space="preserve">comparable electric utilities </w:t>
      </w:r>
      <w:r w:rsidR="000B6B59">
        <w:rPr>
          <w:color w:val="000000"/>
          <w:szCs w:val="24"/>
          <w:lang w:eastAsia="en-US"/>
        </w:rPr>
        <w:t xml:space="preserve">would be </w:t>
      </w:r>
      <w:r w:rsidRPr="00255659">
        <w:rPr>
          <w:color w:val="000000"/>
          <w:szCs w:val="24"/>
          <w:lang w:eastAsia="en-US"/>
        </w:rPr>
        <w:t xml:space="preserve">expected to earn </w:t>
      </w:r>
      <w:r w:rsidR="000B6B59">
        <w:rPr>
          <w:color w:val="000000"/>
          <w:szCs w:val="24"/>
          <w:lang w:eastAsia="en-US"/>
        </w:rPr>
        <w:t xml:space="preserve">between </w:t>
      </w:r>
      <w:r w:rsidRPr="00255659">
        <w:rPr>
          <w:color w:val="000000"/>
          <w:szCs w:val="24"/>
          <w:lang w:eastAsia="en-US"/>
        </w:rPr>
        <w:t>10.0</w:t>
      </w:r>
      <w:r w:rsidR="000B6B59">
        <w:rPr>
          <w:color w:val="000000"/>
          <w:szCs w:val="24"/>
          <w:lang w:eastAsia="en-US"/>
        </w:rPr>
        <w:t xml:space="preserve"> and </w:t>
      </w:r>
      <w:r w:rsidRPr="00255659">
        <w:rPr>
          <w:color w:val="000000"/>
          <w:szCs w:val="24"/>
          <w:lang w:eastAsia="en-US"/>
        </w:rPr>
        <w:t>10.8</w:t>
      </w:r>
      <w:r w:rsidR="000B6B59">
        <w:rPr>
          <w:color w:val="000000"/>
          <w:szCs w:val="24"/>
          <w:lang w:eastAsia="en-US"/>
        </w:rPr>
        <w:t xml:space="preserve"> percent </w:t>
      </w:r>
      <w:r w:rsidRPr="00255659">
        <w:rPr>
          <w:color w:val="000000"/>
          <w:szCs w:val="24"/>
          <w:lang w:eastAsia="en-US"/>
        </w:rPr>
        <w:t xml:space="preserve">forever, </w:t>
      </w:r>
      <w:r w:rsidR="000B6B59">
        <w:rPr>
          <w:color w:val="000000"/>
          <w:szCs w:val="24"/>
          <w:lang w:eastAsia="en-US"/>
        </w:rPr>
        <w:t xml:space="preserve">but </w:t>
      </w:r>
      <w:r w:rsidR="000B6B59" w:rsidRPr="00255659">
        <w:rPr>
          <w:lang w:eastAsia="en-US"/>
        </w:rPr>
        <w:t>Dr.</w:t>
      </w:r>
      <w:r w:rsidR="000B6B59">
        <w:rPr>
          <w:lang w:eastAsia="en-US"/>
        </w:rPr>
        <w:t> </w:t>
      </w:r>
      <w:r w:rsidR="000B6B59" w:rsidRPr="00255659">
        <w:rPr>
          <w:color w:val="000000"/>
          <w:szCs w:val="24"/>
          <w:lang w:eastAsia="en-US"/>
        </w:rPr>
        <w:t xml:space="preserve">Woolridge </w:t>
      </w:r>
      <w:r w:rsidR="000B6B59">
        <w:rPr>
          <w:color w:val="000000"/>
          <w:szCs w:val="24"/>
          <w:lang w:eastAsia="en-US"/>
        </w:rPr>
        <w:t xml:space="preserve">recommends a return of equity of only </w:t>
      </w:r>
      <w:r w:rsidRPr="00255659">
        <w:rPr>
          <w:color w:val="000000"/>
          <w:szCs w:val="24"/>
          <w:lang w:eastAsia="en-US"/>
        </w:rPr>
        <w:t>8.85</w:t>
      </w:r>
      <w:r w:rsidR="000B6B59">
        <w:rPr>
          <w:color w:val="000000"/>
          <w:szCs w:val="24"/>
          <w:lang w:eastAsia="en-US"/>
        </w:rPr>
        <w:t xml:space="preserve"> percent </w:t>
      </w:r>
      <w:r w:rsidRPr="00255659">
        <w:rPr>
          <w:color w:val="000000"/>
          <w:szCs w:val="24"/>
          <w:lang w:eastAsia="en-US"/>
        </w:rPr>
        <w:t xml:space="preserve">for </w:t>
      </w:r>
      <w:r w:rsidR="000B6B59">
        <w:rPr>
          <w:color w:val="000000"/>
          <w:szCs w:val="24"/>
          <w:lang w:eastAsia="en-US"/>
        </w:rPr>
        <w:t>PSE</w:t>
      </w:r>
      <w:r w:rsidRPr="00255659">
        <w:rPr>
          <w:color w:val="000000"/>
          <w:szCs w:val="24"/>
          <w:lang w:eastAsia="en-US"/>
        </w:rPr>
        <w:t>.</w:t>
      </w:r>
    </w:p>
    <w:p w:rsidR="00AA31D3" w:rsidRPr="00255659" w:rsidRDefault="00AA31D3" w:rsidP="00540A76">
      <w:pPr>
        <w:pStyle w:val="question"/>
      </w:pPr>
      <w:r w:rsidRPr="00255659">
        <w:rPr>
          <w:lang w:eastAsia="en-US"/>
        </w:rPr>
        <w:t>Q.</w:t>
      </w:r>
      <w:r w:rsidRPr="00255659">
        <w:rPr>
          <w:lang w:eastAsia="en-US"/>
        </w:rPr>
        <w:tab/>
      </w:r>
      <w:r w:rsidR="003C7909" w:rsidRPr="00255659">
        <w:rPr>
          <w:lang w:eastAsia="en-US"/>
        </w:rPr>
        <w:t xml:space="preserve">Is the </w:t>
      </w:r>
      <w:r w:rsidR="001F7858" w:rsidRPr="00255659">
        <w:rPr>
          <w:lang w:eastAsia="en-US"/>
        </w:rPr>
        <w:t xml:space="preserve">sustainable growth methodology </w:t>
      </w:r>
      <w:r w:rsidR="001F7858">
        <w:rPr>
          <w:lang w:eastAsia="en-US"/>
        </w:rPr>
        <w:t xml:space="preserve">used by Dr. Woolridge </w:t>
      </w:r>
      <w:r w:rsidR="003C7909" w:rsidRPr="00255659">
        <w:rPr>
          <w:lang w:eastAsia="en-US"/>
        </w:rPr>
        <w:t>consistent with empirical evidence</w:t>
      </w:r>
      <w:r w:rsidRPr="00255659">
        <w:rPr>
          <w:lang w:eastAsia="en-US"/>
        </w:rPr>
        <w:t>?</w:t>
      </w:r>
    </w:p>
    <w:p w:rsidR="00AA31D3" w:rsidRPr="00255659" w:rsidRDefault="00AA31D3" w:rsidP="00540A76">
      <w:pPr>
        <w:pStyle w:val="answer"/>
      </w:pPr>
      <w:r w:rsidRPr="00255659">
        <w:t>A.</w:t>
      </w:r>
      <w:r w:rsidRPr="00255659">
        <w:tab/>
        <w:t>No.</w:t>
      </w:r>
      <w:r w:rsidR="00287C5A">
        <w:t xml:space="preserve"> </w:t>
      </w:r>
      <w:r w:rsidRPr="00255659">
        <w:t xml:space="preserve">The third difficulty with the </w:t>
      </w:r>
      <w:r w:rsidR="001F7858" w:rsidRPr="00255659">
        <w:rPr>
          <w:lang w:eastAsia="en-US"/>
        </w:rPr>
        <w:t xml:space="preserve">sustainable growth methodology </w:t>
      </w:r>
      <w:r w:rsidRPr="00255659">
        <w:t xml:space="preserve">is that the empirical finance literature demonstrates this particular method of determining growth </w:t>
      </w:r>
      <w:r w:rsidR="001F7858">
        <w:t>(i) </w:t>
      </w:r>
      <w:r w:rsidRPr="00255659">
        <w:t>is a very poor explanatory variable of market value</w:t>
      </w:r>
      <w:r w:rsidR="001F7858">
        <w:t xml:space="preserve"> </w:t>
      </w:r>
      <w:r w:rsidRPr="00255659">
        <w:t xml:space="preserve">and </w:t>
      </w:r>
      <w:r w:rsidR="001F7858">
        <w:t>(ii) </w:t>
      </w:r>
      <w:r w:rsidRPr="00255659">
        <w:t>is not as significantly correlated to measures of value, such as stock pr</w:t>
      </w:r>
      <w:r w:rsidR="003C7909" w:rsidRPr="00255659">
        <w:t>ice and price/earnings ratios.</w:t>
      </w:r>
    </w:p>
    <w:p w:rsidR="00AA31D3" w:rsidRPr="00255659" w:rsidRDefault="00AA31D3" w:rsidP="00540A76">
      <w:pPr>
        <w:pStyle w:val="question"/>
      </w:pPr>
      <w:r w:rsidRPr="00255659">
        <w:rPr>
          <w:lang w:eastAsia="en-US"/>
        </w:rPr>
        <w:lastRenderedPageBreak/>
        <w:t>Q.</w:t>
      </w:r>
      <w:r w:rsidRPr="00255659">
        <w:rPr>
          <w:lang w:eastAsia="en-US"/>
        </w:rPr>
        <w:tab/>
      </w:r>
      <w:r w:rsidR="003C7909" w:rsidRPr="00255659">
        <w:rPr>
          <w:lang w:eastAsia="en-US"/>
        </w:rPr>
        <w:t xml:space="preserve">Are </w:t>
      </w:r>
      <w:r w:rsidR="001F7858">
        <w:rPr>
          <w:lang w:eastAsia="en-US"/>
        </w:rPr>
        <w:t xml:space="preserve">the return on equity </w:t>
      </w:r>
      <w:r w:rsidR="003C7909" w:rsidRPr="00255659">
        <w:rPr>
          <w:lang w:eastAsia="en-US"/>
        </w:rPr>
        <w:t xml:space="preserve">and retention ratio </w:t>
      </w:r>
      <w:r w:rsidR="001F7858">
        <w:rPr>
          <w:lang w:eastAsia="en-US"/>
        </w:rPr>
        <w:t xml:space="preserve">forecasts reported by </w:t>
      </w:r>
      <w:r w:rsidR="00B97282" w:rsidRPr="00255659">
        <w:rPr>
          <w:lang w:eastAsia="en-US"/>
        </w:rPr>
        <w:t>Value Line</w:t>
      </w:r>
      <w:r w:rsidR="001F7858" w:rsidRPr="00255659">
        <w:rPr>
          <w:lang w:eastAsia="en-US"/>
        </w:rPr>
        <w:t xml:space="preserve"> </w:t>
      </w:r>
      <w:r w:rsidR="003C7909" w:rsidRPr="00255659">
        <w:rPr>
          <w:lang w:eastAsia="en-US"/>
        </w:rPr>
        <w:t>representative of the market consensus</w:t>
      </w:r>
      <w:r w:rsidRPr="00255659">
        <w:rPr>
          <w:lang w:eastAsia="en-US"/>
        </w:rPr>
        <w:t>?</w:t>
      </w:r>
    </w:p>
    <w:p w:rsidR="00AA31D3" w:rsidRPr="00255659" w:rsidRDefault="00AA31D3" w:rsidP="00540A76">
      <w:pPr>
        <w:pStyle w:val="answer"/>
      </w:pPr>
      <w:r w:rsidRPr="00255659">
        <w:rPr>
          <w:szCs w:val="24"/>
          <w:lang w:eastAsia="en-US"/>
        </w:rPr>
        <w:t>A.</w:t>
      </w:r>
      <w:r w:rsidRPr="00255659">
        <w:rPr>
          <w:szCs w:val="24"/>
          <w:lang w:eastAsia="en-US"/>
        </w:rPr>
        <w:tab/>
        <w:t>No.</w:t>
      </w:r>
      <w:r w:rsidR="00287C5A">
        <w:rPr>
          <w:szCs w:val="24"/>
          <w:lang w:eastAsia="en-US"/>
        </w:rPr>
        <w:t xml:space="preserve"> </w:t>
      </w:r>
      <w:r w:rsidRPr="00255659">
        <w:rPr>
          <w:szCs w:val="24"/>
          <w:lang w:eastAsia="en-US"/>
        </w:rPr>
        <w:t xml:space="preserve">The fourth difficulty with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 xml:space="preserve">s internal growth rates is that exclusive reliance on </w:t>
      </w:r>
      <w:r w:rsidR="00B97282" w:rsidRPr="00255659">
        <w:rPr>
          <w:lang w:eastAsia="en-US"/>
        </w:rPr>
        <w:t>Value Line</w:t>
      </w:r>
      <w:r w:rsidRPr="00255659">
        <w:rPr>
          <w:szCs w:val="24"/>
          <w:lang w:eastAsia="en-US"/>
        </w:rPr>
        <w:t xml:space="preserve"> forecasts of </w:t>
      </w:r>
      <w:r w:rsidR="00D34596">
        <w:rPr>
          <w:szCs w:val="24"/>
          <w:lang w:eastAsia="en-US"/>
        </w:rPr>
        <w:t xml:space="preserve">returns on equity </w:t>
      </w:r>
      <w:r w:rsidRPr="00255659">
        <w:rPr>
          <w:szCs w:val="24"/>
          <w:lang w:eastAsia="en-US"/>
        </w:rPr>
        <w:t>and retention ratio</w:t>
      </w:r>
      <w:r w:rsidR="00D34596">
        <w:rPr>
          <w:szCs w:val="24"/>
          <w:lang w:eastAsia="en-US"/>
        </w:rPr>
        <w:t>s</w:t>
      </w:r>
      <w:r w:rsidRPr="00255659">
        <w:rPr>
          <w:szCs w:val="24"/>
          <w:lang w:eastAsia="en-US"/>
        </w:rPr>
        <w:t xml:space="preserve"> runs the risk that such forecasts are not representative of investors</w:t>
      </w:r>
      <w:r w:rsidR="00255659">
        <w:rPr>
          <w:szCs w:val="24"/>
          <w:lang w:eastAsia="en-US"/>
        </w:rPr>
        <w:t>’</w:t>
      </w:r>
      <w:r w:rsidRPr="00255659">
        <w:rPr>
          <w:szCs w:val="24"/>
          <w:lang w:eastAsia="en-US"/>
        </w:rPr>
        <w:t xml:space="preserve"> consensus forecast.</w:t>
      </w:r>
    </w:p>
    <w:p w:rsidR="00AA31D3" w:rsidRPr="00255659" w:rsidRDefault="00AA31D3" w:rsidP="00540A76">
      <w:pPr>
        <w:pStyle w:val="question"/>
      </w:pPr>
      <w:r w:rsidRPr="00255659">
        <w:t>Q.</w:t>
      </w:r>
      <w:r w:rsidRPr="00255659">
        <w:tab/>
      </w:r>
      <w:r w:rsidR="003C7909" w:rsidRPr="00255659">
        <w:t xml:space="preserve">Please discuss the fifth problem with </w:t>
      </w:r>
      <w:r w:rsidR="006B5168" w:rsidRPr="00255659">
        <w:rPr>
          <w:lang w:eastAsia="en-US"/>
        </w:rPr>
        <w:t>Dr.</w:t>
      </w:r>
      <w:r w:rsidR="006B5168">
        <w:rPr>
          <w:lang w:eastAsia="en-US"/>
        </w:rPr>
        <w:t> </w:t>
      </w:r>
      <w:r w:rsidR="003C7909" w:rsidRPr="00255659">
        <w:t>Woolridge</w:t>
      </w:r>
      <w:r w:rsidR="00255659">
        <w:t>’</w:t>
      </w:r>
      <w:r w:rsidR="003C7909" w:rsidRPr="00255659">
        <w:t xml:space="preserve">s </w:t>
      </w:r>
      <w:r w:rsidR="00D34596" w:rsidRPr="00255659">
        <w:rPr>
          <w:lang w:eastAsia="en-US"/>
        </w:rPr>
        <w:t xml:space="preserve">sustainable growth methodology </w:t>
      </w:r>
      <w:r w:rsidR="003C7909" w:rsidRPr="00255659">
        <w:t>estimates</w:t>
      </w:r>
      <w:r w:rsidRPr="00255659">
        <w:t>.</w:t>
      </w:r>
    </w:p>
    <w:p w:rsidR="00AA31D3" w:rsidRPr="00255659" w:rsidRDefault="00AA31D3" w:rsidP="00540A76">
      <w:pPr>
        <w:pStyle w:val="answer"/>
        <w:rPr>
          <w:szCs w:val="24"/>
          <w:lang w:eastAsia="en-US"/>
        </w:rPr>
      </w:pPr>
      <w:r w:rsidRPr="00255659">
        <w:rPr>
          <w:szCs w:val="24"/>
          <w:lang w:eastAsia="en-US"/>
        </w:rPr>
        <w:t>A.</w:t>
      </w:r>
      <w:r w:rsidRPr="00255659">
        <w:rPr>
          <w:szCs w:val="24"/>
          <w:lang w:eastAsia="en-US"/>
        </w:rPr>
        <w:tab/>
        <w:t xml:space="preserve">The fifth difficulty with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 xml:space="preserve">s </w:t>
      </w:r>
      <w:r w:rsidR="00D34596" w:rsidRPr="00255659">
        <w:rPr>
          <w:lang w:eastAsia="en-US"/>
        </w:rPr>
        <w:t xml:space="preserve">sustainable growth methodology </w:t>
      </w:r>
      <w:r w:rsidRPr="00255659">
        <w:rPr>
          <w:szCs w:val="24"/>
          <w:lang w:eastAsia="en-US"/>
        </w:rPr>
        <w:t xml:space="preserve">is that the forecasts of the expected return on equity published by </w:t>
      </w:r>
      <w:r w:rsidR="00B97282" w:rsidRPr="00255659">
        <w:rPr>
          <w:lang w:eastAsia="en-US"/>
        </w:rPr>
        <w:t>Value Line</w:t>
      </w:r>
      <w:r w:rsidR="00D34596">
        <w:rPr>
          <w:szCs w:val="24"/>
          <w:lang w:eastAsia="en-US"/>
        </w:rPr>
        <w:t xml:space="preserve"> are based on end</w:t>
      </w:r>
      <w:r w:rsidRPr="00255659">
        <w:rPr>
          <w:szCs w:val="24"/>
          <w:lang w:eastAsia="en-US"/>
        </w:rPr>
        <w:t>-of-period book equity rather than on average book equity.</w:t>
      </w:r>
      <w:r w:rsidR="00287C5A">
        <w:rPr>
          <w:szCs w:val="24"/>
          <w:lang w:eastAsia="en-US"/>
        </w:rPr>
        <w:t xml:space="preserve"> </w:t>
      </w:r>
      <w:r w:rsidR="00D34596">
        <w:rPr>
          <w:szCs w:val="24"/>
          <w:lang w:eastAsia="en-US"/>
        </w:rPr>
        <w:t xml:space="preserve">The following formula </w:t>
      </w:r>
      <w:r w:rsidRPr="00255659">
        <w:rPr>
          <w:szCs w:val="24"/>
          <w:lang w:eastAsia="en-US"/>
        </w:rPr>
        <w:t>adjusts the reported end-of-year values so that they are based on average common equity, which is the common regulatory practice:</w:t>
      </w:r>
      <w:r w:rsidR="00D34596">
        <w:rPr>
          <w:rStyle w:val="FootnoteReference"/>
          <w:szCs w:val="24"/>
          <w:lang w:eastAsia="en-US"/>
        </w:rPr>
        <w:footnoteReference w:id="12"/>
      </w:r>
    </w:p>
    <w:tbl>
      <w:tblPr>
        <w:tblStyle w:val="TableGrid"/>
        <w:tblW w:w="0" w:type="auto"/>
        <w:tblInd w:w="2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472"/>
        <w:gridCol w:w="461"/>
        <w:gridCol w:w="1134"/>
      </w:tblGrid>
      <w:tr w:rsidR="006868DE" w:rsidRPr="00255659" w:rsidTr="006868DE">
        <w:tc>
          <w:tcPr>
            <w:tcW w:w="487" w:type="dxa"/>
            <w:vMerge w:val="restart"/>
            <w:vAlign w:val="center"/>
          </w:tcPr>
          <w:p w:rsidR="006868DE" w:rsidRPr="00255659" w:rsidRDefault="006868DE" w:rsidP="00540A76">
            <w:pPr>
              <w:pStyle w:val="answer"/>
              <w:spacing w:before="60" w:after="60" w:line="240" w:lineRule="auto"/>
              <w:ind w:left="0" w:firstLine="0"/>
              <w:jc w:val="center"/>
              <w:rPr>
                <w:szCs w:val="24"/>
                <w:lang w:eastAsia="en-US"/>
              </w:rPr>
            </w:pPr>
            <w:r w:rsidRPr="00255659">
              <w:rPr>
                <w:szCs w:val="24"/>
                <w:lang w:eastAsia="en-US"/>
              </w:rPr>
              <w:t>r</w:t>
            </w:r>
            <w:r w:rsidRPr="00255659">
              <w:rPr>
                <w:szCs w:val="24"/>
                <w:vertAlign w:val="subscript"/>
                <w:lang w:eastAsia="en-US"/>
              </w:rPr>
              <w:t>a</w:t>
            </w:r>
          </w:p>
        </w:tc>
        <w:tc>
          <w:tcPr>
            <w:tcW w:w="472" w:type="dxa"/>
            <w:vMerge w:val="restart"/>
            <w:vAlign w:val="center"/>
          </w:tcPr>
          <w:p w:rsidR="006868DE" w:rsidRPr="00255659" w:rsidRDefault="006868DE" w:rsidP="00540A76">
            <w:pPr>
              <w:pStyle w:val="answer"/>
              <w:spacing w:before="60" w:after="60" w:line="240" w:lineRule="auto"/>
              <w:ind w:left="0" w:firstLine="0"/>
              <w:jc w:val="center"/>
              <w:rPr>
                <w:szCs w:val="24"/>
                <w:lang w:eastAsia="en-US"/>
              </w:rPr>
            </w:pPr>
            <w:r w:rsidRPr="00255659">
              <w:rPr>
                <w:szCs w:val="24"/>
                <w:lang w:eastAsia="en-US"/>
              </w:rPr>
              <w:t>=</w:t>
            </w:r>
          </w:p>
        </w:tc>
        <w:tc>
          <w:tcPr>
            <w:tcW w:w="461" w:type="dxa"/>
            <w:vMerge w:val="restart"/>
            <w:vAlign w:val="center"/>
          </w:tcPr>
          <w:p w:rsidR="006868DE" w:rsidRPr="00255659" w:rsidRDefault="006868DE" w:rsidP="00540A76">
            <w:pPr>
              <w:pStyle w:val="answer"/>
              <w:spacing w:before="60" w:after="60" w:line="240" w:lineRule="auto"/>
              <w:ind w:left="0" w:firstLine="0"/>
              <w:jc w:val="center"/>
              <w:rPr>
                <w:szCs w:val="24"/>
                <w:lang w:eastAsia="en-US"/>
              </w:rPr>
            </w:pPr>
            <w:r w:rsidRPr="00255659">
              <w:rPr>
                <w:szCs w:val="24"/>
                <w:lang w:eastAsia="en-US"/>
              </w:rPr>
              <w:t>r</w:t>
            </w:r>
            <w:r w:rsidRPr="00255659">
              <w:rPr>
                <w:szCs w:val="24"/>
                <w:vertAlign w:val="subscript"/>
                <w:lang w:eastAsia="en-US"/>
              </w:rPr>
              <w:t>t</w:t>
            </w:r>
          </w:p>
        </w:tc>
        <w:tc>
          <w:tcPr>
            <w:tcW w:w="1134" w:type="dxa"/>
            <w:tcBorders>
              <w:bottom w:val="single" w:sz="4" w:space="0" w:color="auto"/>
            </w:tcBorders>
            <w:vAlign w:val="center"/>
          </w:tcPr>
          <w:p w:rsidR="006868DE" w:rsidRPr="00255659" w:rsidRDefault="006868DE" w:rsidP="00540A76">
            <w:pPr>
              <w:pStyle w:val="answer"/>
              <w:spacing w:before="60" w:after="60" w:line="240" w:lineRule="auto"/>
              <w:ind w:left="0" w:firstLine="0"/>
              <w:jc w:val="center"/>
              <w:rPr>
                <w:szCs w:val="24"/>
                <w:lang w:eastAsia="en-US"/>
              </w:rPr>
            </w:pPr>
            <w:r w:rsidRPr="00255659">
              <w:rPr>
                <w:szCs w:val="24"/>
                <w:lang w:eastAsia="en-US"/>
              </w:rPr>
              <w:t>2B</w:t>
            </w:r>
            <w:r w:rsidRPr="00255659">
              <w:rPr>
                <w:szCs w:val="24"/>
                <w:vertAlign w:val="subscript"/>
                <w:lang w:eastAsia="en-US"/>
              </w:rPr>
              <w:t>t</w:t>
            </w:r>
          </w:p>
        </w:tc>
      </w:tr>
      <w:tr w:rsidR="006868DE" w:rsidRPr="00255659" w:rsidTr="006868DE">
        <w:tc>
          <w:tcPr>
            <w:tcW w:w="487" w:type="dxa"/>
            <w:vMerge/>
            <w:vAlign w:val="center"/>
          </w:tcPr>
          <w:p w:rsidR="006868DE" w:rsidRPr="00255659" w:rsidRDefault="006868DE" w:rsidP="00540A76">
            <w:pPr>
              <w:pStyle w:val="answer"/>
              <w:spacing w:before="60" w:after="60" w:line="240" w:lineRule="auto"/>
              <w:ind w:left="0" w:firstLine="0"/>
              <w:jc w:val="center"/>
              <w:rPr>
                <w:szCs w:val="24"/>
                <w:lang w:eastAsia="en-US"/>
              </w:rPr>
            </w:pPr>
          </w:p>
        </w:tc>
        <w:tc>
          <w:tcPr>
            <w:tcW w:w="472" w:type="dxa"/>
            <w:vMerge/>
            <w:vAlign w:val="center"/>
          </w:tcPr>
          <w:p w:rsidR="006868DE" w:rsidRPr="00255659" w:rsidRDefault="006868DE" w:rsidP="00540A76">
            <w:pPr>
              <w:pStyle w:val="answer"/>
              <w:spacing w:before="60" w:after="60" w:line="240" w:lineRule="auto"/>
              <w:ind w:left="0" w:firstLine="0"/>
              <w:jc w:val="center"/>
              <w:rPr>
                <w:szCs w:val="24"/>
                <w:lang w:eastAsia="en-US"/>
              </w:rPr>
            </w:pPr>
          </w:p>
        </w:tc>
        <w:tc>
          <w:tcPr>
            <w:tcW w:w="461" w:type="dxa"/>
            <w:vMerge/>
            <w:vAlign w:val="center"/>
          </w:tcPr>
          <w:p w:rsidR="006868DE" w:rsidRPr="00255659" w:rsidRDefault="006868DE" w:rsidP="00540A76">
            <w:pPr>
              <w:pStyle w:val="answer"/>
              <w:spacing w:before="60" w:after="60" w:line="240" w:lineRule="auto"/>
              <w:ind w:left="0" w:firstLine="0"/>
              <w:jc w:val="center"/>
              <w:rPr>
                <w:szCs w:val="24"/>
                <w:lang w:eastAsia="en-US"/>
              </w:rPr>
            </w:pPr>
          </w:p>
        </w:tc>
        <w:tc>
          <w:tcPr>
            <w:tcW w:w="1134" w:type="dxa"/>
            <w:tcBorders>
              <w:top w:val="single" w:sz="4" w:space="0" w:color="auto"/>
            </w:tcBorders>
            <w:vAlign w:val="center"/>
          </w:tcPr>
          <w:p w:rsidR="006868DE" w:rsidRPr="00255659" w:rsidRDefault="006868DE" w:rsidP="00540A76">
            <w:pPr>
              <w:pStyle w:val="answer"/>
              <w:spacing w:before="60" w:after="60" w:line="240" w:lineRule="auto"/>
              <w:ind w:left="0" w:firstLine="0"/>
              <w:jc w:val="center"/>
              <w:rPr>
                <w:szCs w:val="24"/>
                <w:lang w:eastAsia="en-US"/>
              </w:rPr>
            </w:pPr>
            <w:r w:rsidRPr="00255659">
              <w:rPr>
                <w:szCs w:val="24"/>
                <w:lang w:eastAsia="en-US"/>
              </w:rPr>
              <w:t>B</w:t>
            </w:r>
            <w:r w:rsidRPr="00255659">
              <w:rPr>
                <w:szCs w:val="24"/>
                <w:vertAlign w:val="subscript"/>
                <w:lang w:eastAsia="en-US"/>
              </w:rPr>
              <w:t>t</w:t>
            </w:r>
            <w:r w:rsidRPr="00255659">
              <w:rPr>
                <w:szCs w:val="24"/>
                <w:lang w:eastAsia="en-US"/>
              </w:rPr>
              <w:t xml:space="preserve"> + B</w:t>
            </w:r>
            <w:r w:rsidRPr="00255659">
              <w:rPr>
                <w:szCs w:val="24"/>
                <w:vertAlign w:val="subscript"/>
                <w:lang w:eastAsia="en-US"/>
              </w:rPr>
              <w:t>t-1</w:t>
            </w:r>
          </w:p>
        </w:tc>
      </w:tr>
    </w:tbl>
    <w:p w:rsidR="001B1B6E" w:rsidRPr="00255659" w:rsidRDefault="006868DE" w:rsidP="00540A76">
      <w:pPr>
        <w:pStyle w:val="BlockQuote"/>
        <w:tabs>
          <w:tab w:val="left" w:pos="2520"/>
          <w:tab w:val="left" w:pos="2970"/>
          <w:tab w:val="left" w:pos="3420"/>
        </w:tabs>
        <w:spacing w:before="280" w:after="60"/>
        <w:rPr>
          <w:i w:val="0"/>
          <w:lang w:eastAsia="en-US"/>
        </w:rPr>
      </w:pPr>
      <w:r w:rsidRPr="00255659">
        <w:rPr>
          <w:i w:val="0"/>
          <w:lang w:eastAsia="en-US"/>
        </w:rPr>
        <w:t>Where:</w:t>
      </w:r>
      <w:r w:rsidR="00AA31D3" w:rsidRPr="00255659">
        <w:rPr>
          <w:i w:val="0"/>
          <w:lang w:eastAsia="en-US"/>
        </w:rPr>
        <w:tab/>
        <w:t>r</w:t>
      </w:r>
      <w:r w:rsidR="00AA31D3" w:rsidRPr="00255659">
        <w:rPr>
          <w:i w:val="0"/>
          <w:vertAlign w:val="subscript"/>
          <w:lang w:eastAsia="en-US"/>
        </w:rPr>
        <w:t>a</w:t>
      </w:r>
      <w:r w:rsidR="001B1B6E" w:rsidRPr="00255659">
        <w:rPr>
          <w:i w:val="0"/>
          <w:lang w:eastAsia="en-US"/>
        </w:rPr>
        <w:tab/>
        <w:t>=</w:t>
      </w:r>
      <w:r w:rsidR="001B1B6E" w:rsidRPr="00255659">
        <w:rPr>
          <w:i w:val="0"/>
          <w:lang w:eastAsia="en-US"/>
        </w:rPr>
        <w:tab/>
      </w:r>
      <w:r w:rsidR="00AA31D3" w:rsidRPr="00255659">
        <w:rPr>
          <w:i w:val="0"/>
          <w:lang w:eastAsia="en-US"/>
        </w:rPr>
        <w:t>return on average equity</w:t>
      </w:r>
    </w:p>
    <w:p w:rsidR="001B1B6E" w:rsidRPr="00255659" w:rsidRDefault="00AA31D3" w:rsidP="00540A76">
      <w:pPr>
        <w:pStyle w:val="BlockQuote"/>
        <w:tabs>
          <w:tab w:val="left" w:pos="2520"/>
          <w:tab w:val="left" w:pos="2970"/>
          <w:tab w:val="left" w:pos="3420"/>
        </w:tabs>
        <w:spacing w:after="60"/>
        <w:ind w:left="2520"/>
        <w:rPr>
          <w:i w:val="0"/>
          <w:lang w:eastAsia="en-US"/>
        </w:rPr>
      </w:pPr>
      <w:r w:rsidRPr="00255659">
        <w:rPr>
          <w:i w:val="0"/>
          <w:lang w:eastAsia="en-US"/>
        </w:rPr>
        <w:t>r</w:t>
      </w:r>
      <w:r w:rsidRPr="00255659">
        <w:rPr>
          <w:i w:val="0"/>
          <w:vertAlign w:val="subscript"/>
          <w:lang w:eastAsia="en-US"/>
        </w:rPr>
        <w:t>t</w:t>
      </w:r>
      <w:r w:rsidRPr="00255659">
        <w:rPr>
          <w:i w:val="0"/>
          <w:lang w:eastAsia="en-US"/>
        </w:rPr>
        <w:tab/>
        <w:t>=</w:t>
      </w:r>
      <w:r w:rsidR="001B1B6E" w:rsidRPr="00255659">
        <w:rPr>
          <w:i w:val="0"/>
          <w:lang w:eastAsia="en-US"/>
        </w:rPr>
        <w:tab/>
      </w:r>
      <w:r w:rsidRPr="00255659">
        <w:rPr>
          <w:i w:val="0"/>
          <w:lang w:eastAsia="en-US"/>
        </w:rPr>
        <w:t>return on year-end equity as reported</w:t>
      </w:r>
    </w:p>
    <w:p w:rsidR="001B1B6E" w:rsidRPr="00255659" w:rsidRDefault="00AA31D3" w:rsidP="00540A76">
      <w:pPr>
        <w:pStyle w:val="BlockQuote"/>
        <w:tabs>
          <w:tab w:val="left" w:pos="2970"/>
          <w:tab w:val="left" w:pos="3420"/>
        </w:tabs>
        <w:spacing w:after="60"/>
        <w:ind w:left="3420" w:hanging="900"/>
        <w:rPr>
          <w:i w:val="0"/>
          <w:lang w:eastAsia="en-US"/>
        </w:rPr>
      </w:pPr>
      <w:r w:rsidRPr="00255659">
        <w:rPr>
          <w:i w:val="0"/>
          <w:lang w:eastAsia="en-US"/>
        </w:rPr>
        <w:t>B</w:t>
      </w:r>
      <w:r w:rsidRPr="00255659">
        <w:rPr>
          <w:i w:val="0"/>
          <w:vertAlign w:val="subscript"/>
          <w:lang w:eastAsia="en-US"/>
        </w:rPr>
        <w:t>t</w:t>
      </w:r>
      <w:r w:rsidR="001B1B6E" w:rsidRPr="00255659">
        <w:rPr>
          <w:i w:val="0"/>
          <w:lang w:eastAsia="en-US"/>
        </w:rPr>
        <w:tab/>
        <w:t>=</w:t>
      </w:r>
      <w:r w:rsidR="001B1B6E" w:rsidRPr="00255659">
        <w:rPr>
          <w:i w:val="0"/>
          <w:lang w:eastAsia="en-US"/>
        </w:rPr>
        <w:tab/>
      </w:r>
      <w:r w:rsidRPr="00255659">
        <w:rPr>
          <w:i w:val="0"/>
          <w:lang w:eastAsia="en-US"/>
        </w:rPr>
        <w:t>reported year-end book equity of the current year</w:t>
      </w:r>
    </w:p>
    <w:p w:rsidR="00AA31D3" w:rsidRPr="00255659" w:rsidRDefault="00AA31D3" w:rsidP="00540A76">
      <w:pPr>
        <w:pStyle w:val="BlockQuote"/>
        <w:tabs>
          <w:tab w:val="left" w:pos="2970"/>
          <w:tab w:val="left" w:pos="3420"/>
        </w:tabs>
        <w:spacing w:after="60"/>
        <w:ind w:left="3420" w:hanging="900"/>
        <w:rPr>
          <w:i w:val="0"/>
          <w:lang w:eastAsia="en-US"/>
        </w:rPr>
      </w:pPr>
      <w:r w:rsidRPr="00255659">
        <w:rPr>
          <w:i w:val="0"/>
          <w:lang w:eastAsia="en-US"/>
        </w:rPr>
        <w:t>B</w:t>
      </w:r>
      <w:r w:rsidRPr="00255659">
        <w:rPr>
          <w:i w:val="0"/>
          <w:vertAlign w:val="subscript"/>
          <w:lang w:eastAsia="en-US"/>
        </w:rPr>
        <w:t>t-1</w:t>
      </w:r>
      <w:r w:rsidR="001B1B6E" w:rsidRPr="00255659">
        <w:rPr>
          <w:i w:val="0"/>
          <w:lang w:eastAsia="en-US"/>
        </w:rPr>
        <w:tab/>
      </w:r>
      <w:r w:rsidRPr="00255659">
        <w:rPr>
          <w:i w:val="0"/>
          <w:lang w:eastAsia="en-US"/>
        </w:rPr>
        <w:t>=</w:t>
      </w:r>
      <w:r w:rsidR="001B1B6E" w:rsidRPr="00255659">
        <w:rPr>
          <w:i w:val="0"/>
          <w:lang w:eastAsia="en-US"/>
        </w:rPr>
        <w:tab/>
      </w:r>
      <w:r w:rsidRPr="00255659">
        <w:rPr>
          <w:i w:val="0"/>
          <w:lang w:eastAsia="en-US"/>
        </w:rPr>
        <w:t>reported year-end book equity of the previous year</w:t>
      </w:r>
    </w:p>
    <w:p w:rsidR="008242E9" w:rsidRDefault="00AA31D3" w:rsidP="00540A76">
      <w:pPr>
        <w:pStyle w:val="answer"/>
        <w:spacing w:before="280"/>
        <w:ind w:firstLine="0"/>
        <w:rPr>
          <w:szCs w:val="24"/>
          <w:lang w:eastAsia="en-US"/>
        </w:rPr>
      </w:pPr>
      <w:r w:rsidRPr="00255659">
        <w:rPr>
          <w:szCs w:val="24"/>
          <w:lang w:eastAsia="en-US"/>
        </w:rPr>
        <w:lastRenderedPageBreak/>
        <w:t xml:space="preserve">The result of this error is that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s DCF estimates are understated by some 10-20 basis points</w:t>
      </w:r>
      <w:r w:rsidR="008242E9">
        <w:rPr>
          <w:szCs w:val="24"/>
          <w:lang w:eastAsia="en-US"/>
        </w:rPr>
        <w:t xml:space="preserve"> (i.e., 0.1 to 0.2 percent)</w:t>
      </w:r>
      <w:r w:rsidRPr="00255659">
        <w:rPr>
          <w:szCs w:val="24"/>
          <w:lang w:eastAsia="en-US"/>
        </w:rPr>
        <w:t>, depending on the magnitude of the book value growth rate.</w:t>
      </w:r>
    </w:p>
    <w:p w:rsidR="008242E9" w:rsidRPr="00255659" w:rsidRDefault="008242E9" w:rsidP="00540A76">
      <w:pPr>
        <w:pStyle w:val="question"/>
      </w:pPr>
      <w:r w:rsidRPr="00255659">
        <w:rPr>
          <w:snapToGrid w:val="0"/>
          <w:lang w:eastAsia="en-US"/>
        </w:rPr>
        <w:t>Q.</w:t>
      </w:r>
      <w:r w:rsidRPr="00255659">
        <w:rPr>
          <w:snapToGrid w:val="0"/>
          <w:lang w:eastAsia="en-US"/>
        </w:rPr>
        <w:tab/>
        <w:t xml:space="preserve">What do you conclude from </w:t>
      </w:r>
      <w:r w:rsidRPr="00255659">
        <w:rPr>
          <w:lang w:eastAsia="en-US"/>
        </w:rPr>
        <w:t>Dr.</w:t>
      </w:r>
      <w:r>
        <w:rPr>
          <w:lang w:eastAsia="en-US"/>
        </w:rPr>
        <w:t> </w:t>
      </w:r>
      <w:r w:rsidRPr="00255659">
        <w:rPr>
          <w:snapToGrid w:val="0"/>
          <w:lang w:eastAsia="en-US"/>
        </w:rPr>
        <w:t>Woolridge</w:t>
      </w:r>
      <w:r>
        <w:rPr>
          <w:snapToGrid w:val="0"/>
          <w:lang w:eastAsia="en-US"/>
        </w:rPr>
        <w:t>’</w:t>
      </w:r>
      <w:r w:rsidRPr="00255659">
        <w:rPr>
          <w:snapToGrid w:val="0"/>
          <w:lang w:eastAsia="en-US"/>
        </w:rPr>
        <w:t xml:space="preserve">s use of </w:t>
      </w:r>
      <w:r>
        <w:rPr>
          <w:snapToGrid w:val="0"/>
          <w:lang w:eastAsia="en-US"/>
        </w:rPr>
        <w:t xml:space="preserve">sustainable </w:t>
      </w:r>
      <w:r w:rsidRPr="00255659">
        <w:rPr>
          <w:snapToGrid w:val="0"/>
          <w:lang w:eastAsia="en-US"/>
        </w:rPr>
        <w:t>growth rates?</w:t>
      </w:r>
    </w:p>
    <w:p w:rsidR="008242E9" w:rsidRPr="00255659" w:rsidRDefault="008242E9" w:rsidP="00540A76">
      <w:pPr>
        <w:pStyle w:val="answer"/>
        <w:rPr>
          <w:szCs w:val="24"/>
          <w:lang w:eastAsia="en-US"/>
        </w:rPr>
      </w:pPr>
      <w:r>
        <w:rPr>
          <w:szCs w:val="24"/>
          <w:lang w:eastAsia="en-US"/>
        </w:rPr>
        <w:t>A.</w:t>
      </w:r>
      <w:r>
        <w:rPr>
          <w:szCs w:val="24"/>
          <w:lang w:eastAsia="en-US"/>
        </w:rPr>
        <w:tab/>
        <w:t>T</w:t>
      </w:r>
      <w:r w:rsidRPr="00255659">
        <w:rPr>
          <w:szCs w:val="24"/>
          <w:lang w:eastAsia="en-US"/>
        </w:rPr>
        <w:t xml:space="preserve">he Commission </w:t>
      </w:r>
      <w:r>
        <w:rPr>
          <w:szCs w:val="24"/>
          <w:lang w:eastAsia="en-US"/>
        </w:rPr>
        <w:t xml:space="preserve">should </w:t>
      </w:r>
      <w:r w:rsidRPr="00255659">
        <w:rPr>
          <w:szCs w:val="24"/>
          <w:lang w:eastAsia="en-US"/>
        </w:rPr>
        <w:t xml:space="preserve">reject </w:t>
      </w:r>
      <w:r w:rsidR="00415C8D">
        <w:rPr>
          <w:szCs w:val="24"/>
          <w:lang w:eastAsia="en-US"/>
        </w:rPr>
        <w:t xml:space="preserve">sustainable </w:t>
      </w:r>
      <w:r w:rsidRPr="00255659">
        <w:rPr>
          <w:szCs w:val="24"/>
          <w:lang w:eastAsia="en-US"/>
        </w:rPr>
        <w:t>growth rates as proxies for expected growth in the DCF calculation.</w:t>
      </w:r>
      <w:r>
        <w:rPr>
          <w:szCs w:val="24"/>
          <w:lang w:eastAsia="en-US"/>
        </w:rPr>
        <w:t xml:space="preserve"> </w:t>
      </w:r>
      <w:r w:rsidRPr="00255659">
        <w:rPr>
          <w:szCs w:val="24"/>
          <w:lang w:eastAsia="en-US"/>
        </w:rPr>
        <w:t xml:space="preserve">In fairness to </w:t>
      </w:r>
      <w:r w:rsidRPr="00255659">
        <w:rPr>
          <w:lang w:eastAsia="en-US"/>
        </w:rPr>
        <w:t>Dr.</w:t>
      </w:r>
      <w:r>
        <w:rPr>
          <w:lang w:eastAsia="en-US"/>
        </w:rPr>
        <w:t> </w:t>
      </w:r>
      <w:r w:rsidRPr="00255659">
        <w:rPr>
          <w:szCs w:val="24"/>
          <w:lang w:eastAsia="en-US"/>
        </w:rPr>
        <w:t xml:space="preserve">Woolridge, however, it is not clear from his testimony to what extent, if any, he relied on </w:t>
      </w:r>
      <w:r w:rsidR="00415C8D">
        <w:rPr>
          <w:szCs w:val="24"/>
          <w:lang w:eastAsia="en-US"/>
        </w:rPr>
        <w:t xml:space="preserve">sustainable </w:t>
      </w:r>
      <w:r w:rsidRPr="00255659">
        <w:rPr>
          <w:szCs w:val="24"/>
          <w:lang w:eastAsia="en-US"/>
        </w:rPr>
        <w:t>growth rates in deriving his DCF estimates.</w:t>
      </w:r>
      <w:r>
        <w:rPr>
          <w:rStyle w:val="FootnoteReference"/>
          <w:szCs w:val="24"/>
          <w:lang w:eastAsia="en-US"/>
        </w:rPr>
        <w:footnoteReference w:id="13"/>
      </w:r>
      <w:r w:rsidR="00415C8D">
        <w:rPr>
          <w:szCs w:val="24"/>
          <w:lang w:eastAsia="en-US"/>
        </w:rPr>
        <w:t xml:space="preserve"> Indeed, Dr. Woolridge’s sustainable growth rate of 3.9 percent for his proxy group of electric utilities is substantially lower than Dr. Woolridge’s recommended growth rate of 5.25 percent for the same proxy group.</w:t>
      </w:r>
    </w:p>
    <w:p w:rsidR="00415C8D" w:rsidRDefault="00415C8D" w:rsidP="00540A76">
      <w:pPr>
        <w:pStyle w:val="Heading3"/>
      </w:pPr>
      <w:bookmarkStart w:id="12" w:name="_Toc109272644"/>
      <w:bookmarkStart w:id="13" w:name="_Toc489887863"/>
      <w:r>
        <w:t>4.</w:t>
      </w:r>
      <w:r>
        <w:tab/>
      </w:r>
      <w:r>
        <w:rPr>
          <w:lang w:eastAsia="en-US"/>
        </w:rPr>
        <w:t>Dr</w:t>
      </w:r>
      <w:r w:rsidRPr="00415C8D">
        <w:rPr>
          <w:lang w:eastAsia="en-US"/>
        </w:rPr>
        <w:t xml:space="preserve">. </w:t>
      </w:r>
      <w:r>
        <w:rPr>
          <w:lang w:eastAsia="en-US"/>
        </w:rPr>
        <w:t xml:space="preserve">Woolridge </w:t>
      </w:r>
      <w:r w:rsidRPr="00415C8D">
        <w:rPr>
          <w:lang w:eastAsia="en-US"/>
        </w:rPr>
        <w:t>Uses an Ambiguous and Arbitrary Growth Rate</w:t>
      </w:r>
      <w:r w:rsidR="00477024">
        <w:rPr>
          <w:lang w:eastAsia="en-US"/>
        </w:rPr>
        <w:t>s</w:t>
      </w:r>
      <w:r w:rsidRPr="00415C8D">
        <w:rPr>
          <w:lang w:eastAsia="en-US"/>
        </w:rPr>
        <w:t xml:space="preserve"> in His DCF Analys</w:t>
      </w:r>
      <w:r w:rsidR="00477024">
        <w:rPr>
          <w:lang w:eastAsia="en-US"/>
        </w:rPr>
        <w:t>e</w:t>
      </w:r>
      <w:r w:rsidRPr="00415C8D">
        <w:rPr>
          <w:lang w:eastAsia="en-US"/>
        </w:rPr>
        <w:t>s</w:t>
      </w:r>
      <w:bookmarkEnd w:id="13"/>
      <w:r w:rsidRPr="00415C8D">
        <w:rPr>
          <w:lang w:eastAsia="en-US"/>
        </w:rPr>
        <w:t xml:space="preserve"> </w:t>
      </w:r>
    </w:p>
    <w:bookmarkEnd w:id="12"/>
    <w:p w:rsidR="00AA31D3" w:rsidRPr="00255659" w:rsidRDefault="00AA31D3" w:rsidP="00540A76">
      <w:pPr>
        <w:pStyle w:val="question"/>
      </w:pPr>
      <w:r w:rsidRPr="00255659">
        <w:rPr>
          <w:lang w:eastAsia="en-US"/>
        </w:rPr>
        <w:t>Q.</w:t>
      </w:r>
      <w:r w:rsidRPr="00255659">
        <w:rPr>
          <w:lang w:eastAsia="en-US"/>
        </w:rPr>
        <w:tab/>
      </w:r>
      <w:r w:rsidR="001B1B6E" w:rsidRPr="00255659">
        <w:rPr>
          <w:lang w:eastAsia="en-US"/>
        </w:rPr>
        <w:t xml:space="preserve">Please comment on </w:t>
      </w:r>
      <w:r w:rsidR="006B5168" w:rsidRPr="00255659">
        <w:rPr>
          <w:lang w:eastAsia="en-US"/>
        </w:rPr>
        <w:t>Dr.</w:t>
      </w:r>
      <w:r w:rsidR="006B5168">
        <w:rPr>
          <w:lang w:eastAsia="en-US"/>
        </w:rPr>
        <w:t> </w:t>
      </w:r>
      <w:r w:rsidR="001B1B6E" w:rsidRPr="00255659">
        <w:rPr>
          <w:lang w:eastAsia="en-US"/>
        </w:rPr>
        <w:t>Woolridge</w:t>
      </w:r>
      <w:r w:rsidR="00255659">
        <w:rPr>
          <w:lang w:eastAsia="en-US"/>
        </w:rPr>
        <w:t>’</w:t>
      </w:r>
      <w:r w:rsidR="001B1B6E" w:rsidRPr="00255659">
        <w:rPr>
          <w:lang w:eastAsia="en-US"/>
        </w:rPr>
        <w:t>s growth proxies</w:t>
      </w:r>
      <w:r w:rsidRPr="00255659">
        <w:rPr>
          <w:lang w:eastAsia="en-US"/>
        </w:rPr>
        <w:t>.</w:t>
      </w:r>
    </w:p>
    <w:p w:rsidR="001B1B6E" w:rsidRPr="00255659" w:rsidRDefault="00AA31D3" w:rsidP="00540A76">
      <w:pPr>
        <w:pStyle w:val="answer"/>
        <w:rPr>
          <w:szCs w:val="24"/>
          <w:lang w:eastAsia="en-US"/>
        </w:rPr>
      </w:pPr>
      <w:r w:rsidRPr="00255659">
        <w:rPr>
          <w:szCs w:val="24"/>
          <w:lang w:eastAsia="en-US"/>
        </w:rPr>
        <w:t>A.</w:t>
      </w:r>
      <w:r w:rsidRPr="00255659">
        <w:rPr>
          <w:szCs w:val="24"/>
          <w:lang w:eastAsia="en-US"/>
        </w:rPr>
        <w:tab/>
        <w:t xml:space="preserve">As </w:t>
      </w:r>
      <w:r w:rsidR="00477024">
        <w:rPr>
          <w:szCs w:val="24"/>
          <w:lang w:eastAsia="en-US"/>
        </w:rPr>
        <w:t xml:space="preserve">previously </w:t>
      </w:r>
      <w:r w:rsidRPr="00255659">
        <w:rPr>
          <w:szCs w:val="24"/>
          <w:lang w:eastAsia="en-US"/>
        </w:rPr>
        <w:t>shown on Table</w:t>
      </w:r>
      <w:r w:rsidR="00477024">
        <w:rPr>
          <w:szCs w:val="24"/>
          <w:lang w:eastAsia="en-US"/>
        </w:rPr>
        <w:t> </w:t>
      </w:r>
      <w:r w:rsidRPr="00255659">
        <w:rPr>
          <w:szCs w:val="24"/>
          <w:lang w:eastAsia="en-US"/>
        </w:rPr>
        <w:t xml:space="preserve">2, the average and median </w:t>
      </w:r>
      <w:r w:rsidR="00477024">
        <w:rPr>
          <w:szCs w:val="24"/>
          <w:lang w:eastAsia="en-US"/>
        </w:rPr>
        <w:t xml:space="preserve">of the thirteen </w:t>
      </w:r>
      <w:r w:rsidRPr="00255659">
        <w:rPr>
          <w:szCs w:val="24"/>
          <w:lang w:eastAsia="en-US"/>
        </w:rPr>
        <w:t>growth rate</w:t>
      </w:r>
      <w:r w:rsidR="00477024">
        <w:rPr>
          <w:szCs w:val="24"/>
          <w:lang w:eastAsia="en-US"/>
        </w:rPr>
        <w:t>s</w:t>
      </w:r>
      <w:r w:rsidRPr="00255659">
        <w:rPr>
          <w:szCs w:val="24"/>
          <w:lang w:eastAsia="en-US"/>
        </w:rPr>
        <w:t xml:space="preserve"> </w:t>
      </w:r>
      <w:r w:rsidR="00477024">
        <w:rPr>
          <w:szCs w:val="24"/>
          <w:lang w:eastAsia="en-US"/>
        </w:rPr>
        <w:t xml:space="preserve">used by Dr. Woolridge </w:t>
      </w:r>
      <w:r w:rsidR="00477024" w:rsidRPr="00255659">
        <w:rPr>
          <w:szCs w:val="24"/>
          <w:lang w:eastAsia="en-US"/>
        </w:rPr>
        <w:t xml:space="preserve">for the electric utilities </w:t>
      </w:r>
      <w:r w:rsidR="00477024">
        <w:rPr>
          <w:szCs w:val="24"/>
          <w:lang w:eastAsia="en-US"/>
        </w:rPr>
        <w:t xml:space="preserve">in his proxy group </w:t>
      </w:r>
      <w:r w:rsidRPr="00255659">
        <w:rPr>
          <w:szCs w:val="24"/>
          <w:lang w:eastAsia="en-US"/>
        </w:rPr>
        <w:t>are 4.7</w:t>
      </w:r>
      <w:r w:rsidR="00477024">
        <w:rPr>
          <w:szCs w:val="24"/>
          <w:lang w:eastAsia="en-US"/>
        </w:rPr>
        <w:t xml:space="preserve"> </w:t>
      </w:r>
      <w:r w:rsidRPr="00255659">
        <w:rPr>
          <w:szCs w:val="24"/>
          <w:lang w:eastAsia="en-US"/>
        </w:rPr>
        <w:t>and 4.8</w:t>
      </w:r>
      <w:r w:rsidR="00477024">
        <w:rPr>
          <w:szCs w:val="24"/>
          <w:lang w:eastAsia="en-US"/>
        </w:rPr>
        <w:t xml:space="preserve"> percent, respectively.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 xml:space="preserve">s </w:t>
      </w:r>
      <w:r w:rsidR="00477024">
        <w:rPr>
          <w:szCs w:val="24"/>
          <w:lang w:eastAsia="en-US"/>
        </w:rPr>
        <w:t xml:space="preserve">recommended growth rate </w:t>
      </w:r>
      <w:r w:rsidR="00477024" w:rsidRPr="00255659">
        <w:rPr>
          <w:szCs w:val="24"/>
          <w:lang w:eastAsia="en-US"/>
        </w:rPr>
        <w:t xml:space="preserve">for the electric utilities </w:t>
      </w:r>
      <w:r w:rsidR="00477024">
        <w:rPr>
          <w:szCs w:val="24"/>
          <w:lang w:eastAsia="en-US"/>
        </w:rPr>
        <w:t xml:space="preserve">in his proxy group, however, is </w:t>
      </w:r>
      <w:r w:rsidRPr="00255659">
        <w:rPr>
          <w:szCs w:val="24"/>
          <w:lang w:eastAsia="en-US"/>
        </w:rPr>
        <w:t>5.25</w:t>
      </w:r>
      <w:r w:rsidR="00477024">
        <w:rPr>
          <w:szCs w:val="24"/>
          <w:lang w:eastAsia="en-US"/>
        </w:rPr>
        <w:t> percent</w:t>
      </w:r>
      <w:r w:rsidRPr="00255659">
        <w:rPr>
          <w:szCs w:val="24"/>
          <w:lang w:eastAsia="en-US"/>
        </w:rPr>
        <w:t>.</w:t>
      </w:r>
      <w:r w:rsidR="00287C5A">
        <w:rPr>
          <w:szCs w:val="24"/>
          <w:lang w:eastAsia="en-US"/>
        </w:rPr>
        <w:t xml:space="preserve"> </w:t>
      </w:r>
      <w:r w:rsidRPr="00255659">
        <w:rPr>
          <w:szCs w:val="24"/>
          <w:lang w:eastAsia="en-US"/>
        </w:rPr>
        <w:t xml:space="preserve">It is not clear as to why </w:t>
      </w:r>
      <w:r w:rsidR="006B5168" w:rsidRPr="00255659">
        <w:rPr>
          <w:lang w:eastAsia="en-US"/>
        </w:rPr>
        <w:t>Dr.</w:t>
      </w:r>
      <w:r w:rsidR="006B5168">
        <w:rPr>
          <w:lang w:eastAsia="en-US"/>
        </w:rPr>
        <w:t> </w:t>
      </w:r>
      <w:r w:rsidRPr="00255659">
        <w:rPr>
          <w:szCs w:val="24"/>
          <w:lang w:eastAsia="en-US"/>
        </w:rPr>
        <w:t>Woolridge chose 5.25</w:t>
      </w:r>
      <w:r w:rsidR="00477024">
        <w:rPr>
          <w:szCs w:val="24"/>
          <w:lang w:eastAsia="en-US"/>
        </w:rPr>
        <w:t> percent as the recommended growth rate</w:t>
      </w:r>
      <w:r w:rsidRPr="00255659">
        <w:rPr>
          <w:szCs w:val="24"/>
          <w:lang w:eastAsia="en-US"/>
        </w:rPr>
        <w:t xml:space="preserve"> when </w:t>
      </w:r>
      <w:r w:rsidRPr="00255659">
        <w:rPr>
          <w:szCs w:val="24"/>
          <w:lang w:eastAsia="en-US"/>
        </w:rPr>
        <w:lastRenderedPageBreak/>
        <w:t xml:space="preserve">twelve of the thirteen growth rates </w:t>
      </w:r>
      <w:r w:rsidR="00477024">
        <w:rPr>
          <w:szCs w:val="24"/>
          <w:lang w:eastAsia="en-US"/>
        </w:rPr>
        <w:t xml:space="preserve">reported by Dr. Woolridge for that proxy group </w:t>
      </w:r>
      <w:r w:rsidRPr="00255659">
        <w:rPr>
          <w:szCs w:val="24"/>
          <w:lang w:eastAsia="en-US"/>
        </w:rPr>
        <w:t>are significantly less than 5.25</w:t>
      </w:r>
      <w:r w:rsidR="00477024">
        <w:rPr>
          <w:szCs w:val="24"/>
          <w:lang w:eastAsia="en-US"/>
        </w:rPr>
        <w:t> percent.</w:t>
      </w:r>
    </w:p>
    <w:p w:rsidR="00F51B93" w:rsidRDefault="00AA31D3" w:rsidP="00540A76">
      <w:pPr>
        <w:pStyle w:val="answer"/>
        <w:ind w:firstLine="0"/>
        <w:rPr>
          <w:szCs w:val="24"/>
          <w:lang w:eastAsia="en-US"/>
        </w:rPr>
      </w:pPr>
      <w:r w:rsidRPr="00255659">
        <w:rPr>
          <w:szCs w:val="24"/>
          <w:lang w:eastAsia="en-US"/>
        </w:rPr>
        <w:t xml:space="preserve">The same is true for </w:t>
      </w:r>
      <w:r w:rsidR="006B5168" w:rsidRPr="00255659">
        <w:rPr>
          <w:lang w:eastAsia="en-US"/>
        </w:rPr>
        <w:t>Dr.</w:t>
      </w:r>
      <w:r w:rsidR="006B5168">
        <w:rPr>
          <w:lang w:eastAsia="en-US"/>
        </w:rPr>
        <w:t> </w:t>
      </w:r>
      <w:r w:rsidRPr="00255659">
        <w:rPr>
          <w:szCs w:val="24"/>
          <w:lang w:eastAsia="en-US"/>
        </w:rPr>
        <w:t>Woolridge</w:t>
      </w:r>
      <w:r w:rsidR="00484125">
        <w:rPr>
          <w:szCs w:val="24"/>
          <w:lang w:eastAsia="en-US"/>
        </w:rPr>
        <w:t>’s</w:t>
      </w:r>
      <w:r w:rsidRPr="00255659">
        <w:rPr>
          <w:szCs w:val="24"/>
          <w:lang w:eastAsia="en-US"/>
        </w:rPr>
        <w:t xml:space="preserve"> other two </w:t>
      </w:r>
      <w:r w:rsidR="00477024">
        <w:rPr>
          <w:szCs w:val="24"/>
          <w:lang w:eastAsia="en-US"/>
        </w:rPr>
        <w:t xml:space="preserve">proxy </w:t>
      </w:r>
      <w:r w:rsidRPr="00255659">
        <w:rPr>
          <w:szCs w:val="24"/>
          <w:lang w:eastAsia="en-US"/>
        </w:rPr>
        <w:t>groups.</w:t>
      </w:r>
      <w:r w:rsidR="00287C5A">
        <w:rPr>
          <w:szCs w:val="24"/>
          <w:lang w:eastAsia="en-US"/>
        </w:rPr>
        <w:t xml:space="preserve"> </w:t>
      </w:r>
      <w:r w:rsidRPr="00255659">
        <w:rPr>
          <w:szCs w:val="24"/>
          <w:lang w:eastAsia="en-US"/>
        </w:rPr>
        <w:t>Table</w:t>
      </w:r>
      <w:r w:rsidR="00477024">
        <w:rPr>
          <w:szCs w:val="24"/>
          <w:lang w:eastAsia="en-US"/>
        </w:rPr>
        <w:t> </w:t>
      </w:r>
      <w:r w:rsidRPr="00255659">
        <w:rPr>
          <w:szCs w:val="24"/>
          <w:lang w:eastAsia="en-US"/>
        </w:rPr>
        <w:t>3</w:t>
      </w:r>
      <w:r w:rsidR="00F51B93">
        <w:rPr>
          <w:szCs w:val="24"/>
          <w:lang w:eastAsia="en-US"/>
        </w:rPr>
        <w:t>,</w:t>
      </w:r>
      <w:r w:rsidRPr="00255659">
        <w:rPr>
          <w:szCs w:val="24"/>
          <w:lang w:eastAsia="en-US"/>
        </w:rPr>
        <w:t xml:space="preserve"> repeated below</w:t>
      </w:r>
      <w:r w:rsidR="00F51B93">
        <w:rPr>
          <w:szCs w:val="24"/>
          <w:lang w:eastAsia="en-US"/>
        </w:rPr>
        <w:t>,</w:t>
      </w:r>
      <w:r w:rsidRPr="00255659">
        <w:rPr>
          <w:szCs w:val="24"/>
          <w:lang w:eastAsia="en-US"/>
        </w:rPr>
        <w:t xml:space="preserve"> replicates </w:t>
      </w:r>
      <w:r w:rsidR="006B5168" w:rsidRPr="00255659">
        <w:rPr>
          <w:lang w:eastAsia="en-US"/>
        </w:rPr>
        <w:t>Dr.</w:t>
      </w:r>
      <w:r w:rsidR="006B5168">
        <w:rPr>
          <w:lang w:eastAsia="en-US"/>
        </w:rPr>
        <w:t> </w:t>
      </w:r>
      <w:r w:rsidRPr="00255659">
        <w:rPr>
          <w:szCs w:val="24"/>
          <w:lang w:eastAsia="en-US"/>
        </w:rPr>
        <w:t>Woolridge</w:t>
      </w:r>
      <w:r w:rsidR="00484125">
        <w:rPr>
          <w:szCs w:val="24"/>
          <w:lang w:eastAsia="en-US"/>
        </w:rPr>
        <w:t>’s</w:t>
      </w:r>
      <w:r w:rsidRPr="00255659">
        <w:rPr>
          <w:szCs w:val="24"/>
          <w:lang w:eastAsia="en-US"/>
        </w:rPr>
        <w:t xml:space="preserve"> growth rates for his three </w:t>
      </w:r>
      <w:r w:rsidR="00477024">
        <w:rPr>
          <w:szCs w:val="24"/>
          <w:lang w:eastAsia="en-US"/>
        </w:rPr>
        <w:t xml:space="preserve">proxy </w:t>
      </w:r>
      <w:r w:rsidRPr="00255659">
        <w:rPr>
          <w:szCs w:val="24"/>
          <w:lang w:eastAsia="en-US"/>
        </w:rPr>
        <w:t>groups of utilities</w:t>
      </w:r>
      <w:r w:rsidR="00F51B93">
        <w:rPr>
          <w:szCs w:val="24"/>
          <w:lang w:eastAsia="en-US"/>
        </w:rPr>
        <w:t xml:space="preserve"> and adds Dr. Woolridge’s recommended growth rates for each of the proxy groups.</w:t>
      </w:r>
    </w:p>
    <w:p w:rsidR="00F51B93" w:rsidRPr="000F37FB" w:rsidRDefault="00F51B93" w:rsidP="00540A76">
      <w:pPr>
        <w:pStyle w:val="TableHeading"/>
        <w:ind w:left="90" w:right="90"/>
      </w:pPr>
      <w:r w:rsidRPr="000F37FB">
        <w:rPr>
          <w:bCs/>
        </w:rPr>
        <w:t>Table</w:t>
      </w:r>
      <w:r>
        <w:rPr>
          <w:bCs/>
        </w:rPr>
        <w:t> </w:t>
      </w:r>
      <w:r w:rsidRPr="000F37FB">
        <w:rPr>
          <w:bCs/>
        </w:rPr>
        <w:t>3</w:t>
      </w:r>
      <w:r w:rsidRPr="000F37FB">
        <w:t>. Dr. </w:t>
      </w:r>
      <w:r w:rsidRPr="000F37FB">
        <w:rPr>
          <w:bCs/>
        </w:rPr>
        <w:t>Woolridge DCF Growth Rate Indicators</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205"/>
        <w:gridCol w:w="1205"/>
        <w:gridCol w:w="1205"/>
      </w:tblGrid>
      <w:tr w:rsidR="00F51B93" w:rsidRPr="00917A4F" w:rsidTr="0015009B">
        <w:trPr>
          <w:trHeight w:val="340"/>
          <w:jc w:val="center"/>
        </w:trPr>
        <w:tc>
          <w:tcPr>
            <w:tcW w:w="3279" w:type="dxa"/>
            <w:shd w:val="clear" w:color="auto" w:fill="D9D9D9" w:themeFill="background1" w:themeFillShade="D9"/>
            <w:noWrap/>
            <w:vAlign w:val="center"/>
            <w:hideMark/>
          </w:tcPr>
          <w:p w:rsidR="00F51B93" w:rsidRPr="00917A4F" w:rsidRDefault="00F51B93" w:rsidP="00540A76">
            <w:pPr>
              <w:keepNext/>
              <w:keepLines/>
              <w:autoSpaceDN w:val="0"/>
              <w:spacing w:before="60" w:after="60" w:line="240" w:lineRule="auto"/>
              <w:ind w:firstLine="0"/>
              <w:jc w:val="center"/>
              <w:rPr>
                <w:b/>
                <w:sz w:val="20"/>
              </w:rPr>
            </w:pPr>
            <w:r w:rsidRPr="00917A4F">
              <w:rPr>
                <w:b/>
                <w:sz w:val="20"/>
              </w:rPr>
              <w:t>Growth Rate Indicator</w:t>
            </w:r>
          </w:p>
        </w:tc>
        <w:tc>
          <w:tcPr>
            <w:tcW w:w="1205" w:type="dxa"/>
            <w:shd w:val="clear" w:color="auto" w:fill="D9D9D9" w:themeFill="background1" w:themeFillShade="D9"/>
            <w:noWrap/>
            <w:vAlign w:val="center"/>
            <w:hideMark/>
          </w:tcPr>
          <w:p w:rsidR="00F51B93" w:rsidRPr="00917A4F" w:rsidRDefault="00F51B93" w:rsidP="00540A76">
            <w:pPr>
              <w:keepNext/>
              <w:keepLines/>
              <w:autoSpaceDN w:val="0"/>
              <w:spacing w:before="60" w:after="60" w:line="240" w:lineRule="auto"/>
              <w:ind w:firstLine="0"/>
              <w:jc w:val="center"/>
              <w:rPr>
                <w:b/>
                <w:sz w:val="20"/>
              </w:rPr>
            </w:pPr>
            <w:r w:rsidRPr="00917A4F">
              <w:rPr>
                <w:b/>
                <w:sz w:val="20"/>
              </w:rPr>
              <w:t>Electric</w:t>
            </w:r>
            <w:r w:rsidRPr="00917A4F">
              <w:rPr>
                <w:b/>
                <w:sz w:val="20"/>
              </w:rPr>
              <w:br/>
              <w:t>Group</w:t>
            </w:r>
          </w:p>
        </w:tc>
        <w:tc>
          <w:tcPr>
            <w:tcW w:w="1205" w:type="dxa"/>
            <w:shd w:val="clear" w:color="auto" w:fill="D9D9D9" w:themeFill="background1" w:themeFillShade="D9"/>
            <w:noWrap/>
            <w:vAlign w:val="center"/>
            <w:hideMark/>
          </w:tcPr>
          <w:p w:rsidR="00F51B93" w:rsidRPr="00917A4F" w:rsidRDefault="00F51B93" w:rsidP="00540A76">
            <w:pPr>
              <w:keepNext/>
              <w:keepLines/>
              <w:autoSpaceDN w:val="0"/>
              <w:spacing w:before="60" w:after="60" w:line="240" w:lineRule="auto"/>
              <w:ind w:firstLine="0"/>
              <w:jc w:val="center"/>
              <w:rPr>
                <w:b/>
                <w:sz w:val="20"/>
              </w:rPr>
            </w:pPr>
            <w:r w:rsidRPr="00917A4F">
              <w:rPr>
                <w:b/>
                <w:sz w:val="20"/>
              </w:rPr>
              <w:t>Morin</w:t>
            </w:r>
            <w:r w:rsidRPr="00917A4F">
              <w:rPr>
                <w:b/>
                <w:sz w:val="20"/>
              </w:rPr>
              <w:br/>
              <w:t>Group</w:t>
            </w:r>
          </w:p>
        </w:tc>
        <w:tc>
          <w:tcPr>
            <w:tcW w:w="1205" w:type="dxa"/>
            <w:shd w:val="clear" w:color="auto" w:fill="D9D9D9" w:themeFill="background1" w:themeFillShade="D9"/>
            <w:noWrap/>
            <w:vAlign w:val="center"/>
            <w:hideMark/>
          </w:tcPr>
          <w:p w:rsidR="00F51B93" w:rsidRPr="00917A4F" w:rsidRDefault="00F51B93" w:rsidP="00540A76">
            <w:pPr>
              <w:keepNext/>
              <w:keepLines/>
              <w:autoSpaceDN w:val="0"/>
              <w:spacing w:before="60" w:after="60" w:line="240" w:lineRule="auto"/>
              <w:ind w:firstLine="0"/>
              <w:jc w:val="center"/>
              <w:rPr>
                <w:b/>
                <w:sz w:val="20"/>
              </w:rPr>
            </w:pPr>
            <w:r w:rsidRPr="00917A4F">
              <w:rPr>
                <w:b/>
                <w:sz w:val="20"/>
              </w:rPr>
              <w:t>Gas</w:t>
            </w:r>
            <w:r w:rsidRPr="00917A4F">
              <w:rPr>
                <w:b/>
                <w:sz w:val="20"/>
              </w:rPr>
              <w:br/>
              <w:t>Group</w:t>
            </w:r>
          </w:p>
        </w:tc>
      </w:tr>
      <w:tr w:rsidR="00F51B93" w:rsidRPr="00917A4F" w:rsidTr="0015009B">
        <w:trPr>
          <w:trHeight w:val="512"/>
          <w:jc w:val="center"/>
        </w:trPr>
        <w:tc>
          <w:tcPr>
            <w:tcW w:w="3279" w:type="dxa"/>
            <w:noWrap/>
            <w:vAlign w:val="center"/>
            <w:hideMark/>
          </w:tcPr>
          <w:p w:rsidR="00F51B93" w:rsidRPr="00917A4F" w:rsidRDefault="00F51B93" w:rsidP="00540A76">
            <w:pPr>
              <w:keepNext/>
              <w:keepLines/>
              <w:autoSpaceDN w:val="0"/>
              <w:spacing w:before="60" w:after="60" w:line="240" w:lineRule="auto"/>
              <w:ind w:firstLine="0"/>
              <w:rPr>
                <w:sz w:val="20"/>
              </w:rPr>
            </w:pPr>
            <w:r w:rsidRPr="00917A4F">
              <w:rPr>
                <w:sz w:val="20"/>
              </w:rPr>
              <w:t xml:space="preserve">Historic </w:t>
            </w:r>
            <w:r w:rsidRPr="00B97282">
              <w:rPr>
                <w:iCs/>
                <w:sz w:val="20"/>
              </w:rPr>
              <w:t>Value Line</w:t>
            </w:r>
            <w:r w:rsidRPr="00917A4F">
              <w:rPr>
                <w:sz w:val="20"/>
              </w:rPr>
              <w:t xml:space="preserve"> Growth in</w:t>
            </w:r>
            <w:r w:rsidRPr="00917A4F">
              <w:rPr>
                <w:sz w:val="20"/>
              </w:rPr>
              <w:br/>
              <w:t>EPS, DPS, and BVPS</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u w:val="single"/>
              </w:rPr>
            </w:pPr>
            <w:r w:rsidRPr="00917A4F">
              <w:rPr>
                <w:sz w:val="20"/>
              </w:rPr>
              <w:t>4.3%</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u w:val="single"/>
              </w:rPr>
            </w:pPr>
            <w:r w:rsidRPr="00917A4F">
              <w:rPr>
                <w:sz w:val="20"/>
              </w:rPr>
              <w:t>4.9%</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rPr>
            </w:pPr>
            <w:r w:rsidRPr="00917A4F">
              <w:rPr>
                <w:sz w:val="20"/>
              </w:rPr>
              <w:t>5.4%</w:t>
            </w:r>
          </w:p>
        </w:tc>
      </w:tr>
      <w:tr w:rsidR="00F51B93" w:rsidRPr="00917A4F" w:rsidTr="0015009B">
        <w:trPr>
          <w:trHeight w:val="71"/>
          <w:jc w:val="center"/>
        </w:trPr>
        <w:tc>
          <w:tcPr>
            <w:tcW w:w="3279" w:type="dxa"/>
            <w:noWrap/>
            <w:vAlign w:val="center"/>
            <w:hideMark/>
          </w:tcPr>
          <w:p w:rsidR="00F51B93" w:rsidRPr="00917A4F" w:rsidRDefault="00F51B93" w:rsidP="00540A76">
            <w:pPr>
              <w:keepNext/>
              <w:keepLines/>
              <w:autoSpaceDN w:val="0"/>
              <w:spacing w:before="60" w:after="60" w:line="240" w:lineRule="auto"/>
              <w:ind w:firstLine="0"/>
              <w:rPr>
                <w:sz w:val="20"/>
              </w:rPr>
            </w:pPr>
            <w:r w:rsidRPr="00917A4F">
              <w:rPr>
                <w:sz w:val="20"/>
              </w:rPr>
              <w:t xml:space="preserve">Projected </w:t>
            </w:r>
            <w:r w:rsidRPr="00B97282">
              <w:rPr>
                <w:iCs/>
                <w:sz w:val="20"/>
              </w:rPr>
              <w:t>Value Line</w:t>
            </w:r>
            <w:r w:rsidRPr="00917A4F">
              <w:rPr>
                <w:sz w:val="20"/>
              </w:rPr>
              <w:t xml:space="preserve"> Growth in</w:t>
            </w:r>
            <w:r w:rsidRPr="00917A4F">
              <w:rPr>
                <w:sz w:val="20"/>
              </w:rPr>
              <w:br/>
              <w:t>EPS, DPS, and BVPS</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u w:val="single"/>
              </w:rPr>
            </w:pPr>
            <w:r w:rsidRPr="00917A4F">
              <w:rPr>
                <w:sz w:val="20"/>
              </w:rPr>
              <w:t>4.8%</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u w:val="single"/>
              </w:rPr>
            </w:pPr>
            <w:r w:rsidRPr="00917A4F">
              <w:rPr>
                <w:sz w:val="20"/>
              </w:rPr>
              <w:t>5.1%</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rPr>
            </w:pPr>
            <w:r w:rsidRPr="00917A4F">
              <w:rPr>
                <w:sz w:val="20"/>
              </w:rPr>
              <w:t>5.4%</w:t>
            </w:r>
          </w:p>
        </w:tc>
      </w:tr>
      <w:tr w:rsidR="00F51B93" w:rsidRPr="00917A4F" w:rsidTr="0015009B">
        <w:trPr>
          <w:trHeight w:val="71"/>
          <w:jc w:val="center"/>
        </w:trPr>
        <w:tc>
          <w:tcPr>
            <w:tcW w:w="3279" w:type="dxa"/>
            <w:hideMark/>
          </w:tcPr>
          <w:p w:rsidR="00F51B93" w:rsidRPr="00917A4F" w:rsidRDefault="00F51B93" w:rsidP="00540A76">
            <w:pPr>
              <w:keepNext/>
              <w:keepLines/>
              <w:autoSpaceDN w:val="0"/>
              <w:spacing w:before="60" w:after="60" w:line="240" w:lineRule="auto"/>
              <w:ind w:firstLine="0"/>
              <w:rPr>
                <w:sz w:val="20"/>
              </w:rPr>
            </w:pPr>
            <w:r w:rsidRPr="00917A4F">
              <w:rPr>
                <w:sz w:val="20"/>
              </w:rPr>
              <w:t>Sustainable Growth ROE *</w:t>
            </w:r>
            <w:r w:rsidRPr="00917A4F">
              <w:rPr>
                <w:sz w:val="20"/>
              </w:rPr>
              <w:br/>
              <w:t>Retention Rate</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rPr>
            </w:pPr>
            <w:r w:rsidRPr="00917A4F">
              <w:rPr>
                <w:sz w:val="20"/>
              </w:rPr>
              <w:t>3.9%</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rPr>
            </w:pPr>
            <w:r w:rsidRPr="00917A4F">
              <w:rPr>
                <w:sz w:val="20"/>
              </w:rPr>
              <w:t>4.2%</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sz w:val="20"/>
              </w:rPr>
            </w:pPr>
            <w:r w:rsidRPr="00917A4F">
              <w:rPr>
                <w:sz w:val="20"/>
              </w:rPr>
              <w:t>4.2%</w:t>
            </w:r>
          </w:p>
        </w:tc>
      </w:tr>
      <w:tr w:rsidR="00F51B93" w:rsidRPr="00917A4F" w:rsidTr="0015009B">
        <w:trPr>
          <w:trHeight w:val="71"/>
          <w:jc w:val="center"/>
        </w:trPr>
        <w:tc>
          <w:tcPr>
            <w:tcW w:w="3279" w:type="dxa"/>
            <w:hideMark/>
          </w:tcPr>
          <w:p w:rsidR="00F51B93" w:rsidRPr="00917A4F" w:rsidRDefault="00F51B93" w:rsidP="00540A76">
            <w:pPr>
              <w:keepNext/>
              <w:keepLines/>
              <w:autoSpaceDN w:val="0"/>
              <w:spacing w:before="60" w:after="60" w:line="240" w:lineRule="auto"/>
              <w:ind w:firstLine="0"/>
              <w:rPr>
                <w:sz w:val="20"/>
              </w:rPr>
            </w:pPr>
            <w:r w:rsidRPr="00917A4F">
              <w:rPr>
                <w:sz w:val="20"/>
              </w:rPr>
              <w:t>Projected EPS Growth from Yahoo,</w:t>
            </w:r>
            <w:r w:rsidRPr="00917A4F">
              <w:rPr>
                <w:sz w:val="20"/>
              </w:rPr>
              <w:br/>
              <w:t>Zacks, and Reuters - Mean/Median</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color w:val="000000"/>
                <w:sz w:val="20"/>
              </w:rPr>
            </w:pPr>
            <w:r w:rsidRPr="00917A4F">
              <w:rPr>
                <w:color w:val="000000"/>
                <w:sz w:val="20"/>
              </w:rPr>
              <w:t>4.5%/5.4%</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color w:val="000000"/>
                <w:sz w:val="20"/>
              </w:rPr>
            </w:pPr>
            <w:r w:rsidRPr="00917A4F">
              <w:rPr>
                <w:color w:val="000000"/>
                <w:sz w:val="20"/>
              </w:rPr>
              <w:t>5.5%/5.6%</w:t>
            </w:r>
          </w:p>
        </w:tc>
        <w:tc>
          <w:tcPr>
            <w:tcW w:w="1205" w:type="dxa"/>
            <w:noWrap/>
            <w:vAlign w:val="center"/>
            <w:hideMark/>
          </w:tcPr>
          <w:p w:rsidR="00F51B93" w:rsidRPr="00917A4F" w:rsidRDefault="00F51B93" w:rsidP="00540A76">
            <w:pPr>
              <w:keepNext/>
              <w:keepLines/>
              <w:autoSpaceDN w:val="0"/>
              <w:spacing w:before="60" w:after="60" w:line="240" w:lineRule="auto"/>
              <w:ind w:firstLine="0"/>
              <w:jc w:val="center"/>
              <w:rPr>
                <w:color w:val="000000"/>
                <w:sz w:val="20"/>
              </w:rPr>
            </w:pPr>
            <w:r w:rsidRPr="00917A4F">
              <w:rPr>
                <w:color w:val="000000"/>
                <w:sz w:val="20"/>
              </w:rPr>
              <w:t>6.1%/6.5%</w:t>
            </w:r>
          </w:p>
        </w:tc>
      </w:tr>
      <w:tr w:rsidR="00F51B93" w:rsidRPr="00917A4F" w:rsidTr="0015009B">
        <w:trPr>
          <w:trHeight w:val="71"/>
          <w:jc w:val="center"/>
        </w:trPr>
        <w:tc>
          <w:tcPr>
            <w:tcW w:w="3279" w:type="dxa"/>
            <w:hideMark/>
          </w:tcPr>
          <w:p w:rsidR="00F51B93" w:rsidRPr="00917A4F" w:rsidRDefault="00F51B93" w:rsidP="00540A76">
            <w:pPr>
              <w:autoSpaceDN w:val="0"/>
              <w:spacing w:before="60" w:after="60" w:line="240" w:lineRule="auto"/>
              <w:ind w:firstLine="0"/>
              <w:rPr>
                <w:sz w:val="20"/>
              </w:rPr>
            </w:pPr>
            <w:r w:rsidRPr="00917A4F">
              <w:rPr>
                <w:sz w:val="20"/>
                <w:lang w:eastAsia="en-US"/>
              </w:rPr>
              <w:t>Woolridge Final Choice of</w:t>
            </w:r>
            <w:r w:rsidRPr="00917A4F">
              <w:rPr>
                <w:sz w:val="20"/>
                <w:lang w:eastAsia="en-US"/>
              </w:rPr>
              <w:br/>
              <w:t>Growth Rates</w:t>
            </w:r>
          </w:p>
        </w:tc>
        <w:tc>
          <w:tcPr>
            <w:tcW w:w="1205" w:type="dxa"/>
            <w:noWrap/>
            <w:vAlign w:val="center"/>
            <w:hideMark/>
          </w:tcPr>
          <w:p w:rsidR="00F51B93" w:rsidRPr="00917A4F" w:rsidRDefault="00F51B93" w:rsidP="00540A76">
            <w:pPr>
              <w:autoSpaceDN w:val="0"/>
              <w:spacing w:before="60" w:after="60" w:line="240" w:lineRule="auto"/>
              <w:ind w:firstLine="0"/>
              <w:jc w:val="center"/>
              <w:rPr>
                <w:color w:val="000000"/>
                <w:sz w:val="20"/>
              </w:rPr>
            </w:pPr>
            <w:r w:rsidRPr="00917A4F">
              <w:rPr>
                <w:color w:val="000000"/>
                <w:sz w:val="20"/>
              </w:rPr>
              <w:t>5.25%</w:t>
            </w:r>
          </w:p>
        </w:tc>
        <w:tc>
          <w:tcPr>
            <w:tcW w:w="1205" w:type="dxa"/>
            <w:noWrap/>
            <w:vAlign w:val="center"/>
            <w:hideMark/>
          </w:tcPr>
          <w:p w:rsidR="00F51B93" w:rsidRPr="00917A4F" w:rsidRDefault="00F51B93" w:rsidP="00540A76">
            <w:pPr>
              <w:autoSpaceDN w:val="0"/>
              <w:spacing w:before="60" w:after="60" w:line="240" w:lineRule="auto"/>
              <w:ind w:firstLine="0"/>
              <w:jc w:val="center"/>
              <w:rPr>
                <w:color w:val="000000"/>
                <w:sz w:val="20"/>
              </w:rPr>
            </w:pPr>
            <w:r w:rsidRPr="00917A4F">
              <w:rPr>
                <w:color w:val="000000"/>
                <w:sz w:val="20"/>
              </w:rPr>
              <w:t>5.5%</w:t>
            </w:r>
          </w:p>
        </w:tc>
        <w:tc>
          <w:tcPr>
            <w:tcW w:w="1205" w:type="dxa"/>
            <w:noWrap/>
            <w:vAlign w:val="center"/>
            <w:hideMark/>
          </w:tcPr>
          <w:p w:rsidR="00F51B93" w:rsidRPr="00917A4F" w:rsidRDefault="00F51B93" w:rsidP="00540A76">
            <w:pPr>
              <w:autoSpaceDN w:val="0"/>
              <w:spacing w:before="60" w:after="60" w:line="240" w:lineRule="auto"/>
              <w:ind w:firstLine="0"/>
              <w:jc w:val="center"/>
              <w:rPr>
                <w:color w:val="000000"/>
                <w:sz w:val="20"/>
              </w:rPr>
            </w:pPr>
            <w:r w:rsidRPr="00917A4F">
              <w:rPr>
                <w:color w:val="000000"/>
                <w:sz w:val="20"/>
              </w:rPr>
              <w:t>6.0%</w:t>
            </w:r>
          </w:p>
        </w:tc>
      </w:tr>
    </w:tbl>
    <w:p w:rsidR="00F51B93" w:rsidRPr="00917A4F" w:rsidRDefault="00F51B93" w:rsidP="00540A76">
      <w:pPr>
        <w:pStyle w:val="answer"/>
        <w:spacing w:before="280"/>
        <w:ind w:left="990" w:firstLine="0"/>
        <w:rPr>
          <w:rFonts w:eastAsia="SimSun"/>
          <w:snapToGrid w:val="0"/>
          <w:sz w:val="20"/>
          <w:lang w:eastAsia="en-US"/>
        </w:rPr>
      </w:pPr>
      <w:r w:rsidRPr="00917A4F">
        <w:rPr>
          <w:b/>
          <w:bCs/>
          <w:sz w:val="20"/>
        </w:rPr>
        <w:t xml:space="preserve">Source: </w:t>
      </w:r>
      <w:r w:rsidRPr="00917A4F">
        <w:rPr>
          <w:bCs/>
          <w:sz w:val="20"/>
        </w:rPr>
        <w:t>Woolridge, Exh. JRW-12, at page 6</w:t>
      </w:r>
      <w:r w:rsidRPr="00917A4F">
        <w:rPr>
          <w:rFonts w:eastAsia="SimSun"/>
          <w:snapToGrid w:val="0"/>
          <w:sz w:val="20"/>
          <w:lang w:val="x-none" w:eastAsia="en-US"/>
        </w:rPr>
        <w:t xml:space="preserve"> </w:t>
      </w:r>
    </w:p>
    <w:p w:rsidR="00F51B93" w:rsidRDefault="00AA31D3" w:rsidP="00540A76">
      <w:pPr>
        <w:pStyle w:val="answer"/>
        <w:ind w:firstLine="0"/>
        <w:rPr>
          <w:szCs w:val="24"/>
          <w:lang w:eastAsia="en-US"/>
        </w:rPr>
      </w:pPr>
      <w:r w:rsidRPr="00255659">
        <w:rPr>
          <w:szCs w:val="24"/>
          <w:lang w:eastAsia="en-US"/>
        </w:rPr>
        <w:t>As is evident from Table</w:t>
      </w:r>
      <w:r w:rsidR="00F51B93">
        <w:rPr>
          <w:szCs w:val="24"/>
          <w:lang w:eastAsia="en-US"/>
        </w:rPr>
        <w:t> </w:t>
      </w:r>
      <w:r w:rsidRPr="00255659">
        <w:rPr>
          <w:szCs w:val="24"/>
          <w:lang w:eastAsia="en-US"/>
        </w:rPr>
        <w:t xml:space="preserve">3, there is little, if any, connection between the estimated growth rates and </w:t>
      </w:r>
      <w:r w:rsidR="006B5168" w:rsidRPr="00255659">
        <w:rPr>
          <w:lang w:eastAsia="en-US"/>
        </w:rPr>
        <w:t>Dr.</w:t>
      </w:r>
      <w:r w:rsidR="006B5168">
        <w:rPr>
          <w:lang w:eastAsia="en-US"/>
        </w:rPr>
        <w:t> </w:t>
      </w:r>
      <w:r w:rsidRPr="00255659">
        <w:rPr>
          <w:szCs w:val="24"/>
          <w:lang w:eastAsia="en-US"/>
        </w:rPr>
        <w:t>Woolridge</w:t>
      </w:r>
      <w:r w:rsidR="00484125">
        <w:rPr>
          <w:szCs w:val="24"/>
          <w:lang w:eastAsia="en-US"/>
        </w:rPr>
        <w:t>’s</w:t>
      </w:r>
      <w:r w:rsidRPr="00255659">
        <w:rPr>
          <w:szCs w:val="24"/>
          <w:lang w:eastAsia="en-US"/>
        </w:rPr>
        <w:t xml:space="preserve"> final </w:t>
      </w:r>
      <w:r w:rsidR="00F51B93">
        <w:rPr>
          <w:szCs w:val="24"/>
          <w:lang w:eastAsia="en-US"/>
        </w:rPr>
        <w:t xml:space="preserve">recommended growth rate for each </w:t>
      </w:r>
      <w:r w:rsidRPr="00255659">
        <w:rPr>
          <w:szCs w:val="24"/>
          <w:lang w:eastAsia="en-US"/>
        </w:rPr>
        <w:t>proxy</w:t>
      </w:r>
      <w:r w:rsidR="00F51B93">
        <w:rPr>
          <w:szCs w:val="24"/>
          <w:lang w:eastAsia="en-US"/>
        </w:rPr>
        <w:t xml:space="preserve"> group</w:t>
      </w:r>
      <w:r w:rsidRPr="00255659">
        <w:rPr>
          <w:szCs w:val="24"/>
          <w:lang w:eastAsia="en-US"/>
        </w:rPr>
        <w:t>.</w:t>
      </w:r>
      <w:r w:rsidR="00287C5A">
        <w:rPr>
          <w:szCs w:val="24"/>
          <w:lang w:eastAsia="en-US"/>
        </w:rPr>
        <w:t xml:space="preserve"> </w:t>
      </w:r>
      <w:r w:rsidRPr="00255659">
        <w:rPr>
          <w:szCs w:val="24"/>
          <w:lang w:eastAsia="en-US"/>
        </w:rPr>
        <w:t xml:space="preserve">For example, for the </w:t>
      </w:r>
      <w:r w:rsidR="00F51B93">
        <w:rPr>
          <w:szCs w:val="24"/>
          <w:lang w:eastAsia="en-US"/>
        </w:rPr>
        <w:t xml:space="preserve">proxy </w:t>
      </w:r>
      <w:r w:rsidRPr="00255659">
        <w:rPr>
          <w:szCs w:val="24"/>
          <w:lang w:eastAsia="en-US"/>
        </w:rPr>
        <w:t>group</w:t>
      </w:r>
      <w:r w:rsidR="00F51B93">
        <w:rPr>
          <w:szCs w:val="24"/>
          <w:lang w:eastAsia="en-US"/>
        </w:rPr>
        <w:t xml:space="preserve"> of electric utilities</w:t>
      </w:r>
      <w:r w:rsidRPr="00255659">
        <w:rPr>
          <w:szCs w:val="24"/>
          <w:lang w:eastAsia="en-US"/>
        </w:rPr>
        <w:t>, the estimated growth rates are 4.3</w:t>
      </w:r>
      <w:r w:rsidR="00F51B93">
        <w:rPr>
          <w:szCs w:val="24"/>
          <w:lang w:eastAsia="en-US"/>
        </w:rPr>
        <w:t> percent</w:t>
      </w:r>
      <w:r w:rsidRPr="00255659">
        <w:rPr>
          <w:szCs w:val="24"/>
          <w:lang w:eastAsia="en-US"/>
        </w:rPr>
        <w:t>, 4.8</w:t>
      </w:r>
      <w:r w:rsidR="00F51B93">
        <w:rPr>
          <w:szCs w:val="24"/>
          <w:lang w:eastAsia="en-US"/>
        </w:rPr>
        <w:t> percent</w:t>
      </w:r>
      <w:r w:rsidRPr="00255659">
        <w:rPr>
          <w:szCs w:val="24"/>
          <w:lang w:eastAsia="en-US"/>
        </w:rPr>
        <w:t>, 3.9</w:t>
      </w:r>
      <w:r w:rsidR="00F51B93">
        <w:rPr>
          <w:szCs w:val="24"/>
          <w:lang w:eastAsia="en-US"/>
        </w:rPr>
        <w:t> percent</w:t>
      </w:r>
      <w:r w:rsidRPr="00255659">
        <w:rPr>
          <w:szCs w:val="24"/>
          <w:lang w:eastAsia="en-US"/>
        </w:rPr>
        <w:t xml:space="preserve">, and </w:t>
      </w:r>
      <w:r w:rsidR="00F51B93">
        <w:rPr>
          <w:szCs w:val="24"/>
          <w:lang w:eastAsia="en-US"/>
        </w:rPr>
        <w:t xml:space="preserve">between </w:t>
      </w:r>
      <w:r w:rsidRPr="00255659">
        <w:rPr>
          <w:szCs w:val="24"/>
          <w:lang w:eastAsia="en-US"/>
        </w:rPr>
        <w:t>4.5</w:t>
      </w:r>
      <w:r w:rsidR="00F51B93">
        <w:rPr>
          <w:szCs w:val="24"/>
          <w:lang w:eastAsia="en-US"/>
        </w:rPr>
        <w:t xml:space="preserve"> and </w:t>
      </w:r>
      <w:r w:rsidRPr="00255659">
        <w:rPr>
          <w:szCs w:val="24"/>
          <w:lang w:eastAsia="en-US"/>
        </w:rPr>
        <w:t>5</w:t>
      </w:r>
      <w:r w:rsidR="00F51B93">
        <w:rPr>
          <w:szCs w:val="24"/>
          <w:lang w:eastAsia="en-US"/>
        </w:rPr>
        <w:t>.</w:t>
      </w:r>
      <w:r w:rsidRPr="00255659">
        <w:rPr>
          <w:szCs w:val="24"/>
          <w:lang w:eastAsia="en-US"/>
        </w:rPr>
        <w:t>4</w:t>
      </w:r>
      <w:r w:rsidR="00F51B93">
        <w:rPr>
          <w:szCs w:val="24"/>
          <w:lang w:eastAsia="en-US"/>
        </w:rPr>
        <w:t> percent</w:t>
      </w:r>
      <w:r w:rsidR="00F51B93" w:rsidRPr="00255659">
        <w:rPr>
          <w:szCs w:val="24"/>
          <w:lang w:eastAsia="en-US"/>
        </w:rPr>
        <w:t xml:space="preserve"> </w:t>
      </w:r>
      <w:r w:rsidRPr="00255659">
        <w:rPr>
          <w:szCs w:val="24"/>
          <w:lang w:eastAsia="en-US"/>
        </w:rPr>
        <w:t xml:space="preserve">from the various </w:t>
      </w:r>
      <w:r w:rsidR="00F51B93">
        <w:rPr>
          <w:szCs w:val="24"/>
          <w:lang w:eastAsia="en-US"/>
        </w:rPr>
        <w:t>growth rate indicators</w:t>
      </w:r>
      <w:r w:rsidRPr="00255659">
        <w:rPr>
          <w:szCs w:val="24"/>
          <w:lang w:eastAsia="en-US"/>
        </w:rPr>
        <w:t>.</w:t>
      </w:r>
      <w:r w:rsidR="00287C5A">
        <w:rPr>
          <w:szCs w:val="24"/>
          <w:lang w:eastAsia="en-US"/>
        </w:rPr>
        <w:t xml:space="preserve"> </w:t>
      </w:r>
      <w:r w:rsidRPr="00255659">
        <w:rPr>
          <w:szCs w:val="24"/>
          <w:lang w:eastAsia="en-US"/>
        </w:rPr>
        <w:t xml:space="preserve">From these four </w:t>
      </w:r>
      <w:r w:rsidR="00F51B93">
        <w:rPr>
          <w:szCs w:val="24"/>
          <w:lang w:eastAsia="en-US"/>
        </w:rPr>
        <w:t>indicators</w:t>
      </w:r>
      <w:r w:rsidRPr="00255659">
        <w:rPr>
          <w:szCs w:val="24"/>
          <w:lang w:eastAsia="en-US"/>
        </w:rPr>
        <w:t xml:space="preserve">,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szCs w:val="24"/>
          <w:lang w:eastAsia="en-US"/>
        </w:rPr>
        <w:t xml:space="preserve"> </w:t>
      </w:r>
      <w:r w:rsidRPr="00255659">
        <w:rPr>
          <w:szCs w:val="24"/>
          <w:lang w:eastAsia="en-US"/>
        </w:rPr>
        <w:t>somehow selects 5.25</w:t>
      </w:r>
      <w:r w:rsidR="00F51B93">
        <w:rPr>
          <w:szCs w:val="24"/>
          <w:lang w:eastAsia="en-US"/>
        </w:rPr>
        <w:t xml:space="preserve"> percent as the recommended growth rate for his </w:t>
      </w:r>
      <w:r w:rsidRPr="00255659">
        <w:rPr>
          <w:szCs w:val="24"/>
          <w:lang w:eastAsia="en-US"/>
        </w:rPr>
        <w:t>DCF estimate for the group.</w:t>
      </w:r>
      <w:r w:rsidR="00287C5A">
        <w:rPr>
          <w:szCs w:val="24"/>
          <w:lang w:eastAsia="en-US"/>
        </w:rPr>
        <w:t xml:space="preserve"> </w:t>
      </w:r>
      <w:r w:rsidRPr="00255659">
        <w:rPr>
          <w:szCs w:val="24"/>
          <w:lang w:eastAsia="en-US"/>
        </w:rPr>
        <w:t>There is no rationale provided for this arbitrary choice of growth rates.</w:t>
      </w:r>
    </w:p>
    <w:p w:rsidR="00AA31D3" w:rsidRDefault="00AA31D3" w:rsidP="00540A76">
      <w:pPr>
        <w:pStyle w:val="answer"/>
        <w:ind w:firstLine="0"/>
        <w:rPr>
          <w:szCs w:val="24"/>
          <w:lang w:eastAsia="en-US"/>
        </w:rPr>
      </w:pPr>
      <w:r w:rsidRPr="00255659">
        <w:rPr>
          <w:szCs w:val="24"/>
          <w:lang w:eastAsia="en-US"/>
        </w:rPr>
        <w:lastRenderedPageBreak/>
        <w:t xml:space="preserve">In contradiction to his own position on this issue, his final choice of growth rates for the Morin Electric Utilities and Gas Groups is almost identical to his own estimates of analysts growth forecasts which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szCs w:val="24"/>
          <w:lang w:eastAsia="en-US"/>
        </w:rPr>
        <w:t xml:space="preserve"> </w:t>
      </w:r>
      <w:r w:rsidRPr="00255659">
        <w:rPr>
          <w:szCs w:val="24"/>
          <w:lang w:eastAsia="en-US"/>
        </w:rPr>
        <w:t xml:space="preserve">severely criticizes throughout his testimony. </w:t>
      </w:r>
    </w:p>
    <w:p w:rsidR="00AA31D3" w:rsidRPr="00255659" w:rsidRDefault="00AA31D3" w:rsidP="00540A76">
      <w:pPr>
        <w:pStyle w:val="question"/>
      </w:pPr>
      <w:r w:rsidRPr="00255659">
        <w:rPr>
          <w:lang w:eastAsia="en-US"/>
        </w:rPr>
        <w:t>Q.</w:t>
      </w:r>
      <w:r w:rsidRPr="00255659">
        <w:rPr>
          <w:lang w:eastAsia="en-US"/>
        </w:rPr>
        <w:tab/>
      </w:r>
      <w:r w:rsidR="001B1B6E" w:rsidRPr="00255659">
        <w:rPr>
          <w:lang w:eastAsia="en-US"/>
        </w:rPr>
        <w:t xml:space="preserve">Were you able to replicate </w:t>
      </w:r>
      <w:r w:rsidR="006B5168" w:rsidRPr="00255659">
        <w:rPr>
          <w:lang w:eastAsia="en-US"/>
        </w:rPr>
        <w:t>Dr.</w:t>
      </w:r>
      <w:r w:rsidR="006B5168">
        <w:rPr>
          <w:lang w:eastAsia="en-US"/>
        </w:rPr>
        <w:t> </w:t>
      </w:r>
      <w:r w:rsidR="001B1B6E" w:rsidRPr="00255659">
        <w:rPr>
          <w:lang w:eastAsia="en-US"/>
        </w:rPr>
        <w:t>Woolridge</w:t>
      </w:r>
      <w:r w:rsidR="00255659">
        <w:rPr>
          <w:lang w:eastAsia="en-US"/>
        </w:rPr>
        <w:t>’</w:t>
      </w:r>
      <w:r w:rsidR="001B1B6E" w:rsidRPr="00255659">
        <w:rPr>
          <w:lang w:eastAsia="en-US"/>
        </w:rPr>
        <w:t xml:space="preserve">s </w:t>
      </w:r>
      <w:r w:rsidR="00F51B93">
        <w:rPr>
          <w:lang w:eastAsia="en-US"/>
        </w:rPr>
        <w:t xml:space="preserve">recommended </w:t>
      </w:r>
      <w:r w:rsidR="001B1B6E" w:rsidRPr="00255659">
        <w:rPr>
          <w:lang w:eastAsia="en-US"/>
        </w:rPr>
        <w:t>growth estimate</w:t>
      </w:r>
      <w:r w:rsidR="00F51B93">
        <w:rPr>
          <w:lang w:eastAsia="en-US"/>
        </w:rPr>
        <w:t>s</w:t>
      </w:r>
      <w:r w:rsidR="001B1B6E" w:rsidRPr="00255659">
        <w:rPr>
          <w:lang w:eastAsia="en-US"/>
        </w:rPr>
        <w:t xml:space="preserve"> from the data</w:t>
      </w:r>
      <w:r w:rsidRPr="00255659">
        <w:rPr>
          <w:lang w:eastAsia="en-US"/>
        </w:rPr>
        <w:t>?</w:t>
      </w:r>
    </w:p>
    <w:p w:rsidR="001B1B6E" w:rsidRPr="00255659" w:rsidRDefault="00AA31D3" w:rsidP="00540A76">
      <w:pPr>
        <w:pStyle w:val="answer"/>
        <w:rPr>
          <w:szCs w:val="24"/>
          <w:lang w:eastAsia="en-US"/>
        </w:rPr>
      </w:pPr>
      <w:r w:rsidRPr="00255659">
        <w:rPr>
          <w:szCs w:val="24"/>
          <w:lang w:eastAsia="en-US"/>
        </w:rPr>
        <w:t>A.</w:t>
      </w:r>
      <w:r w:rsidRPr="00255659">
        <w:rPr>
          <w:szCs w:val="24"/>
          <w:lang w:eastAsia="en-US"/>
        </w:rPr>
        <w:tab/>
      </w:r>
      <w:r w:rsidR="00F51B93">
        <w:rPr>
          <w:szCs w:val="24"/>
          <w:lang w:eastAsia="en-US"/>
        </w:rPr>
        <w:t xml:space="preserve">No. </w:t>
      </w:r>
      <w:r w:rsidRPr="00255659">
        <w:rPr>
          <w:szCs w:val="24"/>
          <w:lang w:eastAsia="en-US"/>
        </w:rPr>
        <w:t xml:space="preserve">I was unable to replicate </w:t>
      </w:r>
      <w:r w:rsidR="006B5168" w:rsidRPr="00255659">
        <w:rPr>
          <w:lang w:eastAsia="en-US"/>
        </w:rPr>
        <w:t>Dr.</w:t>
      </w:r>
      <w:r w:rsidR="006B5168">
        <w:rPr>
          <w:lang w:eastAsia="en-US"/>
        </w:rPr>
        <w:t> </w:t>
      </w:r>
      <w:r w:rsidRPr="00255659">
        <w:rPr>
          <w:szCs w:val="24"/>
          <w:lang w:eastAsia="en-US"/>
        </w:rPr>
        <w:t>Woolridge</w:t>
      </w:r>
      <w:r w:rsidR="00795515">
        <w:rPr>
          <w:szCs w:val="24"/>
          <w:lang w:eastAsia="en-US"/>
        </w:rPr>
        <w:t>’s</w:t>
      </w:r>
      <w:r w:rsidRPr="00255659">
        <w:rPr>
          <w:szCs w:val="24"/>
          <w:lang w:eastAsia="en-US"/>
        </w:rPr>
        <w:t xml:space="preserve"> </w:t>
      </w:r>
      <w:r w:rsidR="00F51B93">
        <w:rPr>
          <w:szCs w:val="24"/>
          <w:lang w:eastAsia="en-US"/>
        </w:rPr>
        <w:t xml:space="preserve">recommended growth rates from the data </w:t>
      </w:r>
      <w:r w:rsidRPr="00255659">
        <w:rPr>
          <w:szCs w:val="24"/>
          <w:lang w:eastAsia="en-US"/>
        </w:rPr>
        <w:t xml:space="preserve">for any of the three </w:t>
      </w:r>
      <w:r w:rsidR="00F51B93">
        <w:rPr>
          <w:szCs w:val="24"/>
          <w:lang w:eastAsia="en-US"/>
        </w:rPr>
        <w:t xml:space="preserve">proxy </w:t>
      </w:r>
      <w:r w:rsidRPr="00255659">
        <w:rPr>
          <w:szCs w:val="24"/>
          <w:lang w:eastAsia="en-US"/>
        </w:rPr>
        <w:t xml:space="preserve">groups. There is </w:t>
      </w:r>
      <w:r w:rsidR="00F51B93">
        <w:rPr>
          <w:szCs w:val="24"/>
          <w:lang w:eastAsia="en-US"/>
        </w:rPr>
        <w:t xml:space="preserve">simply </w:t>
      </w:r>
      <w:r w:rsidRPr="00255659">
        <w:rPr>
          <w:szCs w:val="24"/>
          <w:lang w:eastAsia="en-US"/>
        </w:rPr>
        <w:t xml:space="preserve">no way to connect the thirteen growth </w:t>
      </w:r>
      <w:r w:rsidR="00291BD1">
        <w:rPr>
          <w:szCs w:val="24"/>
          <w:lang w:eastAsia="en-US"/>
        </w:rPr>
        <w:t xml:space="preserve">indicators </w:t>
      </w:r>
      <w:r w:rsidRPr="00255659">
        <w:rPr>
          <w:szCs w:val="24"/>
          <w:lang w:eastAsia="en-US"/>
        </w:rPr>
        <w:t xml:space="preserve">with </w:t>
      </w:r>
      <w:r w:rsidR="006B5168" w:rsidRPr="00255659">
        <w:rPr>
          <w:lang w:eastAsia="en-US"/>
        </w:rPr>
        <w:t>Dr.</w:t>
      </w:r>
      <w:r w:rsidR="006B5168">
        <w:rPr>
          <w:lang w:eastAsia="en-US"/>
        </w:rPr>
        <w:t> </w:t>
      </w:r>
      <w:r w:rsidRPr="00255659">
        <w:rPr>
          <w:szCs w:val="24"/>
          <w:lang w:eastAsia="en-US"/>
        </w:rPr>
        <w:t>Woolridge</w:t>
      </w:r>
      <w:r w:rsidR="00291BD1">
        <w:rPr>
          <w:szCs w:val="24"/>
          <w:lang w:eastAsia="en-US"/>
        </w:rPr>
        <w:t>’s</w:t>
      </w:r>
      <w:r w:rsidRPr="00255659">
        <w:rPr>
          <w:szCs w:val="24"/>
          <w:lang w:eastAsia="en-US"/>
        </w:rPr>
        <w:t xml:space="preserve"> final </w:t>
      </w:r>
      <w:r w:rsidR="00291BD1">
        <w:rPr>
          <w:szCs w:val="24"/>
          <w:lang w:eastAsia="en-US"/>
        </w:rPr>
        <w:t xml:space="preserve">recommended </w:t>
      </w:r>
      <w:r w:rsidRPr="00255659">
        <w:rPr>
          <w:szCs w:val="24"/>
          <w:lang w:eastAsia="en-US"/>
        </w:rPr>
        <w:t>growth rates shown on Table</w:t>
      </w:r>
      <w:r w:rsidR="00291BD1">
        <w:rPr>
          <w:szCs w:val="24"/>
          <w:lang w:eastAsia="en-US"/>
        </w:rPr>
        <w:t> </w:t>
      </w:r>
      <w:r w:rsidRPr="00255659">
        <w:rPr>
          <w:szCs w:val="24"/>
          <w:lang w:eastAsia="en-US"/>
        </w:rPr>
        <w:t>3.</w:t>
      </w:r>
    </w:p>
    <w:p w:rsidR="00AA31D3" w:rsidRPr="00255659" w:rsidRDefault="00AA31D3" w:rsidP="00540A76">
      <w:pPr>
        <w:pStyle w:val="answer"/>
        <w:ind w:firstLine="0"/>
        <w:rPr>
          <w:szCs w:val="24"/>
          <w:lang w:eastAsia="en-US"/>
        </w:rPr>
      </w:pPr>
      <w:r w:rsidRPr="00255659">
        <w:rPr>
          <w:szCs w:val="24"/>
          <w:lang w:eastAsia="en-US"/>
        </w:rPr>
        <w:t xml:space="preserve">The choice of optimal growth rate proxy should be guided by objective scientific research and be easily reproducible, unlike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s growth proxies.</w:t>
      </w:r>
      <w:r w:rsidR="00287C5A">
        <w:rPr>
          <w:szCs w:val="24"/>
          <w:lang w:eastAsia="en-US"/>
        </w:rPr>
        <w:t xml:space="preserve">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 xml:space="preserve">s </w:t>
      </w:r>
      <w:r w:rsidR="00291BD1">
        <w:rPr>
          <w:szCs w:val="24"/>
          <w:lang w:eastAsia="en-US"/>
        </w:rPr>
        <w:t>“</w:t>
      </w:r>
      <w:r w:rsidRPr="00255659">
        <w:rPr>
          <w:szCs w:val="24"/>
          <w:lang w:eastAsia="en-US"/>
        </w:rPr>
        <w:t>shotgun</w:t>
      </w:r>
      <w:r w:rsidR="00291BD1">
        <w:rPr>
          <w:szCs w:val="24"/>
          <w:lang w:eastAsia="en-US"/>
        </w:rPr>
        <w:t>”</w:t>
      </w:r>
      <w:r w:rsidRPr="00255659">
        <w:rPr>
          <w:szCs w:val="24"/>
          <w:lang w:eastAsia="en-US"/>
        </w:rPr>
        <w:t xml:space="preserve"> approach to growth rates is unreliable and arbitrary and should be rejected by the Commission.</w:t>
      </w:r>
      <w:r w:rsidR="00287C5A">
        <w:rPr>
          <w:szCs w:val="24"/>
          <w:lang w:eastAsia="en-US"/>
        </w:rPr>
        <w:t xml:space="preserve"> </w:t>
      </w:r>
      <w:r w:rsidRPr="00255659">
        <w:rPr>
          <w:szCs w:val="24"/>
          <w:lang w:eastAsia="en-US"/>
        </w:rPr>
        <w:t xml:space="preserve">Since his final recommendation is based primarily on the results of his flawed DCF analysis, it should be treated with extreme caution by the Commission. </w:t>
      </w:r>
    </w:p>
    <w:p w:rsidR="00AA31D3" w:rsidRPr="00255659" w:rsidRDefault="00AA31D3" w:rsidP="00540A76">
      <w:pPr>
        <w:pStyle w:val="question"/>
      </w:pPr>
      <w:r w:rsidRPr="00255659">
        <w:t>Q.</w:t>
      </w:r>
      <w:r w:rsidRPr="00255659">
        <w:tab/>
      </w:r>
      <w:r w:rsidR="001B1B6E" w:rsidRPr="00255659">
        <w:t xml:space="preserve">What do you conclude from </w:t>
      </w:r>
      <w:r w:rsidR="006B5168" w:rsidRPr="00255659">
        <w:rPr>
          <w:lang w:eastAsia="en-US"/>
        </w:rPr>
        <w:t>Dr.</w:t>
      </w:r>
      <w:r w:rsidR="006B5168">
        <w:rPr>
          <w:lang w:eastAsia="en-US"/>
        </w:rPr>
        <w:t> </w:t>
      </w:r>
      <w:r w:rsidR="001B1B6E" w:rsidRPr="00255659">
        <w:t>Woolridge</w:t>
      </w:r>
      <w:r w:rsidR="00255659">
        <w:t>’</w:t>
      </w:r>
      <w:r w:rsidR="001B1B6E" w:rsidRPr="00255659">
        <w:t>s growth rate analysis</w:t>
      </w:r>
      <w:r w:rsidRPr="00255659">
        <w:t>?</w:t>
      </w:r>
    </w:p>
    <w:p w:rsidR="00AA31D3" w:rsidRPr="00255659" w:rsidRDefault="00AA31D3" w:rsidP="00540A76">
      <w:pPr>
        <w:pStyle w:val="answer"/>
        <w:rPr>
          <w:szCs w:val="24"/>
          <w:lang w:eastAsia="en-US"/>
        </w:rPr>
      </w:pPr>
      <w:r w:rsidRPr="00255659">
        <w:rPr>
          <w:szCs w:val="24"/>
          <w:lang w:eastAsia="en-US"/>
        </w:rPr>
        <w:t>A.</w:t>
      </w:r>
      <w:r w:rsidRPr="00255659">
        <w:rPr>
          <w:szCs w:val="24"/>
          <w:lang w:eastAsia="en-US"/>
        </w:rPr>
        <w:tab/>
        <w:t>It is unreliable, impossible to replicate scientifically, contradictory, and should be given very little, if any, weight.</w:t>
      </w:r>
      <w:r w:rsidR="00287C5A">
        <w:rPr>
          <w:szCs w:val="24"/>
          <w:lang w:eastAsia="en-US"/>
        </w:rPr>
        <w:t xml:space="preserve"> </w:t>
      </w:r>
      <w:r w:rsidRPr="00255659">
        <w:rPr>
          <w:color w:val="000000"/>
          <w:szCs w:val="24"/>
          <w:lang w:eastAsia="en-US"/>
        </w:rPr>
        <w:t xml:space="preserve">It is ironic that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color w:val="000000"/>
          <w:szCs w:val="24"/>
          <w:lang w:eastAsia="en-US"/>
        </w:rPr>
        <w:t xml:space="preserve"> </w:t>
      </w:r>
      <w:r w:rsidRPr="00255659">
        <w:rPr>
          <w:color w:val="000000"/>
          <w:szCs w:val="24"/>
          <w:lang w:eastAsia="en-US"/>
        </w:rPr>
        <w:t xml:space="preserve">ends up selecting growth rates that are very close to analyst growth forecasts in his final choice of </w:t>
      </w:r>
      <w:r w:rsidRPr="00255659">
        <w:rPr>
          <w:color w:val="000000"/>
          <w:szCs w:val="24"/>
          <w:lang w:eastAsia="en-US"/>
        </w:rPr>
        <w:lastRenderedPageBreak/>
        <w:t>DCF growth rates while at the same time he severely criticizes my own use of analyst growth forecast.</w:t>
      </w:r>
    </w:p>
    <w:p w:rsidR="00291BD1" w:rsidRDefault="00291BD1" w:rsidP="00540A76">
      <w:pPr>
        <w:pStyle w:val="Heading2"/>
        <w:rPr>
          <w:lang w:eastAsia="en-US"/>
        </w:rPr>
      </w:pPr>
      <w:bookmarkStart w:id="14" w:name="_Toc109272650"/>
      <w:bookmarkStart w:id="15" w:name="_Toc489887864"/>
      <w:r w:rsidRPr="00291BD1">
        <w:rPr>
          <w:lang w:eastAsia="en-US"/>
        </w:rPr>
        <w:t>C.</w:t>
      </w:r>
      <w:r w:rsidRPr="00291BD1">
        <w:rPr>
          <w:lang w:eastAsia="en-US"/>
        </w:rPr>
        <w:tab/>
      </w:r>
      <w:r>
        <w:rPr>
          <w:lang w:eastAsia="en-US"/>
        </w:rPr>
        <w:t>D</w:t>
      </w:r>
      <w:r w:rsidRPr="00291BD1">
        <w:rPr>
          <w:lang w:eastAsia="en-US"/>
        </w:rPr>
        <w:t>r.</w:t>
      </w:r>
      <w:r>
        <w:rPr>
          <w:lang w:eastAsia="en-US"/>
        </w:rPr>
        <w:t> Woolridge</w:t>
      </w:r>
      <w:r w:rsidRPr="00291BD1">
        <w:rPr>
          <w:lang w:eastAsia="en-US"/>
        </w:rPr>
        <w:t>’s CAPM Results Should be Given Very Little, If Any, Weight Because Mr. Hill Has Relied on Erroneous Data Inputs.</w:t>
      </w:r>
      <w:bookmarkEnd w:id="15"/>
    </w:p>
    <w:bookmarkEnd w:id="14"/>
    <w:p w:rsidR="00AA31D3" w:rsidRPr="00255659" w:rsidRDefault="00AA31D3" w:rsidP="00540A76">
      <w:pPr>
        <w:pStyle w:val="question"/>
      </w:pPr>
      <w:r w:rsidRPr="00255659">
        <w:rPr>
          <w:lang w:eastAsia="en-US"/>
        </w:rPr>
        <w:t>Q.</w:t>
      </w:r>
      <w:r w:rsidRPr="00255659">
        <w:rPr>
          <w:lang w:eastAsia="en-US"/>
        </w:rPr>
        <w:tab/>
      </w:r>
      <w:r w:rsidR="001B1B6E" w:rsidRPr="00255659">
        <w:rPr>
          <w:lang w:eastAsia="en-US"/>
        </w:rPr>
        <w:t xml:space="preserve">Does </w:t>
      </w:r>
      <w:r w:rsidR="006B5168" w:rsidRPr="00255659">
        <w:rPr>
          <w:lang w:eastAsia="en-US"/>
        </w:rPr>
        <w:t>Dr.</w:t>
      </w:r>
      <w:r w:rsidR="006B5168">
        <w:rPr>
          <w:lang w:eastAsia="en-US"/>
        </w:rPr>
        <w:t> </w:t>
      </w:r>
      <w:r w:rsidR="001B1B6E" w:rsidRPr="00255659">
        <w:rPr>
          <w:lang w:eastAsia="en-US"/>
        </w:rPr>
        <w:t>Woolridge perform a CAPM analysis</w:t>
      </w:r>
      <w:r w:rsidRPr="00255659">
        <w:rPr>
          <w:lang w:eastAsia="en-US"/>
        </w:rPr>
        <w:t>?</w:t>
      </w:r>
    </w:p>
    <w:p w:rsidR="00D1741E" w:rsidRDefault="00AA31D3" w:rsidP="00540A76">
      <w:pPr>
        <w:pStyle w:val="answer"/>
        <w:rPr>
          <w:bCs/>
          <w:szCs w:val="24"/>
          <w:lang w:eastAsia="x-none"/>
        </w:rPr>
      </w:pPr>
      <w:r w:rsidRPr="00255659">
        <w:rPr>
          <w:szCs w:val="24"/>
          <w:lang w:eastAsia="en-US"/>
        </w:rPr>
        <w:t>A.</w:t>
      </w:r>
      <w:r w:rsidRPr="00255659">
        <w:rPr>
          <w:szCs w:val="24"/>
          <w:lang w:eastAsia="en-US"/>
        </w:rPr>
        <w:tab/>
        <w:t>Yes</w:t>
      </w:r>
      <w:r w:rsidR="0075009A">
        <w:rPr>
          <w:szCs w:val="24"/>
          <w:lang w:eastAsia="en-US"/>
        </w:rPr>
        <w:t xml:space="preserve">. </w:t>
      </w:r>
      <w:r w:rsidR="0075009A" w:rsidRPr="00255659">
        <w:rPr>
          <w:lang w:eastAsia="en-US"/>
        </w:rPr>
        <w:t>Dr.</w:t>
      </w:r>
      <w:r w:rsidR="0075009A">
        <w:rPr>
          <w:lang w:eastAsia="en-US"/>
        </w:rPr>
        <w:t> </w:t>
      </w:r>
      <w:r w:rsidR="0075009A" w:rsidRPr="00255659">
        <w:rPr>
          <w:lang w:eastAsia="en-US"/>
        </w:rPr>
        <w:t>Woolridge perform</w:t>
      </w:r>
      <w:r w:rsidR="0075009A">
        <w:rPr>
          <w:lang w:eastAsia="en-US"/>
        </w:rPr>
        <w:t>s</w:t>
      </w:r>
      <w:r w:rsidR="0075009A" w:rsidRPr="00255659">
        <w:rPr>
          <w:lang w:eastAsia="en-US"/>
        </w:rPr>
        <w:t xml:space="preserve"> a CAPM analysis</w:t>
      </w:r>
      <w:r w:rsidR="00D1741E">
        <w:rPr>
          <w:lang w:eastAsia="en-US"/>
        </w:rPr>
        <w:t xml:space="preserve">. </w:t>
      </w:r>
      <w:r w:rsidR="006B5168" w:rsidRPr="00255659">
        <w:rPr>
          <w:lang w:eastAsia="en-US"/>
        </w:rPr>
        <w:t>Dr.</w:t>
      </w:r>
      <w:r w:rsidR="006B5168">
        <w:rPr>
          <w:lang w:eastAsia="en-US"/>
        </w:rPr>
        <w:t> </w:t>
      </w:r>
      <w:r w:rsidRPr="00255659">
        <w:rPr>
          <w:szCs w:val="24"/>
          <w:lang w:eastAsia="en-US"/>
        </w:rPr>
        <w:t>Woolridge uses a risk-free rate of 4.0</w:t>
      </w:r>
      <w:r w:rsidR="004C0B6D">
        <w:rPr>
          <w:szCs w:val="24"/>
          <w:lang w:eastAsia="en-US"/>
        </w:rPr>
        <w:t> percent,</w:t>
      </w:r>
      <w:r w:rsidR="004C0B6D">
        <w:rPr>
          <w:rStyle w:val="FootnoteReference"/>
          <w:szCs w:val="24"/>
          <w:lang w:eastAsia="en-US"/>
        </w:rPr>
        <w:footnoteReference w:id="14"/>
      </w:r>
      <w:r w:rsidR="004C0B6D">
        <w:rPr>
          <w:szCs w:val="24"/>
          <w:lang w:eastAsia="en-US"/>
        </w:rPr>
        <w:t xml:space="preserve"> </w:t>
      </w:r>
      <w:r w:rsidRPr="00255659">
        <w:rPr>
          <w:szCs w:val="24"/>
          <w:lang w:eastAsia="en-US"/>
        </w:rPr>
        <w:t xml:space="preserve">betas of 0.68 </w:t>
      </w:r>
      <w:r w:rsidR="004C0B6D">
        <w:rPr>
          <w:szCs w:val="24"/>
          <w:lang w:eastAsia="en-US"/>
        </w:rPr>
        <w:t>for the electric and Morin proxy groups</w:t>
      </w:r>
      <w:r w:rsidR="00D1741E">
        <w:rPr>
          <w:szCs w:val="24"/>
          <w:lang w:eastAsia="en-US"/>
        </w:rPr>
        <w:t xml:space="preserve"> </w:t>
      </w:r>
      <w:r w:rsidRPr="00255659">
        <w:rPr>
          <w:szCs w:val="24"/>
          <w:lang w:eastAsia="en-US"/>
        </w:rPr>
        <w:t>and 0.70</w:t>
      </w:r>
      <w:r w:rsidR="00D1741E">
        <w:rPr>
          <w:szCs w:val="24"/>
          <w:lang w:eastAsia="en-US"/>
        </w:rPr>
        <w:t> </w:t>
      </w:r>
      <w:r w:rsidR="004C0B6D">
        <w:rPr>
          <w:szCs w:val="24"/>
          <w:lang w:eastAsia="en-US"/>
        </w:rPr>
        <w:t>for the gas proxy group</w:t>
      </w:r>
      <w:r w:rsidRPr="00255659">
        <w:rPr>
          <w:szCs w:val="24"/>
          <w:lang w:eastAsia="en-US"/>
        </w:rPr>
        <w:t>,</w:t>
      </w:r>
      <w:r w:rsidR="004C0B6D">
        <w:rPr>
          <w:rStyle w:val="FootnoteReference"/>
          <w:szCs w:val="24"/>
          <w:lang w:eastAsia="en-US"/>
        </w:rPr>
        <w:footnoteReference w:id="15"/>
      </w:r>
      <w:r w:rsidRPr="00255659">
        <w:rPr>
          <w:szCs w:val="24"/>
          <w:lang w:eastAsia="en-US"/>
        </w:rPr>
        <w:t xml:space="preserve"> and a market risk premium </w:t>
      </w:r>
      <w:r w:rsidR="001B1B6E" w:rsidRPr="00255659">
        <w:rPr>
          <w:szCs w:val="24"/>
          <w:lang w:eastAsia="en-US"/>
        </w:rPr>
        <w:t>of only 5.5</w:t>
      </w:r>
      <w:r w:rsidR="004C0B6D">
        <w:rPr>
          <w:szCs w:val="24"/>
          <w:lang w:eastAsia="en-US"/>
        </w:rPr>
        <w:t> percent</w:t>
      </w:r>
      <w:r w:rsidR="00D1741E">
        <w:rPr>
          <w:szCs w:val="24"/>
          <w:lang w:eastAsia="en-US"/>
        </w:rPr>
        <w:t>.</w:t>
      </w:r>
      <w:r w:rsidR="00D1741E">
        <w:rPr>
          <w:rStyle w:val="FootnoteReference"/>
          <w:szCs w:val="24"/>
          <w:lang w:eastAsia="en-US"/>
        </w:rPr>
        <w:footnoteReference w:id="16"/>
      </w:r>
    </w:p>
    <w:p w:rsidR="00AA31D3" w:rsidRPr="00F939A6" w:rsidRDefault="00D1741E" w:rsidP="00540A76">
      <w:pPr>
        <w:pStyle w:val="answer"/>
        <w:ind w:firstLine="0"/>
        <w:rPr>
          <w:bCs/>
          <w:szCs w:val="24"/>
          <w:lang w:eastAsia="x-none"/>
        </w:rPr>
      </w:pPr>
      <w:r>
        <w:rPr>
          <w:bCs/>
          <w:szCs w:val="24"/>
          <w:lang w:eastAsia="x-none"/>
        </w:rPr>
        <w:t xml:space="preserve">Dr. Woolridge </w:t>
      </w:r>
      <w:r w:rsidR="00AA31D3" w:rsidRPr="00255659">
        <w:rPr>
          <w:bCs/>
          <w:szCs w:val="24"/>
          <w:lang w:val="x-none" w:eastAsia="x-none"/>
        </w:rPr>
        <w:t xml:space="preserve">does not </w:t>
      </w:r>
      <w:r>
        <w:rPr>
          <w:bCs/>
          <w:szCs w:val="24"/>
          <w:lang w:eastAsia="x-none"/>
        </w:rPr>
        <w:t xml:space="preserve">appear to </w:t>
      </w:r>
      <w:r w:rsidR="00AA31D3" w:rsidRPr="00255659">
        <w:rPr>
          <w:bCs/>
          <w:szCs w:val="24"/>
          <w:lang w:val="x-none" w:eastAsia="x-none"/>
        </w:rPr>
        <w:t xml:space="preserve">rely on the CAPM to arrive at his </w:t>
      </w:r>
      <w:r>
        <w:rPr>
          <w:bCs/>
          <w:szCs w:val="24"/>
          <w:lang w:eastAsia="x-none"/>
        </w:rPr>
        <w:t xml:space="preserve">return on </w:t>
      </w:r>
      <w:r w:rsidR="00AA31D3" w:rsidRPr="00255659">
        <w:rPr>
          <w:bCs/>
          <w:szCs w:val="24"/>
          <w:lang w:val="x-none" w:eastAsia="x-none"/>
        </w:rPr>
        <w:t>recommendation,</w:t>
      </w:r>
      <w:r>
        <w:rPr>
          <w:bCs/>
          <w:szCs w:val="24"/>
          <w:lang w:eastAsia="x-none"/>
        </w:rPr>
        <w:t xml:space="preserve"> presumably because his CAPM </w:t>
      </w:r>
      <w:r w:rsidR="00F939A6">
        <w:rPr>
          <w:bCs/>
          <w:szCs w:val="24"/>
          <w:lang w:eastAsia="x-none"/>
        </w:rPr>
        <w:t>analyses suggest that (i) the returns on equity for the two proxy groups of electric utilities are only 7.6 percent and (ii) the return on equity for the proxy groups of gas utilities is only slightly higher at 7.9 percent.</w:t>
      </w:r>
      <w:r w:rsidR="00F939A6">
        <w:rPr>
          <w:rStyle w:val="FootnoteReference"/>
          <w:bCs/>
          <w:szCs w:val="24"/>
          <w:lang w:eastAsia="x-none"/>
        </w:rPr>
        <w:footnoteReference w:id="17"/>
      </w:r>
      <w:r w:rsidR="00F939A6">
        <w:rPr>
          <w:bCs/>
          <w:szCs w:val="24"/>
          <w:lang w:eastAsia="x-none"/>
        </w:rPr>
        <w:t xml:space="preserve"> These results are a </w:t>
      </w:r>
      <w:r w:rsidR="00AA31D3" w:rsidRPr="00255659">
        <w:rPr>
          <w:szCs w:val="24"/>
          <w:lang w:val="x-none" w:eastAsia="x-none"/>
        </w:rPr>
        <w:t>mere 3</w:t>
      </w:r>
      <w:r w:rsidR="00F939A6">
        <w:rPr>
          <w:szCs w:val="24"/>
          <w:lang w:eastAsia="x-none"/>
        </w:rPr>
        <w:t>6</w:t>
      </w:r>
      <w:r w:rsidR="00AA31D3" w:rsidRPr="00255659">
        <w:rPr>
          <w:szCs w:val="24"/>
          <w:lang w:val="x-none" w:eastAsia="x-none"/>
        </w:rPr>
        <w:t xml:space="preserve">0 </w:t>
      </w:r>
      <w:r w:rsidR="00F939A6">
        <w:rPr>
          <w:szCs w:val="24"/>
          <w:lang w:eastAsia="x-none"/>
        </w:rPr>
        <w:t>to 390 </w:t>
      </w:r>
      <w:r w:rsidR="00AA31D3" w:rsidRPr="00255659">
        <w:rPr>
          <w:szCs w:val="24"/>
          <w:lang w:val="x-none" w:eastAsia="x-none"/>
        </w:rPr>
        <w:t>basis points (3.</w:t>
      </w:r>
      <w:r w:rsidR="00F939A6">
        <w:rPr>
          <w:szCs w:val="24"/>
          <w:lang w:eastAsia="x-none"/>
        </w:rPr>
        <w:t>6 percent to 3.9 percent</w:t>
      </w:r>
      <w:r w:rsidR="00AA31D3" w:rsidRPr="00255659">
        <w:rPr>
          <w:szCs w:val="24"/>
          <w:lang w:val="x-none" w:eastAsia="x-none"/>
        </w:rPr>
        <w:t xml:space="preserve">) above </w:t>
      </w:r>
      <w:r w:rsidR="00F939A6">
        <w:rPr>
          <w:szCs w:val="24"/>
          <w:lang w:eastAsia="x-none"/>
        </w:rPr>
        <w:t xml:space="preserve">Dr. Woolridge’s own risk-free of </w:t>
      </w:r>
      <w:r w:rsidR="00F939A6" w:rsidRPr="00255659">
        <w:rPr>
          <w:szCs w:val="24"/>
          <w:lang w:eastAsia="en-US"/>
        </w:rPr>
        <w:t>4.0</w:t>
      </w:r>
      <w:r w:rsidR="00F939A6">
        <w:rPr>
          <w:szCs w:val="24"/>
          <w:lang w:eastAsia="en-US"/>
        </w:rPr>
        <w:t> percent</w:t>
      </w:r>
      <w:r w:rsidR="00AA31D3" w:rsidRPr="00255659">
        <w:rPr>
          <w:szCs w:val="24"/>
          <w:lang w:val="x-none" w:eastAsia="x-none"/>
        </w:rPr>
        <w:t>.</w:t>
      </w:r>
      <w:r w:rsidR="00287C5A">
        <w:rPr>
          <w:szCs w:val="24"/>
          <w:lang w:eastAsia="x-none"/>
        </w:rPr>
        <w:t xml:space="preserve"> </w:t>
      </w:r>
      <w:r w:rsidR="00AA31D3" w:rsidRPr="00255659">
        <w:rPr>
          <w:szCs w:val="24"/>
          <w:lang w:val="x-none" w:eastAsia="x-none"/>
        </w:rPr>
        <w:t>I</w:t>
      </w:r>
      <w:r w:rsidR="00F939A6">
        <w:rPr>
          <w:szCs w:val="24"/>
          <w:lang w:eastAsia="x-none"/>
        </w:rPr>
        <w:t> </w:t>
      </w:r>
      <w:r w:rsidR="00AA31D3" w:rsidRPr="00255659">
        <w:rPr>
          <w:szCs w:val="24"/>
          <w:lang w:val="x-none" w:eastAsia="x-none"/>
        </w:rPr>
        <w:t xml:space="preserve">am not aware </w:t>
      </w:r>
      <w:r w:rsidR="00F939A6">
        <w:rPr>
          <w:szCs w:val="24"/>
          <w:lang w:eastAsia="x-none"/>
        </w:rPr>
        <w:t xml:space="preserve">that </w:t>
      </w:r>
      <w:r w:rsidR="00AA31D3" w:rsidRPr="00255659">
        <w:rPr>
          <w:szCs w:val="24"/>
          <w:lang w:val="x-none" w:eastAsia="x-none"/>
        </w:rPr>
        <w:t>such an anemic risk premium would induce investors to purchase utility common stocks.</w:t>
      </w:r>
      <w:r w:rsidR="00287C5A">
        <w:rPr>
          <w:szCs w:val="24"/>
          <w:lang w:eastAsia="x-none"/>
        </w:rPr>
        <w:t xml:space="preserve"> </w:t>
      </w:r>
      <w:r w:rsidR="00AA31D3" w:rsidRPr="00255659">
        <w:rPr>
          <w:szCs w:val="24"/>
          <w:lang w:val="x-none" w:eastAsia="x-none"/>
        </w:rPr>
        <w:t xml:space="preserve">Indeed, it appears that </w:t>
      </w:r>
      <w:r w:rsidR="006B5168" w:rsidRPr="00255659">
        <w:rPr>
          <w:lang w:eastAsia="en-US"/>
        </w:rPr>
        <w:t>Dr.</w:t>
      </w:r>
      <w:r w:rsidR="006B5168">
        <w:rPr>
          <w:lang w:eastAsia="en-US"/>
        </w:rPr>
        <w:t> </w:t>
      </w:r>
      <w:r w:rsidR="00AA31D3" w:rsidRPr="00255659">
        <w:rPr>
          <w:szCs w:val="24"/>
          <w:lang w:val="x-none" w:eastAsia="x-none"/>
        </w:rPr>
        <w:t>Woolridge implicitly agrees with this conclusion</w:t>
      </w:r>
      <w:r w:rsidR="00F939A6">
        <w:rPr>
          <w:szCs w:val="24"/>
          <w:lang w:eastAsia="x-none"/>
        </w:rPr>
        <w:t xml:space="preserve"> </w:t>
      </w:r>
      <w:r w:rsidR="00AA31D3" w:rsidRPr="00255659">
        <w:rPr>
          <w:szCs w:val="24"/>
          <w:lang w:val="x-none" w:eastAsia="x-none"/>
        </w:rPr>
        <w:t xml:space="preserve">because he </w:t>
      </w:r>
      <w:r w:rsidR="00F939A6">
        <w:rPr>
          <w:szCs w:val="24"/>
          <w:lang w:eastAsia="x-none"/>
        </w:rPr>
        <w:t xml:space="preserve">appears to </w:t>
      </w:r>
      <w:r w:rsidR="00AA31D3" w:rsidRPr="00255659">
        <w:rPr>
          <w:szCs w:val="24"/>
          <w:lang w:val="x-none" w:eastAsia="x-none"/>
        </w:rPr>
        <w:t>ignore the estimates produced by his CAPM analysis.</w:t>
      </w:r>
    </w:p>
    <w:p w:rsidR="0075009A" w:rsidRPr="00255659" w:rsidRDefault="0075009A" w:rsidP="00540A76">
      <w:pPr>
        <w:pStyle w:val="Heading3"/>
        <w:rPr>
          <w:lang w:eastAsia="en-US"/>
        </w:rPr>
      </w:pPr>
      <w:bookmarkStart w:id="16" w:name="_Toc489887865"/>
      <w:r>
        <w:rPr>
          <w:lang w:eastAsia="en-US"/>
        </w:rPr>
        <w:lastRenderedPageBreak/>
        <w:t>1</w:t>
      </w:r>
      <w:r w:rsidRPr="00255659">
        <w:rPr>
          <w:lang w:eastAsia="en-US"/>
        </w:rPr>
        <w:t>.</w:t>
      </w:r>
      <w:r w:rsidRPr="00255659">
        <w:rPr>
          <w:lang w:eastAsia="en-US"/>
        </w:rPr>
        <w:tab/>
      </w:r>
      <w:r w:rsidR="00F939A6" w:rsidRPr="00255659">
        <w:rPr>
          <w:lang w:eastAsia="en-US"/>
        </w:rPr>
        <w:t>Dr.</w:t>
      </w:r>
      <w:r w:rsidR="00F939A6">
        <w:rPr>
          <w:lang w:eastAsia="en-US"/>
        </w:rPr>
        <w:t> </w:t>
      </w:r>
      <w:r w:rsidR="00F939A6" w:rsidRPr="00255659">
        <w:rPr>
          <w:snapToGrid w:val="0"/>
          <w:szCs w:val="24"/>
          <w:lang w:eastAsia="en-US"/>
        </w:rPr>
        <w:t>Woolridge Should Have Relied on Projected Long-Term Treasury Interest Rates</w:t>
      </w:r>
      <w:r w:rsidR="00F939A6">
        <w:rPr>
          <w:snapToGrid w:val="0"/>
          <w:szCs w:val="24"/>
          <w:lang w:eastAsia="en-US"/>
        </w:rPr>
        <w:t xml:space="preserve"> in Selecting a Risk-Free Rate for His CAPM Analyses</w:t>
      </w:r>
      <w:bookmarkEnd w:id="16"/>
    </w:p>
    <w:p w:rsidR="00AA31D3" w:rsidRPr="00255659" w:rsidRDefault="00AA31D3" w:rsidP="00540A76">
      <w:pPr>
        <w:pStyle w:val="question"/>
      </w:pPr>
      <w:r w:rsidRPr="00255659">
        <w:rPr>
          <w:lang w:eastAsia="en-US"/>
        </w:rPr>
        <w:t>Q.</w:t>
      </w:r>
      <w:r w:rsidRPr="00255659">
        <w:rPr>
          <w:lang w:eastAsia="en-US"/>
        </w:rPr>
        <w:tab/>
      </w:r>
      <w:r w:rsidR="00313E52">
        <w:rPr>
          <w:lang w:eastAsia="en-US"/>
        </w:rPr>
        <w:t>Is Dr. </w:t>
      </w:r>
      <w:r w:rsidR="001B1B6E" w:rsidRPr="00255659">
        <w:rPr>
          <w:lang w:eastAsia="en-US"/>
        </w:rPr>
        <w:t>Woolridge</w:t>
      </w:r>
      <w:r w:rsidR="00255659">
        <w:rPr>
          <w:lang w:eastAsia="en-US"/>
        </w:rPr>
        <w:t>’</w:t>
      </w:r>
      <w:r w:rsidR="001B1B6E" w:rsidRPr="00255659">
        <w:rPr>
          <w:lang w:eastAsia="en-US"/>
        </w:rPr>
        <w:t xml:space="preserve">s risk-free rate estimate </w:t>
      </w:r>
      <w:r w:rsidR="00313E52">
        <w:rPr>
          <w:lang w:eastAsia="en-US"/>
        </w:rPr>
        <w:t xml:space="preserve">of 4.0 percent reasonable for the </w:t>
      </w:r>
      <w:r w:rsidR="001B1B6E" w:rsidRPr="00255659">
        <w:rPr>
          <w:lang w:eastAsia="en-US"/>
        </w:rPr>
        <w:t>CAPM analysis</w:t>
      </w:r>
      <w:r w:rsidRPr="00255659">
        <w:rPr>
          <w:lang w:eastAsia="en-US"/>
        </w:rPr>
        <w:t>?</w:t>
      </w:r>
    </w:p>
    <w:p w:rsidR="00E924BF" w:rsidRDefault="00AA31D3" w:rsidP="00540A76">
      <w:pPr>
        <w:pStyle w:val="answer"/>
        <w:rPr>
          <w:snapToGrid w:val="0"/>
          <w:szCs w:val="24"/>
          <w:lang w:eastAsia="en-US"/>
        </w:rPr>
      </w:pPr>
      <w:r w:rsidRPr="00255659">
        <w:rPr>
          <w:bCs/>
          <w:szCs w:val="24"/>
          <w:lang w:eastAsia="en-US"/>
        </w:rPr>
        <w:t>A.</w:t>
      </w:r>
      <w:r w:rsidRPr="00255659">
        <w:rPr>
          <w:bCs/>
          <w:szCs w:val="24"/>
          <w:lang w:eastAsia="en-US"/>
        </w:rPr>
        <w:tab/>
        <w:t>No.</w:t>
      </w:r>
      <w:r w:rsidR="00287C5A">
        <w:rPr>
          <w:bCs/>
          <w:szCs w:val="24"/>
          <w:lang w:eastAsia="en-US"/>
        </w:rPr>
        <w:t xml:space="preserve"> </w:t>
      </w:r>
      <w:r w:rsidR="006B5168" w:rsidRPr="00255659">
        <w:rPr>
          <w:lang w:eastAsia="en-US"/>
        </w:rPr>
        <w:t>Dr.</w:t>
      </w:r>
      <w:r w:rsidR="006B5168">
        <w:rPr>
          <w:lang w:eastAsia="en-US"/>
        </w:rPr>
        <w:t> </w:t>
      </w:r>
      <w:r w:rsidRPr="00255659">
        <w:rPr>
          <w:szCs w:val="24"/>
          <w:lang w:eastAsia="en-US"/>
        </w:rPr>
        <w:t>Woolridge</w:t>
      </w:r>
      <w:r w:rsidR="00255659">
        <w:rPr>
          <w:szCs w:val="24"/>
          <w:lang w:eastAsia="en-US"/>
        </w:rPr>
        <w:t>’</w:t>
      </w:r>
      <w:r w:rsidRPr="00255659">
        <w:rPr>
          <w:szCs w:val="24"/>
          <w:lang w:eastAsia="en-US"/>
        </w:rPr>
        <w:t>s risk-free rate assumption of 4.0</w:t>
      </w:r>
      <w:r w:rsidR="00313E52">
        <w:rPr>
          <w:szCs w:val="24"/>
          <w:lang w:eastAsia="en-US"/>
        </w:rPr>
        <w:t xml:space="preserve"> percent is </w:t>
      </w:r>
      <w:r w:rsidRPr="00255659">
        <w:rPr>
          <w:szCs w:val="24"/>
          <w:lang w:eastAsia="en-US"/>
        </w:rPr>
        <w:t xml:space="preserve">too low </w:t>
      </w:r>
      <w:r w:rsidRPr="00255659">
        <w:rPr>
          <w:snapToGrid w:val="0"/>
          <w:szCs w:val="24"/>
          <w:lang w:eastAsia="en-US"/>
        </w:rPr>
        <w:t>for purposes of applying the CAPM</w:t>
      </w:r>
      <w:r w:rsidRPr="00255659">
        <w:rPr>
          <w:szCs w:val="24"/>
          <w:lang w:eastAsia="en-US"/>
        </w:rPr>
        <w:t>. Interest rate forecasts are much higher.</w:t>
      </w:r>
      <w:r w:rsidR="00287C5A">
        <w:rPr>
          <w:szCs w:val="24"/>
          <w:lang w:eastAsia="en-US"/>
        </w:rPr>
        <w:t xml:space="preserve"> </w:t>
      </w:r>
      <w:r w:rsidRPr="00255659">
        <w:rPr>
          <w:bCs/>
          <w:szCs w:val="24"/>
          <w:lang w:eastAsia="en-US"/>
        </w:rPr>
        <w:t xml:space="preserve">All the economic forecasts </w:t>
      </w:r>
      <w:r w:rsidR="00313E52">
        <w:rPr>
          <w:bCs/>
          <w:szCs w:val="24"/>
          <w:lang w:eastAsia="en-US"/>
        </w:rPr>
        <w:t xml:space="preserve">of which </w:t>
      </w:r>
      <w:r w:rsidRPr="00255659">
        <w:rPr>
          <w:bCs/>
          <w:szCs w:val="24"/>
          <w:lang w:eastAsia="en-US"/>
        </w:rPr>
        <w:t xml:space="preserve">I am aware call for a substantial increase in interest rates. </w:t>
      </w:r>
      <w:r w:rsidRPr="00255659">
        <w:rPr>
          <w:snapToGrid w:val="0"/>
          <w:szCs w:val="24"/>
          <w:lang w:eastAsia="en-US"/>
        </w:rPr>
        <w:t xml:space="preserve">As shown in my prefiled direct testimony in this proceeding, </w:t>
      </w:r>
      <w:r w:rsidR="00313E52">
        <w:rPr>
          <w:snapToGrid w:val="0"/>
          <w:szCs w:val="24"/>
          <w:lang w:eastAsia="en-US"/>
        </w:rPr>
        <w:t xml:space="preserve">each of </w:t>
      </w:r>
      <w:r w:rsidRPr="00255659">
        <w:rPr>
          <w:snapToGrid w:val="0"/>
          <w:szCs w:val="24"/>
          <w:lang w:eastAsia="en-US"/>
        </w:rPr>
        <w:t xml:space="preserve">the Congressional Budget Office, the U.S. Department of Labor, the U.S. Energy Information Administration, </w:t>
      </w:r>
      <w:r w:rsidRPr="00B97282">
        <w:rPr>
          <w:snapToGrid w:val="0"/>
          <w:szCs w:val="24"/>
          <w:lang w:eastAsia="en-US"/>
        </w:rPr>
        <w:t>Global Insight</w:t>
      </w:r>
      <w:r w:rsidRPr="00255659">
        <w:rPr>
          <w:snapToGrid w:val="0"/>
          <w:szCs w:val="24"/>
          <w:lang w:eastAsia="en-US"/>
        </w:rPr>
        <w:t xml:space="preserve">, and </w:t>
      </w:r>
      <w:r w:rsidR="00B97282" w:rsidRPr="00255659">
        <w:rPr>
          <w:lang w:eastAsia="en-US"/>
        </w:rPr>
        <w:t>Value Line</w:t>
      </w:r>
      <w:r w:rsidRPr="00255659">
        <w:rPr>
          <w:snapToGrid w:val="0"/>
          <w:szCs w:val="24"/>
          <w:lang w:eastAsia="en-US"/>
        </w:rPr>
        <w:t xml:space="preserve"> project</w:t>
      </w:r>
      <w:r w:rsidR="00313E52">
        <w:rPr>
          <w:snapToGrid w:val="0"/>
          <w:szCs w:val="24"/>
          <w:lang w:eastAsia="en-US"/>
        </w:rPr>
        <w:t>s</w:t>
      </w:r>
      <w:r w:rsidRPr="00255659">
        <w:rPr>
          <w:snapToGrid w:val="0"/>
          <w:szCs w:val="24"/>
          <w:lang w:eastAsia="en-US"/>
        </w:rPr>
        <w:t xml:space="preserve"> higher long-term Treasury interest rates</w:t>
      </w:r>
      <w:r w:rsidR="00313E52">
        <w:rPr>
          <w:snapToGrid w:val="0"/>
          <w:szCs w:val="24"/>
          <w:lang w:eastAsia="en-US"/>
        </w:rPr>
        <w:t xml:space="preserve">, with an average </w:t>
      </w:r>
      <w:r w:rsidRPr="00255659">
        <w:rPr>
          <w:snapToGrid w:val="0"/>
          <w:szCs w:val="24"/>
          <w:lang w:eastAsia="en-US"/>
        </w:rPr>
        <w:t>of 4.4</w:t>
      </w:r>
      <w:r w:rsidR="00313E52">
        <w:rPr>
          <w:snapToGrid w:val="0"/>
          <w:szCs w:val="24"/>
          <w:lang w:eastAsia="en-US"/>
        </w:rPr>
        <w:t> percent</w:t>
      </w:r>
      <w:r w:rsidR="00313E52">
        <w:rPr>
          <w:rStyle w:val="FootnoteReference"/>
          <w:snapToGrid w:val="0"/>
          <w:szCs w:val="24"/>
          <w:lang w:eastAsia="en-US"/>
        </w:rPr>
        <w:footnoteReference w:id="18"/>
      </w:r>
      <w:r w:rsidRPr="00255659">
        <w:rPr>
          <w:snapToGrid w:val="0"/>
          <w:szCs w:val="24"/>
          <w:lang w:eastAsia="en-US"/>
        </w:rPr>
        <w:t>.</w:t>
      </w:r>
    </w:p>
    <w:p w:rsidR="00AA31D3" w:rsidRPr="00255659" w:rsidRDefault="006B5168" w:rsidP="00540A76">
      <w:pPr>
        <w:pStyle w:val="answer"/>
        <w:ind w:firstLine="0"/>
        <w:rPr>
          <w:szCs w:val="24"/>
          <w:lang w:eastAsia="en-US"/>
        </w:rPr>
      </w:pPr>
      <w:r w:rsidRPr="00255659">
        <w:rPr>
          <w:lang w:eastAsia="en-US"/>
        </w:rPr>
        <w:t>Dr.</w:t>
      </w:r>
      <w:r>
        <w:rPr>
          <w:lang w:eastAsia="en-US"/>
        </w:rPr>
        <w:t> </w:t>
      </w:r>
      <w:r w:rsidR="00AA31D3" w:rsidRPr="00255659">
        <w:rPr>
          <w:snapToGrid w:val="0"/>
          <w:szCs w:val="24"/>
          <w:lang w:eastAsia="en-US"/>
        </w:rPr>
        <w:t xml:space="preserve">Woolridge should have </w:t>
      </w:r>
      <w:r w:rsidR="00E924BF">
        <w:rPr>
          <w:snapToGrid w:val="0"/>
          <w:szCs w:val="24"/>
          <w:lang w:eastAsia="en-US"/>
        </w:rPr>
        <w:t xml:space="preserve">similarly </w:t>
      </w:r>
      <w:r w:rsidR="00AA31D3" w:rsidRPr="00255659">
        <w:rPr>
          <w:snapToGrid w:val="0"/>
          <w:szCs w:val="24"/>
          <w:lang w:eastAsia="en-US"/>
        </w:rPr>
        <w:t>relied on projected long-term Treasury interest rates for the simple reason that investors price securities on the basis of long-term expectations, including interest rates.</w:t>
      </w:r>
      <w:r w:rsidR="00287C5A">
        <w:rPr>
          <w:snapToGrid w:val="0"/>
          <w:szCs w:val="24"/>
          <w:lang w:eastAsia="en-US"/>
        </w:rPr>
        <w:t xml:space="preserve"> </w:t>
      </w:r>
      <w:r w:rsidR="00AA31D3" w:rsidRPr="00255659">
        <w:rPr>
          <w:snapToGrid w:val="0"/>
          <w:szCs w:val="24"/>
          <w:lang w:eastAsia="en-US"/>
        </w:rPr>
        <w:t xml:space="preserve">Cost of capital estimates, including CAPM estimates, are prospective (i.e. forward-looking) in nature and must take into account current market expectations for the future. </w:t>
      </w:r>
      <w:r w:rsidRPr="00255659">
        <w:rPr>
          <w:lang w:eastAsia="en-US"/>
        </w:rPr>
        <w:t>Dr.</w:t>
      </w:r>
      <w:r>
        <w:rPr>
          <w:lang w:eastAsia="en-US"/>
        </w:rPr>
        <w:t> </w:t>
      </w:r>
      <w:r w:rsidR="00AA31D3" w:rsidRPr="00255659">
        <w:rPr>
          <w:snapToGrid w:val="0"/>
          <w:szCs w:val="24"/>
          <w:lang w:eastAsia="en-US"/>
        </w:rPr>
        <w:t>Woolridge significantly understates his CAPM projections by using a risk-free rate that is 40</w:t>
      </w:r>
      <w:r w:rsidR="00E924BF">
        <w:rPr>
          <w:snapToGrid w:val="0"/>
          <w:szCs w:val="24"/>
          <w:lang w:eastAsia="en-US"/>
        </w:rPr>
        <w:t> </w:t>
      </w:r>
      <w:r w:rsidR="00AA31D3" w:rsidRPr="00255659">
        <w:rPr>
          <w:snapToGrid w:val="0"/>
          <w:szCs w:val="24"/>
          <w:lang w:eastAsia="en-US"/>
        </w:rPr>
        <w:t>basis points (4.4% - 4.0% = 0.4%) lower than projected.</w:t>
      </w:r>
    </w:p>
    <w:p w:rsidR="0075009A" w:rsidRPr="00255659" w:rsidRDefault="0075009A" w:rsidP="00540A76">
      <w:pPr>
        <w:pStyle w:val="Heading3"/>
        <w:rPr>
          <w:lang w:eastAsia="en-US"/>
        </w:rPr>
      </w:pPr>
      <w:bookmarkStart w:id="17" w:name="_Toc489887866"/>
      <w:r>
        <w:rPr>
          <w:lang w:eastAsia="en-US"/>
        </w:rPr>
        <w:lastRenderedPageBreak/>
        <w:t>2</w:t>
      </w:r>
      <w:r w:rsidRPr="00255659">
        <w:rPr>
          <w:lang w:eastAsia="en-US"/>
        </w:rPr>
        <w:t>.</w:t>
      </w:r>
      <w:r w:rsidRPr="00255659">
        <w:rPr>
          <w:lang w:eastAsia="en-US"/>
        </w:rPr>
        <w:tab/>
      </w:r>
      <w:r w:rsidR="00D25D7C" w:rsidRPr="00255659">
        <w:rPr>
          <w:lang w:eastAsia="en-US"/>
        </w:rPr>
        <w:t>Dr.</w:t>
      </w:r>
      <w:r w:rsidR="00D25D7C">
        <w:rPr>
          <w:lang w:eastAsia="en-US"/>
        </w:rPr>
        <w:t> </w:t>
      </w:r>
      <w:r w:rsidR="00D25D7C" w:rsidRPr="00255659">
        <w:rPr>
          <w:bCs/>
          <w:szCs w:val="24"/>
          <w:lang w:eastAsia="en-US"/>
        </w:rPr>
        <w:t xml:space="preserve">Woolridge </w:t>
      </w:r>
      <w:r w:rsidR="00D25D7C">
        <w:rPr>
          <w:bCs/>
          <w:szCs w:val="24"/>
          <w:lang w:eastAsia="en-US"/>
        </w:rPr>
        <w:t>S</w:t>
      </w:r>
      <w:r w:rsidR="00D25D7C" w:rsidRPr="00255659">
        <w:rPr>
          <w:bCs/>
          <w:szCs w:val="24"/>
          <w:lang w:eastAsia="en-US"/>
        </w:rPr>
        <w:t xml:space="preserve">hould </w:t>
      </w:r>
      <w:r w:rsidR="00D25D7C">
        <w:rPr>
          <w:bCs/>
          <w:szCs w:val="24"/>
          <w:lang w:eastAsia="en-US"/>
        </w:rPr>
        <w:t>H</w:t>
      </w:r>
      <w:r w:rsidR="00D25D7C" w:rsidRPr="00255659">
        <w:rPr>
          <w:bCs/>
          <w:szCs w:val="24"/>
          <w:lang w:eastAsia="en-US"/>
        </w:rPr>
        <w:t xml:space="preserve">ave </w:t>
      </w:r>
      <w:r w:rsidR="00D25D7C">
        <w:rPr>
          <w:bCs/>
          <w:szCs w:val="24"/>
          <w:lang w:eastAsia="en-US"/>
        </w:rPr>
        <w:t>R</w:t>
      </w:r>
      <w:r w:rsidR="00D25D7C" w:rsidRPr="00255659">
        <w:rPr>
          <w:bCs/>
          <w:szCs w:val="24"/>
          <w:lang w:eastAsia="en-US"/>
        </w:rPr>
        <w:t xml:space="preserve">elied on Mean Estimates of Value Line </w:t>
      </w:r>
      <w:r w:rsidR="00D25D7C">
        <w:rPr>
          <w:bCs/>
          <w:szCs w:val="24"/>
          <w:lang w:eastAsia="en-US"/>
        </w:rPr>
        <w:t>B</w:t>
      </w:r>
      <w:r w:rsidR="00D25D7C" w:rsidRPr="00255659">
        <w:rPr>
          <w:bCs/>
          <w:szCs w:val="24"/>
          <w:lang w:eastAsia="en-US"/>
        </w:rPr>
        <w:t xml:space="preserve">etas </w:t>
      </w:r>
      <w:r w:rsidR="00D25D7C">
        <w:rPr>
          <w:bCs/>
          <w:szCs w:val="24"/>
          <w:lang w:eastAsia="en-US"/>
        </w:rPr>
        <w:t>R</w:t>
      </w:r>
      <w:r w:rsidR="00D25D7C" w:rsidRPr="00255659">
        <w:rPr>
          <w:bCs/>
          <w:szCs w:val="24"/>
          <w:lang w:eastAsia="en-US"/>
        </w:rPr>
        <w:t xml:space="preserve">ather than on </w:t>
      </w:r>
      <w:r w:rsidR="00D25D7C">
        <w:rPr>
          <w:bCs/>
          <w:szCs w:val="24"/>
          <w:lang w:eastAsia="en-US"/>
        </w:rPr>
        <w:t>M</w:t>
      </w:r>
      <w:r w:rsidR="00D25D7C" w:rsidRPr="00255659">
        <w:rPr>
          <w:bCs/>
          <w:szCs w:val="24"/>
          <w:lang w:eastAsia="en-US"/>
        </w:rPr>
        <w:t xml:space="preserve">edian </w:t>
      </w:r>
      <w:r w:rsidR="00D25D7C">
        <w:rPr>
          <w:bCs/>
          <w:szCs w:val="24"/>
          <w:lang w:eastAsia="en-US"/>
        </w:rPr>
        <w:t>E</w:t>
      </w:r>
      <w:r w:rsidR="00D25D7C" w:rsidRPr="00255659">
        <w:rPr>
          <w:bCs/>
          <w:szCs w:val="24"/>
          <w:lang w:eastAsia="en-US"/>
        </w:rPr>
        <w:t>stimates</w:t>
      </w:r>
      <w:r w:rsidR="00D25D7C">
        <w:rPr>
          <w:bCs/>
          <w:szCs w:val="24"/>
          <w:lang w:eastAsia="en-US"/>
        </w:rPr>
        <w:t xml:space="preserve"> of </w:t>
      </w:r>
      <w:r w:rsidR="00D25D7C" w:rsidRPr="00255659">
        <w:rPr>
          <w:bCs/>
          <w:szCs w:val="24"/>
          <w:lang w:eastAsia="en-US"/>
        </w:rPr>
        <w:t xml:space="preserve">Value Line </w:t>
      </w:r>
      <w:r w:rsidR="00D25D7C">
        <w:rPr>
          <w:bCs/>
          <w:szCs w:val="24"/>
          <w:lang w:eastAsia="en-US"/>
        </w:rPr>
        <w:t>B</w:t>
      </w:r>
      <w:r w:rsidR="00D25D7C" w:rsidRPr="00255659">
        <w:rPr>
          <w:bCs/>
          <w:szCs w:val="24"/>
          <w:lang w:eastAsia="en-US"/>
        </w:rPr>
        <w:t>etas</w:t>
      </w:r>
      <w:bookmarkEnd w:id="17"/>
    </w:p>
    <w:p w:rsidR="00AA31D3" w:rsidRPr="00255659" w:rsidRDefault="00AA31D3" w:rsidP="00540A76">
      <w:pPr>
        <w:pStyle w:val="question"/>
      </w:pPr>
      <w:r w:rsidRPr="00255659">
        <w:rPr>
          <w:lang w:eastAsia="en-US"/>
        </w:rPr>
        <w:t>Q.</w:t>
      </w:r>
      <w:r w:rsidRPr="00255659">
        <w:rPr>
          <w:lang w:eastAsia="en-US"/>
        </w:rPr>
        <w:tab/>
      </w:r>
      <w:r w:rsidR="006B5168" w:rsidRPr="00255659">
        <w:rPr>
          <w:lang w:eastAsia="en-US"/>
        </w:rPr>
        <w:t>Dr.</w:t>
      </w:r>
      <w:r w:rsidR="006B5168">
        <w:rPr>
          <w:lang w:eastAsia="en-US"/>
        </w:rPr>
        <w:t> </w:t>
      </w:r>
      <w:r w:rsidR="001B1B6E" w:rsidRPr="00255659">
        <w:rPr>
          <w:lang w:eastAsia="en-US"/>
        </w:rPr>
        <w:t xml:space="preserve">Morin, do you agree with </w:t>
      </w:r>
      <w:r w:rsidR="006B5168" w:rsidRPr="00255659">
        <w:rPr>
          <w:lang w:eastAsia="en-US"/>
        </w:rPr>
        <w:t>Dr.</w:t>
      </w:r>
      <w:r w:rsidR="006B5168">
        <w:rPr>
          <w:lang w:eastAsia="en-US"/>
        </w:rPr>
        <w:t> </w:t>
      </w:r>
      <w:r w:rsidR="001B1B6E" w:rsidRPr="00255659">
        <w:rPr>
          <w:lang w:eastAsia="en-US"/>
        </w:rPr>
        <w:t>Woolridge</w:t>
      </w:r>
      <w:r w:rsidR="00255659">
        <w:rPr>
          <w:lang w:eastAsia="en-US"/>
        </w:rPr>
        <w:t>’</w:t>
      </w:r>
      <w:r w:rsidR="001B1B6E" w:rsidRPr="00255659">
        <w:rPr>
          <w:lang w:eastAsia="en-US"/>
        </w:rPr>
        <w:t>s beta estimate in the CAPM analysis</w:t>
      </w:r>
      <w:r w:rsidRPr="00255659">
        <w:rPr>
          <w:lang w:eastAsia="en-US"/>
        </w:rPr>
        <w:t>?</w:t>
      </w:r>
    </w:p>
    <w:p w:rsidR="00AA31D3" w:rsidRPr="00255659" w:rsidRDefault="00AA31D3" w:rsidP="00540A76">
      <w:pPr>
        <w:pStyle w:val="answer"/>
        <w:rPr>
          <w:szCs w:val="24"/>
          <w:lang w:eastAsia="en-US"/>
        </w:rPr>
      </w:pPr>
      <w:r w:rsidRPr="00255659">
        <w:rPr>
          <w:bCs/>
          <w:szCs w:val="24"/>
          <w:lang w:eastAsia="en-US"/>
        </w:rPr>
        <w:t>A.</w:t>
      </w:r>
      <w:r w:rsidRPr="00255659">
        <w:rPr>
          <w:bCs/>
          <w:szCs w:val="24"/>
          <w:lang w:eastAsia="en-US"/>
        </w:rPr>
        <w:tab/>
        <w:t>No, I do not.</w:t>
      </w:r>
      <w:r w:rsidR="00287C5A">
        <w:rPr>
          <w:bCs/>
          <w:szCs w:val="24"/>
          <w:lang w:eastAsia="en-US"/>
        </w:rPr>
        <w:t xml:space="preserve"> </w:t>
      </w:r>
      <w:r w:rsidRPr="00255659">
        <w:rPr>
          <w:bCs/>
          <w:szCs w:val="24"/>
          <w:lang w:eastAsia="en-US"/>
        </w:rPr>
        <w:t xml:space="preserve">As discussed earlier, </w:t>
      </w:r>
      <w:r w:rsidR="006B5168" w:rsidRPr="00255659">
        <w:rPr>
          <w:lang w:eastAsia="en-US"/>
        </w:rPr>
        <w:t>Dr.</w:t>
      </w:r>
      <w:r w:rsidR="006B5168">
        <w:rPr>
          <w:lang w:eastAsia="en-US"/>
        </w:rPr>
        <w:t> </w:t>
      </w:r>
      <w:r w:rsidRPr="00255659">
        <w:rPr>
          <w:bCs/>
          <w:szCs w:val="24"/>
          <w:lang w:eastAsia="en-US"/>
        </w:rPr>
        <w:t>Woolridge should have relied on mean estimates of Value Line betas r</w:t>
      </w:r>
      <w:r w:rsidR="001B1B6E" w:rsidRPr="00255659">
        <w:rPr>
          <w:bCs/>
          <w:szCs w:val="24"/>
          <w:lang w:eastAsia="en-US"/>
        </w:rPr>
        <w:t>ather than on median estimates.</w:t>
      </w:r>
    </w:p>
    <w:p w:rsidR="0075009A" w:rsidRPr="00255659" w:rsidRDefault="0075009A" w:rsidP="00540A76">
      <w:pPr>
        <w:pStyle w:val="Heading3"/>
        <w:rPr>
          <w:lang w:eastAsia="en-US"/>
        </w:rPr>
      </w:pPr>
      <w:bookmarkStart w:id="18" w:name="_Toc109272652"/>
      <w:bookmarkStart w:id="19" w:name="_Toc489887867"/>
      <w:r>
        <w:rPr>
          <w:lang w:eastAsia="en-US"/>
        </w:rPr>
        <w:t>3</w:t>
      </w:r>
      <w:r w:rsidRPr="00255659">
        <w:rPr>
          <w:lang w:eastAsia="en-US"/>
        </w:rPr>
        <w:t>.</w:t>
      </w:r>
      <w:r w:rsidRPr="00255659">
        <w:rPr>
          <w:lang w:eastAsia="en-US"/>
        </w:rPr>
        <w:tab/>
        <w:t>CAPM Market Risk Premium</w:t>
      </w:r>
      <w:bookmarkEnd w:id="19"/>
    </w:p>
    <w:p w:rsidR="00AA31D3" w:rsidRPr="00255659" w:rsidRDefault="00AA31D3" w:rsidP="00540A76">
      <w:pPr>
        <w:pStyle w:val="question"/>
      </w:pPr>
      <w:r w:rsidRPr="00255659">
        <w:t>Q.</w:t>
      </w:r>
      <w:r w:rsidRPr="00255659">
        <w:tab/>
      </w:r>
      <w:r w:rsidR="001B1B6E" w:rsidRPr="00255659">
        <w:t xml:space="preserve">How does </w:t>
      </w:r>
      <w:r w:rsidR="006B5168" w:rsidRPr="00255659">
        <w:rPr>
          <w:lang w:eastAsia="en-US"/>
        </w:rPr>
        <w:t>Dr.</w:t>
      </w:r>
      <w:r w:rsidR="006B5168">
        <w:rPr>
          <w:lang w:eastAsia="en-US"/>
        </w:rPr>
        <w:t> </w:t>
      </w:r>
      <w:r w:rsidR="001B1B6E" w:rsidRPr="00255659">
        <w:t xml:space="preserve">Woolridge estimate the </w:t>
      </w:r>
      <w:r w:rsidR="00795515">
        <w:t xml:space="preserve">market risk premium </w:t>
      </w:r>
      <w:r w:rsidR="001B1B6E" w:rsidRPr="00255659">
        <w:t>component of the CAPM?</w:t>
      </w:r>
    </w:p>
    <w:p w:rsidR="00AA31D3" w:rsidRPr="00255659" w:rsidRDefault="00AA31D3" w:rsidP="00540A76">
      <w:pPr>
        <w:pStyle w:val="answer"/>
        <w:rPr>
          <w:szCs w:val="24"/>
          <w:lang w:eastAsia="en-US"/>
        </w:rPr>
      </w:pPr>
      <w:r w:rsidRPr="00255659">
        <w:rPr>
          <w:szCs w:val="24"/>
          <w:lang w:val="x-none" w:eastAsia="x-none"/>
        </w:rPr>
        <w:t>A.</w:t>
      </w:r>
      <w:r w:rsidRPr="00255659">
        <w:rPr>
          <w:szCs w:val="24"/>
          <w:lang w:val="x-none" w:eastAsia="x-none"/>
        </w:rPr>
        <w:tab/>
        <w:t xml:space="preserve">In order to determine the </w:t>
      </w:r>
      <w:r w:rsidR="00795515">
        <w:rPr>
          <w:szCs w:val="24"/>
          <w:lang w:eastAsia="x-none"/>
        </w:rPr>
        <w:t xml:space="preserve">market risk premium </w:t>
      </w:r>
      <w:r w:rsidRPr="00255659">
        <w:rPr>
          <w:szCs w:val="24"/>
          <w:lang w:val="x-none" w:eastAsia="x-none"/>
        </w:rPr>
        <w:t xml:space="preserve">component of the CAPM, </w:t>
      </w:r>
      <w:r w:rsidR="006B5168" w:rsidRPr="00255659">
        <w:rPr>
          <w:lang w:eastAsia="en-US"/>
        </w:rPr>
        <w:t>Dr.</w:t>
      </w:r>
      <w:r w:rsidR="006B5168">
        <w:rPr>
          <w:lang w:eastAsia="en-US"/>
        </w:rPr>
        <w:t> </w:t>
      </w:r>
      <w:r w:rsidRPr="00255659">
        <w:rPr>
          <w:szCs w:val="24"/>
          <w:lang w:val="x-none" w:eastAsia="x-none"/>
        </w:rPr>
        <w:t>Woolridge compiles a list of selected empirical studies of equity risk premiums published in academic and trade publications.</w:t>
      </w:r>
      <w:r w:rsidR="00287C5A">
        <w:rPr>
          <w:szCs w:val="24"/>
          <w:lang w:eastAsia="x-none"/>
        </w:rPr>
        <w:t xml:space="preserve"> </w:t>
      </w:r>
      <w:r w:rsidRPr="00255659">
        <w:rPr>
          <w:szCs w:val="24"/>
          <w:lang w:val="x-none" w:eastAsia="x-none"/>
        </w:rPr>
        <w:t xml:space="preserve">The average </w:t>
      </w:r>
      <w:r w:rsidR="00795515">
        <w:rPr>
          <w:szCs w:val="24"/>
          <w:lang w:eastAsia="x-none"/>
        </w:rPr>
        <w:t xml:space="preserve">market risk premium </w:t>
      </w:r>
      <w:r w:rsidRPr="00255659">
        <w:rPr>
          <w:szCs w:val="24"/>
          <w:lang w:val="x-none" w:eastAsia="x-none"/>
        </w:rPr>
        <w:t>from all these studies is 4.66</w:t>
      </w:r>
      <w:r w:rsidR="00795515">
        <w:rPr>
          <w:szCs w:val="24"/>
          <w:lang w:eastAsia="x-none"/>
        </w:rPr>
        <w:t> percent</w:t>
      </w:r>
      <w:r w:rsidRPr="00255659">
        <w:rPr>
          <w:szCs w:val="24"/>
          <w:lang w:val="x-none" w:eastAsia="x-none"/>
        </w:rPr>
        <w:t>.</w:t>
      </w:r>
      <w:r w:rsidR="00795515">
        <w:rPr>
          <w:rStyle w:val="FootnoteReference"/>
          <w:szCs w:val="24"/>
          <w:lang w:val="x-none" w:eastAsia="x-none"/>
        </w:rPr>
        <w:footnoteReference w:id="19"/>
      </w:r>
      <w:r w:rsidR="00287C5A">
        <w:rPr>
          <w:szCs w:val="24"/>
          <w:lang w:eastAsia="x-none"/>
        </w:rPr>
        <w:t xml:space="preserve"> </w:t>
      </w:r>
      <w:r w:rsidRPr="00255659">
        <w:rPr>
          <w:szCs w:val="24"/>
          <w:lang w:val="x-none" w:eastAsia="x-none"/>
        </w:rPr>
        <w:t xml:space="preserve">If the studies prior to 2010 are discarded, the </w:t>
      </w:r>
      <w:r w:rsidR="00795515" w:rsidRPr="00255659">
        <w:rPr>
          <w:szCs w:val="24"/>
          <w:lang w:val="x-none" w:eastAsia="x-none"/>
        </w:rPr>
        <w:t xml:space="preserve">average </w:t>
      </w:r>
      <w:r w:rsidR="00795515">
        <w:rPr>
          <w:szCs w:val="24"/>
          <w:lang w:eastAsia="x-none"/>
        </w:rPr>
        <w:t xml:space="preserve">market risk premium </w:t>
      </w:r>
      <w:r w:rsidRPr="00255659">
        <w:rPr>
          <w:szCs w:val="24"/>
          <w:lang w:val="x-none" w:eastAsia="x-none"/>
        </w:rPr>
        <w:t>is 4.86</w:t>
      </w:r>
      <w:r w:rsidR="00795515">
        <w:rPr>
          <w:szCs w:val="24"/>
          <w:lang w:eastAsia="x-none"/>
        </w:rPr>
        <w:t> percent</w:t>
      </w:r>
      <w:r w:rsidRPr="00255659">
        <w:rPr>
          <w:szCs w:val="24"/>
          <w:lang w:val="x-none" w:eastAsia="x-none"/>
        </w:rPr>
        <w:t>.</w:t>
      </w:r>
      <w:r w:rsidR="00287C5A">
        <w:rPr>
          <w:szCs w:val="24"/>
          <w:lang w:eastAsia="x-none"/>
        </w:rPr>
        <w:t xml:space="preserve"> </w:t>
      </w:r>
      <w:r w:rsidRPr="00255659">
        <w:rPr>
          <w:szCs w:val="24"/>
          <w:lang w:val="x-none" w:eastAsia="x-none"/>
        </w:rPr>
        <w:t xml:space="preserve">Because several more recent studies have noted an increase in the </w:t>
      </w:r>
      <w:r w:rsidR="00795515">
        <w:rPr>
          <w:szCs w:val="24"/>
          <w:lang w:eastAsia="x-none"/>
        </w:rPr>
        <w:t>market risk premium</w:t>
      </w:r>
      <w:r w:rsidRPr="00255659">
        <w:rPr>
          <w:szCs w:val="24"/>
          <w:lang w:val="x-none" w:eastAsia="x-none"/>
        </w:rPr>
        <w:t xml:space="preserve">,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szCs w:val="24"/>
          <w:lang w:val="x-none" w:eastAsia="x-none"/>
        </w:rPr>
        <w:t xml:space="preserve"> </w:t>
      </w:r>
      <w:r w:rsidR="00795515">
        <w:rPr>
          <w:szCs w:val="24"/>
          <w:lang w:eastAsia="x-none"/>
        </w:rPr>
        <w:t xml:space="preserve">uses </w:t>
      </w:r>
      <w:r w:rsidRPr="00255659">
        <w:rPr>
          <w:szCs w:val="24"/>
          <w:lang w:val="x-none" w:eastAsia="x-none"/>
        </w:rPr>
        <w:t>5.50</w:t>
      </w:r>
      <w:r w:rsidR="00795515">
        <w:rPr>
          <w:szCs w:val="24"/>
          <w:lang w:eastAsia="x-none"/>
        </w:rPr>
        <w:t xml:space="preserve"> percent </w:t>
      </w:r>
      <w:r w:rsidRPr="00255659">
        <w:rPr>
          <w:szCs w:val="24"/>
          <w:lang w:val="x-none" w:eastAsia="x-none"/>
        </w:rPr>
        <w:t xml:space="preserve">as his final estimate of the </w:t>
      </w:r>
      <w:r w:rsidR="00795515">
        <w:rPr>
          <w:szCs w:val="24"/>
          <w:lang w:eastAsia="x-none"/>
        </w:rPr>
        <w:t>market risk premium for his CAPM analyses</w:t>
      </w:r>
      <w:r w:rsidRPr="00255659">
        <w:rPr>
          <w:szCs w:val="24"/>
          <w:lang w:val="x-none" w:eastAsia="x-none"/>
        </w:rPr>
        <w:t>.</w:t>
      </w:r>
    </w:p>
    <w:p w:rsidR="00795515" w:rsidRPr="00255659" w:rsidRDefault="00795515" w:rsidP="00540A76">
      <w:pPr>
        <w:pStyle w:val="question"/>
      </w:pPr>
      <w:r w:rsidRPr="00255659">
        <w:rPr>
          <w:lang w:eastAsia="en-US"/>
        </w:rPr>
        <w:lastRenderedPageBreak/>
        <w:t>Q.</w:t>
      </w:r>
      <w:r w:rsidRPr="00255659">
        <w:rPr>
          <w:lang w:eastAsia="en-US"/>
        </w:rPr>
        <w:tab/>
        <w:t>Were you able to replicate Dr.</w:t>
      </w:r>
      <w:r>
        <w:rPr>
          <w:lang w:eastAsia="en-US"/>
        </w:rPr>
        <w:t> </w:t>
      </w:r>
      <w:r w:rsidRPr="00255659">
        <w:rPr>
          <w:lang w:eastAsia="en-US"/>
        </w:rPr>
        <w:t>Woolridge</w:t>
      </w:r>
      <w:r>
        <w:rPr>
          <w:lang w:eastAsia="en-US"/>
        </w:rPr>
        <w:t>’</w:t>
      </w:r>
      <w:r w:rsidRPr="00255659">
        <w:rPr>
          <w:lang w:eastAsia="en-US"/>
        </w:rPr>
        <w:t xml:space="preserve">s </w:t>
      </w:r>
      <w:r>
        <w:rPr>
          <w:lang w:eastAsia="en-US"/>
        </w:rPr>
        <w:t>market risk premium of 5.50 percent</w:t>
      </w:r>
      <w:r w:rsidRPr="00255659">
        <w:rPr>
          <w:lang w:eastAsia="en-US"/>
        </w:rPr>
        <w:t>?</w:t>
      </w:r>
    </w:p>
    <w:p w:rsidR="00AA31D3" w:rsidRPr="00255659" w:rsidRDefault="00795515" w:rsidP="00540A76">
      <w:pPr>
        <w:pStyle w:val="answer"/>
        <w:rPr>
          <w:szCs w:val="24"/>
          <w:lang w:eastAsia="en-US"/>
        </w:rPr>
      </w:pPr>
      <w:r w:rsidRPr="00255659">
        <w:rPr>
          <w:szCs w:val="24"/>
          <w:lang w:eastAsia="en-US"/>
        </w:rPr>
        <w:t>A.</w:t>
      </w:r>
      <w:r w:rsidRPr="00255659">
        <w:rPr>
          <w:szCs w:val="24"/>
          <w:lang w:eastAsia="en-US"/>
        </w:rPr>
        <w:tab/>
      </w:r>
      <w:r>
        <w:rPr>
          <w:szCs w:val="24"/>
          <w:lang w:eastAsia="en-US"/>
        </w:rPr>
        <w:t xml:space="preserve">No. </w:t>
      </w:r>
      <w:r w:rsidRPr="00255659">
        <w:rPr>
          <w:szCs w:val="24"/>
          <w:lang w:eastAsia="en-US"/>
        </w:rPr>
        <w:t xml:space="preserve">I was unable to replicate </w:t>
      </w:r>
      <w:r w:rsidRPr="00255659">
        <w:rPr>
          <w:lang w:eastAsia="en-US"/>
        </w:rPr>
        <w:t>Dr.</w:t>
      </w:r>
      <w:r>
        <w:rPr>
          <w:lang w:eastAsia="en-US"/>
        </w:rPr>
        <w:t> </w:t>
      </w:r>
      <w:r w:rsidRPr="00255659">
        <w:rPr>
          <w:szCs w:val="24"/>
          <w:lang w:eastAsia="en-US"/>
        </w:rPr>
        <w:t>Woolridge</w:t>
      </w:r>
      <w:r>
        <w:rPr>
          <w:szCs w:val="24"/>
          <w:lang w:eastAsia="en-US"/>
        </w:rPr>
        <w:t>’s</w:t>
      </w:r>
      <w:r w:rsidRPr="00255659">
        <w:rPr>
          <w:szCs w:val="24"/>
          <w:lang w:eastAsia="en-US"/>
        </w:rPr>
        <w:t xml:space="preserve"> </w:t>
      </w:r>
      <w:r>
        <w:rPr>
          <w:szCs w:val="24"/>
          <w:lang w:eastAsia="en-US"/>
        </w:rPr>
        <w:t xml:space="preserve">recommended </w:t>
      </w:r>
      <w:r w:rsidR="00DA7525">
        <w:rPr>
          <w:lang w:eastAsia="en-US"/>
        </w:rPr>
        <w:t>market risk premium of 5.50 percent.</w:t>
      </w:r>
      <w:r w:rsidR="00DA7525">
        <w:rPr>
          <w:szCs w:val="24"/>
          <w:lang w:eastAsia="en-US"/>
        </w:rPr>
        <w:t xml:space="preserve"> Moreover, </w:t>
      </w:r>
      <w:r w:rsidR="006B5168" w:rsidRPr="00255659">
        <w:rPr>
          <w:lang w:eastAsia="en-US"/>
        </w:rPr>
        <w:t>Dr.</w:t>
      </w:r>
      <w:r w:rsidR="006B5168">
        <w:rPr>
          <w:lang w:eastAsia="en-US"/>
        </w:rPr>
        <w:t> </w:t>
      </w:r>
      <w:r w:rsidR="00AA31D3" w:rsidRPr="00255659">
        <w:rPr>
          <w:szCs w:val="24"/>
          <w:lang w:eastAsia="en-US"/>
        </w:rPr>
        <w:t>Woolridge</w:t>
      </w:r>
      <w:r w:rsidR="00255659">
        <w:rPr>
          <w:szCs w:val="24"/>
          <w:lang w:eastAsia="en-US"/>
        </w:rPr>
        <w:t>’</w:t>
      </w:r>
      <w:r w:rsidR="00AA31D3" w:rsidRPr="00255659">
        <w:rPr>
          <w:szCs w:val="24"/>
          <w:lang w:eastAsia="en-US"/>
        </w:rPr>
        <w:t xml:space="preserve">s </w:t>
      </w:r>
      <w:r w:rsidR="00DA7525">
        <w:rPr>
          <w:szCs w:val="24"/>
          <w:lang w:eastAsia="en-US"/>
        </w:rPr>
        <w:t xml:space="preserve">market risk premium </w:t>
      </w:r>
      <w:r w:rsidR="00AA31D3" w:rsidRPr="00255659">
        <w:rPr>
          <w:szCs w:val="24"/>
          <w:lang w:eastAsia="en-US"/>
        </w:rPr>
        <w:t>estimate of 5.5</w:t>
      </w:r>
      <w:r w:rsidR="00DA7525">
        <w:rPr>
          <w:szCs w:val="24"/>
          <w:lang w:eastAsia="en-US"/>
        </w:rPr>
        <w:t xml:space="preserve"> percent is </w:t>
      </w:r>
      <w:r w:rsidR="00AA31D3" w:rsidRPr="00255659">
        <w:rPr>
          <w:szCs w:val="24"/>
          <w:lang w:eastAsia="en-US"/>
        </w:rPr>
        <w:t xml:space="preserve">too low, especially following the unprecedented financial crisis of 2008-2009 and the upward repricing of risk by investors as a result of the crisis noted by the more recent studies cited by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AA31D3" w:rsidRPr="00255659">
        <w:rPr>
          <w:szCs w:val="24"/>
          <w:lang w:eastAsia="en-US"/>
        </w:rPr>
        <w:t>.</w:t>
      </w:r>
      <w:r w:rsidR="00DA7525">
        <w:rPr>
          <w:rStyle w:val="FootnoteReference"/>
          <w:szCs w:val="24"/>
          <w:lang w:eastAsia="en-US"/>
        </w:rPr>
        <w:footnoteReference w:id="20"/>
      </w:r>
      <w:r w:rsidR="00287C5A">
        <w:rPr>
          <w:szCs w:val="24"/>
          <w:lang w:eastAsia="en-US"/>
        </w:rPr>
        <w:t xml:space="preserve"> </w:t>
      </w:r>
      <w:r w:rsidR="00DA7525">
        <w:rPr>
          <w:szCs w:val="24"/>
          <w:lang w:eastAsia="en-US"/>
        </w:rPr>
        <w:t>Finally</w:t>
      </w:r>
      <w:r w:rsidR="00AA31D3" w:rsidRPr="00255659">
        <w:rPr>
          <w:szCs w:val="24"/>
          <w:lang w:eastAsia="en-US"/>
        </w:rPr>
        <w:t xml:space="preserve">, this estimate is somewhat removed from the conventional wisdom on the subject. </w:t>
      </w:r>
    </w:p>
    <w:p w:rsidR="00AA31D3" w:rsidRPr="00255659" w:rsidRDefault="00AA31D3" w:rsidP="00540A76">
      <w:pPr>
        <w:pStyle w:val="question"/>
      </w:pPr>
      <w:r w:rsidRPr="00255659">
        <w:rPr>
          <w:lang w:eastAsia="en-US"/>
        </w:rPr>
        <w:t>Q.</w:t>
      </w:r>
      <w:r w:rsidRPr="00255659">
        <w:rPr>
          <w:lang w:eastAsia="en-US"/>
        </w:rPr>
        <w:tab/>
      </w:r>
      <w:r w:rsidR="00447147">
        <w:rPr>
          <w:lang w:eastAsia="en-US"/>
        </w:rPr>
        <w:t>W</w:t>
      </w:r>
      <w:r w:rsidR="00882436" w:rsidRPr="00255659">
        <w:rPr>
          <w:lang w:eastAsia="en-US"/>
        </w:rPr>
        <w:t xml:space="preserve">hat is the prevalent academic consensus on the magnitude of the </w:t>
      </w:r>
      <w:r w:rsidR="00447147">
        <w:rPr>
          <w:lang w:eastAsia="en-US"/>
        </w:rPr>
        <w:t>market risk premium</w:t>
      </w:r>
      <w:r w:rsidRPr="00255659">
        <w:rPr>
          <w:lang w:eastAsia="en-US"/>
        </w:rPr>
        <w:t>?</w:t>
      </w:r>
    </w:p>
    <w:p w:rsidR="00AA31D3" w:rsidRPr="00255659" w:rsidRDefault="00AA31D3" w:rsidP="00540A76">
      <w:pPr>
        <w:pStyle w:val="answer"/>
        <w:rPr>
          <w:szCs w:val="24"/>
          <w:lang w:eastAsia="en-US"/>
        </w:rPr>
      </w:pPr>
      <w:r w:rsidRPr="00255659">
        <w:rPr>
          <w:szCs w:val="24"/>
          <w:lang w:eastAsia="en-US"/>
        </w:rPr>
        <w:t>A.</w:t>
      </w:r>
      <w:r w:rsidRPr="00255659">
        <w:rPr>
          <w:szCs w:val="24"/>
          <w:lang w:eastAsia="en-US"/>
        </w:rPr>
        <w:tab/>
        <w:t xml:space="preserve">In their widely-used authoritative textbook, following a comprehensive review of the rich and fertile </w:t>
      </w:r>
      <w:r w:rsidR="00447147">
        <w:rPr>
          <w:lang w:eastAsia="en-US"/>
        </w:rPr>
        <w:t>market risk premium</w:t>
      </w:r>
      <w:r w:rsidR="00447147" w:rsidRPr="00255659">
        <w:rPr>
          <w:szCs w:val="24"/>
          <w:lang w:eastAsia="en-US"/>
        </w:rPr>
        <w:t xml:space="preserve"> </w:t>
      </w:r>
      <w:r w:rsidRPr="00255659">
        <w:rPr>
          <w:szCs w:val="24"/>
          <w:lang w:eastAsia="en-US"/>
        </w:rPr>
        <w:t xml:space="preserve">literature, </w:t>
      </w:r>
      <w:r w:rsidR="00447147" w:rsidRPr="00447147">
        <w:rPr>
          <w:szCs w:val="24"/>
          <w:lang w:eastAsia="en-US"/>
        </w:rPr>
        <w:t xml:space="preserve">Richard Brealey, Stewart Myers, </w:t>
      </w:r>
      <w:r w:rsidR="00447147">
        <w:rPr>
          <w:szCs w:val="24"/>
          <w:lang w:eastAsia="en-US"/>
        </w:rPr>
        <w:t xml:space="preserve">and </w:t>
      </w:r>
      <w:r w:rsidR="00447147" w:rsidRPr="00447147">
        <w:rPr>
          <w:szCs w:val="24"/>
          <w:lang w:eastAsia="en-US"/>
        </w:rPr>
        <w:t xml:space="preserve">Franklin Allen </w:t>
      </w:r>
      <w:r w:rsidRPr="00255659">
        <w:rPr>
          <w:szCs w:val="24"/>
          <w:lang w:eastAsia="en-US"/>
        </w:rPr>
        <w:t>state</w:t>
      </w:r>
      <w:r w:rsidR="00447147">
        <w:rPr>
          <w:szCs w:val="24"/>
          <w:lang w:eastAsia="en-US"/>
        </w:rPr>
        <w:t xml:space="preserve"> as follows</w:t>
      </w:r>
      <w:r w:rsidRPr="00255659">
        <w:rPr>
          <w:szCs w:val="24"/>
          <w:lang w:eastAsia="en-US"/>
        </w:rPr>
        <w:t>:</w:t>
      </w:r>
    </w:p>
    <w:p w:rsidR="00AA31D3" w:rsidRPr="00255659" w:rsidRDefault="00AA31D3" w:rsidP="00540A76">
      <w:pPr>
        <w:pStyle w:val="BlockQuote"/>
        <w:rPr>
          <w:i w:val="0"/>
          <w:lang w:eastAsia="en-US"/>
        </w:rPr>
      </w:pPr>
      <w:r w:rsidRPr="00255659">
        <w:rPr>
          <w:i w:val="0"/>
          <w:lang w:eastAsia="en-US"/>
        </w:rPr>
        <w:t>Brealey, Myers, and Allen have no official position on the issue, but we believe that a range of 5 to 8 percent is reasonable for the risk premium in the United States.</w:t>
      </w:r>
      <w:r w:rsidR="00882436" w:rsidRPr="00255659">
        <w:rPr>
          <w:rStyle w:val="FootnoteReference"/>
          <w:i w:val="0"/>
          <w:lang w:eastAsia="en-US"/>
        </w:rPr>
        <w:footnoteReference w:id="21"/>
      </w:r>
    </w:p>
    <w:p w:rsidR="00AA31D3" w:rsidRPr="00255659" w:rsidRDefault="00AA31D3" w:rsidP="00540A76">
      <w:pPr>
        <w:pStyle w:val="answer"/>
        <w:ind w:firstLine="0"/>
        <w:rPr>
          <w:szCs w:val="24"/>
          <w:lang w:eastAsia="en-US"/>
        </w:rPr>
      </w:pPr>
      <w:r w:rsidRPr="00255659">
        <w:rPr>
          <w:rFonts w:eastAsia="SimSun"/>
          <w:szCs w:val="24"/>
          <w:lang w:val="x-none"/>
        </w:rPr>
        <w:t xml:space="preserve">My own survey of the </w:t>
      </w:r>
      <w:r w:rsidR="00447147">
        <w:rPr>
          <w:lang w:eastAsia="en-US"/>
        </w:rPr>
        <w:t>market risk premium</w:t>
      </w:r>
      <w:r w:rsidR="00447147" w:rsidRPr="00255659">
        <w:rPr>
          <w:rFonts w:eastAsia="SimSun"/>
          <w:szCs w:val="24"/>
          <w:lang w:val="x-none"/>
        </w:rPr>
        <w:t xml:space="preserve"> </w:t>
      </w:r>
      <w:r w:rsidRPr="00255659">
        <w:rPr>
          <w:rFonts w:eastAsia="SimSun"/>
          <w:szCs w:val="24"/>
          <w:lang w:val="x-none"/>
        </w:rPr>
        <w:t>literature</w:t>
      </w:r>
      <w:r w:rsidR="00447147">
        <w:rPr>
          <w:rFonts w:eastAsia="SimSun"/>
          <w:szCs w:val="24"/>
        </w:rPr>
        <w:t xml:space="preserve"> </w:t>
      </w:r>
      <w:r w:rsidRPr="00255659">
        <w:rPr>
          <w:rFonts w:eastAsia="SimSun"/>
          <w:szCs w:val="24"/>
          <w:lang w:val="x-none"/>
        </w:rPr>
        <w:t>is also quite consistent with this range.</w:t>
      </w:r>
      <w:r w:rsidR="00447147">
        <w:rPr>
          <w:rStyle w:val="FootnoteReference"/>
          <w:rFonts w:eastAsia="SimSun"/>
          <w:szCs w:val="24"/>
          <w:lang w:val="x-none"/>
        </w:rPr>
        <w:footnoteReference w:id="22"/>
      </w:r>
    </w:p>
    <w:bookmarkEnd w:id="18"/>
    <w:p w:rsidR="00AA31D3" w:rsidRPr="00255659" w:rsidRDefault="00AA31D3" w:rsidP="00540A76">
      <w:pPr>
        <w:pStyle w:val="question"/>
      </w:pPr>
      <w:r w:rsidRPr="00255659">
        <w:lastRenderedPageBreak/>
        <w:t>Q.</w:t>
      </w:r>
      <w:r w:rsidRPr="00255659">
        <w:tab/>
      </w:r>
      <w:r w:rsidR="00882436" w:rsidRPr="00255659">
        <w:t xml:space="preserve">What is fundamentally wrong with </w:t>
      </w:r>
      <w:r w:rsidR="006B5168" w:rsidRPr="00255659">
        <w:rPr>
          <w:lang w:eastAsia="en-US"/>
        </w:rPr>
        <w:t>Dr.</w:t>
      </w:r>
      <w:r w:rsidR="006B5168">
        <w:rPr>
          <w:lang w:eastAsia="en-US"/>
        </w:rPr>
        <w:t> </w:t>
      </w:r>
      <w:r w:rsidR="00882436" w:rsidRPr="00255659">
        <w:t>Woolridge</w:t>
      </w:r>
      <w:r w:rsidR="00255659">
        <w:t>’</w:t>
      </w:r>
      <w:r w:rsidR="00882436" w:rsidRPr="00255659">
        <w:t xml:space="preserve">s </w:t>
      </w:r>
      <w:r w:rsidR="00447147">
        <w:t xml:space="preserve">market risk premium </w:t>
      </w:r>
      <w:r w:rsidR="00882436" w:rsidRPr="00255659">
        <w:t>estimate of 5.5</w:t>
      </w:r>
      <w:r w:rsidR="00447147">
        <w:t> percent</w:t>
      </w:r>
      <w:r w:rsidR="00882436" w:rsidRPr="00255659">
        <w:t>?</w:t>
      </w:r>
    </w:p>
    <w:p w:rsidR="00F82908" w:rsidRDefault="00AA31D3" w:rsidP="00540A76">
      <w:pPr>
        <w:pStyle w:val="answer"/>
        <w:rPr>
          <w:szCs w:val="24"/>
          <w:lang w:eastAsia="x-none"/>
        </w:rPr>
      </w:pPr>
      <w:r w:rsidRPr="00255659">
        <w:rPr>
          <w:szCs w:val="24"/>
          <w:lang w:val="x-none" w:eastAsia="x-none"/>
        </w:rPr>
        <w:t>A.</w:t>
      </w:r>
      <w:r w:rsidRPr="00255659">
        <w:rPr>
          <w:szCs w:val="24"/>
          <w:lang w:val="x-none" w:eastAsia="x-none"/>
        </w:rPr>
        <w:tab/>
        <w:t xml:space="preserve">The fundamental flaw of </w:t>
      </w:r>
      <w:r w:rsidR="00447147">
        <w:rPr>
          <w:szCs w:val="24"/>
          <w:lang w:eastAsia="x-none"/>
        </w:rPr>
        <w:t xml:space="preserve">a </w:t>
      </w:r>
      <w:r w:rsidR="00447147">
        <w:t xml:space="preserve">market risk premium </w:t>
      </w:r>
      <w:r w:rsidR="00447147" w:rsidRPr="00255659">
        <w:t>estimate of 5.5</w:t>
      </w:r>
      <w:r w:rsidR="00447147">
        <w:t> percent</w:t>
      </w:r>
      <w:r w:rsidR="00447147" w:rsidRPr="00255659">
        <w:rPr>
          <w:szCs w:val="24"/>
          <w:lang w:val="x-none" w:eastAsia="x-none"/>
        </w:rPr>
        <w:t xml:space="preserve"> </w:t>
      </w:r>
      <w:r w:rsidRPr="00255659">
        <w:rPr>
          <w:szCs w:val="24"/>
          <w:lang w:val="x-none" w:eastAsia="x-none"/>
        </w:rPr>
        <w:t>is that it is based on a summary of historical results from a selected variety of academic and trade studies based on an entirely different set of capital market conditions</w:t>
      </w:r>
      <w:r w:rsidR="00447147">
        <w:rPr>
          <w:szCs w:val="24"/>
          <w:lang w:eastAsia="x-none"/>
        </w:rPr>
        <w:t xml:space="preserve">. Those capital market conditions are </w:t>
      </w:r>
      <w:r w:rsidRPr="00255659">
        <w:rPr>
          <w:szCs w:val="24"/>
          <w:lang w:val="x-none" w:eastAsia="x-none"/>
        </w:rPr>
        <w:t>not representative of current market conditions or of what is likely to occur prospectively, especially following the unprecedented financial crisis of 2008-2009 and the unstable world economy situation.</w:t>
      </w:r>
    </w:p>
    <w:p w:rsidR="00AA31D3" w:rsidRPr="00255659" w:rsidRDefault="00AA31D3" w:rsidP="00540A76">
      <w:pPr>
        <w:pStyle w:val="question"/>
      </w:pPr>
      <w:r w:rsidRPr="00255659">
        <w:t>Q.</w:t>
      </w:r>
      <w:r w:rsidRPr="00255659">
        <w:tab/>
      </w:r>
      <w:r w:rsidR="00F82908">
        <w:t xml:space="preserve">Does </w:t>
      </w:r>
      <w:r w:rsidR="006B5168" w:rsidRPr="00255659">
        <w:rPr>
          <w:lang w:eastAsia="en-US"/>
        </w:rPr>
        <w:t>Dr.</w:t>
      </w:r>
      <w:r w:rsidR="006B5168">
        <w:rPr>
          <w:lang w:eastAsia="en-US"/>
        </w:rPr>
        <w:t> </w:t>
      </w:r>
      <w:r w:rsidR="00882436" w:rsidRPr="00255659">
        <w:t>Woolridge</w:t>
      </w:r>
      <w:r w:rsidR="00F82908">
        <w:t>’s</w:t>
      </w:r>
      <w:r w:rsidR="00882436" w:rsidRPr="00255659">
        <w:t xml:space="preserve"> </w:t>
      </w:r>
      <w:r w:rsidR="00F82908">
        <w:t xml:space="preserve">market risk premium </w:t>
      </w:r>
      <w:r w:rsidR="00882436" w:rsidRPr="00255659">
        <w:t>estimate</w:t>
      </w:r>
      <w:r w:rsidR="00F82908">
        <w:t xml:space="preserve"> of 5.5 percent contain other infirmities</w:t>
      </w:r>
      <w:r w:rsidRPr="00255659">
        <w:t>?</w:t>
      </w:r>
    </w:p>
    <w:p w:rsidR="00AA31D3" w:rsidRPr="00255659" w:rsidRDefault="00AA31D3" w:rsidP="00540A76">
      <w:pPr>
        <w:pStyle w:val="answer"/>
        <w:rPr>
          <w:szCs w:val="24"/>
          <w:lang w:eastAsia="en-US"/>
        </w:rPr>
      </w:pPr>
      <w:r w:rsidRPr="00255659">
        <w:rPr>
          <w:szCs w:val="24"/>
          <w:lang w:val="x-none" w:eastAsia="x-none"/>
        </w:rPr>
        <w:t>A.</w:t>
      </w:r>
      <w:r w:rsidRPr="00255659">
        <w:rPr>
          <w:szCs w:val="24"/>
          <w:lang w:val="x-none" w:eastAsia="x-none"/>
        </w:rPr>
        <w:tab/>
      </w:r>
      <w:r w:rsidR="00F82908">
        <w:rPr>
          <w:szCs w:val="24"/>
          <w:lang w:eastAsia="x-none"/>
        </w:rPr>
        <w:t xml:space="preserve">Yes. In addition to ignoring </w:t>
      </w:r>
      <w:r w:rsidR="00F82908" w:rsidRPr="00255659">
        <w:rPr>
          <w:szCs w:val="24"/>
          <w:lang w:val="x-none" w:eastAsia="x-none"/>
        </w:rPr>
        <w:t xml:space="preserve">current </w:t>
      </w:r>
      <w:r w:rsidR="00F82908">
        <w:rPr>
          <w:szCs w:val="24"/>
          <w:lang w:eastAsia="x-none"/>
        </w:rPr>
        <w:t xml:space="preserve">or prospective </w:t>
      </w:r>
      <w:r w:rsidR="00F82908" w:rsidRPr="00255659">
        <w:rPr>
          <w:szCs w:val="24"/>
          <w:lang w:val="x-none" w:eastAsia="x-none"/>
        </w:rPr>
        <w:t>market conditions</w:t>
      </w:r>
      <w:r w:rsidR="00F82908">
        <w:rPr>
          <w:szCs w:val="24"/>
          <w:lang w:eastAsia="x-none"/>
        </w:rPr>
        <w:t xml:space="preserve">, </w:t>
      </w:r>
      <w:r w:rsidR="00F82908" w:rsidRPr="00255659">
        <w:rPr>
          <w:lang w:eastAsia="en-US"/>
        </w:rPr>
        <w:t>Dr.</w:t>
      </w:r>
      <w:r w:rsidR="00F82908">
        <w:rPr>
          <w:lang w:eastAsia="en-US"/>
        </w:rPr>
        <w:t> </w:t>
      </w:r>
      <w:r w:rsidR="00F82908" w:rsidRPr="00255659">
        <w:t>Woolridge</w:t>
      </w:r>
      <w:r w:rsidR="00F82908">
        <w:t>’s</w:t>
      </w:r>
      <w:r w:rsidR="00F82908" w:rsidRPr="00255659">
        <w:t xml:space="preserve"> </w:t>
      </w:r>
      <w:r w:rsidR="00F82908">
        <w:t xml:space="preserve">market risk premium </w:t>
      </w:r>
      <w:r w:rsidR="00F82908" w:rsidRPr="00255659">
        <w:t>estimate</w:t>
      </w:r>
      <w:r w:rsidR="00F82908">
        <w:t xml:space="preserve"> of 5.5 percent</w:t>
      </w:r>
      <w:r w:rsidR="00F82908" w:rsidRPr="00255659">
        <w:rPr>
          <w:szCs w:val="24"/>
          <w:lang w:val="x-none" w:eastAsia="x-none"/>
        </w:rPr>
        <w:t xml:space="preserve"> </w:t>
      </w:r>
      <w:r w:rsidR="00F82908">
        <w:rPr>
          <w:szCs w:val="24"/>
          <w:lang w:eastAsia="x-none"/>
        </w:rPr>
        <w:t xml:space="preserve">contains several other infirmities. </w:t>
      </w:r>
      <w:r w:rsidRPr="00255659">
        <w:rPr>
          <w:szCs w:val="24"/>
          <w:lang w:val="x-none" w:eastAsia="x-none"/>
        </w:rPr>
        <w:t xml:space="preserve">First, several </w:t>
      </w:r>
      <w:r w:rsidR="00F82908">
        <w:rPr>
          <w:szCs w:val="24"/>
          <w:lang w:eastAsia="x-none"/>
        </w:rPr>
        <w:t xml:space="preserve">market risk premium </w:t>
      </w:r>
      <w:r w:rsidR="00F82908" w:rsidRPr="00255659">
        <w:rPr>
          <w:szCs w:val="24"/>
          <w:lang w:val="x-none" w:eastAsia="x-none"/>
        </w:rPr>
        <w:t xml:space="preserve">studies </w:t>
      </w:r>
      <w:r w:rsidRPr="00255659">
        <w:rPr>
          <w:szCs w:val="24"/>
          <w:lang w:val="x-none" w:eastAsia="x-none"/>
        </w:rPr>
        <w:t xml:space="preserve">imply considerably larger estimates that are not reported by </w:t>
      </w:r>
      <w:r w:rsidR="006B5168" w:rsidRPr="00255659">
        <w:rPr>
          <w:lang w:eastAsia="en-US"/>
        </w:rPr>
        <w:t>Dr.</w:t>
      </w:r>
      <w:r w:rsidR="006B5168">
        <w:rPr>
          <w:lang w:eastAsia="en-US"/>
        </w:rPr>
        <w:t> </w:t>
      </w:r>
      <w:r w:rsidRPr="00255659">
        <w:rPr>
          <w:szCs w:val="24"/>
          <w:lang w:val="x-none" w:eastAsia="x-none"/>
        </w:rPr>
        <w:t>Woolridge.</w:t>
      </w:r>
      <w:r w:rsidR="00287C5A">
        <w:rPr>
          <w:szCs w:val="24"/>
          <w:lang w:eastAsia="x-none"/>
        </w:rPr>
        <w:t xml:space="preserve"> </w:t>
      </w:r>
      <w:r w:rsidRPr="00255659">
        <w:rPr>
          <w:szCs w:val="24"/>
          <w:lang w:val="x-none" w:eastAsia="x-none"/>
        </w:rPr>
        <w:t xml:space="preserve">Second, many of the historical studies selected by </w:t>
      </w:r>
      <w:r w:rsidR="006B5168" w:rsidRPr="00255659">
        <w:rPr>
          <w:lang w:eastAsia="en-US"/>
        </w:rPr>
        <w:t>Dr.</w:t>
      </w:r>
      <w:r w:rsidR="006B5168">
        <w:rPr>
          <w:lang w:eastAsia="en-US"/>
        </w:rPr>
        <w:t> </w:t>
      </w:r>
      <w:r w:rsidRPr="00255659">
        <w:rPr>
          <w:szCs w:val="24"/>
          <w:lang w:val="x-none" w:eastAsia="x-none"/>
        </w:rPr>
        <w:t>Woolridge rely on geometric average returns rather than arithmetic average returns.</w:t>
      </w:r>
      <w:r w:rsidR="00287C5A">
        <w:rPr>
          <w:szCs w:val="24"/>
          <w:lang w:eastAsia="x-none"/>
        </w:rPr>
        <w:t xml:space="preserve"> </w:t>
      </w:r>
      <w:r w:rsidRPr="00255659">
        <w:rPr>
          <w:szCs w:val="24"/>
          <w:lang w:val="x-none" w:eastAsia="x-none"/>
        </w:rPr>
        <w:t xml:space="preserve">Third, many of the historical studies selected by </w:t>
      </w:r>
      <w:r w:rsidR="006B5168" w:rsidRPr="00255659">
        <w:rPr>
          <w:lang w:eastAsia="en-US"/>
        </w:rPr>
        <w:t>Dr.</w:t>
      </w:r>
      <w:r w:rsidR="006B5168">
        <w:rPr>
          <w:lang w:eastAsia="en-US"/>
        </w:rPr>
        <w:t> </w:t>
      </w:r>
      <w:r w:rsidRPr="00255659">
        <w:rPr>
          <w:szCs w:val="24"/>
          <w:lang w:val="x-none" w:eastAsia="x-none"/>
        </w:rPr>
        <w:t>Woolridge rely on the total return component of bond returns rather than on the income component.</w:t>
      </w:r>
      <w:r w:rsidR="00287C5A">
        <w:rPr>
          <w:szCs w:val="24"/>
          <w:lang w:eastAsia="x-none"/>
        </w:rPr>
        <w:t xml:space="preserve"> </w:t>
      </w:r>
      <w:r w:rsidRPr="00255659">
        <w:rPr>
          <w:szCs w:val="24"/>
          <w:lang w:val="x-none" w:eastAsia="x-none"/>
        </w:rPr>
        <w:t xml:space="preserve">Fourth, </w:t>
      </w:r>
      <w:r w:rsidR="006B5168" w:rsidRPr="00255659">
        <w:rPr>
          <w:lang w:eastAsia="en-US"/>
        </w:rPr>
        <w:t>Dr.</w:t>
      </w:r>
      <w:r w:rsidR="006B5168">
        <w:rPr>
          <w:lang w:eastAsia="en-US"/>
        </w:rPr>
        <w:t> </w:t>
      </w:r>
      <w:r w:rsidRPr="00255659">
        <w:rPr>
          <w:szCs w:val="24"/>
          <w:lang w:val="x-none" w:eastAsia="x-none"/>
        </w:rPr>
        <w:t>Woolridge</w:t>
      </w:r>
      <w:r w:rsidR="00255659">
        <w:rPr>
          <w:szCs w:val="24"/>
          <w:lang w:val="x-none" w:eastAsia="x-none"/>
        </w:rPr>
        <w:t>’</w:t>
      </w:r>
      <w:r w:rsidRPr="00255659">
        <w:rPr>
          <w:szCs w:val="24"/>
          <w:lang w:val="x-none" w:eastAsia="x-none"/>
        </w:rPr>
        <w:t xml:space="preserve">s </w:t>
      </w:r>
      <w:r w:rsidR="00F82908">
        <w:rPr>
          <w:szCs w:val="24"/>
          <w:lang w:eastAsia="x-none"/>
        </w:rPr>
        <w:t xml:space="preserve">market risk premium </w:t>
      </w:r>
      <w:r w:rsidRPr="00255659">
        <w:rPr>
          <w:szCs w:val="24"/>
          <w:lang w:val="x-none" w:eastAsia="x-none"/>
        </w:rPr>
        <w:t xml:space="preserve">estimate </w:t>
      </w:r>
      <w:r w:rsidR="00F82908">
        <w:rPr>
          <w:szCs w:val="24"/>
          <w:lang w:eastAsia="x-none"/>
        </w:rPr>
        <w:t xml:space="preserve">of 5.5 percent </w:t>
      </w:r>
      <w:r w:rsidRPr="00255659">
        <w:rPr>
          <w:szCs w:val="24"/>
          <w:lang w:val="x-none" w:eastAsia="x-none"/>
        </w:rPr>
        <w:t xml:space="preserve">is inconsistent with the </w:t>
      </w:r>
      <w:r w:rsidR="00F82908">
        <w:rPr>
          <w:szCs w:val="24"/>
          <w:lang w:eastAsia="x-none"/>
        </w:rPr>
        <w:t xml:space="preserve">market risk </w:t>
      </w:r>
      <w:r w:rsidR="00B46635">
        <w:rPr>
          <w:szCs w:val="24"/>
          <w:lang w:eastAsia="en-US"/>
        </w:rPr>
        <w:t>premiums</w:t>
      </w:r>
      <w:r w:rsidR="00F82908">
        <w:rPr>
          <w:szCs w:val="24"/>
          <w:lang w:eastAsia="x-none"/>
        </w:rPr>
        <w:t xml:space="preserve"> </w:t>
      </w:r>
      <w:r w:rsidRPr="00255659">
        <w:rPr>
          <w:szCs w:val="24"/>
          <w:lang w:val="x-none" w:eastAsia="x-none"/>
        </w:rPr>
        <w:t>implied in regulatory decisions.</w:t>
      </w:r>
      <w:r w:rsidR="00287C5A">
        <w:rPr>
          <w:szCs w:val="24"/>
          <w:lang w:eastAsia="x-none"/>
        </w:rPr>
        <w:t xml:space="preserve"> </w:t>
      </w:r>
      <w:r w:rsidRPr="00255659">
        <w:rPr>
          <w:szCs w:val="24"/>
          <w:lang w:val="x-none" w:eastAsia="x-none"/>
        </w:rPr>
        <w:t>I shall now discuss each of these flaws in turn.</w:t>
      </w:r>
    </w:p>
    <w:p w:rsidR="00AA31D3" w:rsidRPr="00255659" w:rsidRDefault="00291BD1" w:rsidP="00540A76">
      <w:pPr>
        <w:pStyle w:val="Heading4"/>
      </w:pPr>
      <w:bookmarkStart w:id="20" w:name="_Toc489887868"/>
      <w:r>
        <w:lastRenderedPageBreak/>
        <w:t>a</w:t>
      </w:r>
      <w:r w:rsidR="00AA31D3" w:rsidRPr="00255659">
        <w:t>.</w:t>
      </w:r>
      <w:r w:rsidR="00AA31D3" w:rsidRPr="00255659">
        <w:tab/>
      </w:r>
      <w:r w:rsidR="006B5168" w:rsidRPr="00255659">
        <w:rPr>
          <w:lang w:eastAsia="en-US"/>
        </w:rPr>
        <w:t>Dr.</w:t>
      </w:r>
      <w:r w:rsidR="006B5168">
        <w:rPr>
          <w:lang w:eastAsia="en-US"/>
        </w:rPr>
        <w:t> </w:t>
      </w:r>
      <w:r w:rsidR="00882436" w:rsidRPr="00255659">
        <w:t>Woolridge</w:t>
      </w:r>
      <w:r w:rsidR="00B46635">
        <w:t xml:space="preserve"> Selectively Cites to Academic Studies in an Attempt to Justify His Unreasonably Low Market Risk Premium of 5.5 Percent</w:t>
      </w:r>
      <w:bookmarkEnd w:id="20"/>
    </w:p>
    <w:p w:rsidR="00AA31D3" w:rsidRPr="00255659" w:rsidRDefault="00AA31D3" w:rsidP="00540A76">
      <w:pPr>
        <w:pStyle w:val="question"/>
      </w:pPr>
      <w:r w:rsidRPr="00255659">
        <w:t>Q.</w:t>
      </w:r>
      <w:r w:rsidRPr="00255659">
        <w:tab/>
      </w:r>
      <w:r w:rsidR="00882436" w:rsidRPr="00255659">
        <w:t xml:space="preserve">Are there studies of </w:t>
      </w:r>
      <w:r w:rsidR="00F16F6A">
        <w:t xml:space="preserve">market risk </w:t>
      </w:r>
      <w:r w:rsidR="00B46635">
        <w:rPr>
          <w:szCs w:val="24"/>
          <w:lang w:eastAsia="en-US"/>
        </w:rPr>
        <w:t>premiums</w:t>
      </w:r>
      <w:r w:rsidR="00F16F6A">
        <w:t xml:space="preserve"> </w:t>
      </w:r>
      <w:r w:rsidR="00F16F6A" w:rsidRPr="00255659">
        <w:t xml:space="preserve">that imply considerably larger estimates </w:t>
      </w:r>
      <w:r w:rsidR="00F16F6A">
        <w:t xml:space="preserve">Dr. Woolridge </w:t>
      </w:r>
      <w:r w:rsidR="00882436" w:rsidRPr="00255659">
        <w:t>either misrepresent</w:t>
      </w:r>
      <w:r w:rsidR="00F16F6A">
        <w:t>s</w:t>
      </w:r>
      <w:r w:rsidR="00882436" w:rsidRPr="00255659">
        <w:t xml:space="preserve"> or </w:t>
      </w:r>
      <w:r w:rsidR="00F16F6A">
        <w:t>ignores?</w:t>
      </w:r>
    </w:p>
    <w:p w:rsidR="00882436" w:rsidRPr="00255659" w:rsidRDefault="00AA31D3" w:rsidP="00540A76">
      <w:pPr>
        <w:pStyle w:val="answer"/>
        <w:rPr>
          <w:szCs w:val="24"/>
          <w:lang w:eastAsia="en-US"/>
        </w:rPr>
      </w:pPr>
      <w:r w:rsidRPr="00255659">
        <w:rPr>
          <w:szCs w:val="24"/>
          <w:lang w:val="x-none" w:eastAsia="x-none"/>
        </w:rPr>
        <w:t>A.</w:t>
      </w:r>
      <w:r w:rsidRPr="00255659">
        <w:rPr>
          <w:szCs w:val="24"/>
          <w:lang w:val="x-none" w:eastAsia="x-none"/>
        </w:rPr>
        <w:tab/>
        <w:t>Yes</w:t>
      </w:r>
      <w:r w:rsidR="00F16F6A">
        <w:rPr>
          <w:szCs w:val="24"/>
          <w:lang w:eastAsia="x-none"/>
        </w:rPr>
        <w:t xml:space="preserve">. Several </w:t>
      </w:r>
      <w:r w:rsidRPr="00255659">
        <w:rPr>
          <w:szCs w:val="24"/>
          <w:lang w:val="x-none" w:eastAsia="x-none"/>
        </w:rPr>
        <w:t xml:space="preserve">studies suggest </w:t>
      </w:r>
      <w:r w:rsidR="00F16F6A">
        <w:rPr>
          <w:szCs w:val="24"/>
          <w:lang w:eastAsia="x-none"/>
        </w:rPr>
        <w:t xml:space="preserve">market risk </w:t>
      </w:r>
      <w:r w:rsidR="00B46635">
        <w:rPr>
          <w:szCs w:val="24"/>
          <w:lang w:eastAsia="en-US"/>
        </w:rPr>
        <w:t>premiums</w:t>
      </w:r>
      <w:r w:rsidR="00F16F6A">
        <w:rPr>
          <w:szCs w:val="24"/>
          <w:lang w:eastAsia="x-none"/>
        </w:rPr>
        <w:t xml:space="preserve"> in the range between </w:t>
      </w:r>
      <w:r w:rsidR="00F16F6A" w:rsidRPr="00255659">
        <w:rPr>
          <w:szCs w:val="24"/>
          <w:lang w:val="x-none" w:eastAsia="x-none"/>
        </w:rPr>
        <w:t>6</w:t>
      </w:r>
      <w:r w:rsidR="00F16F6A">
        <w:rPr>
          <w:szCs w:val="24"/>
          <w:lang w:eastAsia="x-none"/>
        </w:rPr>
        <w:t xml:space="preserve"> and 8 percent and much </w:t>
      </w:r>
      <w:r w:rsidRPr="00255659">
        <w:rPr>
          <w:szCs w:val="24"/>
          <w:lang w:val="x-none" w:eastAsia="x-none"/>
        </w:rPr>
        <w:t xml:space="preserve">higher than </w:t>
      </w:r>
      <w:r w:rsidR="006B5168" w:rsidRPr="00255659">
        <w:rPr>
          <w:lang w:eastAsia="en-US"/>
        </w:rPr>
        <w:t>Dr.</w:t>
      </w:r>
      <w:r w:rsidR="006B5168">
        <w:rPr>
          <w:lang w:eastAsia="en-US"/>
        </w:rPr>
        <w:t> </w:t>
      </w:r>
      <w:r w:rsidRPr="00255659">
        <w:rPr>
          <w:szCs w:val="24"/>
          <w:lang w:val="x-none" w:eastAsia="x-none"/>
        </w:rPr>
        <w:t>Woolridge</w:t>
      </w:r>
      <w:r w:rsidR="00255659">
        <w:rPr>
          <w:szCs w:val="24"/>
          <w:lang w:val="x-none" w:eastAsia="x-none"/>
        </w:rPr>
        <w:t>’</w:t>
      </w:r>
      <w:r w:rsidR="00F16F6A">
        <w:rPr>
          <w:szCs w:val="24"/>
          <w:lang w:val="x-none" w:eastAsia="x-none"/>
        </w:rPr>
        <w:t xml:space="preserve">s </w:t>
      </w:r>
      <w:r w:rsidR="00F16F6A">
        <w:rPr>
          <w:szCs w:val="24"/>
          <w:lang w:eastAsia="x-none"/>
        </w:rPr>
        <w:t xml:space="preserve">recommended market risk premium of </w:t>
      </w:r>
      <w:r w:rsidRPr="00255659">
        <w:rPr>
          <w:szCs w:val="24"/>
          <w:lang w:val="x-none" w:eastAsia="x-none"/>
        </w:rPr>
        <w:t>5.5</w:t>
      </w:r>
      <w:r w:rsidR="00F16F6A">
        <w:rPr>
          <w:szCs w:val="24"/>
          <w:lang w:eastAsia="x-none"/>
        </w:rPr>
        <w:t> percent</w:t>
      </w:r>
      <w:r w:rsidRPr="00255659">
        <w:rPr>
          <w:szCs w:val="24"/>
          <w:lang w:val="x-none" w:eastAsia="x-none"/>
        </w:rPr>
        <w:t>.</w:t>
      </w:r>
    </w:p>
    <w:p w:rsidR="00D94B46" w:rsidRPr="00255659" w:rsidRDefault="006B5168" w:rsidP="00540A76">
      <w:pPr>
        <w:pStyle w:val="answer"/>
        <w:ind w:firstLine="0"/>
        <w:rPr>
          <w:i/>
          <w:lang w:eastAsia="en-US"/>
        </w:rPr>
      </w:pPr>
      <w:r w:rsidRPr="00255659">
        <w:rPr>
          <w:lang w:eastAsia="en-US"/>
        </w:rPr>
        <w:t>Dr.</w:t>
      </w:r>
      <w:r>
        <w:rPr>
          <w:lang w:eastAsia="en-US"/>
        </w:rPr>
        <w:t> </w:t>
      </w:r>
      <w:r w:rsidR="00AA31D3" w:rsidRPr="00255659">
        <w:rPr>
          <w:color w:val="000000"/>
          <w:szCs w:val="24"/>
          <w:lang w:eastAsia="en-US"/>
        </w:rPr>
        <w:t xml:space="preserve">Woolridge cites a 2006 study by </w:t>
      </w:r>
      <w:r w:rsidR="00553E43" w:rsidRPr="00553E43">
        <w:rPr>
          <w:color w:val="000000"/>
          <w:szCs w:val="24"/>
          <w:lang w:eastAsia="en-US"/>
        </w:rPr>
        <w:t>Elroy Dimson, Paul Marsh</w:t>
      </w:r>
      <w:r w:rsidR="00553E43">
        <w:rPr>
          <w:color w:val="000000"/>
          <w:szCs w:val="24"/>
          <w:lang w:eastAsia="en-US"/>
        </w:rPr>
        <w:t>,</w:t>
      </w:r>
      <w:r w:rsidR="00553E43" w:rsidRPr="00553E43">
        <w:rPr>
          <w:color w:val="000000"/>
          <w:szCs w:val="24"/>
          <w:lang w:eastAsia="en-US"/>
        </w:rPr>
        <w:t xml:space="preserve"> and Mike Staunton</w:t>
      </w:r>
      <w:r w:rsidR="00553E43">
        <w:rPr>
          <w:color w:val="000000"/>
          <w:szCs w:val="24"/>
          <w:lang w:eastAsia="en-US"/>
        </w:rPr>
        <w:t>.</w:t>
      </w:r>
      <w:r w:rsidR="00312B40" w:rsidRPr="00255659">
        <w:rPr>
          <w:rStyle w:val="FootnoteReference"/>
          <w:color w:val="000000"/>
          <w:szCs w:val="24"/>
          <w:lang w:eastAsia="en-US"/>
        </w:rPr>
        <w:footnoteReference w:id="23"/>
      </w:r>
      <w:r w:rsidR="00287C5A">
        <w:rPr>
          <w:color w:val="000000"/>
          <w:szCs w:val="24"/>
          <w:lang w:eastAsia="en-US"/>
        </w:rPr>
        <w:t xml:space="preserve"> </w:t>
      </w:r>
      <w:r w:rsidR="00AA31D3" w:rsidRPr="00255659">
        <w:rPr>
          <w:color w:val="000000"/>
          <w:szCs w:val="24"/>
          <w:lang w:eastAsia="en-US"/>
        </w:rPr>
        <w:t>The</w:t>
      </w:r>
      <w:r w:rsidR="00553E43">
        <w:rPr>
          <w:color w:val="000000"/>
          <w:szCs w:val="24"/>
          <w:lang w:eastAsia="en-US"/>
        </w:rPr>
        <w:t>se</w:t>
      </w:r>
      <w:r w:rsidR="00AA31D3" w:rsidRPr="00255659">
        <w:rPr>
          <w:color w:val="000000"/>
          <w:szCs w:val="24"/>
          <w:lang w:eastAsia="en-US"/>
        </w:rPr>
        <w:t xml:space="preserve"> authors report returns over the period 1900 to 2005 for twelve countries, representing 90</w:t>
      </w:r>
      <w:r w:rsidR="00DD2B52">
        <w:rPr>
          <w:lang w:eastAsia="en-US"/>
        </w:rPr>
        <w:t> percent</w:t>
      </w:r>
      <w:r w:rsidR="00AA31D3" w:rsidRPr="00255659">
        <w:rPr>
          <w:color w:val="000000"/>
          <w:szCs w:val="24"/>
          <w:lang w:eastAsia="en-US"/>
        </w:rPr>
        <w:t xml:space="preserve"> of today</w:t>
      </w:r>
      <w:r w:rsidR="00255659">
        <w:rPr>
          <w:color w:val="000000"/>
          <w:szCs w:val="24"/>
          <w:lang w:eastAsia="en-US"/>
        </w:rPr>
        <w:t>’</w:t>
      </w:r>
      <w:r w:rsidR="00AA31D3" w:rsidRPr="00255659">
        <w:rPr>
          <w:color w:val="000000"/>
          <w:szCs w:val="24"/>
          <w:lang w:eastAsia="en-US"/>
        </w:rPr>
        <w:t>s world market capitalization.</w:t>
      </w:r>
      <w:r w:rsidR="00287C5A">
        <w:rPr>
          <w:color w:val="000000"/>
          <w:szCs w:val="24"/>
          <w:lang w:eastAsia="en-US"/>
        </w:rPr>
        <w:t xml:space="preserve"> </w:t>
      </w:r>
      <w:r w:rsidR="00AA31D3" w:rsidRPr="00255659">
        <w:rPr>
          <w:color w:val="000000"/>
          <w:szCs w:val="24"/>
          <w:lang w:eastAsia="en-US"/>
        </w:rPr>
        <w:t xml:space="preserve">They report </w:t>
      </w:r>
      <w:r w:rsidR="00553E43">
        <w:rPr>
          <w:color w:val="000000"/>
          <w:szCs w:val="24"/>
          <w:lang w:eastAsia="en-US"/>
        </w:rPr>
        <w:t>(i) </w:t>
      </w:r>
      <w:r w:rsidR="00AA31D3" w:rsidRPr="00255659">
        <w:rPr>
          <w:color w:val="000000"/>
          <w:szCs w:val="24"/>
          <w:lang w:eastAsia="en-US"/>
        </w:rPr>
        <w:t>an average risk premium over long</w:t>
      </w:r>
      <w:r w:rsidR="00553E43">
        <w:rPr>
          <w:color w:val="000000"/>
          <w:szCs w:val="24"/>
          <w:lang w:eastAsia="en-US"/>
        </w:rPr>
        <w:t>-term</w:t>
      </w:r>
      <w:r w:rsidR="00AA31D3" w:rsidRPr="00255659">
        <w:rPr>
          <w:color w:val="000000"/>
          <w:szCs w:val="24"/>
          <w:lang w:eastAsia="en-US"/>
        </w:rPr>
        <w:t xml:space="preserve"> bond returns of 6.5</w:t>
      </w:r>
      <w:r w:rsidR="00553E43">
        <w:rPr>
          <w:color w:val="000000"/>
          <w:szCs w:val="24"/>
          <w:lang w:eastAsia="en-US"/>
        </w:rPr>
        <w:t> percent</w:t>
      </w:r>
      <w:r w:rsidR="00AA31D3" w:rsidRPr="00255659">
        <w:rPr>
          <w:color w:val="000000"/>
          <w:szCs w:val="24"/>
          <w:lang w:eastAsia="en-US"/>
        </w:rPr>
        <w:t xml:space="preserve"> for the U.S. and </w:t>
      </w:r>
      <w:r w:rsidR="00553E43">
        <w:rPr>
          <w:color w:val="000000"/>
          <w:szCs w:val="24"/>
          <w:lang w:eastAsia="en-US"/>
        </w:rPr>
        <w:t xml:space="preserve">(ii) the market </w:t>
      </w:r>
      <w:r w:rsidR="00AA31D3" w:rsidRPr="00255659">
        <w:rPr>
          <w:color w:val="000000"/>
          <w:szCs w:val="24"/>
          <w:lang w:eastAsia="en-US"/>
        </w:rPr>
        <w:t xml:space="preserve">risk premium was generally higher for the second half </w:t>
      </w:r>
      <w:r w:rsidR="00553E43">
        <w:rPr>
          <w:color w:val="000000"/>
          <w:szCs w:val="24"/>
          <w:lang w:eastAsia="en-US"/>
        </w:rPr>
        <w:t xml:space="preserve">of the 20th Century </w:t>
      </w:r>
      <w:r w:rsidR="00AA31D3" w:rsidRPr="00255659">
        <w:rPr>
          <w:color w:val="000000"/>
          <w:szCs w:val="24"/>
          <w:lang w:eastAsia="en-US"/>
        </w:rPr>
        <w:t>than for the first</w:t>
      </w:r>
      <w:r w:rsidR="00553E43">
        <w:rPr>
          <w:color w:val="000000"/>
          <w:szCs w:val="24"/>
          <w:lang w:eastAsia="en-US"/>
        </w:rPr>
        <w:t xml:space="preserve"> half of the 20th Century</w:t>
      </w:r>
      <w:r w:rsidR="00AA31D3" w:rsidRPr="00255659">
        <w:rPr>
          <w:color w:val="000000"/>
          <w:szCs w:val="24"/>
          <w:lang w:eastAsia="en-US"/>
        </w:rPr>
        <w:t>.</w:t>
      </w:r>
      <w:r w:rsidR="00287C5A">
        <w:rPr>
          <w:color w:val="000000"/>
          <w:szCs w:val="24"/>
          <w:lang w:eastAsia="en-US"/>
        </w:rPr>
        <w:t xml:space="preserve"> </w:t>
      </w:r>
      <w:r w:rsidR="00AA31D3" w:rsidRPr="00255659">
        <w:rPr>
          <w:color w:val="000000"/>
          <w:szCs w:val="24"/>
          <w:lang w:eastAsia="en-US"/>
        </w:rPr>
        <w:t xml:space="preserve">For example, the </w:t>
      </w:r>
      <w:r w:rsidR="00553E43">
        <w:rPr>
          <w:color w:val="000000"/>
          <w:szCs w:val="24"/>
          <w:lang w:eastAsia="en-US"/>
        </w:rPr>
        <w:t xml:space="preserve">market risk premium for the </w:t>
      </w:r>
      <w:r w:rsidR="00AA31D3" w:rsidRPr="00255659">
        <w:rPr>
          <w:color w:val="000000"/>
          <w:szCs w:val="24"/>
          <w:lang w:eastAsia="en-US"/>
        </w:rPr>
        <w:t xml:space="preserve">U.S. </w:t>
      </w:r>
      <w:r w:rsidR="00553E43">
        <w:rPr>
          <w:color w:val="000000"/>
          <w:szCs w:val="24"/>
          <w:lang w:eastAsia="en-US"/>
        </w:rPr>
        <w:t xml:space="preserve">was </w:t>
      </w:r>
      <w:r w:rsidR="00AA31D3" w:rsidRPr="00255659">
        <w:rPr>
          <w:color w:val="000000"/>
          <w:szCs w:val="24"/>
          <w:lang w:eastAsia="en-US"/>
        </w:rPr>
        <w:t>5</w:t>
      </w:r>
      <w:r w:rsidR="00553E43">
        <w:rPr>
          <w:color w:val="000000"/>
          <w:szCs w:val="24"/>
          <w:lang w:eastAsia="en-US"/>
        </w:rPr>
        <w:t>.0 percent</w:t>
      </w:r>
      <w:r w:rsidR="00553E43" w:rsidRPr="00553E43">
        <w:rPr>
          <w:color w:val="000000"/>
          <w:szCs w:val="24"/>
          <w:lang w:eastAsia="en-US"/>
        </w:rPr>
        <w:t xml:space="preserve"> </w:t>
      </w:r>
      <w:r w:rsidR="00553E43">
        <w:rPr>
          <w:color w:val="000000"/>
          <w:szCs w:val="24"/>
          <w:lang w:eastAsia="en-US"/>
        </w:rPr>
        <w:t xml:space="preserve">in the first half of the 20th Century, and the market risk premium for the </w:t>
      </w:r>
      <w:r w:rsidR="00553E43" w:rsidRPr="00255659">
        <w:rPr>
          <w:color w:val="000000"/>
          <w:szCs w:val="24"/>
          <w:lang w:eastAsia="en-US"/>
        </w:rPr>
        <w:t xml:space="preserve">U.S. </w:t>
      </w:r>
      <w:r w:rsidR="00553E43">
        <w:rPr>
          <w:color w:val="000000"/>
          <w:szCs w:val="24"/>
          <w:lang w:eastAsia="en-US"/>
        </w:rPr>
        <w:t>was 7.</w:t>
      </w:r>
      <w:r w:rsidR="00553E43" w:rsidRPr="00255659">
        <w:rPr>
          <w:color w:val="000000"/>
          <w:szCs w:val="24"/>
          <w:lang w:eastAsia="en-US"/>
        </w:rPr>
        <w:t>5</w:t>
      </w:r>
      <w:r w:rsidR="00553E43">
        <w:rPr>
          <w:color w:val="000000"/>
          <w:szCs w:val="24"/>
          <w:lang w:eastAsia="en-US"/>
        </w:rPr>
        <w:t> percent</w:t>
      </w:r>
      <w:r w:rsidR="00553E43" w:rsidRPr="00553E43">
        <w:rPr>
          <w:color w:val="000000"/>
          <w:szCs w:val="24"/>
          <w:lang w:eastAsia="en-US"/>
        </w:rPr>
        <w:t xml:space="preserve"> </w:t>
      </w:r>
      <w:r w:rsidR="00553E43">
        <w:rPr>
          <w:color w:val="000000"/>
          <w:szCs w:val="24"/>
          <w:lang w:eastAsia="en-US"/>
        </w:rPr>
        <w:t>in the second half of the 20th Century.</w:t>
      </w:r>
      <w:r w:rsidR="00553E43" w:rsidRPr="00553E43">
        <w:rPr>
          <w:color w:val="000000"/>
          <w:szCs w:val="24"/>
          <w:lang w:eastAsia="en-US"/>
        </w:rPr>
        <w:t xml:space="preserve"> </w:t>
      </w:r>
      <w:r w:rsidR="00553E43">
        <w:rPr>
          <w:color w:val="000000"/>
          <w:szCs w:val="24"/>
          <w:lang w:eastAsia="en-US"/>
        </w:rPr>
        <w:t>The market risk premium of 7.</w:t>
      </w:r>
      <w:r w:rsidR="00553E43" w:rsidRPr="00255659">
        <w:rPr>
          <w:color w:val="000000"/>
          <w:szCs w:val="24"/>
          <w:lang w:eastAsia="en-US"/>
        </w:rPr>
        <w:t>5</w:t>
      </w:r>
      <w:r w:rsidR="00553E43">
        <w:rPr>
          <w:color w:val="000000"/>
          <w:szCs w:val="24"/>
          <w:lang w:eastAsia="en-US"/>
        </w:rPr>
        <w:t> percent</w:t>
      </w:r>
      <w:r w:rsidR="00553E43" w:rsidRPr="00553E43">
        <w:rPr>
          <w:color w:val="000000"/>
          <w:szCs w:val="24"/>
          <w:lang w:eastAsia="en-US"/>
        </w:rPr>
        <w:t xml:space="preserve"> </w:t>
      </w:r>
      <w:r w:rsidR="00553E43">
        <w:rPr>
          <w:color w:val="000000"/>
          <w:szCs w:val="24"/>
          <w:lang w:eastAsia="en-US"/>
        </w:rPr>
        <w:t xml:space="preserve">for the </w:t>
      </w:r>
      <w:r w:rsidR="00553E43" w:rsidRPr="00255659">
        <w:rPr>
          <w:color w:val="000000"/>
          <w:szCs w:val="24"/>
          <w:lang w:eastAsia="en-US"/>
        </w:rPr>
        <w:t xml:space="preserve">U.S. </w:t>
      </w:r>
      <w:r w:rsidR="00553E43">
        <w:rPr>
          <w:color w:val="000000"/>
          <w:szCs w:val="24"/>
          <w:lang w:eastAsia="en-US"/>
        </w:rPr>
        <w:t xml:space="preserve">in the second half of the 20th Century is well in excess of the median historical market risk premium of 5.14 percent </w:t>
      </w:r>
      <w:r w:rsidR="00D94B46">
        <w:rPr>
          <w:color w:val="000000"/>
          <w:szCs w:val="24"/>
          <w:lang w:eastAsia="en-US"/>
        </w:rPr>
        <w:t>reported by Dr. Woolridge.</w:t>
      </w:r>
      <w:r w:rsidR="00D94B46">
        <w:rPr>
          <w:rStyle w:val="FootnoteReference"/>
          <w:color w:val="000000"/>
          <w:szCs w:val="24"/>
          <w:lang w:eastAsia="en-US"/>
        </w:rPr>
        <w:footnoteReference w:id="24"/>
      </w:r>
      <w:r w:rsidR="00D94B46">
        <w:rPr>
          <w:color w:val="000000"/>
          <w:szCs w:val="24"/>
          <w:lang w:eastAsia="en-US"/>
        </w:rPr>
        <w:t xml:space="preserve"> </w:t>
      </w:r>
      <w:r w:rsidR="00D94B46" w:rsidRPr="00447147">
        <w:rPr>
          <w:szCs w:val="24"/>
          <w:lang w:eastAsia="en-US"/>
        </w:rPr>
        <w:t xml:space="preserve">Richard </w:t>
      </w:r>
      <w:r w:rsidR="00D94B46" w:rsidRPr="00447147">
        <w:rPr>
          <w:szCs w:val="24"/>
          <w:lang w:eastAsia="en-US"/>
        </w:rPr>
        <w:lastRenderedPageBreak/>
        <w:t xml:space="preserve">Brealey, Stewart Myers, </w:t>
      </w:r>
      <w:r w:rsidR="00D94B46">
        <w:rPr>
          <w:szCs w:val="24"/>
          <w:lang w:eastAsia="en-US"/>
        </w:rPr>
        <w:t xml:space="preserve">and </w:t>
      </w:r>
      <w:r w:rsidR="00D94B46" w:rsidRPr="00447147">
        <w:rPr>
          <w:szCs w:val="24"/>
          <w:lang w:eastAsia="en-US"/>
        </w:rPr>
        <w:t xml:space="preserve">Franklin Allen </w:t>
      </w:r>
      <w:r w:rsidR="00D94B46" w:rsidRPr="00255659">
        <w:rPr>
          <w:color w:val="000000"/>
          <w:szCs w:val="24"/>
          <w:lang w:eastAsia="en-US"/>
        </w:rPr>
        <w:t xml:space="preserve">updated the Dimson study and found an average </w:t>
      </w:r>
      <w:r w:rsidR="00D94B46">
        <w:rPr>
          <w:color w:val="000000"/>
          <w:szCs w:val="24"/>
          <w:lang w:eastAsia="en-US"/>
        </w:rPr>
        <w:t xml:space="preserve">market risk premium of </w:t>
      </w:r>
      <w:r w:rsidR="00D94B46" w:rsidRPr="00255659">
        <w:rPr>
          <w:color w:val="000000"/>
          <w:szCs w:val="24"/>
          <w:lang w:eastAsia="en-US"/>
        </w:rPr>
        <w:t>6.5</w:t>
      </w:r>
      <w:r w:rsidR="00D94B46">
        <w:rPr>
          <w:color w:val="000000"/>
          <w:szCs w:val="24"/>
          <w:lang w:eastAsia="en-US"/>
        </w:rPr>
        <w:t xml:space="preserve"> percent </w:t>
      </w:r>
      <w:r w:rsidR="00D94B46" w:rsidRPr="00255659">
        <w:rPr>
          <w:color w:val="000000"/>
          <w:szCs w:val="24"/>
          <w:lang w:eastAsia="en-US"/>
        </w:rPr>
        <w:t>for the U.S.</w:t>
      </w:r>
      <w:r w:rsidR="00D94B46" w:rsidRPr="00D94B46">
        <w:rPr>
          <w:rStyle w:val="FootnoteReference"/>
          <w:lang w:eastAsia="en-US"/>
        </w:rPr>
        <w:footnoteReference w:id="25"/>
      </w:r>
    </w:p>
    <w:p w:rsidR="00F8137F" w:rsidRPr="00255659" w:rsidRDefault="00AA31D3" w:rsidP="00540A76">
      <w:pPr>
        <w:pStyle w:val="answer"/>
        <w:ind w:firstLine="0"/>
        <w:rPr>
          <w:color w:val="000000"/>
          <w:szCs w:val="24"/>
          <w:lang w:eastAsia="en-US"/>
        </w:rPr>
      </w:pPr>
      <w:r w:rsidRPr="00255659">
        <w:rPr>
          <w:color w:val="000000"/>
          <w:szCs w:val="24"/>
          <w:lang w:eastAsia="en-US"/>
        </w:rPr>
        <w:t xml:space="preserve">Another study of </w:t>
      </w:r>
      <w:r w:rsidR="006963A5">
        <w:rPr>
          <w:color w:val="000000"/>
          <w:szCs w:val="24"/>
          <w:lang w:eastAsia="en-US"/>
        </w:rPr>
        <w:t xml:space="preserve">market risk </w:t>
      </w:r>
      <w:r w:rsidR="00B46635">
        <w:rPr>
          <w:szCs w:val="24"/>
          <w:lang w:eastAsia="en-US"/>
        </w:rPr>
        <w:t>premiums</w:t>
      </w:r>
      <w:r w:rsidR="006963A5">
        <w:rPr>
          <w:color w:val="000000"/>
          <w:szCs w:val="24"/>
          <w:lang w:eastAsia="en-US"/>
        </w:rPr>
        <w:t xml:space="preserve"> </w:t>
      </w:r>
      <w:r w:rsidRPr="00255659">
        <w:rPr>
          <w:color w:val="000000"/>
          <w:szCs w:val="24"/>
          <w:lang w:eastAsia="en-US"/>
        </w:rPr>
        <w:t xml:space="preserve">not mentioned by </w:t>
      </w:r>
      <w:r w:rsidR="006B5168" w:rsidRPr="00255659">
        <w:rPr>
          <w:lang w:eastAsia="en-US"/>
        </w:rPr>
        <w:t>Dr.</w:t>
      </w:r>
      <w:r w:rsidR="006B5168">
        <w:rPr>
          <w:lang w:eastAsia="en-US"/>
        </w:rPr>
        <w:t> </w:t>
      </w:r>
      <w:r w:rsidRPr="00255659">
        <w:rPr>
          <w:color w:val="000000"/>
          <w:szCs w:val="24"/>
          <w:lang w:eastAsia="en-US"/>
        </w:rPr>
        <w:t xml:space="preserve">Woolridge was published by </w:t>
      </w:r>
      <w:r w:rsidR="006963A5" w:rsidRPr="006963A5">
        <w:rPr>
          <w:color w:val="000000"/>
          <w:szCs w:val="24"/>
          <w:lang w:eastAsia="en-US"/>
        </w:rPr>
        <w:t xml:space="preserve">Rajnish </w:t>
      </w:r>
      <w:r w:rsidRPr="00255659">
        <w:rPr>
          <w:color w:val="000000"/>
          <w:szCs w:val="24"/>
          <w:lang w:eastAsia="en-US"/>
        </w:rPr>
        <w:t xml:space="preserve">Mehra, </w:t>
      </w:r>
      <w:r w:rsidR="00CC0914">
        <w:rPr>
          <w:color w:val="000000"/>
          <w:szCs w:val="24"/>
          <w:lang w:eastAsia="en-US"/>
        </w:rPr>
        <w:t xml:space="preserve">which </w:t>
      </w:r>
      <w:r w:rsidRPr="00255659">
        <w:rPr>
          <w:color w:val="000000"/>
          <w:szCs w:val="24"/>
          <w:lang w:eastAsia="en-US"/>
        </w:rPr>
        <w:t xml:space="preserve">concludes that the </w:t>
      </w:r>
      <w:r w:rsidR="006963A5">
        <w:rPr>
          <w:color w:val="000000"/>
          <w:szCs w:val="24"/>
          <w:lang w:eastAsia="en-US"/>
        </w:rPr>
        <w:t xml:space="preserve">market risk premium </w:t>
      </w:r>
      <w:r w:rsidRPr="00255659">
        <w:rPr>
          <w:color w:val="000000"/>
          <w:szCs w:val="24"/>
          <w:lang w:eastAsia="en-US"/>
        </w:rPr>
        <w:t xml:space="preserve">over the 1889-2000 period is likely to be similar to its historical estimate of </w:t>
      </w:r>
      <w:r w:rsidR="006963A5">
        <w:rPr>
          <w:color w:val="000000"/>
          <w:szCs w:val="24"/>
          <w:lang w:eastAsia="en-US"/>
        </w:rPr>
        <w:t xml:space="preserve">between </w:t>
      </w:r>
      <w:r w:rsidRPr="00255659">
        <w:rPr>
          <w:color w:val="000000"/>
          <w:szCs w:val="24"/>
          <w:lang w:eastAsia="en-US"/>
        </w:rPr>
        <w:t>6</w:t>
      </w:r>
      <w:r w:rsidR="006963A5">
        <w:rPr>
          <w:color w:val="000000"/>
          <w:szCs w:val="24"/>
          <w:lang w:eastAsia="en-US"/>
        </w:rPr>
        <w:t>.0 and 8.0 percent</w:t>
      </w:r>
      <w:r w:rsidR="00CC0914">
        <w:rPr>
          <w:color w:val="000000"/>
          <w:szCs w:val="24"/>
          <w:lang w:eastAsia="en-US"/>
        </w:rPr>
        <w:t>.</w:t>
      </w:r>
      <w:r w:rsidR="00CC0914" w:rsidRPr="00255659">
        <w:rPr>
          <w:rStyle w:val="FootnoteReference"/>
          <w:color w:val="000000"/>
          <w:szCs w:val="24"/>
          <w:lang w:eastAsia="en-US"/>
        </w:rPr>
        <w:footnoteReference w:id="26"/>
      </w:r>
      <w:r w:rsidR="006963A5">
        <w:rPr>
          <w:color w:val="000000"/>
          <w:szCs w:val="24"/>
          <w:lang w:eastAsia="en-US"/>
        </w:rPr>
        <w:t xml:space="preserve"> </w:t>
      </w:r>
      <w:r w:rsidR="00CC0914">
        <w:rPr>
          <w:color w:val="000000"/>
          <w:szCs w:val="24"/>
          <w:lang w:eastAsia="en-US"/>
        </w:rPr>
        <w:t xml:space="preserve">The Mehra study predated the </w:t>
      </w:r>
      <w:r w:rsidRPr="00255659">
        <w:rPr>
          <w:color w:val="000000"/>
          <w:szCs w:val="24"/>
          <w:lang w:eastAsia="en-US"/>
        </w:rPr>
        <w:t>unprecedented 2008-2009 financial crisis</w:t>
      </w:r>
      <w:r w:rsidR="00CC0914">
        <w:rPr>
          <w:color w:val="000000"/>
          <w:szCs w:val="24"/>
          <w:lang w:eastAsia="en-US"/>
        </w:rPr>
        <w:t>,</w:t>
      </w:r>
      <w:r w:rsidRPr="00255659">
        <w:rPr>
          <w:color w:val="000000"/>
          <w:szCs w:val="24"/>
          <w:lang w:eastAsia="en-US"/>
        </w:rPr>
        <w:t xml:space="preserve"> which has undoubtedly increased the </w:t>
      </w:r>
      <w:r w:rsidR="00CC0914">
        <w:rPr>
          <w:color w:val="000000"/>
          <w:szCs w:val="24"/>
          <w:lang w:eastAsia="en-US"/>
        </w:rPr>
        <w:t>market risk premium</w:t>
      </w:r>
      <w:r w:rsidRPr="00255659">
        <w:rPr>
          <w:color w:val="000000"/>
          <w:szCs w:val="24"/>
          <w:lang w:eastAsia="en-US"/>
        </w:rPr>
        <w:t>.</w:t>
      </w:r>
    </w:p>
    <w:p w:rsidR="00F8137F" w:rsidRPr="00255659" w:rsidRDefault="00AA31D3" w:rsidP="00540A76">
      <w:pPr>
        <w:pStyle w:val="answer"/>
        <w:ind w:firstLine="0"/>
        <w:rPr>
          <w:szCs w:val="24"/>
          <w:lang w:eastAsia="x-none"/>
        </w:rPr>
      </w:pPr>
      <w:r w:rsidRPr="00255659">
        <w:rPr>
          <w:szCs w:val="24"/>
          <w:lang w:val="x-none" w:eastAsia="x-none"/>
        </w:rPr>
        <w:t xml:space="preserve">Another study not cited by </w:t>
      </w:r>
      <w:r w:rsidR="006B5168" w:rsidRPr="00255659">
        <w:rPr>
          <w:lang w:eastAsia="en-US"/>
        </w:rPr>
        <w:t>Dr.</w:t>
      </w:r>
      <w:r w:rsidR="006B5168">
        <w:rPr>
          <w:lang w:eastAsia="en-US"/>
        </w:rPr>
        <w:t> </w:t>
      </w:r>
      <w:r w:rsidRPr="00255659">
        <w:rPr>
          <w:szCs w:val="24"/>
          <w:lang w:val="x-none" w:eastAsia="x-none"/>
        </w:rPr>
        <w:t xml:space="preserve">Woolridge measured the </w:t>
      </w:r>
      <w:r w:rsidR="00CC0914">
        <w:rPr>
          <w:szCs w:val="24"/>
          <w:lang w:eastAsia="x-none"/>
        </w:rPr>
        <w:t xml:space="preserve">market risk premium </w:t>
      </w:r>
      <w:r w:rsidRPr="00255659">
        <w:rPr>
          <w:szCs w:val="24"/>
          <w:lang w:val="x-none" w:eastAsia="x-none"/>
        </w:rPr>
        <w:t>by subtracting the risk-free rate from the expected future long-term returns on the overall equity market.</w:t>
      </w:r>
      <w:r w:rsidR="00287C5A">
        <w:rPr>
          <w:szCs w:val="24"/>
          <w:lang w:eastAsia="x-none"/>
        </w:rPr>
        <w:t xml:space="preserve"> </w:t>
      </w:r>
      <w:r w:rsidRPr="00255659">
        <w:rPr>
          <w:szCs w:val="24"/>
          <w:lang w:val="x-none" w:eastAsia="x-none"/>
        </w:rPr>
        <w:t xml:space="preserve">This study by </w:t>
      </w:r>
      <w:r w:rsidR="005454BD" w:rsidRPr="005454BD">
        <w:rPr>
          <w:szCs w:val="24"/>
          <w:lang w:eastAsia="x-none"/>
        </w:rPr>
        <w:t>Robert Harris and Felicia Marston</w:t>
      </w:r>
      <w:r w:rsidR="005454BD">
        <w:rPr>
          <w:rStyle w:val="FootnoteReference"/>
          <w:szCs w:val="24"/>
          <w:lang w:eastAsia="x-none"/>
        </w:rPr>
        <w:footnoteReference w:id="27"/>
      </w:r>
      <w:r w:rsidR="005454BD">
        <w:rPr>
          <w:szCs w:val="24"/>
          <w:lang w:eastAsia="x-none"/>
        </w:rPr>
        <w:t xml:space="preserve"> </w:t>
      </w:r>
      <w:r w:rsidR="0015009B">
        <w:rPr>
          <w:szCs w:val="24"/>
          <w:lang w:val="x-none" w:eastAsia="x-none"/>
        </w:rPr>
        <w:t xml:space="preserve">resulted in a market risk premium </w:t>
      </w:r>
      <w:r w:rsidRPr="00255659">
        <w:rPr>
          <w:szCs w:val="24"/>
          <w:lang w:val="x-none" w:eastAsia="x-none"/>
        </w:rPr>
        <w:t>of 6.5</w:t>
      </w:r>
      <w:r w:rsidR="0015009B">
        <w:rPr>
          <w:szCs w:val="24"/>
          <w:lang w:eastAsia="x-none"/>
        </w:rPr>
        <w:t> percent</w:t>
      </w:r>
      <w:r w:rsidRPr="00255659">
        <w:rPr>
          <w:szCs w:val="24"/>
          <w:lang w:val="x-none" w:eastAsia="x-none"/>
        </w:rPr>
        <w:t xml:space="preserve">, which is reasonably close to the </w:t>
      </w:r>
      <w:r w:rsidR="0015009B">
        <w:rPr>
          <w:szCs w:val="24"/>
          <w:lang w:eastAsia="x-none"/>
        </w:rPr>
        <w:t xml:space="preserve">market risk premium of </w:t>
      </w:r>
      <w:r w:rsidRPr="00255659">
        <w:rPr>
          <w:szCs w:val="24"/>
          <w:lang w:val="x-none" w:eastAsia="x-none"/>
        </w:rPr>
        <w:t>7.0</w:t>
      </w:r>
      <w:r w:rsidR="0015009B">
        <w:rPr>
          <w:szCs w:val="24"/>
          <w:lang w:eastAsia="x-none"/>
        </w:rPr>
        <w:t xml:space="preserve"> percent </w:t>
      </w:r>
      <w:r w:rsidRPr="00255659">
        <w:rPr>
          <w:szCs w:val="24"/>
          <w:lang w:val="x-none" w:eastAsia="x-none"/>
        </w:rPr>
        <w:t xml:space="preserve">used in my testimony and far removed from </w:t>
      </w:r>
      <w:r w:rsidR="006B5168" w:rsidRPr="00255659">
        <w:rPr>
          <w:lang w:eastAsia="en-US"/>
        </w:rPr>
        <w:t>Dr.</w:t>
      </w:r>
      <w:r w:rsidR="006B5168">
        <w:rPr>
          <w:lang w:eastAsia="en-US"/>
        </w:rPr>
        <w:t> </w:t>
      </w:r>
      <w:r w:rsidRPr="00255659">
        <w:rPr>
          <w:szCs w:val="24"/>
          <w:lang w:val="x-none" w:eastAsia="x-none"/>
        </w:rPr>
        <w:t>Woolridge</w:t>
      </w:r>
      <w:r w:rsidR="00255659">
        <w:rPr>
          <w:szCs w:val="24"/>
          <w:lang w:val="x-none" w:eastAsia="x-none"/>
        </w:rPr>
        <w:t>’</w:t>
      </w:r>
      <w:r w:rsidRPr="00255659">
        <w:rPr>
          <w:szCs w:val="24"/>
          <w:lang w:val="x-none" w:eastAsia="x-none"/>
        </w:rPr>
        <w:t xml:space="preserve">s </w:t>
      </w:r>
      <w:r w:rsidR="0015009B">
        <w:rPr>
          <w:szCs w:val="24"/>
          <w:lang w:eastAsia="x-none"/>
        </w:rPr>
        <w:t>market risk premium of 5</w:t>
      </w:r>
      <w:r w:rsidR="0015009B" w:rsidRPr="00255659">
        <w:rPr>
          <w:szCs w:val="24"/>
          <w:lang w:val="x-none" w:eastAsia="x-none"/>
        </w:rPr>
        <w:t>.</w:t>
      </w:r>
      <w:r w:rsidR="0015009B">
        <w:rPr>
          <w:szCs w:val="24"/>
          <w:lang w:eastAsia="x-none"/>
        </w:rPr>
        <w:t>5 percent</w:t>
      </w:r>
      <w:r w:rsidRPr="00255659">
        <w:rPr>
          <w:szCs w:val="24"/>
          <w:lang w:val="x-none" w:eastAsia="x-none"/>
        </w:rPr>
        <w:t>.</w:t>
      </w:r>
    </w:p>
    <w:p w:rsidR="00F8137F" w:rsidRPr="00255659" w:rsidRDefault="00AA31D3" w:rsidP="00540A76">
      <w:pPr>
        <w:pStyle w:val="answer"/>
        <w:ind w:firstLine="0"/>
        <w:rPr>
          <w:color w:val="000000"/>
          <w:szCs w:val="24"/>
          <w:lang w:eastAsia="en-US"/>
        </w:rPr>
      </w:pPr>
      <w:r w:rsidRPr="00255659">
        <w:rPr>
          <w:color w:val="000000"/>
          <w:szCs w:val="24"/>
          <w:lang w:eastAsia="en-US"/>
        </w:rPr>
        <w:t xml:space="preserve">Yet another study by </w:t>
      </w:r>
      <w:r w:rsidR="0015009B">
        <w:rPr>
          <w:color w:val="000000"/>
          <w:szCs w:val="24"/>
          <w:lang w:eastAsia="en-US"/>
        </w:rPr>
        <w:t xml:space="preserve">George </w:t>
      </w:r>
      <w:r w:rsidRPr="00255659">
        <w:rPr>
          <w:color w:val="000000"/>
          <w:szCs w:val="24"/>
          <w:lang w:eastAsia="en-US"/>
        </w:rPr>
        <w:t>Constantinides</w:t>
      </w:r>
      <w:r w:rsidR="00F8137F" w:rsidRPr="00255659">
        <w:rPr>
          <w:rStyle w:val="FootnoteReference"/>
          <w:color w:val="000000"/>
          <w:szCs w:val="24"/>
          <w:lang w:eastAsia="en-US"/>
        </w:rPr>
        <w:footnoteReference w:id="28"/>
      </w:r>
      <w:r w:rsidRPr="00255659">
        <w:rPr>
          <w:color w:val="000000"/>
          <w:szCs w:val="24"/>
          <w:lang w:eastAsia="en-US"/>
        </w:rPr>
        <w:t xml:space="preserve"> presented in his presidential address to the American Finance Association in 2001 found </w:t>
      </w:r>
      <w:r w:rsidR="007B37C8">
        <w:rPr>
          <w:color w:val="000000"/>
          <w:szCs w:val="24"/>
          <w:lang w:eastAsia="en-US"/>
        </w:rPr>
        <w:t xml:space="preserve">market risk premium </w:t>
      </w:r>
      <w:r w:rsidRPr="00255659">
        <w:rPr>
          <w:color w:val="000000"/>
          <w:szCs w:val="24"/>
          <w:lang w:eastAsia="en-US"/>
        </w:rPr>
        <w:t>estimates of 8</w:t>
      </w:r>
      <w:r w:rsidR="007B37C8">
        <w:rPr>
          <w:color w:val="000000"/>
          <w:szCs w:val="24"/>
          <w:lang w:eastAsia="en-US"/>
        </w:rPr>
        <w:t xml:space="preserve">.0 percent </w:t>
      </w:r>
      <w:r w:rsidRPr="00255659">
        <w:rPr>
          <w:color w:val="000000"/>
          <w:szCs w:val="24"/>
          <w:lang w:eastAsia="en-US"/>
        </w:rPr>
        <w:t>over the 1926-200</w:t>
      </w:r>
      <w:r w:rsidR="007B37C8">
        <w:rPr>
          <w:color w:val="000000"/>
          <w:szCs w:val="24"/>
          <w:lang w:eastAsia="en-US"/>
        </w:rPr>
        <w:t>0 period</w:t>
      </w:r>
      <w:r w:rsidRPr="00255659">
        <w:rPr>
          <w:color w:val="000000"/>
          <w:szCs w:val="24"/>
          <w:lang w:eastAsia="en-US"/>
        </w:rPr>
        <w:t xml:space="preserve"> and </w:t>
      </w:r>
      <w:r w:rsidR="007B37C8">
        <w:rPr>
          <w:color w:val="000000"/>
          <w:szCs w:val="24"/>
          <w:lang w:eastAsia="en-US"/>
        </w:rPr>
        <w:t xml:space="preserve">6.0 percent over the </w:t>
      </w:r>
      <w:r w:rsidRPr="00255659">
        <w:rPr>
          <w:color w:val="000000"/>
          <w:szCs w:val="24"/>
          <w:lang w:eastAsia="en-US"/>
        </w:rPr>
        <w:t>1951-2000 period.</w:t>
      </w:r>
      <w:r w:rsidR="00287C5A">
        <w:rPr>
          <w:color w:val="000000"/>
          <w:szCs w:val="24"/>
          <w:lang w:eastAsia="en-US"/>
        </w:rPr>
        <w:t xml:space="preserve"> </w:t>
      </w:r>
      <w:r w:rsidR="007B37C8">
        <w:rPr>
          <w:color w:val="000000"/>
          <w:szCs w:val="24"/>
          <w:lang w:eastAsia="en-US"/>
        </w:rPr>
        <w:t>Again, t</w:t>
      </w:r>
      <w:r w:rsidRPr="00255659">
        <w:rPr>
          <w:color w:val="000000"/>
          <w:szCs w:val="24"/>
          <w:lang w:eastAsia="en-US"/>
        </w:rPr>
        <w:t xml:space="preserve">hese estimates </w:t>
      </w:r>
      <w:r w:rsidR="007B37C8">
        <w:rPr>
          <w:color w:val="000000"/>
          <w:szCs w:val="24"/>
          <w:lang w:eastAsia="en-US"/>
        </w:rPr>
        <w:t xml:space="preserve">predate the </w:t>
      </w:r>
      <w:r w:rsidR="007B37C8" w:rsidRPr="00255659">
        <w:rPr>
          <w:color w:val="000000"/>
          <w:szCs w:val="24"/>
          <w:lang w:eastAsia="en-US"/>
        </w:rPr>
        <w:t>unprecedented 2008-2009 financial crisis</w:t>
      </w:r>
      <w:r w:rsidR="007B37C8">
        <w:rPr>
          <w:color w:val="000000"/>
          <w:szCs w:val="24"/>
          <w:lang w:eastAsia="en-US"/>
        </w:rPr>
        <w:t>,</w:t>
      </w:r>
      <w:r w:rsidR="007B37C8" w:rsidRPr="00255659">
        <w:rPr>
          <w:color w:val="000000"/>
          <w:szCs w:val="24"/>
          <w:lang w:eastAsia="en-US"/>
        </w:rPr>
        <w:t xml:space="preserve"> which has undoubtedly increased the </w:t>
      </w:r>
      <w:r w:rsidR="007B37C8">
        <w:rPr>
          <w:color w:val="000000"/>
          <w:szCs w:val="24"/>
          <w:lang w:eastAsia="en-US"/>
        </w:rPr>
        <w:t>market risk premium</w:t>
      </w:r>
      <w:r w:rsidR="007B37C8" w:rsidRPr="00255659">
        <w:rPr>
          <w:color w:val="000000"/>
          <w:szCs w:val="24"/>
          <w:lang w:eastAsia="en-US"/>
        </w:rPr>
        <w:t>.</w:t>
      </w:r>
    </w:p>
    <w:p w:rsidR="00F8137F" w:rsidRPr="00255659" w:rsidRDefault="00AA31D3" w:rsidP="00540A76">
      <w:pPr>
        <w:pStyle w:val="answer"/>
        <w:ind w:firstLine="0"/>
        <w:rPr>
          <w:szCs w:val="24"/>
          <w:lang w:eastAsia="x-none"/>
        </w:rPr>
      </w:pPr>
      <w:r w:rsidRPr="00255659">
        <w:rPr>
          <w:szCs w:val="24"/>
          <w:lang w:val="x-none" w:eastAsia="x-none"/>
        </w:rPr>
        <w:lastRenderedPageBreak/>
        <w:t>If there is any bias in the earnings growth estimates provided by sell</w:t>
      </w:r>
      <w:r w:rsidR="007B37C8">
        <w:rPr>
          <w:szCs w:val="24"/>
          <w:lang w:eastAsia="x-none"/>
        </w:rPr>
        <w:t>-</w:t>
      </w:r>
      <w:r w:rsidRPr="00255659">
        <w:rPr>
          <w:szCs w:val="24"/>
          <w:lang w:val="x-none" w:eastAsia="x-none"/>
        </w:rPr>
        <w:t xml:space="preserve">side security analysts (a topic </w:t>
      </w:r>
      <w:r w:rsidR="007B37C8">
        <w:rPr>
          <w:szCs w:val="24"/>
          <w:lang w:eastAsia="x-none"/>
        </w:rPr>
        <w:t xml:space="preserve">addressed </w:t>
      </w:r>
      <w:r w:rsidRPr="00255659">
        <w:rPr>
          <w:szCs w:val="24"/>
          <w:lang w:val="x-none" w:eastAsia="x-none"/>
        </w:rPr>
        <w:t>later</w:t>
      </w:r>
      <w:r w:rsidR="007B37C8">
        <w:rPr>
          <w:szCs w:val="24"/>
          <w:lang w:eastAsia="x-none"/>
        </w:rPr>
        <w:t xml:space="preserve"> in this testimony</w:t>
      </w:r>
      <w:r w:rsidRPr="00255659">
        <w:rPr>
          <w:szCs w:val="24"/>
          <w:lang w:val="x-none" w:eastAsia="x-none"/>
        </w:rPr>
        <w:t xml:space="preserve">), the use of independent analysts, such as widely known </w:t>
      </w:r>
      <w:r w:rsidR="00B97282" w:rsidRPr="00255659">
        <w:rPr>
          <w:lang w:eastAsia="en-US"/>
        </w:rPr>
        <w:t>Value Line</w:t>
      </w:r>
      <w:r w:rsidRPr="00255659">
        <w:rPr>
          <w:szCs w:val="24"/>
          <w:lang w:val="x-none" w:eastAsia="x-none"/>
        </w:rPr>
        <w:t xml:space="preserve">, can give an unbiased estimate of expected market returns and ultimately the expected </w:t>
      </w:r>
      <w:r w:rsidR="007B37C8">
        <w:rPr>
          <w:szCs w:val="24"/>
          <w:lang w:eastAsia="x-none"/>
        </w:rPr>
        <w:t>market risk premium</w:t>
      </w:r>
      <w:r w:rsidRPr="00255659">
        <w:rPr>
          <w:szCs w:val="24"/>
          <w:lang w:val="x-none" w:eastAsia="x-none"/>
        </w:rPr>
        <w:t>.</w:t>
      </w:r>
      <w:r w:rsidR="00287C5A">
        <w:rPr>
          <w:szCs w:val="24"/>
          <w:lang w:eastAsia="x-none"/>
        </w:rPr>
        <w:t xml:space="preserve"> </w:t>
      </w:r>
      <w:r w:rsidRPr="00255659">
        <w:rPr>
          <w:szCs w:val="24"/>
          <w:lang w:val="x-none" w:eastAsia="x-none"/>
        </w:rPr>
        <w:t xml:space="preserve">Each week, </w:t>
      </w:r>
      <w:r w:rsidR="00B97282" w:rsidRPr="00255659">
        <w:rPr>
          <w:lang w:eastAsia="en-US"/>
        </w:rPr>
        <w:t>Value Line</w:t>
      </w:r>
      <w:r w:rsidRPr="00255659">
        <w:rPr>
          <w:szCs w:val="24"/>
          <w:lang w:val="x-none" w:eastAsia="x-none"/>
        </w:rPr>
        <w:t xml:space="preserve"> publishes the dividend yield for the 1</w:t>
      </w:r>
      <w:r w:rsidR="007B37C8">
        <w:rPr>
          <w:szCs w:val="24"/>
          <w:lang w:eastAsia="x-none"/>
        </w:rPr>
        <w:t>,</w:t>
      </w:r>
      <w:r w:rsidRPr="00255659">
        <w:rPr>
          <w:szCs w:val="24"/>
          <w:lang w:val="x-none" w:eastAsia="x-none"/>
        </w:rPr>
        <w:t>700 stocks that it follows.</w:t>
      </w:r>
      <w:r w:rsidR="00287C5A">
        <w:rPr>
          <w:szCs w:val="24"/>
          <w:lang w:eastAsia="x-none"/>
        </w:rPr>
        <w:t xml:space="preserve"> </w:t>
      </w:r>
      <w:r w:rsidRPr="00255659">
        <w:rPr>
          <w:szCs w:val="24"/>
          <w:lang w:val="x-none" w:eastAsia="x-none"/>
        </w:rPr>
        <w:t xml:space="preserve">It also estimates the </w:t>
      </w:r>
      <w:r w:rsidR="007B37C8">
        <w:rPr>
          <w:szCs w:val="24"/>
          <w:lang w:eastAsia="x-none"/>
        </w:rPr>
        <w:t>three- to five-</w:t>
      </w:r>
      <w:r w:rsidRPr="00255659">
        <w:rPr>
          <w:szCs w:val="24"/>
          <w:lang w:val="x-none" w:eastAsia="x-none"/>
        </w:rPr>
        <w:t>year appreciation potential of a portfolio containing all of these stocks.</w:t>
      </w:r>
      <w:r w:rsidR="00287C5A">
        <w:rPr>
          <w:szCs w:val="24"/>
          <w:lang w:eastAsia="x-none"/>
        </w:rPr>
        <w:t xml:space="preserve"> </w:t>
      </w:r>
      <w:r w:rsidRPr="00255659">
        <w:rPr>
          <w:szCs w:val="24"/>
          <w:lang w:val="x-none" w:eastAsia="x-none"/>
        </w:rPr>
        <w:t xml:space="preserve">As of July 2017, </w:t>
      </w:r>
      <w:r w:rsidR="00B97282" w:rsidRPr="00255659">
        <w:rPr>
          <w:lang w:eastAsia="en-US"/>
        </w:rPr>
        <w:t>Value Line</w:t>
      </w:r>
      <w:r w:rsidRPr="00255659">
        <w:rPr>
          <w:szCs w:val="24"/>
          <w:lang w:val="x-none" w:eastAsia="x-none"/>
        </w:rPr>
        <w:t xml:space="preserve"> is expecting an average annual appreciation of 7.7</w:t>
      </w:r>
      <w:r w:rsidR="007B37C8">
        <w:rPr>
          <w:szCs w:val="24"/>
          <w:lang w:eastAsia="x-none"/>
        </w:rPr>
        <w:t xml:space="preserve"> percent </w:t>
      </w:r>
      <w:r w:rsidR="007B37C8" w:rsidRPr="00255659">
        <w:rPr>
          <w:szCs w:val="24"/>
          <w:lang w:val="x-none" w:eastAsia="x-none"/>
        </w:rPr>
        <w:t>for its universe of 1</w:t>
      </w:r>
      <w:r w:rsidR="007B37C8">
        <w:rPr>
          <w:szCs w:val="24"/>
          <w:lang w:eastAsia="x-none"/>
        </w:rPr>
        <w:t>,</w:t>
      </w:r>
      <w:r w:rsidR="007B37C8" w:rsidRPr="00255659">
        <w:rPr>
          <w:szCs w:val="24"/>
          <w:lang w:val="x-none" w:eastAsia="x-none"/>
        </w:rPr>
        <w:t>700 stocks</w:t>
      </w:r>
      <w:r w:rsidR="007B37C8">
        <w:rPr>
          <w:szCs w:val="24"/>
          <w:lang w:eastAsia="x-none"/>
        </w:rPr>
        <w:t>.</w:t>
      </w:r>
      <w:r w:rsidR="007B37C8" w:rsidRPr="00255659">
        <w:rPr>
          <w:szCs w:val="24"/>
          <w:lang w:val="x-none" w:eastAsia="x-none"/>
        </w:rPr>
        <w:t xml:space="preserve"> </w:t>
      </w:r>
      <w:r w:rsidRPr="00255659">
        <w:rPr>
          <w:szCs w:val="24"/>
          <w:lang w:val="x-none" w:eastAsia="x-none"/>
        </w:rPr>
        <w:t>Adding the average dividend yield of 2.0</w:t>
      </w:r>
      <w:r w:rsidR="007B37C8">
        <w:rPr>
          <w:szCs w:val="24"/>
          <w:lang w:eastAsia="x-none"/>
        </w:rPr>
        <w:t xml:space="preserve"> percent </w:t>
      </w:r>
      <w:r w:rsidRPr="00255659">
        <w:rPr>
          <w:szCs w:val="24"/>
          <w:lang w:val="x-none" w:eastAsia="x-none"/>
        </w:rPr>
        <w:t>to the growth estimate of 7.7</w:t>
      </w:r>
      <w:r w:rsidR="007B37C8">
        <w:rPr>
          <w:szCs w:val="24"/>
          <w:lang w:eastAsia="x-none"/>
        </w:rPr>
        <w:t xml:space="preserve"> percent </w:t>
      </w:r>
      <w:r w:rsidRPr="00255659">
        <w:rPr>
          <w:szCs w:val="24"/>
          <w:lang w:val="x-none" w:eastAsia="x-none"/>
        </w:rPr>
        <w:t>yields a total annual estimated return of 9.7</w:t>
      </w:r>
      <w:r w:rsidR="007B37C8">
        <w:rPr>
          <w:szCs w:val="24"/>
          <w:lang w:eastAsia="x-none"/>
        </w:rPr>
        <w:t> percent</w:t>
      </w:r>
      <w:r w:rsidRPr="00255659">
        <w:rPr>
          <w:szCs w:val="24"/>
          <w:lang w:val="x-none" w:eastAsia="x-none"/>
        </w:rPr>
        <w:t>.</w:t>
      </w:r>
      <w:r w:rsidR="00287C5A">
        <w:rPr>
          <w:szCs w:val="24"/>
          <w:lang w:eastAsia="x-none"/>
        </w:rPr>
        <w:t xml:space="preserve"> </w:t>
      </w:r>
      <w:r w:rsidRPr="00255659">
        <w:rPr>
          <w:szCs w:val="24"/>
          <w:lang w:val="x-none" w:eastAsia="x-none"/>
        </w:rPr>
        <w:t xml:space="preserve">Subtracting the current long-term U.S. Treasury </w:t>
      </w:r>
      <w:r w:rsidR="007B37C8">
        <w:rPr>
          <w:szCs w:val="24"/>
          <w:lang w:eastAsia="x-none"/>
        </w:rPr>
        <w:t xml:space="preserve">30-year </w:t>
      </w:r>
      <w:r w:rsidRPr="00255659">
        <w:rPr>
          <w:szCs w:val="24"/>
          <w:lang w:val="x-none" w:eastAsia="x-none"/>
        </w:rPr>
        <w:t>bond rate of about 3.0</w:t>
      </w:r>
      <w:r w:rsidR="007B37C8">
        <w:rPr>
          <w:szCs w:val="24"/>
          <w:lang w:eastAsia="x-none"/>
        </w:rPr>
        <w:t xml:space="preserve"> percent would </w:t>
      </w:r>
      <w:r w:rsidR="007B37C8">
        <w:rPr>
          <w:szCs w:val="24"/>
          <w:lang w:val="x-none" w:eastAsia="x-none"/>
        </w:rPr>
        <w:t>yield</w:t>
      </w:r>
      <w:r w:rsidRPr="00255659">
        <w:rPr>
          <w:szCs w:val="24"/>
          <w:lang w:val="x-none" w:eastAsia="x-none"/>
        </w:rPr>
        <w:t xml:space="preserve"> an expected </w:t>
      </w:r>
      <w:r w:rsidR="007B37C8">
        <w:rPr>
          <w:szCs w:val="24"/>
          <w:lang w:eastAsia="x-none"/>
        </w:rPr>
        <w:t xml:space="preserve">market risk premium </w:t>
      </w:r>
      <w:r w:rsidRPr="00255659">
        <w:rPr>
          <w:szCs w:val="24"/>
          <w:lang w:val="x-none" w:eastAsia="x-none"/>
        </w:rPr>
        <w:t>of 6.7</w:t>
      </w:r>
      <w:r w:rsidR="007B37C8">
        <w:rPr>
          <w:szCs w:val="24"/>
          <w:lang w:eastAsia="x-none"/>
        </w:rPr>
        <w:t xml:space="preserve"> percent, </w:t>
      </w:r>
      <w:r w:rsidRPr="00255659">
        <w:rPr>
          <w:szCs w:val="24"/>
          <w:lang w:val="x-none" w:eastAsia="x-none"/>
        </w:rPr>
        <w:t xml:space="preserve">which is within a reasonable range of </w:t>
      </w:r>
      <w:r w:rsidR="007B37C8">
        <w:rPr>
          <w:szCs w:val="24"/>
          <w:lang w:eastAsia="x-none"/>
        </w:rPr>
        <w:t xml:space="preserve">market risk premium of </w:t>
      </w:r>
      <w:r w:rsidRPr="00255659">
        <w:rPr>
          <w:szCs w:val="24"/>
          <w:lang w:val="x-none" w:eastAsia="x-none"/>
        </w:rPr>
        <w:t>7.0</w:t>
      </w:r>
      <w:r w:rsidR="007B37C8">
        <w:rPr>
          <w:szCs w:val="24"/>
          <w:lang w:eastAsia="x-none"/>
        </w:rPr>
        <w:t xml:space="preserve"> percent </w:t>
      </w:r>
      <w:r w:rsidRPr="00255659">
        <w:rPr>
          <w:szCs w:val="24"/>
          <w:lang w:val="x-none" w:eastAsia="x-none"/>
        </w:rPr>
        <w:t xml:space="preserve">used in my testimony and well above </w:t>
      </w:r>
      <w:r w:rsidR="006B5168" w:rsidRPr="00255659">
        <w:rPr>
          <w:lang w:eastAsia="en-US"/>
        </w:rPr>
        <w:t>Dr.</w:t>
      </w:r>
      <w:r w:rsidR="006B5168">
        <w:rPr>
          <w:lang w:eastAsia="en-US"/>
        </w:rPr>
        <w:t> </w:t>
      </w:r>
      <w:r w:rsidRPr="00255659">
        <w:rPr>
          <w:szCs w:val="24"/>
          <w:lang w:val="x-none" w:eastAsia="x-none"/>
        </w:rPr>
        <w:t>Woolridge</w:t>
      </w:r>
      <w:r w:rsidR="00255659">
        <w:rPr>
          <w:szCs w:val="24"/>
          <w:lang w:val="x-none" w:eastAsia="x-none"/>
        </w:rPr>
        <w:t>’</w:t>
      </w:r>
      <w:r w:rsidRPr="00255659">
        <w:rPr>
          <w:szCs w:val="24"/>
          <w:lang w:val="x-none" w:eastAsia="x-none"/>
        </w:rPr>
        <w:t xml:space="preserve">s </w:t>
      </w:r>
      <w:r w:rsidR="007B37C8">
        <w:rPr>
          <w:szCs w:val="24"/>
          <w:lang w:eastAsia="x-none"/>
        </w:rPr>
        <w:t xml:space="preserve">market risk premium </w:t>
      </w:r>
      <w:r w:rsidRPr="00255659">
        <w:rPr>
          <w:szCs w:val="24"/>
          <w:lang w:val="x-none" w:eastAsia="x-none"/>
        </w:rPr>
        <w:t>estimate of 5.5</w:t>
      </w:r>
      <w:r w:rsidR="007B37C8">
        <w:rPr>
          <w:szCs w:val="24"/>
          <w:lang w:eastAsia="x-none"/>
        </w:rPr>
        <w:t> percent</w:t>
      </w:r>
      <w:r w:rsidRPr="00255659">
        <w:rPr>
          <w:szCs w:val="24"/>
          <w:lang w:val="x-none" w:eastAsia="x-none"/>
        </w:rPr>
        <w:t>.</w:t>
      </w:r>
      <w:r w:rsidR="00287C5A">
        <w:rPr>
          <w:szCs w:val="24"/>
          <w:lang w:eastAsia="x-none"/>
        </w:rPr>
        <w:t xml:space="preserve"> </w:t>
      </w:r>
      <w:r w:rsidRPr="00255659">
        <w:rPr>
          <w:szCs w:val="24"/>
          <w:lang w:val="x-none" w:eastAsia="x-none"/>
        </w:rPr>
        <w:t xml:space="preserve">This approach was not discussed by </w:t>
      </w:r>
      <w:r w:rsidR="006B5168" w:rsidRPr="00255659">
        <w:rPr>
          <w:lang w:eastAsia="en-US"/>
        </w:rPr>
        <w:t>Dr.</w:t>
      </w:r>
      <w:r w:rsidR="006B5168">
        <w:rPr>
          <w:lang w:eastAsia="en-US"/>
        </w:rPr>
        <w:t> </w:t>
      </w:r>
      <w:r w:rsidRPr="00255659">
        <w:rPr>
          <w:szCs w:val="24"/>
          <w:lang w:val="x-none" w:eastAsia="x-none"/>
        </w:rPr>
        <w:t>Woolridge.</w:t>
      </w:r>
    </w:p>
    <w:p w:rsidR="00AA31D3" w:rsidRPr="00255659" w:rsidRDefault="00AA31D3" w:rsidP="00540A76">
      <w:pPr>
        <w:pStyle w:val="answer"/>
        <w:ind w:firstLine="0"/>
        <w:rPr>
          <w:color w:val="000000"/>
          <w:szCs w:val="24"/>
          <w:lang w:eastAsia="en-US"/>
        </w:rPr>
      </w:pPr>
      <w:r w:rsidRPr="00255659">
        <w:rPr>
          <w:color w:val="000000"/>
          <w:szCs w:val="24"/>
          <w:lang w:eastAsia="en-US"/>
        </w:rPr>
        <w:t xml:space="preserve">Finally, a study by </w:t>
      </w:r>
      <w:r w:rsidR="001250DB">
        <w:rPr>
          <w:color w:val="000000"/>
          <w:szCs w:val="24"/>
          <w:lang w:eastAsia="en-US"/>
        </w:rPr>
        <w:t xml:space="preserve">Steven </w:t>
      </w:r>
      <w:r w:rsidRPr="00255659">
        <w:rPr>
          <w:color w:val="000000"/>
          <w:szCs w:val="24"/>
          <w:lang w:eastAsia="en-US"/>
        </w:rPr>
        <w:t xml:space="preserve">Kaplan and </w:t>
      </w:r>
      <w:r w:rsidR="001250DB">
        <w:rPr>
          <w:color w:val="000000"/>
          <w:szCs w:val="24"/>
          <w:lang w:eastAsia="en-US"/>
        </w:rPr>
        <w:t xml:space="preserve">Richard </w:t>
      </w:r>
      <w:r w:rsidRPr="00255659">
        <w:rPr>
          <w:color w:val="000000"/>
          <w:szCs w:val="24"/>
          <w:lang w:eastAsia="en-US"/>
        </w:rPr>
        <w:t>Ruback</w:t>
      </w:r>
      <w:r w:rsidR="00F8137F" w:rsidRPr="00255659">
        <w:rPr>
          <w:rStyle w:val="FootnoteReference"/>
          <w:color w:val="000000"/>
          <w:szCs w:val="24"/>
          <w:lang w:eastAsia="en-US"/>
        </w:rPr>
        <w:footnoteReference w:id="29"/>
      </w:r>
      <w:r w:rsidRPr="00255659">
        <w:rPr>
          <w:color w:val="000000"/>
          <w:szCs w:val="24"/>
          <w:lang w:eastAsia="en-US"/>
        </w:rPr>
        <w:t xml:space="preserve"> based on investment studies of companies involved in management buyouts and leveraged recapitalization found a median </w:t>
      </w:r>
      <w:r w:rsidR="001250DB">
        <w:rPr>
          <w:color w:val="000000"/>
          <w:szCs w:val="24"/>
          <w:lang w:eastAsia="en-US"/>
        </w:rPr>
        <w:t xml:space="preserve">market risk premium </w:t>
      </w:r>
      <w:r w:rsidRPr="00255659">
        <w:rPr>
          <w:color w:val="000000"/>
          <w:szCs w:val="24"/>
          <w:lang w:eastAsia="en-US"/>
        </w:rPr>
        <w:t>estimate of 7.8</w:t>
      </w:r>
      <w:r w:rsidR="001250DB">
        <w:rPr>
          <w:color w:val="000000"/>
          <w:szCs w:val="24"/>
          <w:lang w:eastAsia="en-US"/>
        </w:rPr>
        <w:t xml:space="preserve"> percent </w:t>
      </w:r>
      <w:r w:rsidRPr="00255659">
        <w:rPr>
          <w:color w:val="000000"/>
          <w:szCs w:val="24"/>
          <w:lang w:eastAsia="en-US"/>
        </w:rPr>
        <w:t>based on a careful analysis of actual major investment decisions rather than on realized market returns.</w:t>
      </w:r>
      <w:r w:rsidR="00287C5A">
        <w:rPr>
          <w:color w:val="000000"/>
          <w:szCs w:val="24"/>
          <w:lang w:eastAsia="en-US"/>
        </w:rPr>
        <w:t xml:space="preserve"> </w:t>
      </w:r>
      <w:r w:rsidRPr="00255659">
        <w:rPr>
          <w:color w:val="000000"/>
          <w:szCs w:val="24"/>
          <w:lang w:eastAsia="en-US"/>
        </w:rPr>
        <w:t xml:space="preserve">This estimate again far exceeds </w:t>
      </w:r>
      <w:r w:rsidR="006B5168" w:rsidRPr="00255659">
        <w:rPr>
          <w:lang w:eastAsia="en-US"/>
        </w:rPr>
        <w:t>Dr.</w:t>
      </w:r>
      <w:r w:rsidR="006B5168">
        <w:rPr>
          <w:lang w:eastAsia="en-US"/>
        </w:rPr>
        <w:t> </w:t>
      </w:r>
      <w:r w:rsidRPr="00255659">
        <w:rPr>
          <w:color w:val="000000"/>
          <w:szCs w:val="24"/>
          <w:lang w:eastAsia="en-US"/>
        </w:rPr>
        <w:t>Woolridge</w:t>
      </w:r>
      <w:r w:rsidR="00255659">
        <w:rPr>
          <w:color w:val="000000"/>
          <w:szCs w:val="24"/>
          <w:lang w:eastAsia="en-US"/>
        </w:rPr>
        <w:t>’</w:t>
      </w:r>
      <w:r w:rsidRPr="00255659">
        <w:rPr>
          <w:color w:val="000000"/>
          <w:szCs w:val="24"/>
          <w:lang w:eastAsia="en-US"/>
        </w:rPr>
        <w:t xml:space="preserve">s </w:t>
      </w:r>
      <w:r w:rsidR="001250DB">
        <w:rPr>
          <w:color w:val="000000"/>
          <w:szCs w:val="24"/>
          <w:lang w:eastAsia="en-US"/>
        </w:rPr>
        <w:t xml:space="preserve">market risk premium estimate of </w:t>
      </w:r>
      <w:r w:rsidRPr="00255659">
        <w:rPr>
          <w:color w:val="000000"/>
          <w:szCs w:val="24"/>
          <w:lang w:eastAsia="en-US"/>
        </w:rPr>
        <w:t>5.5</w:t>
      </w:r>
      <w:r w:rsidR="001250DB">
        <w:rPr>
          <w:color w:val="000000"/>
          <w:szCs w:val="24"/>
          <w:lang w:eastAsia="en-US"/>
        </w:rPr>
        <w:t> percent</w:t>
      </w:r>
      <w:r w:rsidRPr="00255659">
        <w:rPr>
          <w:color w:val="000000"/>
          <w:szCs w:val="24"/>
          <w:lang w:eastAsia="en-US"/>
        </w:rPr>
        <w:t>.</w:t>
      </w:r>
    </w:p>
    <w:p w:rsidR="00AA31D3" w:rsidRPr="00255659" w:rsidRDefault="00AA31D3" w:rsidP="00540A76">
      <w:pPr>
        <w:pStyle w:val="question"/>
      </w:pPr>
      <w:r w:rsidRPr="00255659">
        <w:rPr>
          <w:lang w:eastAsia="en-US"/>
        </w:rPr>
        <w:lastRenderedPageBreak/>
        <w:t>Q.</w:t>
      </w:r>
      <w:r w:rsidRPr="00255659">
        <w:rPr>
          <w:lang w:eastAsia="en-US"/>
        </w:rPr>
        <w:tab/>
      </w:r>
      <w:r w:rsidR="001250DB">
        <w:rPr>
          <w:lang w:eastAsia="en-US"/>
        </w:rPr>
        <w:t>C</w:t>
      </w:r>
      <w:r w:rsidR="00F8137F" w:rsidRPr="00255659">
        <w:rPr>
          <w:lang w:eastAsia="en-US"/>
        </w:rPr>
        <w:t xml:space="preserve">an you comment on the </w:t>
      </w:r>
      <w:r w:rsidR="001250DB">
        <w:rPr>
          <w:lang w:eastAsia="en-US"/>
        </w:rPr>
        <w:t xml:space="preserve">study by Rajnish </w:t>
      </w:r>
      <w:r w:rsidR="00F8137F" w:rsidRPr="00255659">
        <w:rPr>
          <w:lang w:eastAsia="en-US"/>
        </w:rPr>
        <w:t xml:space="preserve">Mehra </w:t>
      </w:r>
      <w:r w:rsidR="001250DB">
        <w:rPr>
          <w:lang w:eastAsia="en-US"/>
        </w:rPr>
        <w:t xml:space="preserve">and Edward </w:t>
      </w:r>
      <w:r w:rsidR="00F8137F" w:rsidRPr="00255659">
        <w:rPr>
          <w:lang w:eastAsia="en-US"/>
        </w:rPr>
        <w:t xml:space="preserve">Prescott study cited by </w:t>
      </w:r>
      <w:r w:rsidR="006B5168" w:rsidRPr="00255659">
        <w:rPr>
          <w:lang w:eastAsia="en-US"/>
        </w:rPr>
        <w:t>Dr.</w:t>
      </w:r>
      <w:r w:rsidR="006B5168">
        <w:rPr>
          <w:lang w:eastAsia="en-US"/>
        </w:rPr>
        <w:t> </w:t>
      </w:r>
      <w:r w:rsidR="00F8137F" w:rsidRPr="00255659">
        <w:rPr>
          <w:lang w:eastAsia="en-US"/>
        </w:rPr>
        <w:t>Woolridge</w:t>
      </w:r>
      <w:r w:rsidRPr="00255659">
        <w:rPr>
          <w:lang w:eastAsia="en-US"/>
        </w:rPr>
        <w:t>?</w:t>
      </w:r>
    </w:p>
    <w:p w:rsidR="00AA31D3" w:rsidRPr="00540A76" w:rsidRDefault="00AA31D3" w:rsidP="00540A76">
      <w:pPr>
        <w:pStyle w:val="answer"/>
        <w:rPr>
          <w:lang w:eastAsia="en-US"/>
        </w:rPr>
      </w:pPr>
      <w:r w:rsidRPr="00255659">
        <w:rPr>
          <w:szCs w:val="24"/>
          <w:lang w:eastAsia="en-US"/>
        </w:rPr>
        <w:t>A.</w:t>
      </w:r>
      <w:r w:rsidRPr="00255659">
        <w:rPr>
          <w:szCs w:val="24"/>
          <w:lang w:eastAsia="en-US"/>
        </w:rPr>
        <w:tab/>
        <w:t>Yes.</w:t>
      </w:r>
      <w:r w:rsidR="001250DB">
        <w:rPr>
          <w:szCs w:val="24"/>
          <w:lang w:eastAsia="en-US"/>
        </w:rPr>
        <w:t xml:space="preserve"> </w:t>
      </w:r>
      <w:r w:rsidR="006B5168" w:rsidRPr="00255659">
        <w:rPr>
          <w:lang w:eastAsia="en-US"/>
        </w:rPr>
        <w:t>Dr.</w:t>
      </w:r>
      <w:r w:rsidR="006B5168">
        <w:rPr>
          <w:lang w:eastAsia="en-US"/>
        </w:rPr>
        <w:t> </w:t>
      </w:r>
      <w:r w:rsidRPr="00255659">
        <w:rPr>
          <w:szCs w:val="24"/>
          <w:lang w:eastAsia="en-US"/>
        </w:rPr>
        <w:t xml:space="preserve">Woolridge refers to a </w:t>
      </w:r>
      <w:r w:rsidR="00255659">
        <w:rPr>
          <w:szCs w:val="24"/>
          <w:lang w:eastAsia="en-US"/>
        </w:rPr>
        <w:t>“</w:t>
      </w:r>
      <w:r w:rsidRPr="00255659">
        <w:rPr>
          <w:szCs w:val="24"/>
          <w:lang w:eastAsia="en-US"/>
        </w:rPr>
        <w:t>famous</w:t>
      </w:r>
      <w:r w:rsidR="00255659">
        <w:rPr>
          <w:szCs w:val="24"/>
          <w:lang w:eastAsia="en-US"/>
        </w:rPr>
        <w:t>”</w:t>
      </w:r>
      <w:r w:rsidRPr="00255659">
        <w:rPr>
          <w:szCs w:val="24"/>
          <w:lang w:eastAsia="en-US"/>
        </w:rPr>
        <w:t xml:space="preserve"> </w:t>
      </w:r>
      <w:r w:rsidRPr="00255659">
        <w:rPr>
          <w:lang w:eastAsia="en-US"/>
        </w:rPr>
        <w:t xml:space="preserve">study by </w:t>
      </w:r>
      <w:r w:rsidR="00540A76">
        <w:rPr>
          <w:lang w:eastAsia="en-US"/>
        </w:rPr>
        <w:t xml:space="preserve">Rajnish </w:t>
      </w:r>
      <w:r w:rsidR="00540A76" w:rsidRPr="00255659">
        <w:rPr>
          <w:lang w:eastAsia="en-US"/>
        </w:rPr>
        <w:t xml:space="preserve">Mehra </w:t>
      </w:r>
      <w:r w:rsidR="00540A76">
        <w:rPr>
          <w:lang w:eastAsia="en-US"/>
        </w:rPr>
        <w:t xml:space="preserve">and Edward </w:t>
      </w:r>
      <w:r w:rsidR="00540A76" w:rsidRPr="00255659">
        <w:rPr>
          <w:lang w:eastAsia="en-US"/>
        </w:rPr>
        <w:t xml:space="preserve">Prescott </w:t>
      </w:r>
      <w:r w:rsidRPr="00255659">
        <w:rPr>
          <w:lang w:eastAsia="en-US"/>
        </w:rPr>
        <w:t>in which the authors first questioned the magnitude of historic equity risk premiums relative to fundamentals.</w:t>
      </w:r>
      <w:r w:rsidR="001250DB">
        <w:rPr>
          <w:rStyle w:val="FootnoteReference"/>
          <w:lang w:eastAsia="en-US"/>
        </w:rPr>
        <w:footnoteReference w:id="30"/>
      </w:r>
      <w:r w:rsidR="00540A76">
        <w:rPr>
          <w:lang w:eastAsia="en-US"/>
        </w:rPr>
        <w:t xml:space="preserve"> Dr. Woolridge, however, fails to acknowledge a more recent study by </w:t>
      </w:r>
      <w:r w:rsidR="00384C18">
        <w:rPr>
          <w:lang w:eastAsia="en-US"/>
        </w:rPr>
        <w:t xml:space="preserve">the same authors </w:t>
      </w:r>
      <w:r w:rsidR="00540A76">
        <w:rPr>
          <w:spacing w:val="4"/>
          <w:szCs w:val="24"/>
          <w:lang w:eastAsia="en-US"/>
        </w:rPr>
        <w:t xml:space="preserve">that </w:t>
      </w:r>
      <w:r w:rsidRPr="00255659">
        <w:rPr>
          <w:spacing w:val="4"/>
          <w:szCs w:val="24"/>
          <w:lang w:eastAsia="en-US"/>
        </w:rPr>
        <w:t xml:space="preserve">squarely contradicts </w:t>
      </w:r>
      <w:r w:rsidR="006B5168" w:rsidRPr="00255659">
        <w:rPr>
          <w:lang w:eastAsia="en-US"/>
        </w:rPr>
        <w:t>Dr.</w:t>
      </w:r>
      <w:r w:rsidR="006B5168">
        <w:rPr>
          <w:lang w:eastAsia="en-US"/>
        </w:rPr>
        <w:t> </w:t>
      </w:r>
      <w:r w:rsidRPr="00255659">
        <w:rPr>
          <w:spacing w:val="4"/>
          <w:szCs w:val="24"/>
          <w:lang w:eastAsia="en-US"/>
        </w:rPr>
        <w:t>Woolridge</w:t>
      </w:r>
      <w:r w:rsidR="00255659">
        <w:rPr>
          <w:spacing w:val="4"/>
          <w:szCs w:val="24"/>
          <w:lang w:eastAsia="en-US"/>
        </w:rPr>
        <w:t>’</w:t>
      </w:r>
      <w:r w:rsidRPr="00255659">
        <w:rPr>
          <w:spacing w:val="4"/>
          <w:szCs w:val="24"/>
          <w:lang w:eastAsia="en-US"/>
        </w:rPr>
        <w:t xml:space="preserve">s view that historical </w:t>
      </w:r>
      <w:r w:rsidR="00540A76">
        <w:rPr>
          <w:spacing w:val="4"/>
          <w:szCs w:val="24"/>
          <w:lang w:eastAsia="en-US"/>
        </w:rPr>
        <w:t xml:space="preserve">market risk </w:t>
      </w:r>
      <w:r w:rsidR="00B46635">
        <w:rPr>
          <w:szCs w:val="24"/>
          <w:lang w:eastAsia="en-US"/>
        </w:rPr>
        <w:t>premiums</w:t>
      </w:r>
      <w:r w:rsidR="00540A76">
        <w:rPr>
          <w:spacing w:val="4"/>
          <w:szCs w:val="24"/>
          <w:lang w:eastAsia="en-US"/>
        </w:rPr>
        <w:t xml:space="preserve"> </w:t>
      </w:r>
      <w:r w:rsidRPr="00255659">
        <w:rPr>
          <w:spacing w:val="4"/>
          <w:szCs w:val="24"/>
          <w:lang w:eastAsia="en-US"/>
        </w:rPr>
        <w:t>are unrepresentative and somehow irrelevant:</w:t>
      </w:r>
    </w:p>
    <w:p w:rsidR="00F8137F" w:rsidRPr="00255659" w:rsidRDefault="00AA31D3" w:rsidP="00540A76">
      <w:pPr>
        <w:pStyle w:val="BlockQuote"/>
        <w:rPr>
          <w:i w:val="0"/>
          <w:lang w:eastAsia="en-US"/>
        </w:rPr>
      </w:pPr>
      <w:r w:rsidRPr="00255659">
        <w:rPr>
          <w:i w:val="0"/>
          <w:lang w:eastAsia="en-US"/>
        </w:rPr>
        <w:t>Even if the conditional equity premium given current market conditions is small, and there appears to be general consensus that it is, this in itself does not imply that it was obvious either that the historical premium was too high or that the equity premium has diminished.</w:t>
      </w:r>
    </w:p>
    <w:p w:rsidR="00AA31D3" w:rsidRPr="00255659" w:rsidRDefault="00AA31D3" w:rsidP="00540A76">
      <w:pPr>
        <w:pStyle w:val="BlockQuote"/>
        <w:rPr>
          <w:i w:val="0"/>
          <w:lang w:eastAsia="en-US"/>
        </w:rPr>
      </w:pPr>
      <w:r w:rsidRPr="00255659">
        <w:rPr>
          <w:i w:val="0"/>
          <w:spacing w:val="4"/>
          <w:lang w:eastAsia="en-US"/>
        </w:rPr>
        <w:t>In the absence of this [knowledge of the future], and based on what we currently know, we can make the following claim: over the long horizon the equity premium is likely to be similar to what it has been in the past and the returns to investment in equity will continue to substantially dominate that in T -bills for investors with a long planning horizon.</w:t>
      </w:r>
      <w:r w:rsidR="00540A76" w:rsidRPr="00540A76">
        <w:rPr>
          <w:rStyle w:val="FootnoteReference"/>
          <w:i w:val="0"/>
          <w:color w:val="000000"/>
          <w:lang w:eastAsia="en-US"/>
        </w:rPr>
        <w:footnoteReference w:id="31"/>
      </w:r>
    </w:p>
    <w:p w:rsidR="00AA31D3" w:rsidRPr="00255659" w:rsidRDefault="006B5168" w:rsidP="00540A76">
      <w:pPr>
        <w:pStyle w:val="answer"/>
        <w:ind w:firstLine="0"/>
        <w:rPr>
          <w:spacing w:val="4"/>
          <w:szCs w:val="24"/>
          <w:lang w:eastAsia="en-US"/>
        </w:rPr>
      </w:pPr>
      <w:r w:rsidRPr="00255659">
        <w:rPr>
          <w:lang w:eastAsia="en-US"/>
        </w:rPr>
        <w:t>Dr.</w:t>
      </w:r>
      <w:r>
        <w:rPr>
          <w:lang w:eastAsia="en-US"/>
        </w:rPr>
        <w:t> </w:t>
      </w:r>
      <w:r w:rsidR="00AA31D3" w:rsidRPr="00255659">
        <w:rPr>
          <w:szCs w:val="24"/>
          <w:lang w:eastAsia="en-US"/>
        </w:rPr>
        <w:t>Woolridge should heed these authors</w:t>
      </w:r>
      <w:r w:rsidR="00255659">
        <w:rPr>
          <w:szCs w:val="24"/>
          <w:lang w:eastAsia="en-US"/>
        </w:rPr>
        <w:t>’</w:t>
      </w:r>
      <w:r w:rsidR="00AA31D3" w:rsidRPr="00255659">
        <w:rPr>
          <w:szCs w:val="24"/>
          <w:lang w:eastAsia="en-US"/>
        </w:rPr>
        <w:t xml:space="preserve"> </w:t>
      </w:r>
      <w:r w:rsidR="00557A1F">
        <w:rPr>
          <w:szCs w:val="24"/>
          <w:lang w:eastAsia="en-US"/>
        </w:rPr>
        <w:t xml:space="preserve">more recent </w:t>
      </w:r>
      <w:r w:rsidR="00AA31D3" w:rsidRPr="00255659">
        <w:rPr>
          <w:szCs w:val="24"/>
          <w:lang w:eastAsia="en-US"/>
        </w:rPr>
        <w:t xml:space="preserve">advice on the magnitude of the </w:t>
      </w:r>
      <w:r w:rsidR="00557A1F">
        <w:rPr>
          <w:szCs w:val="24"/>
          <w:lang w:eastAsia="en-US"/>
        </w:rPr>
        <w:t xml:space="preserve">market risk premium, </w:t>
      </w:r>
      <w:r w:rsidR="00AA31D3" w:rsidRPr="00255659">
        <w:rPr>
          <w:szCs w:val="24"/>
          <w:lang w:eastAsia="en-US"/>
        </w:rPr>
        <w:t>which is likely to be similar to hi</w:t>
      </w:r>
      <w:r w:rsidR="00F8137F" w:rsidRPr="00255659">
        <w:rPr>
          <w:szCs w:val="24"/>
          <w:lang w:eastAsia="en-US"/>
        </w:rPr>
        <w:t xml:space="preserve">storical averages </w:t>
      </w:r>
      <w:r w:rsidR="00557A1F">
        <w:rPr>
          <w:szCs w:val="24"/>
          <w:lang w:eastAsia="en-US"/>
        </w:rPr>
        <w:t xml:space="preserve">in the range of </w:t>
      </w:r>
      <w:r w:rsidR="00F8137F" w:rsidRPr="00255659">
        <w:rPr>
          <w:szCs w:val="24"/>
          <w:lang w:eastAsia="en-US"/>
        </w:rPr>
        <w:t>6</w:t>
      </w:r>
      <w:r w:rsidR="00557A1F">
        <w:rPr>
          <w:szCs w:val="24"/>
          <w:lang w:eastAsia="en-US"/>
        </w:rPr>
        <w:t>.0 and 7.0 percent</w:t>
      </w:r>
      <w:r w:rsidR="00F8137F" w:rsidRPr="00255659">
        <w:rPr>
          <w:szCs w:val="24"/>
          <w:lang w:eastAsia="en-US"/>
        </w:rPr>
        <w:t>.</w:t>
      </w:r>
    </w:p>
    <w:p w:rsidR="00AA31D3" w:rsidRPr="00255659" w:rsidRDefault="00AA31D3" w:rsidP="00540A76">
      <w:pPr>
        <w:pStyle w:val="question"/>
      </w:pPr>
      <w:r w:rsidRPr="00255659">
        <w:rPr>
          <w:lang w:eastAsia="en-US"/>
        </w:rPr>
        <w:lastRenderedPageBreak/>
        <w:t>Q.</w:t>
      </w:r>
      <w:r w:rsidRPr="00255659">
        <w:rPr>
          <w:lang w:eastAsia="en-US"/>
        </w:rPr>
        <w:tab/>
      </w:r>
      <w:r w:rsidR="00F8137F" w:rsidRPr="00255659">
        <w:rPr>
          <w:lang w:eastAsia="en-US"/>
        </w:rPr>
        <w:t xml:space="preserve">Do you have any comment on the historical studies cited by </w:t>
      </w:r>
      <w:r w:rsidR="006B5168" w:rsidRPr="00255659">
        <w:rPr>
          <w:lang w:eastAsia="en-US"/>
        </w:rPr>
        <w:t>Dr.</w:t>
      </w:r>
      <w:r w:rsidR="006B5168">
        <w:rPr>
          <w:lang w:eastAsia="en-US"/>
        </w:rPr>
        <w:t> </w:t>
      </w:r>
      <w:r w:rsidR="00F8137F" w:rsidRPr="00255659">
        <w:rPr>
          <w:lang w:eastAsia="en-US"/>
        </w:rPr>
        <w:t>Woolridge</w:t>
      </w:r>
      <w:r w:rsidRPr="00255659">
        <w:rPr>
          <w:lang w:eastAsia="en-US"/>
        </w:rPr>
        <w:t>?</w:t>
      </w:r>
    </w:p>
    <w:p w:rsidR="00AA31D3" w:rsidRPr="004744C1" w:rsidRDefault="00AA31D3" w:rsidP="00540A76">
      <w:pPr>
        <w:pStyle w:val="answer"/>
        <w:rPr>
          <w:szCs w:val="24"/>
          <w:lang w:eastAsia="en-US"/>
        </w:rPr>
      </w:pPr>
      <w:r w:rsidRPr="00255659">
        <w:rPr>
          <w:szCs w:val="24"/>
          <w:lang w:eastAsia="en-US"/>
        </w:rPr>
        <w:t>A.</w:t>
      </w:r>
      <w:r w:rsidRPr="00255659">
        <w:rPr>
          <w:szCs w:val="24"/>
          <w:lang w:eastAsia="en-US"/>
        </w:rPr>
        <w:tab/>
        <w:t>Yes.</w:t>
      </w:r>
      <w:r w:rsidR="00287C5A">
        <w:rPr>
          <w:szCs w:val="24"/>
          <w:lang w:eastAsia="en-US"/>
        </w:rPr>
        <w:t xml:space="preserve"> </w:t>
      </w:r>
      <w:r w:rsidR="006B5168" w:rsidRPr="00255659">
        <w:rPr>
          <w:lang w:eastAsia="en-US"/>
        </w:rPr>
        <w:t>Dr.</w:t>
      </w:r>
      <w:r w:rsidR="006B5168">
        <w:rPr>
          <w:lang w:eastAsia="en-US"/>
        </w:rPr>
        <w:t> </w:t>
      </w:r>
      <w:r w:rsidRPr="00255659">
        <w:rPr>
          <w:szCs w:val="24"/>
          <w:lang w:eastAsia="en-US"/>
        </w:rPr>
        <w:t>Woolridge cites several studies based on very long time data series,</w:t>
      </w:r>
      <w:r w:rsidR="00B857CD">
        <w:rPr>
          <w:rStyle w:val="FootnoteReference"/>
          <w:szCs w:val="24"/>
          <w:lang w:eastAsia="en-US"/>
        </w:rPr>
        <w:footnoteReference w:id="32"/>
      </w:r>
      <w:r w:rsidR="00B857CD" w:rsidRPr="00B857CD">
        <w:rPr>
          <w:szCs w:val="24"/>
          <w:lang w:eastAsia="en-US"/>
        </w:rPr>
        <w:t xml:space="preserve"> </w:t>
      </w:r>
      <w:r w:rsidRPr="00255659">
        <w:rPr>
          <w:szCs w:val="24"/>
          <w:lang w:eastAsia="en-US"/>
        </w:rPr>
        <w:t>including historical data prior to 1900</w:t>
      </w:r>
      <w:r w:rsidR="00B857CD" w:rsidRPr="00255659">
        <w:rPr>
          <w:szCs w:val="24"/>
          <w:lang w:eastAsia="en-US"/>
        </w:rPr>
        <w:t>, some even dating back to 18</w:t>
      </w:r>
      <w:r w:rsidR="00B857CD">
        <w:rPr>
          <w:szCs w:val="24"/>
          <w:lang w:eastAsia="en-US"/>
        </w:rPr>
        <w:t>7</w:t>
      </w:r>
      <w:r w:rsidR="00B857CD" w:rsidRPr="00255659">
        <w:rPr>
          <w:szCs w:val="24"/>
          <w:lang w:eastAsia="en-US"/>
        </w:rPr>
        <w:t>2</w:t>
      </w:r>
      <w:r w:rsidR="00B857CD">
        <w:rPr>
          <w:szCs w:val="24"/>
          <w:lang w:eastAsia="en-US"/>
        </w:rPr>
        <w:t>.</w:t>
      </w:r>
      <w:r w:rsidR="00B857CD">
        <w:rPr>
          <w:rStyle w:val="FootnoteReference"/>
          <w:szCs w:val="24"/>
          <w:lang w:eastAsia="en-US"/>
        </w:rPr>
        <w:footnoteReference w:id="33"/>
      </w:r>
      <w:r w:rsidR="004744C1">
        <w:rPr>
          <w:szCs w:val="24"/>
          <w:lang w:eastAsia="en-US"/>
        </w:rPr>
        <w:t xml:space="preserve"> </w:t>
      </w:r>
      <w:r w:rsidRPr="00255659">
        <w:rPr>
          <w:szCs w:val="24"/>
          <w:lang w:eastAsia="en-US"/>
        </w:rPr>
        <w:t>An obvious question is whether data on capital market behavior from the 19</w:t>
      </w:r>
      <w:r w:rsidR="004744C1">
        <w:rPr>
          <w:szCs w:val="24"/>
          <w:lang w:eastAsia="en-US"/>
        </w:rPr>
        <w:t>th C</w:t>
      </w:r>
      <w:r w:rsidRPr="00255659">
        <w:rPr>
          <w:szCs w:val="24"/>
          <w:lang w:eastAsia="en-US"/>
        </w:rPr>
        <w:t>entury is relevant for estimating return in the 21</w:t>
      </w:r>
      <w:r w:rsidR="004744C1">
        <w:rPr>
          <w:szCs w:val="24"/>
          <w:lang w:eastAsia="en-US"/>
        </w:rPr>
        <w:t>st C</w:t>
      </w:r>
      <w:r w:rsidRPr="00255659">
        <w:rPr>
          <w:szCs w:val="24"/>
          <w:lang w:eastAsia="en-US"/>
        </w:rPr>
        <w:t>entury.</w:t>
      </w:r>
      <w:r w:rsidR="00287C5A">
        <w:rPr>
          <w:szCs w:val="24"/>
          <w:lang w:eastAsia="en-US"/>
        </w:rPr>
        <w:t xml:space="preserve"> </w:t>
      </w:r>
      <w:r w:rsidRPr="00255659">
        <w:rPr>
          <w:szCs w:val="24"/>
          <w:lang w:eastAsia="en-US"/>
        </w:rPr>
        <w:t>The</w:t>
      </w:r>
      <w:r w:rsidRPr="00255659">
        <w:rPr>
          <w:color w:val="000000"/>
          <w:szCs w:val="24"/>
          <w:lang w:eastAsia="en-US"/>
        </w:rPr>
        <w:t xml:space="preserve"> major concern with data for a period beginning in 18</w:t>
      </w:r>
      <w:r w:rsidR="00652B25">
        <w:rPr>
          <w:color w:val="000000"/>
          <w:szCs w:val="24"/>
          <w:lang w:eastAsia="en-US"/>
        </w:rPr>
        <w:t>7</w:t>
      </w:r>
      <w:r w:rsidRPr="00255659">
        <w:rPr>
          <w:color w:val="000000"/>
          <w:szCs w:val="24"/>
          <w:lang w:eastAsia="en-US"/>
        </w:rPr>
        <w:t>2 is the reliability of the data.</w:t>
      </w:r>
      <w:r w:rsidR="00287C5A">
        <w:rPr>
          <w:color w:val="000000"/>
          <w:szCs w:val="24"/>
          <w:lang w:eastAsia="en-US"/>
        </w:rPr>
        <w:t xml:space="preserve"> </w:t>
      </w:r>
      <w:r w:rsidRPr="00255659">
        <w:rPr>
          <w:color w:val="000000"/>
          <w:szCs w:val="24"/>
          <w:lang w:eastAsia="en-US"/>
        </w:rPr>
        <w:t>The stock market of the 1800s was severely limited, embryonic in scope, with very few issues trading, and few industries represented.</w:t>
      </w:r>
      <w:r w:rsidR="00287C5A">
        <w:rPr>
          <w:color w:val="000000"/>
          <w:szCs w:val="24"/>
          <w:lang w:eastAsia="en-US"/>
        </w:rPr>
        <w:t xml:space="preserve"> </w:t>
      </w:r>
      <w:r w:rsidRPr="00255659">
        <w:rPr>
          <w:color w:val="000000"/>
          <w:szCs w:val="24"/>
          <w:lang w:eastAsia="en-US"/>
        </w:rPr>
        <w:t>Dividend data were unavailable over most of this early period and stock prices were based on wide bid-ask spreads rather than on actual transaction prices.</w:t>
      </w:r>
      <w:r w:rsidR="00287C5A">
        <w:rPr>
          <w:color w:val="000000"/>
          <w:szCs w:val="24"/>
          <w:lang w:eastAsia="en-US"/>
        </w:rPr>
        <w:t xml:space="preserve"> </w:t>
      </w:r>
      <w:r w:rsidRPr="00255659">
        <w:rPr>
          <w:color w:val="000000"/>
          <w:szCs w:val="24"/>
          <w:lang w:eastAsia="en-US"/>
        </w:rPr>
        <w:t xml:space="preserve">The difficulties inherent in stock market data prior to the Great Depression are discussed </w:t>
      </w:r>
      <w:r w:rsidR="00652B25">
        <w:rPr>
          <w:color w:val="000000"/>
          <w:szCs w:val="24"/>
          <w:lang w:eastAsia="en-US"/>
        </w:rPr>
        <w:t xml:space="preserve">in an article </w:t>
      </w:r>
      <w:r w:rsidRPr="00255659">
        <w:rPr>
          <w:color w:val="000000"/>
          <w:szCs w:val="24"/>
          <w:lang w:eastAsia="en-US"/>
        </w:rPr>
        <w:t xml:space="preserve">by </w:t>
      </w:r>
      <w:r w:rsidR="00652B25">
        <w:rPr>
          <w:color w:val="000000"/>
          <w:szCs w:val="24"/>
          <w:lang w:eastAsia="en-US"/>
        </w:rPr>
        <w:t xml:space="preserve">G. William </w:t>
      </w:r>
      <w:r w:rsidRPr="00255659">
        <w:rPr>
          <w:color w:val="000000"/>
          <w:szCs w:val="24"/>
          <w:lang w:eastAsia="en-US"/>
        </w:rPr>
        <w:t>Schwert.</w:t>
      </w:r>
      <w:r w:rsidR="00F8137F" w:rsidRPr="00255659">
        <w:rPr>
          <w:rStyle w:val="FootnoteReference"/>
          <w:color w:val="000000"/>
          <w:szCs w:val="24"/>
          <w:lang w:eastAsia="en-US"/>
        </w:rPr>
        <w:footnoteReference w:id="34"/>
      </w:r>
    </w:p>
    <w:p w:rsidR="00AA31D3" w:rsidRPr="00255659" w:rsidRDefault="00AA31D3" w:rsidP="00540A76">
      <w:pPr>
        <w:pStyle w:val="question"/>
      </w:pPr>
      <w:r w:rsidRPr="00255659">
        <w:rPr>
          <w:lang w:eastAsia="en-US"/>
        </w:rPr>
        <w:t>Q.</w:t>
      </w:r>
      <w:r w:rsidRPr="00255659">
        <w:rPr>
          <w:lang w:eastAsia="en-US"/>
        </w:rPr>
        <w:tab/>
      </w:r>
      <w:r w:rsidR="00652B25">
        <w:rPr>
          <w:lang w:eastAsia="en-US"/>
        </w:rPr>
        <w:t>C</w:t>
      </w:r>
      <w:r w:rsidR="00F8137F" w:rsidRPr="00255659">
        <w:rPr>
          <w:lang w:eastAsia="en-US"/>
        </w:rPr>
        <w:t xml:space="preserve">an you comment on the survey-based techniques used to quantify the </w:t>
      </w:r>
      <w:r w:rsidR="00652B25">
        <w:rPr>
          <w:lang w:eastAsia="en-US"/>
        </w:rPr>
        <w:t>market risk premium</w:t>
      </w:r>
      <w:r w:rsidRPr="00255659">
        <w:rPr>
          <w:lang w:eastAsia="en-US"/>
        </w:rPr>
        <w:t>?</w:t>
      </w:r>
    </w:p>
    <w:p w:rsidR="00AA31D3" w:rsidRPr="00255659" w:rsidRDefault="00AA31D3" w:rsidP="00540A76">
      <w:pPr>
        <w:pStyle w:val="answer"/>
        <w:rPr>
          <w:spacing w:val="4"/>
          <w:szCs w:val="24"/>
          <w:lang w:eastAsia="en-US"/>
        </w:rPr>
      </w:pPr>
      <w:r w:rsidRPr="00255659">
        <w:rPr>
          <w:szCs w:val="24"/>
          <w:lang w:eastAsia="en-US"/>
        </w:rPr>
        <w:t>A.</w:t>
      </w:r>
      <w:r w:rsidR="00F8137F" w:rsidRPr="00255659">
        <w:rPr>
          <w:szCs w:val="24"/>
          <w:lang w:eastAsia="en-US"/>
        </w:rPr>
        <w:tab/>
      </w:r>
      <w:r w:rsidRPr="00255659">
        <w:rPr>
          <w:szCs w:val="24"/>
          <w:lang w:eastAsia="en-US"/>
        </w:rPr>
        <w:t xml:space="preserve">Surveys of academics and investment professionals, for example the Welch survey cited by </w:t>
      </w:r>
      <w:r w:rsidR="006B5168" w:rsidRPr="00255659">
        <w:rPr>
          <w:lang w:eastAsia="en-US"/>
        </w:rPr>
        <w:t>Dr.</w:t>
      </w:r>
      <w:r w:rsidR="006B5168">
        <w:rPr>
          <w:lang w:eastAsia="en-US"/>
        </w:rPr>
        <w:t> </w:t>
      </w:r>
      <w:r w:rsidRPr="00255659">
        <w:rPr>
          <w:szCs w:val="24"/>
          <w:lang w:eastAsia="en-US"/>
        </w:rPr>
        <w:t>Woolridge</w:t>
      </w:r>
      <w:r w:rsidR="00EE4F8A">
        <w:rPr>
          <w:szCs w:val="24"/>
          <w:lang w:eastAsia="en-US"/>
        </w:rPr>
        <w:t>,</w:t>
      </w:r>
      <w:r w:rsidR="00652B25">
        <w:rPr>
          <w:rStyle w:val="FootnoteReference"/>
          <w:szCs w:val="24"/>
          <w:lang w:eastAsia="en-US"/>
        </w:rPr>
        <w:footnoteReference w:id="35"/>
      </w:r>
      <w:r w:rsidR="00652B25">
        <w:rPr>
          <w:szCs w:val="24"/>
          <w:lang w:eastAsia="en-US"/>
        </w:rPr>
        <w:t xml:space="preserve"> </w:t>
      </w:r>
      <w:r w:rsidRPr="00255659">
        <w:rPr>
          <w:szCs w:val="24"/>
          <w:lang w:eastAsia="en-US"/>
        </w:rPr>
        <w:t xml:space="preserve">provide another technique of estimating the </w:t>
      </w:r>
      <w:r w:rsidR="00EE4F8A">
        <w:rPr>
          <w:szCs w:val="24"/>
          <w:lang w:eastAsia="en-US"/>
        </w:rPr>
        <w:t>market risk premium</w:t>
      </w:r>
      <w:r w:rsidRPr="00255659">
        <w:rPr>
          <w:szCs w:val="24"/>
          <w:lang w:eastAsia="en-US"/>
        </w:rPr>
        <w:t>.</w:t>
      </w:r>
      <w:r w:rsidR="00287C5A">
        <w:rPr>
          <w:szCs w:val="24"/>
          <w:lang w:eastAsia="en-US"/>
        </w:rPr>
        <w:t xml:space="preserve"> </w:t>
      </w:r>
      <w:r w:rsidR="00EE4F8A">
        <w:rPr>
          <w:szCs w:val="24"/>
          <w:lang w:eastAsia="en-US"/>
        </w:rPr>
        <w:t xml:space="preserve">Although </w:t>
      </w:r>
      <w:r w:rsidRPr="00255659">
        <w:rPr>
          <w:szCs w:val="24"/>
          <w:lang w:eastAsia="en-US"/>
        </w:rPr>
        <w:t>this technique has the benefit of being forward-</w:t>
      </w:r>
      <w:r w:rsidRPr="00255659">
        <w:rPr>
          <w:szCs w:val="24"/>
          <w:lang w:eastAsia="en-US"/>
        </w:rPr>
        <w:lastRenderedPageBreak/>
        <w:t>looking, it is subject to the well-known shortcomings of survey techniques.</w:t>
      </w:r>
      <w:r w:rsidR="00287C5A">
        <w:rPr>
          <w:szCs w:val="24"/>
          <w:lang w:eastAsia="en-US"/>
        </w:rPr>
        <w:t xml:space="preserve"> </w:t>
      </w:r>
      <w:r w:rsidRPr="00255659">
        <w:rPr>
          <w:szCs w:val="24"/>
          <w:lang w:eastAsia="en-US"/>
        </w:rPr>
        <w:t>There are several reasons to place little weight on survey results relative to the results from other approaches.</w:t>
      </w:r>
      <w:r w:rsidR="00287C5A">
        <w:rPr>
          <w:szCs w:val="24"/>
          <w:lang w:eastAsia="en-US"/>
        </w:rPr>
        <w:t xml:space="preserve"> </w:t>
      </w:r>
      <w:r w:rsidRPr="00255659">
        <w:rPr>
          <w:szCs w:val="24"/>
          <w:lang w:eastAsia="en-US"/>
        </w:rPr>
        <w:t>First, return definitions and risk premium definitions differ widely.</w:t>
      </w:r>
      <w:r w:rsidR="00287C5A">
        <w:rPr>
          <w:szCs w:val="24"/>
          <w:lang w:eastAsia="en-US"/>
        </w:rPr>
        <w:t xml:space="preserve"> </w:t>
      </w:r>
      <w:r w:rsidRPr="00255659">
        <w:rPr>
          <w:szCs w:val="24"/>
          <w:lang w:eastAsia="en-US"/>
        </w:rPr>
        <w:t>Second, survey responses are subject to bias.</w:t>
      </w:r>
      <w:r w:rsidR="00287C5A">
        <w:rPr>
          <w:szCs w:val="24"/>
          <w:lang w:eastAsia="en-US"/>
        </w:rPr>
        <w:t xml:space="preserve"> </w:t>
      </w:r>
      <w:r w:rsidRPr="00255659">
        <w:rPr>
          <w:szCs w:val="24"/>
          <w:lang w:eastAsia="en-US"/>
        </w:rPr>
        <w:t>Third, subjective assessments about long-term market behavior may well place undue weight on recent events and immediate prospects.</w:t>
      </w:r>
      <w:r w:rsidR="00287C5A">
        <w:rPr>
          <w:szCs w:val="24"/>
          <w:lang w:eastAsia="en-US"/>
        </w:rPr>
        <w:t xml:space="preserve"> </w:t>
      </w:r>
      <w:r w:rsidRPr="00255659">
        <w:rPr>
          <w:szCs w:val="24"/>
          <w:lang w:eastAsia="en-US"/>
        </w:rPr>
        <w:t>Fourth, the results of such surveys are notoriously volatile from year to year.</w:t>
      </w:r>
    </w:p>
    <w:p w:rsidR="00AA31D3" w:rsidRPr="00255659" w:rsidRDefault="00291BD1" w:rsidP="00540A76">
      <w:pPr>
        <w:pStyle w:val="Heading4"/>
      </w:pPr>
      <w:bookmarkStart w:id="21" w:name="_Toc489887869"/>
      <w:r>
        <w:rPr>
          <w:lang w:eastAsia="en-US"/>
        </w:rPr>
        <w:t>b</w:t>
      </w:r>
      <w:r w:rsidR="00AA31D3" w:rsidRPr="00255659">
        <w:rPr>
          <w:lang w:eastAsia="en-US"/>
        </w:rPr>
        <w:t>.</w:t>
      </w:r>
      <w:r w:rsidR="00AA31D3" w:rsidRPr="00255659">
        <w:rPr>
          <w:lang w:eastAsia="en-US"/>
        </w:rPr>
        <w:tab/>
      </w:r>
      <w:r w:rsidR="00B85263" w:rsidRPr="00255659">
        <w:rPr>
          <w:lang w:eastAsia="en-US"/>
        </w:rPr>
        <w:t>Dr.</w:t>
      </w:r>
      <w:r w:rsidR="00B85263">
        <w:rPr>
          <w:lang w:eastAsia="en-US"/>
        </w:rPr>
        <w:t> </w:t>
      </w:r>
      <w:r w:rsidR="00B85263" w:rsidRPr="00255659">
        <w:rPr>
          <w:lang w:eastAsia="en-US"/>
        </w:rPr>
        <w:t>Woolridge</w:t>
      </w:r>
      <w:r w:rsidR="00B85263">
        <w:rPr>
          <w:lang w:eastAsia="en-US"/>
        </w:rPr>
        <w:t>’</w:t>
      </w:r>
      <w:r w:rsidR="00B85263" w:rsidRPr="00255659">
        <w:rPr>
          <w:lang w:eastAsia="en-US"/>
        </w:rPr>
        <w:t xml:space="preserve">s </w:t>
      </w:r>
      <w:r w:rsidR="00B85263">
        <w:rPr>
          <w:lang w:eastAsia="en-US"/>
        </w:rPr>
        <w:t xml:space="preserve">Market Risk Premium Estimate </w:t>
      </w:r>
      <w:r w:rsidR="00B46635">
        <w:rPr>
          <w:lang w:eastAsia="en-US"/>
        </w:rPr>
        <w:t xml:space="preserve">of 5.5 Percent </w:t>
      </w:r>
      <w:r w:rsidR="00B85263">
        <w:rPr>
          <w:lang w:eastAsia="en-US"/>
        </w:rPr>
        <w:t>Inappropriately Relies on G</w:t>
      </w:r>
      <w:r w:rsidR="00B85263" w:rsidRPr="00255659">
        <w:rPr>
          <w:lang w:eastAsia="en-US"/>
        </w:rPr>
        <w:t xml:space="preserve">eometric </w:t>
      </w:r>
      <w:r w:rsidR="00B85263">
        <w:rPr>
          <w:lang w:eastAsia="en-US"/>
        </w:rPr>
        <w:t>M</w:t>
      </w:r>
      <w:r w:rsidR="00B85263" w:rsidRPr="00255659">
        <w:rPr>
          <w:lang w:eastAsia="en-US"/>
        </w:rPr>
        <w:t xml:space="preserve">ean </w:t>
      </w:r>
      <w:r w:rsidR="00B85263">
        <w:rPr>
          <w:lang w:eastAsia="en-US"/>
        </w:rPr>
        <w:t>Market Risk Premiums</w:t>
      </w:r>
      <w:bookmarkEnd w:id="21"/>
    </w:p>
    <w:p w:rsidR="00AA31D3" w:rsidRPr="00255659" w:rsidRDefault="00AA31D3" w:rsidP="00540A76">
      <w:pPr>
        <w:pStyle w:val="question"/>
      </w:pPr>
      <w:r w:rsidRPr="00255659">
        <w:rPr>
          <w:lang w:eastAsia="en-US"/>
        </w:rPr>
        <w:t>Q.</w:t>
      </w:r>
      <w:r w:rsidRPr="00255659">
        <w:rPr>
          <w:lang w:eastAsia="en-US"/>
        </w:rPr>
        <w:tab/>
      </w:r>
      <w:r w:rsidR="00F8137F" w:rsidRPr="00255659">
        <w:rPr>
          <w:lang w:eastAsia="en-US"/>
        </w:rPr>
        <w:t xml:space="preserve">Is it appropriate to use geometric averages in measuring historical </w:t>
      </w:r>
      <w:r w:rsidR="00EE4F8A">
        <w:rPr>
          <w:lang w:eastAsia="en-US"/>
        </w:rPr>
        <w:t>market risk premium</w:t>
      </w:r>
      <w:r w:rsidRPr="00255659">
        <w:rPr>
          <w:lang w:eastAsia="en-US"/>
        </w:rPr>
        <w:t xml:space="preserve">? </w:t>
      </w:r>
    </w:p>
    <w:p w:rsidR="00EE4F8A" w:rsidRDefault="00F8137F" w:rsidP="00540A76">
      <w:pPr>
        <w:pStyle w:val="answer"/>
        <w:rPr>
          <w:lang w:eastAsia="en-US"/>
        </w:rPr>
      </w:pPr>
      <w:r w:rsidRPr="00255659">
        <w:rPr>
          <w:lang w:eastAsia="en-US"/>
        </w:rPr>
        <w:t>A.</w:t>
      </w:r>
      <w:r w:rsidR="00AA31D3" w:rsidRPr="00255659">
        <w:rPr>
          <w:lang w:eastAsia="en-US"/>
        </w:rPr>
        <w:tab/>
        <w:t>No.</w:t>
      </w:r>
      <w:r w:rsidR="00287C5A">
        <w:rPr>
          <w:lang w:eastAsia="en-US"/>
        </w:rPr>
        <w:t xml:space="preserve"> </w:t>
      </w:r>
      <w:r w:rsidR="00EE4F8A">
        <w:rPr>
          <w:lang w:eastAsia="en-US"/>
        </w:rPr>
        <w:t>I</w:t>
      </w:r>
      <w:r w:rsidR="00EE4F8A" w:rsidRPr="00255659">
        <w:rPr>
          <w:lang w:eastAsia="en-US"/>
        </w:rPr>
        <w:t>t</w:t>
      </w:r>
      <w:r w:rsidR="00EE4F8A">
        <w:rPr>
          <w:lang w:eastAsia="en-US"/>
        </w:rPr>
        <w:t xml:space="preserve"> is in</w:t>
      </w:r>
      <w:r w:rsidR="00EE4F8A" w:rsidRPr="00255659">
        <w:rPr>
          <w:lang w:eastAsia="en-US"/>
        </w:rPr>
        <w:t xml:space="preserve">appropriate to use geometric averages in measuring historical </w:t>
      </w:r>
      <w:r w:rsidR="00EE4F8A">
        <w:rPr>
          <w:lang w:eastAsia="en-US"/>
        </w:rPr>
        <w:t xml:space="preserve">market risk premium </w:t>
      </w:r>
      <w:r w:rsidR="00AA31D3" w:rsidRPr="00255659">
        <w:rPr>
          <w:lang w:eastAsia="en-US"/>
        </w:rPr>
        <w:t xml:space="preserve">Amidst the myriad studies cited by </w:t>
      </w:r>
      <w:r w:rsidR="006B5168" w:rsidRPr="00255659">
        <w:rPr>
          <w:lang w:eastAsia="en-US"/>
        </w:rPr>
        <w:t>Dr.</w:t>
      </w:r>
      <w:r w:rsidR="006B5168">
        <w:rPr>
          <w:lang w:eastAsia="en-US"/>
        </w:rPr>
        <w:t> </w:t>
      </w:r>
      <w:r w:rsidR="00AA31D3" w:rsidRPr="00255659">
        <w:rPr>
          <w:lang w:eastAsia="en-US"/>
        </w:rPr>
        <w:t>Woolridge,</w:t>
      </w:r>
      <w:r w:rsidR="00EE4F8A">
        <w:rPr>
          <w:rStyle w:val="FootnoteReference"/>
          <w:lang w:eastAsia="en-US"/>
        </w:rPr>
        <w:footnoteReference w:id="36"/>
      </w:r>
      <w:r w:rsidR="00AA31D3" w:rsidRPr="00255659">
        <w:rPr>
          <w:lang w:eastAsia="en-US"/>
        </w:rPr>
        <w:t xml:space="preserve"> some studies report arithmetic mean returns over a given period</w:t>
      </w:r>
      <w:r w:rsidR="00EE4F8A">
        <w:rPr>
          <w:lang w:eastAsia="en-US"/>
        </w:rPr>
        <w:t xml:space="preserve">, and </w:t>
      </w:r>
      <w:r w:rsidR="00EE4F8A" w:rsidRPr="00255659">
        <w:rPr>
          <w:lang w:eastAsia="en-US"/>
        </w:rPr>
        <w:t xml:space="preserve">some studies </w:t>
      </w:r>
      <w:r w:rsidR="00AA31D3" w:rsidRPr="00255659">
        <w:rPr>
          <w:lang w:eastAsia="en-US"/>
        </w:rPr>
        <w:t>rely on geometric mean returns over that same period.</w:t>
      </w:r>
      <w:r w:rsidR="00287C5A">
        <w:rPr>
          <w:lang w:eastAsia="en-US"/>
        </w:rPr>
        <w:t xml:space="preserve"> </w:t>
      </w:r>
      <w:r w:rsidR="00AA31D3" w:rsidRPr="00255659">
        <w:rPr>
          <w:lang w:eastAsia="en-US"/>
        </w:rPr>
        <w:t xml:space="preserve">Only arithmetic means are appropriate for forecasting and estimating the cost of capital, while geometric means </w:t>
      </w:r>
      <w:r w:rsidR="00AA31D3" w:rsidRPr="00255659">
        <w:rPr>
          <w:color w:val="000000"/>
          <w:lang w:eastAsia="en-US"/>
        </w:rPr>
        <w:t>are not.</w:t>
      </w:r>
      <w:r w:rsidRPr="00255659">
        <w:rPr>
          <w:rStyle w:val="FootnoteReference"/>
          <w:color w:val="000000"/>
          <w:lang w:eastAsia="en-US"/>
        </w:rPr>
        <w:footnoteReference w:id="37"/>
      </w:r>
      <w:r w:rsidR="00287C5A">
        <w:rPr>
          <w:color w:val="000000"/>
          <w:lang w:eastAsia="en-US"/>
        </w:rPr>
        <w:t xml:space="preserve"> </w:t>
      </w:r>
      <w:r w:rsidR="00AA31D3" w:rsidRPr="00255659">
        <w:rPr>
          <w:lang w:eastAsia="en-US"/>
        </w:rPr>
        <w:t xml:space="preserve">Indeed, the Duff &amp; Phelps publications alluded to </w:t>
      </w:r>
      <w:r w:rsidR="00EE4F8A">
        <w:rPr>
          <w:lang w:eastAsia="en-US"/>
        </w:rPr>
        <w:t xml:space="preserve">by </w:t>
      </w:r>
      <w:r w:rsidR="006B5168" w:rsidRPr="00255659">
        <w:rPr>
          <w:lang w:eastAsia="en-US"/>
        </w:rPr>
        <w:lastRenderedPageBreak/>
        <w:t>Dr.</w:t>
      </w:r>
      <w:r w:rsidR="006B5168">
        <w:rPr>
          <w:lang w:eastAsia="en-US"/>
        </w:rPr>
        <w:t> </w:t>
      </w:r>
      <w:r w:rsidR="00AA31D3" w:rsidRPr="00255659">
        <w:rPr>
          <w:lang w:eastAsia="en-US"/>
        </w:rPr>
        <w:t>Woolridge</w:t>
      </w:r>
      <w:r w:rsidR="00255659">
        <w:rPr>
          <w:lang w:eastAsia="en-US"/>
        </w:rPr>
        <w:t>’</w:t>
      </w:r>
      <w:r w:rsidR="00AA31D3" w:rsidRPr="00255659">
        <w:rPr>
          <w:lang w:eastAsia="en-US"/>
        </w:rPr>
        <w:t>s testimony</w:t>
      </w:r>
      <w:r w:rsidR="00EE4F8A">
        <w:rPr>
          <w:rStyle w:val="FootnoteReference"/>
          <w:lang w:eastAsia="en-US"/>
        </w:rPr>
        <w:footnoteReference w:id="38"/>
      </w:r>
      <w:r w:rsidR="00AA31D3" w:rsidRPr="00255659">
        <w:rPr>
          <w:lang w:eastAsia="en-US"/>
        </w:rPr>
        <w:t xml:space="preserve"> contain a detailed and rigorous discussion of the impropriety of using geometric averages in estimating the cost of capital.</w:t>
      </w:r>
    </w:p>
    <w:p w:rsidR="00AA31D3" w:rsidRPr="00255659" w:rsidRDefault="00AA31D3" w:rsidP="00540A76">
      <w:pPr>
        <w:pStyle w:val="answer"/>
        <w:ind w:firstLine="0"/>
        <w:rPr>
          <w:lang w:eastAsia="en-US"/>
        </w:rPr>
      </w:pPr>
      <w:r w:rsidRPr="00255659">
        <w:rPr>
          <w:lang w:eastAsia="en-US"/>
        </w:rPr>
        <w:t>There is no theoretical or empirical justification for the use of geometric mean rates of return.</w:t>
      </w:r>
      <w:r w:rsidR="00287C5A">
        <w:rPr>
          <w:lang w:eastAsia="en-US"/>
        </w:rPr>
        <w:t xml:space="preserve"> </w:t>
      </w:r>
      <w:r w:rsidRPr="00255659">
        <w:rPr>
          <w:lang w:eastAsia="en-US"/>
        </w:rPr>
        <w:t>Briefly, the disparity between the arithmetic average return and the geometric average return raises the question as to what purposes should these different return measures be used.</w:t>
      </w:r>
      <w:r w:rsidR="00287C5A">
        <w:rPr>
          <w:lang w:eastAsia="en-US"/>
        </w:rPr>
        <w:t xml:space="preserve"> </w:t>
      </w:r>
      <w:r w:rsidRPr="00255659">
        <w:rPr>
          <w:lang w:eastAsia="en-US"/>
        </w:rPr>
        <w:t>The answer is that the geometric average return should be used for measuring historical returns that are compounded over multiple time periods.</w:t>
      </w:r>
      <w:r w:rsidR="00287C5A">
        <w:rPr>
          <w:lang w:eastAsia="en-US"/>
        </w:rPr>
        <w:t xml:space="preserve"> </w:t>
      </w:r>
      <w:r w:rsidRPr="00255659">
        <w:rPr>
          <w:lang w:eastAsia="en-US"/>
        </w:rPr>
        <w:t xml:space="preserve">The arithmetic average return should be used for future-oriented analysis, where the use of </w:t>
      </w:r>
      <w:r w:rsidR="00F8137F" w:rsidRPr="00255659">
        <w:rPr>
          <w:lang w:eastAsia="en-US"/>
        </w:rPr>
        <w:t>expected values is appropriate.</w:t>
      </w:r>
      <w:r w:rsidR="00EE4F8A">
        <w:rPr>
          <w:lang w:eastAsia="en-US"/>
        </w:rPr>
        <w:t xml:space="preserve"> </w:t>
      </w:r>
      <w:r w:rsidRPr="00255659">
        <w:rPr>
          <w:lang w:eastAsia="en-US"/>
        </w:rPr>
        <w:t>It is inappropriate to average the arithmetic and geometric average return; they measure different quantities in different ways.</w:t>
      </w:r>
      <w:r w:rsidR="00EE4F8A">
        <w:rPr>
          <w:rStyle w:val="FootnoteReference"/>
          <w:lang w:eastAsia="en-US"/>
        </w:rPr>
        <w:footnoteReference w:id="39"/>
      </w:r>
    </w:p>
    <w:p w:rsidR="00AA31D3" w:rsidRPr="00255659" w:rsidRDefault="00AA31D3" w:rsidP="00540A76">
      <w:pPr>
        <w:pStyle w:val="question"/>
      </w:pPr>
      <w:r w:rsidRPr="00255659">
        <w:rPr>
          <w:lang w:eastAsia="en-US"/>
        </w:rPr>
        <w:t>Q.</w:t>
      </w:r>
      <w:r w:rsidRPr="00255659">
        <w:rPr>
          <w:lang w:eastAsia="en-US"/>
        </w:rPr>
        <w:tab/>
      </w:r>
      <w:r w:rsidR="00F8137F" w:rsidRPr="00255659">
        <w:rPr>
          <w:lang w:eastAsia="en-US"/>
        </w:rPr>
        <w:t xml:space="preserve">What is the effect of </w:t>
      </w:r>
      <w:r w:rsidR="006B5168" w:rsidRPr="00255659">
        <w:rPr>
          <w:lang w:eastAsia="en-US"/>
        </w:rPr>
        <w:t>Dr.</w:t>
      </w:r>
      <w:r w:rsidR="006B5168">
        <w:rPr>
          <w:lang w:eastAsia="en-US"/>
        </w:rPr>
        <w:t> </w:t>
      </w:r>
      <w:r w:rsidR="00F8137F" w:rsidRPr="00255659">
        <w:rPr>
          <w:lang w:eastAsia="en-US"/>
        </w:rPr>
        <w:t>Woolridge</w:t>
      </w:r>
      <w:r w:rsidR="00255659">
        <w:rPr>
          <w:lang w:eastAsia="en-US"/>
        </w:rPr>
        <w:t>’</w:t>
      </w:r>
      <w:r w:rsidR="00F8137F" w:rsidRPr="00255659">
        <w:rPr>
          <w:lang w:eastAsia="en-US"/>
        </w:rPr>
        <w:t xml:space="preserve">s reference to the geometric mean </w:t>
      </w:r>
      <w:r w:rsidR="00B85263">
        <w:rPr>
          <w:lang w:eastAsia="en-US"/>
        </w:rPr>
        <w:t xml:space="preserve">market risk premium </w:t>
      </w:r>
      <w:r w:rsidR="00F8137F" w:rsidRPr="00255659">
        <w:rPr>
          <w:lang w:eastAsia="en-US"/>
        </w:rPr>
        <w:t xml:space="preserve">instead of the arithmetic mean </w:t>
      </w:r>
      <w:r w:rsidR="00B85263">
        <w:rPr>
          <w:lang w:eastAsia="en-US"/>
        </w:rPr>
        <w:t>market risk premium</w:t>
      </w:r>
      <w:r w:rsidRPr="00255659">
        <w:rPr>
          <w:lang w:eastAsia="en-US"/>
        </w:rPr>
        <w:t>?</w:t>
      </w:r>
    </w:p>
    <w:p w:rsidR="00B85263" w:rsidRDefault="00F8137F" w:rsidP="00540A76">
      <w:pPr>
        <w:pStyle w:val="answer"/>
        <w:rPr>
          <w:lang w:eastAsia="en-US"/>
        </w:rPr>
      </w:pPr>
      <w:r w:rsidRPr="00255659">
        <w:rPr>
          <w:lang w:eastAsia="en-US"/>
        </w:rPr>
        <w:t>A.</w:t>
      </w:r>
      <w:r w:rsidR="00AA31D3" w:rsidRPr="00255659">
        <w:rPr>
          <w:lang w:eastAsia="en-US"/>
        </w:rPr>
        <w:tab/>
        <w:t xml:space="preserve">Several of the </w:t>
      </w:r>
      <w:r w:rsidR="00B85263">
        <w:rPr>
          <w:lang w:eastAsia="en-US"/>
        </w:rPr>
        <w:t xml:space="preserve">market risk premium </w:t>
      </w:r>
      <w:r w:rsidR="00AA31D3" w:rsidRPr="00255659">
        <w:rPr>
          <w:lang w:eastAsia="en-US"/>
        </w:rPr>
        <w:t xml:space="preserve">studies referenced </w:t>
      </w:r>
      <w:r w:rsidR="00B85263">
        <w:rPr>
          <w:lang w:eastAsia="en-US"/>
        </w:rPr>
        <w:t>by Dr. Woolridge</w:t>
      </w:r>
      <w:r w:rsidR="00B85263">
        <w:rPr>
          <w:rStyle w:val="FootnoteReference"/>
          <w:lang w:eastAsia="en-US"/>
        </w:rPr>
        <w:footnoteReference w:id="40"/>
      </w:r>
      <w:r w:rsidR="00B85263">
        <w:rPr>
          <w:lang w:eastAsia="en-US"/>
        </w:rPr>
        <w:t xml:space="preserve"> </w:t>
      </w:r>
      <w:r w:rsidR="00AA31D3" w:rsidRPr="00255659">
        <w:rPr>
          <w:lang w:eastAsia="en-US"/>
        </w:rPr>
        <w:t xml:space="preserve">report the geometric mean </w:t>
      </w:r>
      <w:r w:rsidR="00B85263">
        <w:rPr>
          <w:lang w:eastAsia="en-US"/>
        </w:rPr>
        <w:t xml:space="preserve">market risk premium </w:t>
      </w:r>
      <w:r w:rsidR="00AA31D3" w:rsidRPr="00255659">
        <w:rPr>
          <w:lang w:eastAsia="en-US"/>
        </w:rPr>
        <w:t xml:space="preserve">rather than the arithmetic mean </w:t>
      </w:r>
      <w:r w:rsidR="00B85263">
        <w:rPr>
          <w:lang w:eastAsia="en-US"/>
        </w:rPr>
        <w:t>market risk premium</w:t>
      </w:r>
      <w:r w:rsidR="00AA31D3" w:rsidRPr="00255659">
        <w:rPr>
          <w:lang w:eastAsia="en-US"/>
        </w:rPr>
        <w:t xml:space="preserve">, thus significantly understating the </w:t>
      </w:r>
      <w:r w:rsidR="00B85263">
        <w:rPr>
          <w:lang w:eastAsia="en-US"/>
        </w:rPr>
        <w:t xml:space="preserve">market risk premium </w:t>
      </w:r>
      <w:r w:rsidR="00AA31D3" w:rsidRPr="00255659">
        <w:rPr>
          <w:lang w:eastAsia="en-US"/>
        </w:rPr>
        <w:t>by some 150</w:t>
      </w:r>
      <w:r w:rsidR="00B85263">
        <w:rPr>
          <w:lang w:eastAsia="en-US"/>
        </w:rPr>
        <w:t> </w:t>
      </w:r>
      <w:r w:rsidR="00AA31D3" w:rsidRPr="00255659">
        <w:rPr>
          <w:lang w:eastAsia="en-US"/>
        </w:rPr>
        <w:t>basis points</w:t>
      </w:r>
      <w:r w:rsidR="00B85263">
        <w:rPr>
          <w:lang w:eastAsia="en-US"/>
        </w:rPr>
        <w:t xml:space="preserve"> (i.e., 1.50 percent)</w:t>
      </w:r>
      <w:r w:rsidR="00AA31D3" w:rsidRPr="00255659">
        <w:rPr>
          <w:lang w:eastAsia="en-US"/>
        </w:rPr>
        <w:t>.</w:t>
      </w:r>
      <w:r w:rsidR="00287C5A">
        <w:rPr>
          <w:lang w:eastAsia="en-US"/>
        </w:rPr>
        <w:t xml:space="preserve"> </w:t>
      </w:r>
      <w:r w:rsidR="00AA31D3" w:rsidRPr="00255659">
        <w:rPr>
          <w:lang w:eastAsia="en-US"/>
        </w:rPr>
        <w:t xml:space="preserve">The 150 basis points is the historical </w:t>
      </w:r>
      <w:r w:rsidR="00AA31D3" w:rsidRPr="00255659">
        <w:rPr>
          <w:lang w:eastAsia="en-US"/>
        </w:rPr>
        <w:lastRenderedPageBreak/>
        <w:t>difference between the geometric and arithmetic mean typically reported in historical studies, for example in the aforementioned Duff &amp; Phelps Valuation Yearbooks.</w:t>
      </w:r>
    </w:p>
    <w:p w:rsidR="00F8137F" w:rsidRPr="00255659" w:rsidRDefault="00AA31D3" w:rsidP="00B85263">
      <w:pPr>
        <w:pStyle w:val="answer"/>
        <w:ind w:firstLine="0"/>
        <w:rPr>
          <w:lang w:eastAsia="en-US"/>
        </w:rPr>
      </w:pPr>
      <w:r w:rsidRPr="00255659">
        <w:rPr>
          <w:lang w:eastAsia="en-US"/>
        </w:rPr>
        <w:t xml:space="preserve">Since at least half of the studies rely on geometric means, the net impact is that </w:t>
      </w:r>
      <w:r w:rsidR="006B5168" w:rsidRPr="00255659">
        <w:rPr>
          <w:lang w:eastAsia="en-US"/>
        </w:rPr>
        <w:t>Dr.</w:t>
      </w:r>
      <w:r w:rsidR="006B5168">
        <w:rPr>
          <w:lang w:eastAsia="en-US"/>
        </w:rPr>
        <w:t> </w:t>
      </w:r>
      <w:r w:rsidRPr="00255659">
        <w:rPr>
          <w:lang w:eastAsia="en-US"/>
        </w:rPr>
        <w:t xml:space="preserve">Woolridge has understated the </w:t>
      </w:r>
      <w:r w:rsidR="00B85263">
        <w:rPr>
          <w:lang w:eastAsia="en-US"/>
        </w:rPr>
        <w:t xml:space="preserve">market risk premium </w:t>
      </w:r>
      <w:r w:rsidRPr="00255659">
        <w:rPr>
          <w:lang w:eastAsia="en-US"/>
        </w:rPr>
        <w:t>by 75</w:t>
      </w:r>
      <w:r w:rsidR="00B85263">
        <w:rPr>
          <w:lang w:eastAsia="en-US"/>
        </w:rPr>
        <w:t> </w:t>
      </w:r>
      <w:r w:rsidRPr="00255659">
        <w:rPr>
          <w:lang w:eastAsia="en-US"/>
        </w:rPr>
        <w:t xml:space="preserve">basis points </w:t>
      </w:r>
      <w:r w:rsidR="00B85263">
        <w:rPr>
          <w:lang w:eastAsia="en-US"/>
        </w:rPr>
        <w:t xml:space="preserve">(i.e., 0.75 percent) </w:t>
      </w:r>
      <w:r w:rsidRPr="00255659">
        <w:rPr>
          <w:lang w:eastAsia="en-US"/>
        </w:rPr>
        <w:t>from these studies.</w:t>
      </w:r>
      <w:r w:rsidR="00287C5A">
        <w:rPr>
          <w:lang w:eastAsia="en-US"/>
        </w:rPr>
        <w:t xml:space="preserve"> </w:t>
      </w:r>
      <w:r w:rsidR="00B85263">
        <w:rPr>
          <w:lang w:eastAsia="en-US"/>
        </w:rPr>
        <w:t xml:space="preserve">In other words, Dr. Woolridge’s market risk premium of </w:t>
      </w:r>
      <w:r w:rsidRPr="00255659">
        <w:rPr>
          <w:lang w:eastAsia="en-US"/>
        </w:rPr>
        <w:t>5.50</w:t>
      </w:r>
      <w:r w:rsidR="00B85263">
        <w:rPr>
          <w:lang w:eastAsia="en-US"/>
        </w:rPr>
        <w:t xml:space="preserve"> percent </w:t>
      </w:r>
      <w:r w:rsidRPr="00255659">
        <w:rPr>
          <w:lang w:eastAsia="en-US"/>
        </w:rPr>
        <w:t>is understated by 75</w:t>
      </w:r>
      <w:r w:rsidR="00B85263">
        <w:rPr>
          <w:lang w:eastAsia="en-US"/>
        </w:rPr>
        <w:t> </w:t>
      </w:r>
      <w:r w:rsidRPr="00255659">
        <w:rPr>
          <w:lang w:eastAsia="en-US"/>
        </w:rPr>
        <w:t>basis points from this correction alone and becomes 6.</w:t>
      </w:r>
      <w:r w:rsidR="00B85263">
        <w:rPr>
          <w:lang w:eastAsia="en-US"/>
        </w:rPr>
        <w:t xml:space="preserve">25 percent </w:t>
      </w:r>
      <w:r w:rsidRPr="00255659">
        <w:rPr>
          <w:lang w:eastAsia="en-US"/>
        </w:rPr>
        <w:t>instead of 5.50</w:t>
      </w:r>
      <w:r w:rsidR="00B85263">
        <w:rPr>
          <w:lang w:eastAsia="en-US"/>
        </w:rPr>
        <w:t> percent</w:t>
      </w:r>
      <w:r w:rsidRPr="00255659">
        <w:rPr>
          <w:lang w:eastAsia="en-US"/>
        </w:rPr>
        <w:t>.</w:t>
      </w:r>
      <w:r w:rsidR="00287C5A">
        <w:rPr>
          <w:lang w:eastAsia="en-US"/>
        </w:rPr>
        <w:t xml:space="preserve"> </w:t>
      </w:r>
      <w:r w:rsidRPr="00255659">
        <w:rPr>
          <w:lang w:eastAsia="en-US"/>
        </w:rPr>
        <w:t>The impact on PSE</w:t>
      </w:r>
      <w:r w:rsidR="00255659">
        <w:rPr>
          <w:lang w:eastAsia="en-US"/>
        </w:rPr>
        <w:t>’</w:t>
      </w:r>
      <w:r w:rsidRPr="00255659">
        <w:rPr>
          <w:lang w:eastAsia="en-US"/>
        </w:rPr>
        <w:t xml:space="preserve">s cost of equity CAPM estimate is </w:t>
      </w:r>
      <w:r w:rsidR="00DD1E6D">
        <w:rPr>
          <w:lang w:eastAsia="en-US"/>
        </w:rPr>
        <w:t>53</w:t>
      </w:r>
      <w:r w:rsidR="00B85263">
        <w:rPr>
          <w:lang w:eastAsia="en-US"/>
        </w:rPr>
        <w:t> </w:t>
      </w:r>
      <w:r w:rsidRPr="00255659">
        <w:rPr>
          <w:lang w:eastAsia="en-US"/>
        </w:rPr>
        <w:t>basis points (0.</w:t>
      </w:r>
      <w:r w:rsidR="00DD1E6D">
        <w:rPr>
          <w:lang w:eastAsia="en-US"/>
        </w:rPr>
        <w:t>5</w:t>
      </w:r>
      <w:r w:rsidRPr="00255659">
        <w:rPr>
          <w:lang w:eastAsia="en-US"/>
        </w:rPr>
        <w:t>3</w:t>
      </w:r>
      <w:r w:rsidR="00DD1E6D">
        <w:rPr>
          <w:lang w:eastAsia="en-US"/>
        </w:rPr>
        <w:t> percent</w:t>
      </w:r>
      <w:r w:rsidRPr="00255659">
        <w:rPr>
          <w:lang w:eastAsia="en-US"/>
        </w:rPr>
        <w:t xml:space="preserve">) using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s average beta for his three groups of utilities of 0.70:</w:t>
      </w:r>
    </w:p>
    <w:p w:rsidR="00F8137F" w:rsidRPr="00255659" w:rsidRDefault="00AA31D3" w:rsidP="00540A76">
      <w:pPr>
        <w:pStyle w:val="BlockQuote"/>
        <w:jc w:val="center"/>
        <w:rPr>
          <w:i w:val="0"/>
          <w:lang w:eastAsia="en-US"/>
        </w:rPr>
      </w:pPr>
      <w:r w:rsidRPr="00255659">
        <w:rPr>
          <w:i w:val="0"/>
          <w:lang w:eastAsia="en-US"/>
        </w:rPr>
        <w:sym w:font="Symbol" w:char="F062"/>
      </w:r>
      <w:r w:rsidRPr="00255659">
        <w:rPr>
          <w:i w:val="0"/>
          <w:vertAlign w:val="subscript"/>
          <w:lang w:eastAsia="en-US"/>
        </w:rPr>
        <w:t>PSE</w:t>
      </w:r>
      <w:r w:rsidRPr="00255659">
        <w:rPr>
          <w:i w:val="0"/>
          <w:lang w:eastAsia="en-US"/>
        </w:rPr>
        <w:t xml:space="preserve"> x (Arithmetic Mean – Geometric Mean)</w:t>
      </w:r>
    </w:p>
    <w:p w:rsidR="00AA31D3" w:rsidRPr="00255659" w:rsidRDefault="00AA31D3" w:rsidP="00540A76">
      <w:pPr>
        <w:pStyle w:val="BlockQuote"/>
        <w:jc w:val="center"/>
        <w:rPr>
          <w:i w:val="0"/>
          <w:lang w:eastAsia="en-US"/>
        </w:rPr>
      </w:pPr>
      <w:r w:rsidRPr="00255659">
        <w:rPr>
          <w:i w:val="0"/>
          <w:lang w:eastAsia="en-US"/>
        </w:rPr>
        <w:t xml:space="preserve">0.70 </w:t>
      </w:r>
      <w:r w:rsidR="00DD1E6D">
        <w:rPr>
          <w:i w:val="0"/>
          <w:lang w:eastAsia="en-US"/>
        </w:rPr>
        <w:t xml:space="preserve">× </w:t>
      </w:r>
      <w:r w:rsidRPr="00255659">
        <w:rPr>
          <w:i w:val="0"/>
          <w:lang w:eastAsia="en-US"/>
        </w:rPr>
        <w:t>(6.</w:t>
      </w:r>
      <w:r w:rsidR="00B85263">
        <w:rPr>
          <w:i w:val="0"/>
          <w:lang w:eastAsia="en-US"/>
        </w:rPr>
        <w:t>25</w:t>
      </w:r>
      <w:r w:rsidRPr="00255659">
        <w:rPr>
          <w:i w:val="0"/>
          <w:lang w:eastAsia="en-US"/>
        </w:rPr>
        <w:t>% – 5.50%)</w:t>
      </w:r>
      <w:r w:rsidR="00287C5A">
        <w:rPr>
          <w:i w:val="0"/>
          <w:lang w:eastAsia="en-US"/>
        </w:rPr>
        <w:t xml:space="preserve"> </w:t>
      </w:r>
      <w:r w:rsidRPr="00255659">
        <w:rPr>
          <w:i w:val="0"/>
          <w:lang w:eastAsia="en-US"/>
        </w:rPr>
        <w:t>=</w:t>
      </w:r>
      <w:r w:rsidR="00287C5A">
        <w:rPr>
          <w:i w:val="0"/>
          <w:lang w:eastAsia="en-US"/>
        </w:rPr>
        <w:t xml:space="preserve"> </w:t>
      </w:r>
      <w:r w:rsidRPr="00255659">
        <w:rPr>
          <w:i w:val="0"/>
          <w:lang w:eastAsia="en-US"/>
        </w:rPr>
        <w:t>0.70</w:t>
      </w:r>
      <w:r w:rsidR="00DD1E6D" w:rsidRPr="00255659">
        <w:rPr>
          <w:i w:val="0"/>
          <w:lang w:eastAsia="en-US"/>
        </w:rPr>
        <w:t xml:space="preserve"> </w:t>
      </w:r>
      <w:r w:rsidR="00DD1E6D">
        <w:rPr>
          <w:i w:val="0"/>
          <w:lang w:eastAsia="en-US"/>
        </w:rPr>
        <w:t xml:space="preserve">× </w:t>
      </w:r>
      <w:r w:rsidRPr="00255659">
        <w:rPr>
          <w:i w:val="0"/>
          <w:lang w:eastAsia="en-US"/>
        </w:rPr>
        <w:t>0.</w:t>
      </w:r>
      <w:r w:rsidR="00DD1E6D">
        <w:rPr>
          <w:i w:val="0"/>
          <w:lang w:eastAsia="en-US"/>
        </w:rPr>
        <w:t>75</w:t>
      </w:r>
      <w:r w:rsidRPr="00255659">
        <w:rPr>
          <w:i w:val="0"/>
          <w:lang w:eastAsia="en-US"/>
        </w:rPr>
        <w:t>%</w:t>
      </w:r>
      <w:r w:rsidR="00287C5A">
        <w:rPr>
          <w:i w:val="0"/>
          <w:lang w:eastAsia="en-US"/>
        </w:rPr>
        <w:t xml:space="preserve"> </w:t>
      </w:r>
      <w:r w:rsidRPr="00255659">
        <w:rPr>
          <w:i w:val="0"/>
          <w:lang w:eastAsia="en-US"/>
        </w:rPr>
        <w:t>=</w:t>
      </w:r>
      <w:r w:rsidR="00287C5A">
        <w:rPr>
          <w:i w:val="0"/>
          <w:lang w:eastAsia="en-US"/>
        </w:rPr>
        <w:t xml:space="preserve"> </w:t>
      </w:r>
      <w:r w:rsidRPr="00255659">
        <w:rPr>
          <w:i w:val="0"/>
          <w:lang w:eastAsia="en-US"/>
        </w:rPr>
        <w:t>0.</w:t>
      </w:r>
      <w:r w:rsidR="00DD1E6D">
        <w:rPr>
          <w:i w:val="0"/>
          <w:lang w:eastAsia="en-US"/>
        </w:rPr>
        <w:t>53</w:t>
      </w:r>
      <w:r w:rsidRPr="00255659">
        <w:rPr>
          <w:i w:val="0"/>
          <w:lang w:eastAsia="en-US"/>
        </w:rPr>
        <w:t>%</w:t>
      </w:r>
      <w:r w:rsidR="00DD1E6D">
        <w:rPr>
          <w:i w:val="0"/>
          <w:lang w:eastAsia="en-US"/>
        </w:rPr>
        <w:t>.</w:t>
      </w:r>
    </w:p>
    <w:p w:rsidR="00AA31D3" w:rsidRPr="00255659" w:rsidRDefault="00AA31D3" w:rsidP="00540A76">
      <w:pPr>
        <w:pStyle w:val="question"/>
      </w:pPr>
      <w:r w:rsidRPr="00255659">
        <w:rPr>
          <w:lang w:eastAsia="en-US"/>
        </w:rPr>
        <w:t>Q.</w:t>
      </w:r>
      <w:r w:rsidRPr="00255659">
        <w:rPr>
          <w:lang w:eastAsia="en-US"/>
        </w:rPr>
        <w:tab/>
      </w:r>
      <w:r w:rsidR="00DD1E6D">
        <w:rPr>
          <w:lang w:eastAsia="en-US"/>
        </w:rPr>
        <w:t xml:space="preserve">Is </w:t>
      </w:r>
      <w:r w:rsidR="006B5168" w:rsidRPr="00255659">
        <w:rPr>
          <w:lang w:eastAsia="en-US"/>
        </w:rPr>
        <w:t>Dr.</w:t>
      </w:r>
      <w:r w:rsidR="006B5168">
        <w:rPr>
          <w:lang w:eastAsia="en-US"/>
        </w:rPr>
        <w:t> </w:t>
      </w:r>
      <w:r w:rsidR="000A7CDF" w:rsidRPr="00255659">
        <w:rPr>
          <w:lang w:eastAsia="en-US"/>
        </w:rPr>
        <w:t xml:space="preserve">Woolridge </w:t>
      </w:r>
      <w:r w:rsidR="00DD1E6D">
        <w:rPr>
          <w:lang w:eastAsia="en-US"/>
        </w:rPr>
        <w:t xml:space="preserve">correct that </w:t>
      </w:r>
      <w:r w:rsidR="000A7CDF" w:rsidRPr="00255659">
        <w:rPr>
          <w:lang w:eastAsia="en-US"/>
        </w:rPr>
        <w:t>arithmetic mean returns are biased and should be disregarded</w:t>
      </w:r>
      <w:r w:rsidRPr="00255659">
        <w:rPr>
          <w:lang w:eastAsia="en-US"/>
        </w:rPr>
        <w:t>?</w:t>
      </w:r>
    </w:p>
    <w:p w:rsidR="00AA31D3" w:rsidRPr="00255659" w:rsidRDefault="00AA31D3" w:rsidP="00540A76">
      <w:pPr>
        <w:pStyle w:val="answer"/>
        <w:rPr>
          <w:lang w:eastAsia="en-US"/>
        </w:rPr>
      </w:pPr>
      <w:r w:rsidRPr="00255659">
        <w:rPr>
          <w:lang w:eastAsia="en-US"/>
        </w:rPr>
        <w:t>A.</w:t>
      </w:r>
      <w:r w:rsidR="000A7CDF" w:rsidRPr="00255659">
        <w:rPr>
          <w:lang w:eastAsia="en-US"/>
        </w:rPr>
        <w:tab/>
      </w:r>
      <w:r w:rsidRPr="00255659">
        <w:rPr>
          <w:lang w:eastAsia="en-US"/>
        </w:rPr>
        <w:t>No</w:t>
      </w:r>
      <w:r w:rsidR="00DD1E6D">
        <w:rPr>
          <w:lang w:eastAsia="en-US"/>
        </w:rPr>
        <w:t>. Dr. </w:t>
      </w:r>
      <w:r w:rsidRPr="00255659">
        <w:rPr>
          <w:lang w:eastAsia="en-US"/>
        </w:rPr>
        <w:t xml:space="preserve">Woolridge </w:t>
      </w:r>
      <w:r w:rsidR="00DD1E6D">
        <w:rPr>
          <w:lang w:eastAsia="en-US"/>
        </w:rPr>
        <w:t xml:space="preserve">erroneously </w:t>
      </w:r>
      <w:r w:rsidRPr="00255659">
        <w:rPr>
          <w:lang w:eastAsia="en-US"/>
        </w:rPr>
        <w:t>argues that arithmetic mean return measures are biased and should be disregarded.</w:t>
      </w:r>
      <w:r w:rsidR="00DD1E6D">
        <w:rPr>
          <w:rStyle w:val="FootnoteReference"/>
          <w:lang w:eastAsia="en-US"/>
        </w:rPr>
        <w:footnoteReference w:id="41"/>
      </w:r>
      <w:r w:rsidR="00287C5A">
        <w:rPr>
          <w:lang w:eastAsia="en-US"/>
        </w:rPr>
        <w:t xml:space="preserve"> </w:t>
      </w:r>
      <w:r w:rsidR="006B5168" w:rsidRPr="00255659">
        <w:rPr>
          <w:lang w:eastAsia="en-US"/>
        </w:rPr>
        <w:t>Dr.</w:t>
      </w:r>
      <w:r w:rsidR="006B5168">
        <w:rPr>
          <w:lang w:eastAsia="en-US"/>
        </w:rPr>
        <w:t> </w:t>
      </w:r>
      <w:r w:rsidRPr="00255659">
        <w:rPr>
          <w:lang w:eastAsia="en-US"/>
        </w:rPr>
        <w:t>Woolridge</w:t>
      </w:r>
      <w:r w:rsidR="00255659">
        <w:rPr>
          <w:lang w:eastAsia="en-US"/>
        </w:rPr>
        <w:t>’</w:t>
      </w:r>
      <w:r w:rsidRPr="00255659">
        <w:rPr>
          <w:lang w:eastAsia="en-US"/>
        </w:rPr>
        <w:t>s arguments reflect a fundamental misunderstanding of how geometric and arithmetic means are used in financial analysis.</w:t>
      </w:r>
      <w:r w:rsidR="00287C5A">
        <w:rPr>
          <w:lang w:eastAsia="en-US"/>
        </w:rPr>
        <w:t xml:space="preserve"> </w:t>
      </w:r>
      <w:r w:rsidRPr="00255659">
        <w:rPr>
          <w:lang w:eastAsia="en-US"/>
        </w:rPr>
        <w:t xml:space="preserve">Geometric means are properly used in evaluating historic performance of stocks or portfolios of stocks, whereas determining investor </w:t>
      </w:r>
      <w:r w:rsidRPr="00255659">
        <w:rPr>
          <w:lang w:eastAsia="en-US"/>
        </w:rPr>
        <w:lastRenderedPageBreak/>
        <w:t>expectations, which define the cost of equity capital, requires use of arithmetic means.</w:t>
      </w:r>
      <w:r w:rsidR="00F62798">
        <w:rPr>
          <w:rStyle w:val="FootnoteReference"/>
          <w:lang w:eastAsia="en-US"/>
        </w:rPr>
        <w:footnoteReference w:id="42"/>
      </w:r>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Please explain how the issue of what is the proper </w:t>
      </w:r>
      <w:r w:rsidR="00255659">
        <w:rPr>
          <w:lang w:eastAsia="en-US"/>
        </w:rPr>
        <w:t>“</w:t>
      </w:r>
      <w:r w:rsidR="000A7CDF" w:rsidRPr="00255659">
        <w:rPr>
          <w:lang w:eastAsia="en-US"/>
        </w:rPr>
        <w:t>mean</w:t>
      </w:r>
      <w:r w:rsidR="00255659">
        <w:rPr>
          <w:lang w:eastAsia="en-US"/>
        </w:rPr>
        <w:t>”</w:t>
      </w:r>
      <w:r w:rsidR="000A7CDF" w:rsidRPr="00255659">
        <w:rPr>
          <w:lang w:eastAsia="en-US"/>
        </w:rPr>
        <w:t xml:space="preserve"> arises in the context of analyzing the cost of equity.</w:t>
      </w:r>
    </w:p>
    <w:p w:rsidR="00AA31D3" w:rsidRPr="00255659" w:rsidRDefault="000A7CDF" w:rsidP="00540A76">
      <w:pPr>
        <w:pStyle w:val="answer"/>
        <w:rPr>
          <w:lang w:eastAsia="en-US"/>
        </w:rPr>
      </w:pPr>
      <w:r w:rsidRPr="00255659">
        <w:rPr>
          <w:lang w:eastAsia="en-US"/>
        </w:rPr>
        <w:t>A.</w:t>
      </w:r>
      <w:r w:rsidR="00AA31D3" w:rsidRPr="00255659">
        <w:rPr>
          <w:lang w:eastAsia="en-US"/>
        </w:rPr>
        <w:tab/>
        <w:t>The issue arises in applying methods that derive estimates of a utility</w:t>
      </w:r>
      <w:r w:rsidR="00255659">
        <w:rPr>
          <w:lang w:eastAsia="en-US"/>
        </w:rPr>
        <w:t>’</w:t>
      </w:r>
      <w:r w:rsidR="00AA31D3" w:rsidRPr="00255659">
        <w:rPr>
          <w:lang w:eastAsia="en-US"/>
        </w:rPr>
        <w:t>s cost of equity from historical relationships between bond yields and earned returns on equity for individual companies or portfolios of several companies. Those methods produce series of numbers representing the annual difference between bond yields and stock returns over long historical periods.</w:t>
      </w:r>
      <w:r w:rsidR="00287C5A">
        <w:rPr>
          <w:lang w:eastAsia="en-US"/>
        </w:rPr>
        <w:t xml:space="preserve"> </w:t>
      </w:r>
      <w:r w:rsidR="00AA31D3" w:rsidRPr="00255659">
        <w:rPr>
          <w:lang w:eastAsia="en-US"/>
        </w:rPr>
        <w:t>The question is how to translate those series into a single number which can be added to a current bond yield to estimate the current cost of equity for a stock or a portfolio. Calculating geometric and arithmetic means are two ways of converting series of numbers to a s</w:t>
      </w:r>
      <w:r w:rsidRPr="00255659">
        <w:rPr>
          <w:lang w:eastAsia="en-US"/>
        </w:rPr>
        <w:t>ingle, representative figure.</w:t>
      </w:r>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If both are </w:t>
      </w:r>
      <w:r w:rsidR="00255659">
        <w:rPr>
          <w:lang w:eastAsia="en-US"/>
        </w:rPr>
        <w:t>“</w:t>
      </w:r>
      <w:r w:rsidR="000A7CDF" w:rsidRPr="00255659">
        <w:rPr>
          <w:lang w:eastAsia="en-US"/>
        </w:rPr>
        <w:t>representative</w:t>
      </w:r>
      <w:r w:rsidR="00255659">
        <w:rPr>
          <w:lang w:eastAsia="en-US"/>
        </w:rPr>
        <w:t>”</w:t>
      </w:r>
      <w:r w:rsidR="000A7CDF" w:rsidRPr="00255659">
        <w:rPr>
          <w:lang w:eastAsia="en-US"/>
        </w:rPr>
        <w:t xml:space="preserve"> of the series, what is the difference between the two?</w:t>
      </w:r>
    </w:p>
    <w:p w:rsidR="000A7CDF" w:rsidRPr="00255659" w:rsidRDefault="000A7CDF" w:rsidP="00540A76">
      <w:pPr>
        <w:pStyle w:val="answer"/>
        <w:rPr>
          <w:lang w:eastAsia="en-US"/>
        </w:rPr>
      </w:pPr>
      <w:r w:rsidRPr="00255659">
        <w:rPr>
          <w:lang w:eastAsia="en-US"/>
        </w:rPr>
        <w:t>A.</w:t>
      </w:r>
      <w:r w:rsidR="00AA31D3" w:rsidRPr="00255659">
        <w:rPr>
          <w:lang w:eastAsia="en-US"/>
        </w:rPr>
        <w:tab/>
        <w:t>Each represents different information about the series. The geometric mean of a series of numbers is the value which, if compounded over the period examined, would have made the starting value to grow to the ending value.</w:t>
      </w:r>
      <w:r w:rsidR="00287C5A">
        <w:rPr>
          <w:lang w:eastAsia="en-US"/>
        </w:rPr>
        <w:t xml:space="preserve"> </w:t>
      </w:r>
      <w:r w:rsidR="00AA31D3" w:rsidRPr="00255659">
        <w:rPr>
          <w:lang w:eastAsia="en-US"/>
        </w:rPr>
        <w:t>The arithmetic mean is simply the average of the numbers in the series.</w:t>
      </w:r>
      <w:r w:rsidR="00287C5A">
        <w:rPr>
          <w:lang w:eastAsia="en-US"/>
        </w:rPr>
        <w:t xml:space="preserve"> </w:t>
      </w:r>
      <w:r w:rsidR="00AA31D3" w:rsidRPr="00255659">
        <w:rPr>
          <w:lang w:eastAsia="en-US"/>
        </w:rPr>
        <w:t xml:space="preserve">Where there is any </w:t>
      </w:r>
      <w:r w:rsidR="00AA31D3" w:rsidRPr="00255659">
        <w:rPr>
          <w:lang w:eastAsia="en-US"/>
        </w:rPr>
        <w:lastRenderedPageBreak/>
        <w:t>annual variation (volatility) in a series of numbers, the arithmetic mean of the series, which reflects volatility, will always exceed the geometric mean, which ignores volatility.</w:t>
      </w:r>
      <w:r w:rsidR="00287C5A">
        <w:rPr>
          <w:lang w:eastAsia="en-US"/>
        </w:rPr>
        <w:t xml:space="preserve"> </w:t>
      </w:r>
      <w:r w:rsidR="00AA31D3" w:rsidRPr="00255659">
        <w:rPr>
          <w:lang w:eastAsia="en-US"/>
        </w:rPr>
        <w:t>Because investors require higher expected returns to invest in a company whose earnings are volatile than one whose earnings are stable, the geometric mean is not useful in estimating the expected rate of return which investors require to make an investment.</w:t>
      </w:r>
      <w:r w:rsidR="00287C5A">
        <w:rPr>
          <w:lang w:eastAsia="en-US"/>
        </w:rPr>
        <w:t xml:space="preserve"> </w:t>
      </w:r>
      <w:r w:rsidR="00F62798">
        <w:rPr>
          <w:lang w:eastAsia="en-US"/>
        </w:rPr>
        <w:t>M</w:t>
      </w:r>
      <w:r w:rsidR="00AA31D3" w:rsidRPr="00255659">
        <w:rPr>
          <w:lang w:eastAsia="en-US"/>
        </w:rPr>
        <w:t>y direct testimony</w:t>
      </w:r>
      <w:r w:rsidR="00F62798">
        <w:rPr>
          <w:lang w:eastAsia="en-US"/>
        </w:rPr>
        <w:t xml:space="preserve"> </w:t>
      </w:r>
      <w:r w:rsidR="00AA31D3" w:rsidRPr="00255659">
        <w:rPr>
          <w:lang w:eastAsia="en-US"/>
        </w:rPr>
        <w:t>provided a numerical example to illustrate the difference between geometric and arithmetic means.</w:t>
      </w:r>
      <w:r w:rsidR="00F62798">
        <w:rPr>
          <w:rStyle w:val="FootnoteReference"/>
          <w:lang w:eastAsia="en-US"/>
        </w:rPr>
        <w:footnoteReference w:id="43"/>
      </w:r>
    </w:p>
    <w:p w:rsidR="00AA31D3" w:rsidRPr="00255659" w:rsidRDefault="00AA31D3" w:rsidP="00540A76">
      <w:pPr>
        <w:pStyle w:val="answer"/>
        <w:ind w:firstLine="0"/>
        <w:rPr>
          <w:szCs w:val="24"/>
          <w:lang w:eastAsia="en-US"/>
        </w:rPr>
      </w:pPr>
      <w:r w:rsidRPr="00255659">
        <w:rPr>
          <w:szCs w:val="24"/>
          <w:lang w:eastAsia="en-US"/>
        </w:rPr>
        <w:t>The following table compares the geometric and arithmetic mean returns of a hypothetical Stock</w:t>
      </w:r>
      <w:r w:rsidR="00F62798">
        <w:rPr>
          <w:szCs w:val="24"/>
          <w:lang w:eastAsia="en-US"/>
        </w:rPr>
        <w:t> </w:t>
      </w:r>
      <w:r w:rsidRPr="00255659">
        <w:rPr>
          <w:szCs w:val="24"/>
          <w:lang w:eastAsia="en-US"/>
        </w:rPr>
        <w:t>A, whose yearly returns over a ten-year period are very volatile, with those of a hypothetical Stock</w:t>
      </w:r>
      <w:r w:rsidR="00F62798">
        <w:rPr>
          <w:szCs w:val="24"/>
          <w:lang w:eastAsia="en-US"/>
        </w:rPr>
        <w:t> </w:t>
      </w:r>
      <w:r w:rsidRPr="00255659">
        <w:rPr>
          <w:szCs w:val="24"/>
          <w:lang w:eastAsia="en-US"/>
        </w:rPr>
        <w:t>B, whose yearly returns are perfectly stable during that period.</w:t>
      </w:r>
      <w:r w:rsidR="00287C5A">
        <w:rPr>
          <w:szCs w:val="24"/>
          <w:lang w:eastAsia="en-US"/>
        </w:rPr>
        <w:t xml:space="preserve"> </w:t>
      </w:r>
      <w:r w:rsidRPr="00255659">
        <w:rPr>
          <w:szCs w:val="24"/>
          <w:lang w:eastAsia="en-US"/>
        </w:rPr>
        <w:t>Consistent with the point that geometric returns ignore volatility, the geometric mean returns for the two series are identical (11.6</w:t>
      </w:r>
      <w:r w:rsidR="00F62798">
        <w:rPr>
          <w:szCs w:val="24"/>
          <w:lang w:eastAsia="en-US"/>
        </w:rPr>
        <w:t xml:space="preserve"> percent </w:t>
      </w:r>
      <w:r w:rsidRPr="00255659">
        <w:rPr>
          <w:szCs w:val="24"/>
          <w:lang w:eastAsia="en-US"/>
        </w:rPr>
        <w:t>in both cases), whereas the arithmetic mean return of the volatile stock (26.7</w:t>
      </w:r>
      <w:r w:rsidR="00F62798">
        <w:rPr>
          <w:szCs w:val="24"/>
          <w:lang w:eastAsia="en-US"/>
        </w:rPr>
        <w:t> percent</w:t>
      </w:r>
      <w:r w:rsidRPr="00255659">
        <w:rPr>
          <w:szCs w:val="24"/>
          <w:lang w:eastAsia="en-US"/>
        </w:rPr>
        <w:t>) is much higher than the arithmetic mean return of the stable stock (11.6</w:t>
      </w:r>
      <w:r w:rsidR="00F62798">
        <w:rPr>
          <w:szCs w:val="24"/>
          <w:lang w:eastAsia="en-US"/>
        </w:rPr>
        <w:t> percent</w:t>
      </w:r>
      <w:r w:rsidRPr="00255659">
        <w:rPr>
          <w:szCs w:val="24"/>
          <w:lang w:eastAsia="en-US"/>
        </w:rPr>
        <w:t>):</w:t>
      </w:r>
    </w:p>
    <w:p w:rsidR="00AA31D3" w:rsidRPr="00DC010B" w:rsidRDefault="00DC010B" w:rsidP="00C07BB7">
      <w:pPr>
        <w:pStyle w:val="TableHeading"/>
        <w:ind w:left="90" w:right="90"/>
      </w:pPr>
      <w:r w:rsidRPr="00DC010B">
        <w:rPr>
          <w:bCs/>
        </w:rPr>
        <w:lastRenderedPageBreak/>
        <w:t>Table 4</w:t>
      </w:r>
      <w:r w:rsidRPr="00DC010B">
        <w:t>. Geometric vs. Arithmetic returns</w:t>
      </w:r>
    </w:p>
    <w:tbl>
      <w:tblPr>
        <w:tblW w:w="0" w:type="auto"/>
        <w:jc w:val="center"/>
        <w:tblLook w:val="01E0" w:firstRow="1" w:lastRow="1" w:firstColumn="1" w:lastColumn="1" w:noHBand="0" w:noVBand="0"/>
      </w:tblPr>
      <w:tblGrid>
        <w:gridCol w:w="1748"/>
        <w:gridCol w:w="1543"/>
        <w:gridCol w:w="1543"/>
      </w:tblGrid>
      <w:tr w:rsidR="00AA31D3" w:rsidRPr="00F62798" w:rsidTr="00DC010B">
        <w:trPr>
          <w:jc w:val="center"/>
        </w:trPr>
        <w:tc>
          <w:tcPr>
            <w:tcW w:w="1748" w:type="dxa"/>
            <w:hideMark/>
          </w:tcPr>
          <w:p w:rsidR="00AA31D3" w:rsidRPr="00F62798" w:rsidRDefault="00DC010B" w:rsidP="00C07BB7">
            <w:pPr>
              <w:keepNext/>
              <w:keepLines/>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Year</w:t>
            </w:r>
          </w:p>
        </w:tc>
        <w:tc>
          <w:tcPr>
            <w:tcW w:w="1543" w:type="dxa"/>
            <w:hideMark/>
          </w:tcPr>
          <w:p w:rsidR="00AA31D3" w:rsidRPr="00F62798" w:rsidRDefault="00DC010B" w:rsidP="00C07BB7">
            <w:pPr>
              <w:keepNext/>
              <w:keepLines/>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 xml:space="preserve">Stock </w:t>
            </w:r>
            <w:r w:rsidR="00AA31D3" w:rsidRPr="00F62798">
              <w:rPr>
                <w:b/>
                <w:sz w:val="20"/>
                <w:lang w:eastAsia="en-US"/>
              </w:rPr>
              <w:t>A</w:t>
            </w:r>
          </w:p>
        </w:tc>
        <w:tc>
          <w:tcPr>
            <w:tcW w:w="1543" w:type="dxa"/>
            <w:hideMark/>
          </w:tcPr>
          <w:p w:rsidR="00AA31D3" w:rsidRPr="00F62798" w:rsidRDefault="00DC010B" w:rsidP="00C07BB7">
            <w:pPr>
              <w:keepNext/>
              <w:keepLines/>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 xml:space="preserve">Stock </w:t>
            </w:r>
            <w:r w:rsidR="00AA31D3" w:rsidRPr="00F62798">
              <w:rPr>
                <w:b/>
                <w:sz w:val="20"/>
                <w:lang w:eastAsia="en-US"/>
              </w:rPr>
              <w:t>B</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2002</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50.0%</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2003</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-54.7%</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2004</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98.5%</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2005</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42.2%</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2006</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-32.3%</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2007</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-39.2%</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2008</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153.2%</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cantSplit/>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2009</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-10.0%</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2010</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38.9%</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2011</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20.0%</w:t>
            </w:r>
          </w:p>
        </w:tc>
        <w:tc>
          <w:tcPr>
            <w:tcW w:w="1543" w:type="dxa"/>
            <w:hideMark/>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sz w:val="20"/>
                <w:lang w:eastAsia="en-US"/>
              </w:rPr>
            </w:pPr>
            <w:r w:rsidRPr="00F62798">
              <w:rPr>
                <w:sz w:val="20"/>
                <w:lang w:eastAsia="en-US"/>
              </w:rPr>
              <w:t>11.6%</w:t>
            </w:r>
          </w:p>
        </w:tc>
      </w:tr>
      <w:tr w:rsidR="00AA31D3" w:rsidRPr="00F62798" w:rsidTr="00DC010B">
        <w:trPr>
          <w:jc w:val="center"/>
        </w:trPr>
        <w:tc>
          <w:tcPr>
            <w:tcW w:w="1748" w:type="dxa"/>
            <w:hideMark/>
          </w:tcPr>
          <w:p w:rsidR="00AA31D3" w:rsidRPr="00F62798" w:rsidRDefault="00AA31D3" w:rsidP="00C07BB7">
            <w:pPr>
              <w:keepNext/>
              <w:keepLines/>
              <w:overflowPunct w:val="0"/>
              <w:autoSpaceDE w:val="0"/>
              <w:autoSpaceDN w:val="0"/>
              <w:adjustRightInd w:val="0"/>
              <w:spacing w:before="60" w:after="60" w:line="240" w:lineRule="auto"/>
              <w:ind w:left="-10" w:firstLine="10"/>
              <w:rPr>
                <w:b/>
                <w:sz w:val="20"/>
                <w:lang w:eastAsia="en-US"/>
              </w:rPr>
            </w:pPr>
            <w:r w:rsidRPr="00F62798">
              <w:rPr>
                <w:b/>
                <w:sz w:val="20"/>
                <w:lang w:eastAsia="en-US"/>
              </w:rPr>
              <w:t>Arithmetic</w:t>
            </w:r>
            <w:r w:rsidR="00DC010B" w:rsidRPr="00F62798">
              <w:rPr>
                <w:b/>
                <w:sz w:val="20"/>
                <w:lang w:eastAsia="en-US"/>
              </w:rPr>
              <w:br/>
            </w:r>
            <w:r w:rsidRPr="00F62798">
              <w:rPr>
                <w:b/>
                <w:sz w:val="20"/>
                <w:lang w:eastAsia="en-US"/>
              </w:rPr>
              <w:t>Mean Return</w:t>
            </w:r>
          </w:p>
        </w:tc>
        <w:tc>
          <w:tcPr>
            <w:tcW w:w="1543" w:type="dxa"/>
            <w:vAlign w:val="center"/>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26.7%</w:t>
            </w:r>
          </w:p>
        </w:tc>
        <w:tc>
          <w:tcPr>
            <w:tcW w:w="1543" w:type="dxa"/>
            <w:vAlign w:val="center"/>
          </w:tcPr>
          <w:p w:rsidR="00AA31D3" w:rsidRPr="00F62798" w:rsidRDefault="00AA31D3" w:rsidP="00C07BB7">
            <w:pPr>
              <w:keepNext/>
              <w:keepLines/>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11.6%</w:t>
            </w:r>
          </w:p>
        </w:tc>
      </w:tr>
      <w:tr w:rsidR="00AA31D3" w:rsidRPr="00F62798" w:rsidTr="00DC010B">
        <w:trPr>
          <w:jc w:val="center"/>
        </w:trPr>
        <w:tc>
          <w:tcPr>
            <w:tcW w:w="1748" w:type="dxa"/>
            <w:hideMark/>
          </w:tcPr>
          <w:p w:rsidR="00AA31D3" w:rsidRPr="00F62798" w:rsidRDefault="00AA31D3" w:rsidP="00540A76">
            <w:pPr>
              <w:overflowPunct w:val="0"/>
              <w:autoSpaceDE w:val="0"/>
              <w:autoSpaceDN w:val="0"/>
              <w:adjustRightInd w:val="0"/>
              <w:spacing w:before="60" w:after="60" w:line="240" w:lineRule="auto"/>
              <w:ind w:left="-10" w:firstLine="10"/>
              <w:rPr>
                <w:b/>
                <w:sz w:val="20"/>
                <w:lang w:eastAsia="en-US"/>
              </w:rPr>
            </w:pPr>
            <w:r w:rsidRPr="00F62798">
              <w:rPr>
                <w:b/>
                <w:sz w:val="20"/>
                <w:lang w:eastAsia="en-US"/>
              </w:rPr>
              <w:t>Geometric</w:t>
            </w:r>
            <w:r w:rsidR="00DC010B" w:rsidRPr="00F62798">
              <w:rPr>
                <w:b/>
                <w:sz w:val="20"/>
                <w:lang w:eastAsia="en-US"/>
              </w:rPr>
              <w:br/>
            </w:r>
            <w:r w:rsidRPr="00F62798">
              <w:rPr>
                <w:b/>
                <w:sz w:val="20"/>
                <w:lang w:eastAsia="en-US"/>
              </w:rPr>
              <w:t>Mean Return</w:t>
            </w:r>
          </w:p>
        </w:tc>
        <w:tc>
          <w:tcPr>
            <w:tcW w:w="1543" w:type="dxa"/>
            <w:vAlign w:val="center"/>
          </w:tcPr>
          <w:p w:rsidR="00AA31D3" w:rsidRPr="00F62798" w:rsidRDefault="00AA31D3" w:rsidP="00540A76">
            <w:pPr>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11.6%</w:t>
            </w:r>
          </w:p>
        </w:tc>
        <w:tc>
          <w:tcPr>
            <w:tcW w:w="1543" w:type="dxa"/>
            <w:vAlign w:val="center"/>
          </w:tcPr>
          <w:p w:rsidR="00AA31D3" w:rsidRPr="00F62798" w:rsidRDefault="00AA31D3" w:rsidP="00540A76">
            <w:pPr>
              <w:overflowPunct w:val="0"/>
              <w:autoSpaceDE w:val="0"/>
              <w:autoSpaceDN w:val="0"/>
              <w:adjustRightInd w:val="0"/>
              <w:spacing w:before="60" w:after="60" w:line="240" w:lineRule="auto"/>
              <w:ind w:left="720" w:hanging="720"/>
              <w:jc w:val="center"/>
              <w:rPr>
                <w:b/>
                <w:sz w:val="20"/>
                <w:lang w:eastAsia="en-US"/>
              </w:rPr>
            </w:pPr>
            <w:r w:rsidRPr="00F62798">
              <w:rPr>
                <w:b/>
                <w:sz w:val="20"/>
                <w:lang w:eastAsia="en-US"/>
              </w:rPr>
              <w:t>11.6%</w:t>
            </w:r>
          </w:p>
        </w:tc>
      </w:tr>
    </w:tbl>
    <w:p w:rsidR="00AA31D3" w:rsidRPr="00255659" w:rsidRDefault="00AA31D3" w:rsidP="00F62798">
      <w:pPr>
        <w:pStyle w:val="answer"/>
        <w:spacing w:before="360"/>
        <w:ind w:firstLine="0"/>
        <w:rPr>
          <w:lang w:eastAsia="en-US"/>
        </w:rPr>
      </w:pPr>
      <w:r w:rsidRPr="00255659">
        <w:rPr>
          <w:lang w:eastAsia="en-US"/>
        </w:rPr>
        <w:t xml:space="preserve">If </w:t>
      </w:r>
      <w:r w:rsidR="006B5168" w:rsidRPr="00255659">
        <w:rPr>
          <w:lang w:eastAsia="en-US"/>
        </w:rPr>
        <w:t>Dr.</w:t>
      </w:r>
      <w:r w:rsidR="006B5168">
        <w:rPr>
          <w:lang w:eastAsia="en-US"/>
        </w:rPr>
        <w:t> </w:t>
      </w:r>
      <w:r w:rsidRPr="00255659">
        <w:rPr>
          <w:lang w:eastAsia="en-US"/>
        </w:rPr>
        <w:t>Woolridge were correct in arguing for the use of geometric means, investors would require the same expected return to invest in both of these stocks, even though the volatility of returns in Stock</w:t>
      </w:r>
      <w:r w:rsidR="00F62798">
        <w:rPr>
          <w:lang w:eastAsia="en-US"/>
        </w:rPr>
        <w:t> </w:t>
      </w:r>
      <w:r w:rsidRPr="00255659">
        <w:rPr>
          <w:lang w:eastAsia="en-US"/>
        </w:rPr>
        <w:t>A is very high while Stock</w:t>
      </w:r>
      <w:r w:rsidR="00F62798">
        <w:rPr>
          <w:lang w:eastAsia="en-US"/>
        </w:rPr>
        <w:t> </w:t>
      </w:r>
      <w:r w:rsidRPr="00255659">
        <w:rPr>
          <w:lang w:eastAsia="en-US"/>
        </w:rPr>
        <w:t>B exhibits perfectly stable returns. That is clearly contrary to the most basic financial theory, that is, the higher the risk the higher the expected return.</w:t>
      </w:r>
    </w:p>
    <w:p w:rsidR="00AA31D3" w:rsidRPr="00255659" w:rsidRDefault="00AA31D3" w:rsidP="00540A76">
      <w:pPr>
        <w:pStyle w:val="question"/>
      </w:pPr>
      <w:r w:rsidRPr="00255659">
        <w:rPr>
          <w:lang w:eastAsia="en-US"/>
        </w:rPr>
        <w:lastRenderedPageBreak/>
        <w:t>Q.</w:t>
      </w:r>
      <w:r w:rsidRPr="00255659">
        <w:rPr>
          <w:lang w:eastAsia="en-US"/>
        </w:rPr>
        <w:tab/>
      </w:r>
      <w:r w:rsidR="000A7CDF" w:rsidRPr="00255659">
        <w:rPr>
          <w:lang w:eastAsia="en-US"/>
        </w:rPr>
        <w:t>Does</w:t>
      </w:r>
      <w:r w:rsidR="00F62798">
        <w:rPr>
          <w:lang w:eastAsia="en-US"/>
        </w:rPr>
        <w:t xml:space="preserve"> </w:t>
      </w:r>
      <w:r w:rsidR="006B5168" w:rsidRPr="00255659">
        <w:rPr>
          <w:lang w:eastAsia="en-US"/>
        </w:rPr>
        <w:t>Dr.</w:t>
      </w:r>
      <w:r w:rsidR="006B5168">
        <w:rPr>
          <w:lang w:eastAsia="en-US"/>
        </w:rPr>
        <w:t> </w:t>
      </w:r>
      <w:r w:rsidR="000A7CDF" w:rsidRPr="00255659">
        <w:rPr>
          <w:lang w:eastAsia="en-US"/>
        </w:rPr>
        <w:t xml:space="preserve">Woolridge provide an example </w:t>
      </w:r>
      <w:r w:rsidR="00F62798">
        <w:rPr>
          <w:lang w:eastAsia="en-US"/>
        </w:rPr>
        <w:t xml:space="preserve">that </w:t>
      </w:r>
      <w:r w:rsidR="000A7CDF" w:rsidRPr="00255659">
        <w:rPr>
          <w:lang w:eastAsia="en-US"/>
        </w:rPr>
        <w:t>attempts to show that geometric means accurately compute the return that an investor might realize from investing in a volatile portfolio</w:t>
      </w:r>
      <w:r w:rsidRPr="00255659">
        <w:rPr>
          <w:lang w:eastAsia="en-US"/>
        </w:rPr>
        <w:t>?</w:t>
      </w:r>
    </w:p>
    <w:p w:rsidR="00F62798" w:rsidRDefault="00AA31D3" w:rsidP="00540A76">
      <w:pPr>
        <w:pStyle w:val="answer"/>
        <w:rPr>
          <w:lang w:eastAsia="en-US"/>
        </w:rPr>
      </w:pPr>
      <w:r w:rsidRPr="00255659">
        <w:rPr>
          <w:lang w:eastAsia="en-US"/>
        </w:rPr>
        <w:t>A.</w:t>
      </w:r>
      <w:r w:rsidRPr="00255659">
        <w:rPr>
          <w:lang w:eastAsia="en-US"/>
        </w:rPr>
        <w:tab/>
        <w:t>Yes.</w:t>
      </w:r>
      <w:r w:rsidR="00C91CE2">
        <w:rPr>
          <w:lang w:eastAsia="en-US"/>
        </w:rPr>
        <w:t xml:space="preserve"> </w:t>
      </w:r>
      <w:r w:rsidR="006B5168" w:rsidRPr="00255659">
        <w:rPr>
          <w:lang w:eastAsia="en-US"/>
        </w:rPr>
        <w:t>Dr.</w:t>
      </w:r>
      <w:r w:rsidR="006B5168">
        <w:rPr>
          <w:lang w:eastAsia="en-US"/>
        </w:rPr>
        <w:t> </w:t>
      </w:r>
      <w:r w:rsidRPr="00255659">
        <w:rPr>
          <w:lang w:eastAsia="en-US"/>
        </w:rPr>
        <w:t>Woolridge offers a numerical example aimed at justifying the use of the geometric mean.</w:t>
      </w:r>
      <w:r w:rsidR="00F62798">
        <w:rPr>
          <w:rStyle w:val="FootnoteReference"/>
          <w:lang w:eastAsia="en-US"/>
        </w:rPr>
        <w:footnoteReference w:id="44"/>
      </w:r>
      <w:r w:rsidR="00C91CE2">
        <w:rPr>
          <w:lang w:eastAsia="en-US"/>
        </w:rPr>
        <w:t xml:space="preserve"> </w:t>
      </w:r>
      <w:r w:rsidRPr="00255659">
        <w:rPr>
          <w:lang w:eastAsia="en-US"/>
        </w:rPr>
        <w:t xml:space="preserve">As </w:t>
      </w:r>
      <w:r w:rsidR="00F62798">
        <w:rPr>
          <w:lang w:eastAsia="en-US"/>
        </w:rPr>
        <w:t xml:space="preserve">demonstrated </w:t>
      </w:r>
      <w:r w:rsidRPr="00255659">
        <w:rPr>
          <w:lang w:eastAsia="en-US"/>
        </w:rPr>
        <w:t xml:space="preserve">below, </w:t>
      </w:r>
      <w:r w:rsidR="00F62798">
        <w:rPr>
          <w:lang w:eastAsia="en-US"/>
        </w:rPr>
        <w:t xml:space="preserve">Dr. Woolridge’s numerical </w:t>
      </w:r>
      <w:r w:rsidRPr="00255659">
        <w:rPr>
          <w:lang w:eastAsia="en-US"/>
        </w:rPr>
        <w:t>example fails miserably.</w:t>
      </w:r>
    </w:p>
    <w:p w:rsidR="00AA31D3" w:rsidRPr="00255659" w:rsidRDefault="00F62798" w:rsidP="00F62798">
      <w:pPr>
        <w:pStyle w:val="answer"/>
        <w:ind w:firstLine="0"/>
        <w:rPr>
          <w:lang w:eastAsia="en-US"/>
        </w:rPr>
      </w:pPr>
      <w:r>
        <w:rPr>
          <w:lang w:eastAsia="en-US"/>
        </w:rPr>
        <w:t xml:space="preserve">Dr. Woolridge’s </w:t>
      </w:r>
      <w:r w:rsidR="00AA31D3" w:rsidRPr="00255659">
        <w:rPr>
          <w:lang w:eastAsia="en-US"/>
        </w:rPr>
        <w:t>example posits a scenario where the return on a portfolio declines by 50</w:t>
      </w:r>
      <w:r w:rsidR="00DD2B52">
        <w:rPr>
          <w:lang w:eastAsia="en-US"/>
        </w:rPr>
        <w:t> percent</w:t>
      </w:r>
      <w:r w:rsidR="00AA31D3" w:rsidRPr="00255659">
        <w:rPr>
          <w:lang w:eastAsia="en-US"/>
        </w:rPr>
        <w:t xml:space="preserve"> in one year and doubles the next. The investor in that portfolio will realize a return equal to the geometric mean of the two returns</w:t>
      </w:r>
      <w:r>
        <w:rPr>
          <w:lang w:eastAsia="en-US"/>
        </w:rPr>
        <w:t xml:space="preserve"> (</w:t>
      </w:r>
      <w:r w:rsidR="00AA31D3" w:rsidRPr="00255659">
        <w:rPr>
          <w:lang w:eastAsia="en-US"/>
        </w:rPr>
        <w:t xml:space="preserve">i.e., zero </w:t>
      </w:r>
      <w:r>
        <w:rPr>
          <w:lang w:eastAsia="en-US"/>
        </w:rPr>
        <w:t>percent)</w:t>
      </w:r>
      <w:r w:rsidR="00AA31D3" w:rsidRPr="00255659">
        <w:rPr>
          <w:lang w:eastAsia="en-US"/>
        </w:rPr>
        <w:t>.</w:t>
      </w:r>
      <w:r w:rsidR="00C91CE2">
        <w:rPr>
          <w:lang w:eastAsia="en-US"/>
        </w:rPr>
        <w:t xml:space="preserve"> </w:t>
      </w:r>
      <w:r w:rsidR="00AA31D3" w:rsidRPr="00255659">
        <w:rPr>
          <w:lang w:eastAsia="en-US"/>
        </w:rPr>
        <w:t>However, that example addresses achieved returns, not expected returns.</w:t>
      </w:r>
      <w:r w:rsidR="00C91CE2">
        <w:rPr>
          <w:lang w:eastAsia="en-US"/>
        </w:rPr>
        <w:t xml:space="preserve"> </w:t>
      </w:r>
      <w:r w:rsidR="00AA31D3" w:rsidRPr="00255659">
        <w:rPr>
          <w:lang w:eastAsia="en-US"/>
        </w:rPr>
        <w:t>Based on experience, an investor may expect returns to vary between -50</w:t>
      </w:r>
      <w:r>
        <w:rPr>
          <w:lang w:eastAsia="en-US"/>
        </w:rPr>
        <w:t xml:space="preserve"> percent </w:t>
      </w:r>
      <w:r w:rsidR="00AA31D3" w:rsidRPr="00255659">
        <w:rPr>
          <w:lang w:eastAsia="en-US"/>
        </w:rPr>
        <w:t>and +100</w:t>
      </w:r>
      <w:r>
        <w:rPr>
          <w:lang w:eastAsia="en-US"/>
        </w:rPr>
        <w:t xml:space="preserve"> percent </w:t>
      </w:r>
      <w:r w:rsidR="00AA31D3" w:rsidRPr="00255659">
        <w:rPr>
          <w:lang w:eastAsia="en-US"/>
        </w:rPr>
        <w:t>but will be uncertain in any future year what the outcome will be.</w:t>
      </w:r>
      <w:r w:rsidR="00C91CE2">
        <w:rPr>
          <w:lang w:eastAsia="en-US"/>
        </w:rPr>
        <w:t xml:space="preserve"> </w:t>
      </w:r>
      <w:r w:rsidR="00AA31D3" w:rsidRPr="00255659">
        <w:rPr>
          <w:lang w:eastAsia="en-US"/>
        </w:rPr>
        <w:t>Assuming a 50</w:t>
      </w:r>
      <w:r>
        <w:rPr>
          <w:lang w:eastAsia="en-US"/>
        </w:rPr>
        <w:t xml:space="preserve"> percent </w:t>
      </w:r>
      <w:r w:rsidR="00AA31D3" w:rsidRPr="00255659">
        <w:rPr>
          <w:lang w:eastAsia="en-US"/>
        </w:rPr>
        <w:t>chance of either outcome, the investor</w:t>
      </w:r>
      <w:r w:rsidR="00255659">
        <w:rPr>
          <w:lang w:eastAsia="en-US"/>
        </w:rPr>
        <w:t>’</w:t>
      </w:r>
      <w:r w:rsidR="00AA31D3" w:rsidRPr="00255659">
        <w:rPr>
          <w:lang w:eastAsia="en-US"/>
        </w:rPr>
        <w:t>s expected return in any single year will be the arithmetic mean, or average, of the two possible outcomes</w:t>
      </w:r>
      <w:r>
        <w:rPr>
          <w:lang w:eastAsia="en-US"/>
        </w:rPr>
        <w:t xml:space="preserve"> (</w:t>
      </w:r>
      <w:r w:rsidR="00AA31D3" w:rsidRPr="00255659">
        <w:rPr>
          <w:lang w:eastAsia="en-US"/>
        </w:rPr>
        <w:t>i.e., 25</w:t>
      </w:r>
      <w:r>
        <w:rPr>
          <w:lang w:eastAsia="en-US"/>
        </w:rPr>
        <w:t xml:space="preserve"> percent </w:t>
      </w:r>
      <w:r w:rsidR="00B46635">
        <w:rPr>
          <w:lang w:eastAsia="en-US"/>
        </w:rPr>
        <w:t>(</w:t>
      </w:r>
      <w:r w:rsidR="00AA31D3" w:rsidRPr="00255659">
        <w:rPr>
          <w:lang w:eastAsia="en-US"/>
        </w:rPr>
        <w:t>(-50% + 100%)</w:t>
      </w:r>
      <w:r w:rsidR="00B46635">
        <w:rPr>
          <w:lang w:eastAsia="en-US"/>
        </w:rPr>
        <w:t xml:space="preserve"> ÷ </w:t>
      </w:r>
      <w:r w:rsidR="00AA31D3" w:rsidRPr="00255659">
        <w:rPr>
          <w:lang w:eastAsia="en-US"/>
        </w:rPr>
        <w:t>2</w:t>
      </w:r>
      <w:r w:rsidR="00B46635">
        <w:rPr>
          <w:lang w:eastAsia="en-US"/>
        </w:rPr>
        <w:t>)</w:t>
      </w:r>
      <w:r w:rsidR="00516646">
        <w:rPr>
          <w:lang w:eastAsia="en-US"/>
        </w:rPr>
        <w:t>)</w:t>
      </w:r>
      <w:r w:rsidR="00AA31D3" w:rsidRPr="00255659">
        <w:rPr>
          <w:lang w:eastAsia="en-US"/>
        </w:rPr>
        <w:t xml:space="preserve">. Thus, the required expected return, or </w:t>
      </w:r>
      <w:r w:rsidR="00B46635">
        <w:rPr>
          <w:lang w:eastAsia="en-US"/>
        </w:rPr>
        <w:t xml:space="preserve">return on </w:t>
      </w:r>
      <w:r w:rsidR="00AA31D3" w:rsidRPr="00255659">
        <w:rPr>
          <w:lang w:eastAsia="en-US"/>
        </w:rPr>
        <w:t>equity, is equal to the arithmetic mean return of 25</w:t>
      </w:r>
      <w:r w:rsidR="00B46635">
        <w:rPr>
          <w:lang w:eastAsia="en-US"/>
        </w:rPr>
        <w:t> percent</w:t>
      </w:r>
      <w:r w:rsidR="00AA31D3" w:rsidRPr="00255659">
        <w:rPr>
          <w:lang w:eastAsia="en-US"/>
        </w:rPr>
        <w:t>, even though</w:t>
      </w:r>
      <w:r w:rsidR="00B46635">
        <w:rPr>
          <w:lang w:eastAsia="en-US"/>
        </w:rPr>
        <w:t>,</w:t>
      </w:r>
      <w:r w:rsidR="00AA31D3" w:rsidRPr="00255659">
        <w:rPr>
          <w:lang w:eastAsia="en-US"/>
        </w:rPr>
        <w:t xml:space="preserve"> in hindsight, the achieved return could turn out to be zero percent.</w:t>
      </w:r>
      <w:r w:rsidR="00C91CE2">
        <w:rPr>
          <w:lang w:eastAsia="en-US"/>
        </w:rPr>
        <w:t xml:space="preserve"> </w:t>
      </w:r>
      <w:r w:rsidR="00AA31D3" w:rsidRPr="00255659">
        <w:rPr>
          <w:lang w:eastAsia="en-US"/>
        </w:rPr>
        <w:t>Stated in everyday practical terms, it seems unlikely that an investor viewing the volatile returns on an investment of -50</w:t>
      </w:r>
      <w:r w:rsidR="00B46635">
        <w:rPr>
          <w:lang w:eastAsia="en-US"/>
        </w:rPr>
        <w:t xml:space="preserve"> percent </w:t>
      </w:r>
      <w:r w:rsidR="00AA31D3" w:rsidRPr="00255659">
        <w:rPr>
          <w:lang w:eastAsia="en-US"/>
        </w:rPr>
        <w:t>in year one and +100</w:t>
      </w:r>
      <w:r w:rsidR="00B46635">
        <w:rPr>
          <w:lang w:eastAsia="en-US"/>
        </w:rPr>
        <w:t xml:space="preserve"> percent </w:t>
      </w:r>
      <w:r w:rsidR="00AA31D3" w:rsidRPr="00255659">
        <w:rPr>
          <w:lang w:eastAsia="en-US"/>
        </w:rPr>
        <w:t xml:space="preserve">in year two would conclude that the expected return in year three is zero as </w:t>
      </w:r>
      <w:r w:rsidR="006B5168" w:rsidRPr="00255659">
        <w:rPr>
          <w:lang w:eastAsia="en-US"/>
        </w:rPr>
        <w:t>Dr.</w:t>
      </w:r>
      <w:r w:rsidR="006B5168">
        <w:rPr>
          <w:lang w:eastAsia="en-US"/>
        </w:rPr>
        <w:t> </w:t>
      </w:r>
      <w:r w:rsidR="00AA31D3" w:rsidRPr="00255659">
        <w:rPr>
          <w:lang w:eastAsia="en-US"/>
        </w:rPr>
        <w:t>Woolridge would</w:t>
      </w:r>
      <w:r w:rsidR="00B46635">
        <w:rPr>
          <w:lang w:eastAsia="en-US"/>
        </w:rPr>
        <w:t xml:space="preserve"> suggest</w:t>
      </w:r>
      <w:r w:rsidR="00AA31D3" w:rsidRPr="00255659">
        <w:rPr>
          <w:lang w:eastAsia="en-US"/>
        </w:rPr>
        <w:t>.</w:t>
      </w:r>
    </w:p>
    <w:p w:rsidR="00AA31D3" w:rsidRPr="00255659" w:rsidRDefault="00291BD1" w:rsidP="00540A76">
      <w:pPr>
        <w:pStyle w:val="Heading4"/>
      </w:pPr>
      <w:bookmarkStart w:id="22" w:name="_Toc489887870"/>
      <w:r>
        <w:rPr>
          <w:lang w:eastAsia="en-US"/>
        </w:rPr>
        <w:lastRenderedPageBreak/>
        <w:t>c</w:t>
      </w:r>
      <w:r w:rsidR="00AA31D3" w:rsidRPr="00255659">
        <w:rPr>
          <w:lang w:eastAsia="en-US"/>
        </w:rPr>
        <w:t>.</w:t>
      </w:r>
      <w:r w:rsidR="00AA31D3" w:rsidRPr="00255659">
        <w:rPr>
          <w:lang w:eastAsia="en-US"/>
        </w:rPr>
        <w:tab/>
      </w:r>
      <w:r w:rsidR="004A45F4">
        <w:rPr>
          <w:lang w:eastAsia="en-US"/>
        </w:rPr>
        <w:t>Dr. Woolridge Should Have Used H</w:t>
      </w:r>
      <w:r w:rsidR="004A45F4" w:rsidRPr="00255659">
        <w:rPr>
          <w:lang w:eastAsia="en-US"/>
        </w:rPr>
        <w:t xml:space="preserve">istorical </w:t>
      </w:r>
      <w:r w:rsidR="004A45F4">
        <w:rPr>
          <w:lang w:eastAsia="en-US"/>
        </w:rPr>
        <w:t>Market Risk Premium</w:t>
      </w:r>
      <w:r w:rsidR="004A45F4" w:rsidRPr="00255659">
        <w:rPr>
          <w:lang w:eastAsia="en-US"/>
        </w:rPr>
        <w:t xml:space="preserve"> </w:t>
      </w:r>
      <w:r w:rsidR="004A45F4">
        <w:rPr>
          <w:lang w:eastAsia="en-US"/>
        </w:rPr>
        <w:t>E</w:t>
      </w:r>
      <w:r w:rsidR="004A45F4" w:rsidRPr="00255659">
        <w:rPr>
          <w:lang w:eastAsia="en-US"/>
        </w:rPr>
        <w:t>stimate</w:t>
      </w:r>
      <w:r w:rsidR="004A45F4">
        <w:rPr>
          <w:lang w:eastAsia="en-US"/>
        </w:rPr>
        <w:t>s</w:t>
      </w:r>
      <w:r w:rsidR="004A45F4" w:rsidRPr="00255659">
        <w:rPr>
          <w:lang w:eastAsia="en-US"/>
        </w:rPr>
        <w:t xml:space="preserve"> </w:t>
      </w:r>
      <w:r w:rsidR="004A45F4">
        <w:rPr>
          <w:lang w:eastAsia="en-US"/>
        </w:rPr>
        <w:t xml:space="preserve">That Use </w:t>
      </w:r>
      <w:r w:rsidR="004A45F4" w:rsidRPr="00255659">
        <w:rPr>
          <w:lang w:eastAsia="en-US"/>
        </w:rPr>
        <w:t xml:space="preserve">the </w:t>
      </w:r>
      <w:r w:rsidR="004A45F4">
        <w:rPr>
          <w:lang w:eastAsia="en-US"/>
        </w:rPr>
        <w:t>I</w:t>
      </w:r>
      <w:r w:rsidR="004A45F4" w:rsidRPr="00255659">
        <w:rPr>
          <w:lang w:eastAsia="en-US"/>
        </w:rPr>
        <w:t xml:space="preserve">ncome </w:t>
      </w:r>
      <w:r w:rsidR="004A45F4">
        <w:rPr>
          <w:lang w:eastAsia="en-US"/>
        </w:rPr>
        <w:t>C</w:t>
      </w:r>
      <w:r w:rsidR="004A45F4" w:rsidRPr="00255659">
        <w:rPr>
          <w:lang w:eastAsia="en-US"/>
        </w:rPr>
        <w:t xml:space="preserve">omponent of </w:t>
      </w:r>
      <w:r w:rsidR="004A45F4">
        <w:rPr>
          <w:lang w:eastAsia="en-US"/>
        </w:rPr>
        <w:t>B</w:t>
      </w:r>
      <w:r w:rsidR="004A45F4" w:rsidRPr="00255659">
        <w:rPr>
          <w:lang w:eastAsia="en-US"/>
        </w:rPr>
        <w:t xml:space="preserve">ond </w:t>
      </w:r>
      <w:r w:rsidR="004A45F4">
        <w:rPr>
          <w:lang w:eastAsia="en-US"/>
        </w:rPr>
        <w:t>R</w:t>
      </w:r>
      <w:r w:rsidR="004A45F4" w:rsidRPr="00255659">
        <w:rPr>
          <w:lang w:eastAsia="en-US"/>
        </w:rPr>
        <w:t>eturns</w:t>
      </w:r>
      <w:bookmarkEnd w:id="22"/>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Should historical </w:t>
      </w:r>
      <w:r w:rsidR="00B46635">
        <w:rPr>
          <w:lang w:eastAsia="en-US"/>
        </w:rPr>
        <w:t>market risk premiums</w:t>
      </w:r>
      <w:r w:rsidR="000A7CDF" w:rsidRPr="00255659">
        <w:rPr>
          <w:lang w:eastAsia="en-US"/>
        </w:rPr>
        <w:t xml:space="preserve"> be estimated using the income component of bond returns?</w:t>
      </w:r>
    </w:p>
    <w:p w:rsidR="00AA31D3" w:rsidRPr="00255659" w:rsidRDefault="000A7CDF" w:rsidP="00540A76">
      <w:pPr>
        <w:pStyle w:val="answer"/>
        <w:rPr>
          <w:lang w:eastAsia="en-US"/>
        </w:rPr>
      </w:pPr>
      <w:r w:rsidRPr="00255659">
        <w:rPr>
          <w:lang w:eastAsia="en-US"/>
        </w:rPr>
        <w:t>A.</w:t>
      </w:r>
      <w:r w:rsidR="00AA31D3" w:rsidRPr="00255659">
        <w:rPr>
          <w:lang w:eastAsia="en-US"/>
        </w:rPr>
        <w:tab/>
        <w:t>Yes.</w:t>
      </w:r>
      <w:r w:rsidR="00C91CE2">
        <w:rPr>
          <w:lang w:eastAsia="en-US"/>
        </w:rPr>
        <w:t xml:space="preserve"> </w:t>
      </w:r>
      <w:r w:rsidR="00B46635">
        <w:rPr>
          <w:lang w:eastAsia="en-US"/>
        </w:rPr>
        <w:t>H</w:t>
      </w:r>
      <w:r w:rsidR="00B46635" w:rsidRPr="00255659">
        <w:rPr>
          <w:lang w:eastAsia="en-US"/>
        </w:rPr>
        <w:t xml:space="preserve">istorical </w:t>
      </w:r>
      <w:r w:rsidR="00B46635">
        <w:rPr>
          <w:lang w:eastAsia="en-US"/>
        </w:rPr>
        <w:t>market risk premiums</w:t>
      </w:r>
      <w:r w:rsidR="00B46635" w:rsidRPr="00255659">
        <w:rPr>
          <w:lang w:eastAsia="en-US"/>
        </w:rPr>
        <w:t xml:space="preserve"> </w:t>
      </w:r>
      <w:r w:rsidR="00B46635">
        <w:rPr>
          <w:lang w:eastAsia="en-US"/>
        </w:rPr>
        <w:t xml:space="preserve">should </w:t>
      </w:r>
      <w:r w:rsidR="00B46635" w:rsidRPr="00255659">
        <w:rPr>
          <w:lang w:eastAsia="en-US"/>
        </w:rPr>
        <w:t>be estimated using the income component of bond returns</w:t>
      </w:r>
      <w:r w:rsidR="00B46635">
        <w:rPr>
          <w:lang w:eastAsia="en-US"/>
        </w:rPr>
        <w:t xml:space="preserve">. </w:t>
      </w:r>
      <w:r w:rsidR="00AA31D3" w:rsidRPr="00255659">
        <w:rPr>
          <w:lang w:eastAsia="en-US"/>
        </w:rPr>
        <w:t>As discussed in my direct testimony, the income component (i.e., the coupon rate) is a far better estimate of expected return than the total return (i.e., the coupon rate plus capital gains)</w:t>
      </w:r>
      <w:r w:rsidR="00B46635">
        <w:rPr>
          <w:lang w:eastAsia="en-US"/>
        </w:rPr>
        <w:t xml:space="preserve"> </w:t>
      </w:r>
      <w:r w:rsidR="00AA31D3" w:rsidRPr="00255659">
        <w:rPr>
          <w:lang w:eastAsia="en-US"/>
        </w:rPr>
        <w:t xml:space="preserve">because realized capital gains/losses are largely unanticipated by investors. For that very reason, the aforementioned </w:t>
      </w:r>
      <w:r w:rsidR="00B46635">
        <w:rPr>
          <w:lang w:eastAsia="en-US"/>
        </w:rPr>
        <w:t xml:space="preserve">Duff &amp; Phelps </w:t>
      </w:r>
      <w:r w:rsidR="00AA31D3" w:rsidRPr="00255659">
        <w:rPr>
          <w:lang w:eastAsia="en-US"/>
        </w:rPr>
        <w:t xml:space="preserve">publication recommends use of the </w:t>
      </w:r>
      <w:r w:rsidR="00AA31D3" w:rsidRPr="00255659">
        <w:rPr>
          <w:i/>
          <w:lang w:eastAsia="en-US"/>
        </w:rPr>
        <w:t>income</w:t>
      </w:r>
      <w:r w:rsidR="00AA31D3" w:rsidRPr="00255659">
        <w:rPr>
          <w:lang w:eastAsia="en-US"/>
        </w:rPr>
        <w:t xml:space="preserve"> return on government bonds.</w:t>
      </w:r>
      <w:r w:rsidR="00C91CE2">
        <w:rPr>
          <w:lang w:eastAsia="en-US"/>
        </w:rPr>
        <w:t xml:space="preserve"> </w:t>
      </w:r>
      <w:r w:rsidR="00AA31D3" w:rsidRPr="00255659">
        <w:rPr>
          <w:lang w:eastAsia="en-US"/>
        </w:rPr>
        <w:t xml:space="preserve">In other words, bond investors focus on income rather than realized capital gains/losses. This correction alone would increase </w:t>
      </w:r>
      <w:r w:rsidR="006B5168" w:rsidRPr="00255659">
        <w:rPr>
          <w:lang w:eastAsia="en-US"/>
        </w:rPr>
        <w:t>Dr.</w:t>
      </w:r>
      <w:r w:rsidR="006B5168">
        <w:rPr>
          <w:lang w:eastAsia="en-US"/>
        </w:rPr>
        <w:t> </w:t>
      </w:r>
      <w:r w:rsidR="00AA31D3" w:rsidRPr="00255659">
        <w:rPr>
          <w:lang w:eastAsia="en-US"/>
        </w:rPr>
        <w:t>Woolridge</w:t>
      </w:r>
      <w:r w:rsidR="00255659">
        <w:rPr>
          <w:lang w:eastAsia="en-US"/>
        </w:rPr>
        <w:t>’</w:t>
      </w:r>
      <w:r w:rsidR="00AA31D3" w:rsidRPr="00255659">
        <w:rPr>
          <w:lang w:eastAsia="en-US"/>
        </w:rPr>
        <w:t xml:space="preserve">s </w:t>
      </w:r>
      <w:r w:rsidR="00B46635">
        <w:rPr>
          <w:lang w:eastAsia="en-US"/>
        </w:rPr>
        <w:t xml:space="preserve">market risk premium </w:t>
      </w:r>
      <w:r w:rsidR="00AA31D3" w:rsidRPr="00255659">
        <w:rPr>
          <w:lang w:eastAsia="en-US"/>
        </w:rPr>
        <w:t>estimate by approximately 60</w:t>
      </w:r>
      <w:r w:rsidR="00B46635">
        <w:rPr>
          <w:lang w:eastAsia="en-US"/>
        </w:rPr>
        <w:t> </w:t>
      </w:r>
      <w:r w:rsidR="00AA31D3" w:rsidRPr="00255659">
        <w:rPr>
          <w:lang w:eastAsia="en-US"/>
        </w:rPr>
        <w:t xml:space="preserve">basis points </w:t>
      </w:r>
      <w:r w:rsidR="00B46635">
        <w:rPr>
          <w:lang w:eastAsia="en-US"/>
        </w:rPr>
        <w:t xml:space="preserve">(i.e., 0.6 percent) </w:t>
      </w:r>
      <w:r w:rsidR="00AA31D3" w:rsidRPr="00255659">
        <w:rPr>
          <w:lang w:eastAsia="en-US"/>
        </w:rPr>
        <w:t xml:space="preserve">in the historical studies </w:t>
      </w:r>
      <w:r w:rsidR="00B46635">
        <w:rPr>
          <w:lang w:eastAsia="en-US"/>
        </w:rPr>
        <w:t>to which he cites</w:t>
      </w:r>
      <w:r w:rsidR="00AA31D3" w:rsidRPr="00255659">
        <w:rPr>
          <w:lang w:eastAsia="en-US"/>
        </w:rPr>
        <w:t xml:space="preserve">, which is the historical difference in the </w:t>
      </w:r>
      <w:r w:rsidR="004A45F4">
        <w:rPr>
          <w:lang w:eastAsia="en-US"/>
        </w:rPr>
        <w:t xml:space="preserve">market risk premium </w:t>
      </w:r>
      <w:r w:rsidR="00AA31D3" w:rsidRPr="00255659">
        <w:rPr>
          <w:lang w:eastAsia="en-US"/>
        </w:rPr>
        <w:t xml:space="preserve">based on total bond returns and the </w:t>
      </w:r>
      <w:r w:rsidR="004A45F4">
        <w:rPr>
          <w:lang w:eastAsia="en-US"/>
        </w:rPr>
        <w:t xml:space="preserve">market risk premium </w:t>
      </w:r>
      <w:r w:rsidR="00AA31D3" w:rsidRPr="00255659">
        <w:rPr>
          <w:lang w:eastAsia="en-US"/>
        </w:rPr>
        <w:t>based on bond income returns.</w:t>
      </w:r>
      <w:r w:rsidR="004A45F4">
        <w:rPr>
          <w:rStyle w:val="FootnoteReference"/>
          <w:lang w:eastAsia="en-US"/>
        </w:rPr>
        <w:footnoteReference w:id="45"/>
      </w:r>
    </w:p>
    <w:p w:rsidR="00AA31D3" w:rsidRPr="00255659" w:rsidRDefault="00291BD1" w:rsidP="00540A76">
      <w:pPr>
        <w:pStyle w:val="Heading4"/>
      </w:pPr>
      <w:bookmarkStart w:id="23" w:name="_Toc489887871"/>
      <w:r>
        <w:rPr>
          <w:lang w:eastAsia="en-US"/>
        </w:rPr>
        <w:lastRenderedPageBreak/>
        <w:t>d</w:t>
      </w:r>
      <w:r w:rsidR="00AA31D3" w:rsidRPr="00255659">
        <w:rPr>
          <w:lang w:eastAsia="en-US"/>
        </w:rPr>
        <w:t>.</w:t>
      </w:r>
      <w:r w:rsidR="00AA31D3" w:rsidRPr="00255659">
        <w:rPr>
          <w:lang w:eastAsia="en-US"/>
        </w:rPr>
        <w:tab/>
      </w:r>
      <w:r w:rsidR="00B02AD3" w:rsidRPr="00255659">
        <w:rPr>
          <w:lang w:eastAsia="en-US"/>
        </w:rPr>
        <w:t>Regulatory Decisions</w:t>
      </w:r>
      <w:bookmarkEnd w:id="23"/>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Is </w:t>
      </w:r>
      <w:r w:rsidR="006B5168" w:rsidRPr="00255659">
        <w:rPr>
          <w:lang w:eastAsia="en-US"/>
        </w:rPr>
        <w:t>Dr.</w:t>
      </w:r>
      <w:r w:rsidR="006B5168">
        <w:rPr>
          <w:lang w:eastAsia="en-US"/>
        </w:rPr>
        <w:t> </w:t>
      </w:r>
      <w:r w:rsidR="000A7CDF" w:rsidRPr="00255659">
        <w:rPr>
          <w:lang w:eastAsia="en-US"/>
        </w:rPr>
        <w:t>Woolridge</w:t>
      </w:r>
      <w:r w:rsidR="00255659">
        <w:rPr>
          <w:lang w:eastAsia="en-US"/>
        </w:rPr>
        <w:t>’</w:t>
      </w:r>
      <w:r w:rsidR="000A7CDF" w:rsidRPr="00255659">
        <w:rPr>
          <w:lang w:eastAsia="en-US"/>
        </w:rPr>
        <w:t xml:space="preserve">s </w:t>
      </w:r>
      <w:r w:rsidR="004A45F4">
        <w:rPr>
          <w:lang w:eastAsia="en-US"/>
        </w:rPr>
        <w:t xml:space="preserve">market risk premium </w:t>
      </w:r>
      <w:r w:rsidR="000A7CDF" w:rsidRPr="00255659">
        <w:rPr>
          <w:lang w:eastAsia="en-US"/>
        </w:rPr>
        <w:t>estimate of 5.5</w:t>
      </w:r>
      <w:r w:rsidR="004A45F4">
        <w:rPr>
          <w:lang w:eastAsia="en-US"/>
        </w:rPr>
        <w:t xml:space="preserve"> percent </w:t>
      </w:r>
      <w:r w:rsidR="000A7CDF" w:rsidRPr="00255659">
        <w:rPr>
          <w:lang w:eastAsia="en-US"/>
        </w:rPr>
        <w:t>consistent with regulatory decisions</w:t>
      </w:r>
      <w:r w:rsidR="004A45F4">
        <w:rPr>
          <w:lang w:eastAsia="en-US"/>
        </w:rPr>
        <w:t xml:space="preserve"> of state utility commissions</w:t>
      </w:r>
      <w:r w:rsidRPr="00255659">
        <w:rPr>
          <w:lang w:eastAsia="en-US"/>
        </w:rPr>
        <w:t>?</w:t>
      </w:r>
    </w:p>
    <w:p w:rsidR="00AA31D3" w:rsidRPr="00255659" w:rsidRDefault="00AA31D3" w:rsidP="004A45F4">
      <w:pPr>
        <w:pStyle w:val="answer"/>
        <w:rPr>
          <w:lang w:eastAsia="en-US"/>
        </w:rPr>
      </w:pPr>
      <w:r w:rsidRPr="00255659">
        <w:rPr>
          <w:lang w:eastAsia="en-US"/>
        </w:rPr>
        <w:t>A.</w:t>
      </w:r>
      <w:r w:rsidRPr="00255659">
        <w:rPr>
          <w:lang w:eastAsia="en-US"/>
        </w:rPr>
        <w:tab/>
        <w:t>No.</w:t>
      </w:r>
      <w:r w:rsidR="00C91CE2">
        <w:rPr>
          <w:lang w:eastAsia="en-US"/>
        </w:rPr>
        <w:t xml:space="preserve"> </w:t>
      </w:r>
      <w:r w:rsidR="004A45F4" w:rsidRPr="00255659">
        <w:rPr>
          <w:lang w:eastAsia="en-US"/>
        </w:rPr>
        <w:t>Dr.</w:t>
      </w:r>
      <w:r w:rsidR="004A45F4">
        <w:rPr>
          <w:lang w:eastAsia="en-US"/>
        </w:rPr>
        <w:t> </w:t>
      </w:r>
      <w:r w:rsidR="004A45F4" w:rsidRPr="00255659">
        <w:rPr>
          <w:lang w:eastAsia="en-US"/>
        </w:rPr>
        <w:t>Woolridge</w:t>
      </w:r>
      <w:r w:rsidR="004A45F4">
        <w:rPr>
          <w:lang w:eastAsia="en-US"/>
        </w:rPr>
        <w:t>’</w:t>
      </w:r>
      <w:r w:rsidR="004A45F4" w:rsidRPr="00255659">
        <w:rPr>
          <w:lang w:eastAsia="en-US"/>
        </w:rPr>
        <w:t xml:space="preserve">s </w:t>
      </w:r>
      <w:r w:rsidR="004A45F4">
        <w:rPr>
          <w:lang w:eastAsia="en-US"/>
        </w:rPr>
        <w:t xml:space="preserve">market risk premium </w:t>
      </w:r>
      <w:r w:rsidR="004A45F4" w:rsidRPr="00255659">
        <w:rPr>
          <w:lang w:eastAsia="en-US"/>
        </w:rPr>
        <w:t>estimate of 5.5</w:t>
      </w:r>
      <w:r w:rsidR="004A45F4">
        <w:rPr>
          <w:lang w:eastAsia="en-US"/>
        </w:rPr>
        <w:t> percent is in</w:t>
      </w:r>
      <w:r w:rsidR="004A45F4" w:rsidRPr="00255659">
        <w:rPr>
          <w:lang w:eastAsia="en-US"/>
        </w:rPr>
        <w:t>consistent with regulatory decisions</w:t>
      </w:r>
      <w:r w:rsidR="004A45F4">
        <w:rPr>
          <w:lang w:eastAsia="en-US"/>
        </w:rPr>
        <w:t xml:space="preserve"> of state utility commissions. </w:t>
      </w:r>
      <w:r w:rsidRPr="00255659">
        <w:rPr>
          <w:lang w:eastAsia="en-US"/>
        </w:rPr>
        <w:t xml:space="preserve">It is useful to examine the </w:t>
      </w:r>
      <w:r w:rsidR="004A45F4">
        <w:rPr>
          <w:lang w:eastAsia="en-US"/>
        </w:rPr>
        <w:t xml:space="preserve">market risk premium </w:t>
      </w:r>
      <w:r w:rsidRPr="00255659">
        <w:rPr>
          <w:lang w:eastAsia="en-US"/>
        </w:rPr>
        <w:t xml:space="preserve">estimates implicit in </w:t>
      </w:r>
      <w:r w:rsidR="004A45F4">
        <w:rPr>
          <w:lang w:eastAsia="en-US"/>
        </w:rPr>
        <w:t>allowed returns on equity implicit in decisions by state utility commissions</w:t>
      </w:r>
      <w:r w:rsidRPr="00255659">
        <w:rPr>
          <w:lang w:eastAsia="en-US"/>
        </w:rPr>
        <w:t>.</w:t>
      </w:r>
      <w:r w:rsidR="00C91CE2">
        <w:rPr>
          <w:lang w:eastAsia="en-US"/>
        </w:rPr>
        <w:t xml:space="preserve"> </w:t>
      </w:r>
      <w:r w:rsidRPr="00255659">
        <w:rPr>
          <w:lang w:eastAsia="en-US"/>
        </w:rPr>
        <w:t xml:space="preserve">The CAPM framework can be used to quantify the </w:t>
      </w:r>
      <w:r w:rsidR="004A45F4">
        <w:rPr>
          <w:lang w:eastAsia="en-US"/>
        </w:rPr>
        <w:t xml:space="preserve">market risk premium </w:t>
      </w:r>
      <w:r w:rsidRPr="00255659">
        <w:rPr>
          <w:lang w:eastAsia="en-US"/>
        </w:rPr>
        <w:t xml:space="preserve">implicit in the allowed </w:t>
      </w:r>
      <w:r w:rsidR="00E9355C">
        <w:rPr>
          <w:lang w:eastAsia="en-US"/>
        </w:rPr>
        <w:t>returns on equity</w:t>
      </w:r>
      <w:r w:rsidRPr="00255659">
        <w:rPr>
          <w:lang w:eastAsia="en-US"/>
        </w:rPr>
        <w:t>.</w:t>
      </w:r>
      <w:r w:rsidR="00C91CE2">
        <w:rPr>
          <w:lang w:eastAsia="en-US"/>
        </w:rPr>
        <w:t xml:space="preserve"> </w:t>
      </w:r>
      <w:r w:rsidRPr="00255659">
        <w:rPr>
          <w:lang w:eastAsia="en-US"/>
        </w:rPr>
        <w:t>According to the CAPM, the risk premium is equal to beta times the market risk premium:</w:t>
      </w:r>
    </w:p>
    <w:p w:rsidR="00B02AD3" w:rsidRPr="00255659" w:rsidRDefault="00AA31D3" w:rsidP="00540A76">
      <w:pPr>
        <w:pStyle w:val="BlockQuote"/>
        <w:tabs>
          <w:tab w:val="left" w:pos="3060"/>
          <w:tab w:val="left" w:pos="3420"/>
        </w:tabs>
        <w:jc w:val="center"/>
        <w:rPr>
          <w:i w:val="0"/>
          <w:lang w:eastAsia="en-US"/>
        </w:rPr>
      </w:pPr>
      <w:r w:rsidRPr="00255659">
        <w:rPr>
          <w:i w:val="0"/>
          <w:lang w:eastAsia="en-US"/>
        </w:rPr>
        <w:t>Risk Premium</w:t>
      </w:r>
      <w:r w:rsidR="00B02AD3" w:rsidRPr="00255659">
        <w:rPr>
          <w:i w:val="0"/>
          <w:lang w:eastAsia="en-US"/>
        </w:rPr>
        <w:tab/>
      </w:r>
      <w:r w:rsidRPr="00255659">
        <w:rPr>
          <w:i w:val="0"/>
          <w:lang w:eastAsia="en-US"/>
        </w:rPr>
        <w:t>=</w:t>
      </w:r>
      <w:r w:rsidR="00B02AD3" w:rsidRPr="00255659">
        <w:rPr>
          <w:i w:val="0"/>
          <w:lang w:eastAsia="en-US"/>
        </w:rPr>
        <w:tab/>
      </w:r>
      <w:r w:rsidRPr="00255659">
        <w:rPr>
          <w:i w:val="0"/>
          <w:lang w:eastAsia="en-US"/>
        </w:rPr>
        <w:sym w:font="Symbol" w:char="F062"/>
      </w:r>
      <w:r w:rsidR="00E9355C">
        <w:rPr>
          <w:i w:val="0"/>
          <w:lang w:eastAsia="en-US"/>
        </w:rPr>
        <w:t xml:space="preserve"> </w:t>
      </w:r>
      <w:r w:rsidR="00E9355C" w:rsidRPr="00255659">
        <w:rPr>
          <w:i w:val="0"/>
          <w:lang w:eastAsia="en-US"/>
        </w:rPr>
        <w:t>x</w:t>
      </w:r>
      <w:r w:rsidRPr="00255659">
        <w:rPr>
          <w:i w:val="0"/>
          <w:lang w:eastAsia="en-US"/>
        </w:rPr>
        <w:t xml:space="preserve"> (R</w:t>
      </w:r>
      <w:r w:rsidRPr="00255659">
        <w:rPr>
          <w:i w:val="0"/>
          <w:position w:val="-6"/>
          <w:vertAlign w:val="subscript"/>
          <w:lang w:eastAsia="en-US"/>
        </w:rPr>
        <w:t>M</w:t>
      </w:r>
      <w:r w:rsidR="00B02AD3" w:rsidRPr="00255659">
        <w:rPr>
          <w:i w:val="0"/>
          <w:lang w:eastAsia="en-US"/>
        </w:rPr>
        <w:t xml:space="preserve"> </w:t>
      </w:r>
      <w:r w:rsidR="00E9355C">
        <w:rPr>
          <w:i w:val="0"/>
          <w:lang w:eastAsia="en-US"/>
        </w:rPr>
        <w:t>–</w:t>
      </w:r>
      <w:r w:rsidR="00B02AD3" w:rsidRPr="00255659">
        <w:rPr>
          <w:i w:val="0"/>
          <w:lang w:eastAsia="en-US"/>
        </w:rPr>
        <w:t xml:space="preserve"> </w:t>
      </w:r>
      <w:r w:rsidRPr="00255659">
        <w:rPr>
          <w:i w:val="0"/>
          <w:lang w:eastAsia="en-US"/>
        </w:rPr>
        <w:t>R</w:t>
      </w:r>
      <w:r w:rsidRPr="00255659">
        <w:rPr>
          <w:i w:val="0"/>
          <w:position w:val="-6"/>
          <w:vertAlign w:val="subscript"/>
          <w:lang w:eastAsia="en-US"/>
        </w:rPr>
        <w:t>F</w:t>
      </w:r>
      <w:r w:rsidR="00B02AD3" w:rsidRPr="00255659">
        <w:rPr>
          <w:i w:val="0"/>
          <w:lang w:eastAsia="en-US"/>
        </w:rPr>
        <w:t>)</w:t>
      </w:r>
    </w:p>
    <w:p w:rsidR="00B02AD3" w:rsidRPr="00255659" w:rsidRDefault="00AA31D3" w:rsidP="00540A76">
      <w:pPr>
        <w:pStyle w:val="BlockQuote"/>
        <w:tabs>
          <w:tab w:val="left" w:pos="3060"/>
          <w:tab w:val="left" w:pos="3420"/>
        </w:tabs>
        <w:jc w:val="center"/>
        <w:rPr>
          <w:i w:val="0"/>
          <w:lang w:eastAsia="en-US"/>
        </w:rPr>
      </w:pPr>
      <w:r w:rsidRPr="00255659">
        <w:rPr>
          <w:i w:val="0"/>
          <w:lang w:eastAsia="en-US"/>
        </w:rPr>
        <w:t>Risk Premium</w:t>
      </w:r>
      <w:r w:rsidR="00B02AD3" w:rsidRPr="00255659">
        <w:rPr>
          <w:i w:val="0"/>
          <w:lang w:eastAsia="en-US"/>
        </w:rPr>
        <w:tab/>
      </w:r>
      <w:r w:rsidRPr="00255659">
        <w:rPr>
          <w:i w:val="0"/>
          <w:lang w:eastAsia="en-US"/>
        </w:rPr>
        <w:t>=</w:t>
      </w:r>
      <w:r w:rsidR="00B02AD3" w:rsidRPr="00255659">
        <w:rPr>
          <w:i w:val="0"/>
          <w:lang w:eastAsia="en-US"/>
        </w:rPr>
        <w:tab/>
      </w:r>
      <w:r w:rsidRPr="00255659">
        <w:rPr>
          <w:i w:val="0"/>
          <w:lang w:eastAsia="en-US"/>
        </w:rPr>
        <w:sym w:font="Symbol" w:char="F062"/>
      </w:r>
      <w:r w:rsidR="00B02AD3" w:rsidRPr="00255659">
        <w:rPr>
          <w:i w:val="0"/>
          <w:lang w:eastAsia="en-US"/>
        </w:rPr>
        <w:t> </w:t>
      </w:r>
      <w:r w:rsidRPr="00255659">
        <w:rPr>
          <w:i w:val="0"/>
          <w:lang w:eastAsia="en-US"/>
        </w:rPr>
        <w:t>x</w:t>
      </w:r>
      <w:r w:rsidR="00B02AD3" w:rsidRPr="00255659">
        <w:rPr>
          <w:i w:val="0"/>
          <w:lang w:eastAsia="en-US"/>
        </w:rPr>
        <w:t> </w:t>
      </w:r>
      <w:r w:rsidR="00E9355C">
        <w:rPr>
          <w:i w:val="0"/>
          <w:lang w:eastAsia="en-US"/>
        </w:rPr>
        <w:t>Market Risk Premium</w:t>
      </w:r>
    </w:p>
    <w:p w:rsidR="00AA31D3" w:rsidRPr="00255659" w:rsidRDefault="00AA31D3" w:rsidP="00540A76">
      <w:pPr>
        <w:pStyle w:val="answer"/>
        <w:ind w:firstLine="0"/>
        <w:rPr>
          <w:lang w:eastAsia="en-US"/>
        </w:rPr>
      </w:pPr>
      <w:r w:rsidRPr="00255659">
        <w:rPr>
          <w:szCs w:val="24"/>
          <w:lang w:eastAsia="en-US"/>
        </w:rPr>
        <w:t xml:space="preserve">Solving for </w:t>
      </w:r>
      <w:r w:rsidR="00E9355C" w:rsidRPr="00E9355C">
        <w:rPr>
          <w:lang w:eastAsia="en-US"/>
        </w:rPr>
        <w:t>Market Risk Premium</w:t>
      </w:r>
      <w:r w:rsidRPr="00255659">
        <w:rPr>
          <w:szCs w:val="24"/>
          <w:lang w:eastAsia="en-US"/>
        </w:rPr>
        <w:t>, we obtain:</w:t>
      </w:r>
    </w:p>
    <w:p w:rsidR="00AA31D3" w:rsidRPr="00255659" w:rsidRDefault="00E9355C" w:rsidP="00E9355C">
      <w:pPr>
        <w:pStyle w:val="BlockQuote"/>
        <w:tabs>
          <w:tab w:val="left" w:pos="3780"/>
          <w:tab w:val="left" w:pos="4140"/>
        </w:tabs>
        <w:jc w:val="center"/>
        <w:rPr>
          <w:i w:val="0"/>
          <w:lang w:eastAsia="en-US"/>
        </w:rPr>
      </w:pPr>
      <w:r>
        <w:rPr>
          <w:i w:val="0"/>
          <w:lang w:eastAsia="en-US"/>
        </w:rPr>
        <w:t>Market Risk Premium</w:t>
      </w:r>
      <w:r w:rsidR="00B02AD3" w:rsidRPr="00255659">
        <w:rPr>
          <w:i w:val="0"/>
          <w:lang w:eastAsia="en-US"/>
        </w:rPr>
        <w:tab/>
      </w:r>
      <w:r w:rsidR="00AA31D3" w:rsidRPr="00255659">
        <w:rPr>
          <w:i w:val="0"/>
          <w:lang w:eastAsia="en-US"/>
        </w:rPr>
        <w:t>=</w:t>
      </w:r>
      <w:r w:rsidR="00B02AD3" w:rsidRPr="00255659">
        <w:rPr>
          <w:i w:val="0"/>
          <w:lang w:eastAsia="en-US"/>
        </w:rPr>
        <w:tab/>
      </w:r>
      <w:r w:rsidR="00AA31D3" w:rsidRPr="00255659">
        <w:rPr>
          <w:i w:val="0"/>
          <w:lang w:eastAsia="en-US"/>
        </w:rPr>
        <w:t>Risk Premium</w:t>
      </w:r>
      <w:r w:rsidR="00B02AD3" w:rsidRPr="00255659">
        <w:rPr>
          <w:i w:val="0"/>
          <w:lang w:eastAsia="en-US"/>
        </w:rPr>
        <w:t> </w:t>
      </w:r>
      <w:r>
        <w:rPr>
          <w:i w:val="0"/>
          <w:lang w:eastAsia="en-US"/>
        </w:rPr>
        <w:t>÷</w:t>
      </w:r>
      <w:r w:rsidR="00B02AD3" w:rsidRPr="00255659">
        <w:rPr>
          <w:i w:val="0"/>
          <w:lang w:eastAsia="en-US"/>
        </w:rPr>
        <w:t> </w:t>
      </w:r>
      <w:r w:rsidR="00AA31D3" w:rsidRPr="00255659">
        <w:rPr>
          <w:i w:val="0"/>
          <w:lang w:eastAsia="en-US"/>
        </w:rPr>
        <w:sym w:font="Symbol" w:char="F062"/>
      </w:r>
    </w:p>
    <w:p w:rsidR="00AA31D3" w:rsidRPr="00255659" w:rsidRDefault="00AA31D3" w:rsidP="00540A76">
      <w:pPr>
        <w:pStyle w:val="answer"/>
        <w:ind w:firstLine="0"/>
        <w:rPr>
          <w:lang w:eastAsia="en-US"/>
        </w:rPr>
      </w:pPr>
      <w:r w:rsidRPr="00255659">
        <w:rPr>
          <w:lang w:eastAsia="en-US"/>
        </w:rPr>
        <w:t xml:space="preserve">I </w:t>
      </w:r>
      <w:r w:rsidR="00E9355C">
        <w:rPr>
          <w:lang w:eastAsia="en-US"/>
        </w:rPr>
        <w:t xml:space="preserve">have </w:t>
      </w:r>
      <w:r w:rsidRPr="00255659">
        <w:rPr>
          <w:lang w:eastAsia="en-US"/>
        </w:rPr>
        <w:t xml:space="preserve">examined the </w:t>
      </w:r>
      <w:r w:rsidR="00E9355C">
        <w:rPr>
          <w:lang w:eastAsia="en-US"/>
        </w:rPr>
        <w:t xml:space="preserve">market risk premiums </w:t>
      </w:r>
      <w:r w:rsidRPr="00255659">
        <w:rPr>
          <w:lang w:eastAsia="en-US"/>
        </w:rPr>
        <w:t>implied in several hundred regulatory decisions for electric utilities in the United States over the period 1986-2015.</w:t>
      </w:r>
      <w:r w:rsidR="00C91CE2">
        <w:rPr>
          <w:lang w:eastAsia="en-US"/>
        </w:rPr>
        <w:t xml:space="preserve"> </w:t>
      </w:r>
      <w:r w:rsidRPr="00255659">
        <w:rPr>
          <w:lang w:eastAsia="en-US"/>
        </w:rPr>
        <w:t xml:space="preserve">Using </w:t>
      </w:r>
      <w:r w:rsidR="00E9355C">
        <w:rPr>
          <w:lang w:eastAsia="en-US"/>
        </w:rPr>
        <w:t xml:space="preserve">one were to use an </w:t>
      </w:r>
      <w:r w:rsidR="00E9355C" w:rsidRPr="00255659">
        <w:rPr>
          <w:lang w:eastAsia="en-US"/>
        </w:rPr>
        <w:t xml:space="preserve">average </w:t>
      </w:r>
      <w:r w:rsidRPr="00255659">
        <w:rPr>
          <w:lang w:eastAsia="en-US"/>
        </w:rPr>
        <w:t>allowed risk premium of 5.6</w:t>
      </w:r>
      <w:r w:rsidR="00E9355C">
        <w:rPr>
          <w:lang w:eastAsia="en-US"/>
        </w:rPr>
        <w:t xml:space="preserve"> percent </w:t>
      </w:r>
      <w:r w:rsidRPr="00255659">
        <w:rPr>
          <w:lang w:eastAsia="en-US"/>
        </w:rPr>
        <w:t xml:space="preserve">in these decisions and a beta of 0.70 for electric utilities, the implied </w:t>
      </w:r>
      <w:r w:rsidR="00E9355C">
        <w:rPr>
          <w:lang w:eastAsia="en-US"/>
        </w:rPr>
        <w:t xml:space="preserve">market risk premium </w:t>
      </w:r>
      <w:r w:rsidRPr="00255659">
        <w:rPr>
          <w:lang w:eastAsia="en-US"/>
        </w:rPr>
        <w:t>is 8.</w:t>
      </w:r>
      <w:r w:rsidR="00E9355C">
        <w:rPr>
          <w:lang w:eastAsia="en-US"/>
        </w:rPr>
        <w:t xml:space="preserve">0 percent (i.e., </w:t>
      </w:r>
      <w:r w:rsidRPr="00255659">
        <w:rPr>
          <w:lang w:eastAsia="en-US"/>
        </w:rPr>
        <w:t>5.6</w:t>
      </w:r>
      <w:r w:rsidR="00516646" w:rsidRPr="00255659">
        <w:rPr>
          <w:lang w:eastAsia="en-US"/>
        </w:rPr>
        <w:t>%</w:t>
      </w:r>
      <w:r w:rsidR="00E9355C" w:rsidRPr="00255659">
        <w:rPr>
          <w:i/>
          <w:lang w:eastAsia="en-US"/>
        </w:rPr>
        <w:t> </w:t>
      </w:r>
      <w:r w:rsidR="00E9355C">
        <w:rPr>
          <w:i/>
          <w:lang w:eastAsia="en-US"/>
        </w:rPr>
        <w:t xml:space="preserve">÷ </w:t>
      </w:r>
      <w:r w:rsidRPr="00255659">
        <w:rPr>
          <w:lang w:eastAsia="en-US"/>
        </w:rPr>
        <w:t>0.70 = 8.0%</w:t>
      </w:r>
      <w:r w:rsidR="00E9355C">
        <w:rPr>
          <w:lang w:eastAsia="en-US"/>
        </w:rPr>
        <w:t>)</w:t>
      </w:r>
      <w:r w:rsidRPr="00255659">
        <w:rPr>
          <w:lang w:eastAsia="en-US"/>
        </w:rPr>
        <w:t>, again a long</w:t>
      </w:r>
      <w:r w:rsidR="000A7CDF" w:rsidRPr="00255659">
        <w:rPr>
          <w:lang w:eastAsia="en-US"/>
        </w:rPr>
        <w:t xml:space="preserve"> way from </w:t>
      </w:r>
      <w:r w:rsidR="006B5168" w:rsidRPr="00255659">
        <w:rPr>
          <w:lang w:eastAsia="en-US"/>
        </w:rPr>
        <w:t>Dr.</w:t>
      </w:r>
      <w:r w:rsidR="006B5168">
        <w:rPr>
          <w:lang w:eastAsia="en-US"/>
        </w:rPr>
        <w:t> </w:t>
      </w:r>
      <w:r w:rsidR="000A7CDF" w:rsidRPr="00255659">
        <w:rPr>
          <w:lang w:eastAsia="en-US"/>
        </w:rPr>
        <w:t>Woolridge</w:t>
      </w:r>
      <w:r w:rsidR="00255659">
        <w:rPr>
          <w:lang w:eastAsia="en-US"/>
        </w:rPr>
        <w:t>’</w:t>
      </w:r>
      <w:r w:rsidR="000A7CDF" w:rsidRPr="00255659">
        <w:rPr>
          <w:lang w:eastAsia="en-US"/>
        </w:rPr>
        <w:t xml:space="preserve">s </w:t>
      </w:r>
      <w:r w:rsidR="00E9355C">
        <w:rPr>
          <w:lang w:eastAsia="en-US"/>
        </w:rPr>
        <w:t xml:space="preserve">market risk premium of </w:t>
      </w:r>
      <w:r w:rsidR="000A7CDF" w:rsidRPr="00255659">
        <w:rPr>
          <w:lang w:eastAsia="en-US"/>
        </w:rPr>
        <w:t>5.5</w:t>
      </w:r>
      <w:r w:rsidR="00E9355C">
        <w:rPr>
          <w:lang w:eastAsia="en-US"/>
        </w:rPr>
        <w:t> percent</w:t>
      </w:r>
      <w:r w:rsidR="000A7CDF" w:rsidRPr="00255659">
        <w:rPr>
          <w:lang w:eastAsia="en-US"/>
        </w:rPr>
        <w:t>.</w:t>
      </w:r>
    </w:p>
    <w:p w:rsidR="00AA31D3" w:rsidRPr="00255659" w:rsidRDefault="00AA31D3" w:rsidP="00540A76">
      <w:pPr>
        <w:pStyle w:val="question"/>
      </w:pPr>
      <w:r w:rsidRPr="00255659">
        <w:rPr>
          <w:lang w:eastAsia="en-US"/>
        </w:rPr>
        <w:lastRenderedPageBreak/>
        <w:t>Q.</w:t>
      </w:r>
      <w:r w:rsidRPr="00255659">
        <w:rPr>
          <w:lang w:eastAsia="en-US"/>
        </w:rPr>
        <w:tab/>
      </w:r>
      <w:r w:rsidR="000A7CDF" w:rsidRPr="00255659">
        <w:rPr>
          <w:lang w:eastAsia="en-US"/>
        </w:rPr>
        <w:t xml:space="preserve">What </w:t>
      </w:r>
      <w:r w:rsidR="00E9355C">
        <w:rPr>
          <w:lang w:eastAsia="en-US"/>
        </w:rPr>
        <w:t xml:space="preserve">can the Commission </w:t>
      </w:r>
      <w:r w:rsidR="000A7CDF" w:rsidRPr="00255659">
        <w:rPr>
          <w:lang w:eastAsia="en-US"/>
        </w:rPr>
        <w:t>conclude from Dr. Woolridge</w:t>
      </w:r>
      <w:r w:rsidR="00255659">
        <w:rPr>
          <w:lang w:eastAsia="en-US"/>
        </w:rPr>
        <w:t>’</w:t>
      </w:r>
      <w:r w:rsidR="000A7CDF" w:rsidRPr="00255659">
        <w:rPr>
          <w:lang w:eastAsia="en-US"/>
        </w:rPr>
        <w:t xml:space="preserve">s </w:t>
      </w:r>
      <w:r w:rsidR="00E9355C">
        <w:rPr>
          <w:lang w:eastAsia="en-US"/>
        </w:rPr>
        <w:t xml:space="preserve">market risk premium </w:t>
      </w:r>
      <w:r w:rsidR="000A7CDF" w:rsidRPr="00255659">
        <w:rPr>
          <w:lang w:eastAsia="en-US"/>
        </w:rPr>
        <w:t xml:space="preserve">estimate of </w:t>
      </w:r>
      <w:r w:rsidRPr="00255659">
        <w:rPr>
          <w:lang w:eastAsia="en-US"/>
        </w:rPr>
        <w:t>5.5</w:t>
      </w:r>
      <w:r w:rsidR="00E9355C">
        <w:rPr>
          <w:lang w:eastAsia="en-US"/>
        </w:rPr>
        <w:t> percent</w:t>
      </w:r>
      <w:r w:rsidRPr="00255659">
        <w:rPr>
          <w:lang w:eastAsia="en-US"/>
        </w:rPr>
        <w:t>?</w:t>
      </w:r>
    </w:p>
    <w:p w:rsidR="00AA31D3" w:rsidRPr="00255659" w:rsidRDefault="00AA31D3" w:rsidP="00540A76">
      <w:pPr>
        <w:pStyle w:val="answer"/>
        <w:rPr>
          <w:lang w:eastAsia="en-US"/>
        </w:rPr>
      </w:pPr>
      <w:r w:rsidRPr="00255659">
        <w:rPr>
          <w:lang w:eastAsia="en-US"/>
        </w:rPr>
        <w:t>A.</w:t>
      </w:r>
      <w:r w:rsidRPr="00255659">
        <w:rPr>
          <w:lang w:eastAsia="en-US"/>
        </w:rPr>
        <w:tab/>
      </w:r>
      <w:r w:rsidR="00E9355C">
        <w:rPr>
          <w:lang w:eastAsia="en-US"/>
        </w:rPr>
        <w:t xml:space="preserve">The Commission can conclude that </w:t>
      </w:r>
      <w:r w:rsidR="00E9355C" w:rsidRPr="00255659">
        <w:rPr>
          <w:lang w:eastAsia="en-US"/>
        </w:rPr>
        <w:t>Dr. Woolridge</w:t>
      </w:r>
      <w:r w:rsidR="00E9355C">
        <w:rPr>
          <w:lang w:eastAsia="en-US"/>
        </w:rPr>
        <w:t>’</w:t>
      </w:r>
      <w:r w:rsidR="00E9355C" w:rsidRPr="00255659">
        <w:rPr>
          <w:lang w:eastAsia="en-US"/>
        </w:rPr>
        <w:t xml:space="preserve">s </w:t>
      </w:r>
      <w:r w:rsidR="00E9355C">
        <w:rPr>
          <w:lang w:eastAsia="en-US"/>
        </w:rPr>
        <w:t xml:space="preserve">market risk premium </w:t>
      </w:r>
      <w:r w:rsidR="00E9355C" w:rsidRPr="00255659">
        <w:rPr>
          <w:lang w:eastAsia="en-US"/>
        </w:rPr>
        <w:t>estimate of 5.5</w:t>
      </w:r>
      <w:r w:rsidR="00E9355C">
        <w:rPr>
          <w:lang w:eastAsia="en-US"/>
        </w:rPr>
        <w:t> percent</w:t>
      </w:r>
      <w:r w:rsidR="00E9355C" w:rsidRPr="00255659">
        <w:rPr>
          <w:lang w:eastAsia="en-US"/>
        </w:rPr>
        <w:t xml:space="preserve"> </w:t>
      </w:r>
      <w:r w:rsidRPr="00255659">
        <w:rPr>
          <w:lang w:eastAsia="en-US"/>
        </w:rPr>
        <w:t>is understated, relies in part on technical errors, and is inconsistent with regulatory decisions.</w:t>
      </w:r>
      <w:r w:rsidR="00C91CE2">
        <w:rPr>
          <w:lang w:eastAsia="en-US"/>
        </w:rPr>
        <w:t xml:space="preserve"> </w:t>
      </w:r>
      <w:r w:rsidRPr="00255659">
        <w:rPr>
          <w:lang w:eastAsia="en-US"/>
        </w:rPr>
        <w:t xml:space="preserve">All in all, I echo </w:t>
      </w:r>
      <w:r w:rsidR="00B87593">
        <w:rPr>
          <w:lang w:eastAsia="en-US"/>
        </w:rPr>
        <w:t xml:space="preserve">the official position of </w:t>
      </w:r>
      <w:r w:rsidR="00B87593" w:rsidRPr="00447147">
        <w:rPr>
          <w:szCs w:val="24"/>
          <w:lang w:eastAsia="en-US"/>
        </w:rPr>
        <w:t xml:space="preserve">Richard Brealey, Stewart Myers, </w:t>
      </w:r>
      <w:r w:rsidR="00B87593">
        <w:rPr>
          <w:szCs w:val="24"/>
          <w:lang w:eastAsia="en-US"/>
        </w:rPr>
        <w:t xml:space="preserve">and </w:t>
      </w:r>
      <w:r w:rsidR="00B87593" w:rsidRPr="00447147">
        <w:rPr>
          <w:szCs w:val="24"/>
          <w:lang w:eastAsia="en-US"/>
        </w:rPr>
        <w:t xml:space="preserve">Franklin Allen </w:t>
      </w:r>
      <w:r w:rsidR="00B87593">
        <w:rPr>
          <w:lang w:eastAsia="en-US"/>
        </w:rPr>
        <w:t xml:space="preserve">that a market risk premium in the range of </w:t>
      </w:r>
      <w:r w:rsidRPr="00255659">
        <w:rPr>
          <w:lang w:eastAsia="en-US"/>
        </w:rPr>
        <w:t>5</w:t>
      </w:r>
      <w:r w:rsidR="00B87593">
        <w:rPr>
          <w:lang w:eastAsia="en-US"/>
        </w:rPr>
        <w:t xml:space="preserve">.0 percent and </w:t>
      </w:r>
      <w:r w:rsidRPr="00255659">
        <w:rPr>
          <w:lang w:eastAsia="en-US"/>
        </w:rPr>
        <w:t>8</w:t>
      </w:r>
      <w:r w:rsidR="00B87593">
        <w:rPr>
          <w:lang w:eastAsia="en-US"/>
        </w:rPr>
        <w:t xml:space="preserve">.0 percent </w:t>
      </w:r>
      <w:r w:rsidRPr="00255659">
        <w:rPr>
          <w:lang w:eastAsia="en-US"/>
        </w:rPr>
        <w:t xml:space="preserve">is reasonable for the </w:t>
      </w:r>
      <w:r w:rsidR="00B87593">
        <w:rPr>
          <w:lang w:eastAsia="en-US"/>
        </w:rPr>
        <w:t xml:space="preserve">market risk premium </w:t>
      </w:r>
      <w:r w:rsidRPr="00255659">
        <w:rPr>
          <w:lang w:eastAsia="en-US"/>
        </w:rPr>
        <w:t>in the United States, with the upper end of the range highly likely at this time</w:t>
      </w:r>
      <w:r w:rsidR="00E9355C">
        <w:rPr>
          <w:lang w:eastAsia="en-US"/>
        </w:rPr>
        <w:t>,</w:t>
      </w:r>
      <w:r w:rsidRPr="00255659">
        <w:rPr>
          <w:lang w:eastAsia="en-US"/>
        </w:rPr>
        <w:t xml:space="preserve"> as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lang w:eastAsia="en-US"/>
        </w:rPr>
        <w:t xml:space="preserve"> </w:t>
      </w:r>
      <w:r w:rsidRPr="00255659">
        <w:rPr>
          <w:lang w:eastAsia="en-US"/>
        </w:rPr>
        <w:t>himself points out.</w:t>
      </w:r>
    </w:p>
    <w:p w:rsidR="00AA31D3" w:rsidRPr="00255659" w:rsidRDefault="0075009A" w:rsidP="00540A76">
      <w:pPr>
        <w:pStyle w:val="Heading3"/>
        <w:rPr>
          <w:lang w:eastAsia="en-US"/>
        </w:rPr>
      </w:pPr>
      <w:bookmarkStart w:id="24" w:name="_Toc109272653"/>
      <w:bookmarkStart w:id="25" w:name="_Toc489887872"/>
      <w:r>
        <w:t>4</w:t>
      </w:r>
      <w:r w:rsidR="00AA31D3" w:rsidRPr="00255659">
        <w:t>.</w:t>
      </w:r>
      <w:r w:rsidR="00AA31D3" w:rsidRPr="00255659">
        <w:tab/>
      </w:r>
      <w:bookmarkEnd w:id="24"/>
      <w:r w:rsidR="00B87593">
        <w:t>Dr. Woolridge Erroneously Relies Exclusively on the Plain Vanilla Version of the CAPM</w:t>
      </w:r>
      <w:bookmarkEnd w:id="25"/>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Do you agree with </w:t>
      </w:r>
      <w:r w:rsidR="00B87593">
        <w:rPr>
          <w:lang w:eastAsia="en-US"/>
        </w:rPr>
        <w:t xml:space="preserve">Dr. Woolridge’s exclusive </w:t>
      </w:r>
      <w:r w:rsidR="000A7CDF" w:rsidRPr="00255659">
        <w:rPr>
          <w:lang w:eastAsia="en-US"/>
        </w:rPr>
        <w:t xml:space="preserve">use of </w:t>
      </w:r>
      <w:r w:rsidR="00B87593">
        <w:rPr>
          <w:lang w:eastAsia="en-US"/>
        </w:rPr>
        <w:t xml:space="preserve">plain vanilla version of the </w:t>
      </w:r>
      <w:r w:rsidR="000A7CDF" w:rsidRPr="00255659">
        <w:rPr>
          <w:lang w:eastAsia="en-US"/>
        </w:rPr>
        <w:t xml:space="preserve">CAPM to estimate </w:t>
      </w:r>
      <w:r w:rsidR="00B87593">
        <w:rPr>
          <w:lang w:eastAsia="en-US"/>
        </w:rPr>
        <w:t>returns on equity</w:t>
      </w:r>
      <w:r w:rsidRPr="00255659">
        <w:rPr>
          <w:lang w:eastAsia="en-US"/>
        </w:rPr>
        <w:t>?</w:t>
      </w:r>
    </w:p>
    <w:p w:rsidR="00FB1549" w:rsidRDefault="00AA31D3" w:rsidP="00540A76">
      <w:pPr>
        <w:pStyle w:val="answer"/>
        <w:rPr>
          <w:lang w:eastAsia="en-US"/>
        </w:rPr>
      </w:pPr>
      <w:r w:rsidRPr="00255659">
        <w:rPr>
          <w:lang w:eastAsia="en-US"/>
        </w:rPr>
        <w:t>A.</w:t>
      </w:r>
      <w:r w:rsidRPr="00255659">
        <w:rPr>
          <w:lang w:eastAsia="en-US"/>
        </w:rPr>
        <w:tab/>
        <w:t>No.</w:t>
      </w:r>
      <w:r w:rsidR="00C91CE2">
        <w:rPr>
          <w:lang w:eastAsia="en-US"/>
        </w:rPr>
        <w:t xml:space="preserve"> </w:t>
      </w:r>
      <w:r w:rsidR="00B87593">
        <w:rPr>
          <w:lang w:eastAsia="en-US"/>
        </w:rPr>
        <w:t>T</w:t>
      </w:r>
      <w:r w:rsidRPr="00255659">
        <w:rPr>
          <w:lang w:eastAsia="en-US"/>
        </w:rPr>
        <w:t>he plain vanilla version of the CAPM should be supplemented by the more refined version of the CAPM</w:t>
      </w:r>
      <w:r w:rsidR="00B87593">
        <w:rPr>
          <w:lang w:eastAsia="en-US"/>
        </w:rPr>
        <w:t xml:space="preserve"> in estimating returns on equity</w:t>
      </w:r>
      <w:r w:rsidRPr="00255659">
        <w:rPr>
          <w:lang w:eastAsia="en-US"/>
        </w:rPr>
        <w:t>.</w:t>
      </w:r>
      <w:r w:rsidR="00C91CE2">
        <w:rPr>
          <w:lang w:eastAsia="en-US"/>
        </w:rPr>
        <w:t xml:space="preserve"> </w:t>
      </w:r>
      <w:r w:rsidRPr="00255659">
        <w:rPr>
          <w:lang w:eastAsia="en-US"/>
        </w:rPr>
        <w:t>There have been countless empirical tests of the CAPM to determine to what extent security returns and betas are related in the manner predicted by the CAPM.</w:t>
      </w:r>
      <w:r w:rsidR="00C91CE2">
        <w:rPr>
          <w:lang w:eastAsia="en-US"/>
        </w:rPr>
        <w:t xml:space="preserve"> </w:t>
      </w:r>
      <w:r w:rsidRPr="00255659">
        <w:rPr>
          <w:lang w:eastAsia="en-US"/>
        </w:rPr>
        <w:t>The results of the tests support the idea that beta is related to security returns, that the risk-return tradeoff is positive, and that the relationship is linear.</w:t>
      </w:r>
      <w:r w:rsidR="00C91CE2">
        <w:rPr>
          <w:lang w:eastAsia="en-US"/>
        </w:rPr>
        <w:t xml:space="preserve"> </w:t>
      </w:r>
      <w:r w:rsidRPr="00255659">
        <w:rPr>
          <w:lang w:eastAsia="en-US"/>
        </w:rPr>
        <w:t>The contradictory finding is that the risk-return tradeoff is not as steeply sloped as the predicted CAPM.</w:t>
      </w:r>
      <w:r w:rsidR="00C91CE2">
        <w:rPr>
          <w:lang w:eastAsia="en-US"/>
        </w:rPr>
        <w:t xml:space="preserve"> </w:t>
      </w:r>
      <w:r w:rsidRPr="00255659">
        <w:rPr>
          <w:lang w:eastAsia="en-US"/>
        </w:rPr>
        <w:t>That is, low-beta securities earn returns somewhat higher than the CAPM would predict, and high-beta securities earn less than predicted.</w:t>
      </w:r>
      <w:r w:rsidR="00C91CE2">
        <w:rPr>
          <w:lang w:eastAsia="en-US"/>
        </w:rPr>
        <w:t xml:space="preserve"> </w:t>
      </w:r>
      <w:r w:rsidRPr="00255659">
        <w:rPr>
          <w:lang w:eastAsia="en-US"/>
        </w:rPr>
        <w:t xml:space="preserve">In other words, a CAPM-based estimate of the cost of capital underestimates the return required </w:t>
      </w:r>
      <w:r w:rsidRPr="00255659">
        <w:rPr>
          <w:lang w:eastAsia="en-US"/>
        </w:rPr>
        <w:lastRenderedPageBreak/>
        <w:t>from low-beta securities and overstates the return from high-beta securities, based on the empirical evidence.</w:t>
      </w:r>
    </w:p>
    <w:p w:rsidR="000A7CDF" w:rsidRPr="00255659" w:rsidRDefault="00AA31D3" w:rsidP="00540A76">
      <w:pPr>
        <w:pStyle w:val="answer"/>
        <w:ind w:firstLine="0"/>
        <w:rPr>
          <w:szCs w:val="24"/>
          <w:lang w:eastAsia="en-US"/>
        </w:rPr>
      </w:pPr>
      <w:r w:rsidRPr="00255659">
        <w:rPr>
          <w:lang w:eastAsia="en-US"/>
        </w:rPr>
        <w:t>The empirical form of the CAPM that I used in my direct testimony refines the standard form of the CAPM to account for this phenomenon.</w:t>
      </w:r>
      <w:r w:rsidR="00C91CE2">
        <w:rPr>
          <w:lang w:eastAsia="en-US"/>
        </w:rPr>
        <w:t xml:space="preserve"> </w:t>
      </w:r>
      <w:r w:rsidRPr="00255659">
        <w:rPr>
          <w:szCs w:val="24"/>
          <w:lang w:eastAsia="en-US"/>
        </w:rPr>
        <w:t xml:space="preserve">As discussed in </w:t>
      </w:r>
      <w:r w:rsidR="00FB1549">
        <w:rPr>
          <w:szCs w:val="24"/>
          <w:lang w:eastAsia="en-US"/>
        </w:rPr>
        <w:t xml:space="preserve">the Seventh Exhibit to the Prefiled Direct Testimony of Dr. Roger A. Morin, Exh. RAM-8, </w:t>
      </w:r>
      <w:r w:rsidRPr="00255659">
        <w:rPr>
          <w:szCs w:val="24"/>
          <w:lang w:eastAsia="en-US"/>
        </w:rPr>
        <w:t xml:space="preserve">my own empirical investigation of the relationship between return and </w:t>
      </w:r>
      <w:r w:rsidR="00B97282" w:rsidRPr="00255659">
        <w:rPr>
          <w:lang w:eastAsia="en-US"/>
        </w:rPr>
        <w:t>Value Line</w:t>
      </w:r>
      <w:r w:rsidRPr="00255659">
        <w:rPr>
          <w:szCs w:val="24"/>
          <w:lang w:eastAsia="en-US"/>
        </w:rPr>
        <w:t xml:space="preserve"> adjusted betas is quite consistent with the general findings of the literature.</w:t>
      </w:r>
    </w:p>
    <w:p w:rsidR="00AA31D3" w:rsidRPr="00255659" w:rsidRDefault="00AA31D3" w:rsidP="00540A76">
      <w:pPr>
        <w:pStyle w:val="answer"/>
        <w:ind w:firstLine="0"/>
        <w:rPr>
          <w:szCs w:val="24"/>
          <w:lang w:eastAsia="en-US"/>
        </w:rPr>
      </w:pPr>
      <w:r w:rsidRPr="00255659">
        <w:rPr>
          <w:szCs w:val="24"/>
          <w:lang w:eastAsia="en-US"/>
        </w:rPr>
        <w:t xml:space="preserve">The downward-bias inherent in the CAPM is particularly significant for low-beta securities, such as the three groups of utilities used by </w:t>
      </w:r>
      <w:r w:rsidR="004C03EA" w:rsidRPr="00255659">
        <w:rPr>
          <w:lang w:eastAsia="en-US"/>
        </w:rPr>
        <w:t>Dr.</w:t>
      </w:r>
      <w:r w:rsidR="004C03EA">
        <w:rPr>
          <w:lang w:eastAsia="en-US"/>
        </w:rPr>
        <w:t> </w:t>
      </w:r>
      <w:r w:rsidRPr="00255659">
        <w:rPr>
          <w:szCs w:val="24"/>
          <w:lang w:eastAsia="en-US"/>
        </w:rPr>
        <w:t>Woolridge.</w:t>
      </w:r>
      <w:r w:rsidR="00C91CE2">
        <w:rPr>
          <w:szCs w:val="24"/>
          <w:lang w:eastAsia="en-US"/>
        </w:rPr>
        <w:t xml:space="preserve"> </w:t>
      </w:r>
      <w:r w:rsidR="004C03EA" w:rsidRPr="00255659">
        <w:rPr>
          <w:lang w:eastAsia="en-US"/>
        </w:rPr>
        <w:t>Dr.</w:t>
      </w:r>
      <w:r w:rsidR="004C03EA">
        <w:rPr>
          <w:lang w:eastAsia="en-US"/>
        </w:rPr>
        <w:t> </w:t>
      </w:r>
      <w:r w:rsidRPr="00255659">
        <w:rPr>
          <w:szCs w:val="24"/>
          <w:lang w:eastAsia="en-US"/>
        </w:rPr>
        <w:t>Woolridge</w:t>
      </w:r>
      <w:r w:rsidR="00255659">
        <w:rPr>
          <w:szCs w:val="24"/>
          <w:lang w:eastAsia="en-US"/>
        </w:rPr>
        <w:t>’</w:t>
      </w:r>
      <w:r w:rsidRPr="00255659">
        <w:rPr>
          <w:szCs w:val="24"/>
          <w:lang w:eastAsia="en-US"/>
        </w:rPr>
        <w:t>s CAPM estimates of equity costs are understated by about 50</w:t>
      </w:r>
      <w:r w:rsidR="00FB1549">
        <w:rPr>
          <w:szCs w:val="24"/>
          <w:lang w:eastAsia="en-US"/>
        </w:rPr>
        <w:t> </w:t>
      </w:r>
      <w:r w:rsidRPr="00255659">
        <w:rPr>
          <w:szCs w:val="24"/>
          <w:lang w:eastAsia="en-US"/>
        </w:rPr>
        <w:t xml:space="preserve">basis points </w:t>
      </w:r>
      <w:r w:rsidR="00FB1549">
        <w:rPr>
          <w:szCs w:val="24"/>
          <w:lang w:eastAsia="en-US"/>
        </w:rPr>
        <w:t xml:space="preserve">(i.e., 0.5 percent) </w:t>
      </w:r>
      <w:r w:rsidRPr="00255659">
        <w:rPr>
          <w:szCs w:val="24"/>
          <w:lang w:eastAsia="en-US"/>
        </w:rPr>
        <w:t>from this bias alone.</w:t>
      </w:r>
    </w:p>
    <w:p w:rsidR="00A068EF" w:rsidRDefault="00A068EF" w:rsidP="00540A76">
      <w:pPr>
        <w:pStyle w:val="Heading2"/>
        <w:rPr>
          <w:lang w:eastAsia="en-US"/>
        </w:rPr>
      </w:pPr>
      <w:bookmarkStart w:id="26" w:name="_Toc489887873"/>
      <w:r>
        <w:rPr>
          <w:lang w:eastAsia="en-US"/>
        </w:rPr>
        <w:t>D</w:t>
      </w:r>
      <w:r w:rsidRPr="00A068EF">
        <w:rPr>
          <w:lang w:eastAsia="en-US"/>
        </w:rPr>
        <w:t>.</w:t>
      </w:r>
      <w:r w:rsidRPr="00A068EF">
        <w:rPr>
          <w:lang w:eastAsia="en-US"/>
        </w:rPr>
        <w:tab/>
      </w:r>
      <w:r>
        <w:rPr>
          <w:lang w:eastAsia="en-US"/>
        </w:rPr>
        <w:t>D</w:t>
      </w:r>
      <w:r w:rsidRPr="00A068EF">
        <w:rPr>
          <w:lang w:eastAsia="en-US"/>
        </w:rPr>
        <w:t>r.</w:t>
      </w:r>
      <w:r>
        <w:rPr>
          <w:lang w:eastAsia="en-US"/>
        </w:rPr>
        <w:t xml:space="preserve"> Woolridge’s </w:t>
      </w:r>
      <w:r w:rsidRPr="00A068EF">
        <w:rPr>
          <w:lang w:eastAsia="en-US"/>
        </w:rPr>
        <w:t xml:space="preserve">Criticisms </w:t>
      </w:r>
      <w:r>
        <w:rPr>
          <w:lang w:eastAsia="en-US"/>
        </w:rPr>
        <w:t>o</w:t>
      </w:r>
      <w:r w:rsidRPr="00A068EF">
        <w:rPr>
          <w:lang w:eastAsia="en-US"/>
        </w:rPr>
        <w:t xml:space="preserve">f My </w:t>
      </w:r>
      <w:r>
        <w:rPr>
          <w:lang w:eastAsia="en-US"/>
        </w:rPr>
        <w:t xml:space="preserve">Direct </w:t>
      </w:r>
      <w:r w:rsidRPr="00A068EF">
        <w:rPr>
          <w:lang w:eastAsia="en-US"/>
        </w:rPr>
        <w:t xml:space="preserve">Testimony </w:t>
      </w:r>
      <w:r>
        <w:rPr>
          <w:lang w:eastAsia="en-US"/>
        </w:rPr>
        <w:t>a</w:t>
      </w:r>
      <w:r w:rsidRPr="00A068EF">
        <w:rPr>
          <w:lang w:eastAsia="en-US"/>
        </w:rPr>
        <w:t>re Unfounded</w:t>
      </w:r>
      <w:r w:rsidR="00946D50">
        <w:rPr>
          <w:lang w:eastAsia="en-US"/>
        </w:rPr>
        <w:t>, are</w:t>
      </w:r>
      <w:r w:rsidRPr="00A068EF">
        <w:rPr>
          <w:lang w:eastAsia="en-US"/>
        </w:rPr>
        <w:t xml:space="preserve"> Without Merit, </w:t>
      </w:r>
      <w:r>
        <w:rPr>
          <w:lang w:eastAsia="en-US"/>
        </w:rPr>
        <w:t>a</w:t>
      </w:r>
      <w:r w:rsidRPr="00A068EF">
        <w:rPr>
          <w:lang w:eastAsia="en-US"/>
        </w:rPr>
        <w:t xml:space="preserve">nd Should </w:t>
      </w:r>
      <w:r>
        <w:rPr>
          <w:lang w:eastAsia="en-US"/>
        </w:rPr>
        <w:t>b</w:t>
      </w:r>
      <w:r w:rsidRPr="00A068EF">
        <w:rPr>
          <w:lang w:eastAsia="en-US"/>
        </w:rPr>
        <w:t xml:space="preserve">e Ignored </w:t>
      </w:r>
      <w:r>
        <w:rPr>
          <w:lang w:eastAsia="en-US"/>
        </w:rPr>
        <w:t>b</w:t>
      </w:r>
      <w:r w:rsidRPr="00A068EF">
        <w:rPr>
          <w:lang w:eastAsia="en-US"/>
        </w:rPr>
        <w:t xml:space="preserve">y </w:t>
      </w:r>
      <w:r>
        <w:rPr>
          <w:lang w:eastAsia="en-US"/>
        </w:rPr>
        <w:t>the Commission</w:t>
      </w:r>
      <w:bookmarkEnd w:id="26"/>
    </w:p>
    <w:p w:rsidR="00AA31D3" w:rsidRPr="00255659" w:rsidRDefault="00E74490" w:rsidP="00540A76">
      <w:pPr>
        <w:pStyle w:val="Heading3"/>
        <w:rPr>
          <w:lang w:eastAsia="en-US"/>
        </w:rPr>
      </w:pPr>
      <w:bookmarkStart w:id="27" w:name="_Toc489887874"/>
      <w:r w:rsidRPr="00255659">
        <w:rPr>
          <w:lang w:eastAsia="en-US"/>
        </w:rPr>
        <w:t>1.</w:t>
      </w:r>
      <w:r w:rsidRPr="00255659">
        <w:rPr>
          <w:lang w:eastAsia="en-US"/>
        </w:rPr>
        <w:tab/>
      </w:r>
      <w:r w:rsidR="00702DE7" w:rsidRPr="00255659">
        <w:rPr>
          <w:lang w:eastAsia="en-US"/>
        </w:rPr>
        <w:t>Dr.</w:t>
      </w:r>
      <w:r w:rsidR="00702DE7">
        <w:rPr>
          <w:lang w:eastAsia="en-US"/>
        </w:rPr>
        <w:t> </w:t>
      </w:r>
      <w:r w:rsidR="00702DE7" w:rsidRPr="00255659">
        <w:rPr>
          <w:color w:val="000000"/>
          <w:szCs w:val="24"/>
          <w:lang w:eastAsia="en-US"/>
        </w:rPr>
        <w:t>Woolridge</w:t>
      </w:r>
      <w:r w:rsidR="00702DE7">
        <w:rPr>
          <w:color w:val="000000"/>
          <w:szCs w:val="24"/>
          <w:lang w:eastAsia="en-US"/>
        </w:rPr>
        <w:t>’</w:t>
      </w:r>
      <w:r w:rsidR="00702DE7" w:rsidRPr="00255659">
        <w:rPr>
          <w:color w:val="000000"/>
          <w:szCs w:val="24"/>
          <w:lang w:eastAsia="en-US"/>
        </w:rPr>
        <w:t xml:space="preserve">s </w:t>
      </w:r>
      <w:r w:rsidR="00702DE7">
        <w:rPr>
          <w:color w:val="000000"/>
          <w:szCs w:val="24"/>
          <w:lang w:eastAsia="en-US"/>
        </w:rPr>
        <w:t>D</w:t>
      </w:r>
      <w:r w:rsidR="00702DE7" w:rsidRPr="00255659">
        <w:rPr>
          <w:color w:val="000000"/>
          <w:szCs w:val="24"/>
          <w:lang w:eastAsia="en-US"/>
        </w:rPr>
        <w:t xml:space="preserve">enunciation of </w:t>
      </w:r>
      <w:r w:rsidR="00702DE7">
        <w:rPr>
          <w:color w:val="000000"/>
          <w:szCs w:val="24"/>
          <w:lang w:eastAsia="en-US"/>
        </w:rPr>
        <w:t>A</w:t>
      </w:r>
      <w:r w:rsidR="00702DE7" w:rsidRPr="00255659">
        <w:rPr>
          <w:color w:val="000000"/>
          <w:szCs w:val="24"/>
          <w:lang w:eastAsia="en-US"/>
        </w:rPr>
        <w:t>nalysts</w:t>
      </w:r>
      <w:r w:rsidR="00702DE7">
        <w:rPr>
          <w:color w:val="000000"/>
          <w:szCs w:val="24"/>
          <w:lang w:eastAsia="en-US"/>
        </w:rPr>
        <w:t>’</w:t>
      </w:r>
      <w:r w:rsidR="00702DE7" w:rsidRPr="00255659">
        <w:rPr>
          <w:color w:val="000000"/>
          <w:szCs w:val="24"/>
          <w:lang w:eastAsia="en-US"/>
        </w:rPr>
        <w:t xml:space="preserve"> Growth Forecasts as Unreasonable Proxies for the DCF Growth Rate is Without Foundation and </w:t>
      </w:r>
      <w:r w:rsidR="00702DE7">
        <w:rPr>
          <w:color w:val="000000"/>
          <w:szCs w:val="24"/>
          <w:lang w:eastAsia="en-US"/>
        </w:rPr>
        <w:t>is I</w:t>
      </w:r>
      <w:r w:rsidR="00702DE7" w:rsidRPr="00255659">
        <w:rPr>
          <w:color w:val="000000"/>
          <w:szCs w:val="24"/>
          <w:lang w:eastAsia="en-US"/>
        </w:rPr>
        <w:t xml:space="preserve">nconsistent with the Empirical Finance Literature on the </w:t>
      </w:r>
      <w:r w:rsidR="00702DE7">
        <w:rPr>
          <w:color w:val="000000"/>
          <w:szCs w:val="24"/>
          <w:lang w:eastAsia="en-US"/>
        </w:rPr>
        <w:t>S</w:t>
      </w:r>
      <w:r w:rsidR="00702DE7" w:rsidRPr="00255659">
        <w:rPr>
          <w:color w:val="000000"/>
          <w:szCs w:val="24"/>
          <w:lang w:eastAsia="en-US"/>
        </w:rPr>
        <w:t>ubject</w:t>
      </w:r>
      <w:bookmarkEnd w:id="27"/>
    </w:p>
    <w:p w:rsidR="00AA31D3" w:rsidRPr="00255659" w:rsidRDefault="00AA31D3" w:rsidP="00540A76">
      <w:pPr>
        <w:pStyle w:val="question"/>
      </w:pPr>
      <w:r w:rsidRPr="00255659">
        <w:rPr>
          <w:lang w:eastAsia="en-US"/>
        </w:rPr>
        <w:t>Q.</w:t>
      </w:r>
      <w:r w:rsidRPr="00255659">
        <w:rPr>
          <w:lang w:eastAsia="en-US"/>
        </w:rPr>
        <w:tab/>
      </w:r>
      <w:r w:rsidR="000A7CDF" w:rsidRPr="00255659">
        <w:rPr>
          <w:lang w:eastAsia="en-US"/>
        </w:rPr>
        <w:t xml:space="preserve">Please comment on </w:t>
      </w:r>
      <w:r w:rsidR="004C03EA" w:rsidRPr="00255659">
        <w:rPr>
          <w:lang w:eastAsia="en-US"/>
        </w:rPr>
        <w:t>Dr.</w:t>
      </w:r>
      <w:r w:rsidR="004C03EA">
        <w:rPr>
          <w:lang w:eastAsia="en-US"/>
        </w:rPr>
        <w:t> </w:t>
      </w:r>
      <w:r w:rsidR="000A7CDF" w:rsidRPr="00255659">
        <w:rPr>
          <w:lang w:eastAsia="en-US"/>
        </w:rPr>
        <w:t>Woolridge</w:t>
      </w:r>
      <w:r w:rsidR="00255659">
        <w:rPr>
          <w:lang w:eastAsia="en-US"/>
        </w:rPr>
        <w:t>’</w:t>
      </w:r>
      <w:r w:rsidR="000A7CDF" w:rsidRPr="00255659">
        <w:rPr>
          <w:lang w:eastAsia="en-US"/>
        </w:rPr>
        <w:t>s criticism of your DCF analysis</w:t>
      </w:r>
      <w:r w:rsidRPr="00255659">
        <w:rPr>
          <w:lang w:eastAsia="en-US"/>
        </w:rPr>
        <w:t>.</w:t>
      </w:r>
    </w:p>
    <w:p w:rsidR="0028002A" w:rsidRDefault="00AA31D3" w:rsidP="00540A76">
      <w:pPr>
        <w:pStyle w:val="answer"/>
        <w:rPr>
          <w:lang w:eastAsia="en-US"/>
        </w:rPr>
      </w:pPr>
      <w:r w:rsidRPr="00255659">
        <w:rPr>
          <w:lang w:eastAsia="en-US"/>
        </w:rPr>
        <w:t>A.</w:t>
      </w:r>
      <w:r w:rsidRPr="00255659">
        <w:rPr>
          <w:lang w:eastAsia="en-US"/>
        </w:rPr>
        <w:tab/>
      </w:r>
      <w:r w:rsidR="004C03EA" w:rsidRPr="00255659">
        <w:rPr>
          <w:lang w:eastAsia="en-US"/>
        </w:rPr>
        <w:t>Dr.</w:t>
      </w:r>
      <w:r w:rsidR="004C03EA">
        <w:rPr>
          <w:lang w:eastAsia="en-US"/>
        </w:rPr>
        <w:t> </w:t>
      </w:r>
      <w:r w:rsidRPr="00255659">
        <w:rPr>
          <w:lang w:eastAsia="en-US"/>
        </w:rPr>
        <w:t>Woolridge criticizes the use of the analysts</w:t>
      </w:r>
      <w:r w:rsidR="00255659">
        <w:rPr>
          <w:lang w:eastAsia="en-US"/>
        </w:rPr>
        <w:t>’</w:t>
      </w:r>
      <w:r w:rsidRPr="00255659">
        <w:rPr>
          <w:lang w:eastAsia="en-US"/>
        </w:rPr>
        <w:t xml:space="preserve"> earnings growth forecast as a proxy for the growth component</w:t>
      </w:r>
      <w:r w:rsidR="0028002A">
        <w:rPr>
          <w:lang w:eastAsia="en-US"/>
        </w:rPr>
        <w:t xml:space="preserve"> </w:t>
      </w:r>
      <w:r w:rsidRPr="00255659">
        <w:rPr>
          <w:lang w:eastAsia="en-US"/>
        </w:rPr>
        <w:t xml:space="preserve">and claims that </w:t>
      </w:r>
      <w:r w:rsidR="0028002A">
        <w:rPr>
          <w:lang w:eastAsia="en-US"/>
        </w:rPr>
        <w:t>my DCF analyses</w:t>
      </w:r>
      <w:r w:rsidRPr="00255659">
        <w:rPr>
          <w:lang w:eastAsia="en-US"/>
        </w:rPr>
        <w:t xml:space="preserve"> have ignored </w:t>
      </w:r>
      <w:r w:rsidRPr="00255659">
        <w:rPr>
          <w:lang w:eastAsia="en-US"/>
        </w:rPr>
        <w:lastRenderedPageBreak/>
        <w:t>historical and projected growth rates in dividends and book value.</w:t>
      </w:r>
      <w:r w:rsidR="0028002A">
        <w:rPr>
          <w:rStyle w:val="FootnoteReference"/>
          <w:lang w:eastAsia="en-US"/>
        </w:rPr>
        <w:footnoteReference w:id="46"/>
      </w:r>
      <w:r w:rsidR="00C91CE2">
        <w:rPr>
          <w:lang w:eastAsia="en-US"/>
        </w:rPr>
        <w:t xml:space="preserve"> </w:t>
      </w:r>
      <w:r w:rsidR="0028002A">
        <w:rPr>
          <w:lang w:eastAsia="en-US"/>
        </w:rPr>
        <w:t xml:space="preserve">Dr. Woolridge </w:t>
      </w:r>
      <w:r w:rsidRPr="00255659">
        <w:rPr>
          <w:lang w:eastAsia="en-US"/>
        </w:rPr>
        <w:t xml:space="preserve">argues </w:t>
      </w:r>
      <w:r w:rsidR="00516646">
        <w:rPr>
          <w:lang w:eastAsia="en-US"/>
        </w:rPr>
        <w:t>as follows:</w:t>
      </w:r>
    </w:p>
    <w:p w:rsidR="0028002A" w:rsidRPr="0028002A" w:rsidRDefault="0028002A" w:rsidP="0028002A">
      <w:pPr>
        <w:pStyle w:val="BlockQuote"/>
        <w:rPr>
          <w:i w:val="0"/>
          <w:lang w:eastAsia="en-US"/>
        </w:rPr>
      </w:pPr>
      <w:r>
        <w:rPr>
          <w:i w:val="0"/>
          <w:lang w:eastAsia="en-US"/>
        </w:rPr>
        <w:t>I</w:t>
      </w:r>
      <w:r w:rsidR="00AA31D3" w:rsidRPr="0028002A">
        <w:rPr>
          <w:i w:val="0"/>
          <w:lang w:eastAsia="en-US"/>
        </w:rPr>
        <w:t>t is highly unlikely that investors today would rely exclusively on the EPS growth rate forecasts of Wall Street analysts and ignore other growth rate measures in arriving at their expected growth rates for equity investments.</w:t>
      </w:r>
      <w:r>
        <w:rPr>
          <w:rStyle w:val="FootnoteReference"/>
          <w:i w:val="0"/>
          <w:lang w:eastAsia="en-US"/>
        </w:rPr>
        <w:footnoteReference w:id="47"/>
      </w:r>
    </w:p>
    <w:p w:rsidR="000A7CDF" w:rsidRPr="00255659" w:rsidRDefault="00AA31D3" w:rsidP="0028002A">
      <w:pPr>
        <w:pStyle w:val="answer"/>
        <w:ind w:firstLine="0"/>
      </w:pPr>
      <w:r w:rsidRPr="00255659">
        <w:rPr>
          <w:lang w:eastAsia="en-US"/>
        </w:rPr>
        <w:t xml:space="preserve">Yet, that is exactly what </w:t>
      </w:r>
      <w:r w:rsidR="004C03EA" w:rsidRPr="00255659">
        <w:rPr>
          <w:lang w:eastAsia="en-US"/>
        </w:rPr>
        <w:t>Dr.</w:t>
      </w:r>
      <w:r w:rsidR="004C03EA">
        <w:rPr>
          <w:lang w:eastAsia="en-US"/>
        </w:rPr>
        <w:t> </w:t>
      </w:r>
      <w:r w:rsidRPr="00255659">
        <w:rPr>
          <w:lang w:eastAsia="en-US"/>
        </w:rPr>
        <w:t>W</w:t>
      </w:r>
      <w:r w:rsidR="0028002A">
        <w:rPr>
          <w:lang w:eastAsia="en-US"/>
        </w:rPr>
        <w:t>oolridge appears to do in adopting growth rates of 5.25 percent for the electric proxy group, 5.5 percent for the Morin proxy group, and 6.0</w:t>
      </w:r>
      <w:r w:rsidR="0028002A">
        <w:t xml:space="preserve"> percent for the gas proxy group. </w:t>
      </w:r>
      <w:r w:rsidRPr="00255659">
        <w:rPr>
          <w:lang w:eastAsia="en-US"/>
        </w:rPr>
        <w:t xml:space="preserve">I find </w:t>
      </w:r>
      <w:r w:rsidR="004C03EA" w:rsidRPr="00255659">
        <w:rPr>
          <w:lang w:eastAsia="en-US"/>
        </w:rPr>
        <w:t>Dr.</w:t>
      </w:r>
      <w:r w:rsidR="004C03EA">
        <w:rPr>
          <w:lang w:eastAsia="en-US"/>
        </w:rPr>
        <w:t> </w:t>
      </w:r>
      <w:r w:rsidRPr="00255659">
        <w:rPr>
          <w:lang w:eastAsia="en-US"/>
        </w:rPr>
        <w:t>Woolridge</w:t>
      </w:r>
      <w:r w:rsidR="00255659">
        <w:rPr>
          <w:lang w:eastAsia="en-US"/>
        </w:rPr>
        <w:t>’</w:t>
      </w:r>
      <w:r w:rsidRPr="00255659">
        <w:rPr>
          <w:lang w:eastAsia="en-US"/>
        </w:rPr>
        <w:t xml:space="preserve">s criticism surprising, given that he himself ends up relying almost exclusively on </w:t>
      </w:r>
      <w:r w:rsidR="00B97282" w:rsidRPr="00255659">
        <w:rPr>
          <w:lang w:eastAsia="en-US"/>
        </w:rPr>
        <w:t>Value Line</w:t>
      </w:r>
      <w:r w:rsidRPr="0028002A">
        <w:rPr>
          <w:i/>
          <w:lang w:eastAsia="en-US"/>
        </w:rPr>
        <w:t xml:space="preserve"> </w:t>
      </w:r>
      <w:r w:rsidRPr="00255659">
        <w:rPr>
          <w:lang w:eastAsia="en-US"/>
        </w:rPr>
        <w:t>forecasts and analysts</w:t>
      </w:r>
      <w:r w:rsidR="00255659">
        <w:rPr>
          <w:lang w:eastAsia="en-US"/>
        </w:rPr>
        <w:t>’</w:t>
      </w:r>
      <w:r w:rsidRPr="00255659">
        <w:rPr>
          <w:lang w:eastAsia="en-US"/>
        </w:rPr>
        <w:t xml:space="preserve"> growth forecasts contained in the Yahoo, Reuters, and Zacks Web sites.</w:t>
      </w:r>
      <w:r w:rsidR="00C91CE2">
        <w:rPr>
          <w:lang w:eastAsia="en-US"/>
        </w:rPr>
        <w:t xml:space="preserve"> </w:t>
      </w:r>
      <w:r w:rsidR="0028002A">
        <w:rPr>
          <w:lang w:eastAsia="en-US"/>
        </w:rPr>
        <w:t xml:space="preserve">Dr. Woolridge </w:t>
      </w:r>
      <w:r w:rsidRPr="00255659">
        <w:rPr>
          <w:lang w:eastAsia="en-US"/>
        </w:rPr>
        <w:t xml:space="preserve">also relies on </w:t>
      </w:r>
      <w:r w:rsidR="00B97282" w:rsidRPr="00255659">
        <w:rPr>
          <w:lang w:eastAsia="en-US"/>
        </w:rPr>
        <w:t>Value Line</w:t>
      </w:r>
      <w:r w:rsidRPr="00255659">
        <w:rPr>
          <w:lang w:eastAsia="en-US"/>
        </w:rPr>
        <w:t xml:space="preserve"> forecasts in his sustainable growth approach to specifying the growth component of the DCF model.</w:t>
      </w:r>
      <w:r w:rsidR="00C91CE2">
        <w:rPr>
          <w:lang w:eastAsia="en-US"/>
        </w:rPr>
        <w:t xml:space="preserve"> </w:t>
      </w:r>
      <w:r w:rsidR="004C03EA" w:rsidRPr="00255659">
        <w:rPr>
          <w:lang w:eastAsia="en-US"/>
        </w:rPr>
        <w:t>Dr.</w:t>
      </w:r>
      <w:r w:rsidR="004C03EA">
        <w:rPr>
          <w:lang w:eastAsia="en-US"/>
        </w:rPr>
        <w:t> </w:t>
      </w:r>
      <w:r w:rsidRPr="00255659">
        <w:rPr>
          <w:lang w:eastAsia="en-US"/>
        </w:rPr>
        <w:t>Woolridge cannot have it both ways with the use of forecasts.</w:t>
      </w:r>
    </w:p>
    <w:p w:rsidR="00AA31D3" w:rsidRPr="00255659" w:rsidRDefault="00D90128" w:rsidP="00540A76">
      <w:pPr>
        <w:pStyle w:val="answer"/>
        <w:ind w:firstLine="0"/>
        <w:rPr>
          <w:szCs w:val="24"/>
          <w:lang w:eastAsia="en-US"/>
        </w:rPr>
      </w:pPr>
      <w:r>
        <w:rPr>
          <w:szCs w:val="24"/>
          <w:lang w:eastAsia="en-US"/>
        </w:rPr>
        <w:t xml:space="preserve">This rebuttal testimony has </w:t>
      </w:r>
      <w:r w:rsidR="00AA31D3" w:rsidRPr="00255659">
        <w:rPr>
          <w:szCs w:val="24"/>
          <w:lang w:eastAsia="en-US"/>
        </w:rPr>
        <w:t>previously discussed the impropriety of relying on dividend growth because of the paucity of such forecasts</w:t>
      </w:r>
      <w:r>
        <w:rPr>
          <w:szCs w:val="24"/>
          <w:lang w:eastAsia="en-US"/>
        </w:rPr>
        <w:t xml:space="preserve">, and I do not repeat that discussion here. Similarly, my </w:t>
      </w:r>
      <w:r w:rsidR="00AA31D3" w:rsidRPr="00255659">
        <w:rPr>
          <w:szCs w:val="24"/>
          <w:lang w:eastAsia="en-US"/>
        </w:rPr>
        <w:t>direct testimony</w:t>
      </w:r>
      <w:r>
        <w:rPr>
          <w:szCs w:val="24"/>
          <w:lang w:eastAsia="en-US"/>
        </w:rPr>
        <w:t xml:space="preserve"> </w:t>
      </w:r>
      <w:r w:rsidR="00AA31D3" w:rsidRPr="00255659">
        <w:rPr>
          <w:szCs w:val="24"/>
          <w:lang w:eastAsia="en-US"/>
        </w:rPr>
        <w:t>discussed the merits of using consensus analysts</w:t>
      </w:r>
      <w:r w:rsidR="00255659">
        <w:rPr>
          <w:szCs w:val="24"/>
          <w:lang w:eastAsia="en-US"/>
        </w:rPr>
        <w:t>’</w:t>
      </w:r>
      <w:r w:rsidR="00AA31D3" w:rsidRPr="00255659">
        <w:rPr>
          <w:szCs w:val="24"/>
          <w:lang w:eastAsia="en-US"/>
        </w:rPr>
        <w:t xml:space="preserve"> earnings growth forecasts in the DCF model and the supportive empirical literature</w:t>
      </w:r>
      <w:r>
        <w:rPr>
          <w:szCs w:val="24"/>
          <w:lang w:eastAsia="en-US"/>
        </w:rPr>
        <w:t>,</w:t>
      </w:r>
      <w:r w:rsidR="00EE44BA">
        <w:rPr>
          <w:rStyle w:val="FootnoteReference"/>
          <w:szCs w:val="24"/>
          <w:lang w:eastAsia="en-US"/>
        </w:rPr>
        <w:footnoteReference w:id="48"/>
      </w:r>
      <w:r>
        <w:rPr>
          <w:szCs w:val="24"/>
          <w:lang w:eastAsia="en-US"/>
        </w:rPr>
        <w:t xml:space="preserve"> and I do not repeat that discussion here</w:t>
      </w:r>
      <w:r w:rsidR="00AA31D3" w:rsidRPr="00255659">
        <w:rPr>
          <w:szCs w:val="24"/>
          <w:lang w:eastAsia="en-US"/>
        </w:rPr>
        <w:t>.</w:t>
      </w:r>
    </w:p>
    <w:p w:rsidR="00AA31D3" w:rsidRPr="00255659" w:rsidRDefault="00AA31D3" w:rsidP="00540A76">
      <w:pPr>
        <w:pStyle w:val="question"/>
      </w:pPr>
      <w:r w:rsidRPr="00255659">
        <w:lastRenderedPageBreak/>
        <w:t>Q.</w:t>
      </w:r>
      <w:r w:rsidRPr="00255659">
        <w:tab/>
      </w:r>
      <w:r w:rsidR="000A7CDF" w:rsidRPr="00255659">
        <w:t>What does the published academic literature say on the subject of analysts</w:t>
      </w:r>
      <w:r w:rsidR="00255659">
        <w:t>’</w:t>
      </w:r>
      <w:r w:rsidR="000A7CDF" w:rsidRPr="00255659">
        <w:t xml:space="preserve"> growth rate forecasts in the DCF model</w:t>
      </w:r>
      <w:r w:rsidRPr="00255659">
        <w:t>?</w:t>
      </w:r>
    </w:p>
    <w:p w:rsidR="00AA31D3" w:rsidRPr="00255659" w:rsidRDefault="00AA31D3" w:rsidP="00540A76">
      <w:pPr>
        <w:pStyle w:val="answer"/>
        <w:rPr>
          <w:rFonts w:eastAsia="SimSun"/>
        </w:rPr>
      </w:pPr>
      <w:r w:rsidRPr="00255659">
        <w:rPr>
          <w:rFonts w:eastAsia="SimSun"/>
        </w:rPr>
        <w:t>A.</w:t>
      </w:r>
      <w:r w:rsidRPr="00255659">
        <w:rPr>
          <w:rFonts w:eastAsia="SimSun"/>
        </w:rPr>
        <w:tab/>
        <w:t>Published studies in the academic literature demonstrate that (i) analysts</w:t>
      </w:r>
      <w:r w:rsidR="00255659">
        <w:rPr>
          <w:rFonts w:eastAsia="SimSun"/>
        </w:rPr>
        <w:t>’</w:t>
      </w:r>
      <w:r w:rsidRPr="00255659">
        <w:rPr>
          <w:rFonts w:eastAsia="SimSun"/>
        </w:rPr>
        <w:t xml:space="preserve"> growth rate forecasts are reasonable indicators of investor expectations and (ii) inv</w:t>
      </w:r>
      <w:r w:rsidR="000A7CDF" w:rsidRPr="00255659">
        <w:rPr>
          <w:rFonts w:eastAsia="SimSun"/>
        </w:rPr>
        <w:t>estors rely on such forecasts.</w:t>
      </w:r>
    </w:p>
    <w:p w:rsidR="00AA31D3" w:rsidRPr="00255659" w:rsidRDefault="00AA31D3" w:rsidP="00540A76">
      <w:pPr>
        <w:pStyle w:val="question"/>
        <w:rPr>
          <w:lang w:eastAsia="en-US"/>
        </w:rPr>
      </w:pPr>
      <w:r w:rsidRPr="00255659">
        <w:rPr>
          <w:lang w:eastAsia="en-US"/>
        </w:rPr>
        <w:t>Q.</w:t>
      </w:r>
      <w:r w:rsidR="00E74490" w:rsidRPr="00255659">
        <w:rPr>
          <w:lang w:eastAsia="en-US"/>
        </w:rPr>
        <w:tab/>
      </w:r>
      <w:r w:rsidR="00F6479A" w:rsidRPr="00255659">
        <w:rPr>
          <w:lang w:eastAsia="en-US"/>
        </w:rPr>
        <w:t xml:space="preserve">How do you respond </w:t>
      </w:r>
      <w:r w:rsidR="00F6479A">
        <w:rPr>
          <w:lang w:eastAsia="en-US"/>
        </w:rPr>
        <w:t xml:space="preserve">to </w:t>
      </w:r>
      <w:r w:rsidR="004C03EA" w:rsidRPr="00255659">
        <w:rPr>
          <w:lang w:eastAsia="en-US"/>
        </w:rPr>
        <w:t>Dr.</w:t>
      </w:r>
      <w:r w:rsidR="004C03EA">
        <w:rPr>
          <w:lang w:eastAsia="en-US"/>
        </w:rPr>
        <w:t> </w:t>
      </w:r>
      <w:r w:rsidR="000A7CDF" w:rsidRPr="00255659">
        <w:rPr>
          <w:lang w:eastAsia="en-US"/>
        </w:rPr>
        <w:t>Woolridge</w:t>
      </w:r>
      <w:r w:rsidR="00F6479A">
        <w:rPr>
          <w:lang w:eastAsia="en-US"/>
        </w:rPr>
        <w:t xml:space="preserve">’s criticisms that </w:t>
      </w:r>
      <w:r w:rsidR="000A7CDF" w:rsidRPr="00255659">
        <w:rPr>
          <w:lang w:eastAsia="en-US"/>
        </w:rPr>
        <w:t xml:space="preserve">your DCF analysis because it relies on </w:t>
      </w:r>
      <w:r w:rsidR="00F6479A">
        <w:rPr>
          <w:lang w:eastAsia="en-US"/>
        </w:rPr>
        <w:t xml:space="preserve">overly-optimistic </w:t>
      </w:r>
      <w:r w:rsidR="000A7CDF" w:rsidRPr="00255659">
        <w:rPr>
          <w:lang w:eastAsia="en-US"/>
        </w:rPr>
        <w:t>earnings growth projections</w:t>
      </w:r>
      <w:r w:rsidRPr="00255659">
        <w:rPr>
          <w:lang w:eastAsia="en-US"/>
        </w:rPr>
        <w:t>?</w:t>
      </w:r>
    </w:p>
    <w:p w:rsidR="000A7CDF" w:rsidRPr="00F6479A" w:rsidRDefault="00AA31D3" w:rsidP="00540A76">
      <w:pPr>
        <w:pStyle w:val="answer"/>
        <w:rPr>
          <w:lang w:eastAsia="en-US"/>
        </w:rPr>
      </w:pPr>
      <w:r w:rsidRPr="00255659">
        <w:rPr>
          <w:lang w:eastAsia="en-US"/>
        </w:rPr>
        <w:t>A.</w:t>
      </w:r>
      <w:r w:rsidR="000A7CDF" w:rsidRPr="00255659">
        <w:rPr>
          <w:lang w:eastAsia="en-US"/>
        </w:rPr>
        <w:tab/>
      </w:r>
      <w:r w:rsidR="004C03EA" w:rsidRPr="00255659">
        <w:rPr>
          <w:lang w:eastAsia="en-US"/>
        </w:rPr>
        <w:t>Dr.</w:t>
      </w:r>
      <w:r w:rsidR="004C03EA">
        <w:rPr>
          <w:lang w:eastAsia="en-US"/>
        </w:rPr>
        <w:t> </w:t>
      </w:r>
      <w:r w:rsidRPr="00255659">
        <w:rPr>
          <w:lang w:eastAsia="en-US"/>
        </w:rPr>
        <w:t xml:space="preserve">Woolridge </w:t>
      </w:r>
      <w:r w:rsidR="00EE44BA">
        <w:rPr>
          <w:lang w:eastAsia="en-US"/>
        </w:rPr>
        <w:t xml:space="preserve">erroneously </w:t>
      </w:r>
      <w:r w:rsidRPr="00255659">
        <w:rPr>
          <w:lang w:eastAsia="en-US"/>
        </w:rPr>
        <w:t>denounces the use of financial analysts</w:t>
      </w:r>
      <w:r w:rsidR="00255659">
        <w:rPr>
          <w:lang w:eastAsia="en-US"/>
        </w:rPr>
        <w:t>’</w:t>
      </w:r>
      <w:r w:rsidRPr="00255659">
        <w:rPr>
          <w:lang w:eastAsia="en-US"/>
        </w:rPr>
        <w:t xml:space="preserve"> earnings forecasts on the grounds that such forecasts are overly-optimistic.</w:t>
      </w:r>
      <w:r w:rsidR="00F6479A">
        <w:rPr>
          <w:rStyle w:val="FootnoteReference"/>
          <w:lang w:eastAsia="en-US"/>
        </w:rPr>
        <w:footnoteReference w:id="49"/>
      </w:r>
      <w:r w:rsidR="00C91CE2">
        <w:rPr>
          <w:lang w:eastAsia="en-US"/>
        </w:rPr>
        <w:t xml:space="preserve"> </w:t>
      </w:r>
      <w:r w:rsidRPr="00255659">
        <w:rPr>
          <w:lang w:eastAsia="en-US"/>
        </w:rPr>
        <w:t xml:space="preserve">Using virtually all publicly available analyst earnings forecasts for a large sample of companies (over 23,000 individual forecasts by 100 analyst firms), </w:t>
      </w:r>
      <w:r w:rsidR="00F6479A" w:rsidRPr="00F6479A">
        <w:rPr>
          <w:lang w:eastAsia="en-US"/>
        </w:rPr>
        <w:t>Thomas Lys and Sungkyu Sohn</w:t>
      </w:r>
      <w:r w:rsidR="00F6479A">
        <w:rPr>
          <w:lang w:eastAsia="en-US"/>
        </w:rPr>
        <w:t xml:space="preserve"> </w:t>
      </w:r>
      <w:r w:rsidRPr="00255659">
        <w:rPr>
          <w:lang w:eastAsia="en-US"/>
        </w:rPr>
        <w:t>show that stock returns respond to individual analyst earnings forecasts, even when they are closely preceded by earnings forecasts made by other analysts or by corporate accounting disclosures</w:t>
      </w:r>
      <w:r w:rsidR="000A7CDF" w:rsidRPr="00255659">
        <w:rPr>
          <w:lang w:eastAsia="en-US"/>
        </w:rPr>
        <w:t>.</w:t>
      </w:r>
      <w:r w:rsidR="000A7CDF" w:rsidRPr="00255659">
        <w:rPr>
          <w:rStyle w:val="FootnoteReference"/>
          <w:lang w:eastAsia="en-US"/>
        </w:rPr>
        <w:footnoteReference w:id="50"/>
      </w:r>
      <w:r w:rsidR="00C91CE2">
        <w:rPr>
          <w:lang w:eastAsia="en-US"/>
        </w:rPr>
        <w:t xml:space="preserve"> </w:t>
      </w:r>
      <w:r w:rsidRPr="00255659">
        <w:rPr>
          <w:lang w:eastAsia="en-US"/>
        </w:rPr>
        <w:t xml:space="preserve">Using actual and IBES data from 1982 - 1995, </w:t>
      </w:r>
      <w:r w:rsidR="00F6479A" w:rsidRPr="00F6479A">
        <w:rPr>
          <w:lang w:eastAsia="en-US"/>
        </w:rPr>
        <w:t>John Easterwood and Stacey Nutt</w:t>
      </w:r>
      <w:r w:rsidR="00F6479A">
        <w:rPr>
          <w:lang w:eastAsia="en-US"/>
        </w:rPr>
        <w:t xml:space="preserve"> </w:t>
      </w:r>
      <w:r w:rsidRPr="00255659">
        <w:rPr>
          <w:lang w:eastAsia="en-US"/>
        </w:rPr>
        <w:t>regress</w:t>
      </w:r>
      <w:r w:rsidR="00F6479A">
        <w:rPr>
          <w:lang w:eastAsia="en-US"/>
        </w:rPr>
        <w:t>ed</w:t>
      </w:r>
      <w:r w:rsidRPr="00255659">
        <w:rPr>
          <w:lang w:eastAsia="en-US"/>
        </w:rPr>
        <w:t xml:space="preserve"> the analysts</w:t>
      </w:r>
      <w:r w:rsidR="00255659">
        <w:rPr>
          <w:lang w:eastAsia="en-US"/>
        </w:rPr>
        <w:t>’</w:t>
      </w:r>
      <w:r w:rsidRPr="00255659">
        <w:rPr>
          <w:lang w:eastAsia="en-US"/>
        </w:rPr>
        <w:t xml:space="preserve"> forecast errors against either historical earnings changes or analysts</w:t>
      </w:r>
      <w:r w:rsidR="00255659">
        <w:rPr>
          <w:lang w:eastAsia="en-US"/>
        </w:rPr>
        <w:t>’</w:t>
      </w:r>
      <w:r w:rsidRPr="00255659">
        <w:rPr>
          <w:lang w:eastAsia="en-US"/>
        </w:rPr>
        <w:t xml:space="preserve"> forecasting </w:t>
      </w:r>
      <w:r w:rsidRPr="00255659">
        <w:rPr>
          <w:lang w:eastAsia="en-US"/>
        </w:rPr>
        <w:lastRenderedPageBreak/>
        <w:t>errors in the prior years.</w:t>
      </w:r>
      <w:r w:rsidR="00C91CE2">
        <w:rPr>
          <w:lang w:eastAsia="en-US"/>
        </w:rPr>
        <w:t xml:space="preserve"> </w:t>
      </w:r>
      <w:r w:rsidRPr="00255659">
        <w:rPr>
          <w:lang w:eastAsia="en-US"/>
        </w:rPr>
        <w:t>Results show that analysts tend to under-react to negative earnings information, but overreact to positive earnings information</w:t>
      </w:r>
      <w:r w:rsidR="000A7CDF" w:rsidRPr="00255659">
        <w:rPr>
          <w:lang w:eastAsia="en-US"/>
        </w:rPr>
        <w:t>.</w:t>
      </w:r>
      <w:r w:rsidR="000A7CDF" w:rsidRPr="00255659">
        <w:rPr>
          <w:rStyle w:val="FootnoteReference"/>
          <w:lang w:eastAsia="en-US"/>
        </w:rPr>
        <w:footnoteReference w:id="51"/>
      </w:r>
    </w:p>
    <w:p w:rsidR="00B97282" w:rsidRDefault="00B97282" w:rsidP="00540A76">
      <w:pPr>
        <w:pStyle w:val="answer"/>
        <w:ind w:firstLine="0"/>
        <w:rPr>
          <w:lang w:eastAsia="en-US"/>
        </w:rPr>
      </w:pPr>
      <w:r>
        <w:rPr>
          <w:lang w:eastAsia="en-US"/>
        </w:rPr>
        <w:t>M</w:t>
      </w:r>
      <w:r w:rsidR="00AA31D3" w:rsidRPr="00255659">
        <w:rPr>
          <w:lang w:eastAsia="en-US"/>
        </w:rPr>
        <w:t>ore recent studies provide evidence that analysts make biased forecasts and misinterpret the impact of new information. For example, several studies in the early 1990s suggest that analysts either systematically underreact or overreact to new information.</w:t>
      </w:r>
      <w:r w:rsidR="00C91CE2">
        <w:rPr>
          <w:lang w:eastAsia="en-US"/>
        </w:rPr>
        <w:t xml:space="preserve"> </w:t>
      </w:r>
      <w:r w:rsidR="00AA31D3" w:rsidRPr="00255659">
        <w:rPr>
          <w:lang w:eastAsia="en-US"/>
        </w:rPr>
        <w:t>Easterwood and Nutt discriminate between these different reactions and reported that analysts underreact to negative information, but overreact to positive information.</w:t>
      </w:r>
      <w:r w:rsidRPr="00255659">
        <w:rPr>
          <w:rStyle w:val="FootnoteReference"/>
          <w:lang w:eastAsia="en-US"/>
        </w:rPr>
        <w:footnoteReference w:id="52"/>
      </w:r>
    </w:p>
    <w:p w:rsidR="00B97282" w:rsidRDefault="00AA31D3" w:rsidP="00540A76">
      <w:pPr>
        <w:pStyle w:val="answer"/>
        <w:ind w:firstLine="0"/>
        <w:rPr>
          <w:lang w:eastAsia="en-US"/>
        </w:rPr>
      </w:pPr>
      <w:r w:rsidRPr="00255659">
        <w:rPr>
          <w:lang w:eastAsia="en-US"/>
        </w:rPr>
        <w:t>The recent studies do not necessarily contradict the earlier literature.</w:t>
      </w:r>
      <w:r w:rsidR="00C91CE2">
        <w:rPr>
          <w:lang w:eastAsia="en-US"/>
        </w:rPr>
        <w:t xml:space="preserve"> </w:t>
      </w:r>
      <w:r w:rsidRPr="00255659">
        <w:rPr>
          <w:lang w:eastAsia="en-US"/>
        </w:rPr>
        <w:t>The earlier research focused on whether analysts</w:t>
      </w:r>
      <w:r w:rsidR="00255659">
        <w:rPr>
          <w:lang w:eastAsia="en-US"/>
        </w:rPr>
        <w:t>’</w:t>
      </w:r>
      <w:r w:rsidRPr="00255659">
        <w:rPr>
          <w:lang w:eastAsia="en-US"/>
        </w:rPr>
        <w:t xml:space="preserve"> earnings forecasts are better at forecasting future earnings than historical averages, whereas the recent literature investigates whether the analysts</w:t>
      </w:r>
      <w:r w:rsidR="00255659">
        <w:rPr>
          <w:lang w:eastAsia="en-US"/>
        </w:rPr>
        <w:t>’</w:t>
      </w:r>
      <w:r w:rsidRPr="00255659">
        <w:rPr>
          <w:lang w:eastAsia="en-US"/>
        </w:rPr>
        <w:t xml:space="preserve"> earnings forecasts are unbiased estimates of future earnings.</w:t>
      </w:r>
    </w:p>
    <w:p w:rsidR="000A7CDF" w:rsidRPr="00255659" w:rsidRDefault="00AA31D3" w:rsidP="00540A76">
      <w:pPr>
        <w:pStyle w:val="answer"/>
        <w:ind w:firstLine="0"/>
        <w:rPr>
          <w:szCs w:val="24"/>
          <w:lang w:eastAsia="en-US"/>
        </w:rPr>
      </w:pPr>
      <w:r w:rsidRPr="00255659">
        <w:rPr>
          <w:szCs w:val="24"/>
          <w:lang w:eastAsia="en-US"/>
        </w:rPr>
        <w:t>One way to assess the concern that analysts</w:t>
      </w:r>
      <w:r w:rsidR="00255659">
        <w:rPr>
          <w:szCs w:val="24"/>
          <w:lang w:eastAsia="en-US"/>
        </w:rPr>
        <w:t>’</w:t>
      </w:r>
      <w:r w:rsidRPr="00255659">
        <w:rPr>
          <w:szCs w:val="24"/>
          <w:lang w:eastAsia="en-US"/>
        </w:rPr>
        <w:t xml:space="preserve"> forecasts may be biased upward is to incorporate into the analysis the growth forecasts of independent research firms, such as Value Line, in addition to the analyst consensus forecast.</w:t>
      </w:r>
      <w:r w:rsidR="00C91CE2">
        <w:rPr>
          <w:szCs w:val="24"/>
          <w:lang w:eastAsia="en-US"/>
        </w:rPr>
        <w:t xml:space="preserve"> </w:t>
      </w:r>
      <w:r w:rsidRPr="00255659">
        <w:rPr>
          <w:szCs w:val="24"/>
          <w:lang w:eastAsia="en-US"/>
        </w:rPr>
        <w:t>Unlike investment banking firms and stock brokerage firms, independent research firms such as Value Line have no incentive to distort earnings growth estimates in order to bolster interest in common stocks.</w:t>
      </w:r>
    </w:p>
    <w:p w:rsidR="00AA31D3" w:rsidRPr="00255659" w:rsidRDefault="004C03EA" w:rsidP="00540A76">
      <w:pPr>
        <w:pStyle w:val="answer"/>
        <w:ind w:firstLine="0"/>
        <w:rPr>
          <w:lang w:eastAsia="en-US"/>
        </w:rPr>
      </w:pPr>
      <w:r w:rsidRPr="00255659">
        <w:rPr>
          <w:lang w:eastAsia="en-US"/>
        </w:rPr>
        <w:lastRenderedPageBreak/>
        <w:t>Dr.</w:t>
      </w:r>
      <w:r>
        <w:rPr>
          <w:lang w:eastAsia="en-US"/>
        </w:rPr>
        <w:t> </w:t>
      </w:r>
      <w:r w:rsidR="00AA31D3" w:rsidRPr="00255659">
        <w:rPr>
          <w:spacing w:val="-3"/>
          <w:lang w:eastAsia="en-US"/>
        </w:rPr>
        <w:t>Woolridge argues that analysts tend to forecast earnings growth rates that exceed those actually achieved and that this optimism biases the DCF results upward.</w:t>
      </w:r>
      <w:r w:rsidR="00B97282">
        <w:rPr>
          <w:rStyle w:val="FootnoteReference"/>
          <w:lang w:eastAsia="en-US"/>
        </w:rPr>
        <w:footnoteReference w:id="53"/>
      </w:r>
      <w:r w:rsidR="00C91CE2">
        <w:rPr>
          <w:spacing w:val="-3"/>
          <w:lang w:eastAsia="en-US"/>
        </w:rPr>
        <w:t xml:space="preserve"> </w:t>
      </w:r>
      <w:r w:rsidR="00AA31D3" w:rsidRPr="00255659">
        <w:rPr>
          <w:spacing w:val="-3"/>
          <w:lang w:eastAsia="en-US"/>
        </w:rPr>
        <w:t>The magnitude of the optimism bias for large rate-regulated companies in stable segments of an industry is likely to be very small.</w:t>
      </w:r>
      <w:r w:rsidR="00C91CE2">
        <w:t xml:space="preserve"> </w:t>
      </w:r>
      <w:r w:rsidR="00AA31D3" w:rsidRPr="00255659">
        <w:rPr>
          <w:spacing w:val="-3"/>
          <w:lang w:eastAsia="en-US"/>
        </w:rPr>
        <w:t>Empirically, the severity of the optimism problem is unclear for regulated utilities, if a problem exists at all.</w:t>
      </w:r>
      <w:r w:rsidR="00C91CE2">
        <w:rPr>
          <w:spacing w:val="-3"/>
          <w:lang w:eastAsia="en-US"/>
        </w:rPr>
        <w:t xml:space="preserve"> </w:t>
      </w:r>
      <w:r w:rsidR="00AA31D3" w:rsidRPr="00255659">
        <w:rPr>
          <w:spacing w:val="-3"/>
          <w:lang w:eastAsia="en-US"/>
        </w:rPr>
        <w:t xml:space="preserve">It is interesting to note that Value Line forecasts for utility companies made by independent analysts with no incentive for over- or understating growth forecasts are not materially different from those published by analysts in security firms with incentives not based on forecast accuracy, and may in fact be more robust. </w:t>
      </w:r>
    </w:p>
    <w:p w:rsidR="00AA31D3" w:rsidRPr="00255659" w:rsidRDefault="00AA31D3" w:rsidP="00540A76">
      <w:pPr>
        <w:pStyle w:val="question"/>
        <w:rPr>
          <w:lang w:eastAsia="en-US"/>
        </w:rPr>
      </w:pPr>
      <w:r w:rsidRPr="00255659">
        <w:rPr>
          <w:lang w:eastAsia="en-US"/>
        </w:rPr>
        <w:t>Q.</w:t>
      </w:r>
      <w:r w:rsidRPr="00255659">
        <w:rPr>
          <w:lang w:eastAsia="en-US"/>
        </w:rPr>
        <w:tab/>
      </w:r>
      <w:r w:rsidR="000A7CDF" w:rsidRPr="00255659">
        <w:rPr>
          <w:lang w:eastAsia="en-US"/>
        </w:rPr>
        <w:t>Is there any empirical evidence documenting the importance of earnings in evaluating investors</w:t>
      </w:r>
      <w:r w:rsidR="00255659">
        <w:rPr>
          <w:lang w:eastAsia="en-US"/>
        </w:rPr>
        <w:t>’</w:t>
      </w:r>
      <w:r w:rsidR="000A7CDF" w:rsidRPr="00255659">
        <w:rPr>
          <w:lang w:eastAsia="en-US"/>
        </w:rPr>
        <w:t xml:space="preserve"> expectations in the investment community?</w:t>
      </w:r>
    </w:p>
    <w:p w:rsidR="001C6AB4" w:rsidRPr="00255659" w:rsidRDefault="00AA31D3" w:rsidP="00540A76">
      <w:pPr>
        <w:pStyle w:val="answer"/>
        <w:rPr>
          <w:lang w:eastAsia="en-US"/>
        </w:rPr>
      </w:pPr>
      <w:r w:rsidRPr="00255659">
        <w:rPr>
          <w:lang w:eastAsia="en-US"/>
        </w:rPr>
        <w:t>A.</w:t>
      </w:r>
      <w:r w:rsidRPr="00255659">
        <w:rPr>
          <w:lang w:eastAsia="en-US"/>
        </w:rPr>
        <w:tab/>
        <w:t>There is an abundance of evidence attesting to the importance of earnings in assessing investors</w:t>
      </w:r>
      <w:r w:rsidR="00255659">
        <w:rPr>
          <w:lang w:eastAsia="en-US"/>
        </w:rPr>
        <w:t>’</w:t>
      </w:r>
      <w:r w:rsidRPr="00255659">
        <w:rPr>
          <w:lang w:eastAsia="en-US"/>
        </w:rPr>
        <w:t xml:space="preserve"> expectations.</w:t>
      </w:r>
      <w:r w:rsidR="00C91CE2">
        <w:rPr>
          <w:lang w:eastAsia="en-US"/>
        </w:rPr>
        <w:t xml:space="preserve"> </w:t>
      </w:r>
      <w:r w:rsidRPr="00255659">
        <w:rPr>
          <w:lang w:eastAsia="en-US"/>
        </w:rPr>
        <w:t>First, the sheer volume of earnings forecasts available from the investment community relative to the scarcity of dividend forecasts attests to their importance.</w:t>
      </w:r>
      <w:r w:rsidR="00C91CE2">
        <w:rPr>
          <w:lang w:eastAsia="en-US"/>
        </w:rPr>
        <w:t xml:space="preserve"> </w:t>
      </w:r>
      <w:r w:rsidRPr="00255659">
        <w:rPr>
          <w:lang w:eastAsia="en-US"/>
        </w:rPr>
        <w:t>To illustrate, Value Line, Zacks Investment, First Call Thompson, Reuters, Yahoo Finance, and Multex provide comprehensive compilations of investors</w:t>
      </w:r>
      <w:r w:rsidR="00255659">
        <w:rPr>
          <w:lang w:eastAsia="en-US"/>
        </w:rPr>
        <w:t>’</w:t>
      </w:r>
      <w:r w:rsidRPr="00255659">
        <w:rPr>
          <w:lang w:eastAsia="en-US"/>
        </w:rPr>
        <w:t xml:space="preserve"> earnings forecasts, to name some.</w:t>
      </w:r>
      <w:r w:rsidR="00C91CE2">
        <w:rPr>
          <w:lang w:eastAsia="en-US"/>
        </w:rPr>
        <w:t xml:space="preserve"> </w:t>
      </w:r>
      <w:r w:rsidRPr="00255659">
        <w:rPr>
          <w:lang w:eastAsia="en-US"/>
        </w:rPr>
        <w:t>The fact that these investment information providers focus on growth in earnings rather than growth in dividends indicates that the investment community regards earnings growth as a superior indicator of future long-term growth.</w:t>
      </w:r>
      <w:r w:rsidR="00C91CE2">
        <w:rPr>
          <w:lang w:eastAsia="en-US"/>
        </w:rPr>
        <w:t xml:space="preserve"> </w:t>
      </w:r>
      <w:r w:rsidRPr="00255659">
        <w:rPr>
          <w:lang w:eastAsia="en-US"/>
        </w:rPr>
        <w:t xml:space="preserve">Second, Value </w:t>
      </w:r>
      <w:r w:rsidRPr="00255659">
        <w:rPr>
          <w:lang w:eastAsia="en-US"/>
        </w:rPr>
        <w:lastRenderedPageBreak/>
        <w:t>Line</w:t>
      </w:r>
      <w:r w:rsidR="00255659">
        <w:rPr>
          <w:lang w:eastAsia="en-US"/>
        </w:rPr>
        <w:t>’</w:t>
      </w:r>
      <w:r w:rsidRPr="00255659">
        <w:rPr>
          <w:lang w:eastAsia="en-US"/>
        </w:rPr>
        <w:t>s principal investment rating assigned to individual stocks, Timeliness Rank, is based primarily on earnings, accounting for 65</w:t>
      </w:r>
      <w:r w:rsidR="00DD2B52">
        <w:rPr>
          <w:lang w:eastAsia="en-US"/>
        </w:rPr>
        <w:t> percent</w:t>
      </w:r>
      <w:r w:rsidRPr="00255659">
        <w:rPr>
          <w:lang w:eastAsia="en-US"/>
        </w:rPr>
        <w:t xml:space="preserve"> of the ranking.</w:t>
      </w:r>
    </w:p>
    <w:p w:rsidR="00AA31D3" w:rsidRPr="00255659" w:rsidRDefault="004C03EA" w:rsidP="00540A76">
      <w:pPr>
        <w:pStyle w:val="answer"/>
        <w:ind w:firstLine="0"/>
        <w:rPr>
          <w:szCs w:val="24"/>
          <w:lang w:eastAsia="en-US"/>
        </w:rPr>
      </w:pPr>
      <w:r w:rsidRPr="00255659">
        <w:rPr>
          <w:lang w:eastAsia="en-US"/>
        </w:rPr>
        <w:t>Dr.</w:t>
      </w:r>
      <w:r>
        <w:rPr>
          <w:lang w:eastAsia="en-US"/>
        </w:rPr>
        <w:t> </w:t>
      </w:r>
      <w:r w:rsidR="00AA31D3" w:rsidRPr="00255659">
        <w:rPr>
          <w:szCs w:val="24"/>
          <w:lang w:eastAsia="en-US"/>
        </w:rPr>
        <w:t>Woolridge also laments the fact that I did not rely on dividend growth forecasts. The reason is that as a practical matter, while there is an abundance of earnings growth forecasts, there are very few forecasts of dividend growth. Moreover, earnings growth provides a more meaningful guide to investors</w:t>
      </w:r>
      <w:r w:rsidR="00255659">
        <w:rPr>
          <w:szCs w:val="24"/>
          <w:lang w:eastAsia="en-US"/>
        </w:rPr>
        <w:t>’</w:t>
      </w:r>
      <w:r w:rsidR="00AA31D3" w:rsidRPr="00255659">
        <w:rPr>
          <w:szCs w:val="24"/>
          <w:lang w:eastAsia="en-US"/>
        </w:rPr>
        <w:t xml:space="preserve"> long-term growth expectations. Indeed, it is growth in earnings that will support future dividends and share prices. </w:t>
      </w:r>
    </w:p>
    <w:p w:rsidR="00AA31D3" w:rsidRPr="00255659" w:rsidRDefault="00AA31D3" w:rsidP="00540A76">
      <w:pPr>
        <w:pStyle w:val="question"/>
        <w:rPr>
          <w:lang w:eastAsia="en-US"/>
        </w:rPr>
      </w:pPr>
      <w:r w:rsidRPr="00255659">
        <w:rPr>
          <w:lang w:eastAsia="en-US"/>
        </w:rPr>
        <w:t>Q.</w:t>
      </w:r>
      <w:r w:rsidRPr="00255659">
        <w:rPr>
          <w:lang w:eastAsia="en-US"/>
        </w:rPr>
        <w:tab/>
      </w:r>
      <w:r w:rsidR="001C6AB4" w:rsidRPr="00255659">
        <w:rPr>
          <w:lang w:eastAsia="en-US"/>
        </w:rPr>
        <w:t>Please discuss the use of analysts</w:t>
      </w:r>
      <w:r w:rsidR="00255659">
        <w:rPr>
          <w:lang w:eastAsia="en-US"/>
        </w:rPr>
        <w:t>’</w:t>
      </w:r>
      <w:r w:rsidR="001C6AB4" w:rsidRPr="00255659">
        <w:rPr>
          <w:lang w:eastAsia="en-US"/>
        </w:rPr>
        <w:t xml:space="preserve"> forecasts in applying the DCF model to utilities</w:t>
      </w:r>
      <w:r w:rsidRPr="00255659">
        <w:rPr>
          <w:lang w:eastAsia="en-US"/>
        </w:rPr>
        <w:t>.</w:t>
      </w:r>
    </w:p>
    <w:p w:rsidR="00AA31D3" w:rsidRPr="00255659" w:rsidRDefault="00AA31D3" w:rsidP="00540A76">
      <w:pPr>
        <w:pStyle w:val="answer"/>
        <w:rPr>
          <w:lang w:eastAsia="en-US"/>
        </w:rPr>
      </w:pPr>
      <w:r w:rsidRPr="00255659">
        <w:rPr>
          <w:lang w:eastAsia="en-US"/>
        </w:rPr>
        <w:t>A.</w:t>
      </w:r>
      <w:r w:rsidRPr="00255659">
        <w:rPr>
          <w:lang w:eastAsia="en-US"/>
        </w:rPr>
        <w:tab/>
        <w:t>The best proxy for the growth component of the DCF model is analysts</w:t>
      </w:r>
      <w:r w:rsidR="00255659">
        <w:rPr>
          <w:lang w:eastAsia="en-US"/>
        </w:rPr>
        <w:t>’</w:t>
      </w:r>
      <w:r w:rsidRPr="00255659">
        <w:rPr>
          <w:lang w:eastAsia="en-US"/>
        </w:rPr>
        <w:t xml:space="preserve"> long-term earnings growth forecasts.</w:t>
      </w:r>
      <w:r w:rsidR="00C91CE2">
        <w:rPr>
          <w:lang w:eastAsia="en-US"/>
        </w:rPr>
        <w:t xml:space="preserve"> </w:t>
      </w:r>
      <w:r w:rsidRPr="00255659">
        <w:rPr>
          <w:lang w:eastAsia="en-US"/>
        </w:rPr>
        <w:t>These forecasts are made by large reputable organizations, and the data are readily available to investors and are representative of the consensus view of investors.</w:t>
      </w:r>
    </w:p>
    <w:p w:rsidR="00320E4F" w:rsidRDefault="00AA31D3" w:rsidP="00320E4F">
      <w:pPr>
        <w:pStyle w:val="answer"/>
        <w:ind w:firstLine="0"/>
        <w:rPr>
          <w:lang w:eastAsia="en-US"/>
        </w:rPr>
      </w:pPr>
      <w:r w:rsidRPr="00255659">
        <w:rPr>
          <w:lang w:eastAsia="en-US"/>
        </w:rPr>
        <w:t>Published studies in the academic literature demonstrate that growth forecasts made by security analysts are reasonable indicators of investor expectations, and that investors rely on analysts</w:t>
      </w:r>
      <w:r w:rsidR="00255659">
        <w:rPr>
          <w:lang w:eastAsia="en-US"/>
        </w:rPr>
        <w:t>’</w:t>
      </w:r>
      <w:r w:rsidRPr="00255659">
        <w:rPr>
          <w:lang w:eastAsia="en-US"/>
        </w:rPr>
        <w:t xml:space="preserve"> forecasts.</w:t>
      </w:r>
      <w:r w:rsidR="00C91CE2">
        <w:rPr>
          <w:lang w:eastAsia="en-US"/>
        </w:rPr>
        <w:t xml:space="preserve"> </w:t>
      </w:r>
      <w:r w:rsidR="00320E4F">
        <w:rPr>
          <w:lang w:eastAsia="en-US"/>
        </w:rPr>
        <w:t xml:space="preserve">John </w:t>
      </w:r>
      <w:r w:rsidR="00320E4F" w:rsidRPr="00320E4F">
        <w:rPr>
          <w:lang w:eastAsia="en-US"/>
        </w:rPr>
        <w:t>Cragg and Burton Malkiel</w:t>
      </w:r>
      <w:r w:rsidR="00320E4F">
        <w:rPr>
          <w:lang w:eastAsia="en-US"/>
        </w:rPr>
        <w:t xml:space="preserve"> </w:t>
      </w:r>
      <w:r w:rsidRPr="00255659">
        <w:rPr>
          <w:lang w:eastAsia="en-US"/>
        </w:rPr>
        <w:t>present detailed empirical evidence that the average analysts</w:t>
      </w:r>
      <w:r w:rsidR="00255659">
        <w:rPr>
          <w:lang w:eastAsia="en-US"/>
        </w:rPr>
        <w:t>’</w:t>
      </w:r>
      <w:r w:rsidRPr="00255659">
        <w:rPr>
          <w:lang w:eastAsia="en-US"/>
        </w:rPr>
        <w:t xml:space="preserve"> expectation is more similar to expectations being reflected in the marketplace than are historical growth rates</w:t>
      </w:r>
      <w:r w:rsidR="00320E4F">
        <w:rPr>
          <w:lang w:eastAsia="en-US"/>
        </w:rPr>
        <w:t xml:space="preserve"> </w:t>
      </w:r>
      <w:r w:rsidRPr="00255659">
        <w:rPr>
          <w:lang w:eastAsia="en-US"/>
        </w:rPr>
        <w:t>and represents the best possible source of DCF growth rates.</w:t>
      </w:r>
      <w:r w:rsidR="00C91CE2">
        <w:rPr>
          <w:lang w:eastAsia="en-US"/>
        </w:rPr>
        <w:t xml:space="preserve"> </w:t>
      </w:r>
      <w:r w:rsidRPr="00255659">
        <w:rPr>
          <w:lang w:eastAsia="en-US"/>
        </w:rPr>
        <w:t xml:space="preserve">Cragg and Malkiel show that historical growth rates do not contain any information that is not </w:t>
      </w:r>
      <w:r w:rsidRPr="00255659">
        <w:rPr>
          <w:lang w:eastAsia="en-US"/>
        </w:rPr>
        <w:lastRenderedPageBreak/>
        <w:t>already impounded in analysts</w:t>
      </w:r>
      <w:r w:rsidR="00255659">
        <w:rPr>
          <w:lang w:eastAsia="en-US"/>
        </w:rPr>
        <w:t>’</w:t>
      </w:r>
      <w:r w:rsidRPr="00255659">
        <w:rPr>
          <w:lang w:eastAsia="en-US"/>
        </w:rPr>
        <w:t xml:space="preserve"> growth forecasts.</w:t>
      </w:r>
      <w:r w:rsidR="00320E4F">
        <w:rPr>
          <w:rStyle w:val="FootnoteReference"/>
          <w:lang w:eastAsia="en-US"/>
        </w:rPr>
        <w:footnoteReference w:id="54"/>
      </w:r>
      <w:r w:rsidR="00320E4F">
        <w:rPr>
          <w:lang w:eastAsia="en-US"/>
        </w:rPr>
        <w:t xml:space="preserve"> </w:t>
      </w:r>
      <w:r w:rsidRPr="00255659">
        <w:rPr>
          <w:lang w:eastAsia="en-US"/>
        </w:rPr>
        <w:t>A study by</w:t>
      </w:r>
      <w:r w:rsidR="00320E4F">
        <w:rPr>
          <w:lang w:eastAsia="en-US"/>
        </w:rPr>
        <w:t xml:space="preserve"> James </w:t>
      </w:r>
      <w:r w:rsidRPr="00255659">
        <w:rPr>
          <w:lang w:eastAsia="en-US"/>
        </w:rPr>
        <w:t xml:space="preserve">Vander Weide and </w:t>
      </w:r>
      <w:r w:rsidR="00320E4F">
        <w:rPr>
          <w:lang w:eastAsia="en-US"/>
        </w:rPr>
        <w:t xml:space="preserve">Willard </w:t>
      </w:r>
      <w:r w:rsidRPr="00255659">
        <w:rPr>
          <w:lang w:eastAsia="en-US"/>
        </w:rPr>
        <w:t>Carleton</w:t>
      </w:r>
      <w:r w:rsidR="00320E4F">
        <w:rPr>
          <w:lang w:eastAsia="en-US"/>
        </w:rPr>
        <w:t xml:space="preserve"> </w:t>
      </w:r>
      <w:r w:rsidRPr="00255659">
        <w:rPr>
          <w:lang w:eastAsia="en-US"/>
        </w:rPr>
        <w:t>confirms the superiority of analysts</w:t>
      </w:r>
      <w:r w:rsidR="00255659">
        <w:rPr>
          <w:lang w:eastAsia="en-US"/>
        </w:rPr>
        <w:t>’</w:t>
      </w:r>
      <w:r w:rsidRPr="00255659">
        <w:rPr>
          <w:lang w:eastAsia="en-US"/>
        </w:rPr>
        <w:t xml:space="preserve"> forecasts over historical growth extrapolations.</w:t>
      </w:r>
      <w:r w:rsidR="00320E4F">
        <w:rPr>
          <w:rStyle w:val="FootnoteReference"/>
          <w:lang w:eastAsia="en-US"/>
        </w:rPr>
        <w:footnoteReference w:id="55"/>
      </w:r>
      <w:r w:rsidR="00320E4F" w:rsidRPr="00320E4F">
        <w:rPr>
          <w:lang w:eastAsia="en-US"/>
        </w:rPr>
        <w:t xml:space="preserve"> </w:t>
      </w:r>
      <w:r w:rsidRPr="00255659">
        <w:rPr>
          <w:lang w:eastAsia="en-US"/>
        </w:rPr>
        <w:t>A</w:t>
      </w:r>
      <w:r w:rsidR="00320E4F">
        <w:rPr>
          <w:lang w:eastAsia="en-US"/>
        </w:rPr>
        <w:t xml:space="preserve"> </w:t>
      </w:r>
      <w:r w:rsidRPr="00255659">
        <w:rPr>
          <w:lang w:eastAsia="en-US"/>
        </w:rPr>
        <w:t xml:space="preserve">study by </w:t>
      </w:r>
      <w:r w:rsidR="00320E4F">
        <w:rPr>
          <w:lang w:eastAsia="en-US"/>
        </w:rPr>
        <w:t xml:space="preserve">Stephen </w:t>
      </w:r>
      <w:r w:rsidRPr="00255659">
        <w:rPr>
          <w:lang w:eastAsia="en-US"/>
        </w:rPr>
        <w:t xml:space="preserve">Timme </w:t>
      </w:r>
      <w:r w:rsidR="00320E4F">
        <w:rPr>
          <w:lang w:eastAsia="en-US"/>
        </w:rPr>
        <w:t xml:space="preserve">and Peter </w:t>
      </w:r>
      <w:r w:rsidRPr="00255659">
        <w:rPr>
          <w:lang w:eastAsia="en-US"/>
        </w:rPr>
        <w:t>Eiseman</w:t>
      </w:r>
      <w:r w:rsidR="00320E4F">
        <w:rPr>
          <w:lang w:eastAsia="en-US"/>
        </w:rPr>
        <w:t xml:space="preserve"> </w:t>
      </w:r>
      <w:r w:rsidRPr="00255659">
        <w:rPr>
          <w:lang w:eastAsia="en-US"/>
        </w:rPr>
        <w:t>produce</w:t>
      </w:r>
      <w:r w:rsidR="00320E4F">
        <w:rPr>
          <w:lang w:eastAsia="en-US"/>
        </w:rPr>
        <w:t>d</w:t>
      </w:r>
      <w:r w:rsidRPr="00255659">
        <w:rPr>
          <w:lang w:eastAsia="en-US"/>
        </w:rPr>
        <w:t xml:space="preserve"> similar results.</w:t>
      </w:r>
      <w:r w:rsidR="00320E4F">
        <w:rPr>
          <w:rStyle w:val="FootnoteReference"/>
          <w:lang w:eastAsia="en-US"/>
        </w:rPr>
        <w:footnoteReference w:id="56"/>
      </w:r>
    </w:p>
    <w:p w:rsidR="00320E4F" w:rsidRPr="00255659" w:rsidRDefault="00320E4F" w:rsidP="00320E4F">
      <w:pPr>
        <w:pStyle w:val="question"/>
      </w:pPr>
      <w:r w:rsidRPr="00255659">
        <w:rPr>
          <w:lang w:eastAsia="en-US"/>
        </w:rPr>
        <w:t>Q.</w:t>
      </w:r>
      <w:r w:rsidRPr="00255659">
        <w:rPr>
          <w:lang w:eastAsia="en-US"/>
        </w:rPr>
        <w:tab/>
        <w:t xml:space="preserve">What </w:t>
      </w:r>
      <w:r>
        <w:rPr>
          <w:lang w:eastAsia="en-US"/>
        </w:rPr>
        <w:t xml:space="preserve">can the Commission </w:t>
      </w:r>
      <w:r w:rsidRPr="00255659">
        <w:rPr>
          <w:lang w:eastAsia="en-US"/>
        </w:rPr>
        <w:t>conclude from Dr. Woolridge</w:t>
      </w:r>
      <w:r>
        <w:rPr>
          <w:lang w:eastAsia="en-US"/>
        </w:rPr>
        <w:t>’</w:t>
      </w:r>
      <w:r w:rsidRPr="00255659">
        <w:rPr>
          <w:lang w:eastAsia="en-US"/>
        </w:rPr>
        <w:t xml:space="preserve">s </w:t>
      </w:r>
      <w:r w:rsidRPr="00255659">
        <w:rPr>
          <w:color w:val="000000"/>
          <w:szCs w:val="24"/>
          <w:lang w:eastAsia="en-US"/>
        </w:rPr>
        <w:t>denunciation of analysts</w:t>
      </w:r>
      <w:r>
        <w:rPr>
          <w:color w:val="000000"/>
          <w:szCs w:val="24"/>
          <w:lang w:eastAsia="en-US"/>
        </w:rPr>
        <w:t>’</w:t>
      </w:r>
      <w:r w:rsidRPr="00255659">
        <w:rPr>
          <w:color w:val="000000"/>
          <w:szCs w:val="24"/>
          <w:lang w:eastAsia="en-US"/>
        </w:rPr>
        <w:t xml:space="preserve"> growth forecasts</w:t>
      </w:r>
      <w:r w:rsidRPr="00255659">
        <w:rPr>
          <w:lang w:eastAsia="en-US"/>
        </w:rPr>
        <w:t>?</w:t>
      </w:r>
    </w:p>
    <w:p w:rsidR="00AA31D3" w:rsidRPr="00255659" w:rsidRDefault="00320E4F" w:rsidP="00747316">
      <w:pPr>
        <w:pStyle w:val="answer"/>
        <w:rPr>
          <w:color w:val="000000"/>
          <w:szCs w:val="24"/>
          <w:lang w:eastAsia="en-US"/>
        </w:rPr>
      </w:pPr>
      <w:r>
        <w:rPr>
          <w:lang w:eastAsia="en-US"/>
        </w:rPr>
        <w:t>A.</w:t>
      </w:r>
      <w:r>
        <w:rPr>
          <w:lang w:eastAsia="en-US"/>
        </w:rPr>
        <w:tab/>
      </w:r>
      <w:r w:rsidR="004C03EA" w:rsidRPr="00255659">
        <w:rPr>
          <w:lang w:eastAsia="en-US"/>
        </w:rPr>
        <w:t>Dr.</w:t>
      </w:r>
      <w:r w:rsidR="004C03EA">
        <w:rPr>
          <w:lang w:eastAsia="en-US"/>
        </w:rPr>
        <w:t> </w:t>
      </w:r>
      <w:r w:rsidR="00AA31D3" w:rsidRPr="00255659">
        <w:rPr>
          <w:color w:val="000000"/>
          <w:szCs w:val="24"/>
          <w:lang w:eastAsia="en-US"/>
        </w:rPr>
        <w:t>Woolridge</w:t>
      </w:r>
      <w:r w:rsidR="00255659">
        <w:rPr>
          <w:color w:val="000000"/>
          <w:szCs w:val="24"/>
          <w:lang w:eastAsia="en-US"/>
        </w:rPr>
        <w:t>’</w:t>
      </w:r>
      <w:r w:rsidR="00AA31D3" w:rsidRPr="00255659">
        <w:rPr>
          <w:color w:val="000000"/>
          <w:szCs w:val="24"/>
          <w:lang w:eastAsia="en-US"/>
        </w:rPr>
        <w:t>s denunciation of analysts</w:t>
      </w:r>
      <w:r w:rsidR="00255659">
        <w:rPr>
          <w:color w:val="000000"/>
          <w:szCs w:val="24"/>
          <w:lang w:eastAsia="en-US"/>
        </w:rPr>
        <w:t>’</w:t>
      </w:r>
      <w:r w:rsidR="00AA31D3" w:rsidRPr="00255659">
        <w:rPr>
          <w:color w:val="000000"/>
          <w:szCs w:val="24"/>
          <w:lang w:eastAsia="en-US"/>
        </w:rPr>
        <w:t xml:space="preserve"> growth forecasts as unreasonable proxies for the DCF growth rate is without foundation and </w:t>
      </w:r>
      <w:r w:rsidR="00702DE7">
        <w:rPr>
          <w:color w:val="000000"/>
          <w:szCs w:val="24"/>
          <w:lang w:eastAsia="en-US"/>
        </w:rPr>
        <w:t xml:space="preserve">is </w:t>
      </w:r>
      <w:r w:rsidR="00AA31D3" w:rsidRPr="00255659">
        <w:rPr>
          <w:color w:val="000000"/>
          <w:szCs w:val="24"/>
          <w:lang w:eastAsia="en-US"/>
        </w:rPr>
        <w:t>inconsistent with the empirical finance literature on the subject.</w:t>
      </w:r>
      <w:r w:rsidR="00C91CE2">
        <w:rPr>
          <w:color w:val="000000"/>
          <w:szCs w:val="24"/>
          <w:lang w:eastAsia="en-US"/>
        </w:rPr>
        <w:t xml:space="preserve"> </w:t>
      </w:r>
      <w:r w:rsidR="00AA31D3" w:rsidRPr="00255659">
        <w:rPr>
          <w:color w:val="000000"/>
          <w:szCs w:val="24"/>
          <w:lang w:eastAsia="en-US"/>
        </w:rPr>
        <w:t xml:space="preserve">It is paradoxical that </w:t>
      </w:r>
      <w:r w:rsidR="004C03EA" w:rsidRPr="00255659">
        <w:rPr>
          <w:lang w:eastAsia="en-US"/>
        </w:rPr>
        <w:t>Dr.</w:t>
      </w:r>
      <w:r w:rsidR="004C03EA">
        <w:rPr>
          <w:lang w:eastAsia="en-US"/>
        </w:rPr>
        <w:t> </w:t>
      </w:r>
      <w:r w:rsidR="00AA31D3" w:rsidRPr="00255659">
        <w:rPr>
          <w:color w:val="000000"/>
          <w:szCs w:val="24"/>
          <w:lang w:eastAsia="en-US"/>
        </w:rPr>
        <w:t>Woolridge employs analysts</w:t>
      </w:r>
      <w:r w:rsidR="00255659">
        <w:rPr>
          <w:color w:val="000000"/>
          <w:szCs w:val="24"/>
          <w:lang w:eastAsia="en-US"/>
        </w:rPr>
        <w:t>’</w:t>
      </w:r>
      <w:r w:rsidR="00AA31D3" w:rsidRPr="00255659">
        <w:rPr>
          <w:color w:val="000000"/>
          <w:szCs w:val="24"/>
          <w:lang w:eastAsia="en-US"/>
        </w:rPr>
        <w:t xml:space="preserve"> earnings forecasts from the Yahoo, Reuters, and Zacks websites for three of his thirteen growth proxies for the DCF growth rate</w:t>
      </w:r>
      <w:r w:rsidR="00702DE7">
        <w:rPr>
          <w:rStyle w:val="FootnoteReference"/>
          <w:color w:val="000000"/>
          <w:szCs w:val="24"/>
          <w:lang w:eastAsia="en-US"/>
        </w:rPr>
        <w:footnoteReference w:id="57"/>
      </w:r>
      <w:r w:rsidR="00AA31D3" w:rsidRPr="00255659">
        <w:rPr>
          <w:color w:val="000000"/>
          <w:szCs w:val="24"/>
          <w:lang w:eastAsia="en-US"/>
        </w:rPr>
        <w:t xml:space="preserve"> and again relies on analysts</w:t>
      </w:r>
      <w:r w:rsidR="00255659">
        <w:rPr>
          <w:color w:val="000000"/>
          <w:szCs w:val="24"/>
          <w:lang w:eastAsia="en-US"/>
        </w:rPr>
        <w:t>’</w:t>
      </w:r>
      <w:r w:rsidR="00AA31D3" w:rsidRPr="00255659">
        <w:rPr>
          <w:color w:val="000000"/>
          <w:szCs w:val="24"/>
          <w:lang w:eastAsia="en-US"/>
        </w:rPr>
        <w:t xml:space="preserve"> forecasts in his implementation of the </w:t>
      </w:r>
      <w:r w:rsidR="00255659">
        <w:rPr>
          <w:color w:val="000000"/>
          <w:szCs w:val="24"/>
          <w:lang w:eastAsia="en-US"/>
        </w:rPr>
        <w:t>“</w:t>
      </w:r>
      <w:r w:rsidR="00AA31D3" w:rsidRPr="00255659">
        <w:rPr>
          <w:color w:val="000000"/>
          <w:szCs w:val="24"/>
          <w:lang w:eastAsia="en-US"/>
        </w:rPr>
        <w:t>building block</w:t>
      </w:r>
      <w:r w:rsidR="00255659">
        <w:rPr>
          <w:color w:val="000000"/>
          <w:szCs w:val="24"/>
          <w:lang w:eastAsia="en-US"/>
        </w:rPr>
        <w:t>”</w:t>
      </w:r>
      <w:r w:rsidR="00AA31D3" w:rsidRPr="00255659">
        <w:rPr>
          <w:color w:val="000000"/>
          <w:szCs w:val="24"/>
          <w:lang w:eastAsia="en-US"/>
        </w:rPr>
        <w:t xml:space="preserve"> approach to estimate the </w:t>
      </w:r>
      <w:r w:rsidR="00747316">
        <w:rPr>
          <w:color w:val="000000"/>
          <w:szCs w:val="24"/>
          <w:lang w:eastAsia="en-US"/>
        </w:rPr>
        <w:t>m</w:t>
      </w:r>
      <w:r w:rsidR="00AA31D3" w:rsidRPr="00255659">
        <w:rPr>
          <w:color w:val="000000"/>
          <w:szCs w:val="24"/>
          <w:lang w:eastAsia="en-US"/>
        </w:rPr>
        <w:t xml:space="preserve">arket </w:t>
      </w:r>
      <w:r w:rsidR="00747316">
        <w:rPr>
          <w:color w:val="000000"/>
          <w:szCs w:val="24"/>
          <w:lang w:eastAsia="en-US"/>
        </w:rPr>
        <w:t>r</w:t>
      </w:r>
      <w:r w:rsidR="00AA31D3" w:rsidRPr="00255659">
        <w:rPr>
          <w:color w:val="000000"/>
          <w:szCs w:val="24"/>
          <w:lang w:eastAsia="en-US"/>
        </w:rPr>
        <w:t xml:space="preserve">isk </w:t>
      </w:r>
      <w:r w:rsidR="00747316">
        <w:rPr>
          <w:color w:val="000000"/>
          <w:szCs w:val="24"/>
          <w:lang w:eastAsia="en-US"/>
        </w:rPr>
        <w:t>p</w:t>
      </w:r>
      <w:r w:rsidR="00AA31D3" w:rsidRPr="00255659">
        <w:rPr>
          <w:color w:val="000000"/>
          <w:szCs w:val="24"/>
          <w:lang w:eastAsia="en-US"/>
        </w:rPr>
        <w:t>remium in a CAPM analysis,</w:t>
      </w:r>
      <w:r w:rsidR="00747316">
        <w:rPr>
          <w:rStyle w:val="FootnoteReference"/>
          <w:color w:val="000000"/>
          <w:szCs w:val="24"/>
          <w:lang w:eastAsia="en-US"/>
        </w:rPr>
        <w:footnoteReference w:id="58"/>
      </w:r>
      <w:r w:rsidR="00AA31D3" w:rsidRPr="00255659">
        <w:rPr>
          <w:color w:val="000000"/>
          <w:szCs w:val="24"/>
          <w:lang w:eastAsia="en-US"/>
        </w:rPr>
        <w:t xml:space="preserve"> yet criticizes my use of earnings growth forecast from similar sources.</w:t>
      </w:r>
      <w:r w:rsidR="00747316">
        <w:rPr>
          <w:color w:val="000000"/>
          <w:szCs w:val="24"/>
          <w:lang w:eastAsia="en-US"/>
        </w:rPr>
        <w:t xml:space="preserve"> Furthermore, as previously discussed, </w:t>
      </w:r>
      <w:r w:rsidR="00AA31D3" w:rsidRPr="00255659">
        <w:rPr>
          <w:color w:val="000000"/>
          <w:szCs w:val="24"/>
          <w:lang w:eastAsia="en-US"/>
        </w:rPr>
        <w:t xml:space="preserve">it is ironic that </w:t>
      </w:r>
      <w:r w:rsidR="00133922" w:rsidRPr="00255659">
        <w:rPr>
          <w:lang w:eastAsia="en-US"/>
        </w:rPr>
        <w:t>Dr.</w:t>
      </w:r>
      <w:r w:rsidR="00133922">
        <w:rPr>
          <w:lang w:eastAsia="en-US"/>
        </w:rPr>
        <w:t> </w:t>
      </w:r>
      <w:r w:rsidR="00133922" w:rsidRPr="00255659">
        <w:rPr>
          <w:szCs w:val="24"/>
          <w:lang w:eastAsia="en-US"/>
        </w:rPr>
        <w:t>W</w:t>
      </w:r>
      <w:r w:rsidR="00133922">
        <w:rPr>
          <w:szCs w:val="24"/>
          <w:lang w:eastAsia="en-US"/>
        </w:rPr>
        <w:t>oolridge</w:t>
      </w:r>
      <w:r w:rsidR="00133922" w:rsidRPr="00255659">
        <w:rPr>
          <w:color w:val="000000"/>
          <w:szCs w:val="24"/>
          <w:lang w:eastAsia="en-US"/>
        </w:rPr>
        <w:t xml:space="preserve"> </w:t>
      </w:r>
      <w:r w:rsidR="00AA31D3" w:rsidRPr="00255659">
        <w:rPr>
          <w:color w:val="000000"/>
          <w:szCs w:val="24"/>
          <w:lang w:eastAsia="en-US"/>
        </w:rPr>
        <w:t xml:space="preserve">ends up selecting growth rates </w:t>
      </w:r>
      <w:r w:rsidR="00747316">
        <w:rPr>
          <w:color w:val="000000"/>
          <w:szCs w:val="24"/>
          <w:lang w:eastAsia="en-US"/>
        </w:rPr>
        <w:t xml:space="preserve">for his proxy groups </w:t>
      </w:r>
      <w:r w:rsidR="00AA31D3" w:rsidRPr="00255659">
        <w:rPr>
          <w:color w:val="000000"/>
          <w:szCs w:val="24"/>
          <w:lang w:eastAsia="en-US"/>
        </w:rPr>
        <w:t xml:space="preserve">that are close to analyst growth forecasts in his final </w:t>
      </w:r>
      <w:r w:rsidR="00AA31D3" w:rsidRPr="00255659">
        <w:rPr>
          <w:color w:val="000000"/>
          <w:szCs w:val="24"/>
          <w:lang w:eastAsia="en-US"/>
        </w:rPr>
        <w:lastRenderedPageBreak/>
        <w:t>choice of DCF growth rates.</w:t>
      </w:r>
      <w:r w:rsidR="00C91CE2">
        <w:rPr>
          <w:color w:val="000000"/>
          <w:szCs w:val="24"/>
          <w:lang w:eastAsia="en-US"/>
        </w:rPr>
        <w:t xml:space="preserve"> </w:t>
      </w:r>
      <w:r w:rsidR="004C03EA" w:rsidRPr="00255659">
        <w:rPr>
          <w:lang w:eastAsia="en-US"/>
        </w:rPr>
        <w:t>Dr.</w:t>
      </w:r>
      <w:r w:rsidR="004C03EA">
        <w:rPr>
          <w:lang w:eastAsia="en-US"/>
        </w:rPr>
        <w:t> </w:t>
      </w:r>
      <w:r w:rsidR="00AA31D3" w:rsidRPr="00255659">
        <w:rPr>
          <w:color w:val="000000"/>
          <w:szCs w:val="24"/>
          <w:lang w:eastAsia="en-US"/>
        </w:rPr>
        <w:t>Woolridge does not explain this inconsistency in his approach.</w:t>
      </w:r>
    </w:p>
    <w:p w:rsidR="00AA31D3" w:rsidRPr="00255659" w:rsidRDefault="00E74490" w:rsidP="00540A76">
      <w:pPr>
        <w:pStyle w:val="Heading3"/>
        <w:rPr>
          <w:lang w:eastAsia="en-US"/>
        </w:rPr>
      </w:pPr>
      <w:bookmarkStart w:id="28" w:name="_Toc489887875"/>
      <w:r w:rsidRPr="00255659">
        <w:rPr>
          <w:lang w:eastAsia="en-US"/>
        </w:rPr>
        <w:t>2.</w:t>
      </w:r>
      <w:r w:rsidRPr="00255659">
        <w:rPr>
          <w:lang w:eastAsia="en-US"/>
        </w:rPr>
        <w:tab/>
      </w:r>
      <w:r w:rsidR="001B22FA">
        <w:rPr>
          <w:lang w:eastAsia="en-US"/>
        </w:rPr>
        <w:t xml:space="preserve">Contrary to the Erroneous Assertions of Dr. Woolridge, the </w:t>
      </w:r>
      <w:r w:rsidR="001C6AB4" w:rsidRPr="00255659">
        <w:rPr>
          <w:lang w:eastAsia="en-US"/>
        </w:rPr>
        <w:t xml:space="preserve">Empirical </w:t>
      </w:r>
      <w:r w:rsidR="00AA31D3" w:rsidRPr="00255659">
        <w:rPr>
          <w:lang w:eastAsia="en-US"/>
        </w:rPr>
        <w:t>CAPM</w:t>
      </w:r>
      <w:r w:rsidR="001B22FA" w:rsidRPr="001B22FA">
        <w:t xml:space="preserve"> </w:t>
      </w:r>
      <w:r w:rsidR="001B22FA">
        <w:rPr>
          <w:iCs/>
        </w:rPr>
        <w:t>H</w:t>
      </w:r>
      <w:r w:rsidR="001B22FA" w:rsidRPr="00747316">
        <w:rPr>
          <w:iCs/>
        </w:rPr>
        <w:t xml:space="preserve">as </w:t>
      </w:r>
      <w:r w:rsidR="001B22FA">
        <w:rPr>
          <w:iCs/>
        </w:rPr>
        <w:t>B</w:t>
      </w:r>
      <w:r w:rsidR="001B22FA" w:rsidRPr="00747316">
        <w:rPr>
          <w:iCs/>
        </w:rPr>
        <w:t xml:space="preserve">een </w:t>
      </w:r>
      <w:r w:rsidR="001B22FA">
        <w:rPr>
          <w:iCs/>
        </w:rPr>
        <w:t>T</w:t>
      </w:r>
      <w:r w:rsidR="001B22FA" w:rsidRPr="00747316">
        <w:rPr>
          <w:iCs/>
        </w:rPr>
        <w:t xml:space="preserve">heoretically </w:t>
      </w:r>
      <w:r w:rsidR="001B22FA">
        <w:rPr>
          <w:iCs/>
        </w:rPr>
        <w:t>and E</w:t>
      </w:r>
      <w:r w:rsidR="001B22FA" w:rsidRPr="00747316">
        <w:rPr>
          <w:iCs/>
        </w:rPr>
        <w:t xml:space="preserve">mpirically </w:t>
      </w:r>
      <w:r w:rsidR="001B22FA">
        <w:rPr>
          <w:iCs/>
        </w:rPr>
        <w:t>V</w:t>
      </w:r>
      <w:r w:rsidR="001B22FA" w:rsidRPr="00747316">
        <w:rPr>
          <w:iCs/>
        </w:rPr>
        <w:t xml:space="preserve">alidated </w:t>
      </w:r>
      <w:r w:rsidR="001B22FA">
        <w:rPr>
          <w:iCs/>
        </w:rPr>
        <w:t>R</w:t>
      </w:r>
      <w:r w:rsidR="001B22FA" w:rsidRPr="00747316">
        <w:rPr>
          <w:iCs/>
        </w:rPr>
        <w:t xml:space="preserve">efereed </w:t>
      </w:r>
      <w:r w:rsidR="001B22FA">
        <w:rPr>
          <w:iCs/>
        </w:rPr>
        <w:t>J</w:t>
      </w:r>
      <w:r w:rsidR="001B22FA" w:rsidRPr="00747316">
        <w:rPr>
          <w:iCs/>
        </w:rPr>
        <w:t>ournals</w:t>
      </w:r>
      <w:bookmarkEnd w:id="28"/>
    </w:p>
    <w:p w:rsidR="00AA31D3" w:rsidRPr="00255659" w:rsidRDefault="00AA31D3" w:rsidP="00540A76">
      <w:pPr>
        <w:pStyle w:val="question"/>
        <w:rPr>
          <w:lang w:eastAsia="en-US"/>
        </w:rPr>
      </w:pPr>
      <w:r w:rsidRPr="00255659">
        <w:rPr>
          <w:lang w:eastAsia="en-US"/>
        </w:rPr>
        <w:t>Q.</w:t>
      </w:r>
      <w:r w:rsidR="00E74490" w:rsidRPr="00255659">
        <w:rPr>
          <w:lang w:eastAsia="en-US"/>
        </w:rPr>
        <w:tab/>
      </w:r>
      <w:r w:rsidR="001C6AB4" w:rsidRPr="00255659">
        <w:rPr>
          <w:lang w:eastAsia="en-US"/>
        </w:rPr>
        <w:t xml:space="preserve">Please comment on </w:t>
      </w:r>
      <w:r w:rsidR="004C03EA" w:rsidRPr="00255659">
        <w:rPr>
          <w:lang w:eastAsia="en-US"/>
        </w:rPr>
        <w:t>Dr.</w:t>
      </w:r>
      <w:r w:rsidR="004C03EA">
        <w:rPr>
          <w:lang w:eastAsia="en-US"/>
        </w:rPr>
        <w:t> </w:t>
      </w:r>
      <w:r w:rsidR="001C6AB4" w:rsidRPr="00255659">
        <w:rPr>
          <w:lang w:eastAsia="en-US"/>
        </w:rPr>
        <w:t>Woolridge</w:t>
      </w:r>
      <w:r w:rsidR="00255659">
        <w:rPr>
          <w:lang w:eastAsia="en-US"/>
        </w:rPr>
        <w:t>’</w:t>
      </w:r>
      <w:r w:rsidR="001C6AB4" w:rsidRPr="00255659">
        <w:rPr>
          <w:lang w:eastAsia="en-US"/>
        </w:rPr>
        <w:t xml:space="preserve">s assessment of the empirical CAPM </w:t>
      </w:r>
      <w:r w:rsidR="00747316">
        <w:rPr>
          <w:lang w:eastAsia="en-US"/>
        </w:rPr>
        <w:t xml:space="preserve">presented in </w:t>
      </w:r>
      <w:r w:rsidR="001C6AB4" w:rsidRPr="00255659">
        <w:rPr>
          <w:lang w:eastAsia="en-US"/>
        </w:rPr>
        <w:t xml:space="preserve">your </w:t>
      </w:r>
      <w:r w:rsidR="00747316">
        <w:rPr>
          <w:lang w:eastAsia="en-US"/>
        </w:rPr>
        <w:t xml:space="preserve">direct </w:t>
      </w:r>
      <w:r w:rsidR="001C6AB4" w:rsidRPr="00255659">
        <w:rPr>
          <w:lang w:eastAsia="en-US"/>
        </w:rPr>
        <w:t>testimony</w:t>
      </w:r>
      <w:r w:rsidRPr="00255659">
        <w:rPr>
          <w:lang w:eastAsia="en-US"/>
        </w:rPr>
        <w:t>.</w:t>
      </w:r>
    </w:p>
    <w:p w:rsidR="001B22FA" w:rsidRDefault="00AA31D3" w:rsidP="001B22FA">
      <w:pPr>
        <w:pStyle w:val="answer"/>
        <w:spacing w:before="240"/>
        <w:rPr>
          <w:rFonts w:eastAsia="SimSun"/>
        </w:rPr>
      </w:pPr>
      <w:r w:rsidRPr="00255659">
        <w:rPr>
          <w:rFonts w:eastAsia="SimSun"/>
        </w:rPr>
        <w:t>A.</w:t>
      </w:r>
      <w:r w:rsidR="001C6AB4" w:rsidRPr="00255659">
        <w:rPr>
          <w:rFonts w:eastAsia="SimSun"/>
        </w:rPr>
        <w:tab/>
      </w:r>
      <w:r w:rsidR="004C03EA" w:rsidRPr="00255659">
        <w:rPr>
          <w:lang w:eastAsia="en-US"/>
        </w:rPr>
        <w:t>Dr.</w:t>
      </w:r>
      <w:r w:rsidR="004C03EA">
        <w:rPr>
          <w:lang w:eastAsia="en-US"/>
        </w:rPr>
        <w:t> </w:t>
      </w:r>
      <w:r w:rsidRPr="00255659">
        <w:rPr>
          <w:rFonts w:eastAsia="SimSun"/>
        </w:rPr>
        <w:t>Woolridge argues</w:t>
      </w:r>
      <w:r w:rsidR="00747316">
        <w:rPr>
          <w:rFonts w:eastAsia="SimSun"/>
        </w:rPr>
        <w:t xml:space="preserve"> </w:t>
      </w:r>
      <w:r w:rsidRPr="00255659">
        <w:rPr>
          <w:rFonts w:eastAsia="SimSun"/>
        </w:rPr>
        <w:t xml:space="preserve">that the </w:t>
      </w:r>
      <w:r w:rsidR="00747316">
        <w:rPr>
          <w:rFonts w:eastAsia="SimSun"/>
        </w:rPr>
        <w:t xml:space="preserve">empirical </w:t>
      </w:r>
      <w:r w:rsidRPr="00255659">
        <w:rPr>
          <w:rFonts w:eastAsia="SimSun"/>
        </w:rPr>
        <w:t xml:space="preserve">CAPM </w:t>
      </w:r>
      <w:r w:rsidR="00255659">
        <w:rPr>
          <w:rFonts w:eastAsia="SimSun"/>
        </w:rPr>
        <w:t>“</w:t>
      </w:r>
      <w:r w:rsidRPr="00747316">
        <w:rPr>
          <w:rFonts w:eastAsia="SimSun"/>
          <w:iCs/>
        </w:rPr>
        <w:t>has not been theoretically or empirically validated</w:t>
      </w:r>
      <w:r w:rsidR="00C91CE2" w:rsidRPr="00747316">
        <w:rPr>
          <w:rFonts w:eastAsia="SimSun"/>
          <w:iCs/>
        </w:rPr>
        <w:t xml:space="preserve"> </w:t>
      </w:r>
      <w:r w:rsidRPr="00747316">
        <w:rPr>
          <w:rFonts w:eastAsia="SimSun"/>
          <w:iCs/>
        </w:rPr>
        <w:t>in any refereed journals</w:t>
      </w:r>
      <w:r w:rsidRPr="00255659">
        <w:rPr>
          <w:rFonts w:eastAsia="SimSun"/>
        </w:rPr>
        <w:t>.</w:t>
      </w:r>
      <w:r w:rsidR="00255659">
        <w:rPr>
          <w:rFonts w:eastAsia="SimSun"/>
        </w:rPr>
        <w:t>”</w:t>
      </w:r>
      <w:r w:rsidR="00747316">
        <w:rPr>
          <w:rStyle w:val="FootnoteReference"/>
          <w:rFonts w:eastAsia="SimSun"/>
        </w:rPr>
        <w:footnoteReference w:id="59"/>
      </w:r>
      <w:r w:rsidR="00C91CE2">
        <w:rPr>
          <w:rFonts w:eastAsia="SimSun"/>
        </w:rPr>
        <w:t xml:space="preserve"> </w:t>
      </w:r>
      <w:r w:rsidRPr="00255659">
        <w:rPr>
          <w:rFonts w:eastAsia="SimSun"/>
        </w:rPr>
        <w:t>One of the most well-known results in finance and discussed in most finance textbooks is that the CAPM-based estimate of cost of capital underestimates the return required from low-beta securities and overstates the return required from high-beta securities, based on the empirical evidence.</w:t>
      </w:r>
      <w:r w:rsidR="00C91CE2">
        <w:rPr>
          <w:rFonts w:eastAsia="SimSun"/>
        </w:rPr>
        <w:t xml:space="preserve"> </w:t>
      </w:r>
      <w:r w:rsidRPr="00255659">
        <w:rPr>
          <w:rFonts w:eastAsia="SimSun"/>
        </w:rPr>
        <w:t xml:space="preserve">The </w:t>
      </w:r>
      <w:r w:rsidR="001B22FA">
        <w:rPr>
          <w:rFonts w:eastAsia="SimSun"/>
        </w:rPr>
        <w:t xml:space="preserve">empirical </w:t>
      </w:r>
      <w:r w:rsidRPr="00255659">
        <w:rPr>
          <w:rFonts w:eastAsia="SimSun"/>
        </w:rPr>
        <w:t xml:space="preserve">CAPM adjusts for this tendency, as discussed in </w:t>
      </w:r>
      <w:r w:rsidR="001B22FA">
        <w:rPr>
          <w:rFonts w:eastAsia="SimSun"/>
        </w:rPr>
        <w:t xml:space="preserve">the </w:t>
      </w:r>
      <w:r w:rsidR="001B22FA">
        <w:rPr>
          <w:szCs w:val="24"/>
          <w:lang w:eastAsia="en-US"/>
        </w:rPr>
        <w:t>Seventh Exhibit to the Prefiled Direct Testimony of Dr. Roger A. Morin, Exh. RAM-8.</w:t>
      </w:r>
    </w:p>
    <w:p w:rsidR="00AA31D3" w:rsidRPr="00255659" w:rsidRDefault="00AA31D3" w:rsidP="00540A76">
      <w:pPr>
        <w:pStyle w:val="answer"/>
        <w:ind w:firstLine="0"/>
        <w:rPr>
          <w:lang w:eastAsia="en-US"/>
        </w:rPr>
      </w:pPr>
      <w:r w:rsidRPr="00255659">
        <w:rPr>
          <w:szCs w:val="24"/>
          <w:lang w:eastAsia="en-US"/>
        </w:rPr>
        <w:t xml:space="preserve">My own empirical investigation of the relationship between return and Value Line adjusted betas is quite consistent with the general findings of the literature referred to </w:t>
      </w:r>
      <w:r w:rsidR="001B22FA">
        <w:rPr>
          <w:szCs w:val="24"/>
          <w:lang w:eastAsia="en-US"/>
        </w:rPr>
        <w:t xml:space="preserve">in </w:t>
      </w:r>
      <w:r w:rsidR="001B22FA">
        <w:rPr>
          <w:rFonts w:eastAsia="SimSun"/>
        </w:rPr>
        <w:t xml:space="preserve">the </w:t>
      </w:r>
      <w:r w:rsidR="001B22FA">
        <w:rPr>
          <w:szCs w:val="24"/>
          <w:lang w:eastAsia="en-US"/>
        </w:rPr>
        <w:t>Seventh Exhibit to the Prefiled Direct Testimony of Dr. Roger A. Morin, Exh. RAM-8</w:t>
      </w:r>
      <w:r w:rsidRPr="00255659">
        <w:rPr>
          <w:szCs w:val="24"/>
          <w:lang w:eastAsia="en-US"/>
        </w:rPr>
        <w:t>.</w:t>
      </w:r>
      <w:r w:rsidR="00C91CE2">
        <w:rPr>
          <w:szCs w:val="24"/>
          <w:lang w:eastAsia="en-US"/>
        </w:rPr>
        <w:t xml:space="preserve"> </w:t>
      </w:r>
      <w:r w:rsidRPr="00255659">
        <w:rPr>
          <w:lang w:eastAsia="en-US"/>
        </w:rPr>
        <w:t>A plain vanilla CAPM will understate the return required for low-beta securities and overstate the return required for high-</w:t>
      </w:r>
      <w:r w:rsidRPr="00255659">
        <w:rPr>
          <w:lang w:eastAsia="en-US"/>
        </w:rPr>
        <w:lastRenderedPageBreak/>
        <w:t>beta securities.</w:t>
      </w:r>
      <w:r w:rsidR="00C91CE2">
        <w:rPr>
          <w:lang w:eastAsia="en-US"/>
        </w:rPr>
        <w:t xml:space="preserve"> </w:t>
      </w:r>
      <w:r w:rsidRPr="00255659">
        <w:rPr>
          <w:lang w:eastAsia="en-US"/>
        </w:rPr>
        <w:t xml:space="preserve">The </w:t>
      </w:r>
      <w:r w:rsidR="001B22FA">
        <w:rPr>
          <w:lang w:eastAsia="en-US"/>
        </w:rPr>
        <w:t xml:space="preserve">empirical </w:t>
      </w:r>
      <w:r w:rsidRPr="00255659">
        <w:rPr>
          <w:lang w:eastAsia="en-US"/>
        </w:rPr>
        <w:t>CAPM refines the plain vanilla CAPM to account for this phenomenon.</w:t>
      </w:r>
    </w:p>
    <w:p w:rsidR="00AA31D3" w:rsidRPr="00255659" w:rsidRDefault="00E74490" w:rsidP="00540A76">
      <w:pPr>
        <w:pStyle w:val="Heading3"/>
        <w:rPr>
          <w:lang w:eastAsia="en-US"/>
        </w:rPr>
      </w:pPr>
      <w:bookmarkStart w:id="29" w:name="_Toc489887876"/>
      <w:r w:rsidRPr="00255659">
        <w:rPr>
          <w:lang w:eastAsia="en-US"/>
        </w:rPr>
        <w:t>3.</w:t>
      </w:r>
      <w:r w:rsidRPr="00255659">
        <w:rPr>
          <w:lang w:eastAsia="en-US"/>
        </w:rPr>
        <w:tab/>
      </w:r>
      <w:r w:rsidR="001B22FA" w:rsidRPr="00255659">
        <w:rPr>
          <w:lang w:eastAsia="en-US"/>
        </w:rPr>
        <w:t>Dr.</w:t>
      </w:r>
      <w:r w:rsidR="001B22FA">
        <w:rPr>
          <w:lang w:eastAsia="en-US"/>
        </w:rPr>
        <w:t> </w:t>
      </w:r>
      <w:r w:rsidR="001B22FA" w:rsidRPr="00255659">
        <w:rPr>
          <w:lang w:eastAsia="en-US"/>
        </w:rPr>
        <w:t xml:space="preserve">Woolridge </w:t>
      </w:r>
      <w:r w:rsidR="001B22FA">
        <w:rPr>
          <w:lang w:eastAsia="en-US"/>
        </w:rPr>
        <w:t>Incorrect</w:t>
      </w:r>
      <w:r w:rsidR="00A3798E">
        <w:rPr>
          <w:lang w:eastAsia="en-US"/>
        </w:rPr>
        <w:t>ly</w:t>
      </w:r>
      <w:r w:rsidR="001B22FA">
        <w:rPr>
          <w:lang w:eastAsia="en-US"/>
        </w:rPr>
        <w:t xml:space="preserve"> Assert</w:t>
      </w:r>
      <w:r w:rsidR="00A3798E">
        <w:rPr>
          <w:lang w:eastAsia="en-US"/>
        </w:rPr>
        <w:t xml:space="preserve">s </w:t>
      </w:r>
      <w:r w:rsidR="001B22FA">
        <w:rPr>
          <w:lang w:eastAsia="en-US"/>
        </w:rPr>
        <w:t xml:space="preserve">that </w:t>
      </w:r>
      <w:r w:rsidR="001B22FA" w:rsidRPr="00255659">
        <w:rPr>
          <w:lang w:eastAsia="en-US"/>
        </w:rPr>
        <w:t xml:space="preserve">Little Weight Should be </w:t>
      </w:r>
      <w:r w:rsidR="001B22FA">
        <w:rPr>
          <w:lang w:eastAsia="en-US"/>
        </w:rPr>
        <w:t>P</w:t>
      </w:r>
      <w:r w:rsidR="001B22FA" w:rsidRPr="00255659">
        <w:rPr>
          <w:lang w:eastAsia="en-US"/>
        </w:rPr>
        <w:t>laced on Interest Rate Forecasts</w:t>
      </w:r>
      <w:r w:rsidR="001B22FA">
        <w:rPr>
          <w:lang w:eastAsia="en-US"/>
        </w:rPr>
        <w:t xml:space="preserve"> in Projecting the Risk-Free Rate for CAPM Analyses</w:t>
      </w:r>
      <w:bookmarkEnd w:id="29"/>
    </w:p>
    <w:p w:rsidR="00AA31D3" w:rsidRPr="00255659" w:rsidRDefault="00E74490" w:rsidP="00540A76">
      <w:pPr>
        <w:pStyle w:val="question"/>
        <w:rPr>
          <w:lang w:eastAsia="en-US"/>
        </w:rPr>
      </w:pPr>
      <w:r w:rsidRPr="00255659">
        <w:rPr>
          <w:lang w:eastAsia="en-US"/>
        </w:rPr>
        <w:t>Q.</w:t>
      </w:r>
      <w:r w:rsidR="00AA31D3" w:rsidRPr="00255659">
        <w:rPr>
          <w:lang w:eastAsia="en-US"/>
        </w:rPr>
        <w:tab/>
      </w:r>
      <w:r w:rsidR="001B22FA">
        <w:rPr>
          <w:lang w:eastAsia="en-US"/>
        </w:rPr>
        <w:t xml:space="preserve">Is </w:t>
      </w:r>
      <w:r w:rsidR="004C03EA" w:rsidRPr="00255659">
        <w:rPr>
          <w:lang w:eastAsia="en-US"/>
        </w:rPr>
        <w:t>Dr.</w:t>
      </w:r>
      <w:r w:rsidR="004C03EA">
        <w:rPr>
          <w:lang w:eastAsia="en-US"/>
        </w:rPr>
        <w:t> </w:t>
      </w:r>
      <w:r w:rsidR="001C6AB4" w:rsidRPr="00255659">
        <w:rPr>
          <w:lang w:eastAsia="en-US"/>
        </w:rPr>
        <w:t xml:space="preserve">Woolridge </w:t>
      </w:r>
      <w:r w:rsidR="001B22FA">
        <w:rPr>
          <w:lang w:eastAsia="en-US"/>
        </w:rPr>
        <w:t xml:space="preserve">correct </w:t>
      </w:r>
      <w:r w:rsidR="001C6AB4" w:rsidRPr="00255659">
        <w:rPr>
          <w:lang w:eastAsia="en-US"/>
        </w:rPr>
        <w:t>that little weight should be placed on interest rate forecasts</w:t>
      </w:r>
      <w:r w:rsidR="001B22FA">
        <w:rPr>
          <w:lang w:eastAsia="en-US"/>
        </w:rPr>
        <w:t xml:space="preserve"> in projecting the risk-free rate for CAPM analyses</w:t>
      </w:r>
      <w:r w:rsidR="00AA31D3" w:rsidRPr="00255659">
        <w:rPr>
          <w:lang w:eastAsia="en-US"/>
        </w:rPr>
        <w:t>?</w:t>
      </w:r>
    </w:p>
    <w:p w:rsidR="001C6AB4" w:rsidRPr="00255659" w:rsidRDefault="00AA31D3" w:rsidP="00540A76">
      <w:pPr>
        <w:pStyle w:val="answer"/>
        <w:rPr>
          <w:lang w:eastAsia="en-US"/>
        </w:rPr>
      </w:pPr>
      <w:r w:rsidRPr="00255659">
        <w:rPr>
          <w:lang w:eastAsia="en-US"/>
        </w:rPr>
        <w:t>A.</w:t>
      </w:r>
      <w:r w:rsidR="001C6AB4" w:rsidRPr="00255659">
        <w:rPr>
          <w:lang w:eastAsia="en-US"/>
        </w:rPr>
        <w:tab/>
      </w:r>
      <w:r w:rsidRPr="00255659">
        <w:rPr>
          <w:lang w:eastAsia="en-US"/>
        </w:rPr>
        <w:t>No.</w:t>
      </w:r>
      <w:r w:rsidR="00C91CE2">
        <w:rPr>
          <w:lang w:eastAsia="en-US"/>
        </w:rPr>
        <w:t xml:space="preserve"> </w:t>
      </w:r>
      <w:r w:rsidR="004C03EA" w:rsidRPr="00255659">
        <w:rPr>
          <w:lang w:eastAsia="en-US"/>
        </w:rPr>
        <w:t>Dr.</w:t>
      </w:r>
      <w:r w:rsidR="004C03EA">
        <w:rPr>
          <w:lang w:eastAsia="en-US"/>
        </w:rPr>
        <w:t> </w:t>
      </w:r>
      <w:r w:rsidRPr="00255659">
        <w:rPr>
          <w:lang w:eastAsia="en-US"/>
        </w:rPr>
        <w:t xml:space="preserve">Woolridge </w:t>
      </w:r>
      <w:r w:rsidR="001B22FA">
        <w:rPr>
          <w:lang w:eastAsia="en-US"/>
        </w:rPr>
        <w:t xml:space="preserve">erroneously </w:t>
      </w:r>
      <w:r w:rsidRPr="00255659">
        <w:rPr>
          <w:lang w:eastAsia="en-US"/>
        </w:rPr>
        <w:t>argues that investors place little weight on interest rate forecasts because they are often wrong, and therefore should not be used as proxies for the risk-free rate in implementing the CAPM.</w:t>
      </w:r>
      <w:r w:rsidR="00C91CE2">
        <w:rPr>
          <w:lang w:eastAsia="en-US"/>
        </w:rPr>
        <w:t xml:space="preserve"> </w:t>
      </w:r>
      <w:r w:rsidR="004C03EA" w:rsidRPr="00255659">
        <w:rPr>
          <w:lang w:eastAsia="en-US"/>
        </w:rPr>
        <w:t>Dr.</w:t>
      </w:r>
      <w:r w:rsidR="004C03EA">
        <w:rPr>
          <w:lang w:eastAsia="en-US"/>
        </w:rPr>
        <w:t> </w:t>
      </w:r>
      <w:r w:rsidRPr="00255659">
        <w:rPr>
          <w:lang w:eastAsia="en-US"/>
        </w:rPr>
        <w:t>Woolridge does not offer any supportive evidence for that statement.</w:t>
      </w:r>
      <w:r w:rsidR="00C91CE2">
        <w:rPr>
          <w:lang w:eastAsia="en-US"/>
        </w:rPr>
        <w:t xml:space="preserve"> </w:t>
      </w:r>
      <w:r w:rsidRPr="00255659">
        <w:rPr>
          <w:lang w:eastAsia="en-US"/>
        </w:rPr>
        <w:t>I have three reactions to this point of view.</w:t>
      </w:r>
    </w:p>
    <w:p w:rsidR="001C6AB4" w:rsidRPr="00255659" w:rsidRDefault="00AA31D3" w:rsidP="00540A76">
      <w:pPr>
        <w:pStyle w:val="answer"/>
        <w:ind w:firstLine="0"/>
        <w:rPr>
          <w:lang w:eastAsia="en-US"/>
        </w:rPr>
      </w:pPr>
      <w:r w:rsidRPr="00255659">
        <w:rPr>
          <w:lang w:eastAsia="en-US"/>
        </w:rPr>
        <w:t xml:space="preserve">First, on page 46 lines 8-9 of his testimony, </w:t>
      </w:r>
      <w:r w:rsidR="004C03EA" w:rsidRPr="00255659">
        <w:rPr>
          <w:lang w:eastAsia="en-US"/>
        </w:rPr>
        <w:t>Dr.</w:t>
      </w:r>
      <w:r w:rsidR="004C03EA">
        <w:rPr>
          <w:lang w:eastAsia="en-US"/>
        </w:rPr>
        <w:t> </w:t>
      </w:r>
      <w:r w:rsidRPr="00255659">
        <w:rPr>
          <w:lang w:eastAsia="en-US"/>
        </w:rPr>
        <w:t>Woolridge himself contradicts his position and recognizes the possibility of higher interest rates by using 4.0</w:t>
      </w:r>
      <w:r w:rsidR="00DD2B52">
        <w:rPr>
          <w:lang w:eastAsia="en-US"/>
        </w:rPr>
        <w:t> percent</w:t>
      </w:r>
      <w:r w:rsidRPr="00255659">
        <w:rPr>
          <w:lang w:eastAsia="en-US"/>
        </w:rPr>
        <w:t xml:space="preserve"> as the risk-free rate in his CAPM analysis which is significantly higher than the current level of interest rates.</w:t>
      </w:r>
    </w:p>
    <w:p w:rsidR="001C6AB4" w:rsidRPr="00255659" w:rsidRDefault="00AA31D3" w:rsidP="00540A76">
      <w:pPr>
        <w:pStyle w:val="answer"/>
        <w:ind w:firstLine="0"/>
        <w:rPr>
          <w:color w:val="000000"/>
          <w:lang w:eastAsia="en-US"/>
        </w:rPr>
      </w:pPr>
      <w:r w:rsidRPr="00255659">
        <w:rPr>
          <w:lang w:eastAsia="en-US"/>
        </w:rPr>
        <w:t xml:space="preserve">Second, </w:t>
      </w:r>
      <w:r w:rsidRPr="00255659">
        <w:rPr>
          <w:color w:val="000000"/>
          <w:lang w:eastAsia="en-US"/>
        </w:rPr>
        <w:t>i</w:t>
      </w:r>
      <w:r w:rsidRPr="00255659">
        <w:rPr>
          <w:color w:val="000000"/>
          <w:szCs w:val="24"/>
          <w:lang w:eastAsia="en-US"/>
        </w:rPr>
        <w:t>nvestors</w:t>
      </w:r>
      <w:r w:rsidR="00255659">
        <w:rPr>
          <w:color w:val="000000"/>
          <w:szCs w:val="24"/>
          <w:lang w:eastAsia="en-US"/>
        </w:rPr>
        <w:t>’</w:t>
      </w:r>
      <w:r w:rsidRPr="00255659">
        <w:rPr>
          <w:color w:val="000000"/>
          <w:lang w:eastAsia="en-US"/>
        </w:rPr>
        <w:t xml:space="preserve"> </w:t>
      </w:r>
      <w:r w:rsidRPr="00255659">
        <w:rPr>
          <w:color w:val="000000"/>
          <w:szCs w:val="24"/>
          <w:lang w:eastAsia="en-US"/>
        </w:rPr>
        <w:t>required returns can and do shift over time with changes in capital market</w:t>
      </w:r>
      <w:r w:rsidRPr="00255659">
        <w:rPr>
          <w:color w:val="000000"/>
          <w:lang w:eastAsia="en-US"/>
        </w:rPr>
        <w:t xml:space="preserve"> </w:t>
      </w:r>
      <w:r w:rsidRPr="00255659">
        <w:rPr>
          <w:color w:val="000000"/>
          <w:szCs w:val="24"/>
          <w:lang w:eastAsia="en-US"/>
        </w:rPr>
        <w:t>conditions</w:t>
      </w:r>
      <w:r w:rsidRPr="00255659">
        <w:rPr>
          <w:color w:val="000000"/>
          <w:lang w:eastAsia="en-US"/>
        </w:rPr>
        <w:t>, hence the importance of considering</w:t>
      </w:r>
      <w:r w:rsidRPr="00255659">
        <w:rPr>
          <w:color w:val="000000"/>
          <w:szCs w:val="24"/>
          <w:lang w:eastAsia="en-US"/>
        </w:rPr>
        <w:t xml:space="preserve"> interest </w:t>
      </w:r>
      <w:r w:rsidRPr="00255659">
        <w:rPr>
          <w:color w:val="000000"/>
          <w:lang w:eastAsia="en-US"/>
        </w:rPr>
        <w:t>rate forecasts</w:t>
      </w:r>
      <w:r w:rsidRPr="00255659">
        <w:rPr>
          <w:color w:val="000000"/>
          <w:szCs w:val="24"/>
          <w:lang w:eastAsia="en-US"/>
        </w:rPr>
        <w:t>. The fact that</w:t>
      </w:r>
      <w:r w:rsidRPr="00255659">
        <w:rPr>
          <w:color w:val="000000"/>
          <w:lang w:eastAsia="en-US"/>
        </w:rPr>
        <w:t xml:space="preserve"> </w:t>
      </w:r>
      <w:r w:rsidRPr="00255659">
        <w:rPr>
          <w:color w:val="000000"/>
          <w:szCs w:val="24"/>
          <w:lang w:eastAsia="en-US"/>
        </w:rPr>
        <w:t xml:space="preserve">organizations such as </w:t>
      </w:r>
      <w:r w:rsidRPr="00255659">
        <w:rPr>
          <w:color w:val="000000"/>
          <w:lang w:eastAsia="en-US"/>
        </w:rPr>
        <w:t>Value Line, IHS (</w:t>
      </w:r>
      <w:r w:rsidRPr="00255659">
        <w:rPr>
          <w:color w:val="000000"/>
          <w:szCs w:val="24"/>
          <w:lang w:eastAsia="en-US"/>
        </w:rPr>
        <w:t>Global</w:t>
      </w:r>
      <w:r w:rsidRPr="00255659">
        <w:rPr>
          <w:color w:val="000000"/>
          <w:lang w:eastAsia="en-US"/>
        </w:rPr>
        <w:t xml:space="preserve"> </w:t>
      </w:r>
      <w:r w:rsidRPr="00255659">
        <w:rPr>
          <w:color w:val="000000"/>
          <w:szCs w:val="24"/>
          <w:lang w:eastAsia="en-US"/>
        </w:rPr>
        <w:t>Insight</w:t>
      </w:r>
      <w:r w:rsidRPr="00255659">
        <w:rPr>
          <w:color w:val="000000"/>
          <w:lang w:eastAsia="en-US"/>
        </w:rPr>
        <w:t xml:space="preserve">), </w:t>
      </w:r>
      <w:r w:rsidRPr="00255659">
        <w:rPr>
          <w:color w:val="000000"/>
          <w:szCs w:val="24"/>
          <w:lang w:eastAsia="en-US"/>
        </w:rPr>
        <w:t>and EIA devote considerable expertise</w:t>
      </w:r>
      <w:r w:rsidRPr="00255659">
        <w:rPr>
          <w:color w:val="000000"/>
          <w:lang w:eastAsia="en-US"/>
        </w:rPr>
        <w:t xml:space="preserve"> </w:t>
      </w:r>
      <w:r w:rsidRPr="00255659">
        <w:rPr>
          <w:color w:val="000000"/>
          <w:szCs w:val="24"/>
          <w:lang w:eastAsia="en-US"/>
        </w:rPr>
        <w:t>and resources to developing an informed view of the future</w:t>
      </w:r>
      <w:r w:rsidRPr="00255659">
        <w:rPr>
          <w:color w:val="000000"/>
          <w:lang w:eastAsia="en-US"/>
        </w:rPr>
        <w:t>,</w:t>
      </w:r>
      <w:r w:rsidRPr="00255659">
        <w:rPr>
          <w:color w:val="000000"/>
          <w:szCs w:val="24"/>
          <w:lang w:eastAsia="en-US"/>
        </w:rPr>
        <w:t xml:space="preserve"> and </w:t>
      </w:r>
      <w:r w:rsidRPr="00255659">
        <w:rPr>
          <w:color w:val="000000"/>
          <w:lang w:eastAsia="en-US"/>
        </w:rPr>
        <w:t>the fact that investors</w:t>
      </w:r>
      <w:r w:rsidRPr="00255659">
        <w:rPr>
          <w:color w:val="000000"/>
          <w:szCs w:val="24"/>
          <w:lang w:eastAsia="en-US"/>
        </w:rPr>
        <w:t xml:space="preserve"> are willing to </w:t>
      </w:r>
      <w:r w:rsidRPr="00255659">
        <w:rPr>
          <w:color w:val="000000"/>
          <w:lang w:eastAsia="en-US"/>
        </w:rPr>
        <w:t xml:space="preserve">purchase such expensive services </w:t>
      </w:r>
      <w:r w:rsidRPr="00255659">
        <w:rPr>
          <w:color w:val="000000"/>
          <w:szCs w:val="24"/>
          <w:lang w:eastAsia="en-US"/>
        </w:rPr>
        <w:t>confirms the importance of economic</w:t>
      </w:r>
      <w:r w:rsidRPr="00255659">
        <w:rPr>
          <w:color w:val="000000"/>
          <w:lang w:eastAsia="en-US"/>
        </w:rPr>
        <w:t>/financial</w:t>
      </w:r>
      <w:r w:rsidRPr="00255659">
        <w:rPr>
          <w:color w:val="000000"/>
          <w:szCs w:val="24"/>
          <w:lang w:eastAsia="en-US"/>
        </w:rPr>
        <w:t xml:space="preserve"> forecasts in the minds of </w:t>
      </w:r>
      <w:r w:rsidRPr="00255659">
        <w:rPr>
          <w:color w:val="000000"/>
          <w:lang w:eastAsia="en-US"/>
        </w:rPr>
        <w:t xml:space="preserve">investors. </w:t>
      </w:r>
    </w:p>
    <w:p w:rsidR="00AA31D3" w:rsidRPr="00255659" w:rsidRDefault="00AA31D3" w:rsidP="00540A76">
      <w:pPr>
        <w:pStyle w:val="answer"/>
        <w:ind w:firstLine="0"/>
        <w:rPr>
          <w:rFonts w:eastAsia="SimSun"/>
          <w:snapToGrid w:val="0"/>
          <w:szCs w:val="24"/>
          <w:lang w:val="x-none" w:eastAsia="en-US"/>
        </w:rPr>
      </w:pPr>
      <w:r w:rsidRPr="00255659">
        <w:rPr>
          <w:rFonts w:eastAsia="SimSun"/>
          <w:color w:val="000000"/>
          <w:szCs w:val="24"/>
          <w:lang w:val="x-none"/>
        </w:rPr>
        <w:lastRenderedPageBreak/>
        <w:t xml:space="preserve">Third, </w:t>
      </w:r>
      <w:r w:rsidRPr="00255659">
        <w:rPr>
          <w:rFonts w:eastAsia="SimSun"/>
          <w:snapToGrid w:val="0"/>
          <w:szCs w:val="24"/>
          <w:lang w:val="x-none" w:eastAsia="en-US"/>
        </w:rPr>
        <w:t>the CAPM is a prospective (i.e., forward-looking) model, and the use of projected long-term Treasury interest rates is entirely appropriate because investors price securities on the basis of long-term expectations, including interest rates. Capital cost estimates are forward-looking and must take into account current market expectations for the future.</w:t>
      </w:r>
      <w:r w:rsidR="00C91CE2">
        <w:rPr>
          <w:rFonts w:eastAsia="SimSun"/>
          <w:snapToGrid w:val="0"/>
          <w:szCs w:val="24"/>
          <w:lang w:eastAsia="en-US"/>
        </w:rPr>
        <w:t xml:space="preserve"> </w:t>
      </w:r>
      <w:r w:rsidRPr="00255659">
        <w:rPr>
          <w:rFonts w:eastAsia="SimSun"/>
          <w:snapToGrid w:val="0"/>
          <w:szCs w:val="24"/>
          <w:lang w:val="x-none" w:eastAsia="en-US"/>
        </w:rPr>
        <w:t>In short, interest rate forecasts are appropriate proxies for the risk-free rate in any risk premium analysis such as the CAPM.</w:t>
      </w:r>
    </w:p>
    <w:p w:rsidR="00AA31D3" w:rsidRPr="00255659" w:rsidRDefault="00E74490" w:rsidP="00540A76">
      <w:pPr>
        <w:pStyle w:val="Heading3"/>
        <w:rPr>
          <w:lang w:eastAsia="en-US"/>
        </w:rPr>
      </w:pPr>
      <w:bookmarkStart w:id="30" w:name="_Toc489887877"/>
      <w:r w:rsidRPr="00255659">
        <w:rPr>
          <w:lang w:eastAsia="en-US"/>
        </w:rPr>
        <w:t>4.</w:t>
      </w:r>
      <w:r w:rsidRPr="00255659">
        <w:rPr>
          <w:lang w:eastAsia="en-US"/>
        </w:rPr>
        <w:tab/>
      </w:r>
      <w:r w:rsidR="002C2BE4">
        <w:rPr>
          <w:lang w:eastAsia="en-US"/>
        </w:rPr>
        <w:t xml:space="preserve">Dr. Woolridge’s Criticisms of My </w:t>
      </w:r>
      <w:r w:rsidR="001C6AB4" w:rsidRPr="00255659">
        <w:rPr>
          <w:lang w:eastAsia="en-US"/>
        </w:rPr>
        <w:t>Market Risk Premium</w:t>
      </w:r>
      <w:r w:rsidR="002C2BE4">
        <w:rPr>
          <w:lang w:eastAsia="en-US"/>
        </w:rPr>
        <w:t xml:space="preserve"> Are Without Merit and Should be Disregarded</w:t>
      </w:r>
      <w:bookmarkEnd w:id="30"/>
    </w:p>
    <w:p w:rsidR="00A3798E" w:rsidRDefault="00E74490" w:rsidP="00540A76">
      <w:pPr>
        <w:pStyle w:val="question"/>
        <w:rPr>
          <w:lang w:eastAsia="en-US"/>
        </w:rPr>
      </w:pPr>
      <w:r w:rsidRPr="00255659">
        <w:rPr>
          <w:lang w:eastAsia="en-US"/>
        </w:rPr>
        <w:t>Q.</w:t>
      </w:r>
      <w:r w:rsidR="00AA31D3" w:rsidRPr="00255659">
        <w:rPr>
          <w:lang w:eastAsia="en-US"/>
        </w:rPr>
        <w:tab/>
      </w:r>
      <w:r w:rsidR="00A3798E">
        <w:rPr>
          <w:lang w:eastAsia="en-US"/>
        </w:rPr>
        <w:t xml:space="preserve">Is Dr. Woolridge correct in arguing that </w:t>
      </w:r>
      <w:r w:rsidR="00A3798E" w:rsidRPr="00255659">
        <w:rPr>
          <w:lang w:eastAsia="en-US"/>
        </w:rPr>
        <w:t>the use of annual bond income return is erroneous</w:t>
      </w:r>
      <w:r w:rsidR="00A3798E">
        <w:rPr>
          <w:lang w:eastAsia="en-US"/>
        </w:rPr>
        <w:t>?</w:t>
      </w:r>
    </w:p>
    <w:p w:rsidR="001C6AB4" w:rsidRPr="00197232" w:rsidRDefault="00AA31D3" w:rsidP="00540A76">
      <w:pPr>
        <w:pStyle w:val="answer"/>
        <w:rPr>
          <w:lang w:eastAsia="en-US"/>
        </w:rPr>
      </w:pPr>
      <w:r w:rsidRPr="00255659">
        <w:rPr>
          <w:lang w:eastAsia="en-US"/>
        </w:rPr>
        <w:t>A.</w:t>
      </w:r>
      <w:r w:rsidRPr="00255659">
        <w:rPr>
          <w:lang w:eastAsia="en-US"/>
        </w:rPr>
        <w:tab/>
        <w:t>No.</w:t>
      </w:r>
      <w:r w:rsidR="00C91CE2">
        <w:rPr>
          <w:lang w:eastAsia="en-US"/>
        </w:rPr>
        <w:t xml:space="preserve"> </w:t>
      </w:r>
      <w:r w:rsidR="004C03EA" w:rsidRPr="00255659">
        <w:rPr>
          <w:lang w:eastAsia="en-US"/>
        </w:rPr>
        <w:t>Dr.</w:t>
      </w:r>
      <w:r w:rsidR="004C03EA">
        <w:rPr>
          <w:lang w:eastAsia="en-US"/>
        </w:rPr>
        <w:t> </w:t>
      </w:r>
      <w:r w:rsidRPr="00255659">
        <w:rPr>
          <w:lang w:eastAsia="en-US"/>
        </w:rPr>
        <w:t xml:space="preserve">Woolridge </w:t>
      </w:r>
      <w:r w:rsidR="00A3798E">
        <w:rPr>
          <w:lang w:eastAsia="en-US"/>
        </w:rPr>
        <w:t xml:space="preserve">incorrectly </w:t>
      </w:r>
      <w:r w:rsidRPr="00255659">
        <w:rPr>
          <w:lang w:eastAsia="en-US"/>
        </w:rPr>
        <w:t>argues that the use of annual bond income return is erroneous.</w:t>
      </w:r>
      <w:r w:rsidR="00197232">
        <w:rPr>
          <w:rStyle w:val="FootnoteReference"/>
          <w:lang w:eastAsia="en-US"/>
        </w:rPr>
        <w:footnoteReference w:id="60"/>
      </w:r>
      <w:r w:rsidR="00C91CE2">
        <w:rPr>
          <w:lang w:eastAsia="en-US"/>
        </w:rPr>
        <w:t xml:space="preserve"> </w:t>
      </w:r>
      <w:r w:rsidRPr="00255659">
        <w:rPr>
          <w:snapToGrid w:val="0"/>
          <w:lang w:eastAsia="en-US"/>
        </w:rPr>
        <w:t xml:space="preserve">The proper way to estimate the </w:t>
      </w:r>
      <w:r w:rsidR="00197232">
        <w:rPr>
          <w:snapToGrid w:val="0"/>
          <w:lang w:eastAsia="en-US"/>
        </w:rPr>
        <w:t xml:space="preserve">market risk premium </w:t>
      </w:r>
      <w:r w:rsidRPr="00255659">
        <w:rPr>
          <w:snapToGrid w:val="0"/>
          <w:lang w:eastAsia="en-US"/>
        </w:rPr>
        <w:t>from historical data is to use the income return, not total returns, on government bonds.</w:t>
      </w:r>
      <w:r w:rsidR="00C91CE2">
        <w:rPr>
          <w:snapToGrid w:val="0"/>
          <w:lang w:eastAsia="en-US"/>
        </w:rPr>
        <w:t xml:space="preserve"> </w:t>
      </w:r>
      <w:r w:rsidR="00C8234D">
        <w:rPr>
          <w:snapToGrid w:val="0"/>
          <w:lang w:eastAsia="en-US"/>
        </w:rPr>
        <w:t>T</w:t>
      </w:r>
      <w:r w:rsidRPr="00255659">
        <w:rPr>
          <w:snapToGrid w:val="0"/>
          <w:lang w:eastAsia="en-US"/>
        </w:rPr>
        <w:t>he income return on government bonds is a more reliable estimate of the historical market risk premium because the income component of total bond return (i.e., the coupon rate) is a better estimate of expected return than the total return (i.e., the coupon rate + capital gain).</w:t>
      </w:r>
      <w:r w:rsidR="00C91CE2">
        <w:rPr>
          <w:snapToGrid w:val="0"/>
          <w:lang w:eastAsia="en-US"/>
        </w:rPr>
        <w:t xml:space="preserve"> </w:t>
      </w:r>
      <w:r w:rsidRPr="00255659">
        <w:rPr>
          <w:snapToGrid w:val="0"/>
          <w:lang w:eastAsia="en-US"/>
        </w:rPr>
        <w:t>In other words, bond investors focus on income rather than realized capital gains/losses.</w:t>
      </w:r>
    </w:p>
    <w:p w:rsidR="00AA31D3" w:rsidRPr="00255659" w:rsidRDefault="004C03EA" w:rsidP="00540A76">
      <w:pPr>
        <w:pStyle w:val="answer"/>
        <w:ind w:firstLine="0"/>
        <w:rPr>
          <w:lang w:eastAsia="en-US"/>
        </w:rPr>
      </w:pPr>
      <w:r w:rsidRPr="00255659">
        <w:rPr>
          <w:lang w:eastAsia="en-US"/>
        </w:rPr>
        <w:t>Dr.</w:t>
      </w:r>
      <w:r>
        <w:rPr>
          <w:lang w:eastAsia="en-US"/>
        </w:rPr>
        <w:t> </w:t>
      </w:r>
      <w:r w:rsidR="00AA31D3" w:rsidRPr="00255659">
        <w:rPr>
          <w:lang w:eastAsia="en-US"/>
        </w:rPr>
        <w:t xml:space="preserve">Woolridge also argues on that there are myriad problems in relying on historical returns, including the so-called survivorship bias, the arithmetic vs </w:t>
      </w:r>
      <w:r w:rsidR="00AA31D3" w:rsidRPr="00255659">
        <w:rPr>
          <w:lang w:eastAsia="en-US"/>
        </w:rPr>
        <w:lastRenderedPageBreak/>
        <w:t>geometric mean issue, and the time horizon issue.</w:t>
      </w:r>
      <w:r w:rsidR="00197232">
        <w:rPr>
          <w:rStyle w:val="FootnoteReference"/>
          <w:lang w:eastAsia="en-US"/>
        </w:rPr>
        <w:footnoteReference w:id="61"/>
      </w:r>
      <w:r w:rsidR="00C91CE2">
        <w:rPr>
          <w:lang w:eastAsia="en-US"/>
        </w:rPr>
        <w:t xml:space="preserve"> </w:t>
      </w:r>
      <w:r w:rsidR="00AA31D3" w:rsidRPr="00255659">
        <w:rPr>
          <w:lang w:eastAsia="en-US"/>
        </w:rPr>
        <w:t xml:space="preserve">I have </w:t>
      </w:r>
      <w:r w:rsidR="007131CB">
        <w:rPr>
          <w:lang w:eastAsia="en-US"/>
        </w:rPr>
        <w:t xml:space="preserve">previously </w:t>
      </w:r>
      <w:r w:rsidR="00AA31D3" w:rsidRPr="00255659">
        <w:rPr>
          <w:lang w:eastAsia="en-US"/>
        </w:rPr>
        <w:t>addressed the issue of the arithmetic vs geometric mean and demonstrated that only the arithmetic mean is relevant when measuring the current cost of capital.</w:t>
      </w:r>
    </w:p>
    <w:p w:rsidR="00AA31D3" w:rsidRPr="00255659" w:rsidRDefault="00AA31D3" w:rsidP="00540A76">
      <w:pPr>
        <w:pStyle w:val="question"/>
        <w:rPr>
          <w:lang w:eastAsia="en-US"/>
        </w:rPr>
      </w:pPr>
      <w:r w:rsidRPr="00255659">
        <w:rPr>
          <w:lang w:eastAsia="en-US"/>
        </w:rPr>
        <w:t>Q.</w:t>
      </w:r>
      <w:r w:rsidRPr="00255659">
        <w:rPr>
          <w:lang w:eastAsia="en-US"/>
        </w:rPr>
        <w:tab/>
      </w:r>
      <w:r w:rsidR="007131CB">
        <w:rPr>
          <w:lang w:eastAsia="en-US"/>
        </w:rPr>
        <w:t xml:space="preserve">Is </w:t>
      </w:r>
      <w:r w:rsidR="004C03EA" w:rsidRPr="00255659">
        <w:rPr>
          <w:lang w:eastAsia="en-US"/>
        </w:rPr>
        <w:t>Dr.</w:t>
      </w:r>
      <w:r w:rsidR="004C03EA">
        <w:rPr>
          <w:lang w:eastAsia="en-US"/>
        </w:rPr>
        <w:t> </w:t>
      </w:r>
      <w:r w:rsidR="001C6AB4" w:rsidRPr="00255659">
        <w:rPr>
          <w:lang w:eastAsia="en-US"/>
        </w:rPr>
        <w:t>Woolridge</w:t>
      </w:r>
      <w:r w:rsidR="007131CB">
        <w:rPr>
          <w:lang w:eastAsia="en-US"/>
        </w:rPr>
        <w:t xml:space="preserve"> correct that </w:t>
      </w:r>
      <w:r w:rsidR="001C6AB4" w:rsidRPr="00255659">
        <w:rPr>
          <w:lang w:eastAsia="en-US"/>
        </w:rPr>
        <w:t xml:space="preserve">historical </w:t>
      </w:r>
      <w:r w:rsidR="007131CB">
        <w:rPr>
          <w:lang w:eastAsia="en-US"/>
        </w:rPr>
        <w:t xml:space="preserve">market risk premium </w:t>
      </w:r>
      <w:r w:rsidR="001C6AB4" w:rsidRPr="00255659">
        <w:rPr>
          <w:lang w:eastAsia="en-US"/>
        </w:rPr>
        <w:t xml:space="preserve">studies are upward-biased by the so-called </w:t>
      </w:r>
      <w:r w:rsidR="00255659">
        <w:rPr>
          <w:lang w:eastAsia="en-US"/>
        </w:rPr>
        <w:t>“</w:t>
      </w:r>
      <w:r w:rsidR="001C6AB4" w:rsidRPr="00255659">
        <w:rPr>
          <w:lang w:eastAsia="en-US"/>
        </w:rPr>
        <w:t>survivorship bias</w:t>
      </w:r>
      <w:r w:rsidR="00255659">
        <w:rPr>
          <w:lang w:eastAsia="en-US"/>
        </w:rPr>
        <w:t>”</w:t>
      </w:r>
      <w:r w:rsidR="001C6AB4" w:rsidRPr="00255659">
        <w:rPr>
          <w:lang w:eastAsia="en-US"/>
        </w:rPr>
        <w:t>?</w:t>
      </w:r>
    </w:p>
    <w:p w:rsidR="00AA31D3" w:rsidRPr="00255659" w:rsidRDefault="00AA31D3" w:rsidP="00540A76">
      <w:pPr>
        <w:pStyle w:val="answer"/>
        <w:rPr>
          <w:lang w:eastAsia="en-US"/>
        </w:rPr>
      </w:pPr>
      <w:r w:rsidRPr="00255659">
        <w:rPr>
          <w:lang w:eastAsia="en-US"/>
        </w:rPr>
        <w:t>A.</w:t>
      </w:r>
      <w:r w:rsidRPr="00255659">
        <w:rPr>
          <w:lang w:eastAsia="en-US"/>
        </w:rPr>
        <w:tab/>
      </w:r>
      <w:r w:rsidR="004C03EA" w:rsidRPr="00255659">
        <w:rPr>
          <w:lang w:eastAsia="en-US"/>
        </w:rPr>
        <w:t>Dr.</w:t>
      </w:r>
      <w:r w:rsidR="004C03EA">
        <w:rPr>
          <w:lang w:eastAsia="en-US"/>
        </w:rPr>
        <w:t> </w:t>
      </w:r>
      <w:r w:rsidRPr="00255659">
        <w:rPr>
          <w:lang w:eastAsia="en-US"/>
        </w:rPr>
        <w:t>Woolridge argues that historical estimates are inappropriate because the stock market index used in such studies includes only companies that have survived, and as a result the average realized excess return is overestimated.</w:t>
      </w:r>
      <w:r w:rsidR="00486E5B">
        <w:rPr>
          <w:rStyle w:val="FootnoteReference"/>
          <w:lang w:eastAsia="en-US"/>
        </w:rPr>
        <w:footnoteReference w:id="62"/>
      </w:r>
      <w:r w:rsidR="00C91CE2">
        <w:rPr>
          <w:lang w:eastAsia="en-US"/>
        </w:rPr>
        <w:t xml:space="preserve"> </w:t>
      </w:r>
      <w:r w:rsidRPr="00255659">
        <w:rPr>
          <w:lang w:eastAsia="en-US"/>
        </w:rPr>
        <w:t xml:space="preserve">However, a study by </w:t>
      </w:r>
      <w:r w:rsidR="00486E5B" w:rsidRPr="00486E5B">
        <w:rPr>
          <w:lang w:eastAsia="en-US"/>
        </w:rPr>
        <w:t xml:space="preserve">Philippe </w:t>
      </w:r>
      <w:r w:rsidRPr="00255659">
        <w:rPr>
          <w:lang w:eastAsia="en-US"/>
        </w:rPr>
        <w:t xml:space="preserve">Jorion </w:t>
      </w:r>
      <w:r w:rsidR="00486E5B">
        <w:rPr>
          <w:lang w:eastAsia="en-US"/>
        </w:rPr>
        <w:t>and William</w:t>
      </w:r>
      <w:r w:rsidRPr="00255659">
        <w:rPr>
          <w:lang w:eastAsia="en-US"/>
        </w:rPr>
        <w:t xml:space="preserve"> Goetzmann not discussed by </w:t>
      </w:r>
      <w:r w:rsidR="004C03EA" w:rsidRPr="00255659">
        <w:rPr>
          <w:lang w:eastAsia="en-US"/>
        </w:rPr>
        <w:t>Dr.</w:t>
      </w:r>
      <w:r w:rsidR="004C03EA">
        <w:rPr>
          <w:lang w:eastAsia="en-US"/>
        </w:rPr>
        <w:t> </w:t>
      </w:r>
      <w:r w:rsidRPr="00255659">
        <w:rPr>
          <w:lang w:eastAsia="en-US"/>
        </w:rPr>
        <w:t xml:space="preserve">Woolridge finds that the </w:t>
      </w:r>
      <w:r w:rsidR="00255659">
        <w:rPr>
          <w:lang w:eastAsia="en-US"/>
        </w:rPr>
        <w:t>“</w:t>
      </w:r>
      <w:r w:rsidRPr="00255659">
        <w:rPr>
          <w:lang w:eastAsia="en-US"/>
        </w:rPr>
        <w:t>survivorship bias</w:t>
      </w:r>
      <w:r w:rsidR="00255659">
        <w:rPr>
          <w:lang w:eastAsia="en-US"/>
        </w:rPr>
        <w:t>”</w:t>
      </w:r>
      <w:r w:rsidRPr="00255659">
        <w:rPr>
          <w:lang w:eastAsia="en-US"/>
        </w:rPr>
        <w:t xml:space="preserve"> is only 29 basis points</w:t>
      </w:r>
      <w:r w:rsidR="00486E5B">
        <w:rPr>
          <w:lang w:eastAsia="en-US"/>
        </w:rPr>
        <w:t xml:space="preserve"> (i.e., 0.29 percent)</w:t>
      </w:r>
      <w:r w:rsidR="001C6AB4" w:rsidRPr="00255659">
        <w:rPr>
          <w:lang w:eastAsia="en-US"/>
        </w:rPr>
        <w:t>.</w:t>
      </w:r>
      <w:r w:rsidR="001C6AB4" w:rsidRPr="00255659">
        <w:rPr>
          <w:rStyle w:val="FootnoteReference"/>
          <w:lang w:eastAsia="en-US"/>
        </w:rPr>
        <w:footnoteReference w:id="63"/>
      </w:r>
      <w:r w:rsidRPr="00255659">
        <w:rPr>
          <w:lang w:eastAsia="en-US"/>
        </w:rPr>
        <w:t xml:space="preserve"> A more recent working paper by </w:t>
      </w:r>
      <w:r w:rsidR="00486E5B" w:rsidRPr="00486E5B">
        <w:rPr>
          <w:lang w:eastAsia="en-US"/>
        </w:rPr>
        <w:t>Elroy Dimson, Paul Marsh, and Mike Staunton</w:t>
      </w:r>
      <w:r w:rsidR="00486E5B">
        <w:rPr>
          <w:rFonts w:ascii="Cambria Math" w:hAnsi="Cambria Math" w:cs="Cambria Math"/>
          <w:lang w:eastAsia="en-US"/>
        </w:rPr>
        <w:t xml:space="preserve"> </w:t>
      </w:r>
      <w:r w:rsidRPr="00255659">
        <w:rPr>
          <w:lang w:eastAsia="en-US"/>
        </w:rPr>
        <w:t xml:space="preserve">find a survivorship bias of only </w:t>
      </w:r>
      <w:r w:rsidR="00486E5B">
        <w:rPr>
          <w:lang w:eastAsia="en-US"/>
        </w:rPr>
        <w:t xml:space="preserve">10 </w:t>
      </w:r>
      <w:r w:rsidR="00486E5B" w:rsidRPr="00255659">
        <w:rPr>
          <w:lang w:eastAsia="en-US"/>
        </w:rPr>
        <w:t>basis points</w:t>
      </w:r>
      <w:r w:rsidR="00486E5B">
        <w:rPr>
          <w:lang w:eastAsia="en-US"/>
        </w:rPr>
        <w:t xml:space="preserve"> (i.e., 0.1 percent)</w:t>
      </w:r>
      <w:r w:rsidR="00486E5B" w:rsidRPr="00255659">
        <w:rPr>
          <w:lang w:eastAsia="en-US"/>
        </w:rPr>
        <w:t>.</w:t>
      </w:r>
      <w:r w:rsidR="00486E5B" w:rsidRPr="00255659">
        <w:rPr>
          <w:rStyle w:val="FootnoteReference"/>
          <w:lang w:eastAsia="en-US"/>
        </w:rPr>
        <w:footnoteReference w:id="64"/>
      </w:r>
    </w:p>
    <w:p w:rsidR="00AA31D3" w:rsidRPr="00255659" w:rsidRDefault="00AA31D3" w:rsidP="00540A76">
      <w:pPr>
        <w:pStyle w:val="question"/>
        <w:rPr>
          <w:lang w:eastAsia="en-US"/>
        </w:rPr>
      </w:pPr>
      <w:r w:rsidRPr="00255659">
        <w:rPr>
          <w:lang w:eastAsia="en-US"/>
        </w:rPr>
        <w:t>Q.</w:t>
      </w:r>
      <w:r w:rsidRPr="00255659">
        <w:rPr>
          <w:lang w:eastAsia="en-US"/>
        </w:rPr>
        <w:tab/>
      </w:r>
      <w:r w:rsidR="00D22846">
        <w:rPr>
          <w:lang w:eastAsia="en-US"/>
        </w:rPr>
        <w:t>I</w:t>
      </w:r>
      <w:r w:rsidR="001C6AB4" w:rsidRPr="00255659">
        <w:rPr>
          <w:lang w:eastAsia="en-US"/>
        </w:rPr>
        <w:t>s time horizon an issue when using historical return</w:t>
      </w:r>
      <w:r w:rsidRPr="00255659">
        <w:rPr>
          <w:lang w:eastAsia="en-US"/>
        </w:rPr>
        <w:t>?</w:t>
      </w:r>
    </w:p>
    <w:p w:rsidR="00963935" w:rsidRDefault="00AA31D3" w:rsidP="00540A76">
      <w:pPr>
        <w:pStyle w:val="answer"/>
      </w:pPr>
      <w:r w:rsidRPr="00255659">
        <w:t>A.</w:t>
      </w:r>
      <w:r w:rsidRPr="00255659">
        <w:tab/>
        <w:t>No</w:t>
      </w:r>
      <w:r w:rsidR="00D22846">
        <w:t xml:space="preserve">. </w:t>
      </w:r>
      <w:r w:rsidR="00D22846">
        <w:rPr>
          <w:lang w:eastAsia="en-US"/>
        </w:rPr>
        <w:t>T</w:t>
      </w:r>
      <w:r w:rsidR="00D22846" w:rsidRPr="00255659">
        <w:rPr>
          <w:lang w:eastAsia="en-US"/>
        </w:rPr>
        <w:t xml:space="preserve">ime horizon </w:t>
      </w:r>
      <w:r w:rsidR="00D22846">
        <w:rPr>
          <w:lang w:eastAsia="en-US"/>
        </w:rPr>
        <w:t xml:space="preserve">is not </w:t>
      </w:r>
      <w:r w:rsidR="00D22846" w:rsidRPr="00255659">
        <w:rPr>
          <w:lang w:eastAsia="en-US"/>
        </w:rPr>
        <w:t>an issue when using historical return</w:t>
      </w:r>
      <w:r w:rsidR="00D22846" w:rsidRPr="00255659">
        <w:t xml:space="preserve"> </w:t>
      </w:r>
      <w:r w:rsidR="00D22846">
        <w:t xml:space="preserve">so long as </w:t>
      </w:r>
      <w:r w:rsidRPr="00255659">
        <w:t>long time periods are used.</w:t>
      </w:r>
      <w:r w:rsidR="00C91CE2">
        <w:t xml:space="preserve"> </w:t>
      </w:r>
      <w:r w:rsidRPr="00255659">
        <w:t xml:space="preserve">Historical risk premium studies have been around for a long time and are standard tools used in estimating </w:t>
      </w:r>
      <w:r w:rsidR="00D22846">
        <w:t>market risk premiums</w:t>
      </w:r>
      <w:r w:rsidRPr="00255659">
        <w:t>.</w:t>
      </w:r>
      <w:r w:rsidR="00C91CE2">
        <w:t xml:space="preserve"> </w:t>
      </w:r>
      <w:r w:rsidRPr="00255659">
        <w:t>Duff</w:t>
      </w:r>
      <w:r w:rsidR="00D22846">
        <w:t> </w:t>
      </w:r>
      <w:r w:rsidRPr="00255659">
        <w:t xml:space="preserve">&amp; Phelps have been tracking realized rates of return on various classes of securities </w:t>
      </w:r>
      <w:r w:rsidRPr="00255659">
        <w:lastRenderedPageBreak/>
        <w:t>for many years, now including data over the period from 1926 to 2016.</w:t>
      </w:r>
      <w:r w:rsidR="00C91CE2">
        <w:t xml:space="preserve"> </w:t>
      </w:r>
      <w:r w:rsidRPr="00255659">
        <w:t>This long period of time encompasses many different market economic circumstances (expansions, depressions, recessions, war, prosperity, financial crises, etc.).</w:t>
      </w:r>
      <w:r w:rsidR="00C91CE2">
        <w:t xml:space="preserve"> </w:t>
      </w:r>
      <w:r w:rsidRPr="00255659">
        <w:t>As stated in my book</w:t>
      </w:r>
      <w:r w:rsidR="00963935">
        <w:t>:</w:t>
      </w:r>
    </w:p>
    <w:p w:rsidR="00963935" w:rsidRPr="00963935" w:rsidRDefault="00AA31D3" w:rsidP="00963935">
      <w:pPr>
        <w:pStyle w:val="BlockQuote"/>
        <w:rPr>
          <w:i w:val="0"/>
        </w:rPr>
      </w:pPr>
      <w:r w:rsidRPr="00963935">
        <w:rPr>
          <w:i w:val="0"/>
        </w:rPr>
        <w:t>over long periods investor expectations and realizations converge.</w:t>
      </w:r>
      <w:r w:rsidR="00C91CE2" w:rsidRPr="00963935">
        <w:rPr>
          <w:i w:val="0"/>
        </w:rPr>
        <w:t xml:space="preserve"> </w:t>
      </w:r>
      <w:r w:rsidRPr="00963935">
        <w:rPr>
          <w:i w:val="0"/>
        </w:rPr>
        <w:t>Otherwise, investors would never commit investment capital.</w:t>
      </w:r>
      <w:r w:rsidR="00C91CE2" w:rsidRPr="00963935">
        <w:rPr>
          <w:i w:val="0"/>
        </w:rPr>
        <w:t xml:space="preserve"> </w:t>
      </w:r>
      <w:r w:rsidRPr="00963935">
        <w:rPr>
          <w:i w:val="0"/>
        </w:rPr>
        <w:t>Investors</w:t>
      </w:r>
      <w:r w:rsidR="00255659" w:rsidRPr="00963935">
        <w:rPr>
          <w:i w:val="0"/>
        </w:rPr>
        <w:t>’</w:t>
      </w:r>
      <w:r w:rsidRPr="00963935">
        <w:rPr>
          <w:i w:val="0"/>
        </w:rPr>
        <w:t xml:space="preserve"> expectations are eventually revised to match historical realizations, as market prices adjust to bring anticipated and actual investment results into conformity.</w:t>
      </w:r>
      <w:r w:rsidR="00963935">
        <w:rPr>
          <w:rStyle w:val="FootnoteReference"/>
          <w:i w:val="0"/>
        </w:rPr>
        <w:footnoteReference w:id="65"/>
      </w:r>
    </w:p>
    <w:p w:rsidR="00AA31D3" w:rsidRPr="00255659" w:rsidRDefault="00AA31D3" w:rsidP="00963935">
      <w:pPr>
        <w:pStyle w:val="answer"/>
        <w:ind w:firstLine="0"/>
      </w:pPr>
      <w:r w:rsidRPr="00255659">
        <w:t xml:space="preserve">The long-term estimate of realized returns is therefore a plausible estimate of expected future returns that is easily verifiable. </w:t>
      </w:r>
    </w:p>
    <w:p w:rsidR="00AA31D3" w:rsidRPr="00255659" w:rsidRDefault="00AA31D3" w:rsidP="00540A76">
      <w:pPr>
        <w:pStyle w:val="question"/>
        <w:rPr>
          <w:lang w:eastAsia="en-US"/>
        </w:rPr>
      </w:pPr>
      <w:r w:rsidRPr="00255659">
        <w:rPr>
          <w:lang w:eastAsia="en-US"/>
        </w:rPr>
        <w:t>Q.</w:t>
      </w:r>
      <w:r w:rsidRPr="00255659">
        <w:rPr>
          <w:lang w:eastAsia="en-US"/>
        </w:rPr>
        <w:tab/>
      </w:r>
      <w:r w:rsidR="00963935">
        <w:rPr>
          <w:lang w:eastAsia="en-US"/>
        </w:rPr>
        <w:t>D</w:t>
      </w:r>
      <w:r w:rsidR="001C6AB4" w:rsidRPr="00255659">
        <w:rPr>
          <w:lang w:eastAsia="en-US"/>
        </w:rPr>
        <w:t>id you rely on Duff &amp; Phelps</w:t>
      </w:r>
      <w:r w:rsidR="00255659">
        <w:rPr>
          <w:lang w:eastAsia="en-US"/>
        </w:rPr>
        <w:t>’</w:t>
      </w:r>
      <w:r w:rsidR="001C6AB4" w:rsidRPr="00255659">
        <w:rPr>
          <w:lang w:eastAsia="en-US"/>
        </w:rPr>
        <w:t xml:space="preserve"> estimate of the </w:t>
      </w:r>
      <w:r w:rsidR="00963935">
        <w:rPr>
          <w:lang w:eastAsia="en-US"/>
        </w:rPr>
        <w:t>market risk premium</w:t>
      </w:r>
      <w:r w:rsidRPr="00255659">
        <w:rPr>
          <w:lang w:eastAsia="en-US"/>
        </w:rPr>
        <w:t>?</w:t>
      </w:r>
    </w:p>
    <w:p w:rsidR="00AA31D3" w:rsidRPr="00255659" w:rsidRDefault="00AA31D3" w:rsidP="00540A76">
      <w:pPr>
        <w:pStyle w:val="answer"/>
        <w:rPr>
          <w:lang w:eastAsia="en-US"/>
        </w:rPr>
      </w:pPr>
      <w:r w:rsidRPr="00255659">
        <w:rPr>
          <w:lang w:eastAsia="en-US"/>
        </w:rPr>
        <w:t>A.</w:t>
      </w:r>
      <w:r w:rsidR="001C6AB4" w:rsidRPr="00255659">
        <w:rPr>
          <w:lang w:eastAsia="en-US"/>
        </w:rPr>
        <w:tab/>
      </w:r>
      <w:r w:rsidRPr="00255659">
        <w:rPr>
          <w:lang w:eastAsia="en-US"/>
        </w:rPr>
        <w:t>No</w:t>
      </w:r>
      <w:r w:rsidR="00963935">
        <w:rPr>
          <w:lang w:eastAsia="en-US"/>
        </w:rPr>
        <w:t xml:space="preserve">. </w:t>
      </w:r>
      <w:r w:rsidR="004C03EA" w:rsidRPr="00255659">
        <w:rPr>
          <w:lang w:eastAsia="en-US"/>
        </w:rPr>
        <w:t>Dr.</w:t>
      </w:r>
      <w:r w:rsidR="004C03EA">
        <w:rPr>
          <w:lang w:eastAsia="en-US"/>
        </w:rPr>
        <w:t> </w:t>
      </w:r>
      <w:r w:rsidRPr="00255659">
        <w:rPr>
          <w:lang w:eastAsia="en-US"/>
        </w:rPr>
        <w:t xml:space="preserve">Woolridge </w:t>
      </w:r>
      <w:r w:rsidR="00963935">
        <w:rPr>
          <w:lang w:eastAsia="en-US"/>
        </w:rPr>
        <w:t xml:space="preserve">correctly </w:t>
      </w:r>
      <w:r w:rsidRPr="00255659">
        <w:rPr>
          <w:lang w:eastAsia="en-US"/>
        </w:rPr>
        <w:t>points out that I have not relied on Duff &amp; Phelps</w:t>
      </w:r>
      <w:r w:rsidR="00255659">
        <w:rPr>
          <w:lang w:eastAsia="en-US"/>
        </w:rPr>
        <w:t>’</w:t>
      </w:r>
      <w:r w:rsidRPr="00255659">
        <w:rPr>
          <w:lang w:eastAsia="en-US"/>
        </w:rPr>
        <w:t xml:space="preserve">s in-house </w:t>
      </w:r>
      <w:r w:rsidR="00963935">
        <w:rPr>
          <w:lang w:eastAsia="en-US"/>
        </w:rPr>
        <w:t xml:space="preserve">market risk premium </w:t>
      </w:r>
      <w:r w:rsidRPr="00255659">
        <w:rPr>
          <w:lang w:eastAsia="en-US"/>
        </w:rPr>
        <w:t>recommendation of 5.5</w:t>
      </w:r>
      <w:r w:rsidR="00DD2B52">
        <w:rPr>
          <w:lang w:eastAsia="en-US"/>
        </w:rPr>
        <w:t> percent</w:t>
      </w:r>
      <w:r w:rsidRPr="00255659">
        <w:rPr>
          <w:lang w:eastAsia="en-US"/>
        </w:rPr>
        <w:t>.</w:t>
      </w:r>
      <w:r w:rsidR="00963935">
        <w:rPr>
          <w:rStyle w:val="FootnoteReference"/>
          <w:lang w:eastAsia="en-US"/>
        </w:rPr>
        <w:footnoteReference w:id="66"/>
      </w:r>
      <w:r w:rsidR="00C91CE2">
        <w:rPr>
          <w:lang w:eastAsia="en-US"/>
        </w:rPr>
        <w:t xml:space="preserve"> </w:t>
      </w:r>
      <w:r w:rsidRPr="00255659">
        <w:rPr>
          <w:lang w:eastAsia="en-US"/>
        </w:rPr>
        <w:t xml:space="preserve">Because Duff &amp; Phelps do not rely on historical studies of the </w:t>
      </w:r>
      <w:r w:rsidR="00963935">
        <w:rPr>
          <w:lang w:eastAsia="en-US"/>
        </w:rPr>
        <w:t xml:space="preserve">market risk premium </w:t>
      </w:r>
      <w:r w:rsidRPr="00255659">
        <w:rPr>
          <w:lang w:eastAsia="en-US"/>
        </w:rPr>
        <w:t xml:space="preserve">to arrive at their in-house </w:t>
      </w:r>
      <w:r w:rsidR="00963935">
        <w:rPr>
          <w:lang w:eastAsia="en-US"/>
        </w:rPr>
        <w:t xml:space="preserve">market risk premium </w:t>
      </w:r>
      <w:r w:rsidRPr="00255659">
        <w:rPr>
          <w:lang w:eastAsia="en-US"/>
        </w:rPr>
        <w:t xml:space="preserve">recommendation, I have chosen instead to rely on verifiable historical data rather than on speculative expected </w:t>
      </w:r>
      <w:r w:rsidR="00963935">
        <w:rPr>
          <w:lang w:eastAsia="en-US"/>
        </w:rPr>
        <w:t xml:space="preserve">market risk premium </w:t>
      </w:r>
      <w:r w:rsidRPr="00255659">
        <w:rPr>
          <w:lang w:eastAsia="en-US"/>
        </w:rPr>
        <w:t>data.</w:t>
      </w:r>
    </w:p>
    <w:p w:rsidR="00AA31D3" w:rsidRPr="00255659" w:rsidRDefault="00E74490" w:rsidP="00540A76">
      <w:pPr>
        <w:pStyle w:val="Heading3"/>
        <w:rPr>
          <w:lang w:eastAsia="en-US"/>
        </w:rPr>
      </w:pPr>
      <w:bookmarkStart w:id="31" w:name="_Toc489887878"/>
      <w:r w:rsidRPr="00255659">
        <w:rPr>
          <w:lang w:eastAsia="en-US"/>
        </w:rPr>
        <w:lastRenderedPageBreak/>
        <w:t>5.</w:t>
      </w:r>
      <w:r w:rsidRPr="00255659">
        <w:rPr>
          <w:lang w:eastAsia="en-US"/>
        </w:rPr>
        <w:tab/>
      </w:r>
      <w:r w:rsidR="002C2BE4" w:rsidRPr="00255659">
        <w:rPr>
          <w:lang w:eastAsia="en-US"/>
        </w:rPr>
        <w:t>Dr.</w:t>
      </w:r>
      <w:r w:rsidR="002C2BE4">
        <w:rPr>
          <w:lang w:eastAsia="en-US"/>
        </w:rPr>
        <w:t> </w:t>
      </w:r>
      <w:r w:rsidR="002C2BE4" w:rsidRPr="00255659">
        <w:rPr>
          <w:lang w:eastAsia="en-US"/>
        </w:rPr>
        <w:t xml:space="preserve">Woolridge </w:t>
      </w:r>
      <w:r w:rsidR="002C2BE4">
        <w:rPr>
          <w:lang w:eastAsia="en-US"/>
        </w:rPr>
        <w:t>Incorrectly A</w:t>
      </w:r>
      <w:r w:rsidR="002C2BE4" w:rsidRPr="00255659">
        <w:rPr>
          <w:lang w:eastAsia="en-US"/>
        </w:rPr>
        <w:t xml:space="preserve">rgues that My Allowed Risk Premium Study is a </w:t>
      </w:r>
      <w:r w:rsidR="002C2BE4">
        <w:rPr>
          <w:lang w:eastAsia="en-US"/>
        </w:rPr>
        <w:t>G</w:t>
      </w:r>
      <w:r w:rsidR="002C2BE4" w:rsidRPr="00255659">
        <w:rPr>
          <w:lang w:eastAsia="en-US"/>
        </w:rPr>
        <w:t>auge of Commission Behavior and Not Investor Behavior</w:t>
      </w:r>
      <w:bookmarkEnd w:id="31"/>
    </w:p>
    <w:p w:rsidR="00AA31D3" w:rsidRPr="00255659" w:rsidRDefault="00AA31D3" w:rsidP="00540A76">
      <w:pPr>
        <w:pStyle w:val="question"/>
        <w:rPr>
          <w:lang w:eastAsia="en-US"/>
        </w:rPr>
      </w:pPr>
      <w:r w:rsidRPr="00255659">
        <w:rPr>
          <w:lang w:eastAsia="en-US"/>
        </w:rPr>
        <w:t>Q.</w:t>
      </w:r>
      <w:r w:rsidRPr="00255659">
        <w:rPr>
          <w:lang w:eastAsia="en-US"/>
        </w:rPr>
        <w:tab/>
      </w:r>
      <w:r w:rsidR="002C2BE4">
        <w:rPr>
          <w:lang w:eastAsia="en-US"/>
        </w:rPr>
        <w:t xml:space="preserve">Is </w:t>
      </w:r>
      <w:r w:rsidR="004C03EA" w:rsidRPr="00255659">
        <w:rPr>
          <w:lang w:eastAsia="en-US"/>
        </w:rPr>
        <w:t>Dr.</w:t>
      </w:r>
      <w:r w:rsidR="004C03EA">
        <w:rPr>
          <w:lang w:eastAsia="en-US"/>
        </w:rPr>
        <w:t> </w:t>
      </w:r>
      <w:r w:rsidR="001C6AB4" w:rsidRPr="00255659">
        <w:rPr>
          <w:lang w:eastAsia="en-US"/>
        </w:rPr>
        <w:t>Woolridge</w:t>
      </w:r>
      <w:r w:rsidR="002C2BE4">
        <w:rPr>
          <w:lang w:eastAsia="en-US"/>
        </w:rPr>
        <w:t xml:space="preserve"> correct in </w:t>
      </w:r>
      <w:r w:rsidR="002C2BE4" w:rsidRPr="00255659">
        <w:rPr>
          <w:lang w:eastAsia="en-US"/>
        </w:rPr>
        <w:t>argu</w:t>
      </w:r>
      <w:r w:rsidR="002C2BE4">
        <w:rPr>
          <w:lang w:eastAsia="en-US"/>
        </w:rPr>
        <w:t>ing</w:t>
      </w:r>
      <w:r w:rsidR="002C2BE4" w:rsidRPr="00255659">
        <w:rPr>
          <w:lang w:eastAsia="en-US"/>
        </w:rPr>
        <w:t xml:space="preserve"> that </w:t>
      </w:r>
      <w:r w:rsidR="002C2BE4">
        <w:rPr>
          <w:lang w:eastAsia="en-US"/>
        </w:rPr>
        <w:t xml:space="preserve">your </w:t>
      </w:r>
      <w:r w:rsidR="002C2BE4" w:rsidRPr="00255659">
        <w:rPr>
          <w:lang w:eastAsia="en-US"/>
        </w:rPr>
        <w:t>allowed risk premium study is a gauge of commission behavior and not investor behavior</w:t>
      </w:r>
      <w:r w:rsidR="002C2BE4">
        <w:rPr>
          <w:lang w:eastAsia="en-US"/>
        </w:rPr>
        <w:t>?</w:t>
      </w:r>
    </w:p>
    <w:p w:rsidR="00AA31D3" w:rsidRPr="00255659" w:rsidRDefault="00AA31D3" w:rsidP="00540A76">
      <w:pPr>
        <w:pStyle w:val="answer"/>
        <w:rPr>
          <w:rFonts w:eastAsia="SimSun"/>
          <w:lang w:val="x-none" w:eastAsia="en-US"/>
        </w:rPr>
      </w:pPr>
      <w:r w:rsidRPr="00255659">
        <w:rPr>
          <w:lang w:eastAsia="en-US"/>
        </w:rPr>
        <w:t>A.</w:t>
      </w:r>
      <w:r w:rsidRPr="00255659">
        <w:rPr>
          <w:lang w:eastAsia="en-US"/>
        </w:rPr>
        <w:tab/>
        <w:t>No</w:t>
      </w:r>
      <w:r w:rsidR="002C2BE4">
        <w:rPr>
          <w:lang w:eastAsia="en-US"/>
        </w:rPr>
        <w:t xml:space="preserve">. </w:t>
      </w:r>
      <w:r w:rsidR="004C03EA" w:rsidRPr="00255659">
        <w:rPr>
          <w:lang w:eastAsia="en-US"/>
        </w:rPr>
        <w:t>Dr.</w:t>
      </w:r>
      <w:r w:rsidR="004C03EA">
        <w:rPr>
          <w:lang w:eastAsia="en-US"/>
        </w:rPr>
        <w:t> </w:t>
      </w:r>
      <w:r w:rsidRPr="00255659">
        <w:rPr>
          <w:lang w:eastAsia="en-US"/>
        </w:rPr>
        <w:t xml:space="preserve">Woolridge </w:t>
      </w:r>
      <w:r w:rsidR="002C2BE4">
        <w:rPr>
          <w:lang w:eastAsia="en-US"/>
        </w:rPr>
        <w:t xml:space="preserve">is incorrect in </w:t>
      </w:r>
      <w:r w:rsidRPr="00255659">
        <w:rPr>
          <w:lang w:eastAsia="en-US"/>
        </w:rPr>
        <w:t>argu</w:t>
      </w:r>
      <w:r w:rsidR="002C2BE4">
        <w:rPr>
          <w:lang w:eastAsia="en-US"/>
        </w:rPr>
        <w:t>ing</w:t>
      </w:r>
      <w:r w:rsidRPr="00255659">
        <w:rPr>
          <w:lang w:eastAsia="en-US"/>
        </w:rPr>
        <w:t xml:space="preserve"> that my allowed risk premium study is a gauge of commission behavior and not investor behavior.</w:t>
      </w:r>
      <w:r w:rsidR="002C2BE4">
        <w:rPr>
          <w:rStyle w:val="FootnoteReference"/>
          <w:lang w:eastAsia="en-US"/>
        </w:rPr>
        <w:footnoteReference w:id="67"/>
      </w:r>
      <w:r w:rsidR="00C91CE2">
        <w:rPr>
          <w:lang w:eastAsia="en-US"/>
        </w:rPr>
        <w:t xml:space="preserve"> </w:t>
      </w:r>
      <w:r w:rsidRPr="00255659">
        <w:rPr>
          <w:lang w:eastAsia="en-US"/>
        </w:rPr>
        <w:t xml:space="preserve">This variation of the risk premium approach is reasonable because allowed risk premiums are presumably based on the results of market-based methodologies (DCF, CAPM, Risk Premium, </w:t>
      </w:r>
      <w:r w:rsidRPr="00255659">
        <w:rPr>
          <w:i/>
          <w:lang w:eastAsia="en-US"/>
        </w:rPr>
        <w:t>etc.</w:t>
      </w:r>
      <w:r w:rsidRPr="00255659">
        <w:rPr>
          <w:lang w:eastAsia="en-US"/>
        </w:rPr>
        <w:t>) presented to regulators in rate hearings and on the actions of objective unbiased investors in a competitive marketplace.</w:t>
      </w:r>
    </w:p>
    <w:p w:rsidR="00AA31D3" w:rsidRPr="00255659" w:rsidRDefault="00E74490" w:rsidP="00540A76">
      <w:pPr>
        <w:pStyle w:val="Heading3"/>
        <w:rPr>
          <w:lang w:eastAsia="en-US"/>
        </w:rPr>
      </w:pPr>
      <w:bookmarkStart w:id="32" w:name="_Toc489887879"/>
      <w:r w:rsidRPr="00255659">
        <w:rPr>
          <w:lang w:eastAsia="en-US"/>
        </w:rPr>
        <w:t>6.</w:t>
      </w:r>
      <w:r w:rsidRPr="00255659">
        <w:rPr>
          <w:lang w:eastAsia="en-US"/>
        </w:rPr>
        <w:tab/>
      </w:r>
      <w:r w:rsidR="00193433">
        <w:rPr>
          <w:lang w:eastAsia="en-US"/>
        </w:rPr>
        <w:t>Market-to-Book</w:t>
      </w:r>
      <w:r w:rsidR="00193433" w:rsidRPr="00255659">
        <w:rPr>
          <w:lang w:eastAsia="en-US"/>
        </w:rPr>
        <w:t xml:space="preserve"> </w:t>
      </w:r>
      <w:r w:rsidR="00193433">
        <w:rPr>
          <w:lang w:eastAsia="en-US"/>
        </w:rPr>
        <w:t>R</w:t>
      </w:r>
      <w:r w:rsidR="00193433" w:rsidRPr="00255659">
        <w:rPr>
          <w:lang w:eastAsia="en-US"/>
        </w:rPr>
        <w:t xml:space="preserve">atios are </w:t>
      </w:r>
      <w:r w:rsidR="00193433">
        <w:rPr>
          <w:lang w:eastAsia="en-US"/>
        </w:rPr>
        <w:t>L</w:t>
      </w:r>
      <w:r w:rsidR="00193433" w:rsidRPr="00255659">
        <w:rPr>
          <w:lang w:eastAsia="en-US"/>
        </w:rPr>
        <w:t xml:space="preserve">argely </w:t>
      </w:r>
      <w:r w:rsidR="00193433">
        <w:rPr>
          <w:lang w:eastAsia="en-US"/>
        </w:rPr>
        <w:t>I</w:t>
      </w:r>
      <w:r w:rsidR="00193433" w:rsidRPr="00255659">
        <w:rPr>
          <w:lang w:eastAsia="en-US"/>
        </w:rPr>
        <w:t xml:space="preserve">rrelevant </w:t>
      </w:r>
      <w:r w:rsidR="00193433">
        <w:rPr>
          <w:lang w:eastAsia="en-US"/>
        </w:rPr>
        <w:t xml:space="preserve">in Establishing Rates of Regulated Utilities, and </w:t>
      </w:r>
      <w:r w:rsidR="00193433" w:rsidRPr="00255659">
        <w:rPr>
          <w:lang w:eastAsia="en-US"/>
        </w:rPr>
        <w:t>Dr.</w:t>
      </w:r>
      <w:r w:rsidR="00193433">
        <w:rPr>
          <w:lang w:eastAsia="en-US"/>
        </w:rPr>
        <w:t> </w:t>
      </w:r>
      <w:r w:rsidR="00193433" w:rsidRPr="00255659">
        <w:rPr>
          <w:lang w:eastAsia="en-US"/>
        </w:rPr>
        <w:t>Woolridge</w:t>
      </w:r>
      <w:r w:rsidR="00193433">
        <w:rPr>
          <w:lang w:eastAsia="en-US"/>
        </w:rPr>
        <w:t>’</w:t>
      </w:r>
      <w:r w:rsidR="00193433" w:rsidRPr="00255659">
        <w:rPr>
          <w:lang w:eastAsia="en-US"/>
        </w:rPr>
        <w:t xml:space="preserve">s </w:t>
      </w:r>
      <w:r w:rsidR="00193433">
        <w:rPr>
          <w:lang w:eastAsia="en-US"/>
        </w:rPr>
        <w:t>V</w:t>
      </w:r>
      <w:r w:rsidR="00193433" w:rsidRPr="00255659">
        <w:rPr>
          <w:lang w:eastAsia="en-US"/>
        </w:rPr>
        <w:t xml:space="preserve">iews on the </w:t>
      </w:r>
      <w:r w:rsidR="00193433">
        <w:rPr>
          <w:lang w:eastAsia="en-US"/>
        </w:rPr>
        <w:t>R</w:t>
      </w:r>
      <w:r w:rsidR="00193433" w:rsidRPr="00255659">
        <w:rPr>
          <w:lang w:eastAsia="en-US"/>
        </w:rPr>
        <w:t xml:space="preserve">ole of </w:t>
      </w:r>
      <w:r w:rsidR="00193433">
        <w:rPr>
          <w:lang w:eastAsia="en-US"/>
        </w:rPr>
        <w:t>Market-to-Book</w:t>
      </w:r>
      <w:r w:rsidR="00193433" w:rsidRPr="00255659">
        <w:rPr>
          <w:lang w:eastAsia="en-US"/>
        </w:rPr>
        <w:t xml:space="preserve"> </w:t>
      </w:r>
      <w:r w:rsidR="00193433">
        <w:rPr>
          <w:lang w:eastAsia="en-US"/>
        </w:rPr>
        <w:t>R</w:t>
      </w:r>
      <w:r w:rsidR="00193433" w:rsidRPr="00255659">
        <w:rPr>
          <w:lang w:eastAsia="en-US"/>
        </w:rPr>
        <w:t xml:space="preserve">atios in </w:t>
      </w:r>
      <w:r w:rsidR="00193433">
        <w:rPr>
          <w:lang w:eastAsia="en-US"/>
        </w:rPr>
        <w:t>R</w:t>
      </w:r>
      <w:r w:rsidR="00193433" w:rsidRPr="00255659">
        <w:rPr>
          <w:lang w:eastAsia="en-US"/>
        </w:rPr>
        <w:t>egulation</w:t>
      </w:r>
      <w:r w:rsidR="00193433">
        <w:rPr>
          <w:lang w:eastAsia="en-US"/>
        </w:rPr>
        <w:t xml:space="preserve"> are Misguided</w:t>
      </w:r>
      <w:bookmarkEnd w:id="32"/>
    </w:p>
    <w:p w:rsidR="00AA31D3" w:rsidRPr="00255659" w:rsidRDefault="00AA31D3" w:rsidP="00540A76">
      <w:pPr>
        <w:pStyle w:val="question"/>
        <w:rPr>
          <w:lang w:eastAsia="en-US"/>
        </w:rPr>
      </w:pPr>
      <w:r w:rsidRPr="00255659">
        <w:rPr>
          <w:lang w:eastAsia="en-US"/>
        </w:rPr>
        <w:t>Q.</w:t>
      </w:r>
      <w:r w:rsidRPr="00255659">
        <w:rPr>
          <w:lang w:eastAsia="en-US"/>
        </w:rPr>
        <w:tab/>
      </w:r>
      <w:r w:rsidR="001C6AB4" w:rsidRPr="00255659">
        <w:rPr>
          <w:lang w:eastAsia="en-US"/>
        </w:rPr>
        <w:t xml:space="preserve">Please discuss </w:t>
      </w:r>
      <w:r w:rsidR="004C03EA" w:rsidRPr="00255659">
        <w:rPr>
          <w:lang w:eastAsia="en-US"/>
        </w:rPr>
        <w:t>Dr.</w:t>
      </w:r>
      <w:r w:rsidR="004C03EA">
        <w:rPr>
          <w:lang w:eastAsia="en-US"/>
        </w:rPr>
        <w:t> </w:t>
      </w:r>
      <w:r w:rsidR="001C6AB4" w:rsidRPr="00255659">
        <w:rPr>
          <w:lang w:eastAsia="en-US"/>
        </w:rPr>
        <w:t>Woolridge</w:t>
      </w:r>
      <w:r w:rsidR="00255659">
        <w:rPr>
          <w:lang w:eastAsia="en-US"/>
        </w:rPr>
        <w:t>’</w:t>
      </w:r>
      <w:r w:rsidR="001C6AB4" w:rsidRPr="00255659">
        <w:rPr>
          <w:lang w:eastAsia="en-US"/>
        </w:rPr>
        <w:t>s views on market-to-book (M/B) ratios</w:t>
      </w:r>
      <w:r w:rsidRPr="00255659">
        <w:rPr>
          <w:lang w:eastAsia="en-US"/>
        </w:rPr>
        <w:t>.</w:t>
      </w:r>
    </w:p>
    <w:p w:rsidR="00C23DFB" w:rsidRDefault="00AA31D3" w:rsidP="00540A76">
      <w:pPr>
        <w:pStyle w:val="answer"/>
        <w:rPr>
          <w:lang w:eastAsia="en-US"/>
        </w:rPr>
      </w:pPr>
      <w:r w:rsidRPr="00255659">
        <w:rPr>
          <w:lang w:eastAsia="en-US"/>
        </w:rPr>
        <w:t>A.</w:t>
      </w:r>
      <w:r w:rsidRPr="00255659">
        <w:rPr>
          <w:lang w:eastAsia="en-US"/>
        </w:rPr>
        <w:tab/>
      </w:r>
      <w:r w:rsidR="004C03EA" w:rsidRPr="00255659">
        <w:rPr>
          <w:lang w:eastAsia="en-US"/>
        </w:rPr>
        <w:t>Dr.</w:t>
      </w:r>
      <w:r w:rsidR="004C03EA">
        <w:rPr>
          <w:lang w:eastAsia="en-US"/>
        </w:rPr>
        <w:t> </w:t>
      </w:r>
      <w:r w:rsidRPr="00255659">
        <w:rPr>
          <w:lang w:eastAsia="en-US"/>
        </w:rPr>
        <w:t>Woolridge</w:t>
      </w:r>
      <w:r w:rsidR="002C2BE4">
        <w:rPr>
          <w:lang w:eastAsia="en-US"/>
        </w:rPr>
        <w:t>’s testimony</w:t>
      </w:r>
      <w:r w:rsidRPr="00255659">
        <w:rPr>
          <w:lang w:eastAsia="en-US"/>
        </w:rPr>
        <w:t xml:space="preserve"> </w:t>
      </w:r>
      <w:r w:rsidR="002C2BE4">
        <w:rPr>
          <w:lang w:eastAsia="en-US"/>
        </w:rPr>
        <w:t xml:space="preserve">variously </w:t>
      </w:r>
      <w:r w:rsidRPr="00255659">
        <w:rPr>
          <w:lang w:eastAsia="en-US"/>
        </w:rPr>
        <w:t xml:space="preserve">argues that because current </w:t>
      </w:r>
      <w:r w:rsidR="002C2BE4">
        <w:rPr>
          <w:lang w:eastAsia="en-US"/>
        </w:rPr>
        <w:t xml:space="preserve">market-to-book </w:t>
      </w:r>
      <w:r w:rsidRPr="00255659">
        <w:rPr>
          <w:lang w:eastAsia="en-US"/>
        </w:rPr>
        <w:t>ratio</w:t>
      </w:r>
      <w:r w:rsidR="00C23DFB">
        <w:rPr>
          <w:lang w:eastAsia="en-US"/>
        </w:rPr>
        <w:t>s</w:t>
      </w:r>
      <w:r w:rsidRPr="00255659">
        <w:rPr>
          <w:lang w:eastAsia="en-US"/>
        </w:rPr>
        <w:t xml:space="preserve"> for electric utilities </w:t>
      </w:r>
      <w:r w:rsidR="00C23DFB">
        <w:rPr>
          <w:lang w:eastAsia="en-US"/>
        </w:rPr>
        <w:t xml:space="preserve">tend to </w:t>
      </w:r>
      <w:r w:rsidRPr="00255659">
        <w:rPr>
          <w:lang w:eastAsia="en-US"/>
        </w:rPr>
        <w:t xml:space="preserve">exceeds </w:t>
      </w:r>
      <w:r w:rsidR="00C23DFB" w:rsidRPr="00255659">
        <w:rPr>
          <w:lang w:eastAsia="en-US"/>
        </w:rPr>
        <w:t>1.0</w:t>
      </w:r>
      <w:r w:rsidRPr="00255659">
        <w:rPr>
          <w:lang w:eastAsia="en-US"/>
        </w:rPr>
        <w:t>, allowed returns by regulators exceed the cost of equity capital for utilities.</w:t>
      </w:r>
      <w:r w:rsidR="00C23DFB">
        <w:rPr>
          <w:rStyle w:val="FootnoteReference"/>
          <w:lang w:eastAsia="en-US"/>
        </w:rPr>
        <w:footnoteReference w:id="68"/>
      </w:r>
      <w:r w:rsidR="00C91CE2">
        <w:rPr>
          <w:lang w:eastAsia="en-US"/>
        </w:rPr>
        <w:t xml:space="preserve"> </w:t>
      </w:r>
      <w:r w:rsidRPr="00255659">
        <w:rPr>
          <w:lang w:eastAsia="en-US"/>
        </w:rPr>
        <w:t xml:space="preserve">In other words, </w:t>
      </w:r>
      <w:r w:rsidR="004C03EA" w:rsidRPr="00255659">
        <w:rPr>
          <w:lang w:eastAsia="en-US"/>
        </w:rPr>
        <w:t>Dr.</w:t>
      </w:r>
      <w:r w:rsidR="004C03EA">
        <w:rPr>
          <w:lang w:eastAsia="en-US"/>
        </w:rPr>
        <w:t> </w:t>
      </w:r>
      <w:r w:rsidRPr="00255659">
        <w:rPr>
          <w:lang w:eastAsia="en-US"/>
        </w:rPr>
        <w:t xml:space="preserve">Woolridge is implying that the </w:t>
      </w:r>
      <w:r w:rsidR="00C23DFB">
        <w:rPr>
          <w:lang w:eastAsia="en-US"/>
        </w:rPr>
        <w:t xml:space="preserve">state utility commissions </w:t>
      </w:r>
      <w:r w:rsidRPr="00255659">
        <w:rPr>
          <w:lang w:eastAsia="en-US"/>
        </w:rPr>
        <w:t>should lower the allowed return on equity</w:t>
      </w:r>
      <w:r w:rsidR="00C23DFB">
        <w:rPr>
          <w:lang w:eastAsia="en-US"/>
        </w:rPr>
        <w:t xml:space="preserve"> </w:t>
      </w:r>
      <w:r w:rsidRPr="00255659">
        <w:rPr>
          <w:lang w:eastAsia="en-US"/>
        </w:rPr>
        <w:t>so that the stock price will decline to book value.</w:t>
      </w:r>
    </w:p>
    <w:p w:rsidR="001C6AB4" w:rsidRPr="00255659" w:rsidRDefault="00AA31D3" w:rsidP="00C23DFB">
      <w:pPr>
        <w:pStyle w:val="answer"/>
        <w:ind w:firstLine="0"/>
        <w:rPr>
          <w:lang w:eastAsia="en-US"/>
        </w:rPr>
      </w:pPr>
      <w:r w:rsidRPr="00255659">
        <w:rPr>
          <w:lang w:eastAsia="en-US"/>
        </w:rPr>
        <w:lastRenderedPageBreak/>
        <w:t xml:space="preserve">I presume from these statements that </w:t>
      </w:r>
      <w:r w:rsidR="004C03EA" w:rsidRPr="00255659">
        <w:rPr>
          <w:lang w:eastAsia="en-US"/>
        </w:rPr>
        <w:t>Dr.</w:t>
      </w:r>
      <w:r w:rsidR="004C03EA">
        <w:rPr>
          <w:lang w:eastAsia="en-US"/>
        </w:rPr>
        <w:t> </w:t>
      </w:r>
      <w:r w:rsidRPr="00255659">
        <w:rPr>
          <w:lang w:eastAsia="en-US"/>
        </w:rPr>
        <w:t xml:space="preserve">Woolridge finds it desirable that stock prices drop from the current </w:t>
      </w:r>
      <w:r w:rsidR="00C23DFB">
        <w:rPr>
          <w:lang w:eastAsia="en-US"/>
        </w:rPr>
        <w:t xml:space="preserve">market-to-book </w:t>
      </w:r>
      <w:r w:rsidRPr="00255659">
        <w:rPr>
          <w:lang w:eastAsia="en-US"/>
        </w:rPr>
        <w:t xml:space="preserve">value </w:t>
      </w:r>
      <w:r w:rsidR="00C23DFB">
        <w:rPr>
          <w:lang w:eastAsia="en-US"/>
        </w:rPr>
        <w:t xml:space="preserve">in excess of </w:t>
      </w:r>
      <w:r w:rsidRPr="00255659">
        <w:rPr>
          <w:lang w:eastAsia="en-US"/>
        </w:rPr>
        <w:t xml:space="preserve">1.0 for most electric and gas utilities, to the desired </w:t>
      </w:r>
      <w:r w:rsidR="00C23DFB">
        <w:rPr>
          <w:lang w:eastAsia="en-US"/>
        </w:rPr>
        <w:t>market-to-book</w:t>
      </w:r>
      <w:r w:rsidRPr="00255659">
        <w:rPr>
          <w:lang w:eastAsia="en-US"/>
        </w:rPr>
        <w:t xml:space="preserve"> ratio range of near 1.0.</w:t>
      </w:r>
      <w:r w:rsidR="00C91CE2">
        <w:rPr>
          <w:lang w:eastAsia="en-US"/>
        </w:rPr>
        <w:t xml:space="preserve"> </w:t>
      </w:r>
      <w:r w:rsidRPr="00255659">
        <w:rPr>
          <w:lang w:eastAsia="en-US"/>
        </w:rPr>
        <w:t xml:space="preserve">There are several reasons why </w:t>
      </w:r>
      <w:r w:rsidR="00C23DFB">
        <w:rPr>
          <w:lang w:eastAsia="en-US"/>
        </w:rPr>
        <w:t>market-to-book</w:t>
      </w:r>
      <w:r w:rsidR="00C23DFB" w:rsidRPr="00255659">
        <w:rPr>
          <w:lang w:eastAsia="en-US"/>
        </w:rPr>
        <w:t xml:space="preserve"> </w:t>
      </w:r>
      <w:r w:rsidRPr="00255659">
        <w:rPr>
          <w:lang w:eastAsia="en-US"/>
        </w:rPr>
        <w:t xml:space="preserve">ratios are largely irrelevant </w:t>
      </w:r>
      <w:r w:rsidR="00193433">
        <w:rPr>
          <w:lang w:eastAsia="en-US"/>
        </w:rPr>
        <w:t xml:space="preserve">in establishing rates of regulated utilities, and </w:t>
      </w:r>
      <w:r w:rsidR="00193433" w:rsidRPr="00255659">
        <w:rPr>
          <w:lang w:eastAsia="en-US"/>
        </w:rPr>
        <w:t>Dr.</w:t>
      </w:r>
      <w:r w:rsidR="00193433">
        <w:rPr>
          <w:lang w:eastAsia="en-US"/>
        </w:rPr>
        <w:t> </w:t>
      </w:r>
      <w:r w:rsidR="00193433" w:rsidRPr="00255659">
        <w:rPr>
          <w:lang w:eastAsia="en-US"/>
        </w:rPr>
        <w:t>Woolridge</w:t>
      </w:r>
      <w:r w:rsidR="00193433">
        <w:rPr>
          <w:lang w:eastAsia="en-US"/>
        </w:rPr>
        <w:t>’</w:t>
      </w:r>
      <w:r w:rsidR="00193433" w:rsidRPr="00255659">
        <w:rPr>
          <w:lang w:eastAsia="en-US"/>
        </w:rPr>
        <w:t xml:space="preserve">s </w:t>
      </w:r>
      <w:r w:rsidR="00193433">
        <w:rPr>
          <w:lang w:eastAsia="en-US"/>
        </w:rPr>
        <w:t>v</w:t>
      </w:r>
      <w:r w:rsidR="00193433" w:rsidRPr="00255659">
        <w:rPr>
          <w:lang w:eastAsia="en-US"/>
        </w:rPr>
        <w:t xml:space="preserve">iews on the </w:t>
      </w:r>
      <w:r w:rsidR="00193433">
        <w:rPr>
          <w:lang w:eastAsia="en-US"/>
        </w:rPr>
        <w:t>r</w:t>
      </w:r>
      <w:r w:rsidR="00193433" w:rsidRPr="00255659">
        <w:rPr>
          <w:lang w:eastAsia="en-US"/>
        </w:rPr>
        <w:t xml:space="preserve">ole of </w:t>
      </w:r>
      <w:r w:rsidR="00193433">
        <w:rPr>
          <w:lang w:eastAsia="en-US"/>
        </w:rPr>
        <w:t>market-to-book</w:t>
      </w:r>
      <w:r w:rsidR="00193433" w:rsidRPr="00255659">
        <w:rPr>
          <w:lang w:eastAsia="en-US"/>
        </w:rPr>
        <w:t xml:space="preserve"> </w:t>
      </w:r>
      <w:r w:rsidR="00193433">
        <w:rPr>
          <w:lang w:eastAsia="en-US"/>
        </w:rPr>
        <w:t>r</w:t>
      </w:r>
      <w:r w:rsidR="00193433" w:rsidRPr="00255659">
        <w:rPr>
          <w:lang w:eastAsia="en-US"/>
        </w:rPr>
        <w:t xml:space="preserve">atios in </w:t>
      </w:r>
      <w:r w:rsidR="00193433">
        <w:rPr>
          <w:lang w:eastAsia="en-US"/>
        </w:rPr>
        <w:t>r</w:t>
      </w:r>
      <w:r w:rsidR="00193433" w:rsidRPr="00255659">
        <w:rPr>
          <w:lang w:eastAsia="en-US"/>
        </w:rPr>
        <w:t>egulation</w:t>
      </w:r>
      <w:r w:rsidR="00193433">
        <w:rPr>
          <w:lang w:eastAsia="en-US"/>
        </w:rPr>
        <w:t xml:space="preserve"> are misguided</w:t>
      </w:r>
      <w:r w:rsidRPr="00255659">
        <w:rPr>
          <w:lang w:eastAsia="en-US"/>
        </w:rPr>
        <w:t>.</w:t>
      </w:r>
    </w:p>
    <w:p w:rsidR="00C91CE2" w:rsidRDefault="00AA31D3" w:rsidP="00540A76">
      <w:pPr>
        <w:pStyle w:val="answer"/>
        <w:ind w:firstLine="0"/>
        <w:rPr>
          <w:szCs w:val="24"/>
          <w:lang w:eastAsia="en-US"/>
        </w:rPr>
      </w:pPr>
      <w:r w:rsidRPr="00255659">
        <w:rPr>
          <w:szCs w:val="24"/>
          <w:lang w:eastAsia="en-US"/>
        </w:rPr>
        <w:t xml:space="preserve">First, </w:t>
      </w:r>
      <w:r w:rsidR="004C03EA" w:rsidRPr="00255659">
        <w:rPr>
          <w:lang w:eastAsia="en-US"/>
        </w:rPr>
        <w:t>Dr.</w:t>
      </w:r>
      <w:r w:rsidR="004C03EA">
        <w:rPr>
          <w:lang w:eastAsia="en-US"/>
        </w:rPr>
        <w:t> </w:t>
      </w:r>
      <w:r w:rsidRPr="00255659">
        <w:rPr>
          <w:szCs w:val="24"/>
          <w:lang w:eastAsia="en-US"/>
        </w:rPr>
        <w:t>Woolridge</w:t>
      </w:r>
      <w:r w:rsidR="00255659">
        <w:rPr>
          <w:szCs w:val="24"/>
          <w:lang w:eastAsia="en-US"/>
        </w:rPr>
        <w:t>’</w:t>
      </w:r>
      <w:r w:rsidRPr="00255659">
        <w:rPr>
          <w:szCs w:val="24"/>
          <w:lang w:eastAsia="en-US"/>
        </w:rPr>
        <w:t>s position implies that regulators should set a</w:t>
      </w:r>
      <w:r w:rsidR="00C23DFB">
        <w:rPr>
          <w:szCs w:val="24"/>
          <w:lang w:eastAsia="en-US"/>
        </w:rPr>
        <w:t xml:space="preserve"> return on equity </w:t>
      </w:r>
      <w:r w:rsidRPr="00255659">
        <w:rPr>
          <w:szCs w:val="24"/>
          <w:lang w:eastAsia="en-US"/>
        </w:rPr>
        <w:t xml:space="preserve">to produce a </w:t>
      </w:r>
      <w:r w:rsidR="00C23DFB">
        <w:rPr>
          <w:lang w:eastAsia="en-US"/>
        </w:rPr>
        <w:t>market-to-book</w:t>
      </w:r>
      <w:r w:rsidR="00C23DFB" w:rsidRPr="00255659">
        <w:rPr>
          <w:lang w:eastAsia="en-US"/>
        </w:rPr>
        <w:t xml:space="preserve"> </w:t>
      </w:r>
      <w:r w:rsidRPr="00255659">
        <w:rPr>
          <w:szCs w:val="24"/>
          <w:lang w:eastAsia="en-US"/>
        </w:rPr>
        <w:t>ratio of near 1.0.</w:t>
      </w:r>
      <w:r w:rsidR="00C91CE2">
        <w:rPr>
          <w:szCs w:val="24"/>
          <w:lang w:eastAsia="en-US"/>
        </w:rPr>
        <w:t xml:space="preserve"> </w:t>
      </w:r>
      <w:r w:rsidRPr="00255659">
        <w:rPr>
          <w:szCs w:val="24"/>
          <w:lang w:eastAsia="en-US"/>
        </w:rPr>
        <w:t>This is erroneous.</w:t>
      </w:r>
      <w:r w:rsidR="00C91CE2">
        <w:rPr>
          <w:szCs w:val="24"/>
          <w:lang w:eastAsia="en-US"/>
        </w:rPr>
        <w:t xml:space="preserve"> </w:t>
      </w:r>
      <w:r w:rsidRPr="00255659">
        <w:rPr>
          <w:szCs w:val="24"/>
          <w:lang w:eastAsia="en-US"/>
        </w:rPr>
        <w:t>The stock price is set by the market, not by regulators.</w:t>
      </w:r>
      <w:r w:rsidR="00C91CE2">
        <w:rPr>
          <w:szCs w:val="24"/>
          <w:lang w:eastAsia="en-US"/>
        </w:rPr>
        <w:t xml:space="preserve"> </w:t>
      </w:r>
      <w:r w:rsidRPr="00255659">
        <w:rPr>
          <w:szCs w:val="24"/>
          <w:lang w:eastAsia="en-US"/>
        </w:rPr>
        <w:t xml:space="preserve">The </w:t>
      </w:r>
      <w:r w:rsidR="00C23DFB">
        <w:rPr>
          <w:lang w:eastAsia="en-US"/>
        </w:rPr>
        <w:t>market-to-book</w:t>
      </w:r>
      <w:r w:rsidR="00C23DFB" w:rsidRPr="00255659">
        <w:rPr>
          <w:lang w:eastAsia="en-US"/>
        </w:rPr>
        <w:t xml:space="preserve"> </w:t>
      </w:r>
      <w:r w:rsidRPr="00255659">
        <w:rPr>
          <w:szCs w:val="24"/>
          <w:lang w:eastAsia="en-US"/>
        </w:rPr>
        <w:t xml:space="preserve">ratio is the </w:t>
      </w:r>
      <w:r w:rsidRPr="00255659">
        <w:rPr>
          <w:i/>
          <w:szCs w:val="24"/>
          <w:lang w:eastAsia="en-US"/>
        </w:rPr>
        <w:t>result</w:t>
      </w:r>
      <w:r w:rsidRPr="00255659">
        <w:rPr>
          <w:szCs w:val="24"/>
          <w:lang w:eastAsia="en-US"/>
        </w:rPr>
        <w:t xml:space="preserve"> of regulation, not its starting point.</w:t>
      </w:r>
      <w:r w:rsidR="00C91CE2">
        <w:rPr>
          <w:szCs w:val="24"/>
          <w:lang w:eastAsia="en-US"/>
        </w:rPr>
        <w:t xml:space="preserve"> </w:t>
      </w:r>
      <w:r w:rsidRPr="00255659">
        <w:rPr>
          <w:szCs w:val="24"/>
          <w:lang w:eastAsia="en-US"/>
        </w:rPr>
        <w:t xml:space="preserve">The regime of regulation envisioned by </w:t>
      </w:r>
      <w:r w:rsidR="004C03EA" w:rsidRPr="00255659">
        <w:rPr>
          <w:lang w:eastAsia="en-US"/>
        </w:rPr>
        <w:t>Dr.</w:t>
      </w:r>
      <w:r w:rsidR="004C03EA">
        <w:rPr>
          <w:lang w:eastAsia="en-US"/>
        </w:rPr>
        <w:t> </w:t>
      </w:r>
      <w:r w:rsidRPr="00255659">
        <w:rPr>
          <w:szCs w:val="24"/>
          <w:lang w:eastAsia="en-US"/>
        </w:rPr>
        <w:t>Woolridge</w:t>
      </w:r>
      <w:r w:rsidR="00C23DFB">
        <w:rPr>
          <w:szCs w:val="24"/>
          <w:lang w:eastAsia="en-US"/>
        </w:rPr>
        <w:t xml:space="preserve"> (i.e., </w:t>
      </w:r>
      <w:r w:rsidRPr="00255659">
        <w:rPr>
          <w:szCs w:val="24"/>
          <w:lang w:eastAsia="en-US"/>
        </w:rPr>
        <w:t xml:space="preserve">that the regulator will set an allowed rate of return so as to produce a </w:t>
      </w:r>
      <w:r w:rsidR="00C23DFB">
        <w:rPr>
          <w:lang w:eastAsia="en-US"/>
        </w:rPr>
        <w:t>market-to-book</w:t>
      </w:r>
      <w:r w:rsidR="00C23DFB" w:rsidRPr="00255659">
        <w:rPr>
          <w:lang w:eastAsia="en-US"/>
        </w:rPr>
        <w:t xml:space="preserve"> </w:t>
      </w:r>
      <w:r w:rsidRPr="00255659">
        <w:rPr>
          <w:szCs w:val="24"/>
          <w:lang w:eastAsia="en-US"/>
        </w:rPr>
        <w:t>ratio of close to 1.0</w:t>
      </w:r>
      <w:r w:rsidR="00C23DFB">
        <w:rPr>
          <w:szCs w:val="24"/>
          <w:lang w:eastAsia="en-US"/>
        </w:rPr>
        <w:t xml:space="preserve">) </w:t>
      </w:r>
      <w:r w:rsidRPr="00255659">
        <w:rPr>
          <w:szCs w:val="24"/>
          <w:lang w:eastAsia="en-US"/>
        </w:rPr>
        <w:t xml:space="preserve">presumes that investors commit capital to a utility with a </w:t>
      </w:r>
      <w:r w:rsidR="00C23DFB">
        <w:rPr>
          <w:lang w:eastAsia="en-US"/>
        </w:rPr>
        <w:t>market-to-book</w:t>
      </w:r>
      <w:r w:rsidR="00C23DFB" w:rsidRPr="00255659">
        <w:rPr>
          <w:lang w:eastAsia="en-US"/>
        </w:rPr>
        <w:t xml:space="preserve"> </w:t>
      </w:r>
      <w:r w:rsidRPr="00255659">
        <w:rPr>
          <w:szCs w:val="24"/>
          <w:lang w:eastAsia="en-US"/>
        </w:rPr>
        <w:t xml:space="preserve">in excess of 1.0, knowing full well that they will be inflicted </w:t>
      </w:r>
      <w:r w:rsidR="00516646">
        <w:rPr>
          <w:szCs w:val="24"/>
          <w:lang w:eastAsia="en-US"/>
        </w:rPr>
        <w:t xml:space="preserve">with </w:t>
      </w:r>
      <w:r w:rsidRPr="00255659">
        <w:rPr>
          <w:szCs w:val="24"/>
          <w:lang w:eastAsia="en-US"/>
        </w:rPr>
        <w:t>a capital loss by regulators.</w:t>
      </w:r>
      <w:r w:rsidR="00C91CE2">
        <w:rPr>
          <w:szCs w:val="24"/>
          <w:lang w:eastAsia="en-US"/>
        </w:rPr>
        <w:t xml:space="preserve"> </w:t>
      </w:r>
      <w:r w:rsidRPr="00255659">
        <w:rPr>
          <w:szCs w:val="24"/>
          <w:lang w:eastAsia="en-US"/>
        </w:rPr>
        <w:t>Such behavior on the part of investors is certainly not a realistic or accurate view of investment or regulation.</w:t>
      </w:r>
    </w:p>
    <w:p w:rsidR="00C91CE2" w:rsidRDefault="00AA31D3" w:rsidP="00540A76">
      <w:pPr>
        <w:pStyle w:val="answer"/>
        <w:ind w:firstLine="0"/>
        <w:rPr>
          <w:szCs w:val="24"/>
          <w:lang w:eastAsia="en-US"/>
        </w:rPr>
      </w:pPr>
      <w:r w:rsidRPr="00255659">
        <w:rPr>
          <w:szCs w:val="24"/>
          <w:lang w:eastAsia="en-US"/>
        </w:rPr>
        <w:t xml:space="preserve">Second, the traditional </w:t>
      </w:r>
      <w:r w:rsidR="00C23DFB">
        <w:rPr>
          <w:lang w:eastAsia="en-US"/>
        </w:rPr>
        <w:t>market-to-book</w:t>
      </w:r>
      <w:r w:rsidR="00C23DFB" w:rsidRPr="00255659">
        <w:rPr>
          <w:lang w:eastAsia="en-US"/>
        </w:rPr>
        <w:t xml:space="preserve"> </w:t>
      </w:r>
      <w:r w:rsidRPr="00255659">
        <w:rPr>
          <w:szCs w:val="24"/>
          <w:lang w:eastAsia="en-US"/>
        </w:rPr>
        <w:t>ratio does not reflect the replacement cost of a company</w:t>
      </w:r>
      <w:r w:rsidR="00255659">
        <w:rPr>
          <w:szCs w:val="24"/>
          <w:lang w:eastAsia="en-US"/>
        </w:rPr>
        <w:t>’</w:t>
      </w:r>
      <w:r w:rsidRPr="00255659">
        <w:rPr>
          <w:szCs w:val="24"/>
          <w:lang w:eastAsia="en-US"/>
        </w:rPr>
        <w:t>s assets.</w:t>
      </w:r>
      <w:r w:rsidR="00C91CE2">
        <w:rPr>
          <w:szCs w:val="24"/>
          <w:lang w:eastAsia="en-US"/>
        </w:rPr>
        <w:t xml:space="preserve"> </w:t>
      </w:r>
      <w:r w:rsidRPr="00255659">
        <w:rPr>
          <w:szCs w:val="24"/>
          <w:lang w:eastAsia="en-US"/>
        </w:rPr>
        <w:t xml:space="preserve">Consistent with </w:t>
      </w:r>
      <w:r w:rsidRPr="00255659">
        <w:rPr>
          <w:i/>
          <w:szCs w:val="24"/>
          <w:lang w:eastAsia="en-US"/>
        </w:rPr>
        <w:t>Bluefield</w:t>
      </w:r>
      <w:r w:rsidRPr="00255659">
        <w:rPr>
          <w:szCs w:val="24"/>
          <w:lang w:eastAsia="en-US"/>
        </w:rPr>
        <w:t xml:space="preserve"> and </w:t>
      </w:r>
      <w:r w:rsidRPr="00255659">
        <w:rPr>
          <w:i/>
          <w:szCs w:val="24"/>
          <w:lang w:eastAsia="en-US"/>
        </w:rPr>
        <w:t>Hope</w:t>
      </w:r>
      <w:r w:rsidRPr="00255659">
        <w:rPr>
          <w:szCs w:val="24"/>
          <w:lang w:eastAsia="en-US"/>
        </w:rPr>
        <w:t>, the fundamental goal of regulation should be to set the expected economic profit for a public utility equal to the level of profits expected to be earned by firms of comparable risk, in short, to emulate the competitive result, so as to assure the firm</w:t>
      </w:r>
      <w:r w:rsidR="00255659">
        <w:rPr>
          <w:szCs w:val="24"/>
          <w:lang w:eastAsia="en-US"/>
        </w:rPr>
        <w:t>’</w:t>
      </w:r>
      <w:r w:rsidRPr="00255659">
        <w:rPr>
          <w:szCs w:val="24"/>
          <w:lang w:eastAsia="en-US"/>
        </w:rPr>
        <w:t>s credit and to attract needed capital.</w:t>
      </w:r>
      <w:r w:rsidR="00C91CE2">
        <w:rPr>
          <w:szCs w:val="24"/>
          <w:lang w:eastAsia="en-US"/>
        </w:rPr>
        <w:t xml:space="preserve"> </w:t>
      </w:r>
      <w:r w:rsidRPr="00255659">
        <w:rPr>
          <w:szCs w:val="24"/>
          <w:lang w:eastAsia="en-US"/>
        </w:rPr>
        <w:t xml:space="preserve">For unregulated firms, the natural forces of competition </w:t>
      </w:r>
      <w:r w:rsidRPr="00255659">
        <w:rPr>
          <w:szCs w:val="24"/>
          <w:lang w:eastAsia="en-US"/>
        </w:rPr>
        <w:lastRenderedPageBreak/>
        <w:t>will ensure that in the long-run the market value of these firm</w:t>
      </w:r>
      <w:r w:rsidR="00255659">
        <w:rPr>
          <w:szCs w:val="24"/>
          <w:lang w:eastAsia="en-US"/>
        </w:rPr>
        <w:t>’</w:t>
      </w:r>
      <w:r w:rsidRPr="00255659">
        <w:rPr>
          <w:szCs w:val="24"/>
          <w:lang w:eastAsia="en-US"/>
        </w:rPr>
        <w:t>s securities equals the replacement cost of their assets.</w:t>
      </w:r>
      <w:r w:rsidR="00C91CE2">
        <w:rPr>
          <w:szCs w:val="24"/>
          <w:lang w:eastAsia="en-US"/>
        </w:rPr>
        <w:t xml:space="preserve"> </w:t>
      </w:r>
      <w:r w:rsidRPr="00255659">
        <w:rPr>
          <w:szCs w:val="24"/>
          <w:lang w:eastAsia="en-US"/>
        </w:rPr>
        <w:t>This suggests that a fair and reasonable price for a public utility</w:t>
      </w:r>
      <w:r w:rsidR="00255659">
        <w:rPr>
          <w:szCs w:val="24"/>
          <w:lang w:eastAsia="en-US"/>
        </w:rPr>
        <w:t>’</w:t>
      </w:r>
      <w:r w:rsidRPr="00255659">
        <w:rPr>
          <w:szCs w:val="24"/>
          <w:lang w:eastAsia="en-US"/>
        </w:rPr>
        <w:t>s common stock is one that produces equality between the market price of its common equity and the replacement cost of its physical assets.</w:t>
      </w:r>
      <w:r w:rsidR="00C91CE2">
        <w:rPr>
          <w:szCs w:val="24"/>
          <w:lang w:eastAsia="en-US"/>
        </w:rPr>
        <w:t xml:space="preserve"> </w:t>
      </w:r>
      <w:r w:rsidRPr="00255659">
        <w:rPr>
          <w:szCs w:val="24"/>
          <w:lang w:eastAsia="en-US"/>
        </w:rPr>
        <w:t xml:space="preserve">The latter circumstance will not necessarily occur when the </w:t>
      </w:r>
      <w:r w:rsidR="00C23DFB">
        <w:rPr>
          <w:lang w:eastAsia="en-US"/>
        </w:rPr>
        <w:t>market-to-book</w:t>
      </w:r>
      <w:r w:rsidR="00C23DFB" w:rsidRPr="00255659">
        <w:rPr>
          <w:lang w:eastAsia="en-US"/>
        </w:rPr>
        <w:t xml:space="preserve"> </w:t>
      </w:r>
      <w:r w:rsidRPr="00255659">
        <w:rPr>
          <w:szCs w:val="24"/>
          <w:lang w:eastAsia="en-US"/>
        </w:rPr>
        <w:t>ratio is near 1.0.</w:t>
      </w:r>
      <w:r w:rsidR="00C91CE2">
        <w:rPr>
          <w:szCs w:val="24"/>
          <w:lang w:eastAsia="en-US"/>
        </w:rPr>
        <w:t xml:space="preserve"> </w:t>
      </w:r>
      <w:r w:rsidRPr="00255659">
        <w:rPr>
          <w:szCs w:val="24"/>
          <w:lang w:eastAsia="en-US"/>
        </w:rPr>
        <w:t>Only when the market value of the firm</w:t>
      </w:r>
      <w:r w:rsidR="00255659">
        <w:rPr>
          <w:szCs w:val="24"/>
          <w:lang w:eastAsia="en-US"/>
        </w:rPr>
        <w:t>’</w:t>
      </w:r>
      <w:r w:rsidRPr="00255659">
        <w:rPr>
          <w:szCs w:val="24"/>
          <w:lang w:eastAsia="en-US"/>
        </w:rPr>
        <w:t>s common equity equals the value of the firm</w:t>
      </w:r>
      <w:r w:rsidR="00255659">
        <w:rPr>
          <w:szCs w:val="24"/>
          <w:lang w:eastAsia="en-US"/>
        </w:rPr>
        <w:t>’</w:t>
      </w:r>
      <w:r w:rsidRPr="00255659">
        <w:rPr>
          <w:szCs w:val="24"/>
          <w:lang w:eastAsia="en-US"/>
        </w:rPr>
        <w:t>s equity at replacement cost will equality hold.</w:t>
      </w:r>
    </w:p>
    <w:p w:rsidR="00C91CE2" w:rsidRDefault="00AA31D3" w:rsidP="00540A76">
      <w:pPr>
        <w:pStyle w:val="answer"/>
        <w:ind w:firstLine="0"/>
        <w:rPr>
          <w:szCs w:val="24"/>
          <w:lang w:eastAsia="en-US"/>
        </w:rPr>
      </w:pPr>
      <w:r w:rsidRPr="00255659">
        <w:rPr>
          <w:szCs w:val="24"/>
          <w:lang w:eastAsia="en-US"/>
        </w:rPr>
        <w:t>In an inflationary period, the replacement cost of a firm</w:t>
      </w:r>
      <w:r w:rsidR="00255659">
        <w:rPr>
          <w:szCs w:val="24"/>
          <w:lang w:eastAsia="en-US"/>
        </w:rPr>
        <w:t>’</w:t>
      </w:r>
      <w:r w:rsidRPr="00255659">
        <w:rPr>
          <w:szCs w:val="24"/>
          <w:lang w:eastAsia="en-US"/>
        </w:rPr>
        <w:t>s assets may increase more rapidly than its book equity.</w:t>
      </w:r>
      <w:r w:rsidR="00C91CE2">
        <w:rPr>
          <w:szCs w:val="24"/>
          <w:lang w:eastAsia="en-US"/>
        </w:rPr>
        <w:t xml:space="preserve"> </w:t>
      </w:r>
      <w:r w:rsidRPr="00255659">
        <w:rPr>
          <w:szCs w:val="24"/>
          <w:lang w:eastAsia="en-US"/>
        </w:rPr>
        <w:t>To avoid the resulting economic confiscation of shareholders</w:t>
      </w:r>
      <w:r w:rsidR="00255659">
        <w:rPr>
          <w:szCs w:val="24"/>
          <w:lang w:eastAsia="en-US"/>
        </w:rPr>
        <w:t>’</w:t>
      </w:r>
      <w:r w:rsidRPr="00255659">
        <w:rPr>
          <w:szCs w:val="24"/>
          <w:lang w:eastAsia="en-US"/>
        </w:rPr>
        <w:t xml:space="preserve"> investment in real terms, the allowed rate of return should produce a </w:t>
      </w:r>
      <w:r w:rsidR="00C23DFB">
        <w:rPr>
          <w:lang w:eastAsia="en-US"/>
        </w:rPr>
        <w:t>market-to-book</w:t>
      </w:r>
      <w:r w:rsidR="00C23DFB" w:rsidRPr="00255659">
        <w:rPr>
          <w:lang w:eastAsia="en-US"/>
        </w:rPr>
        <w:t xml:space="preserve"> </w:t>
      </w:r>
      <w:r w:rsidRPr="00255659">
        <w:rPr>
          <w:szCs w:val="24"/>
          <w:lang w:eastAsia="en-US"/>
        </w:rPr>
        <w:t>ratio which provides a Q</w:t>
      </w:r>
      <w:r w:rsidR="00C23DFB">
        <w:rPr>
          <w:szCs w:val="24"/>
          <w:lang w:eastAsia="en-US"/>
        </w:rPr>
        <w:t>-</w:t>
      </w:r>
      <w:r w:rsidRPr="00255659">
        <w:rPr>
          <w:szCs w:val="24"/>
          <w:lang w:eastAsia="en-US"/>
        </w:rPr>
        <w:t>ratio of 1 or a Q-ratio equal to that of comparable firms.</w:t>
      </w:r>
      <w:r w:rsidR="001C6AB4" w:rsidRPr="00255659">
        <w:rPr>
          <w:rStyle w:val="FootnoteReference"/>
          <w:szCs w:val="24"/>
          <w:lang w:eastAsia="en-US"/>
        </w:rPr>
        <w:footnoteReference w:id="69"/>
      </w:r>
      <w:r w:rsidR="00C91CE2">
        <w:rPr>
          <w:szCs w:val="24"/>
          <w:lang w:eastAsia="en-US"/>
        </w:rPr>
        <w:t xml:space="preserve"> </w:t>
      </w:r>
      <w:r w:rsidRPr="00255659">
        <w:rPr>
          <w:szCs w:val="24"/>
          <w:lang w:eastAsia="en-US"/>
        </w:rPr>
        <w:t xml:space="preserve">It is quite likely that </w:t>
      </w:r>
      <w:r w:rsidR="00C23DFB">
        <w:rPr>
          <w:lang w:eastAsia="en-US"/>
        </w:rPr>
        <w:t>market-to-book</w:t>
      </w:r>
      <w:r w:rsidR="00C23DFB" w:rsidRPr="00255659">
        <w:rPr>
          <w:lang w:eastAsia="en-US"/>
        </w:rPr>
        <w:t xml:space="preserve"> </w:t>
      </w:r>
      <w:r w:rsidRPr="00255659">
        <w:rPr>
          <w:szCs w:val="24"/>
          <w:lang w:eastAsia="en-US"/>
        </w:rPr>
        <w:t xml:space="preserve">ratios will exceed </w:t>
      </w:r>
      <w:r w:rsidR="00C23DFB">
        <w:rPr>
          <w:szCs w:val="24"/>
          <w:lang w:eastAsia="en-US"/>
        </w:rPr>
        <w:t xml:space="preserve">1.0 </w:t>
      </w:r>
      <w:r w:rsidRPr="00255659">
        <w:rPr>
          <w:szCs w:val="24"/>
          <w:lang w:eastAsia="en-US"/>
        </w:rPr>
        <w:t>if inflation increases the replacement cost of a firm</w:t>
      </w:r>
      <w:r w:rsidR="00255659">
        <w:rPr>
          <w:szCs w:val="24"/>
          <w:lang w:eastAsia="en-US"/>
        </w:rPr>
        <w:t>’</w:t>
      </w:r>
      <w:r w:rsidRPr="00255659">
        <w:rPr>
          <w:szCs w:val="24"/>
          <w:lang w:eastAsia="en-US"/>
        </w:rPr>
        <w:t>s assets at a faster pace than book equity.</w:t>
      </w:r>
      <w:r w:rsidR="00C91CE2">
        <w:rPr>
          <w:szCs w:val="24"/>
          <w:lang w:eastAsia="en-US"/>
        </w:rPr>
        <w:t xml:space="preserve"> </w:t>
      </w:r>
      <w:r w:rsidRPr="00255659">
        <w:rPr>
          <w:szCs w:val="24"/>
          <w:lang w:eastAsia="en-US"/>
        </w:rPr>
        <w:t xml:space="preserve">This explains in part why utility </w:t>
      </w:r>
      <w:r w:rsidR="00C23DFB">
        <w:rPr>
          <w:lang w:eastAsia="en-US"/>
        </w:rPr>
        <w:t>market-to-book</w:t>
      </w:r>
      <w:r w:rsidR="00C23DFB" w:rsidRPr="00255659">
        <w:rPr>
          <w:lang w:eastAsia="en-US"/>
        </w:rPr>
        <w:t xml:space="preserve"> </w:t>
      </w:r>
      <w:r w:rsidRPr="00255659">
        <w:rPr>
          <w:szCs w:val="24"/>
          <w:lang w:eastAsia="en-US"/>
        </w:rPr>
        <w:t>ratios have remained well above 1.0 over the past two decades.</w:t>
      </w:r>
    </w:p>
    <w:p w:rsidR="00C91CE2" w:rsidRDefault="00AA31D3" w:rsidP="00540A76">
      <w:pPr>
        <w:pStyle w:val="answer"/>
        <w:ind w:firstLine="0"/>
        <w:rPr>
          <w:lang w:eastAsia="en-US"/>
        </w:rPr>
      </w:pPr>
      <w:r w:rsidRPr="00255659">
        <w:rPr>
          <w:szCs w:val="24"/>
          <w:lang w:eastAsia="en-US"/>
        </w:rPr>
        <w:t>Stock prices above book value are common for utility stocks, and indeed for all of the major market indexes.</w:t>
      </w:r>
      <w:r w:rsidR="00C91CE2">
        <w:rPr>
          <w:szCs w:val="24"/>
          <w:lang w:eastAsia="en-US"/>
        </w:rPr>
        <w:t xml:space="preserve"> </w:t>
      </w:r>
      <w:r w:rsidRPr="00255659">
        <w:rPr>
          <w:szCs w:val="24"/>
          <w:lang w:eastAsia="en-US"/>
        </w:rPr>
        <w:t xml:space="preserve">It is obvious that investors and regulators through their rate case decisions do not subscribe to </w:t>
      </w:r>
      <w:r w:rsidR="004C03EA" w:rsidRPr="00255659">
        <w:rPr>
          <w:lang w:eastAsia="en-US"/>
        </w:rPr>
        <w:t>Dr.</w:t>
      </w:r>
      <w:r w:rsidR="004C03EA">
        <w:rPr>
          <w:lang w:eastAsia="en-US"/>
        </w:rPr>
        <w:t> </w:t>
      </w:r>
      <w:r w:rsidRPr="00255659">
        <w:rPr>
          <w:szCs w:val="24"/>
          <w:lang w:eastAsia="en-US"/>
        </w:rPr>
        <w:t>Woolridge</w:t>
      </w:r>
      <w:r w:rsidR="00255659">
        <w:rPr>
          <w:szCs w:val="24"/>
          <w:lang w:eastAsia="en-US"/>
        </w:rPr>
        <w:t>’</w:t>
      </w:r>
      <w:r w:rsidRPr="00255659">
        <w:rPr>
          <w:szCs w:val="24"/>
          <w:lang w:eastAsia="en-US"/>
        </w:rPr>
        <w:t>s position that utilities that have market prices above book value are over-earning.</w:t>
      </w:r>
      <w:r w:rsidR="00C91CE2">
        <w:rPr>
          <w:szCs w:val="24"/>
          <w:lang w:eastAsia="en-US"/>
        </w:rPr>
        <w:t xml:space="preserve"> </w:t>
      </w:r>
      <w:r w:rsidRPr="00255659">
        <w:rPr>
          <w:szCs w:val="24"/>
          <w:lang w:eastAsia="en-US"/>
        </w:rPr>
        <w:t xml:space="preserve">Otherwise, regulators </w:t>
      </w:r>
      <w:r w:rsidRPr="00255659">
        <w:rPr>
          <w:szCs w:val="24"/>
          <w:lang w:eastAsia="en-US"/>
        </w:rPr>
        <w:lastRenderedPageBreak/>
        <w:t>would not grant rate increases for any utility whose stock price was above book value, and investors would never bid up the price of stock above book value.</w:t>
      </w:r>
    </w:p>
    <w:p w:rsidR="00AA31D3" w:rsidRPr="00255659" w:rsidRDefault="00193433" w:rsidP="00540A76">
      <w:pPr>
        <w:pStyle w:val="answer"/>
        <w:ind w:firstLine="0"/>
        <w:rPr>
          <w:szCs w:val="24"/>
          <w:lang w:eastAsia="en-US"/>
        </w:rPr>
      </w:pPr>
      <w:r>
        <w:rPr>
          <w:lang w:eastAsia="en-US"/>
        </w:rPr>
        <w:t xml:space="preserve">Finally, </w:t>
      </w:r>
      <w:r w:rsidR="004C03EA" w:rsidRPr="00255659">
        <w:rPr>
          <w:lang w:eastAsia="en-US"/>
        </w:rPr>
        <w:t>Dr.</w:t>
      </w:r>
      <w:r w:rsidR="004C03EA">
        <w:rPr>
          <w:lang w:eastAsia="en-US"/>
        </w:rPr>
        <w:t> </w:t>
      </w:r>
      <w:r w:rsidR="00AA31D3" w:rsidRPr="00255659">
        <w:rPr>
          <w:szCs w:val="24"/>
          <w:lang w:eastAsia="en-US"/>
        </w:rPr>
        <w:t>Woolridge</w:t>
      </w:r>
      <w:r w:rsidR="00255659">
        <w:rPr>
          <w:szCs w:val="24"/>
          <w:lang w:eastAsia="en-US"/>
        </w:rPr>
        <w:t>’</w:t>
      </w:r>
      <w:r w:rsidR="00AA31D3" w:rsidRPr="00255659">
        <w:rPr>
          <w:szCs w:val="24"/>
          <w:lang w:eastAsia="en-US"/>
        </w:rPr>
        <w:t xml:space="preserve">s views on the role of </w:t>
      </w:r>
      <w:r>
        <w:rPr>
          <w:lang w:eastAsia="en-US"/>
        </w:rPr>
        <w:t>market-to-book</w:t>
      </w:r>
      <w:r w:rsidRPr="00255659">
        <w:rPr>
          <w:lang w:eastAsia="en-US"/>
        </w:rPr>
        <w:t xml:space="preserve"> </w:t>
      </w:r>
      <w:r>
        <w:rPr>
          <w:szCs w:val="24"/>
          <w:lang w:eastAsia="en-US"/>
        </w:rPr>
        <w:t xml:space="preserve">ratio </w:t>
      </w:r>
      <w:r w:rsidR="00AA31D3" w:rsidRPr="00255659">
        <w:rPr>
          <w:szCs w:val="24"/>
          <w:lang w:eastAsia="en-US"/>
        </w:rPr>
        <w:t>are certainly not corroborated by the historical facts.</w:t>
      </w:r>
      <w:r w:rsidR="00C91CE2">
        <w:rPr>
          <w:szCs w:val="24"/>
          <w:lang w:eastAsia="en-US"/>
        </w:rPr>
        <w:t xml:space="preserve"> </w:t>
      </w:r>
      <w:r w:rsidR="00AA31D3" w:rsidRPr="00255659">
        <w:rPr>
          <w:szCs w:val="24"/>
          <w:lang w:eastAsia="en-US"/>
        </w:rPr>
        <w:t xml:space="preserve">Utility </w:t>
      </w:r>
      <w:r>
        <w:rPr>
          <w:lang w:eastAsia="en-US"/>
        </w:rPr>
        <w:t>market-to-book</w:t>
      </w:r>
      <w:r w:rsidRPr="00255659">
        <w:rPr>
          <w:lang w:eastAsia="en-US"/>
        </w:rPr>
        <w:t xml:space="preserve"> </w:t>
      </w:r>
      <w:r w:rsidR="00AA31D3" w:rsidRPr="00255659">
        <w:rPr>
          <w:szCs w:val="24"/>
          <w:lang w:eastAsia="en-US"/>
        </w:rPr>
        <w:t>ratios have been consistently above</w:t>
      </w:r>
      <w:r>
        <w:rPr>
          <w:szCs w:val="24"/>
          <w:lang w:eastAsia="en-US"/>
        </w:rPr>
        <w:t xml:space="preserve"> 1.0</w:t>
      </w:r>
      <w:r w:rsidR="00C91CE2">
        <w:rPr>
          <w:szCs w:val="24"/>
          <w:lang w:eastAsia="en-US"/>
        </w:rPr>
        <w:t xml:space="preserve"> for over three decades.</w:t>
      </w:r>
    </w:p>
    <w:p w:rsidR="00AA31D3" w:rsidRPr="00255659" w:rsidRDefault="0054222F" w:rsidP="00540A76">
      <w:pPr>
        <w:pStyle w:val="Heading2"/>
        <w:rPr>
          <w:lang w:eastAsia="en-US"/>
        </w:rPr>
      </w:pPr>
      <w:bookmarkStart w:id="33" w:name="_Toc489887880"/>
      <w:r>
        <w:rPr>
          <w:lang w:eastAsia="en-US"/>
        </w:rPr>
        <w:t>E</w:t>
      </w:r>
      <w:r w:rsidR="00E74490" w:rsidRPr="00255659">
        <w:rPr>
          <w:lang w:eastAsia="en-US"/>
        </w:rPr>
        <w:t>.</w:t>
      </w:r>
      <w:r w:rsidR="00E74490" w:rsidRPr="00255659">
        <w:rPr>
          <w:lang w:eastAsia="en-US"/>
        </w:rPr>
        <w:tab/>
      </w:r>
      <w:r>
        <w:rPr>
          <w:szCs w:val="24"/>
        </w:rPr>
        <w:t xml:space="preserve">Dr. Woolridge’s Return on Equity </w:t>
      </w:r>
      <w:r w:rsidRPr="00255659">
        <w:rPr>
          <w:szCs w:val="24"/>
          <w:lang w:val="x-none"/>
        </w:rPr>
        <w:t xml:space="preserve">Recommendation </w:t>
      </w:r>
      <w:r>
        <w:rPr>
          <w:szCs w:val="24"/>
        </w:rPr>
        <w:t xml:space="preserve">Should </w:t>
      </w:r>
      <w:r w:rsidRPr="00255659">
        <w:rPr>
          <w:szCs w:val="24"/>
          <w:lang w:val="x-none"/>
        </w:rPr>
        <w:t xml:space="preserve">be </w:t>
      </w:r>
      <w:r>
        <w:rPr>
          <w:szCs w:val="24"/>
        </w:rPr>
        <w:t xml:space="preserve">Treated </w:t>
      </w:r>
      <w:r w:rsidRPr="00255659">
        <w:rPr>
          <w:szCs w:val="24"/>
          <w:lang w:val="x-none"/>
        </w:rPr>
        <w:t>with Extreme Caution by the Commission</w:t>
      </w:r>
      <w:bookmarkEnd w:id="33"/>
    </w:p>
    <w:p w:rsidR="00AA31D3" w:rsidRPr="00255659" w:rsidRDefault="00AA31D3" w:rsidP="00540A76">
      <w:pPr>
        <w:pStyle w:val="question"/>
      </w:pPr>
      <w:r w:rsidRPr="00255659">
        <w:t>Q.</w:t>
      </w:r>
      <w:r w:rsidRPr="00255659">
        <w:tab/>
      </w:r>
      <w:r w:rsidR="00B02AD3" w:rsidRPr="00255659">
        <w:t xml:space="preserve">What </w:t>
      </w:r>
      <w:r w:rsidR="0054222F">
        <w:t xml:space="preserve">return on equity </w:t>
      </w:r>
      <w:r w:rsidR="00B02AD3" w:rsidRPr="00255659">
        <w:t xml:space="preserve">does </w:t>
      </w:r>
      <w:r w:rsidR="004C03EA" w:rsidRPr="00255659">
        <w:rPr>
          <w:lang w:eastAsia="en-US"/>
        </w:rPr>
        <w:t>Dr.</w:t>
      </w:r>
      <w:r w:rsidR="004C03EA">
        <w:rPr>
          <w:lang w:eastAsia="en-US"/>
        </w:rPr>
        <w:t> </w:t>
      </w:r>
      <w:r w:rsidR="00B02AD3" w:rsidRPr="00255659">
        <w:t>Woolridge recommend</w:t>
      </w:r>
      <w:r w:rsidR="0054222F">
        <w:t xml:space="preserve"> for PSE</w:t>
      </w:r>
      <w:r w:rsidRPr="00255659">
        <w:t>?</w:t>
      </w:r>
    </w:p>
    <w:p w:rsidR="00AA31D3" w:rsidRPr="00255659" w:rsidRDefault="00AA31D3" w:rsidP="00540A76">
      <w:pPr>
        <w:pStyle w:val="answer"/>
      </w:pPr>
      <w:r w:rsidRPr="00255659">
        <w:rPr>
          <w:color w:val="000000"/>
          <w:szCs w:val="24"/>
          <w:lang w:val="x-none" w:eastAsia="x-none"/>
        </w:rPr>
        <w:t>A.</w:t>
      </w:r>
      <w:r w:rsidRPr="00255659">
        <w:rPr>
          <w:color w:val="000000"/>
          <w:szCs w:val="24"/>
          <w:lang w:val="x-none" w:eastAsia="x-none"/>
        </w:rPr>
        <w:tab/>
      </w:r>
      <w:r w:rsidR="004C03EA" w:rsidRPr="00255659">
        <w:rPr>
          <w:lang w:eastAsia="en-US"/>
        </w:rPr>
        <w:t>Dr.</w:t>
      </w:r>
      <w:r w:rsidR="004C03EA">
        <w:rPr>
          <w:lang w:eastAsia="en-US"/>
        </w:rPr>
        <w:t> </w:t>
      </w:r>
      <w:r w:rsidRPr="00255659">
        <w:rPr>
          <w:color w:val="000000"/>
          <w:szCs w:val="24"/>
          <w:lang w:val="x-none" w:eastAsia="x-none"/>
        </w:rPr>
        <w:t>Woolridge</w:t>
      </w:r>
      <w:r w:rsidR="0054222F">
        <w:rPr>
          <w:color w:val="000000"/>
          <w:szCs w:val="24"/>
          <w:lang w:eastAsia="x-none"/>
        </w:rPr>
        <w:t xml:space="preserve"> </w:t>
      </w:r>
      <w:r w:rsidRPr="00255659">
        <w:rPr>
          <w:color w:val="000000"/>
          <w:szCs w:val="24"/>
          <w:lang w:val="x-none" w:eastAsia="x-none"/>
        </w:rPr>
        <w:t>recommend</w:t>
      </w:r>
      <w:r w:rsidR="0054222F">
        <w:rPr>
          <w:color w:val="000000"/>
          <w:szCs w:val="24"/>
          <w:lang w:eastAsia="x-none"/>
        </w:rPr>
        <w:t>s</w:t>
      </w:r>
      <w:r w:rsidRPr="00255659">
        <w:rPr>
          <w:color w:val="000000"/>
          <w:szCs w:val="24"/>
          <w:lang w:val="x-none" w:eastAsia="x-none"/>
        </w:rPr>
        <w:t xml:space="preserve"> </w:t>
      </w:r>
      <w:r w:rsidR="0054222F">
        <w:rPr>
          <w:color w:val="000000"/>
          <w:szCs w:val="24"/>
          <w:lang w:eastAsia="x-none"/>
        </w:rPr>
        <w:t xml:space="preserve">a </w:t>
      </w:r>
      <w:r w:rsidR="0054222F">
        <w:t xml:space="preserve">return on equity of </w:t>
      </w:r>
      <w:r w:rsidRPr="00255659">
        <w:rPr>
          <w:color w:val="000000"/>
          <w:szCs w:val="24"/>
          <w:lang w:val="x-none" w:eastAsia="x-none"/>
        </w:rPr>
        <w:t>only 8.85</w:t>
      </w:r>
      <w:r w:rsidR="00DD2B52">
        <w:rPr>
          <w:lang w:eastAsia="en-US"/>
        </w:rPr>
        <w:t> percent</w:t>
      </w:r>
      <w:r w:rsidR="0054222F">
        <w:rPr>
          <w:color w:val="000000"/>
          <w:szCs w:val="24"/>
          <w:lang w:eastAsia="x-none"/>
        </w:rPr>
        <w:t xml:space="preserve"> for PSE</w:t>
      </w:r>
      <w:r w:rsidRPr="00255659">
        <w:rPr>
          <w:color w:val="000000"/>
          <w:szCs w:val="24"/>
          <w:lang w:val="x-none" w:eastAsia="x-none"/>
        </w:rPr>
        <w:t>.</w:t>
      </w:r>
    </w:p>
    <w:p w:rsidR="00AA31D3" w:rsidRPr="00255659" w:rsidRDefault="00AA31D3" w:rsidP="00540A76">
      <w:pPr>
        <w:pStyle w:val="question"/>
      </w:pPr>
      <w:r w:rsidRPr="00255659">
        <w:t>Q.</w:t>
      </w:r>
      <w:r w:rsidRPr="00255659">
        <w:tab/>
      </w:r>
      <w:r w:rsidR="00B02AD3" w:rsidRPr="00255659">
        <w:t xml:space="preserve">What </w:t>
      </w:r>
      <w:r w:rsidR="0054222F">
        <w:t xml:space="preserve">can the Commission </w:t>
      </w:r>
      <w:r w:rsidR="00B02AD3" w:rsidRPr="00255659">
        <w:t xml:space="preserve">conclude from </w:t>
      </w:r>
      <w:r w:rsidR="004C03EA" w:rsidRPr="00255659">
        <w:rPr>
          <w:lang w:eastAsia="en-US"/>
        </w:rPr>
        <w:t>Dr.</w:t>
      </w:r>
      <w:r w:rsidR="004C03EA">
        <w:rPr>
          <w:lang w:eastAsia="en-US"/>
        </w:rPr>
        <w:t> </w:t>
      </w:r>
      <w:r w:rsidR="00C8234D">
        <w:t>Woolrid</w:t>
      </w:r>
      <w:r w:rsidR="00C8234D" w:rsidRPr="00255659">
        <w:t>ge</w:t>
      </w:r>
      <w:r w:rsidR="00C8234D">
        <w:t>’</w:t>
      </w:r>
      <w:r w:rsidR="00C8234D" w:rsidRPr="00255659">
        <w:t>s</w:t>
      </w:r>
      <w:r w:rsidR="00B02AD3" w:rsidRPr="00255659">
        <w:t xml:space="preserve"> testimony</w:t>
      </w:r>
      <w:r w:rsidRPr="00255659">
        <w:t>?</w:t>
      </w:r>
    </w:p>
    <w:p w:rsidR="00AA31D3" w:rsidRPr="00255659" w:rsidRDefault="00B02AD3" w:rsidP="00540A76">
      <w:pPr>
        <w:pStyle w:val="answer"/>
      </w:pPr>
      <w:r w:rsidRPr="00255659">
        <w:rPr>
          <w:rFonts w:eastAsia="SimSun"/>
          <w:szCs w:val="24"/>
          <w:lang w:val="x-none"/>
        </w:rPr>
        <w:t>A.</w:t>
      </w:r>
      <w:r w:rsidR="00AA31D3" w:rsidRPr="00255659">
        <w:rPr>
          <w:rFonts w:eastAsia="SimSun"/>
          <w:szCs w:val="24"/>
          <w:lang w:val="x-none"/>
        </w:rPr>
        <w:tab/>
        <w:t xml:space="preserve">In summary, there is a fatal Achilles heel in </w:t>
      </w:r>
      <w:r w:rsidR="004C03EA" w:rsidRPr="00255659">
        <w:rPr>
          <w:lang w:eastAsia="en-US"/>
        </w:rPr>
        <w:t>Dr.</w:t>
      </w:r>
      <w:r w:rsidR="004C03EA">
        <w:rPr>
          <w:lang w:eastAsia="en-US"/>
        </w:rPr>
        <w:t> </w:t>
      </w:r>
      <w:r w:rsidR="00AA31D3" w:rsidRPr="00255659">
        <w:rPr>
          <w:rFonts w:eastAsia="SimSun"/>
          <w:szCs w:val="24"/>
          <w:lang w:val="x-none"/>
        </w:rPr>
        <w:t>Woolridge</w:t>
      </w:r>
      <w:r w:rsidR="00255659">
        <w:rPr>
          <w:rFonts w:eastAsia="SimSun"/>
          <w:szCs w:val="24"/>
          <w:lang w:val="x-none"/>
        </w:rPr>
        <w:t>’</w:t>
      </w:r>
      <w:r w:rsidR="00AA31D3" w:rsidRPr="00255659">
        <w:rPr>
          <w:rFonts w:eastAsia="SimSun"/>
          <w:szCs w:val="24"/>
          <w:lang w:val="x-none"/>
        </w:rPr>
        <w:t xml:space="preserve"> </w:t>
      </w:r>
      <w:r w:rsidR="0054222F">
        <w:rPr>
          <w:rFonts w:eastAsia="SimSun"/>
          <w:szCs w:val="24"/>
        </w:rPr>
        <w:t xml:space="preserve">return on equity </w:t>
      </w:r>
      <w:r w:rsidR="00AA31D3" w:rsidRPr="00255659">
        <w:rPr>
          <w:rFonts w:eastAsia="SimSun"/>
          <w:szCs w:val="24"/>
          <w:lang w:val="x-none"/>
        </w:rPr>
        <w:t xml:space="preserve">recommendation. The DCF growth rates that constitute the crux of his </w:t>
      </w:r>
      <w:r w:rsidR="0054222F">
        <w:rPr>
          <w:rFonts w:eastAsia="SimSun"/>
          <w:szCs w:val="24"/>
        </w:rPr>
        <w:t xml:space="preserve">return on equity </w:t>
      </w:r>
      <w:r w:rsidR="00AA31D3" w:rsidRPr="00255659">
        <w:rPr>
          <w:rFonts w:eastAsia="SimSun"/>
          <w:szCs w:val="24"/>
          <w:lang w:val="x-none"/>
        </w:rPr>
        <w:t>recommendation cannot be replicated, do not match his numerous growth estimates, and are arbitrary.</w:t>
      </w:r>
      <w:r w:rsidR="00C91CE2">
        <w:rPr>
          <w:rFonts w:eastAsia="SimSun"/>
          <w:szCs w:val="24"/>
        </w:rPr>
        <w:t xml:space="preserve"> </w:t>
      </w:r>
      <w:r w:rsidR="00AA31D3" w:rsidRPr="00255659">
        <w:rPr>
          <w:rFonts w:eastAsia="SimSun"/>
          <w:szCs w:val="24"/>
          <w:lang w:val="x-none"/>
        </w:rPr>
        <w:t xml:space="preserve">Therefore, </w:t>
      </w:r>
      <w:r w:rsidR="0054222F">
        <w:rPr>
          <w:rFonts w:eastAsia="SimSun"/>
          <w:szCs w:val="24"/>
        </w:rPr>
        <w:t xml:space="preserve">Dr. Woolridge’s return on equity </w:t>
      </w:r>
      <w:r w:rsidR="00AA31D3" w:rsidRPr="00255659">
        <w:rPr>
          <w:rFonts w:eastAsia="SimSun"/>
          <w:szCs w:val="24"/>
          <w:lang w:val="x-none"/>
        </w:rPr>
        <w:t>recommendation should be treated with extreme caution by the Commission.</w:t>
      </w:r>
    </w:p>
    <w:p w:rsidR="0054222F" w:rsidRPr="00255659" w:rsidRDefault="0054222F" w:rsidP="0054222F">
      <w:pPr>
        <w:pStyle w:val="question"/>
      </w:pPr>
      <w:r w:rsidRPr="00255659">
        <w:t>Q.</w:t>
      </w:r>
      <w:r w:rsidRPr="00255659">
        <w:tab/>
        <w:t xml:space="preserve">What returns are investors expecting for </w:t>
      </w:r>
      <w:r w:rsidRPr="00255659">
        <w:rPr>
          <w:lang w:eastAsia="en-US"/>
        </w:rPr>
        <w:t>Dr.</w:t>
      </w:r>
      <w:r>
        <w:rPr>
          <w:lang w:eastAsia="en-US"/>
        </w:rPr>
        <w:t> </w:t>
      </w:r>
      <w:r w:rsidRPr="00255659">
        <w:t>Woolridge</w:t>
      </w:r>
      <w:r>
        <w:t>’</w:t>
      </w:r>
      <w:r w:rsidRPr="00255659">
        <w:t xml:space="preserve">s </w:t>
      </w:r>
      <w:r>
        <w:t xml:space="preserve">proxy </w:t>
      </w:r>
      <w:r w:rsidRPr="00255659">
        <w:t>group</w:t>
      </w:r>
      <w:r>
        <w:t>s</w:t>
      </w:r>
      <w:r w:rsidRPr="00255659">
        <w:t xml:space="preserve"> of </w:t>
      </w:r>
      <w:r>
        <w:t>Utilities</w:t>
      </w:r>
      <w:r w:rsidRPr="00255659">
        <w:t>?</w:t>
      </w:r>
    </w:p>
    <w:p w:rsidR="0054222F" w:rsidRPr="00255659" w:rsidRDefault="0054222F" w:rsidP="0054222F">
      <w:pPr>
        <w:pStyle w:val="answer"/>
      </w:pPr>
      <w:r w:rsidRPr="00255659">
        <w:t>A.</w:t>
      </w:r>
      <w:r w:rsidRPr="00255659">
        <w:tab/>
      </w:r>
      <w:r>
        <w:t xml:space="preserve">Dr. Woolridge’s own evidence demonstrates that </w:t>
      </w:r>
      <w:r w:rsidRPr="00255659">
        <w:t xml:space="preserve">investors are expecting an average </w:t>
      </w:r>
      <w:r>
        <w:t xml:space="preserve">return on equity </w:t>
      </w:r>
      <w:r w:rsidRPr="00255659">
        <w:t>of 10.8</w:t>
      </w:r>
      <w:r>
        <w:t xml:space="preserve"> percent for the electric proxy group, an average </w:t>
      </w:r>
      <w:r>
        <w:lastRenderedPageBreak/>
        <w:t xml:space="preserve">return on equity of </w:t>
      </w:r>
      <w:r w:rsidRPr="00255659">
        <w:t>11.2</w:t>
      </w:r>
      <w:r>
        <w:t> percent for the Morin Proxy group</w:t>
      </w:r>
      <w:r w:rsidRPr="00255659">
        <w:t xml:space="preserve">, and </w:t>
      </w:r>
      <w:r>
        <w:t xml:space="preserve">an average return on equity of </w:t>
      </w:r>
      <w:r w:rsidRPr="00255659">
        <w:t>10.3</w:t>
      </w:r>
      <w:r>
        <w:t xml:space="preserve"> percent </w:t>
      </w:r>
      <w:r w:rsidRPr="00255659">
        <w:t xml:space="preserve">for the </w:t>
      </w:r>
      <w:r>
        <w:t>gas proxy group.</w:t>
      </w:r>
      <w:r>
        <w:rPr>
          <w:rStyle w:val="FootnoteReference"/>
        </w:rPr>
        <w:footnoteReference w:id="70"/>
      </w:r>
    </w:p>
    <w:p w:rsidR="0054222F" w:rsidRPr="00255659" w:rsidRDefault="0054222F" w:rsidP="0054222F">
      <w:pPr>
        <w:pStyle w:val="question"/>
      </w:pPr>
      <w:r w:rsidRPr="00255659">
        <w:t>Q.</w:t>
      </w:r>
      <w:r w:rsidRPr="00255659">
        <w:tab/>
        <w:t xml:space="preserve">What is the average </w:t>
      </w:r>
      <w:r>
        <w:t xml:space="preserve">allowed return on equity </w:t>
      </w:r>
      <w:r w:rsidRPr="00255659">
        <w:t xml:space="preserve">for </w:t>
      </w:r>
      <w:r w:rsidRPr="00255659">
        <w:rPr>
          <w:lang w:eastAsia="en-US"/>
        </w:rPr>
        <w:t>Dr.</w:t>
      </w:r>
      <w:r>
        <w:rPr>
          <w:lang w:eastAsia="en-US"/>
        </w:rPr>
        <w:t> </w:t>
      </w:r>
      <w:r w:rsidRPr="00255659">
        <w:t>Woolridge</w:t>
      </w:r>
      <w:r>
        <w:t>’</w:t>
      </w:r>
      <w:r w:rsidRPr="00255659">
        <w:t xml:space="preserve">s </w:t>
      </w:r>
      <w:r>
        <w:t xml:space="preserve">proxy </w:t>
      </w:r>
      <w:r w:rsidRPr="00255659">
        <w:t>group of electric utilities?</w:t>
      </w:r>
    </w:p>
    <w:p w:rsidR="0054222F" w:rsidRPr="00255659" w:rsidRDefault="0054222F" w:rsidP="0054222F">
      <w:pPr>
        <w:pStyle w:val="answer"/>
      </w:pPr>
      <w:r w:rsidRPr="00255659">
        <w:t>A.</w:t>
      </w:r>
      <w:r w:rsidRPr="00255659">
        <w:tab/>
        <w:t>As shown in Table</w:t>
      </w:r>
      <w:r>
        <w:t> </w:t>
      </w:r>
      <w:r w:rsidRPr="00255659">
        <w:t xml:space="preserve">1 above, the average </w:t>
      </w:r>
      <w:r>
        <w:t xml:space="preserve">allowed return on equity </w:t>
      </w:r>
      <w:r w:rsidRPr="00255659">
        <w:t xml:space="preserve">for </w:t>
      </w:r>
      <w:r w:rsidRPr="00255659">
        <w:rPr>
          <w:lang w:eastAsia="en-US"/>
        </w:rPr>
        <w:t>Dr.</w:t>
      </w:r>
      <w:r>
        <w:rPr>
          <w:lang w:eastAsia="en-US"/>
        </w:rPr>
        <w:t> </w:t>
      </w:r>
      <w:r w:rsidRPr="00255659">
        <w:t>Woolridge</w:t>
      </w:r>
      <w:r>
        <w:t>’</w:t>
      </w:r>
      <w:r w:rsidRPr="00255659">
        <w:t xml:space="preserve">s </w:t>
      </w:r>
      <w:r>
        <w:t xml:space="preserve">proxy </w:t>
      </w:r>
      <w:r w:rsidRPr="00255659">
        <w:t>group of electric utilities is 10.0</w:t>
      </w:r>
      <w:r>
        <w:t> percent.</w:t>
      </w:r>
    </w:p>
    <w:p w:rsidR="0054222F" w:rsidRPr="00255659" w:rsidRDefault="0054222F" w:rsidP="0054222F">
      <w:pPr>
        <w:pStyle w:val="question"/>
      </w:pPr>
      <w:r w:rsidRPr="00255659">
        <w:t>Q.</w:t>
      </w:r>
      <w:r w:rsidRPr="00255659">
        <w:tab/>
        <w:t xml:space="preserve">What is the average </w:t>
      </w:r>
      <w:r>
        <w:t xml:space="preserve">allowed return on equity </w:t>
      </w:r>
      <w:r w:rsidRPr="00255659">
        <w:t>for electric utilities in recent orders</w:t>
      </w:r>
      <w:r>
        <w:t xml:space="preserve"> of state utility commissions</w:t>
      </w:r>
      <w:r w:rsidRPr="00255659">
        <w:t>?</w:t>
      </w:r>
    </w:p>
    <w:p w:rsidR="0054222F" w:rsidRPr="00255659" w:rsidRDefault="0054222F" w:rsidP="0054222F">
      <w:pPr>
        <w:pStyle w:val="answer"/>
      </w:pPr>
      <w:r w:rsidRPr="00255659">
        <w:t>A.</w:t>
      </w:r>
      <w:r w:rsidRPr="00255659">
        <w:tab/>
        <w:t xml:space="preserve">The average </w:t>
      </w:r>
      <w:r>
        <w:t xml:space="preserve">allowed return on equity </w:t>
      </w:r>
      <w:r w:rsidRPr="00255659">
        <w:t>for electric utilities in recent orders</w:t>
      </w:r>
      <w:r>
        <w:t xml:space="preserve"> of state utility commissions</w:t>
      </w:r>
      <w:r w:rsidRPr="00255659">
        <w:t xml:space="preserve"> is 9.9</w:t>
      </w:r>
      <w:r>
        <w:t> percent</w:t>
      </w:r>
      <w:r w:rsidRPr="00255659">
        <w:t>.</w:t>
      </w:r>
    </w:p>
    <w:p w:rsidR="0054222F" w:rsidRPr="00255659" w:rsidRDefault="0054222F" w:rsidP="0054222F">
      <w:pPr>
        <w:pStyle w:val="question"/>
      </w:pPr>
      <w:r w:rsidRPr="00255659">
        <w:t>Q.</w:t>
      </w:r>
      <w:r w:rsidRPr="00255659">
        <w:tab/>
        <w:t>What is PSE</w:t>
      </w:r>
      <w:r>
        <w:t>’</w:t>
      </w:r>
      <w:r w:rsidRPr="00255659">
        <w:t xml:space="preserve">s currently allowed </w:t>
      </w:r>
      <w:r>
        <w:t>return on equity</w:t>
      </w:r>
      <w:r w:rsidRPr="00255659">
        <w:t>?</w:t>
      </w:r>
    </w:p>
    <w:p w:rsidR="0054222F" w:rsidRDefault="0054222F" w:rsidP="0054222F">
      <w:pPr>
        <w:pStyle w:val="answer"/>
        <w:rPr>
          <w:lang w:eastAsia="en-US"/>
        </w:rPr>
      </w:pPr>
      <w:r w:rsidRPr="00255659">
        <w:rPr>
          <w:lang w:eastAsia="en-US"/>
        </w:rPr>
        <w:t>A.</w:t>
      </w:r>
      <w:r w:rsidRPr="00255659">
        <w:rPr>
          <w:lang w:eastAsia="en-US"/>
        </w:rPr>
        <w:tab/>
        <w:t>PSE</w:t>
      </w:r>
      <w:r>
        <w:rPr>
          <w:lang w:eastAsia="en-US"/>
        </w:rPr>
        <w:t>’</w:t>
      </w:r>
      <w:r w:rsidRPr="00255659">
        <w:rPr>
          <w:lang w:eastAsia="en-US"/>
        </w:rPr>
        <w:t xml:space="preserve">s currently allowed </w:t>
      </w:r>
      <w:r>
        <w:rPr>
          <w:lang w:eastAsia="en-US"/>
        </w:rPr>
        <w:t xml:space="preserve">return on equity </w:t>
      </w:r>
      <w:r w:rsidRPr="00255659">
        <w:rPr>
          <w:lang w:eastAsia="en-US"/>
        </w:rPr>
        <w:t>is 9.8</w:t>
      </w:r>
      <w:r>
        <w:rPr>
          <w:lang w:eastAsia="en-US"/>
        </w:rPr>
        <w:t> percent</w:t>
      </w:r>
      <w:r w:rsidRPr="00255659">
        <w:rPr>
          <w:lang w:eastAsia="en-US"/>
        </w:rPr>
        <w:t>.</w:t>
      </w:r>
    </w:p>
    <w:p w:rsidR="0054222F" w:rsidRPr="00255659" w:rsidRDefault="0054222F" w:rsidP="0054222F">
      <w:pPr>
        <w:pStyle w:val="question"/>
      </w:pPr>
      <w:r w:rsidRPr="00255659">
        <w:t>Q.</w:t>
      </w:r>
      <w:r w:rsidRPr="00255659">
        <w:tab/>
        <w:t>What ROE do you recommend?</w:t>
      </w:r>
    </w:p>
    <w:p w:rsidR="0054222F" w:rsidRPr="00255659" w:rsidRDefault="0054222F" w:rsidP="0054222F">
      <w:pPr>
        <w:pStyle w:val="answer"/>
      </w:pPr>
      <w:r w:rsidRPr="00255659">
        <w:rPr>
          <w:bCs/>
          <w:color w:val="000000"/>
          <w:szCs w:val="24"/>
          <w:lang w:val="x-none" w:eastAsia="x-none"/>
        </w:rPr>
        <w:t>A.</w:t>
      </w:r>
      <w:r w:rsidRPr="00255659">
        <w:rPr>
          <w:bCs/>
          <w:color w:val="000000"/>
          <w:szCs w:val="24"/>
          <w:lang w:val="x-none" w:eastAsia="x-none"/>
        </w:rPr>
        <w:tab/>
        <w:t xml:space="preserve">I recommend a </w:t>
      </w:r>
      <w:r>
        <w:rPr>
          <w:bCs/>
          <w:color w:val="000000"/>
          <w:szCs w:val="24"/>
          <w:lang w:eastAsia="x-none"/>
        </w:rPr>
        <w:t xml:space="preserve">return on equity </w:t>
      </w:r>
      <w:r w:rsidRPr="00255659">
        <w:rPr>
          <w:bCs/>
          <w:color w:val="000000"/>
          <w:szCs w:val="24"/>
          <w:lang w:val="x-none" w:eastAsia="x-none"/>
        </w:rPr>
        <w:t>of 9.8</w:t>
      </w:r>
      <w:r w:rsidR="00DD2B52">
        <w:rPr>
          <w:lang w:eastAsia="en-US"/>
        </w:rPr>
        <w:t> percent</w:t>
      </w:r>
      <w:r w:rsidRPr="00255659">
        <w:rPr>
          <w:bCs/>
          <w:color w:val="000000"/>
          <w:szCs w:val="24"/>
          <w:lang w:val="x-none" w:eastAsia="x-none"/>
        </w:rPr>
        <w:t xml:space="preserve"> for PSE, the same return as is currently authorized by the Commission.</w:t>
      </w:r>
    </w:p>
    <w:p w:rsidR="00AA31D3" w:rsidRPr="00255659" w:rsidRDefault="00E74490" w:rsidP="00540A76">
      <w:pPr>
        <w:pStyle w:val="question"/>
      </w:pPr>
      <w:r w:rsidRPr="00255659">
        <w:t>Q.</w:t>
      </w:r>
      <w:r w:rsidR="00AA31D3" w:rsidRPr="00255659">
        <w:tab/>
      </w:r>
      <w:r w:rsidR="00B02AD3" w:rsidRPr="00255659">
        <w:t xml:space="preserve">Has </w:t>
      </w:r>
      <w:r w:rsidR="004C03EA" w:rsidRPr="00255659">
        <w:rPr>
          <w:lang w:eastAsia="en-US"/>
        </w:rPr>
        <w:t>Dr.</w:t>
      </w:r>
      <w:r w:rsidR="004C03EA">
        <w:rPr>
          <w:lang w:eastAsia="en-US"/>
        </w:rPr>
        <w:t> </w:t>
      </w:r>
      <w:r w:rsidR="00B02AD3" w:rsidRPr="00255659">
        <w:t>Woolridge presented any arguments in his testimony that would cause you to alter any of your recommendations and methodologies</w:t>
      </w:r>
      <w:r w:rsidR="00AA31D3" w:rsidRPr="00255659">
        <w:t>?</w:t>
      </w:r>
    </w:p>
    <w:p w:rsidR="00AA31D3" w:rsidRPr="00255659" w:rsidRDefault="00B02AD3" w:rsidP="00540A76">
      <w:pPr>
        <w:pStyle w:val="answer"/>
        <w:rPr>
          <w:rFonts w:eastAsia="SimSun"/>
          <w:szCs w:val="24"/>
        </w:rPr>
      </w:pPr>
      <w:r w:rsidRPr="00255659">
        <w:rPr>
          <w:rFonts w:eastAsia="SimSun"/>
          <w:szCs w:val="24"/>
          <w:lang w:val="x-none"/>
        </w:rPr>
        <w:t>A.</w:t>
      </w:r>
      <w:r w:rsidR="00AA31D3" w:rsidRPr="00255659">
        <w:rPr>
          <w:rFonts w:eastAsia="SimSun"/>
          <w:szCs w:val="24"/>
          <w:lang w:val="x-none"/>
        </w:rPr>
        <w:tab/>
        <w:t>No, he has not.</w:t>
      </w:r>
    </w:p>
    <w:p w:rsidR="00993C60" w:rsidRPr="00993C60" w:rsidRDefault="006B5168" w:rsidP="00540A76">
      <w:pPr>
        <w:pStyle w:val="Heading1"/>
      </w:pPr>
      <w:bookmarkStart w:id="34" w:name="_Toc248727610"/>
      <w:bookmarkStart w:id="35" w:name="_Toc120165571"/>
      <w:bookmarkStart w:id="36" w:name="_Toc230520067"/>
      <w:bookmarkStart w:id="37" w:name="_Toc143601346"/>
      <w:bookmarkStart w:id="38" w:name="_Toc126571662"/>
      <w:bookmarkStart w:id="39" w:name="_Toc125996905"/>
      <w:bookmarkStart w:id="40" w:name="_Toc125995676"/>
      <w:bookmarkStart w:id="41" w:name="_Toc122321327"/>
      <w:bookmarkStart w:id="42" w:name="_Toc143679892"/>
      <w:bookmarkStart w:id="43" w:name="_Toc126768441"/>
      <w:bookmarkStart w:id="44" w:name="_Toc489887881"/>
      <w:r>
        <w:lastRenderedPageBreak/>
        <w:t>I</w:t>
      </w:r>
      <w:r w:rsidR="00993C60" w:rsidRPr="00993C60">
        <w:t>II.</w:t>
      </w:r>
      <w:r w:rsidR="00993C60" w:rsidRPr="00993C60">
        <w:tab/>
        <w:t>REBUTTAL TO MR. PARCELL</w:t>
      </w:r>
      <w:r w:rsidR="00255659">
        <w:t>’</w:t>
      </w:r>
      <w:r w:rsidR="00993C60" w:rsidRPr="00993C60">
        <w:t>S TESTIMONY</w:t>
      </w:r>
      <w:bookmarkEnd w:id="34"/>
      <w:bookmarkEnd w:id="35"/>
      <w:bookmarkEnd w:id="36"/>
      <w:bookmarkEnd w:id="44"/>
    </w:p>
    <w:p w:rsidR="00993C60" w:rsidRPr="00993C60" w:rsidRDefault="00993C60" w:rsidP="00540A76">
      <w:pPr>
        <w:pStyle w:val="question"/>
      </w:pPr>
      <w:r w:rsidRPr="00993C60">
        <w:rPr>
          <w:bCs/>
          <w:szCs w:val="24"/>
          <w:lang w:eastAsia="en-US"/>
        </w:rPr>
        <w:t>Q.</w:t>
      </w:r>
      <w:r w:rsidRPr="00993C60">
        <w:rPr>
          <w:bCs/>
          <w:szCs w:val="24"/>
          <w:lang w:eastAsia="en-US"/>
        </w:rPr>
        <w:tab/>
      </w:r>
      <w:r w:rsidRPr="00255659">
        <w:rPr>
          <w:bCs/>
          <w:szCs w:val="24"/>
          <w:lang w:eastAsia="en-US"/>
        </w:rPr>
        <w:t>Please summarize Mr. Parcell</w:t>
      </w:r>
      <w:r w:rsidR="00255659">
        <w:rPr>
          <w:bCs/>
          <w:szCs w:val="24"/>
          <w:lang w:eastAsia="en-US"/>
        </w:rPr>
        <w:t>’</w:t>
      </w:r>
      <w:r w:rsidRPr="00255659">
        <w:rPr>
          <w:bCs/>
          <w:szCs w:val="24"/>
          <w:lang w:eastAsia="en-US"/>
        </w:rPr>
        <w:t>s ROE recommendation</w:t>
      </w:r>
      <w:r w:rsidRPr="00993C60">
        <w:rPr>
          <w:bCs/>
          <w:szCs w:val="24"/>
          <w:lang w:eastAsia="en-US"/>
        </w:rPr>
        <w:t>.</w:t>
      </w:r>
    </w:p>
    <w:p w:rsidR="00B40240" w:rsidRDefault="00993C60" w:rsidP="00540A76">
      <w:pPr>
        <w:pStyle w:val="answer"/>
        <w:rPr>
          <w:rFonts w:eastAsia="SimSun"/>
        </w:rPr>
      </w:pPr>
      <w:r w:rsidRPr="00255659">
        <w:rPr>
          <w:rFonts w:eastAsia="SimSun"/>
        </w:rPr>
        <w:t>A.</w:t>
      </w:r>
      <w:r w:rsidRPr="00255659">
        <w:rPr>
          <w:rFonts w:eastAsia="SimSun"/>
        </w:rPr>
        <w:tab/>
        <w:t>Mr.</w:t>
      </w:r>
      <w:r w:rsidR="004C03EA">
        <w:rPr>
          <w:rFonts w:eastAsia="SimSun"/>
        </w:rPr>
        <w:t> </w:t>
      </w:r>
      <w:r w:rsidRPr="00255659">
        <w:rPr>
          <w:rFonts w:eastAsia="SimSun"/>
        </w:rPr>
        <w:t xml:space="preserve">Parcell recommends an </w:t>
      </w:r>
      <w:r w:rsidR="00B40240">
        <w:rPr>
          <w:rFonts w:eastAsia="SimSun"/>
        </w:rPr>
        <w:t xml:space="preserve">return on equity for PSE in a range of between 8.85 and </w:t>
      </w:r>
      <w:r w:rsidRPr="00255659">
        <w:rPr>
          <w:rFonts w:eastAsia="SimSun"/>
        </w:rPr>
        <w:t>9.5</w:t>
      </w:r>
      <w:r w:rsidR="00B40240">
        <w:rPr>
          <w:rFonts w:eastAsia="SimSun"/>
        </w:rPr>
        <w:t xml:space="preserve"> percent, with a midpoint of around </w:t>
      </w:r>
      <w:r w:rsidRPr="00255659">
        <w:rPr>
          <w:rFonts w:eastAsia="SimSun"/>
        </w:rPr>
        <w:t>9.2</w:t>
      </w:r>
      <w:r w:rsidR="00B40240">
        <w:rPr>
          <w:rFonts w:eastAsia="SimSun"/>
        </w:rPr>
        <w:t> percent</w:t>
      </w:r>
      <w:r w:rsidRPr="00255659">
        <w:rPr>
          <w:rFonts w:eastAsia="SimSun"/>
        </w:rPr>
        <w:t>.</w:t>
      </w:r>
    </w:p>
    <w:p w:rsidR="00572193" w:rsidRPr="00255659" w:rsidRDefault="00993C60" w:rsidP="00B40240">
      <w:pPr>
        <w:pStyle w:val="answer"/>
        <w:ind w:firstLine="0"/>
        <w:rPr>
          <w:rFonts w:eastAsia="SimSun"/>
        </w:rPr>
      </w:pPr>
      <w:r w:rsidRPr="00255659">
        <w:rPr>
          <w:rFonts w:eastAsia="SimSun"/>
        </w:rPr>
        <w:t>In determining PSE</w:t>
      </w:r>
      <w:r w:rsidR="00255659">
        <w:rPr>
          <w:rFonts w:eastAsia="SimSun"/>
        </w:rPr>
        <w:t>’</w:t>
      </w:r>
      <w:r w:rsidRPr="00255659">
        <w:rPr>
          <w:rFonts w:eastAsia="SimSun"/>
        </w:rPr>
        <w:t xml:space="preserve">s cost of equity, </w:t>
      </w:r>
      <w:r w:rsidR="004C03EA" w:rsidRPr="00255659">
        <w:rPr>
          <w:rFonts w:eastAsia="SimSun"/>
        </w:rPr>
        <w:t>Mr.</w:t>
      </w:r>
      <w:r w:rsidR="004C03EA">
        <w:rPr>
          <w:rFonts w:eastAsia="SimSun"/>
        </w:rPr>
        <w:t> </w:t>
      </w:r>
      <w:r w:rsidRPr="00255659">
        <w:rPr>
          <w:rFonts w:eastAsia="SimSun"/>
        </w:rPr>
        <w:t>Parcell applies a DCF analysis to two groups of utilities.</w:t>
      </w:r>
      <w:r w:rsidR="00C91CE2">
        <w:rPr>
          <w:rFonts w:eastAsia="SimSun"/>
        </w:rPr>
        <w:t xml:space="preserve"> </w:t>
      </w:r>
      <w:r w:rsidRPr="00255659">
        <w:rPr>
          <w:rFonts w:eastAsia="SimSun"/>
        </w:rPr>
        <w:t xml:space="preserve">For the growth component of his DCF analysis, </w:t>
      </w:r>
      <w:r w:rsidR="004C03EA" w:rsidRPr="00255659">
        <w:rPr>
          <w:rFonts w:eastAsia="SimSun"/>
        </w:rPr>
        <w:t>Mr.</w:t>
      </w:r>
      <w:r w:rsidR="004C03EA">
        <w:rPr>
          <w:rFonts w:eastAsia="SimSun"/>
        </w:rPr>
        <w:t> </w:t>
      </w:r>
      <w:r w:rsidRPr="00255659">
        <w:rPr>
          <w:rFonts w:eastAsia="SimSun"/>
        </w:rPr>
        <w:t>Parcell uses a blend of analysts</w:t>
      </w:r>
      <w:r w:rsidR="00255659">
        <w:rPr>
          <w:rFonts w:eastAsia="SimSun"/>
        </w:rPr>
        <w:t>’</w:t>
      </w:r>
      <w:r w:rsidRPr="00255659">
        <w:rPr>
          <w:rFonts w:eastAsia="SimSun"/>
        </w:rPr>
        <w:t xml:space="preserve"> growth forecasts, historical growth rates, and the earnings retention method.</w:t>
      </w:r>
      <w:r w:rsidR="00C91CE2">
        <w:rPr>
          <w:rFonts w:eastAsia="SimSun"/>
        </w:rPr>
        <w:t xml:space="preserve"> </w:t>
      </w:r>
      <w:r w:rsidRPr="00255659">
        <w:rPr>
          <w:rFonts w:eastAsia="SimSun"/>
        </w:rPr>
        <w:t xml:space="preserve">From his DCF estimates, </w:t>
      </w:r>
      <w:r w:rsidR="004C03EA" w:rsidRPr="00255659">
        <w:rPr>
          <w:rFonts w:eastAsia="SimSun"/>
        </w:rPr>
        <w:t>Mr.</w:t>
      </w:r>
      <w:r w:rsidR="004C03EA">
        <w:rPr>
          <w:rFonts w:eastAsia="SimSun"/>
        </w:rPr>
        <w:t> </w:t>
      </w:r>
      <w:r w:rsidRPr="00255659">
        <w:rPr>
          <w:rFonts w:eastAsia="SimSun"/>
        </w:rPr>
        <w:t>Parcell concludes that the DCF estimate of PSE</w:t>
      </w:r>
      <w:r w:rsidR="00255659">
        <w:rPr>
          <w:rFonts w:eastAsia="SimSun"/>
        </w:rPr>
        <w:t>’</w:t>
      </w:r>
      <w:r w:rsidRPr="00255659">
        <w:rPr>
          <w:rFonts w:eastAsia="SimSun"/>
        </w:rPr>
        <w:t xml:space="preserve">s </w:t>
      </w:r>
      <w:r w:rsidR="00B40240">
        <w:rPr>
          <w:rFonts w:eastAsia="SimSun"/>
        </w:rPr>
        <w:t xml:space="preserve">return on equity </w:t>
      </w:r>
      <w:r w:rsidRPr="00255659">
        <w:rPr>
          <w:rFonts w:eastAsia="SimSun"/>
        </w:rPr>
        <w:t xml:space="preserve">lies in a range of </w:t>
      </w:r>
      <w:r w:rsidR="00B40240">
        <w:rPr>
          <w:rFonts w:eastAsia="SimSun"/>
        </w:rPr>
        <w:t xml:space="preserve">between </w:t>
      </w:r>
      <w:r w:rsidRPr="00255659">
        <w:rPr>
          <w:rFonts w:eastAsia="SimSun"/>
        </w:rPr>
        <w:t>8.7</w:t>
      </w:r>
      <w:r w:rsidR="00B40240">
        <w:rPr>
          <w:rFonts w:eastAsia="SimSun"/>
        </w:rPr>
        <w:t xml:space="preserve"> and </w:t>
      </w:r>
      <w:r w:rsidRPr="00255659">
        <w:rPr>
          <w:rFonts w:eastAsia="SimSun"/>
        </w:rPr>
        <w:t>9.0</w:t>
      </w:r>
      <w:r w:rsidR="00B40240">
        <w:rPr>
          <w:rFonts w:eastAsia="SimSun"/>
        </w:rPr>
        <w:t xml:space="preserve"> percent, with a midpoint of </w:t>
      </w:r>
      <w:r w:rsidR="00193FEC">
        <w:rPr>
          <w:rFonts w:eastAsia="SimSun"/>
        </w:rPr>
        <w:t xml:space="preserve">around </w:t>
      </w:r>
      <w:r w:rsidRPr="00255659">
        <w:rPr>
          <w:rFonts w:eastAsia="SimSun"/>
        </w:rPr>
        <w:t>8.85</w:t>
      </w:r>
      <w:r w:rsidR="00193FEC">
        <w:rPr>
          <w:rFonts w:eastAsia="SimSun"/>
        </w:rPr>
        <w:t> percent</w:t>
      </w:r>
      <w:r w:rsidRPr="00255659">
        <w:rPr>
          <w:rFonts w:eastAsia="SimSun"/>
        </w:rPr>
        <w:t>.</w:t>
      </w:r>
    </w:p>
    <w:p w:rsidR="00572193" w:rsidRPr="00255659" w:rsidRDefault="004C03EA" w:rsidP="00540A76">
      <w:pPr>
        <w:pStyle w:val="answer"/>
        <w:ind w:firstLine="0"/>
        <w:rPr>
          <w:rFonts w:eastAsia="SimSun"/>
          <w:szCs w:val="24"/>
        </w:rPr>
      </w:pPr>
      <w:r w:rsidRPr="00255659">
        <w:rPr>
          <w:rFonts w:eastAsia="SimSun"/>
        </w:rPr>
        <w:t>Mr.</w:t>
      </w:r>
      <w:r>
        <w:rPr>
          <w:rFonts w:eastAsia="SimSun"/>
        </w:rPr>
        <w:t> </w:t>
      </w:r>
      <w:r w:rsidR="00993C60" w:rsidRPr="00993C60">
        <w:rPr>
          <w:rFonts w:eastAsia="SimSun"/>
          <w:szCs w:val="24"/>
        </w:rPr>
        <w:t>Parcell also applies a CAPM analysis to the same two groups of companies, using long-term Treasury bond yields as proxies for the risk-free rate and Value Line beta estimates.</w:t>
      </w:r>
      <w:r w:rsidR="00C91CE2">
        <w:rPr>
          <w:rFonts w:eastAsia="SimSun"/>
          <w:szCs w:val="24"/>
        </w:rPr>
        <w:t xml:space="preserve"> </w:t>
      </w:r>
      <w:r w:rsidRPr="00255659">
        <w:rPr>
          <w:rFonts w:eastAsia="SimSun"/>
        </w:rPr>
        <w:t>Mr.</w:t>
      </w:r>
      <w:r>
        <w:rPr>
          <w:rFonts w:eastAsia="SimSun"/>
        </w:rPr>
        <w:t> </w:t>
      </w:r>
      <w:r w:rsidR="00993C60" w:rsidRPr="00993C60">
        <w:rPr>
          <w:rFonts w:eastAsia="SimSun"/>
          <w:szCs w:val="24"/>
        </w:rPr>
        <w:t>Parcell seems to place little, if any, weight on the CAPM results</w:t>
      </w:r>
      <w:r w:rsidR="00193FEC">
        <w:rPr>
          <w:rFonts w:eastAsia="SimSun"/>
          <w:szCs w:val="24"/>
        </w:rPr>
        <w:t xml:space="preserve">, which would place PSE’s return on equity in the range of between </w:t>
      </w:r>
      <w:r w:rsidR="00993C60" w:rsidRPr="00993C60">
        <w:rPr>
          <w:rFonts w:eastAsia="SimSun"/>
          <w:szCs w:val="24"/>
        </w:rPr>
        <w:t>6.5</w:t>
      </w:r>
      <w:r w:rsidR="00193FEC">
        <w:rPr>
          <w:rFonts w:eastAsia="SimSun"/>
          <w:szCs w:val="24"/>
        </w:rPr>
        <w:t xml:space="preserve"> and </w:t>
      </w:r>
      <w:r w:rsidR="00993C60" w:rsidRPr="00993C60">
        <w:rPr>
          <w:rFonts w:eastAsia="SimSun"/>
          <w:szCs w:val="24"/>
        </w:rPr>
        <w:t>7.0</w:t>
      </w:r>
      <w:r w:rsidR="00193FEC">
        <w:rPr>
          <w:rFonts w:eastAsia="SimSun"/>
          <w:szCs w:val="24"/>
        </w:rPr>
        <w:t xml:space="preserve"> percent, with a midpoint of </w:t>
      </w:r>
      <w:r w:rsidR="00993C60" w:rsidRPr="00993C60">
        <w:rPr>
          <w:rFonts w:eastAsia="SimSun"/>
          <w:szCs w:val="24"/>
        </w:rPr>
        <w:t>6.75</w:t>
      </w:r>
      <w:r w:rsidR="00193FEC">
        <w:rPr>
          <w:rFonts w:eastAsia="SimSun"/>
          <w:szCs w:val="24"/>
        </w:rPr>
        <w:t> percent</w:t>
      </w:r>
      <w:r w:rsidR="00993C60" w:rsidRPr="00993C60">
        <w:rPr>
          <w:rFonts w:eastAsia="SimSun"/>
          <w:szCs w:val="24"/>
        </w:rPr>
        <w:t>.</w:t>
      </w:r>
    </w:p>
    <w:p w:rsidR="00572193" w:rsidRPr="00255659" w:rsidRDefault="00993C60" w:rsidP="00540A76">
      <w:pPr>
        <w:pStyle w:val="answer"/>
        <w:ind w:firstLine="0"/>
        <w:rPr>
          <w:rFonts w:eastAsia="SimSun"/>
          <w:szCs w:val="24"/>
        </w:rPr>
      </w:pPr>
      <w:r w:rsidRPr="00993C60">
        <w:rPr>
          <w:rFonts w:eastAsia="SimSun"/>
          <w:szCs w:val="24"/>
        </w:rPr>
        <w:t xml:space="preserve">Finally, </w:t>
      </w:r>
      <w:r w:rsidR="004C03EA" w:rsidRPr="00255659">
        <w:rPr>
          <w:rFonts w:eastAsia="SimSun"/>
        </w:rPr>
        <w:t>Mr.</w:t>
      </w:r>
      <w:r w:rsidR="004C03EA">
        <w:rPr>
          <w:rFonts w:eastAsia="SimSun"/>
        </w:rPr>
        <w:t> </w:t>
      </w:r>
      <w:r w:rsidRPr="00993C60">
        <w:rPr>
          <w:rFonts w:eastAsia="SimSun"/>
          <w:szCs w:val="24"/>
        </w:rPr>
        <w:t xml:space="preserve">Parcell performs a </w:t>
      </w:r>
      <w:r w:rsidR="00193FEC">
        <w:rPr>
          <w:rFonts w:eastAsia="SimSun"/>
          <w:szCs w:val="24"/>
        </w:rPr>
        <w:t>c</w:t>
      </w:r>
      <w:r w:rsidRPr="00993C60">
        <w:rPr>
          <w:rFonts w:eastAsia="SimSun"/>
          <w:szCs w:val="24"/>
        </w:rPr>
        <w:t xml:space="preserve">omparable </w:t>
      </w:r>
      <w:r w:rsidR="00193FEC">
        <w:rPr>
          <w:rFonts w:eastAsia="SimSun"/>
          <w:szCs w:val="24"/>
        </w:rPr>
        <w:t>e</w:t>
      </w:r>
      <w:r w:rsidRPr="00993C60">
        <w:rPr>
          <w:rFonts w:eastAsia="SimSun"/>
          <w:szCs w:val="24"/>
        </w:rPr>
        <w:t>arnings analysis on a sample of utilities and a sample of unregulated industrial companies.</w:t>
      </w:r>
    </w:p>
    <w:p w:rsidR="00993C60" w:rsidRPr="00993C60" w:rsidRDefault="00993C60" w:rsidP="00540A76">
      <w:pPr>
        <w:pStyle w:val="answer"/>
        <w:ind w:firstLine="0"/>
        <w:rPr>
          <w:rFonts w:eastAsia="SimSun"/>
          <w:szCs w:val="24"/>
        </w:rPr>
      </w:pPr>
      <w:r w:rsidRPr="00993C60">
        <w:rPr>
          <w:rFonts w:eastAsia="SimSun"/>
          <w:szCs w:val="24"/>
        </w:rPr>
        <w:t xml:space="preserve">From these various analyses, </w:t>
      </w:r>
      <w:r w:rsidR="004C03EA" w:rsidRPr="00255659">
        <w:rPr>
          <w:rFonts w:eastAsia="SimSun"/>
        </w:rPr>
        <w:t>Mr.</w:t>
      </w:r>
      <w:r w:rsidR="004C03EA">
        <w:rPr>
          <w:rFonts w:eastAsia="SimSun"/>
        </w:rPr>
        <w:t> </w:t>
      </w:r>
      <w:r w:rsidRPr="00993C60">
        <w:rPr>
          <w:rFonts w:eastAsia="SimSun"/>
          <w:szCs w:val="24"/>
        </w:rPr>
        <w:t xml:space="preserve">Parcell concludes that </w:t>
      </w:r>
      <w:r w:rsidR="00193FEC">
        <w:rPr>
          <w:rFonts w:eastAsia="SimSun"/>
          <w:szCs w:val="24"/>
        </w:rPr>
        <w:t xml:space="preserve">the return on equity </w:t>
      </w:r>
      <w:r w:rsidRPr="00993C60">
        <w:rPr>
          <w:rFonts w:eastAsia="SimSun"/>
          <w:szCs w:val="24"/>
        </w:rPr>
        <w:t xml:space="preserve">for PSE lies in the range of </w:t>
      </w:r>
      <w:r w:rsidR="00193FEC">
        <w:rPr>
          <w:rFonts w:eastAsia="SimSun"/>
          <w:szCs w:val="24"/>
        </w:rPr>
        <w:t xml:space="preserve">between </w:t>
      </w:r>
      <w:r w:rsidRPr="00993C60">
        <w:rPr>
          <w:rFonts w:eastAsia="SimSun"/>
          <w:szCs w:val="24"/>
        </w:rPr>
        <w:t>8.85</w:t>
      </w:r>
      <w:r w:rsidR="00193FEC">
        <w:rPr>
          <w:rFonts w:eastAsia="SimSun"/>
          <w:szCs w:val="24"/>
        </w:rPr>
        <w:t xml:space="preserve"> and </w:t>
      </w:r>
      <w:r w:rsidRPr="00993C60">
        <w:rPr>
          <w:rFonts w:eastAsia="SimSun"/>
          <w:szCs w:val="24"/>
        </w:rPr>
        <w:t>9.50</w:t>
      </w:r>
      <w:r w:rsidR="00193FEC">
        <w:rPr>
          <w:rFonts w:eastAsia="SimSun"/>
          <w:szCs w:val="24"/>
        </w:rPr>
        <w:t> percent</w:t>
      </w:r>
      <w:r w:rsidRPr="00993C60">
        <w:rPr>
          <w:rFonts w:eastAsia="SimSun"/>
          <w:szCs w:val="24"/>
        </w:rPr>
        <w:t>.</w:t>
      </w:r>
      <w:r w:rsidR="00C91CE2">
        <w:rPr>
          <w:rFonts w:eastAsia="SimSun"/>
          <w:szCs w:val="24"/>
        </w:rPr>
        <w:t xml:space="preserve"> </w:t>
      </w:r>
      <w:r w:rsidR="00193FEC">
        <w:rPr>
          <w:rFonts w:eastAsia="SimSun"/>
          <w:szCs w:val="24"/>
        </w:rPr>
        <w:t xml:space="preserve">From this range, </w:t>
      </w:r>
      <w:r w:rsidR="004C03EA" w:rsidRPr="00255659">
        <w:rPr>
          <w:rFonts w:eastAsia="SimSun"/>
        </w:rPr>
        <w:t>Mr.</w:t>
      </w:r>
      <w:r w:rsidR="004C03EA">
        <w:rPr>
          <w:rFonts w:eastAsia="SimSun"/>
        </w:rPr>
        <w:t> </w:t>
      </w:r>
      <w:r w:rsidRPr="00993C60">
        <w:rPr>
          <w:rFonts w:eastAsia="SimSun"/>
          <w:szCs w:val="24"/>
        </w:rPr>
        <w:t xml:space="preserve">Parcell proposes a </w:t>
      </w:r>
      <w:r w:rsidR="00193FEC">
        <w:rPr>
          <w:rFonts w:eastAsia="SimSun"/>
          <w:szCs w:val="24"/>
        </w:rPr>
        <w:t xml:space="preserve">return on equity </w:t>
      </w:r>
      <w:r w:rsidRPr="00993C60">
        <w:rPr>
          <w:rFonts w:eastAsia="SimSun"/>
          <w:szCs w:val="24"/>
        </w:rPr>
        <w:t xml:space="preserve">at </w:t>
      </w:r>
      <w:r w:rsidR="00193FEC">
        <w:rPr>
          <w:rFonts w:eastAsia="SimSun"/>
          <w:szCs w:val="24"/>
        </w:rPr>
        <w:t xml:space="preserve">about </w:t>
      </w:r>
      <w:r w:rsidRPr="00993C60">
        <w:rPr>
          <w:rFonts w:eastAsia="SimSun"/>
          <w:szCs w:val="24"/>
        </w:rPr>
        <w:t>the midpoint of this proposed range, 9.2</w:t>
      </w:r>
      <w:r w:rsidR="00193FEC">
        <w:rPr>
          <w:rFonts w:eastAsia="SimSun"/>
          <w:szCs w:val="24"/>
        </w:rPr>
        <w:t> percent</w:t>
      </w:r>
      <w:r w:rsidRPr="00993C60">
        <w:rPr>
          <w:rFonts w:eastAsia="SimSun"/>
          <w:szCs w:val="24"/>
        </w:rPr>
        <w:t>.</w:t>
      </w:r>
    </w:p>
    <w:p w:rsidR="00993C60" w:rsidRPr="00993C60" w:rsidRDefault="00993C60" w:rsidP="00540A76">
      <w:pPr>
        <w:pStyle w:val="question"/>
      </w:pPr>
      <w:r w:rsidRPr="00255659">
        <w:rPr>
          <w:bCs/>
          <w:szCs w:val="24"/>
          <w:lang w:eastAsia="en-US"/>
        </w:rPr>
        <w:lastRenderedPageBreak/>
        <w:t>Q.</w:t>
      </w:r>
      <w:r w:rsidRPr="00993C60">
        <w:rPr>
          <w:bCs/>
          <w:szCs w:val="24"/>
          <w:lang w:eastAsia="en-US"/>
        </w:rPr>
        <w:tab/>
      </w:r>
      <w:r w:rsidRPr="00255659">
        <w:rPr>
          <w:bCs/>
          <w:szCs w:val="24"/>
          <w:lang w:eastAsia="en-US"/>
        </w:rPr>
        <w:t xml:space="preserve">Please summarize your specific concerns with </w:t>
      </w:r>
      <w:r w:rsidR="004C03EA" w:rsidRPr="00255659">
        <w:t>Mr.</w:t>
      </w:r>
      <w:r w:rsidR="004C03EA">
        <w:t> </w:t>
      </w:r>
      <w:r w:rsidRPr="00255659">
        <w:rPr>
          <w:bCs/>
          <w:szCs w:val="24"/>
          <w:lang w:eastAsia="en-US"/>
        </w:rPr>
        <w:t>Parcell</w:t>
      </w:r>
      <w:r w:rsidR="00255659">
        <w:rPr>
          <w:bCs/>
          <w:szCs w:val="24"/>
          <w:lang w:eastAsia="en-US"/>
        </w:rPr>
        <w:t>’</w:t>
      </w:r>
      <w:r w:rsidRPr="00255659">
        <w:rPr>
          <w:bCs/>
          <w:szCs w:val="24"/>
          <w:lang w:eastAsia="en-US"/>
        </w:rPr>
        <w:t>s testimony</w:t>
      </w:r>
      <w:r w:rsidRPr="00993C60">
        <w:rPr>
          <w:bCs/>
          <w:szCs w:val="24"/>
          <w:lang w:eastAsia="en-US"/>
        </w:rPr>
        <w:t>.</w:t>
      </w:r>
    </w:p>
    <w:p w:rsidR="00193FEC" w:rsidRDefault="00993C60" w:rsidP="00193FEC">
      <w:pPr>
        <w:pStyle w:val="answer"/>
        <w:rPr>
          <w:rFonts w:eastAsia="SimSun"/>
        </w:rPr>
      </w:pPr>
      <w:r w:rsidRPr="00255659">
        <w:rPr>
          <w:rFonts w:eastAsia="SimSun"/>
        </w:rPr>
        <w:t>A.</w:t>
      </w:r>
      <w:r w:rsidRPr="00255659">
        <w:rPr>
          <w:rFonts w:eastAsia="SimSun"/>
        </w:rPr>
        <w:tab/>
        <w:t xml:space="preserve">Although I agree with several of </w:t>
      </w:r>
      <w:r w:rsidR="004C03EA" w:rsidRPr="00255659">
        <w:rPr>
          <w:rFonts w:eastAsia="SimSun"/>
        </w:rPr>
        <w:t>Mr.</w:t>
      </w:r>
      <w:r w:rsidR="004C03EA">
        <w:rPr>
          <w:rFonts w:eastAsia="SimSun"/>
        </w:rPr>
        <w:t> </w:t>
      </w:r>
      <w:r w:rsidRPr="00255659">
        <w:rPr>
          <w:rFonts w:eastAsia="SimSun"/>
        </w:rPr>
        <w:t>Parcell</w:t>
      </w:r>
      <w:r w:rsidR="00255659">
        <w:rPr>
          <w:rFonts w:eastAsia="SimSun"/>
        </w:rPr>
        <w:t>’</w:t>
      </w:r>
      <w:r w:rsidRPr="00255659">
        <w:rPr>
          <w:rFonts w:eastAsia="SimSun"/>
        </w:rPr>
        <w:t>s methodologies, I have the following comments:</w:t>
      </w:r>
    </w:p>
    <w:p w:rsidR="00193FEC" w:rsidRDefault="00993C60" w:rsidP="00193FEC">
      <w:pPr>
        <w:pStyle w:val="answer"/>
        <w:ind w:left="1440"/>
        <w:rPr>
          <w:lang w:eastAsia="en-US"/>
        </w:rPr>
      </w:pPr>
      <w:r w:rsidRPr="00993C60">
        <w:rPr>
          <w:lang w:eastAsia="en-US"/>
        </w:rPr>
        <w:t>1.</w:t>
      </w:r>
      <w:r w:rsidRPr="00993C60">
        <w:rPr>
          <w:b/>
          <w:lang w:eastAsia="en-US"/>
        </w:rPr>
        <w:tab/>
      </w:r>
      <w:r w:rsidR="004C03EA" w:rsidRPr="004C03EA">
        <w:rPr>
          <w:rFonts w:eastAsia="SimSun"/>
          <w:b/>
          <w:u w:val="single"/>
        </w:rPr>
        <w:t>Mr.</w:t>
      </w:r>
      <w:r w:rsidR="004C03EA" w:rsidRPr="004C03EA">
        <w:rPr>
          <w:rFonts w:eastAsia="SimSun"/>
          <w:u w:val="single"/>
        </w:rPr>
        <w:t> </w:t>
      </w:r>
      <w:r w:rsidRPr="004C03EA">
        <w:rPr>
          <w:b/>
          <w:u w:val="single"/>
          <w:lang w:eastAsia="en-US"/>
        </w:rPr>
        <w:t xml:space="preserve">Parcell </w:t>
      </w:r>
      <w:r w:rsidRPr="00993C60">
        <w:rPr>
          <w:b/>
          <w:u w:val="single"/>
          <w:lang w:eastAsia="en-US"/>
        </w:rPr>
        <w:t>understates dividend yield by using a spot dividend yield inflated by one-half of the expected dividend growth</w:t>
      </w:r>
      <w:r w:rsidRPr="00993C60">
        <w:rPr>
          <w:b/>
          <w:lang w:eastAsia="en-US"/>
        </w:rPr>
        <w:t>.</w:t>
      </w:r>
      <w:r w:rsidR="00C91CE2">
        <w:rPr>
          <w:lang w:eastAsia="en-US"/>
        </w:rPr>
        <w:t xml:space="preserve"> </w:t>
      </w:r>
      <w:r w:rsidR="004C03EA" w:rsidRPr="00255659">
        <w:rPr>
          <w:rFonts w:eastAsia="SimSun"/>
        </w:rPr>
        <w:t>Mr.</w:t>
      </w:r>
      <w:r w:rsidR="004C03EA">
        <w:rPr>
          <w:rFonts w:eastAsia="SimSun"/>
        </w:rPr>
        <w:t> </w:t>
      </w:r>
      <w:r w:rsidRPr="00993C60">
        <w:rPr>
          <w:lang w:eastAsia="en-US"/>
        </w:rPr>
        <w:t>Parcell</w:t>
      </w:r>
      <w:r w:rsidR="00255659">
        <w:rPr>
          <w:lang w:eastAsia="en-US"/>
        </w:rPr>
        <w:t>’</w:t>
      </w:r>
      <w:r w:rsidRPr="00993C60">
        <w:rPr>
          <w:lang w:eastAsia="en-US"/>
        </w:rPr>
        <w:t>s dividend yield component is understated because it is not consistent with the annual form of the DCF model.</w:t>
      </w:r>
      <w:r w:rsidR="00C91CE2">
        <w:rPr>
          <w:lang w:eastAsia="en-US"/>
        </w:rPr>
        <w:t xml:space="preserve"> </w:t>
      </w:r>
      <w:r w:rsidRPr="00993C60">
        <w:rPr>
          <w:lang w:eastAsia="en-US"/>
        </w:rPr>
        <w:t>It is inappropriate to increase the dividend yield by adding one-half of the future growth rate (1 + ½ g) to the spot dividend yield.</w:t>
      </w:r>
      <w:r w:rsidR="00C91CE2">
        <w:rPr>
          <w:lang w:eastAsia="en-US"/>
        </w:rPr>
        <w:t xml:space="preserve"> </w:t>
      </w:r>
      <w:r w:rsidRPr="00993C60">
        <w:rPr>
          <w:lang w:eastAsia="en-US"/>
        </w:rPr>
        <w:t>The appropriate manner of computing the expected dividend yield when using the basic annual DCF model is to add the full growth rate rather than one-half of the growth rate.</w:t>
      </w:r>
      <w:r w:rsidR="00C91CE2">
        <w:rPr>
          <w:lang w:eastAsia="en-US"/>
        </w:rPr>
        <w:t xml:space="preserve"> </w:t>
      </w:r>
      <w:r w:rsidRPr="00993C60">
        <w:rPr>
          <w:lang w:eastAsia="en-US"/>
        </w:rPr>
        <w:t>This adjustment also allows for the failure of the annual DCF model to allow for the quarterly timing of dividend payments.</w:t>
      </w:r>
      <w:r w:rsidR="00C91CE2">
        <w:rPr>
          <w:lang w:eastAsia="en-US"/>
        </w:rPr>
        <w:t xml:space="preserve"> </w:t>
      </w:r>
      <w:r w:rsidR="00193FEC">
        <w:rPr>
          <w:lang w:eastAsia="en-US"/>
        </w:rPr>
        <w:t>As previously discussed in Section II.B.1., t</w:t>
      </w:r>
      <w:r w:rsidRPr="00993C60">
        <w:rPr>
          <w:lang w:eastAsia="en-US"/>
        </w:rPr>
        <w:t xml:space="preserve">his error understates the DCF results by some </w:t>
      </w:r>
      <w:r w:rsidR="00193FEC">
        <w:rPr>
          <w:lang w:eastAsia="en-US"/>
        </w:rPr>
        <w:t>1</w:t>
      </w:r>
      <w:r w:rsidRPr="00993C60">
        <w:rPr>
          <w:lang w:eastAsia="en-US"/>
        </w:rPr>
        <w:t>0 basis points</w:t>
      </w:r>
      <w:r w:rsidR="00193FEC">
        <w:rPr>
          <w:lang w:eastAsia="en-US"/>
        </w:rPr>
        <w:t xml:space="preserve"> (i.e., 0.1 percent)</w:t>
      </w:r>
      <w:r w:rsidRPr="00993C60">
        <w:rPr>
          <w:lang w:eastAsia="en-US"/>
        </w:rPr>
        <w:t>.</w:t>
      </w:r>
    </w:p>
    <w:p w:rsidR="00193FEC" w:rsidRDefault="00993C60" w:rsidP="00193FEC">
      <w:pPr>
        <w:pStyle w:val="answer"/>
        <w:ind w:left="1440"/>
        <w:rPr>
          <w:lang w:eastAsia="en-US"/>
        </w:rPr>
      </w:pPr>
      <w:r w:rsidRPr="00993C60">
        <w:rPr>
          <w:lang w:eastAsia="en-US"/>
        </w:rPr>
        <w:t>2.</w:t>
      </w:r>
      <w:r w:rsidRPr="00993C60">
        <w:rPr>
          <w:b/>
          <w:lang w:eastAsia="en-US"/>
        </w:rPr>
        <w:tab/>
      </w:r>
      <w:r w:rsidR="004C03EA" w:rsidRPr="004C03EA">
        <w:rPr>
          <w:rFonts w:eastAsia="SimSun"/>
          <w:b/>
          <w:u w:val="single"/>
        </w:rPr>
        <w:t>Mr. </w:t>
      </w:r>
      <w:r w:rsidRPr="004C03EA">
        <w:rPr>
          <w:b/>
          <w:u w:val="single"/>
          <w:lang w:eastAsia="en-US"/>
        </w:rPr>
        <w:t>P</w:t>
      </w:r>
      <w:r w:rsidRPr="00993C60">
        <w:rPr>
          <w:b/>
          <w:u w:val="single"/>
          <w:lang w:eastAsia="en-US"/>
        </w:rPr>
        <w:t>arcell uses the retention growth method, a method that should be given little, if any, weight</w:t>
      </w:r>
      <w:r w:rsidRPr="00993C60">
        <w:rPr>
          <w:b/>
          <w:lang w:eastAsia="en-US"/>
        </w:rPr>
        <w:t>.</w:t>
      </w:r>
      <w:r w:rsidR="00C91CE2">
        <w:rPr>
          <w:lang w:eastAsia="en-US"/>
        </w:rPr>
        <w:t xml:space="preserve"> </w:t>
      </w:r>
      <w:r w:rsidRPr="00993C60">
        <w:rPr>
          <w:lang w:eastAsia="en-US"/>
        </w:rPr>
        <w:t>The retention growth method for estimating the growth component of the DCF calculation is suspect because one is forced to assume the answer to implement the method.</w:t>
      </w:r>
      <w:r w:rsidR="00C91CE2">
        <w:rPr>
          <w:lang w:eastAsia="en-US"/>
        </w:rPr>
        <w:t xml:space="preserve"> </w:t>
      </w:r>
      <w:r w:rsidRPr="00993C60">
        <w:rPr>
          <w:lang w:eastAsia="en-US"/>
        </w:rPr>
        <w:t xml:space="preserve">From </w:t>
      </w:r>
      <w:r w:rsidR="004C03EA" w:rsidRPr="00255659">
        <w:rPr>
          <w:rFonts w:eastAsia="SimSun"/>
        </w:rPr>
        <w:t>Mr.</w:t>
      </w:r>
      <w:r w:rsidR="004C03EA">
        <w:rPr>
          <w:rFonts w:eastAsia="SimSun"/>
        </w:rPr>
        <w:t> </w:t>
      </w:r>
      <w:r w:rsidRPr="00993C60">
        <w:rPr>
          <w:lang w:eastAsia="en-US"/>
        </w:rPr>
        <w:t>Parcell</w:t>
      </w:r>
      <w:r w:rsidR="00255659">
        <w:rPr>
          <w:lang w:eastAsia="en-US"/>
        </w:rPr>
        <w:t>’</w:t>
      </w:r>
      <w:r w:rsidRPr="00993C60">
        <w:rPr>
          <w:lang w:eastAsia="en-US"/>
        </w:rPr>
        <w:t>s own evidence, investors expect substantially higher returns for utilities than what he recommends.</w:t>
      </w:r>
    </w:p>
    <w:p w:rsidR="00193FEC" w:rsidRDefault="00993C60" w:rsidP="00193FEC">
      <w:pPr>
        <w:pStyle w:val="answer"/>
        <w:ind w:left="1440"/>
        <w:rPr>
          <w:lang w:eastAsia="en-US"/>
        </w:rPr>
      </w:pPr>
      <w:r w:rsidRPr="00993C60">
        <w:rPr>
          <w:lang w:eastAsia="en-US"/>
        </w:rPr>
        <w:lastRenderedPageBreak/>
        <w:t>3.</w:t>
      </w:r>
      <w:r w:rsidRPr="00993C60">
        <w:rPr>
          <w:b/>
          <w:lang w:eastAsia="en-US"/>
        </w:rPr>
        <w:tab/>
      </w:r>
      <w:r w:rsidR="004C03EA" w:rsidRPr="004C03EA">
        <w:rPr>
          <w:rFonts w:eastAsia="SimSun"/>
          <w:b/>
          <w:u w:val="single"/>
        </w:rPr>
        <w:t>Mr.</w:t>
      </w:r>
      <w:r w:rsidR="004C03EA" w:rsidRPr="004C03EA">
        <w:rPr>
          <w:rFonts w:eastAsia="SimSun"/>
          <w:u w:val="single"/>
        </w:rPr>
        <w:t> </w:t>
      </w:r>
      <w:r w:rsidRPr="004C03EA">
        <w:rPr>
          <w:b/>
          <w:u w:val="single"/>
          <w:lang w:eastAsia="en-US"/>
        </w:rPr>
        <w:t>P</w:t>
      </w:r>
      <w:r w:rsidRPr="00993C60">
        <w:rPr>
          <w:b/>
          <w:u w:val="single"/>
          <w:lang w:eastAsia="en-US"/>
        </w:rPr>
        <w:t>arcell</w:t>
      </w:r>
      <w:r w:rsidR="00255659">
        <w:rPr>
          <w:b/>
          <w:u w:val="single"/>
          <w:lang w:eastAsia="en-US"/>
        </w:rPr>
        <w:t>’</w:t>
      </w:r>
      <w:r w:rsidRPr="00993C60">
        <w:rPr>
          <w:b/>
          <w:u w:val="single"/>
          <w:lang w:eastAsia="en-US"/>
        </w:rPr>
        <w:t>s historical growth rates should be given little, if any weight</w:t>
      </w:r>
      <w:r w:rsidRPr="00993C60">
        <w:rPr>
          <w:b/>
          <w:lang w:eastAsia="en-US"/>
        </w:rPr>
        <w:t>.</w:t>
      </w:r>
      <w:r w:rsidR="00C91CE2">
        <w:rPr>
          <w:lang w:eastAsia="en-US"/>
        </w:rPr>
        <w:t xml:space="preserve"> </w:t>
      </w:r>
      <w:r w:rsidRPr="00993C60">
        <w:rPr>
          <w:lang w:eastAsia="en-US"/>
        </w:rPr>
        <w:t xml:space="preserve">Investors are expecting substantially higher growth rates than </w:t>
      </w:r>
      <w:r w:rsidR="004C03EA" w:rsidRPr="00255659">
        <w:rPr>
          <w:rFonts w:eastAsia="SimSun"/>
        </w:rPr>
        <w:t>Mr.</w:t>
      </w:r>
      <w:r w:rsidR="004C03EA">
        <w:rPr>
          <w:rFonts w:eastAsia="SimSun"/>
        </w:rPr>
        <w:t> </w:t>
      </w:r>
      <w:r w:rsidRPr="00993C60">
        <w:rPr>
          <w:lang w:eastAsia="en-US"/>
        </w:rPr>
        <w:t>Parcell</w:t>
      </w:r>
      <w:r w:rsidR="00255659">
        <w:rPr>
          <w:lang w:eastAsia="en-US"/>
        </w:rPr>
        <w:t>’</w:t>
      </w:r>
      <w:r w:rsidRPr="00993C60">
        <w:rPr>
          <w:lang w:eastAsia="en-US"/>
        </w:rPr>
        <w:t>s growth rates for the sample companies.</w:t>
      </w:r>
      <w:r w:rsidR="00C91CE2">
        <w:rPr>
          <w:lang w:eastAsia="en-US"/>
        </w:rPr>
        <w:t xml:space="preserve"> </w:t>
      </w:r>
      <w:r w:rsidRPr="00993C60">
        <w:rPr>
          <w:lang w:eastAsia="en-US"/>
        </w:rPr>
        <w:t>Using analysts</w:t>
      </w:r>
      <w:r w:rsidR="00255659">
        <w:rPr>
          <w:lang w:eastAsia="en-US"/>
        </w:rPr>
        <w:t>’</w:t>
      </w:r>
      <w:r w:rsidRPr="00993C60">
        <w:rPr>
          <w:lang w:eastAsia="en-US"/>
        </w:rPr>
        <w:t xml:space="preserve"> consensus growth forecasts increases the DCF estimate of the cost of common equity by 130</w:t>
      </w:r>
      <w:r w:rsidR="00193FEC">
        <w:rPr>
          <w:lang w:eastAsia="en-US"/>
        </w:rPr>
        <w:t> </w:t>
      </w:r>
      <w:r w:rsidRPr="00993C60">
        <w:rPr>
          <w:lang w:eastAsia="en-US"/>
        </w:rPr>
        <w:t>basis points (1.30</w:t>
      </w:r>
      <w:r w:rsidR="00DD2B52">
        <w:rPr>
          <w:lang w:eastAsia="en-US"/>
        </w:rPr>
        <w:t> percent</w:t>
      </w:r>
      <w:r w:rsidRPr="00993C60">
        <w:rPr>
          <w:lang w:eastAsia="en-US"/>
        </w:rPr>
        <w:t>).</w:t>
      </w:r>
    </w:p>
    <w:p w:rsidR="00193FEC" w:rsidRDefault="00993C60" w:rsidP="00193FEC">
      <w:pPr>
        <w:pStyle w:val="answer"/>
        <w:ind w:left="1440"/>
        <w:rPr>
          <w:lang w:eastAsia="en-US"/>
        </w:rPr>
      </w:pPr>
      <w:r w:rsidRPr="00993C60">
        <w:rPr>
          <w:lang w:eastAsia="en-US"/>
        </w:rPr>
        <w:t>4.</w:t>
      </w:r>
      <w:r w:rsidRPr="00993C60">
        <w:rPr>
          <w:b/>
          <w:lang w:eastAsia="en-US"/>
        </w:rPr>
        <w:tab/>
      </w:r>
      <w:r w:rsidR="004C03EA" w:rsidRPr="004C03EA">
        <w:rPr>
          <w:rFonts w:eastAsia="SimSun"/>
          <w:b/>
          <w:u w:val="single"/>
        </w:rPr>
        <w:t>Mr. </w:t>
      </w:r>
      <w:r w:rsidRPr="004C03EA">
        <w:rPr>
          <w:b/>
          <w:u w:val="single"/>
          <w:lang w:eastAsia="en-US"/>
        </w:rPr>
        <w:t>P</w:t>
      </w:r>
      <w:r w:rsidRPr="00993C60">
        <w:rPr>
          <w:b/>
          <w:u w:val="single"/>
          <w:lang w:eastAsia="en-US"/>
        </w:rPr>
        <w:t>arcell</w:t>
      </w:r>
      <w:r w:rsidR="00255659">
        <w:rPr>
          <w:b/>
          <w:u w:val="single"/>
          <w:lang w:eastAsia="en-US"/>
        </w:rPr>
        <w:t>’</w:t>
      </w:r>
      <w:r w:rsidRPr="00993C60">
        <w:rPr>
          <w:b/>
          <w:u w:val="single"/>
          <w:lang w:eastAsia="en-US"/>
        </w:rPr>
        <w:t>s CAPM results should be given very little, if any, weight</w:t>
      </w:r>
      <w:r w:rsidRPr="00993C60">
        <w:rPr>
          <w:b/>
          <w:lang w:eastAsia="en-US"/>
        </w:rPr>
        <w:t>.</w:t>
      </w:r>
      <w:r w:rsidR="00C91CE2">
        <w:rPr>
          <w:lang w:eastAsia="en-US"/>
        </w:rPr>
        <w:t xml:space="preserve"> </w:t>
      </w:r>
      <w:r w:rsidRPr="00993C60">
        <w:rPr>
          <w:lang w:eastAsia="en-US"/>
        </w:rPr>
        <w:t>CAPM results should be accorded little, if any, weight.</w:t>
      </w:r>
    </w:p>
    <w:p w:rsidR="00193FEC" w:rsidRDefault="00993C60" w:rsidP="00193FEC">
      <w:pPr>
        <w:pStyle w:val="answer"/>
        <w:ind w:left="1440"/>
        <w:rPr>
          <w:lang w:eastAsia="en-US"/>
        </w:rPr>
      </w:pPr>
      <w:r w:rsidRPr="00993C60">
        <w:rPr>
          <w:lang w:eastAsia="en-US"/>
        </w:rPr>
        <w:t>5.</w:t>
      </w:r>
      <w:r w:rsidRPr="00993C60">
        <w:rPr>
          <w:b/>
          <w:lang w:eastAsia="en-US"/>
        </w:rPr>
        <w:tab/>
      </w:r>
      <w:r w:rsidR="004C03EA" w:rsidRPr="004C03EA">
        <w:rPr>
          <w:rFonts w:eastAsia="SimSun"/>
          <w:b/>
          <w:u w:val="single"/>
        </w:rPr>
        <w:t>Mr. </w:t>
      </w:r>
      <w:r w:rsidRPr="004C03EA">
        <w:rPr>
          <w:b/>
          <w:u w:val="single"/>
          <w:lang w:eastAsia="en-US"/>
        </w:rPr>
        <w:t>P</w:t>
      </w:r>
      <w:r w:rsidRPr="00993C60">
        <w:rPr>
          <w:b/>
          <w:u w:val="single"/>
          <w:lang w:eastAsia="en-US"/>
        </w:rPr>
        <w:t>arcell</w:t>
      </w:r>
      <w:r w:rsidR="00255659">
        <w:rPr>
          <w:b/>
          <w:u w:val="single"/>
          <w:lang w:eastAsia="en-US"/>
        </w:rPr>
        <w:t>’</w:t>
      </w:r>
      <w:r w:rsidRPr="00993C60">
        <w:rPr>
          <w:b/>
          <w:u w:val="single"/>
          <w:lang w:eastAsia="en-US"/>
        </w:rPr>
        <w:t>s risk-free rate proxy in his CAPM analysis is inappropriate</w:t>
      </w:r>
      <w:r w:rsidRPr="00993C60">
        <w:rPr>
          <w:b/>
          <w:lang w:eastAsia="en-US"/>
        </w:rPr>
        <w:t>.</w:t>
      </w:r>
      <w:r w:rsidR="00C91CE2">
        <w:rPr>
          <w:lang w:eastAsia="en-US"/>
        </w:rPr>
        <w:t xml:space="preserve"> </w:t>
      </w:r>
      <w:r w:rsidR="004C03EA" w:rsidRPr="00255659">
        <w:rPr>
          <w:rFonts w:eastAsia="SimSun"/>
        </w:rPr>
        <w:t>Mr.</w:t>
      </w:r>
      <w:r w:rsidR="004C03EA">
        <w:rPr>
          <w:rFonts w:eastAsia="SimSun"/>
        </w:rPr>
        <w:t> </w:t>
      </w:r>
      <w:r w:rsidRPr="00993C60">
        <w:rPr>
          <w:lang w:eastAsia="en-US"/>
        </w:rPr>
        <w:t>Parcell should have relied on projected interest rates rather than on historical spot rates</w:t>
      </w:r>
      <w:r w:rsidR="00193FEC">
        <w:rPr>
          <w:lang w:eastAsia="en-US"/>
        </w:rPr>
        <w:t xml:space="preserve"> in selecting a risk-free rate proxy in his CAPM analysis</w:t>
      </w:r>
      <w:r w:rsidRPr="00993C60">
        <w:rPr>
          <w:lang w:eastAsia="en-US"/>
        </w:rPr>
        <w:t>. Yields on long-term Treasury securities are expected to increase.</w:t>
      </w:r>
      <w:r w:rsidR="00C91CE2">
        <w:rPr>
          <w:lang w:eastAsia="en-US"/>
        </w:rPr>
        <w:t xml:space="preserve"> </w:t>
      </w:r>
      <w:r w:rsidRPr="00993C60">
        <w:rPr>
          <w:lang w:eastAsia="en-US"/>
        </w:rPr>
        <w:t xml:space="preserve">Using the appropriate risk-free rate, </w:t>
      </w:r>
      <w:r w:rsidR="004C03EA" w:rsidRPr="00255659">
        <w:rPr>
          <w:rFonts w:eastAsia="SimSun"/>
        </w:rPr>
        <w:t>Mr.</w:t>
      </w:r>
      <w:r w:rsidR="004C03EA">
        <w:rPr>
          <w:rFonts w:eastAsia="SimSun"/>
        </w:rPr>
        <w:t> </w:t>
      </w:r>
      <w:r w:rsidRPr="00993C60">
        <w:rPr>
          <w:lang w:eastAsia="en-US"/>
        </w:rPr>
        <w:t>Parcell</w:t>
      </w:r>
      <w:r w:rsidR="00255659">
        <w:rPr>
          <w:lang w:eastAsia="en-US"/>
        </w:rPr>
        <w:t>’</w:t>
      </w:r>
      <w:r w:rsidRPr="00993C60">
        <w:rPr>
          <w:lang w:eastAsia="en-US"/>
        </w:rPr>
        <w:t>s CAPM estimates must be raised by 20</w:t>
      </w:r>
      <w:r w:rsidR="00193FEC">
        <w:rPr>
          <w:lang w:eastAsia="en-US"/>
        </w:rPr>
        <w:t> </w:t>
      </w:r>
      <w:r w:rsidRPr="00993C60">
        <w:rPr>
          <w:lang w:eastAsia="en-US"/>
        </w:rPr>
        <w:t xml:space="preserve">basis points </w:t>
      </w:r>
      <w:r w:rsidR="00193FEC">
        <w:rPr>
          <w:lang w:eastAsia="en-US"/>
        </w:rPr>
        <w:t xml:space="preserve">(i.e., 0.2 percent) </w:t>
      </w:r>
      <w:r w:rsidRPr="00993C60">
        <w:rPr>
          <w:lang w:eastAsia="en-US"/>
        </w:rPr>
        <w:t>for this correction alone.</w:t>
      </w:r>
    </w:p>
    <w:p w:rsidR="00193FEC" w:rsidRDefault="00993C60" w:rsidP="00193FEC">
      <w:pPr>
        <w:pStyle w:val="answer"/>
        <w:ind w:left="1440"/>
        <w:rPr>
          <w:lang w:eastAsia="en-US"/>
        </w:rPr>
      </w:pPr>
      <w:r w:rsidRPr="00993C60">
        <w:rPr>
          <w:lang w:eastAsia="en-US"/>
        </w:rPr>
        <w:t>6.</w:t>
      </w:r>
      <w:r w:rsidRPr="00993C60">
        <w:rPr>
          <w:b/>
          <w:lang w:eastAsia="en-US"/>
        </w:rPr>
        <w:tab/>
      </w:r>
      <w:r w:rsidR="004C03EA" w:rsidRPr="004C03EA">
        <w:rPr>
          <w:rFonts w:eastAsia="SimSun"/>
          <w:b/>
          <w:u w:val="single"/>
        </w:rPr>
        <w:t>Mr. </w:t>
      </w:r>
      <w:r w:rsidRPr="004C03EA">
        <w:rPr>
          <w:b/>
          <w:u w:val="single"/>
          <w:lang w:eastAsia="en-US"/>
        </w:rPr>
        <w:t>P</w:t>
      </w:r>
      <w:r w:rsidRPr="00993C60">
        <w:rPr>
          <w:b/>
          <w:u w:val="single"/>
          <w:lang w:eastAsia="en-US"/>
        </w:rPr>
        <w:t>arcell</w:t>
      </w:r>
      <w:r w:rsidR="00255659">
        <w:rPr>
          <w:b/>
          <w:u w:val="single"/>
          <w:lang w:eastAsia="en-US"/>
        </w:rPr>
        <w:t>’</w:t>
      </w:r>
      <w:r w:rsidR="00193FEC">
        <w:rPr>
          <w:b/>
          <w:u w:val="single"/>
          <w:lang w:eastAsia="en-US"/>
        </w:rPr>
        <w:t>s market risk premium of 5.8 percent</w:t>
      </w:r>
      <w:r w:rsidRPr="00993C60">
        <w:rPr>
          <w:b/>
          <w:u w:val="single"/>
          <w:lang w:eastAsia="en-US"/>
        </w:rPr>
        <w:t xml:space="preserve"> understates the market risk premium</w:t>
      </w:r>
      <w:r w:rsidRPr="00993C60">
        <w:rPr>
          <w:b/>
          <w:lang w:eastAsia="en-US"/>
        </w:rPr>
        <w:t>.</w:t>
      </w:r>
      <w:r w:rsidR="00C91CE2">
        <w:rPr>
          <w:lang w:eastAsia="en-US"/>
        </w:rPr>
        <w:t xml:space="preserve"> </w:t>
      </w:r>
      <w:r w:rsidRPr="00993C60">
        <w:rPr>
          <w:lang w:eastAsia="en-US"/>
        </w:rPr>
        <w:t xml:space="preserve">There are conceptual blemishes in </w:t>
      </w:r>
      <w:r w:rsidR="004C03EA" w:rsidRPr="00255659">
        <w:rPr>
          <w:rFonts w:eastAsia="SimSun"/>
        </w:rPr>
        <w:t>Mr.</w:t>
      </w:r>
      <w:r w:rsidR="004C03EA">
        <w:rPr>
          <w:rFonts w:eastAsia="SimSun"/>
        </w:rPr>
        <w:t> </w:t>
      </w:r>
      <w:r w:rsidRPr="00993C60">
        <w:rPr>
          <w:lang w:eastAsia="en-US"/>
        </w:rPr>
        <w:t>Parcell</w:t>
      </w:r>
      <w:r w:rsidR="00255659">
        <w:rPr>
          <w:lang w:eastAsia="en-US"/>
        </w:rPr>
        <w:t>’</w:t>
      </w:r>
      <w:r w:rsidRPr="00993C60">
        <w:rPr>
          <w:lang w:eastAsia="en-US"/>
        </w:rPr>
        <w:t>s three market risk premium proxies.</w:t>
      </w:r>
    </w:p>
    <w:p w:rsidR="00193FEC" w:rsidRPr="00255659" w:rsidRDefault="00193FEC" w:rsidP="00193FEC">
      <w:pPr>
        <w:pStyle w:val="answer"/>
        <w:ind w:left="1440"/>
        <w:rPr>
          <w:lang w:eastAsia="en-US"/>
        </w:rPr>
      </w:pPr>
      <w:bookmarkStart w:id="45" w:name="_Toc248727611"/>
      <w:bookmarkStart w:id="46" w:name="_Toc120165573"/>
      <w:bookmarkStart w:id="47" w:name="_Toc230520069"/>
      <w:r>
        <w:rPr>
          <w:lang w:eastAsia="en-US"/>
        </w:rPr>
        <w:t>7.</w:t>
      </w:r>
      <w:r>
        <w:rPr>
          <w:lang w:eastAsia="en-US"/>
        </w:rPr>
        <w:tab/>
      </w:r>
      <w:r w:rsidRPr="00255659">
        <w:rPr>
          <w:b/>
          <w:szCs w:val="24"/>
          <w:u w:val="single"/>
          <w:lang w:eastAsia="en-US"/>
        </w:rPr>
        <w:t>Unfounded criticisms</w:t>
      </w:r>
      <w:r w:rsidRPr="00255659">
        <w:rPr>
          <w:szCs w:val="24"/>
          <w:lang w:eastAsia="en-US"/>
        </w:rPr>
        <w:t>.</w:t>
      </w:r>
      <w:r>
        <w:rPr>
          <w:szCs w:val="24"/>
          <w:lang w:eastAsia="en-US"/>
        </w:rPr>
        <w:t xml:space="preserve"> </w:t>
      </w:r>
      <w:r>
        <w:rPr>
          <w:lang w:eastAsia="en-US"/>
        </w:rPr>
        <w:t>M</w:t>
      </w:r>
      <w:r w:rsidRPr="00255659">
        <w:rPr>
          <w:lang w:eastAsia="en-US"/>
        </w:rPr>
        <w:t>r.</w:t>
      </w:r>
      <w:r>
        <w:rPr>
          <w:lang w:eastAsia="en-US"/>
        </w:rPr>
        <w:t> </w:t>
      </w:r>
      <w:r>
        <w:rPr>
          <w:szCs w:val="24"/>
          <w:lang w:eastAsia="en-US"/>
        </w:rPr>
        <w:t>Parcell’</w:t>
      </w:r>
      <w:r w:rsidRPr="00255659">
        <w:rPr>
          <w:szCs w:val="24"/>
          <w:lang w:eastAsia="en-US"/>
        </w:rPr>
        <w:t xml:space="preserve">s criticisms of my </w:t>
      </w:r>
      <w:r>
        <w:rPr>
          <w:szCs w:val="24"/>
          <w:lang w:eastAsia="en-US"/>
        </w:rPr>
        <w:t xml:space="preserve">direct </w:t>
      </w:r>
      <w:r w:rsidRPr="00255659">
        <w:rPr>
          <w:szCs w:val="24"/>
          <w:lang w:eastAsia="en-US"/>
        </w:rPr>
        <w:t xml:space="preserve">testimony are unfounded. </w:t>
      </w:r>
    </w:p>
    <w:p w:rsidR="00D25D7C" w:rsidRDefault="00D25D7C" w:rsidP="00D25D7C">
      <w:pPr>
        <w:pStyle w:val="Heading2"/>
        <w:rPr>
          <w:lang w:eastAsia="en-US"/>
        </w:rPr>
      </w:pPr>
      <w:bookmarkStart w:id="48" w:name="_Toc489887882"/>
      <w:r>
        <w:rPr>
          <w:lang w:eastAsia="en-US"/>
        </w:rPr>
        <w:lastRenderedPageBreak/>
        <w:t>A</w:t>
      </w:r>
      <w:r w:rsidRPr="00D6114F">
        <w:rPr>
          <w:lang w:eastAsia="en-US"/>
        </w:rPr>
        <w:t>.</w:t>
      </w:r>
      <w:r w:rsidRPr="00D6114F">
        <w:rPr>
          <w:lang w:eastAsia="en-US"/>
        </w:rPr>
        <w:tab/>
      </w:r>
      <w:r>
        <w:rPr>
          <w:lang w:eastAsia="en-US"/>
        </w:rPr>
        <w:t>M</w:t>
      </w:r>
      <w:r w:rsidRPr="00D6114F">
        <w:rPr>
          <w:lang w:eastAsia="en-US"/>
        </w:rPr>
        <w:t>r.</w:t>
      </w:r>
      <w:r>
        <w:rPr>
          <w:lang w:eastAsia="en-US"/>
        </w:rPr>
        <w:t> Parcell</w:t>
      </w:r>
      <w:r w:rsidRPr="00D6114F">
        <w:rPr>
          <w:lang w:eastAsia="en-US"/>
        </w:rPr>
        <w:t xml:space="preserve">’s DCF Results Should be Given Very Little, If Any, Weight Because </w:t>
      </w:r>
      <w:r>
        <w:rPr>
          <w:lang w:eastAsia="en-US"/>
        </w:rPr>
        <w:t>M</w:t>
      </w:r>
      <w:r w:rsidRPr="00D6114F">
        <w:rPr>
          <w:lang w:eastAsia="en-US"/>
        </w:rPr>
        <w:t>r.</w:t>
      </w:r>
      <w:r>
        <w:rPr>
          <w:lang w:eastAsia="en-US"/>
        </w:rPr>
        <w:t> Parcell</w:t>
      </w:r>
      <w:r w:rsidRPr="00D6114F">
        <w:rPr>
          <w:lang w:eastAsia="en-US"/>
        </w:rPr>
        <w:t xml:space="preserve"> Has Relied on Erroneous Data Inputs</w:t>
      </w:r>
      <w:bookmarkEnd w:id="48"/>
      <w:r w:rsidRPr="00D6114F">
        <w:rPr>
          <w:lang w:eastAsia="en-US"/>
        </w:rPr>
        <w:t xml:space="preserve"> </w:t>
      </w:r>
    </w:p>
    <w:p w:rsidR="00993C60" w:rsidRPr="00255659" w:rsidRDefault="00D25D7C" w:rsidP="00D25D7C">
      <w:pPr>
        <w:pStyle w:val="Heading3"/>
      </w:pPr>
      <w:bookmarkStart w:id="49" w:name="_Toc489887883"/>
      <w:r>
        <w:t>1</w:t>
      </w:r>
      <w:r w:rsidR="00993C60" w:rsidRPr="00255659">
        <w:t>.</w:t>
      </w:r>
      <w:r w:rsidR="00993C60" w:rsidRPr="00255659">
        <w:tab/>
      </w:r>
      <w:r w:rsidR="00E51C96" w:rsidRPr="00255659">
        <w:t>Mr.</w:t>
      </w:r>
      <w:r w:rsidR="00E51C96">
        <w:t> </w:t>
      </w:r>
      <w:r w:rsidR="00993C60" w:rsidRPr="00255659">
        <w:t>Parcell Understates Dividend Yield by Using a Spot Dividend Yield Inflated By One-Half of the Expected Dividend Growth</w:t>
      </w:r>
      <w:bookmarkEnd w:id="45"/>
      <w:bookmarkEnd w:id="49"/>
      <w:r w:rsidR="00993C60" w:rsidRPr="00255659">
        <w:t xml:space="preserve"> </w:t>
      </w:r>
    </w:p>
    <w:bookmarkEnd w:id="46"/>
    <w:bookmarkEnd w:id="47"/>
    <w:p w:rsidR="00993C60" w:rsidRPr="00993C60" w:rsidRDefault="00993C60" w:rsidP="00540A76">
      <w:pPr>
        <w:pStyle w:val="question"/>
      </w:pPr>
      <w:r w:rsidRPr="00255659">
        <w:rPr>
          <w:bCs/>
          <w:szCs w:val="24"/>
          <w:lang w:eastAsia="en-US"/>
        </w:rPr>
        <w:t>Q.</w:t>
      </w:r>
      <w:r w:rsidRPr="00993C60">
        <w:rPr>
          <w:bCs/>
          <w:szCs w:val="24"/>
          <w:lang w:eastAsia="en-US"/>
        </w:rPr>
        <w:tab/>
      </w:r>
      <w:r w:rsidRPr="00255659">
        <w:rPr>
          <w:bCs/>
          <w:szCs w:val="24"/>
          <w:lang w:eastAsia="en-US"/>
        </w:rPr>
        <w:t xml:space="preserve">Please discuss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s dividend yield component in the DCF model</w:t>
      </w:r>
      <w:r w:rsidRPr="00993C60">
        <w:rPr>
          <w:bCs/>
          <w:szCs w:val="24"/>
          <w:lang w:eastAsia="en-US"/>
        </w:rPr>
        <w:t>.</w:t>
      </w:r>
    </w:p>
    <w:p w:rsidR="00993C60" w:rsidRPr="00255659" w:rsidRDefault="00993C60" w:rsidP="00540A76">
      <w:pPr>
        <w:pStyle w:val="answer"/>
        <w:rPr>
          <w:rFonts w:eastAsia="SimSun"/>
        </w:rPr>
      </w:pPr>
      <w:r w:rsidRPr="00255659">
        <w:rPr>
          <w:rFonts w:eastAsia="SimSun"/>
        </w:rPr>
        <w:t>A.</w:t>
      </w:r>
      <w:r w:rsidRPr="00255659">
        <w:rPr>
          <w:rFonts w:eastAsia="SimSun"/>
        </w:rPr>
        <w:tab/>
        <w:t>The annual DCF model states very clearly that the expected rate of return on a stock is equal to the expected dividend at the end of the year divided by the current price of the stock, plus the expected growth rate.</w:t>
      </w:r>
      <w:r w:rsidR="00C91CE2">
        <w:rPr>
          <w:rFonts w:eastAsia="SimSun"/>
        </w:rPr>
        <w:t xml:space="preserve"> </w:t>
      </w:r>
      <w:r w:rsidRPr="00255659">
        <w:rPr>
          <w:rFonts w:eastAsia="SimSun"/>
        </w:rPr>
        <w:t>Thus, the appropriate dividend to use in a DCF model is the full prospective dividend to be received at the end of the year.</w:t>
      </w:r>
      <w:r w:rsidR="00C91CE2">
        <w:rPr>
          <w:rFonts w:eastAsia="SimSun"/>
        </w:rPr>
        <w:t xml:space="preserve"> </w:t>
      </w:r>
      <w:r w:rsidRPr="00255659">
        <w:rPr>
          <w:rFonts w:eastAsia="SimSun"/>
        </w:rPr>
        <w:t xml:space="preserve">As discussed earlier in </w:t>
      </w:r>
      <w:r w:rsidR="00946D50">
        <w:rPr>
          <w:rFonts w:eastAsia="SimSun"/>
        </w:rPr>
        <w:t xml:space="preserve">in Section II.B.1. of this </w:t>
      </w:r>
      <w:r w:rsidR="007D180B">
        <w:rPr>
          <w:rFonts w:eastAsia="SimSun"/>
        </w:rPr>
        <w:t xml:space="preserve">rebuttal </w:t>
      </w:r>
      <w:r w:rsidR="00946D50">
        <w:rPr>
          <w:rFonts w:eastAsia="SimSun"/>
        </w:rPr>
        <w:t>testimony</w:t>
      </w:r>
      <w:r w:rsidRPr="00255659">
        <w:rPr>
          <w:rFonts w:eastAsia="SimSun"/>
        </w:rPr>
        <w:t xml:space="preserve">, </w:t>
      </w:r>
      <w:r w:rsidR="00E51C96" w:rsidRPr="00255659">
        <w:rPr>
          <w:rFonts w:eastAsia="SimSun"/>
        </w:rPr>
        <w:t>Mr.</w:t>
      </w:r>
      <w:r w:rsidR="00E51C96">
        <w:rPr>
          <w:rFonts w:eastAsia="SimSun"/>
        </w:rPr>
        <w:t> </w:t>
      </w:r>
      <w:r w:rsidRPr="00255659">
        <w:rPr>
          <w:rFonts w:eastAsia="SimSun"/>
        </w:rPr>
        <w:t>Parcell</w:t>
      </w:r>
      <w:r w:rsidR="00255659">
        <w:rPr>
          <w:rFonts w:eastAsia="SimSun"/>
        </w:rPr>
        <w:t>’</w:t>
      </w:r>
      <w:r w:rsidRPr="00255659">
        <w:rPr>
          <w:rFonts w:eastAsia="SimSun"/>
        </w:rPr>
        <w:t>s mathematical adjustment fails to measure the full dividend flow expected by the investor and underestimates the cost of equity by approximately 10</w:t>
      </w:r>
      <w:r w:rsidR="00946D50">
        <w:rPr>
          <w:rFonts w:eastAsia="SimSun"/>
        </w:rPr>
        <w:t> </w:t>
      </w:r>
      <w:r w:rsidRPr="00255659">
        <w:rPr>
          <w:rFonts w:eastAsia="SimSun"/>
        </w:rPr>
        <w:t>basis points</w:t>
      </w:r>
      <w:r w:rsidR="00946D50">
        <w:rPr>
          <w:rFonts w:eastAsia="SimSun"/>
        </w:rPr>
        <w:t xml:space="preserve"> (i.e., 0.1 percent)</w:t>
      </w:r>
      <w:r w:rsidRPr="00255659">
        <w:rPr>
          <w:rFonts w:eastAsia="SimSun"/>
        </w:rPr>
        <w:t xml:space="preserve">. </w:t>
      </w:r>
    </w:p>
    <w:p w:rsidR="00993C60" w:rsidRPr="00255659" w:rsidRDefault="00D25D7C" w:rsidP="00D25D7C">
      <w:pPr>
        <w:pStyle w:val="Heading3"/>
      </w:pPr>
      <w:bookmarkStart w:id="50" w:name="_Toc248727612"/>
      <w:bookmarkStart w:id="51" w:name="_Toc120165574"/>
      <w:bookmarkStart w:id="52" w:name="_Toc230520070"/>
      <w:bookmarkStart w:id="53" w:name="_Toc489887884"/>
      <w:r>
        <w:t>2</w:t>
      </w:r>
      <w:r w:rsidR="00993C60" w:rsidRPr="00255659">
        <w:t>.</w:t>
      </w:r>
      <w:r w:rsidR="00993C60" w:rsidRPr="00255659">
        <w:tab/>
      </w:r>
      <w:r w:rsidR="00E51C96" w:rsidRPr="00255659">
        <w:t>Mr.</w:t>
      </w:r>
      <w:r w:rsidR="00E51C96">
        <w:t> </w:t>
      </w:r>
      <w:r w:rsidR="00993C60" w:rsidRPr="00255659">
        <w:t>Parcell Uses the Retention Growth Method, a Method that Should Be Given Little, If Any, Weight</w:t>
      </w:r>
      <w:bookmarkEnd w:id="50"/>
      <w:bookmarkEnd w:id="53"/>
      <w:r w:rsidR="00993C60" w:rsidRPr="00255659">
        <w:t xml:space="preserve"> </w:t>
      </w:r>
    </w:p>
    <w:bookmarkEnd w:id="51"/>
    <w:bookmarkEnd w:id="52"/>
    <w:p w:rsidR="00993C60" w:rsidRPr="00993C60" w:rsidRDefault="00993C60" w:rsidP="00540A76">
      <w:pPr>
        <w:pStyle w:val="question"/>
      </w:pPr>
      <w:r w:rsidRPr="00993C60">
        <w:rPr>
          <w:bCs/>
          <w:szCs w:val="24"/>
          <w:lang w:eastAsia="en-US"/>
        </w:rPr>
        <w:t>Q.</w:t>
      </w:r>
      <w:r w:rsidRPr="00993C60">
        <w:rPr>
          <w:bCs/>
          <w:szCs w:val="24"/>
          <w:lang w:eastAsia="en-US"/>
        </w:rPr>
        <w:tab/>
      </w:r>
      <w:r w:rsidRPr="00255659">
        <w:rPr>
          <w:bCs/>
          <w:szCs w:val="24"/>
          <w:lang w:eastAsia="en-US"/>
        </w:rPr>
        <w:t xml:space="preserve">Please describe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s methodology for specifying the growth component of the DCF model</w:t>
      </w:r>
      <w:r w:rsidRPr="00993C60">
        <w:rPr>
          <w:bCs/>
          <w:szCs w:val="24"/>
          <w:lang w:eastAsia="en-US"/>
        </w:rPr>
        <w:t>.</w:t>
      </w:r>
    </w:p>
    <w:p w:rsidR="00993C60" w:rsidRPr="00255659" w:rsidRDefault="00993C60" w:rsidP="00540A76">
      <w:pPr>
        <w:pStyle w:val="answer"/>
        <w:rPr>
          <w:rFonts w:eastAsia="SimSun"/>
        </w:rPr>
      </w:pPr>
      <w:r w:rsidRPr="00255659">
        <w:rPr>
          <w:rFonts w:eastAsia="SimSun"/>
        </w:rPr>
        <w:t>A.</w:t>
      </w:r>
      <w:r w:rsidRPr="00255659">
        <w:rPr>
          <w:rFonts w:eastAsia="SimSun"/>
        </w:rPr>
        <w:tab/>
      </w:r>
      <w:r w:rsidR="00E51C96" w:rsidRPr="00255659">
        <w:rPr>
          <w:rFonts w:eastAsia="SimSun"/>
        </w:rPr>
        <w:t>Mr.</w:t>
      </w:r>
      <w:r w:rsidR="00E51C96">
        <w:rPr>
          <w:rFonts w:eastAsia="SimSun"/>
        </w:rPr>
        <w:t> </w:t>
      </w:r>
      <w:r w:rsidRPr="00255659">
        <w:rPr>
          <w:rFonts w:eastAsia="SimSun"/>
        </w:rPr>
        <w:t xml:space="preserve">Parcell employs five proxies as a proxy for the expected growth component of the DCF model: (i) historical earnings retention ratio, (ii) projected earnings retention ratio, (iii) five-year historical growth rates in dividends, earnings, and </w:t>
      </w:r>
      <w:r w:rsidRPr="00255659">
        <w:rPr>
          <w:rFonts w:eastAsia="SimSun"/>
        </w:rPr>
        <w:lastRenderedPageBreak/>
        <w:t>book value, (iv) projected growth rates in dividends, earnings, and book value, and (v) analysts</w:t>
      </w:r>
      <w:r w:rsidR="00255659">
        <w:rPr>
          <w:rFonts w:eastAsia="SimSun"/>
        </w:rPr>
        <w:t>’</w:t>
      </w:r>
      <w:r w:rsidRPr="00255659">
        <w:rPr>
          <w:rFonts w:eastAsia="SimSun"/>
        </w:rPr>
        <w:t xml:space="preserve"> forecasts of EPS growth as reported in First Call.</w:t>
      </w:r>
      <w:r w:rsidR="00946D50">
        <w:rPr>
          <w:rStyle w:val="FootnoteReference"/>
          <w:rFonts w:eastAsia="SimSun"/>
        </w:rPr>
        <w:footnoteReference w:id="71"/>
      </w:r>
    </w:p>
    <w:p w:rsidR="00993C60" w:rsidRPr="00993C60" w:rsidRDefault="00993C60" w:rsidP="00540A76">
      <w:pPr>
        <w:pStyle w:val="question"/>
      </w:pPr>
      <w:r w:rsidRPr="00993C60">
        <w:rPr>
          <w:bCs/>
          <w:szCs w:val="24"/>
          <w:lang w:eastAsia="en-US"/>
        </w:rPr>
        <w:t>Q.</w:t>
      </w:r>
      <w:r w:rsidRPr="00993C60">
        <w:rPr>
          <w:bCs/>
          <w:szCs w:val="24"/>
          <w:lang w:eastAsia="en-US"/>
        </w:rPr>
        <w:tab/>
      </w:r>
      <w:r w:rsidRPr="00255659">
        <w:rPr>
          <w:bCs/>
          <w:szCs w:val="24"/>
          <w:lang w:eastAsia="en-US"/>
        </w:rPr>
        <w:t xml:space="preserve">Can you comment on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s earnings retention growth estimate in the DCF model</w:t>
      </w:r>
      <w:r w:rsidRPr="00993C60">
        <w:rPr>
          <w:bCs/>
          <w:szCs w:val="24"/>
          <w:lang w:eastAsia="en-US"/>
        </w:rPr>
        <w:t xml:space="preserve">? </w:t>
      </w:r>
    </w:p>
    <w:p w:rsidR="00993C60" w:rsidRPr="00255659" w:rsidRDefault="00993C60" w:rsidP="00540A76">
      <w:pPr>
        <w:pStyle w:val="answer"/>
        <w:rPr>
          <w:rFonts w:eastAsia="SimSun"/>
        </w:rPr>
      </w:pPr>
      <w:r w:rsidRPr="00255659">
        <w:rPr>
          <w:rFonts w:eastAsia="SimSun"/>
        </w:rPr>
        <w:t>A.</w:t>
      </w:r>
      <w:r w:rsidRPr="00255659">
        <w:rPr>
          <w:rFonts w:eastAsia="SimSun"/>
        </w:rPr>
        <w:tab/>
      </w:r>
      <w:r w:rsidR="000A7F0F">
        <w:rPr>
          <w:rFonts w:eastAsia="SimSun"/>
        </w:rPr>
        <w:t xml:space="preserve">The retention growth methodology used by Mr. Parcell is similar to the sustainable growth methodology used by Dr. Woolridge. </w:t>
      </w:r>
      <w:r w:rsidRPr="00255659">
        <w:rPr>
          <w:rFonts w:eastAsia="SimSun"/>
        </w:rPr>
        <w:t xml:space="preserve">As discussed earlier in rebuttal of </w:t>
      </w:r>
      <w:r w:rsidR="004C03EA" w:rsidRPr="00255659">
        <w:rPr>
          <w:lang w:eastAsia="en-US"/>
        </w:rPr>
        <w:t>Dr.</w:t>
      </w:r>
      <w:r w:rsidR="004C03EA">
        <w:rPr>
          <w:lang w:eastAsia="en-US"/>
        </w:rPr>
        <w:t> </w:t>
      </w:r>
      <w:r w:rsidRPr="00255659">
        <w:rPr>
          <w:rFonts w:eastAsia="SimSun"/>
        </w:rPr>
        <w:t>Woolridge</w:t>
      </w:r>
      <w:r w:rsidR="000A7F0F">
        <w:rPr>
          <w:rFonts w:eastAsia="SimSun"/>
        </w:rPr>
        <w:t>’s sustainable growth methodology in Section II.B.3. of this rebuttal testimony</w:t>
      </w:r>
      <w:r w:rsidRPr="00255659">
        <w:rPr>
          <w:rFonts w:eastAsia="SimSun"/>
        </w:rPr>
        <w:t>, the retention growth method has several conceptual and empirical infirmities, and the results of this method should b</w:t>
      </w:r>
      <w:r w:rsidR="000A7F0F">
        <w:rPr>
          <w:rFonts w:eastAsia="SimSun"/>
        </w:rPr>
        <w:t>e given little, if any, weight.</w:t>
      </w:r>
    </w:p>
    <w:p w:rsidR="00993C60" w:rsidRPr="00255659" w:rsidRDefault="00D25D7C" w:rsidP="00D25D7C">
      <w:pPr>
        <w:pStyle w:val="Heading3"/>
      </w:pPr>
      <w:bookmarkStart w:id="54" w:name="_Toc248727613"/>
      <w:bookmarkStart w:id="55" w:name="_Toc120165575"/>
      <w:bookmarkStart w:id="56" w:name="_Toc230520071"/>
      <w:bookmarkStart w:id="57" w:name="_Toc489887885"/>
      <w:r>
        <w:t>3</w:t>
      </w:r>
      <w:r w:rsidR="00993C60" w:rsidRPr="00255659">
        <w:t>.</w:t>
      </w:r>
      <w:r w:rsidR="00993C60" w:rsidRPr="00255659">
        <w:tab/>
      </w:r>
      <w:r w:rsidR="00E51C96" w:rsidRPr="00255659">
        <w:t>Mr.</w:t>
      </w:r>
      <w:r w:rsidR="00E51C96">
        <w:t> </w:t>
      </w:r>
      <w:r w:rsidR="00993C60" w:rsidRPr="00255659">
        <w:t>Parcell</w:t>
      </w:r>
      <w:r w:rsidR="00255659">
        <w:t>’</w:t>
      </w:r>
      <w:r w:rsidR="00993C60" w:rsidRPr="00255659">
        <w:t>s Historical Growth Rates Should Be Given Little, If Any, Weight</w:t>
      </w:r>
      <w:bookmarkEnd w:id="54"/>
      <w:bookmarkEnd w:id="57"/>
    </w:p>
    <w:bookmarkEnd w:id="55"/>
    <w:bookmarkEnd w:id="56"/>
    <w:p w:rsidR="00993C60" w:rsidRPr="00993C60" w:rsidRDefault="00993C60" w:rsidP="00540A76">
      <w:pPr>
        <w:pStyle w:val="question"/>
      </w:pPr>
      <w:r w:rsidRPr="00993C60">
        <w:rPr>
          <w:bCs/>
          <w:szCs w:val="24"/>
          <w:lang w:eastAsia="en-US"/>
        </w:rPr>
        <w:t>Q.</w:t>
      </w:r>
      <w:r w:rsidRPr="00993C60">
        <w:rPr>
          <w:bCs/>
          <w:szCs w:val="24"/>
          <w:lang w:eastAsia="en-US"/>
        </w:rPr>
        <w:tab/>
      </w:r>
      <w:r w:rsidRPr="00255659">
        <w:rPr>
          <w:bCs/>
          <w:szCs w:val="24"/>
          <w:lang w:eastAsia="en-US"/>
        </w:rPr>
        <w:t>Are historical growth rates of electric utilities reliable proxies for expected future growth</w:t>
      </w:r>
      <w:r w:rsidRPr="00993C60">
        <w:rPr>
          <w:bCs/>
          <w:szCs w:val="24"/>
          <w:lang w:eastAsia="en-US"/>
        </w:rPr>
        <w:t>?</w:t>
      </w:r>
    </w:p>
    <w:p w:rsidR="00572193" w:rsidRPr="00255659" w:rsidRDefault="00993C60" w:rsidP="00540A76">
      <w:pPr>
        <w:pStyle w:val="answer"/>
        <w:rPr>
          <w:rFonts w:eastAsia="SimSun"/>
        </w:rPr>
      </w:pPr>
      <w:r w:rsidRPr="00255659">
        <w:rPr>
          <w:rFonts w:eastAsia="SimSun"/>
        </w:rPr>
        <w:t>A.</w:t>
      </w:r>
      <w:r w:rsidRPr="00255659">
        <w:rPr>
          <w:rFonts w:eastAsia="SimSun"/>
        </w:rPr>
        <w:tab/>
        <w:t>No.</w:t>
      </w:r>
      <w:r w:rsidR="00C91CE2">
        <w:rPr>
          <w:rFonts w:eastAsia="SimSun"/>
        </w:rPr>
        <w:t xml:space="preserve"> </w:t>
      </w:r>
      <w:r w:rsidRPr="00255659">
        <w:rPr>
          <w:rFonts w:eastAsia="SimSun"/>
        </w:rPr>
        <w:t>Historical growth rates of electric utilities are not reliable proxies for expected future growth.</w:t>
      </w:r>
      <w:r w:rsidR="00C91CE2">
        <w:rPr>
          <w:rFonts w:eastAsia="SimSun"/>
        </w:rPr>
        <w:t xml:space="preserve"> </w:t>
      </w:r>
      <w:r w:rsidR="00E51C96" w:rsidRPr="00255659">
        <w:rPr>
          <w:rFonts w:eastAsia="SimSun"/>
        </w:rPr>
        <w:t>Mr.</w:t>
      </w:r>
      <w:r w:rsidR="00E51C96">
        <w:rPr>
          <w:rFonts w:eastAsia="SimSun"/>
        </w:rPr>
        <w:t> </w:t>
      </w:r>
      <w:r w:rsidRPr="00255659">
        <w:rPr>
          <w:rFonts w:eastAsia="SimSun"/>
        </w:rPr>
        <w:t>Parcell uses historical growth rates in dividends, earnings, and book value as proxies for expected growth.</w:t>
      </w:r>
      <w:r w:rsidR="000A7F0F">
        <w:rPr>
          <w:rStyle w:val="FootnoteReference"/>
          <w:rFonts w:eastAsia="SimSun"/>
        </w:rPr>
        <w:footnoteReference w:id="72"/>
      </w:r>
    </w:p>
    <w:p w:rsidR="00572193" w:rsidRPr="00255659" w:rsidRDefault="00993C60" w:rsidP="00540A76">
      <w:pPr>
        <w:pStyle w:val="answer"/>
        <w:ind w:firstLine="0"/>
        <w:rPr>
          <w:rFonts w:eastAsia="SimSun"/>
          <w:szCs w:val="24"/>
        </w:rPr>
      </w:pPr>
      <w:r w:rsidRPr="00993C60">
        <w:rPr>
          <w:rFonts w:eastAsia="SimSun"/>
          <w:szCs w:val="24"/>
        </w:rPr>
        <w:t>If historical growth rates are to be representative of long-term future growth rates, they must not be biased by non-recurring events.</w:t>
      </w:r>
      <w:r w:rsidR="00C91CE2">
        <w:rPr>
          <w:rFonts w:eastAsia="SimSun"/>
          <w:szCs w:val="24"/>
        </w:rPr>
        <w:t xml:space="preserve"> </w:t>
      </w:r>
      <w:r w:rsidRPr="00993C60">
        <w:rPr>
          <w:rFonts w:eastAsia="SimSun"/>
          <w:szCs w:val="24"/>
        </w:rPr>
        <w:t xml:space="preserve">This is certainly the case for utilities, where growing competition, declining customer usage, increased reliance </w:t>
      </w:r>
      <w:r w:rsidRPr="00993C60">
        <w:rPr>
          <w:rFonts w:eastAsia="SimSun"/>
          <w:szCs w:val="24"/>
        </w:rPr>
        <w:lastRenderedPageBreak/>
        <w:t>on renewables, acquisitions, restructurings and write-off activities have exerted a dilutive effect on historical earnings and dividends.</w:t>
      </w:r>
      <w:r w:rsidR="00C91CE2">
        <w:rPr>
          <w:rFonts w:eastAsia="SimSun"/>
          <w:szCs w:val="24"/>
        </w:rPr>
        <w:t xml:space="preserve"> </w:t>
      </w:r>
      <w:r w:rsidRPr="00993C60">
        <w:rPr>
          <w:rFonts w:eastAsia="SimSun"/>
          <w:szCs w:val="24"/>
        </w:rPr>
        <w:t>In such cases, it is obvious that analysts</w:t>
      </w:r>
      <w:r w:rsidR="00255659">
        <w:rPr>
          <w:rFonts w:eastAsia="SimSun"/>
          <w:szCs w:val="24"/>
        </w:rPr>
        <w:t>’</w:t>
      </w:r>
      <w:r w:rsidRPr="00993C60">
        <w:rPr>
          <w:rFonts w:eastAsia="SimSun"/>
          <w:szCs w:val="24"/>
        </w:rPr>
        <w:t xml:space="preserve"> growth forecasts provide a more realistic and representative growth proxy for what is likely to happen in the future than historical growth.</w:t>
      </w:r>
    </w:p>
    <w:p w:rsidR="00572193" w:rsidRPr="00255659" w:rsidRDefault="00993C60" w:rsidP="00540A76">
      <w:pPr>
        <w:pStyle w:val="answer"/>
        <w:ind w:firstLine="0"/>
        <w:rPr>
          <w:rFonts w:eastAsia="SimSun"/>
          <w:szCs w:val="24"/>
        </w:rPr>
      </w:pPr>
      <w:r w:rsidRPr="00993C60">
        <w:rPr>
          <w:rFonts w:eastAsia="SimSun"/>
          <w:szCs w:val="24"/>
        </w:rPr>
        <w:t>In any event, historical growth rates are somewhat redundant given that analysts formulate their growth expectations based in part on historical patterns.</w:t>
      </w:r>
    </w:p>
    <w:p w:rsidR="00993C60" w:rsidRPr="00993C60" w:rsidRDefault="00993C60" w:rsidP="00540A76">
      <w:pPr>
        <w:pStyle w:val="answer"/>
        <w:ind w:firstLine="0"/>
        <w:rPr>
          <w:rFonts w:eastAsia="SimSun"/>
          <w:szCs w:val="24"/>
        </w:rPr>
      </w:pPr>
      <w:r w:rsidRPr="00993C60">
        <w:rPr>
          <w:rFonts w:eastAsia="SimSun"/>
          <w:szCs w:val="24"/>
        </w:rPr>
        <w:t xml:space="preserve">In conclusion, </w:t>
      </w:r>
      <w:r w:rsidR="00E51C96" w:rsidRPr="00255659">
        <w:rPr>
          <w:rFonts w:eastAsia="SimSun"/>
        </w:rPr>
        <w:t>Mr.</w:t>
      </w:r>
      <w:r w:rsidR="00E51C96">
        <w:rPr>
          <w:rFonts w:eastAsia="SimSun"/>
        </w:rPr>
        <w:t> </w:t>
      </w:r>
      <w:r w:rsidRPr="00993C60">
        <w:rPr>
          <w:rFonts w:eastAsia="SimSun"/>
          <w:szCs w:val="24"/>
        </w:rPr>
        <w:t>Parcell</w:t>
      </w:r>
      <w:r w:rsidR="00255659">
        <w:rPr>
          <w:rFonts w:eastAsia="SimSun"/>
          <w:szCs w:val="24"/>
        </w:rPr>
        <w:t>’</w:t>
      </w:r>
      <w:r w:rsidRPr="00993C60">
        <w:rPr>
          <w:rFonts w:eastAsia="SimSun"/>
          <w:szCs w:val="24"/>
        </w:rPr>
        <w:t>s historical growth rates should be given considerably less</w:t>
      </w:r>
      <w:r w:rsidR="000A7F0F" w:rsidRPr="00993C60">
        <w:rPr>
          <w:rFonts w:eastAsia="SimSun"/>
          <w:szCs w:val="24"/>
        </w:rPr>
        <w:t>, if any</w:t>
      </w:r>
      <w:r w:rsidR="000A7F0F">
        <w:rPr>
          <w:rFonts w:eastAsia="SimSun"/>
          <w:szCs w:val="24"/>
        </w:rPr>
        <w:t>,</w:t>
      </w:r>
      <w:r w:rsidRPr="00993C60">
        <w:rPr>
          <w:rFonts w:eastAsia="SimSun"/>
          <w:szCs w:val="24"/>
        </w:rPr>
        <w:t xml:space="preserve"> weight.</w:t>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What does the published academic literature say on the subject of growth rates in the DCF model</w:t>
      </w:r>
      <w:r w:rsidR="00993C60" w:rsidRPr="00993C60">
        <w:rPr>
          <w:bCs/>
          <w:szCs w:val="24"/>
          <w:lang w:eastAsia="en-US"/>
        </w:rPr>
        <w:t>?</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 xml:space="preserve">As discussed </w:t>
      </w:r>
      <w:r w:rsidR="008C6DE3">
        <w:rPr>
          <w:rFonts w:eastAsia="SimSun"/>
        </w:rPr>
        <w:t>in Section II.D.1. of this rebuttal testimony</w:t>
      </w:r>
      <w:r w:rsidR="00993C60" w:rsidRPr="00255659">
        <w:rPr>
          <w:rFonts w:eastAsia="SimSun"/>
        </w:rPr>
        <w:t>, published studies in the academic literature demonstrate that (i) analysts</w:t>
      </w:r>
      <w:r w:rsidR="00255659">
        <w:rPr>
          <w:rFonts w:eastAsia="SimSun"/>
        </w:rPr>
        <w:t>’</w:t>
      </w:r>
      <w:r w:rsidR="00993C60" w:rsidRPr="00255659">
        <w:rPr>
          <w:rFonts w:eastAsia="SimSun"/>
        </w:rPr>
        <w:t xml:space="preserve"> growth rate forecasts are reasonable indicators of investor expectations and (ii) investors rely on such forecasts.</w:t>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Are investors expecting growth rates equal to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s range</w:t>
      </w:r>
      <w:r w:rsidR="00993C60" w:rsidRPr="00993C60">
        <w:rPr>
          <w:bCs/>
          <w:szCs w:val="24"/>
          <w:lang w:eastAsia="en-US"/>
        </w:rPr>
        <w:t>?</w:t>
      </w:r>
    </w:p>
    <w:p w:rsidR="00572193" w:rsidRPr="00255659" w:rsidRDefault="00572193" w:rsidP="00540A76">
      <w:pPr>
        <w:pStyle w:val="answer"/>
        <w:rPr>
          <w:rFonts w:eastAsia="SimSun"/>
        </w:rPr>
      </w:pPr>
      <w:r w:rsidRPr="00255659">
        <w:rPr>
          <w:rFonts w:eastAsia="SimSun"/>
        </w:rPr>
        <w:t>A.</w:t>
      </w:r>
      <w:r w:rsidR="00993C60" w:rsidRPr="00255659">
        <w:rPr>
          <w:rFonts w:eastAsia="SimSun"/>
        </w:rPr>
        <w:tab/>
        <w:t>No.</w:t>
      </w:r>
      <w:r w:rsidR="00C91CE2">
        <w:rPr>
          <w:rFonts w:eastAsia="SimSun"/>
        </w:rPr>
        <w:t xml:space="preserve"> </w:t>
      </w:r>
      <w:r w:rsidR="00993C60" w:rsidRPr="00255659">
        <w:rPr>
          <w:rFonts w:eastAsia="SimSun"/>
        </w:rPr>
        <w:t xml:space="preserve">The best evidence shows that investors are expecting growth rates higher than </w:t>
      </w:r>
      <w:r w:rsidR="00E51C96" w:rsidRPr="00255659">
        <w:rPr>
          <w:rFonts w:eastAsia="SimSun"/>
        </w:rPr>
        <w:t>Mr.</w:t>
      </w:r>
      <w:r w:rsidR="00E51C96">
        <w:rPr>
          <w:rFonts w:eastAsia="SimSun"/>
        </w:rPr>
        <w:t> </w:t>
      </w:r>
      <w:r w:rsidR="00993C60" w:rsidRPr="00255659">
        <w:rPr>
          <w:rFonts w:eastAsia="SimSun"/>
        </w:rPr>
        <w:t>Parcell has found.</w:t>
      </w:r>
      <w:r w:rsidR="00C91CE2">
        <w:rPr>
          <w:rFonts w:eastAsia="SimSun"/>
        </w:rPr>
        <w:t xml:space="preserve"> </w:t>
      </w:r>
      <w:r w:rsidR="00993C60" w:rsidRPr="00255659">
        <w:rPr>
          <w:rFonts w:eastAsia="SimSun"/>
        </w:rPr>
        <w:t xml:space="preserve">For his </w:t>
      </w:r>
      <w:r w:rsidR="009A12B9">
        <w:rPr>
          <w:rFonts w:eastAsia="SimSun"/>
        </w:rPr>
        <w:t>proxy group of utilities</w:t>
      </w:r>
      <w:r w:rsidR="00993C60" w:rsidRPr="00255659">
        <w:rPr>
          <w:rFonts w:eastAsia="SimSun"/>
        </w:rPr>
        <w:t xml:space="preserve">, </w:t>
      </w:r>
      <w:r w:rsidR="00E51C96" w:rsidRPr="00255659">
        <w:rPr>
          <w:rFonts w:eastAsia="SimSun"/>
        </w:rPr>
        <w:t>Mr.</w:t>
      </w:r>
      <w:r w:rsidR="00E51C96">
        <w:rPr>
          <w:rFonts w:eastAsia="SimSun"/>
        </w:rPr>
        <w:t> </w:t>
      </w:r>
      <w:r w:rsidR="00993C60" w:rsidRPr="00255659">
        <w:rPr>
          <w:rFonts w:eastAsia="SimSun"/>
        </w:rPr>
        <w:t>Parcell has found mean growth rates ranging from 3.2</w:t>
      </w:r>
      <w:r w:rsidR="000A7F0F">
        <w:rPr>
          <w:rFonts w:eastAsia="SimSun"/>
        </w:rPr>
        <w:t xml:space="preserve"> percent </w:t>
      </w:r>
      <w:r w:rsidR="00993C60" w:rsidRPr="00255659">
        <w:rPr>
          <w:rFonts w:eastAsia="SimSun"/>
        </w:rPr>
        <w:t>to 5.8</w:t>
      </w:r>
      <w:r w:rsidR="000A7F0F">
        <w:rPr>
          <w:rFonts w:eastAsia="SimSun"/>
        </w:rPr>
        <w:t> percent</w:t>
      </w:r>
      <w:r w:rsidR="00993C60" w:rsidRPr="00255659">
        <w:rPr>
          <w:rFonts w:eastAsia="SimSun"/>
        </w:rPr>
        <w:t xml:space="preserve">, with a mean of only </w:t>
      </w:r>
      <w:r w:rsidR="00993C60" w:rsidRPr="00255659">
        <w:rPr>
          <w:rFonts w:eastAsia="SimSun"/>
        </w:rPr>
        <w:lastRenderedPageBreak/>
        <w:t>4.7</w:t>
      </w:r>
      <w:r w:rsidR="000A7F0F">
        <w:rPr>
          <w:rFonts w:eastAsia="SimSun"/>
        </w:rPr>
        <w:t> percent</w:t>
      </w:r>
      <w:r w:rsidR="00993C60" w:rsidRPr="00255659">
        <w:rPr>
          <w:rFonts w:eastAsia="SimSun"/>
        </w:rPr>
        <w:t>.</w:t>
      </w:r>
      <w:r w:rsidR="000A7F0F">
        <w:rPr>
          <w:rStyle w:val="FootnoteReference"/>
          <w:rFonts w:eastAsia="SimSun"/>
        </w:rPr>
        <w:footnoteReference w:id="73"/>
      </w:r>
      <w:r w:rsidR="00C91CE2">
        <w:rPr>
          <w:rFonts w:eastAsia="SimSun"/>
        </w:rPr>
        <w:t xml:space="preserve"> </w:t>
      </w:r>
      <w:r w:rsidR="00993C60" w:rsidRPr="00255659">
        <w:rPr>
          <w:rFonts w:eastAsia="SimSun"/>
        </w:rPr>
        <w:t xml:space="preserve">For </w:t>
      </w:r>
      <w:r w:rsidR="009A12B9">
        <w:rPr>
          <w:rFonts w:eastAsia="SimSun"/>
        </w:rPr>
        <w:t xml:space="preserve">my proxy </w:t>
      </w:r>
      <w:r w:rsidR="00993C60" w:rsidRPr="00255659">
        <w:rPr>
          <w:rFonts w:eastAsia="SimSun"/>
        </w:rPr>
        <w:t xml:space="preserve">group of utilities, </w:t>
      </w:r>
      <w:r w:rsidR="00E51C96" w:rsidRPr="00255659">
        <w:rPr>
          <w:rFonts w:eastAsia="SimSun"/>
        </w:rPr>
        <w:t>Mr.</w:t>
      </w:r>
      <w:r w:rsidR="00E51C96">
        <w:rPr>
          <w:rFonts w:eastAsia="SimSun"/>
        </w:rPr>
        <w:t> </w:t>
      </w:r>
      <w:r w:rsidR="00993C60" w:rsidRPr="00255659">
        <w:rPr>
          <w:rFonts w:eastAsia="SimSun"/>
        </w:rPr>
        <w:t>Parcell has found mean growth rates ranging from 3.2</w:t>
      </w:r>
      <w:r w:rsidR="000A7F0F">
        <w:rPr>
          <w:rFonts w:eastAsia="SimSun"/>
        </w:rPr>
        <w:t> percent</w:t>
      </w:r>
      <w:r w:rsidR="00993C60" w:rsidRPr="00255659">
        <w:rPr>
          <w:rFonts w:eastAsia="SimSun"/>
        </w:rPr>
        <w:t xml:space="preserve"> to 5.</w:t>
      </w:r>
      <w:r w:rsidR="009F107C">
        <w:rPr>
          <w:rFonts w:eastAsia="SimSun"/>
        </w:rPr>
        <w:t>4</w:t>
      </w:r>
      <w:r w:rsidR="000A7F0F">
        <w:rPr>
          <w:rFonts w:eastAsia="SimSun"/>
        </w:rPr>
        <w:t> percent</w:t>
      </w:r>
      <w:r w:rsidR="00993C60" w:rsidRPr="00255659">
        <w:rPr>
          <w:rFonts w:eastAsia="SimSun"/>
        </w:rPr>
        <w:t>, with a mean of only 4.</w:t>
      </w:r>
      <w:r w:rsidR="009F107C">
        <w:rPr>
          <w:rFonts w:eastAsia="SimSun"/>
        </w:rPr>
        <w:t>7</w:t>
      </w:r>
      <w:r w:rsidR="000A7F0F">
        <w:rPr>
          <w:rFonts w:eastAsia="SimSun"/>
        </w:rPr>
        <w:t> percent</w:t>
      </w:r>
      <w:r w:rsidR="00993C60" w:rsidRPr="00255659">
        <w:rPr>
          <w:rFonts w:eastAsia="SimSun"/>
        </w:rPr>
        <w:t>.</w:t>
      </w:r>
      <w:r w:rsidR="009F107C">
        <w:rPr>
          <w:rStyle w:val="FootnoteReference"/>
          <w:rFonts w:eastAsia="SimSun"/>
        </w:rPr>
        <w:footnoteReference w:id="74"/>
      </w:r>
    </w:p>
    <w:p w:rsidR="00FE3299" w:rsidRDefault="00993C60" w:rsidP="00540A76">
      <w:pPr>
        <w:pStyle w:val="answer"/>
        <w:ind w:firstLine="0"/>
        <w:rPr>
          <w:rFonts w:eastAsia="SimSun"/>
          <w:szCs w:val="24"/>
        </w:rPr>
      </w:pPr>
      <w:r w:rsidRPr="00FE3299">
        <w:rPr>
          <w:rFonts w:eastAsia="SimSun"/>
          <w:szCs w:val="24"/>
        </w:rPr>
        <w:t xml:space="preserve">As </w:t>
      </w:r>
      <w:r w:rsidR="000A7F0F" w:rsidRPr="00FE3299">
        <w:rPr>
          <w:rFonts w:eastAsia="SimSun"/>
          <w:szCs w:val="24"/>
        </w:rPr>
        <w:t>addressed in Section II.B.2. of this rebuttal testimony</w:t>
      </w:r>
      <w:r w:rsidRPr="00FE3299">
        <w:rPr>
          <w:rFonts w:eastAsia="SimSun"/>
          <w:szCs w:val="24"/>
        </w:rPr>
        <w:t>, historical growth rates should be given considerably less weight, which</w:t>
      </w:r>
      <w:r w:rsidR="00FE3299" w:rsidRPr="00FE3299">
        <w:rPr>
          <w:rFonts w:eastAsia="SimSun"/>
          <w:szCs w:val="24"/>
        </w:rPr>
        <w:t xml:space="preserve"> </w:t>
      </w:r>
      <w:r w:rsidRPr="00FE3299">
        <w:rPr>
          <w:rFonts w:eastAsia="SimSun"/>
          <w:szCs w:val="24"/>
        </w:rPr>
        <w:t xml:space="preserve">leaves us with </w:t>
      </w:r>
      <w:r w:rsidR="00FE3299" w:rsidRPr="00FE3299">
        <w:rPr>
          <w:rFonts w:eastAsia="SimSun"/>
          <w:szCs w:val="24"/>
        </w:rPr>
        <w:t xml:space="preserve">(i) the </w:t>
      </w:r>
      <w:r w:rsidR="009A12B9" w:rsidRPr="00FE3299">
        <w:rPr>
          <w:rFonts w:eastAsia="SimSun"/>
          <w:szCs w:val="24"/>
        </w:rPr>
        <w:t xml:space="preserve">mean </w:t>
      </w:r>
      <w:r w:rsidRPr="00FE3299">
        <w:rPr>
          <w:rFonts w:eastAsia="SimSun"/>
          <w:szCs w:val="24"/>
        </w:rPr>
        <w:t xml:space="preserve">Value Line growth forecast </w:t>
      </w:r>
      <w:r w:rsidR="00FE3299" w:rsidRPr="00FE3299">
        <w:rPr>
          <w:rFonts w:eastAsia="SimSun"/>
          <w:szCs w:val="24"/>
        </w:rPr>
        <w:t>(i.e., the 2020-2022 projections of earnings per share, dividends per share, and book value per share) growth and (ii) the mean consensus analyst forecast (i.e., the five-year projections of earnings per share growth per First Call).</w:t>
      </w:r>
    </w:p>
    <w:p w:rsidR="00FE3299" w:rsidRDefault="00FE3299" w:rsidP="00FE3299">
      <w:pPr>
        <w:pStyle w:val="answer"/>
        <w:ind w:firstLine="0"/>
        <w:rPr>
          <w:rFonts w:eastAsia="SimSun"/>
          <w:szCs w:val="24"/>
        </w:rPr>
      </w:pPr>
      <w:r w:rsidRPr="00FE3299">
        <w:rPr>
          <w:rFonts w:eastAsia="SimSun"/>
          <w:szCs w:val="24"/>
        </w:rPr>
        <w:t xml:space="preserve">For Mr. Parcell’s proxy group, the mean Value Line growth forecast is </w:t>
      </w:r>
      <w:r w:rsidR="009A12B9" w:rsidRPr="00FE3299">
        <w:rPr>
          <w:rFonts w:eastAsia="SimSun"/>
          <w:szCs w:val="24"/>
        </w:rPr>
        <w:t>4</w:t>
      </w:r>
      <w:r w:rsidR="00993C60" w:rsidRPr="00FE3299">
        <w:rPr>
          <w:rFonts w:eastAsia="SimSun"/>
          <w:szCs w:val="24"/>
        </w:rPr>
        <w:t>.</w:t>
      </w:r>
      <w:r w:rsidR="009A12B9" w:rsidRPr="00FE3299">
        <w:rPr>
          <w:rFonts w:eastAsia="SimSun"/>
          <w:szCs w:val="24"/>
        </w:rPr>
        <w:t>8</w:t>
      </w:r>
      <w:r w:rsidR="000A7F0F" w:rsidRPr="00FE3299">
        <w:rPr>
          <w:rFonts w:eastAsia="SimSun"/>
          <w:szCs w:val="24"/>
        </w:rPr>
        <w:t> percent</w:t>
      </w:r>
      <w:r w:rsidRPr="00FE3299">
        <w:rPr>
          <w:rFonts w:eastAsia="SimSun"/>
          <w:szCs w:val="24"/>
        </w:rPr>
        <w:t xml:space="preserve">, </w:t>
      </w:r>
      <w:r w:rsidR="00993C60" w:rsidRPr="00FE3299">
        <w:rPr>
          <w:rFonts w:eastAsia="SimSun"/>
          <w:szCs w:val="24"/>
        </w:rPr>
        <w:t xml:space="preserve">and the </w:t>
      </w:r>
      <w:r w:rsidRPr="00FE3299">
        <w:rPr>
          <w:rFonts w:eastAsia="SimSun"/>
          <w:szCs w:val="24"/>
        </w:rPr>
        <w:t xml:space="preserve">mean consensus analyst forecast is </w:t>
      </w:r>
      <w:r w:rsidR="00993C60" w:rsidRPr="00FE3299">
        <w:rPr>
          <w:rFonts w:eastAsia="SimSun"/>
          <w:szCs w:val="24"/>
        </w:rPr>
        <w:t>5.8</w:t>
      </w:r>
      <w:r w:rsidR="000A7F0F" w:rsidRPr="00FE3299">
        <w:rPr>
          <w:rFonts w:eastAsia="SimSun"/>
          <w:szCs w:val="24"/>
        </w:rPr>
        <w:t> percent</w:t>
      </w:r>
      <w:r w:rsidR="009F107C" w:rsidRPr="00FE3299">
        <w:rPr>
          <w:rFonts w:eastAsia="SimSun"/>
          <w:szCs w:val="24"/>
        </w:rPr>
        <w:t>.</w:t>
      </w:r>
      <w:r>
        <w:rPr>
          <w:rStyle w:val="FootnoteReference"/>
          <w:rFonts w:eastAsia="SimSun"/>
          <w:szCs w:val="24"/>
        </w:rPr>
        <w:footnoteReference w:id="75"/>
      </w:r>
      <w:r w:rsidR="009F107C" w:rsidRPr="00FE3299">
        <w:rPr>
          <w:rFonts w:eastAsia="SimSun"/>
          <w:szCs w:val="24"/>
        </w:rPr>
        <w:t xml:space="preserve"> These growth forecasts produce a </w:t>
      </w:r>
      <w:r w:rsidR="00993C60" w:rsidRPr="00FE3299">
        <w:rPr>
          <w:rFonts w:eastAsia="SimSun"/>
          <w:szCs w:val="24"/>
        </w:rPr>
        <w:t xml:space="preserve">range of </w:t>
      </w:r>
      <w:r w:rsidR="009F107C" w:rsidRPr="00FE3299">
        <w:rPr>
          <w:rFonts w:eastAsia="SimSun"/>
          <w:szCs w:val="24"/>
        </w:rPr>
        <w:t xml:space="preserve">between </w:t>
      </w:r>
      <w:r w:rsidR="009A12B9" w:rsidRPr="00FE3299">
        <w:rPr>
          <w:rFonts w:eastAsia="SimSun"/>
          <w:szCs w:val="24"/>
        </w:rPr>
        <w:t>4</w:t>
      </w:r>
      <w:r w:rsidR="00993C60" w:rsidRPr="00FE3299">
        <w:rPr>
          <w:rFonts w:eastAsia="SimSun"/>
          <w:szCs w:val="24"/>
        </w:rPr>
        <w:t>.</w:t>
      </w:r>
      <w:r w:rsidR="009A12B9" w:rsidRPr="00FE3299">
        <w:rPr>
          <w:rFonts w:eastAsia="SimSun"/>
          <w:szCs w:val="24"/>
        </w:rPr>
        <w:t>8</w:t>
      </w:r>
      <w:r w:rsidR="009F107C" w:rsidRPr="00FE3299">
        <w:rPr>
          <w:rFonts w:eastAsia="SimSun"/>
          <w:szCs w:val="24"/>
        </w:rPr>
        <w:t xml:space="preserve"> percent and </w:t>
      </w:r>
      <w:r w:rsidR="00993C60" w:rsidRPr="00FE3299">
        <w:rPr>
          <w:rFonts w:eastAsia="SimSun"/>
          <w:szCs w:val="24"/>
        </w:rPr>
        <w:t>5.8</w:t>
      </w:r>
      <w:r w:rsidR="009F107C" w:rsidRPr="00FE3299">
        <w:rPr>
          <w:rFonts w:eastAsia="SimSun"/>
          <w:szCs w:val="24"/>
        </w:rPr>
        <w:t xml:space="preserve"> percent </w:t>
      </w:r>
      <w:r w:rsidR="00993C60" w:rsidRPr="00FE3299">
        <w:rPr>
          <w:rFonts w:eastAsia="SimSun"/>
          <w:szCs w:val="24"/>
        </w:rPr>
        <w:t>for the group</w:t>
      </w:r>
      <w:r w:rsidR="009F107C" w:rsidRPr="00FE3299">
        <w:rPr>
          <w:rFonts w:eastAsia="SimSun"/>
          <w:szCs w:val="24"/>
        </w:rPr>
        <w:t>,</w:t>
      </w:r>
      <w:r w:rsidR="00993C60" w:rsidRPr="00FE3299">
        <w:rPr>
          <w:rFonts w:eastAsia="SimSun"/>
          <w:szCs w:val="24"/>
        </w:rPr>
        <w:t xml:space="preserve"> with a midpoint of 5.</w:t>
      </w:r>
      <w:r w:rsidR="009A12B9" w:rsidRPr="00FE3299">
        <w:rPr>
          <w:rFonts w:eastAsia="SimSun"/>
          <w:szCs w:val="24"/>
        </w:rPr>
        <w:t>3</w:t>
      </w:r>
      <w:r w:rsidR="009F107C" w:rsidRPr="00FE3299">
        <w:rPr>
          <w:rFonts w:eastAsia="SimSun"/>
          <w:szCs w:val="24"/>
        </w:rPr>
        <w:t> percent</w:t>
      </w:r>
      <w:r w:rsidR="00993C60" w:rsidRPr="00FE3299">
        <w:rPr>
          <w:rFonts w:eastAsia="SimSun"/>
          <w:szCs w:val="24"/>
        </w:rPr>
        <w:t>.</w:t>
      </w:r>
      <w:r w:rsidR="00C91CE2" w:rsidRPr="00FE3299">
        <w:rPr>
          <w:rFonts w:eastAsia="SimSun"/>
          <w:szCs w:val="24"/>
        </w:rPr>
        <w:t xml:space="preserve"> </w:t>
      </w:r>
      <w:r w:rsidR="00993C60" w:rsidRPr="00FE3299">
        <w:rPr>
          <w:rFonts w:eastAsia="SimSun"/>
          <w:szCs w:val="24"/>
        </w:rPr>
        <w:t xml:space="preserve">The </w:t>
      </w:r>
      <w:r w:rsidR="009F107C" w:rsidRPr="00FE3299">
        <w:rPr>
          <w:rFonts w:eastAsia="SimSun"/>
          <w:szCs w:val="24"/>
        </w:rPr>
        <w:t>midpoint of 5.</w:t>
      </w:r>
      <w:r w:rsidRPr="00FE3299">
        <w:rPr>
          <w:rFonts w:eastAsia="SimSun"/>
          <w:szCs w:val="24"/>
        </w:rPr>
        <w:t>3</w:t>
      </w:r>
      <w:r w:rsidR="009F107C" w:rsidRPr="00FE3299">
        <w:rPr>
          <w:rFonts w:eastAsia="SimSun"/>
          <w:szCs w:val="24"/>
        </w:rPr>
        <w:t xml:space="preserve"> percent </w:t>
      </w:r>
      <w:r w:rsidR="00993C60" w:rsidRPr="00FE3299">
        <w:rPr>
          <w:rFonts w:eastAsia="SimSun"/>
          <w:szCs w:val="24"/>
        </w:rPr>
        <w:t xml:space="preserve">is </w:t>
      </w:r>
      <w:r w:rsidRPr="00FE3299">
        <w:rPr>
          <w:rFonts w:eastAsia="SimSun"/>
          <w:szCs w:val="24"/>
        </w:rPr>
        <w:t>6</w:t>
      </w:r>
      <w:r w:rsidR="00993C60" w:rsidRPr="00FE3299">
        <w:rPr>
          <w:rFonts w:eastAsia="SimSun"/>
          <w:szCs w:val="24"/>
        </w:rPr>
        <w:t>0</w:t>
      </w:r>
      <w:r w:rsidR="009F107C" w:rsidRPr="00FE3299">
        <w:rPr>
          <w:rFonts w:eastAsia="SimSun"/>
          <w:szCs w:val="24"/>
        </w:rPr>
        <w:t> </w:t>
      </w:r>
      <w:r w:rsidR="00993C60" w:rsidRPr="00FE3299">
        <w:rPr>
          <w:rFonts w:eastAsia="SimSun"/>
          <w:szCs w:val="24"/>
        </w:rPr>
        <w:t>basis points (</w:t>
      </w:r>
      <w:r w:rsidR="00BD299C" w:rsidRPr="00FE3299">
        <w:rPr>
          <w:rFonts w:eastAsia="SimSun"/>
          <w:szCs w:val="24"/>
        </w:rPr>
        <w:t>i.e.</w:t>
      </w:r>
      <w:r w:rsidR="009F107C" w:rsidRPr="00FE3299">
        <w:rPr>
          <w:rFonts w:eastAsia="SimSun"/>
          <w:szCs w:val="24"/>
        </w:rPr>
        <w:t>,</w:t>
      </w:r>
      <w:r>
        <w:rPr>
          <w:rFonts w:eastAsia="SimSun"/>
          <w:szCs w:val="24"/>
        </w:rPr>
        <w:t> </w:t>
      </w:r>
      <w:r w:rsidR="009F107C" w:rsidRPr="00FE3299">
        <w:rPr>
          <w:rFonts w:eastAsia="SimSun"/>
          <w:szCs w:val="24"/>
        </w:rPr>
        <w:t>0</w:t>
      </w:r>
      <w:r w:rsidR="00993C60" w:rsidRPr="00FE3299">
        <w:rPr>
          <w:rFonts w:eastAsia="SimSun"/>
          <w:szCs w:val="24"/>
        </w:rPr>
        <w:t>.</w:t>
      </w:r>
      <w:r>
        <w:rPr>
          <w:rFonts w:eastAsia="SimSun"/>
          <w:szCs w:val="24"/>
        </w:rPr>
        <w:t>6</w:t>
      </w:r>
      <w:r w:rsidR="009F107C" w:rsidRPr="00FE3299">
        <w:rPr>
          <w:rFonts w:eastAsia="SimSun"/>
          <w:szCs w:val="24"/>
        </w:rPr>
        <w:t> percent</w:t>
      </w:r>
      <w:r w:rsidR="00993C60" w:rsidRPr="00FE3299">
        <w:rPr>
          <w:rFonts w:eastAsia="SimSun"/>
          <w:szCs w:val="24"/>
        </w:rPr>
        <w:t xml:space="preserve">) above </w:t>
      </w:r>
      <w:r w:rsidR="00E51C96" w:rsidRPr="00FE3299">
        <w:rPr>
          <w:rFonts w:eastAsia="SimSun"/>
        </w:rPr>
        <w:t>Mr. </w:t>
      </w:r>
      <w:r w:rsidR="00993C60" w:rsidRPr="00FE3299">
        <w:rPr>
          <w:rFonts w:eastAsia="SimSun"/>
          <w:szCs w:val="24"/>
        </w:rPr>
        <w:t>Parcell</w:t>
      </w:r>
      <w:r w:rsidR="00255659" w:rsidRPr="00FE3299">
        <w:rPr>
          <w:rFonts w:eastAsia="SimSun"/>
          <w:szCs w:val="24"/>
        </w:rPr>
        <w:t>’</w:t>
      </w:r>
      <w:r w:rsidR="00993C60" w:rsidRPr="00FE3299">
        <w:rPr>
          <w:rFonts w:eastAsia="SimSun"/>
          <w:szCs w:val="24"/>
        </w:rPr>
        <w:t>s mean estimate of 4.7</w:t>
      </w:r>
      <w:r w:rsidR="009F107C" w:rsidRPr="00FE3299">
        <w:rPr>
          <w:rFonts w:eastAsia="SimSun"/>
          <w:szCs w:val="24"/>
        </w:rPr>
        <w:t> percent</w:t>
      </w:r>
      <w:r w:rsidR="00993C60" w:rsidRPr="00FE3299">
        <w:rPr>
          <w:rFonts w:eastAsia="SimSun"/>
          <w:szCs w:val="24"/>
        </w:rPr>
        <w:t>.</w:t>
      </w:r>
    </w:p>
    <w:p w:rsidR="00FE3299" w:rsidRDefault="00FE3299" w:rsidP="00FE3299">
      <w:pPr>
        <w:pStyle w:val="answer"/>
        <w:ind w:firstLine="0"/>
        <w:rPr>
          <w:rFonts w:eastAsia="SimSun"/>
          <w:szCs w:val="24"/>
        </w:rPr>
      </w:pPr>
      <w:r w:rsidRPr="00FE3299">
        <w:rPr>
          <w:rFonts w:eastAsia="SimSun"/>
          <w:szCs w:val="24"/>
        </w:rPr>
        <w:t xml:space="preserve">For </w:t>
      </w:r>
      <w:r>
        <w:rPr>
          <w:rFonts w:eastAsia="SimSun"/>
          <w:szCs w:val="24"/>
        </w:rPr>
        <w:t xml:space="preserve">my </w:t>
      </w:r>
      <w:r w:rsidRPr="00FE3299">
        <w:rPr>
          <w:rFonts w:eastAsia="SimSun"/>
          <w:szCs w:val="24"/>
        </w:rPr>
        <w:t xml:space="preserve">proxy group, the mean Value Line growth forecast is </w:t>
      </w:r>
      <w:r>
        <w:rPr>
          <w:rFonts w:eastAsia="SimSun"/>
          <w:szCs w:val="24"/>
        </w:rPr>
        <w:t>5</w:t>
      </w:r>
      <w:r w:rsidRPr="00FE3299">
        <w:rPr>
          <w:rFonts w:eastAsia="SimSun"/>
          <w:szCs w:val="24"/>
        </w:rPr>
        <w:t>.</w:t>
      </w:r>
      <w:r>
        <w:rPr>
          <w:rFonts w:eastAsia="SimSun"/>
          <w:szCs w:val="24"/>
        </w:rPr>
        <w:t>0</w:t>
      </w:r>
      <w:r w:rsidRPr="00FE3299">
        <w:rPr>
          <w:rFonts w:eastAsia="SimSun"/>
          <w:szCs w:val="24"/>
        </w:rPr>
        <w:t> percent, and the mean consensus analyst forecast is 5.</w:t>
      </w:r>
      <w:r>
        <w:rPr>
          <w:rFonts w:eastAsia="SimSun"/>
          <w:szCs w:val="24"/>
        </w:rPr>
        <w:t>4</w:t>
      </w:r>
      <w:r w:rsidRPr="00FE3299">
        <w:rPr>
          <w:rFonts w:eastAsia="SimSun"/>
          <w:szCs w:val="24"/>
        </w:rPr>
        <w:t> percent.</w:t>
      </w:r>
      <w:r>
        <w:rPr>
          <w:rStyle w:val="FootnoteReference"/>
          <w:rFonts w:eastAsia="SimSun"/>
          <w:szCs w:val="24"/>
        </w:rPr>
        <w:footnoteReference w:id="76"/>
      </w:r>
      <w:r w:rsidRPr="00FE3299">
        <w:rPr>
          <w:rFonts w:eastAsia="SimSun"/>
          <w:szCs w:val="24"/>
        </w:rPr>
        <w:t xml:space="preserve"> These growth forecasts produce a range of between </w:t>
      </w:r>
      <w:r>
        <w:rPr>
          <w:rFonts w:eastAsia="SimSun"/>
          <w:szCs w:val="24"/>
        </w:rPr>
        <w:t>5</w:t>
      </w:r>
      <w:r w:rsidRPr="00FE3299">
        <w:rPr>
          <w:rFonts w:eastAsia="SimSun"/>
          <w:szCs w:val="24"/>
        </w:rPr>
        <w:t>.</w:t>
      </w:r>
      <w:r>
        <w:rPr>
          <w:rFonts w:eastAsia="SimSun"/>
          <w:szCs w:val="24"/>
        </w:rPr>
        <w:t>0</w:t>
      </w:r>
      <w:r w:rsidRPr="00FE3299">
        <w:rPr>
          <w:rFonts w:eastAsia="SimSun"/>
          <w:szCs w:val="24"/>
        </w:rPr>
        <w:t> percent and 5.</w:t>
      </w:r>
      <w:r>
        <w:rPr>
          <w:rFonts w:eastAsia="SimSun"/>
          <w:szCs w:val="24"/>
        </w:rPr>
        <w:t>4</w:t>
      </w:r>
      <w:r w:rsidRPr="00FE3299">
        <w:rPr>
          <w:rFonts w:eastAsia="SimSun"/>
          <w:szCs w:val="24"/>
        </w:rPr>
        <w:t> percent for the group, with a midpoint of 5.</w:t>
      </w:r>
      <w:r>
        <w:rPr>
          <w:rFonts w:eastAsia="SimSun"/>
          <w:szCs w:val="24"/>
        </w:rPr>
        <w:t>2</w:t>
      </w:r>
      <w:r w:rsidRPr="00FE3299">
        <w:rPr>
          <w:rFonts w:eastAsia="SimSun"/>
          <w:szCs w:val="24"/>
        </w:rPr>
        <w:t> percent. The midpoint of 5.</w:t>
      </w:r>
      <w:r>
        <w:rPr>
          <w:rFonts w:eastAsia="SimSun"/>
          <w:szCs w:val="24"/>
        </w:rPr>
        <w:t>2</w:t>
      </w:r>
      <w:r w:rsidRPr="00FE3299">
        <w:rPr>
          <w:rFonts w:eastAsia="SimSun"/>
          <w:szCs w:val="24"/>
        </w:rPr>
        <w:t xml:space="preserve"> percent is </w:t>
      </w:r>
      <w:r>
        <w:rPr>
          <w:rFonts w:eastAsia="SimSun"/>
          <w:szCs w:val="24"/>
        </w:rPr>
        <w:t>5</w:t>
      </w:r>
      <w:r w:rsidRPr="00FE3299">
        <w:rPr>
          <w:rFonts w:eastAsia="SimSun"/>
          <w:szCs w:val="24"/>
        </w:rPr>
        <w:t>0 basis points (</w:t>
      </w:r>
      <w:r w:rsidR="00BD299C" w:rsidRPr="00FE3299">
        <w:rPr>
          <w:rFonts w:eastAsia="SimSun"/>
          <w:szCs w:val="24"/>
        </w:rPr>
        <w:t>i.e.</w:t>
      </w:r>
      <w:r w:rsidRPr="00FE3299">
        <w:rPr>
          <w:rFonts w:eastAsia="SimSun"/>
          <w:szCs w:val="24"/>
        </w:rPr>
        <w:t>, 0.</w:t>
      </w:r>
      <w:r>
        <w:rPr>
          <w:rFonts w:eastAsia="SimSun"/>
          <w:szCs w:val="24"/>
        </w:rPr>
        <w:t>5</w:t>
      </w:r>
      <w:r w:rsidRPr="00FE3299">
        <w:rPr>
          <w:rFonts w:eastAsia="SimSun"/>
          <w:szCs w:val="24"/>
        </w:rPr>
        <w:t xml:space="preserve"> percent) above </w:t>
      </w:r>
      <w:r w:rsidRPr="00FE3299">
        <w:rPr>
          <w:rFonts w:eastAsia="SimSun"/>
        </w:rPr>
        <w:t>Mr. </w:t>
      </w:r>
      <w:r w:rsidRPr="00FE3299">
        <w:rPr>
          <w:rFonts w:eastAsia="SimSun"/>
          <w:szCs w:val="24"/>
        </w:rPr>
        <w:t>Parcell’s mean estimate of 4.7 percent.</w:t>
      </w:r>
    </w:p>
    <w:p w:rsidR="00993C60" w:rsidRPr="00993C60" w:rsidRDefault="00993C60" w:rsidP="00540A76">
      <w:pPr>
        <w:pStyle w:val="answer"/>
        <w:ind w:firstLine="0"/>
        <w:rPr>
          <w:rFonts w:eastAsia="SimSun"/>
          <w:szCs w:val="24"/>
        </w:rPr>
      </w:pPr>
      <w:r w:rsidRPr="00993C60">
        <w:rPr>
          <w:rFonts w:eastAsia="SimSun"/>
          <w:szCs w:val="24"/>
        </w:rPr>
        <w:lastRenderedPageBreak/>
        <w:t xml:space="preserve">This understatement alone causes </w:t>
      </w:r>
      <w:r w:rsidR="00E51C96" w:rsidRPr="00255659">
        <w:rPr>
          <w:rFonts w:eastAsia="SimSun"/>
        </w:rPr>
        <w:t>Mr.</w:t>
      </w:r>
      <w:r w:rsidR="00E51C96">
        <w:rPr>
          <w:rFonts w:eastAsia="SimSun"/>
        </w:rPr>
        <w:t> </w:t>
      </w:r>
      <w:r w:rsidRPr="00993C60">
        <w:rPr>
          <w:rFonts w:eastAsia="SimSun"/>
          <w:szCs w:val="24"/>
        </w:rPr>
        <w:t>Parcell</w:t>
      </w:r>
      <w:r w:rsidR="00255659">
        <w:rPr>
          <w:rFonts w:eastAsia="SimSun"/>
          <w:szCs w:val="24"/>
        </w:rPr>
        <w:t>’</w:t>
      </w:r>
      <w:r w:rsidRPr="00993C60">
        <w:rPr>
          <w:rFonts w:eastAsia="SimSun"/>
          <w:szCs w:val="24"/>
        </w:rPr>
        <w:t xml:space="preserve">s DCF cost of equity estimates for this first group of companies to be downward-biased by </w:t>
      </w:r>
      <w:r w:rsidR="00421CCB">
        <w:rPr>
          <w:rFonts w:eastAsia="SimSun"/>
          <w:szCs w:val="24"/>
        </w:rPr>
        <w:t>5</w:t>
      </w:r>
      <w:r w:rsidRPr="00993C60">
        <w:rPr>
          <w:rFonts w:eastAsia="SimSun"/>
          <w:szCs w:val="24"/>
        </w:rPr>
        <w:t>0</w:t>
      </w:r>
      <w:r w:rsidR="00421CCB">
        <w:rPr>
          <w:rFonts w:eastAsia="SimSun"/>
          <w:szCs w:val="24"/>
        </w:rPr>
        <w:t xml:space="preserve"> to 60</w:t>
      </w:r>
      <w:r w:rsidR="009F107C">
        <w:rPr>
          <w:rFonts w:eastAsia="SimSun"/>
          <w:szCs w:val="24"/>
        </w:rPr>
        <w:t xml:space="preserve"> basis </w:t>
      </w:r>
      <w:r w:rsidRPr="00993C60">
        <w:rPr>
          <w:rFonts w:eastAsia="SimSun"/>
          <w:szCs w:val="24"/>
        </w:rPr>
        <w:t>points</w:t>
      </w:r>
      <w:r w:rsidR="009F107C">
        <w:rPr>
          <w:rFonts w:eastAsia="SimSun"/>
          <w:szCs w:val="24"/>
        </w:rPr>
        <w:t xml:space="preserve"> (i.e., </w:t>
      </w:r>
      <w:r w:rsidR="00421CCB">
        <w:rPr>
          <w:rFonts w:eastAsia="SimSun"/>
          <w:szCs w:val="24"/>
        </w:rPr>
        <w:t xml:space="preserve">between 0.5 and </w:t>
      </w:r>
      <w:r w:rsidR="009F107C">
        <w:rPr>
          <w:rFonts w:eastAsia="SimSun"/>
          <w:szCs w:val="24"/>
        </w:rPr>
        <w:t>0.</w:t>
      </w:r>
      <w:r w:rsidR="00421CCB">
        <w:rPr>
          <w:rFonts w:eastAsia="SimSun"/>
          <w:szCs w:val="24"/>
        </w:rPr>
        <w:t>6</w:t>
      </w:r>
      <w:r w:rsidR="009F107C">
        <w:rPr>
          <w:rFonts w:eastAsia="SimSun"/>
          <w:szCs w:val="24"/>
        </w:rPr>
        <w:t> percent)</w:t>
      </w:r>
      <w:r w:rsidRPr="00993C60">
        <w:rPr>
          <w:rFonts w:eastAsia="SimSun"/>
          <w:szCs w:val="24"/>
        </w:rPr>
        <w:t>, even without factoring in the appropriate expected dividend yield component which is understated by 10</w:t>
      </w:r>
      <w:r w:rsidR="009F107C">
        <w:rPr>
          <w:rFonts w:eastAsia="SimSun"/>
          <w:szCs w:val="24"/>
        </w:rPr>
        <w:t> </w:t>
      </w:r>
      <w:r w:rsidRPr="00993C60">
        <w:rPr>
          <w:rFonts w:eastAsia="SimSun"/>
          <w:szCs w:val="24"/>
        </w:rPr>
        <w:t>basis points</w:t>
      </w:r>
      <w:r w:rsidR="009F107C">
        <w:rPr>
          <w:rFonts w:eastAsia="SimSun"/>
          <w:szCs w:val="24"/>
        </w:rPr>
        <w:t xml:space="preserve"> (0.1 percent)</w:t>
      </w:r>
      <w:r w:rsidRPr="00993C60">
        <w:rPr>
          <w:rFonts w:eastAsia="SimSun"/>
          <w:szCs w:val="24"/>
        </w:rPr>
        <w:t>.</w:t>
      </w:r>
      <w:r w:rsidR="00C91CE2">
        <w:rPr>
          <w:rFonts w:eastAsia="SimSun"/>
          <w:szCs w:val="24"/>
        </w:rPr>
        <w:t xml:space="preserve"> </w:t>
      </w:r>
      <w:r w:rsidRPr="00993C60">
        <w:rPr>
          <w:rFonts w:eastAsia="SimSun"/>
          <w:szCs w:val="24"/>
        </w:rPr>
        <w:t xml:space="preserve">To different degrees, the same is true for </w:t>
      </w:r>
      <w:r w:rsidR="00E51C96" w:rsidRPr="00255659">
        <w:rPr>
          <w:rFonts w:eastAsia="SimSun"/>
        </w:rPr>
        <w:t>Mr.</w:t>
      </w:r>
      <w:r w:rsidR="00E51C96">
        <w:rPr>
          <w:rFonts w:eastAsia="SimSun"/>
        </w:rPr>
        <w:t> </w:t>
      </w:r>
      <w:r w:rsidRPr="00993C60">
        <w:rPr>
          <w:rFonts w:eastAsia="SimSun"/>
          <w:szCs w:val="24"/>
        </w:rPr>
        <w:t>Parcell</w:t>
      </w:r>
      <w:r w:rsidR="00255659">
        <w:rPr>
          <w:rFonts w:eastAsia="SimSun"/>
          <w:szCs w:val="24"/>
        </w:rPr>
        <w:t>’</w:t>
      </w:r>
      <w:r w:rsidRPr="00993C60">
        <w:rPr>
          <w:rFonts w:eastAsia="SimSun"/>
          <w:szCs w:val="24"/>
        </w:rPr>
        <w:t>s DCF estimates for the second group of companies, which are also downward-biased by similar amounts.</w:t>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Please comment on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s criticism of your DCF analysis</w:t>
      </w:r>
      <w:r w:rsidR="00993C60" w:rsidRPr="00993C60">
        <w:rPr>
          <w:bCs/>
          <w:szCs w:val="24"/>
          <w:lang w:eastAsia="en-US"/>
        </w:rPr>
        <w:t>.</w:t>
      </w:r>
    </w:p>
    <w:p w:rsidR="00572193" w:rsidRPr="00D14A77" w:rsidRDefault="00572193" w:rsidP="00D14A77">
      <w:pPr>
        <w:pStyle w:val="answer"/>
        <w:rPr>
          <w:rFonts w:eastAsia="SimSun"/>
        </w:rPr>
      </w:pPr>
      <w:r w:rsidRPr="00255659">
        <w:rPr>
          <w:rFonts w:eastAsia="SimSun"/>
        </w:rPr>
        <w:t>A.</w:t>
      </w:r>
      <w:r w:rsidR="00993C60" w:rsidRPr="00255659">
        <w:rPr>
          <w:rFonts w:eastAsia="SimSun"/>
        </w:rPr>
        <w:tab/>
      </w:r>
      <w:r w:rsidR="00E51C96" w:rsidRPr="00255659">
        <w:rPr>
          <w:rFonts w:eastAsia="SimSun"/>
        </w:rPr>
        <w:t>Mr.</w:t>
      </w:r>
      <w:r w:rsidR="00E51C96">
        <w:rPr>
          <w:rFonts w:eastAsia="SimSun"/>
        </w:rPr>
        <w:t> </w:t>
      </w:r>
      <w:r w:rsidR="00993C60" w:rsidRPr="00255659">
        <w:rPr>
          <w:rFonts w:eastAsia="SimSun"/>
        </w:rPr>
        <w:t xml:space="preserve">Parcell takes issue with the fact that </w:t>
      </w:r>
      <w:r w:rsidR="00D14A77">
        <w:rPr>
          <w:rFonts w:eastAsia="SimSun"/>
        </w:rPr>
        <w:t xml:space="preserve">my direct testimony has </w:t>
      </w:r>
      <w:r w:rsidR="00993C60" w:rsidRPr="00255659">
        <w:rPr>
          <w:rFonts w:eastAsia="SimSun"/>
        </w:rPr>
        <w:t xml:space="preserve">used only one indicator of growth in the DCF analysis—analyst growth projections—and </w:t>
      </w:r>
      <w:r w:rsidR="00D14A77">
        <w:rPr>
          <w:rFonts w:eastAsia="SimSun"/>
        </w:rPr>
        <w:t xml:space="preserve">did not include </w:t>
      </w:r>
      <w:r w:rsidR="00993C60" w:rsidRPr="00255659">
        <w:rPr>
          <w:rFonts w:eastAsia="SimSun"/>
        </w:rPr>
        <w:t>historical and projected growth rates in dividends and book value.</w:t>
      </w:r>
      <w:r w:rsidR="00D14A77">
        <w:rPr>
          <w:rStyle w:val="FootnoteReference"/>
          <w:rFonts w:eastAsia="SimSun"/>
        </w:rPr>
        <w:footnoteReference w:id="77"/>
      </w:r>
      <w:r w:rsidR="00D14A77">
        <w:rPr>
          <w:rFonts w:eastAsia="SimSun"/>
        </w:rPr>
        <w:t xml:space="preserve"> </w:t>
      </w:r>
      <w:r w:rsidR="00993C60" w:rsidRPr="00993C60">
        <w:rPr>
          <w:rFonts w:eastAsia="SimSun"/>
          <w:szCs w:val="24"/>
        </w:rPr>
        <w:t>Because earnings growth drives dividend growth and because of the scarcity of dividend forecasts, I have ignored dividend growth and focused on earnings instead.</w:t>
      </w:r>
      <w:r w:rsidR="00C91CE2">
        <w:rPr>
          <w:rFonts w:eastAsia="SimSun"/>
          <w:szCs w:val="24"/>
        </w:rPr>
        <w:t xml:space="preserve"> </w:t>
      </w:r>
      <w:r w:rsidR="00993C60" w:rsidRPr="00993C60">
        <w:rPr>
          <w:rFonts w:eastAsia="SimSun"/>
          <w:szCs w:val="24"/>
        </w:rPr>
        <w:t>After all, it is earnings that are the driving force behind dividends.</w:t>
      </w:r>
    </w:p>
    <w:p w:rsidR="00993C60" w:rsidRPr="00993C60" w:rsidRDefault="008C6DE3" w:rsidP="00540A76">
      <w:pPr>
        <w:pStyle w:val="answer"/>
        <w:ind w:firstLine="0"/>
        <w:rPr>
          <w:rFonts w:eastAsia="SimSun"/>
          <w:szCs w:val="24"/>
        </w:rPr>
      </w:pPr>
      <w:r>
        <w:rPr>
          <w:rFonts w:eastAsia="SimSun"/>
        </w:rPr>
        <w:t xml:space="preserve">Section II.D.1. of this rebuttal testimony </w:t>
      </w:r>
      <w:r w:rsidR="00993C60" w:rsidRPr="00993C60">
        <w:rPr>
          <w:rFonts w:eastAsia="SimSun"/>
          <w:szCs w:val="24"/>
        </w:rPr>
        <w:t>discusse</w:t>
      </w:r>
      <w:r>
        <w:rPr>
          <w:rFonts w:eastAsia="SimSun"/>
          <w:szCs w:val="24"/>
        </w:rPr>
        <w:t>s</w:t>
      </w:r>
      <w:r w:rsidR="00993C60" w:rsidRPr="00993C60">
        <w:rPr>
          <w:rFonts w:eastAsia="SimSun"/>
          <w:szCs w:val="24"/>
        </w:rPr>
        <w:t xml:space="preserve"> the merits of using consensus analysts</w:t>
      </w:r>
      <w:r w:rsidR="00255659">
        <w:rPr>
          <w:rFonts w:eastAsia="SimSun"/>
          <w:szCs w:val="24"/>
        </w:rPr>
        <w:t>’</w:t>
      </w:r>
      <w:r w:rsidR="00993C60" w:rsidRPr="00993C60">
        <w:rPr>
          <w:rFonts w:eastAsia="SimSun"/>
          <w:szCs w:val="24"/>
        </w:rPr>
        <w:t xml:space="preserve"> earnings growth forecasts in the DCF model and the supportive empirical literature</w:t>
      </w:r>
      <w:r>
        <w:rPr>
          <w:rFonts w:eastAsia="SimSun"/>
          <w:szCs w:val="24"/>
        </w:rPr>
        <w:t>, and I do not repeat the discussion here</w:t>
      </w:r>
      <w:r w:rsidR="00993C60" w:rsidRPr="00993C60">
        <w:rPr>
          <w:rFonts w:eastAsia="SimSun"/>
          <w:szCs w:val="24"/>
        </w:rPr>
        <w:t>.</w:t>
      </w:r>
      <w:r w:rsidR="00C91CE2">
        <w:rPr>
          <w:rFonts w:eastAsia="SimSun"/>
          <w:szCs w:val="24"/>
        </w:rPr>
        <w:t xml:space="preserve"> </w:t>
      </w:r>
      <w:r w:rsidR="00993C60" w:rsidRPr="00993C60">
        <w:rPr>
          <w:rFonts w:eastAsia="SimSun"/>
          <w:szCs w:val="24"/>
        </w:rPr>
        <w:t>Briefly, historical growth patterns are already embedded in analyst growth forecasts, and the finance literature strongly supports the use of such forecasts.</w:t>
      </w:r>
    </w:p>
    <w:p w:rsidR="00993C60" w:rsidRPr="00255659" w:rsidRDefault="00D25D7C" w:rsidP="00540A76">
      <w:pPr>
        <w:pStyle w:val="Heading2"/>
      </w:pPr>
      <w:bookmarkStart w:id="58" w:name="_Toc248727614"/>
      <w:bookmarkStart w:id="59" w:name="_Toc489887886"/>
      <w:r>
        <w:lastRenderedPageBreak/>
        <w:t>B</w:t>
      </w:r>
      <w:r w:rsidR="00993C60" w:rsidRPr="00255659">
        <w:t>.</w:t>
      </w:r>
      <w:r w:rsidR="00993C60" w:rsidRPr="00255659">
        <w:tab/>
      </w:r>
      <w:r w:rsidR="00E51C96" w:rsidRPr="00255659">
        <w:t>Mr.</w:t>
      </w:r>
      <w:r w:rsidR="00E51C96">
        <w:t> </w:t>
      </w:r>
      <w:r w:rsidR="00993C60" w:rsidRPr="00255659">
        <w:t>Parcell</w:t>
      </w:r>
      <w:r w:rsidR="00255659">
        <w:t>’</w:t>
      </w:r>
      <w:r w:rsidR="00993C60" w:rsidRPr="00255659">
        <w:t>s CAPM Results Should Be Given Very Little, If Any, Weight</w:t>
      </w:r>
      <w:bookmarkEnd w:id="58"/>
      <w:bookmarkEnd w:id="59"/>
      <w:r w:rsidR="00993C60" w:rsidRPr="00255659">
        <w:t xml:space="preserve"> </w:t>
      </w:r>
    </w:p>
    <w:p w:rsidR="00993C60" w:rsidRPr="00993C60" w:rsidRDefault="00993C60" w:rsidP="00540A76">
      <w:pPr>
        <w:pStyle w:val="question"/>
      </w:pPr>
      <w:r w:rsidRPr="00993C60">
        <w:rPr>
          <w:bCs/>
          <w:szCs w:val="24"/>
          <w:lang w:eastAsia="en-US"/>
        </w:rPr>
        <w:t>Q.</w:t>
      </w:r>
      <w:r w:rsidRPr="00993C60">
        <w:rPr>
          <w:bCs/>
          <w:szCs w:val="24"/>
          <w:lang w:eastAsia="en-US"/>
        </w:rPr>
        <w:tab/>
      </w:r>
      <w:r w:rsidR="00572193" w:rsidRPr="00255659">
        <w:rPr>
          <w:bCs/>
          <w:szCs w:val="24"/>
          <w:lang w:eastAsia="en-US"/>
        </w:rPr>
        <w:t>How much weight should be accorded to the CAPM results under current market circumstances</w:t>
      </w:r>
      <w:r w:rsidRPr="00993C60">
        <w:rPr>
          <w:bCs/>
          <w:szCs w:val="24"/>
          <w:lang w:eastAsia="en-US"/>
        </w:rPr>
        <w:t>?</w:t>
      </w:r>
    </w:p>
    <w:p w:rsidR="00993C60" w:rsidRPr="00255659" w:rsidRDefault="00993C60" w:rsidP="00540A76">
      <w:pPr>
        <w:pStyle w:val="answer"/>
        <w:rPr>
          <w:rFonts w:eastAsia="SimSun"/>
        </w:rPr>
      </w:pPr>
      <w:r w:rsidRPr="00255659">
        <w:rPr>
          <w:rFonts w:eastAsia="SimSun"/>
        </w:rPr>
        <w:t>A.</w:t>
      </w:r>
      <w:r w:rsidRPr="00255659">
        <w:rPr>
          <w:rFonts w:eastAsia="SimSun"/>
        </w:rPr>
        <w:tab/>
      </w:r>
      <w:r w:rsidR="00E51C96" w:rsidRPr="00255659">
        <w:rPr>
          <w:rFonts w:eastAsia="SimSun"/>
        </w:rPr>
        <w:t>Mr.</w:t>
      </w:r>
      <w:r w:rsidR="00E51C96">
        <w:rPr>
          <w:rFonts w:eastAsia="SimSun"/>
        </w:rPr>
        <w:t> </w:t>
      </w:r>
      <w:r w:rsidRPr="00255659">
        <w:rPr>
          <w:rFonts w:eastAsia="SimSun"/>
        </w:rPr>
        <w:t xml:space="preserve">Parcell </w:t>
      </w:r>
      <w:r w:rsidR="008C6DE3">
        <w:rPr>
          <w:rFonts w:eastAsia="SimSun"/>
        </w:rPr>
        <w:t xml:space="preserve">appears to </w:t>
      </w:r>
      <w:r w:rsidRPr="00255659">
        <w:rPr>
          <w:rFonts w:eastAsia="SimSun"/>
        </w:rPr>
        <w:t>largely ignore</w:t>
      </w:r>
      <w:r w:rsidR="008C6DE3">
        <w:rPr>
          <w:rFonts w:eastAsia="SimSun"/>
        </w:rPr>
        <w:t xml:space="preserve"> his</w:t>
      </w:r>
      <w:r w:rsidRPr="00255659">
        <w:rPr>
          <w:rFonts w:eastAsia="SimSun"/>
        </w:rPr>
        <w:t xml:space="preserve"> CAPM estimates in </w:t>
      </w:r>
      <w:r w:rsidR="008C6DE3">
        <w:rPr>
          <w:rFonts w:eastAsia="SimSun"/>
        </w:rPr>
        <w:t xml:space="preserve">making his </w:t>
      </w:r>
      <w:r w:rsidRPr="00255659">
        <w:rPr>
          <w:rFonts w:eastAsia="SimSun"/>
        </w:rPr>
        <w:t xml:space="preserve">final </w:t>
      </w:r>
      <w:r w:rsidR="008C6DE3">
        <w:rPr>
          <w:rFonts w:eastAsia="SimSun"/>
        </w:rPr>
        <w:t xml:space="preserve">return on equity recommended for </w:t>
      </w:r>
      <w:r w:rsidRPr="00255659">
        <w:rPr>
          <w:rFonts w:eastAsia="SimSun"/>
        </w:rPr>
        <w:t>PSE.</w:t>
      </w:r>
      <w:r w:rsidR="00C91CE2">
        <w:rPr>
          <w:rFonts w:eastAsia="SimSun"/>
        </w:rPr>
        <w:t xml:space="preserve"> </w:t>
      </w:r>
      <w:r w:rsidRPr="00255659">
        <w:rPr>
          <w:rFonts w:eastAsia="SimSun"/>
        </w:rPr>
        <w:t xml:space="preserve">To the extent that </w:t>
      </w:r>
      <w:r w:rsidR="00E51C96" w:rsidRPr="00255659">
        <w:rPr>
          <w:rFonts w:eastAsia="SimSun"/>
        </w:rPr>
        <w:t>Mr.</w:t>
      </w:r>
      <w:r w:rsidR="00E51C96">
        <w:rPr>
          <w:rFonts w:eastAsia="SimSun"/>
        </w:rPr>
        <w:t> </w:t>
      </w:r>
      <w:r w:rsidRPr="00255659">
        <w:rPr>
          <w:rFonts w:eastAsia="SimSun"/>
        </w:rPr>
        <w:t xml:space="preserve">Parcell has accorded any weight to his CAPM results (and </w:t>
      </w:r>
      <w:r w:rsidR="008C6DE3">
        <w:rPr>
          <w:rFonts w:eastAsia="SimSun"/>
        </w:rPr>
        <w:t>it does not appear that he did</w:t>
      </w:r>
      <w:r w:rsidRPr="00255659">
        <w:rPr>
          <w:rFonts w:eastAsia="SimSun"/>
        </w:rPr>
        <w:t xml:space="preserve">), he should have derived a much higher estimate. If the Commission were to accord any weight to </w:t>
      </w:r>
      <w:r w:rsidR="00E51C96" w:rsidRPr="00255659">
        <w:rPr>
          <w:rFonts w:eastAsia="SimSun"/>
        </w:rPr>
        <w:t>Mr.</w:t>
      </w:r>
      <w:r w:rsidR="00E51C96">
        <w:rPr>
          <w:rFonts w:eastAsia="SimSun"/>
        </w:rPr>
        <w:t> </w:t>
      </w:r>
      <w:r w:rsidRPr="00255659">
        <w:rPr>
          <w:rFonts w:eastAsia="SimSun"/>
        </w:rPr>
        <w:t>Parcell</w:t>
      </w:r>
      <w:r w:rsidR="00255659">
        <w:rPr>
          <w:rFonts w:eastAsia="SimSun"/>
        </w:rPr>
        <w:t>’</w:t>
      </w:r>
      <w:r w:rsidRPr="00255659">
        <w:rPr>
          <w:rFonts w:eastAsia="SimSun"/>
        </w:rPr>
        <w:t xml:space="preserve">s CAPM results, the following comments on </w:t>
      </w:r>
      <w:r w:rsidR="00E51C96" w:rsidRPr="00255659">
        <w:rPr>
          <w:rFonts w:eastAsia="SimSun"/>
        </w:rPr>
        <w:t>Mr.</w:t>
      </w:r>
      <w:r w:rsidR="00E51C96">
        <w:rPr>
          <w:rFonts w:eastAsia="SimSun"/>
        </w:rPr>
        <w:t> </w:t>
      </w:r>
      <w:r w:rsidRPr="00255659">
        <w:rPr>
          <w:rFonts w:eastAsia="SimSun"/>
        </w:rPr>
        <w:t>Parcell</w:t>
      </w:r>
      <w:r w:rsidR="00255659">
        <w:rPr>
          <w:rFonts w:eastAsia="SimSun"/>
        </w:rPr>
        <w:t>’</w:t>
      </w:r>
      <w:r w:rsidRPr="00255659">
        <w:rPr>
          <w:rFonts w:eastAsia="SimSun"/>
        </w:rPr>
        <w:t>s CAPM analysis are germane.</w:t>
      </w:r>
    </w:p>
    <w:p w:rsidR="00993C60" w:rsidRPr="00255659" w:rsidRDefault="00D25D7C" w:rsidP="00D25D7C">
      <w:pPr>
        <w:pStyle w:val="Heading3"/>
      </w:pPr>
      <w:bookmarkStart w:id="60" w:name="_Toc248727615"/>
      <w:bookmarkStart w:id="61" w:name="_Toc120165577"/>
      <w:bookmarkStart w:id="62" w:name="_Toc230520073"/>
      <w:bookmarkStart w:id="63" w:name="_Toc489887887"/>
      <w:r>
        <w:t>1</w:t>
      </w:r>
      <w:r w:rsidR="00993C60" w:rsidRPr="00255659">
        <w:t>.</w:t>
      </w:r>
      <w:r w:rsidR="00993C60" w:rsidRPr="00255659">
        <w:tab/>
      </w:r>
      <w:r w:rsidR="00E51C96" w:rsidRPr="00255659">
        <w:t>Mr.</w:t>
      </w:r>
      <w:r w:rsidR="00E51C96">
        <w:t> </w:t>
      </w:r>
      <w:r w:rsidR="00993C60" w:rsidRPr="00255659">
        <w:t>Parcell</w:t>
      </w:r>
      <w:r w:rsidR="00255659">
        <w:t>’</w:t>
      </w:r>
      <w:r w:rsidR="00993C60" w:rsidRPr="00255659">
        <w:t>s Risk-Free Rate Proxy in His CAPM Analysis Should Be Predicated on Interest Rate Forecasts</w:t>
      </w:r>
      <w:bookmarkEnd w:id="60"/>
      <w:bookmarkEnd w:id="63"/>
    </w:p>
    <w:bookmarkEnd w:id="61"/>
    <w:bookmarkEnd w:id="62"/>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Do</w:t>
      </w:r>
      <w:r w:rsidR="000B6D9B">
        <w:rPr>
          <w:bCs/>
          <w:szCs w:val="24"/>
          <w:lang w:eastAsia="en-US"/>
        </w:rPr>
        <w:t>es</w:t>
      </w:r>
      <w:r w:rsidRPr="00255659">
        <w:rPr>
          <w:bCs/>
          <w:szCs w:val="24"/>
          <w:lang w:eastAsia="en-US"/>
        </w:rPr>
        <w:t xml:space="preserve"> </w:t>
      </w:r>
      <w:r w:rsidR="00E51C96" w:rsidRPr="00255659">
        <w:t>Mr.</w:t>
      </w:r>
      <w:r w:rsidR="00E51C96">
        <w:t> </w:t>
      </w:r>
      <w:r w:rsidRPr="00255659">
        <w:rPr>
          <w:bCs/>
          <w:szCs w:val="24"/>
          <w:lang w:eastAsia="en-US"/>
        </w:rPr>
        <w:t>Parcell</w:t>
      </w:r>
      <w:r w:rsidR="000B6D9B">
        <w:rPr>
          <w:bCs/>
          <w:szCs w:val="24"/>
          <w:lang w:eastAsia="en-US"/>
        </w:rPr>
        <w:t xml:space="preserve"> use an appropriate </w:t>
      </w:r>
      <w:r w:rsidRPr="00255659">
        <w:rPr>
          <w:bCs/>
          <w:szCs w:val="24"/>
          <w:lang w:eastAsia="en-US"/>
        </w:rPr>
        <w:t>risk-free rate proxy in his CAPM analysis?</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No.</w:t>
      </w:r>
      <w:r w:rsidR="00C91CE2">
        <w:rPr>
          <w:rFonts w:eastAsia="SimSun"/>
        </w:rPr>
        <w:t xml:space="preserve"> </w:t>
      </w:r>
      <w:r w:rsidR="000B6D9B" w:rsidRPr="00255659">
        <w:t>Mr.</w:t>
      </w:r>
      <w:r w:rsidR="000B6D9B">
        <w:t> </w:t>
      </w:r>
      <w:r w:rsidR="000B6D9B" w:rsidRPr="00255659">
        <w:rPr>
          <w:bCs/>
          <w:szCs w:val="24"/>
          <w:lang w:eastAsia="en-US"/>
        </w:rPr>
        <w:t>Parcell</w:t>
      </w:r>
      <w:r w:rsidR="000B6D9B">
        <w:rPr>
          <w:bCs/>
          <w:szCs w:val="24"/>
          <w:lang w:eastAsia="en-US"/>
        </w:rPr>
        <w:t xml:space="preserve">’s </w:t>
      </w:r>
      <w:r w:rsidR="000B6D9B" w:rsidRPr="00255659">
        <w:rPr>
          <w:bCs/>
          <w:szCs w:val="24"/>
          <w:lang w:eastAsia="en-US"/>
        </w:rPr>
        <w:t>risk-free rate proxy in his CAPM analysis</w:t>
      </w:r>
      <w:r w:rsidR="000B6D9B" w:rsidRPr="00255659">
        <w:rPr>
          <w:rFonts w:eastAsia="SimSun"/>
        </w:rPr>
        <w:t xml:space="preserve"> </w:t>
      </w:r>
      <w:r w:rsidR="000B6D9B">
        <w:rPr>
          <w:rFonts w:eastAsia="SimSun"/>
        </w:rPr>
        <w:t xml:space="preserve">is not appropriate for this proceeding. </w:t>
      </w:r>
      <w:r w:rsidR="00993C60" w:rsidRPr="00255659">
        <w:rPr>
          <w:rFonts w:eastAsia="SimSun"/>
        </w:rPr>
        <w:t xml:space="preserve">As a proxy for the risk-free rate, </w:t>
      </w:r>
      <w:r w:rsidR="00E51C96" w:rsidRPr="00255659">
        <w:rPr>
          <w:rFonts w:eastAsia="SimSun"/>
        </w:rPr>
        <w:t>Mr.</w:t>
      </w:r>
      <w:r w:rsidR="00E51C96">
        <w:rPr>
          <w:rFonts w:eastAsia="SimSun"/>
        </w:rPr>
        <w:t> </w:t>
      </w:r>
      <w:r w:rsidR="00993C60" w:rsidRPr="00255659">
        <w:rPr>
          <w:rFonts w:eastAsia="SimSun"/>
        </w:rPr>
        <w:t>Parcell uses 2.73</w:t>
      </w:r>
      <w:r w:rsidR="008C6DE3">
        <w:rPr>
          <w:rFonts w:eastAsia="SimSun"/>
        </w:rPr>
        <w:t> percent</w:t>
      </w:r>
      <w:r w:rsidR="00993C60" w:rsidRPr="00255659">
        <w:rPr>
          <w:rFonts w:eastAsia="SimSun"/>
        </w:rPr>
        <w:t xml:space="preserve">, which is the average yield on 20-year Treasury bonds for the </w:t>
      </w:r>
      <w:r w:rsidR="008C6DE3">
        <w:rPr>
          <w:rFonts w:eastAsia="SimSun"/>
        </w:rPr>
        <w:t>three-</w:t>
      </w:r>
      <w:r w:rsidR="00993C60" w:rsidRPr="00255659">
        <w:rPr>
          <w:rFonts w:eastAsia="SimSun"/>
        </w:rPr>
        <w:t>month period March</w:t>
      </w:r>
      <w:r w:rsidR="00C57B85">
        <w:rPr>
          <w:rFonts w:eastAsia="SimSun"/>
        </w:rPr>
        <w:t> 2</w:t>
      </w:r>
      <w:r w:rsidR="00993C60" w:rsidRPr="00255659">
        <w:rPr>
          <w:rFonts w:eastAsia="SimSun"/>
        </w:rPr>
        <w:t>0</w:t>
      </w:r>
      <w:r w:rsidR="00C57B85">
        <w:rPr>
          <w:rFonts w:eastAsia="SimSun"/>
        </w:rPr>
        <w:t>1</w:t>
      </w:r>
      <w:r w:rsidR="00993C60" w:rsidRPr="00255659">
        <w:rPr>
          <w:rFonts w:eastAsia="SimSun"/>
        </w:rPr>
        <w:t xml:space="preserve">7 </w:t>
      </w:r>
      <w:r w:rsidR="00C57B85">
        <w:rPr>
          <w:rFonts w:eastAsia="SimSun"/>
        </w:rPr>
        <w:t xml:space="preserve">to </w:t>
      </w:r>
      <w:r w:rsidR="00993C60" w:rsidRPr="00255659">
        <w:rPr>
          <w:rFonts w:eastAsia="SimSun"/>
        </w:rPr>
        <w:t>May</w:t>
      </w:r>
      <w:r w:rsidR="00C57B85">
        <w:rPr>
          <w:rFonts w:eastAsia="SimSun"/>
        </w:rPr>
        <w:t> </w:t>
      </w:r>
      <w:r w:rsidR="00993C60" w:rsidRPr="00255659">
        <w:rPr>
          <w:rFonts w:eastAsia="SimSun"/>
        </w:rPr>
        <w:t>2017.</w:t>
      </w:r>
      <w:r w:rsidR="000B6D9B">
        <w:rPr>
          <w:rStyle w:val="FootnoteReference"/>
          <w:rFonts w:eastAsia="SimSun"/>
        </w:rPr>
        <w:footnoteReference w:id="78"/>
      </w:r>
      <w:r w:rsidR="008C6DE3">
        <w:rPr>
          <w:rFonts w:eastAsia="SimSun"/>
        </w:rPr>
        <w:t xml:space="preserve"> For the reasons </w:t>
      </w:r>
      <w:r w:rsidR="00993C60" w:rsidRPr="00255659">
        <w:rPr>
          <w:rFonts w:eastAsia="SimSun"/>
        </w:rPr>
        <w:t xml:space="preserve">discussed </w:t>
      </w:r>
      <w:r w:rsidR="008C6DE3">
        <w:rPr>
          <w:rFonts w:eastAsia="SimSun"/>
        </w:rPr>
        <w:t xml:space="preserve">in Section II.C.2. of this rebuttal testimony, </w:t>
      </w:r>
      <w:r w:rsidR="00E51C96" w:rsidRPr="00255659">
        <w:rPr>
          <w:rFonts w:eastAsia="SimSun"/>
        </w:rPr>
        <w:t>Mr.</w:t>
      </w:r>
      <w:r w:rsidR="00E51C96">
        <w:rPr>
          <w:rFonts w:eastAsia="SimSun"/>
        </w:rPr>
        <w:t> </w:t>
      </w:r>
      <w:r w:rsidR="00993C60" w:rsidRPr="00255659">
        <w:rPr>
          <w:rFonts w:eastAsia="SimSun"/>
        </w:rPr>
        <w:t>Parcell should have used the consensus interest rate forecast of 4.40</w:t>
      </w:r>
      <w:r w:rsidR="008C6DE3">
        <w:rPr>
          <w:rFonts w:eastAsia="SimSun"/>
        </w:rPr>
        <w:t> percent</w:t>
      </w:r>
      <w:r w:rsidR="00993C60" w:rsidRPr="00255659">
        <w:rPr>
          <w:rFonts w:eastAsia="SimSun"/>
        </w:rPr>
        <w:t>.</w:t>
      </w:r>
      <w:r w:rsidR="00C91CE2">
        <w:rPr>
          <w:rFonts w:eastAsia="SimSun"/>
        </w:rPr>
        <w:t xml:space="preserve"> </w:t>
      </w:r>
      <w:r w:rsidR="00993C60" w:rsidRPr="00255659">
        <w:rPr>
          <w:rFonts w:eastAsia="SimSun"/>
        </w:rPr>
        <w:t>This correction alone would raise his CAPM estimates by 1.67</w:t>
      </w:r>
      <w:r w:rsidR="008C6DE3">
        <w:rPr>
          <w:rFonts w:eastAsia="SimSun"/>
        </w:rPr>
        <w:t> percent</w:t>
      </w:r>
      <w:r w:rsidR="00993C60" w:rsidRPr="00255659">
        <w:rPr>
          <w:rFonts w:eastAsia="SimSun"/>
        </w:rPr>
        <w:t xml:space="preserve"> (4.40%</w:t>
      </w:r>
      <w:r w:rsidR="008C6DE3">
        <w:rPr>
          <w:rFonts w:eastAsia="SimSun"/>
        </w:rPr>
        <w:t> – </w:t>
      </w:r>
      <w:r w:rsidR="00993C60" w:rsidRPr="00255659">
        <w:rPr>
          <w:rFonts w:eastAsia="SimSun"/>
        </w:rPr>
        <w:t>2.73%</w:t>
      </w:r>
      <w:r w:rsidR="008C6DE3">
        <w:rPr>
          <w:rFonts w:eastAsia="SimSun"/>
        </w:rPr>
        <w:t xml:space="preserve"> = 1.67%</w:t>
      </w:r>
      <w:r w:rsidR="00993C60" w:rsidRPr="00255659">
        <w:rPr>
          <w:rFonts w:eastAsia="SimSun"/>
        </w:rPr>
        <w:t>)</w:t>
      </w:r>
      <w:r w:rsidR="008C6DE3">
        <w:rPr>
          <w:rFonts w:eastAsia="SimSun"/>
        </w:rPr>
        <w:t>.</w:t>
      </w:r>
    </w:p>
    <w:p w:rsidR="00993C60" w:rsidRPr="00255659" w:rsidRDefault="00D25D7C" w:rsidP="00D25D7C">
      <w:pPr>
        <w:pStyle w:val="Heading3"/>
      </w:pPr>
      <w:bookmarkStart w:id="64" w:name="_Toc248727616"/>
      <w:bookmarkStart w:id="65" w:name="_Toc489887888"/>
      <w:r>
        <w:lastRenderedPageBreak/>
        <w:t>2</w:t>
      </w:r>
      <w:r w:rsidR="00993C60" w:rsidRPr="00255659">
        <w:t>.</w:t>
      </w:r>
      <w:r w:rsidR="00993C60" w:rsidRPr="00255659">
        <w:tab/>
      </w:r>
      <w:r w:rsidR="00E51C96" w:rsidRPr="00255659">
        <w:t>Mr.</w:t>
      </w:r>
      <w:r w:rsidR="00E51C96">
        <w:t> </w:t>
      </w:r>
      <w:r w:rsidR="00993C60" w:rsidRPr="00255659">
        <w:t>Parcell</w:t>
      </w:r>
      <w:r w:rsidR="00255659">
        <w:t>’</w:t>
      </w:r>
      <w:r w:rsidR="00993C60" w:rsidRPr="00255659">
        <w:t>s Beta Estimate in His CAPM Analysis Is Reasonable</w:t>
      </w:r>
      <w:bookmarkEnd w:id="64"/>
      <w:bookmarkEnd w:id="65"/>
      <w:r w:rsidR="00993C60" w:rsidRPr="00255659">
        <w:t xml:space="preserve"> </w:t>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000B6D9B" w:rsidRPr="00255659">
        <w:rPr>
          <w:bCs/>
          <w:szCs w:val="24"/>
          <w:lang w:eastAsia="en-US"/>
        </w:rPr>
        <w:t>Do</w:t>
      </w:r>
      <w:r w:rsidR="000B6D9B">
        <w:rPr>
          <w:bCs/>
          <w:szCs w:val="24"/>
          <w:lang w:eastAsia="en-US"/>
        </w:rPr>
        <w:t>es</w:t>
      </w:r>
      <w:r w:rsidR="000B6D9B" w:rsidRPr="00255659">
        <w:rPr>
          <w:bCs/>
          <w:szCs w:val="24"/>
          <w:lang w:eastAsia="en-US"/>
        </w:rPr>
        <w:t xml:space="preserve"> </w:t>
      </w:r>
      <w:r w:rsidR="000B6D9B" w:rsidRPr="00255659">
        <w:t>Mr.</w:t>
      </w:r>
      <w:r w:rsidR="000B6D9B">
        <w:t> </w:t>
      </w:r>
      <w:r w:rsidR="000B6D9B" w:rsidRPr="00255659">
        <w:rPr>
          <w:bCs/>
          <w:szCs w:val="24"/>
          <w:lang w:eastAsia="en-US"/>
        </w:rPr>
        <w:t>Parcell</w:t>
      </w:r>
      <w:r w:rsidR="000B6D9B">
        <w:rPr>
          <w:bCs/>
          <w:szCs w:val="24"/>
          <w:lang w:eastAsia="en-US"/>
        </w:rPr>
        <w:t xml:space="preserve"> use an appropriate beta estimate </w:t>
      </w:r>
      <w:r w:rsidR="000B6D9B" w:rsidRPr="00255659">
        <w:rPr>
          <w:bCs/>
          <w:szCs w:val="24"/>
          <w:lang w:eastAsia="en-US"/>
        </w:rPr>
        <w:t>in his CAPM analysis?</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r>
      <w:r w:rsidR="000B6D9B">
        <w:rPr>
          <w:rFonts w:eastAsia="SimSun"/>
        </w:rPr>
        <w:t>Yes</w:t>
      </w:r>
      <w:r w:rsidR="00993C60" w:rsidRPr="00255659">
        <w:rPr>
          <w:rFonts w:eastAsia="SimSun"/>
        </w:rPr>
        <w:t>.</w:t>
      </w:r>
      <w:r w:rsidR="00C91CE2">
        <w:rPr>
          <w:rFonts w:eastAsia="SimSun"/>
        </w:rPr>
        <w:t xml:space="preserve"> </w:t>
      </w:r>
      <w:r w:rsidR="000B6D9B">
        <w:rPr>
          <w:rFonts w:eastAsia="SimSun"/>
        </w:rPr>
        <w:t xml:space="preserve">Mr. Parcell used </w:t>
      </w:r>
      <w:r w:rsidR="000B6D9B" w:rsidRPr="000B6D9B">
        <w:rPr>
          <w:rFonts w:eastAsia="SimSun"/>
        </w:rPr>
        <w:t>the most recent Value Line betas for each company in the proxy</w:t>
      </w:r>
      <w:r w:rsidR="000B6D9B">
        <w:rPr>
          <w:rFonts w:eastAsia="SimSun"/>
        </w:rPr>
        <w:t xml:space="preserve"> </w:t>
      </w:r>
      <w:r w:rsidR="000B6D9B" w:rsidRPr="000B6D9B">
        <w:rPr>
          <w:rFonts w:eastAsia="SimSun"/>
        </w:rPr>
        <w:t>groups</w:t>
      </w:r>
      <w:r w:rsidR="000B6D9B">
        <w:rPr>
          <w:rFonts w:eastAsia="SimSun"/>
        </w:rPr>
        <w:t>, which is appropriate</w:t>
      </w:r>
      <w:r w:rsidR="000B6D9B" w:rsidRPr="000B6D9B">
        <w:rPr>
          <w:rFonts w:eastAsia="SimSun"/>
        </w:rPr>
        <w:t>.</w:t>
      </w:r>
      <w:r w:rsidR="000B6D9B">
        <w:rPr>
          <w:rStyle w:val="FootnoteReference"/>
          <w:rFonts w:eastAsia="SimSun"/>
        </w:rPr>
        <w:footnoteReference w:id="79"/>
      </w:r>
    </w:p>
    <w:p w:rsidR="00993C60" w:rsidRPr="00255659" w:rsidRDefault="00D25D7C" w:rsidP="00D25D7C">
      <w:pPr>
        <w:pStyle w:val="Heading3"/>
      </w:pPr>
      <w:bookmarkStart w:id="66" w:name="_Toc248727617"/>
      <w:bookmarkStart w:id="67" w:name="_Toc489887889"/>
      <w:r>
        <w:t>3</w:t>
      </w:r>
      <w:r w:rsidR="00993C60" w:rsidRPr="00255659">
        <w:t>.</w:t>
      </w:r>
      <w:r w:rsidR="00993C60" w:rsidRPr="00255659">
        <w:tab/>
      </w:r>
      <w:r w:rsidR="00E51C96" w:rsidRPr="00255659">
        <w:t>Mr.</w:t>
      </w:r>
      <w:r w:rsidR="00E51C96">
        <w:t> </w:t>
      </w:r>
      <w:r w:rsidR="00993C60" w:rsidRPr="00255659">
        <w:t>Parcell</w:t>
      </w:r>
      <w:r w:rsidR="00255659">
        <w:t>’</w:t>
      </w:r>
      <w:r w:rsidR="00993C60" w:rsidRPr="00255659">
        <w:t>s Market Risk Premium of 5.8</w:t>
      </w:r>
      <w:r w:rsidR="000B6D9B">
        <w:t xml:space="preserve"> Percent </w:t>
      </w:r>
      <w:r w:rsidR="00993C60" w:rsidRPr="00255659">
        <w:t>Understates the Market Risk Premium</w:t>
      </w:r>
      <w:bookmarkEnd w:id="66"/>
      <w:bookmarkEnd w:id="67"/>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How does </w:t>
      </w:r>
      <w:r w:rsidR="00E51C96" w:rsidRPr="00255659">
        <w:t>Mr.</w:t>
      </w:r>
      <w:r w:rsidR="00E51C96">
        <w:t> </w:t>
      </w:r>
      <w:r w:rsidRPr="00255659">
        <w:rPr>
          <w:bCs/>
          <w:szCs w:val="24"/>
          <w:lang w:eastAsia="en-US"/>
        </w:rPr>
        <w:t xml:space="preserve">Parcell estimate the </w:t>
      </w:r>
      <w:r w:rsidR="000B6D9B">
        <w:rPr>
          <w:bCs/>
          <w:szCs w:val="24"/>
          <w:lang w:eastAsia="en-US"/>
        </w:rPr>
        <w:t xml:space="preserve">market risk premium </w:t>
      </w:r>
      <w:r w:rsidRPr="00255659">
        <w:rPr>
          <w:bCs/>
          <w:szCs w:val="24"/>
          <w:lang w:eastAsia="en-US"/>
        </w:rPr>
        <w:t>component of his CAPM analysis</w:t>
      </w:r>
      <w:r w:rsidR="00993C60" w:rsidRPr="00993C60">
        <w:rPr>
          <w:bCs/>
          <w:szCs w:val="24"/>
          <w:lang w:eastAsia="en-US"/>
        </w:rPr>
        <w:t>?</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 xml:space="preserve">In order to determine the </w:t>
      </w:r>
      <w:r w:rsidR="000B6D9B">
        <w:rPr>
          <w:rFonts w:eastAsia="SimSun"/>
        </w:rPr>
        <w:t xml:space="preserve">market risk premium </w:t>
      </w:r>
      <w:r w:rsidR="00993C60" w:rsidRPr="00255659">
        <w:rPr>
          <w:rFonts w:eastAsia="SimSun"/>
        </w:rPr>
        <w:t xml:space="preserve">component of his CAPM analysis, </w:t>
      </w:r>
      <w:r w:rsidR="00E51C96" w:rsidRPr="00255659">
        <w:rPr>
          <w:rFonts w:eastAsia="SimSun"/>
        </w:rPr>
        <w:t>Mr.</w:t>
      </w:r>
      <w:r w:rsidR="00E51C96">
        <w:rPr>
          <w:rFonts w:eastAsia="SimSun"/>
        </w:rPr>
        <w:t> </w:t>
      </w:r>
      <w:r w:rsidR="00993C60" w:rsidRPr="00255659">
        <w:rPr>
          <w:rFonts w:eastAsia="SimSun"/>
        </w:rPr>
        <w:t>Parcell relies on three estimates.</w:t>
      </w:r>
      <w:r w:rsidR="00C91CE2">
        <w:rPr>
          <w:rFonts w:eastAsia="SimSun"/>
        </w:rPr>
        <w:t xml:space="preserve"> </w:t>
      </w:r>
      <w:r w:rsidR="00993C60" w:rsidRPr="00255659">
        <w:rPr>
          <w:rFonts w:eastAsia="SimSun"/>
        </w:rPr>
        <w:t xml:space="preserve">First, </w:t>
      </w:r>
      <w:r w:rsidR="000B6D9B">
        <w:rPr>
          <w:rFonts w:eastAsia="SimSun"/>
        </w:rPr>
        <w:t>Mr. Parcell</w:t>
      </w:r>
      <w:r w:rsidR="00993C60" w:rsidRPr="00255659">
        <w:rPr>
          <w:rFonts w:eastAsia="SimSun"/>
        </w:rPr>
        <w:t xml:space="preserve"> examines the difference between the accounting returns on book equity for the S&amp;P 500 Index companies group over the 1978</w:t>
      </w:r>
      <w:r w:rsidR="00993C60" w:rsidRPr="00255659">
        <w:rPr>
          <w:rFonts w:eastAsia="SimSun"/>
        </w:rPr>
        <w:noBreakHyphen/>
        <w:t>2016 period and the contemporaneous level of 20-year Treasury bond yields.</w:t>
      </w:r>
      <w:r w:rsidR="000B6D9B">
        <w:rPr>
          <w:rStyle w:val="FootnoteReference"/>
          <w:rFonts w:eastAsia="SimSun"/>
        </w:rPr>
        <w:footnoteReference w:id="80"/>
      </w:r>
      <w:r w:rsidR="00C91CE2">
        <w:rPr>
          <w:rFonts w:eastAsia="SimSun"/>
        </w:rPr>
        <w:t xml:space="preserve"> </w:t>
      </w:r>
      <w:r w:rsidR="00993C60" w:rsidRPr="00255659">
        <w:rPr>
          <w:rFonts w:eastAsia="SimSun"/>
        </w:rPr>
        <w:t>The average spread (</w:t>
      </w:r>
      <w:r w:rsidR="000B6D9B">
        <w:rPr>
          <w:rFonts w:eastAsia="SimSun"/>
        </w:rPr>
        <w:t>i.e., the market risk premium</w:t>
      </w:r>
      <w:r w:rsidR="00131B28">
        <w:rPr>
          <w:rFonts w:eastAsia="SimSun"/>
        </w:rPr>
        <w:t>) is 7.0</w:t>
      </w:r>
      <w:r w:rsidR="000B6D9B">
        <w:rPr>
          <w:rFonts w:eastAsia="SimSun"/>
        </w:rPr>
        <w:t> percent</w:t>
      </w:r>
      <w:r w:rsidR="00131B28" w:rsidRPr="00255659">
        <w:rPr>
          <w:rFonts w:eastAsia="SimSun"/>
        </w:rPr>
        <w:t>.</w:t>
      </w:r>
      <w:r w:rsidR="00131B28">
        <w:rPr>
          <w:rStyle w:val="FootnoteReference"/>
          <w:rFonts w:eastAsia="SimSun"/>
        </w:rPr>
        <w:footnoteReference w:id="81"/>
      </w:r>
      <w:r w:rsidR="00131B28">
        <w:rPr>
          <w:rFonts w:eastAsia="SimSun"/>
        </w:rPr>
        <w:t xml:space="preserve"> </w:t>
      </w:r>
      <w:r w:rsidR="00993C60" w:rsidRPr="00255659">
        <w:rPr>
          <w:rFonts w:eastAsia="SimSun"/>
        </w:rPr>
        <w:t xml:space="preserve">Second, </w:t>
      </w:r>
      <w:r w:rsidR="000B6D9B">
        <w:rPr>
          <w:rFonts w:eastAsia="SimSun"/>
        </w:rPr>
        <w:t>Mr. Parcell</w:t>
      </w:r>
      <w:r w:rsidR="00993C60" w:rsidRPr="00255659">
        <w:rPr>
          <w:rFonts w:eastAsia="SimSun"/>
        </w:rPr>
        <w:t xml:space="preserve"> relies on </w:t>
      </w:r>
      <w:r w:rsidR="000B6D9B">
        <w:rPr>
          <w:rFonts w:eastAsia="SimSun"/>
        </w:rPr>
        <w:t xml:space="preserve">a </w:t>
      </w:r>
      <w:r w:rsidR="00993C60" w:rsidRPr="00255659">
        <w:rPr>
          <w:rFonts w:eastAsia="SimSun"/>
        </w:rPr>
        <w:t xml:space="preserve">long-term historical </w:t>
      </w:r>
      <w:r w:rsidR="000B6D9B">
        <w:rPr>
          <w:rFonts w:eastAsia="SimSun"/>
        </w:rPr>
        <w:t xml:space="preserve">market risk premium of </w:t>
      </w:r>
      <w:r w:rsidR="00131B28">
        <w:rPr>
          <w:rFonts w:eastAsia="SimSun"/>
        </w:rPr>
        <w:t>6</w:t>
      </w:r>
      <w:r w:rsidR="000B6D9B" w:rsidRPr="00255659">
        <w:rPr>
          <w:rFonts w:eastAsia="SimSun"/>
        </w:rPr>
        <w:t>.</w:t>
      </w:r>
      <w:r w:rsidR="00131B28">
        <w:rPr>
          <w:rFonts w:eastAsia="SimSun"/>
        </w:rPr>
        <w:t>0</w:t>
      </w:r>
      <w:r w:rsidR="000B6D9B">
        <w:rPr>
          <w:rFonts w:eastAsia="SimSun"/>
        </w:rPr>
        <w:t> percent</w:t>
      </w:r>
      <w:r w:rsidR="000B6D9B" w:rsidRPr="00255659">
        <w:rPr>
          <w:rFonts w:eastAsia="SimSun"/>
        </w:rPr>
        <w:t xml:space="preserve"> </w:t>
      </w:r>
      <w:r w:rsidR="00993C60" w:rsidRPr="00255659">
        <w:rPr>
          <w:rFonts w:eastAsia="SimSun"/>
        </w:rPr>
        <w:t>tabulated by Duff &amp; Phelps for the 1926-2016 period based on arithmetic averages.</w:t>
      </w:r>
      <w:r w:rsidR="000B6D9B">
        <w:rPr>
          <w:rStyle w:val="FootnoteReference"/>
          <w:rFonts w:eastAsia="SimSun"/>
        </w:rPr>
        <w:footnoteReference w:id="82"/>
      </w:r>
      <w:r w:rsidR="00C91CE2">
        <w:rPr>
          <w:rFonts w:eastAsia="SimSun"/>
        </w:rPr>
        <w:t xml:space="preserve"> </w:t>
      </w:r>
      <w:r w:rsidR="00993C60" w:rsidRPr="00255659">
        <w:rPr>
          <w:rFonts w:eastAsia="SimSun"/>
        </w:rPr>
        <w:t xml:space="preserve">Third, </w:t>
      </w:r>
      <w:r w:rsidR="000B6D9B">
        <w:rPr>
          <w:rFonts w:eastAsia="SimSun"/>
        </w:rPr>
        <w:t xml:space="preserve">Mr. Parcell </w:t>
      </w:r>
      <w:r w:rsidR="00993C60" w:rsidRPr="00255659">
        <w:rPr>
          <w:rFonts w:eastAsia="SimSun"/>
        </w:rPr>
        <w:t xml:space="preserve">relies on the long-term historical market risk premium </w:t>
      </w:r>
      <w:r w:rsidR="00131B28">
        <w:rPr>
          <w:rFonts w:eastAsia="SimSun"/>
        </w:rPr>
        <w:t xml:space="preserve">of </w:t>
      </w:r>
      <w:r w:rsidR="00131B28" w:rsidRPr="00255659">
        <w:rPr>
          <w:rFonts w:eastAsia="SimSun"/>
        </w:rPr>
        <w:t>4.5</w:t>
      </w:r>
      <w:r w:rsidR="00131B28">
        <w:rPr>
          <w:rFonts w:eastAsia="SimSun"/>
        </w:rPr>
        <w:t> percent</w:t>
      </w:r>
      <w:r w:rsidR="00131B28" w:rsidRPr="00255659">
        <w:rPr>
          <w:rFonts w:eastAsia="SimSun"/>
        </w:rPr>
        <w:t xml:space="preserve"> </w:t>
      </w:r>
      <w:r w:rsidR="00993C60" w:rsidRPr="00255659">
        <w:rPr>
          <w:rFonts w:eastAsia="SimSun"/>
        </w:rPr>
        <w:t>reported in the same publication for the same period but this time based on geometric averages.</w:t>
      </w:r>
      <w:r w:rsidR="00131B28">
        <w:rPr>
          <w:rStyle w:val="FootnoteReference"/>
          <w:rFonts w:eastAsia="SimSun"/>
        </w:rPr>
        <w:footnoteReference w:id="83"/>
      </w:r>
      <w:r w:rsidR="00C91CE2">
        <w:rPr>
          <w:rFonts w:eastAsia="SimSun"/>
        </w:rPr>
        <w:t xml:space="preserve"> </w:t>
      </w:r>
      <w:r w:rsidR="00993C60" w:rsidRPr="00255659">
        <w:rPr>
          <w:rFonts w:eastAsia="SimSun"/>
        </w:rPr>
        <w:t xml:space="preserve">From these three </w:t>
      </w:r>
      <w:r w:rsidR="00993C60" w:rsidRPr="00255659">
        <w:rPr>
          <w:rFonts w:eastAsia="SimSun"/>
        </w:rPr>
        <w:lastRenderedPageBreak/>
        <w:t xml:space="preserve">estimates, </w:t>
      </w:r>
      <w:r w:rsidR="00E51C96" w:rsidRPr="00255659">
        <w:rPr>
          <w:rFonts w:eastAsia="SimSun"/>
        </w:rPr>
        <w:t>Mr.</w:t>
      </w:r>
      <w:r w:rsidR="00E51C96">
        <w:rPr>
          <w:rFonts w:eastAsia="SimSun"/>
        </w:rPr>
        <w:t> </w:t>
      </w:r>
      <w:r w:rsidR="00993C60" w:rsidRPr="00255659">
        <w:rPr>
          <w:rFonts w:eastAsia="SimSun"/>
        </w:rPr>
        <w:t xml:space="preserve">Parcell concludes that the market risk premium is </w:t>
      </w:r>
      <w:r w:rsidR="00131B28" w:rsidRPr="00255659">
        <w:rPr>
          <w:rFonts w:eastAsia="SimSun"/>
        </w:rPr>
        <w:t>5.8</w:t>
      </w:r>
      <w:r w:rsidR="00131B28">
        <w:rPr>
          <w:rFonts w:eastAsia="SimSun"/>
        </w:rPr>
        <w:t xml:space="preserve"> percent (i.e., </w:t>
      </w:r>
      <w:r w:rsidR="00993C60" w:rsidRPr="00255659">
        <w:rPr>
          <w:rFonts w:eastAsia="SimSun"/>
        </w:rPr>
        <w:t>the average of the</w:t>
      </w:r>
      <w:r w:rsidR="00131B28">
        <w:rPr>
          <w:rFonts w:eastAsia="SimSun"/>
        </w:rPr>
        <w:t>se</w:t>
      </w:r>
      <w:r w:rsidR="00993C60" w:rsidRPr="00255659">
        <w:rPr>
          <w:rFonts w:eastAsia="SimSun"/>
        </w:rPr>
        <w:t xml:space="preserve"> three </w:t>
      </w:r>
      <w:r w:rsidR="00131B28">
        <w:rPr>
          <w:rFonts w:eastAsia="SimSun"/>
        </w:rPr>
        <w:t xml:space="preserve">market risk premium </w:t>
      </w:r>
      <w:r w:rsidR="00993C60" w:rsidRPr="00255659">
        <w:rPr>
          <w:rFonts w:eastAsia="SimSun"/>
        </w:rPr>
        <w:t>estimates</w:t>
      </w:r>
      <w:r w:rsidR="00131B28">
        <w:rPr>
          <w:rFonts w:eastAsia="SimSun"/>
        </w:rPr>
        <w:t>)</w:t>
      </w:r>
      <w:r w:rsidR="00993C60" w:rsidRPr="00255659">
        <w:rPr>
          <w:rFonts w:eastAsia="SimSun"/>
        </w:rPr>
        <w:t>.</w:t>
      </w:r>
      <w:r w:rsidR="00131B28">
        <w:rPr>
          <w:rStyle w:val="FootnoteReference"/>
          <w:rFonts w:eastAsia="SimSun"/>
        </w:rPr>
        <w:footnoteReference w:id="84"/>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00131B28">
        <w:rPr>
          <w:bCs/>
          <w:szCs w:val="24"/>
          <w:lang w:eastAsia="en-US"/>
        </w:rPr>
        <w:t xml:space="preserve">Is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 xml:space="preserve">s first </w:t>
      </w:r>
      <w:r w:rsidR="00131B28">
        <w:rPr>
          <w:bCs/>
          <w:szCs w:val="24"/>
          <w:lang w:eastAsia="en-US"/>
        </w:rPr>
        <w:t xml:space="preserve">market risk premium </w:t>
      </w:r>
      <w:r w:rsidRPr="00255659">
        <w:rPr>
          <w:bCs/>
          <w:szCs w:val="24"/>
          <w:lang w:eastAsia="en-US"/>
        </w:rPr>
        <w:t>of 7.0</w:t>
      </w:r>
      <w:r w:rsidR="00131B28">
        <w:rPr>
          <w:bCs/>
          <w:szCs w:val="24"/>
          <w:lang w:eastAsia="en-US"/>
        </w:rPr>
        <w:t> percent reasonable?</w:t>
      </w:r>
    </w:p>
    <w:p w:rsidR="00131B28" w:rsidRPr="00255659" w:rsidRDefault="00572193" w:rsidP="00540A76">
      <w:pPr>
        <w:pStyle w:val="answer"/>
        <w:rPr>
          <w:rFonts w:eastAsia="SimSun"/>
        </w:rPr>
      </w:pPr>
      <w:r w:rsidRPr="00255659">
        <w:rPr>
          <w:rFonts w:eastAsia="SimSun"/>
        </w:rPr>
        <w:t>A.</w:t>
      </w:r>
      <w:r w:rsidR="00993C60" w:rsidRPr="00255659">
        <w:rPr>
          <w:rFonts w:eastAsia="SimSun"/>
        </w:rPr>
        <w:tab/>
        <w:t>Yes</w:t>
      </w:r>
      <w:r w:rsidR="00131B28">
        <w:rPr>
          <w:rFonts w:eastAsia="SimSun"/>
        </w:rPr>
        <w:t xml:space="preserve">. </w:t>
      </w:r>
      <w:r w:rsidR="00131B28" w:rsidRPr="00255659">
        <w:t>Mr.</w:t>
      </w:r>
      <w:r w:rsidR="00131B28">
        <w:t> </w:t>
      </w:r>
      <w:r w:rsidR="00131B28" w:rsidRPr="00255659">
        <w:rPr>
          <w:bCs/>
          <w:szCs w:val="24"/>
          <w:lang w:eastAsia="en-US"/>
        </w:rPr>
        <w:t>Parcell</w:t>
      </w:r>
      <w:r w:rsidR="00131B28">
        <w:rPr>
          <w:bCs/>
          <w:szCs w:val="24"/>
          <w:lang w:eastAsia="en-US"/>
        </w:rPr>
        <w:t>’</w:t>
      </w:r>
      <w:r w:rsidR="00131B28" w:rsidRPr="00255659">
        <w:rPr>
          <w:bCs/>
          <w:szCs w:val="24"/>
          <w:lang w:eastAsia="en-US"/>
        </w:rPr>
        <w:t xml:space="preserve">s first </w:t>
      </w:r>
      <w:r w:rsidR="00131B28">
        <w:rPr>
          <w:bCs/>
          <w:szCs w:val="24"/>
          <w:lang w:eastAsia="en-US"/>
        </w:rPr>
        <w:t xml:space="preserve">market risk premium </w:t>
      </w:r>
      <w:r w:rsidR="00131B28" w:rsidRPr="00255659">
        <w:rPr>
          <w:bCs/>
          <w:szCs w:val="24"/>
          <w:lang w:eastAsia="en-US"/>
        </w:rPr>
        <w:t>of 7.0</w:t>
      </w:r>
      <w:r w:rsidR="00131B28">
        <w:rPr>
          <w:bCs/>
          <w:szCs w:val="24"/>
          <w:lang w:eastAsia="en-US"/>
        </w:rPr>
        <w:t xml:space="preserve"> percent is reasonable and is identical to the </w:t>
      </w:r>
      <w:r w:rsidR="00131B28">
        <w:rPr>
          <w:rFonts w:eastAsia="SimSun"/>
        </w:rPr>
        <w:t xml:space="preserve">market risk premium </w:t>
      </w:r>
      <w:r w:rsidR="00131B28" w:rsidRPr="00255659">
        <w:rPr>
          <w:rFonts w:eastAsia="SimSun"/>
        </w:rPr>
        <w:t>used in my CAPM analysis.</w:t>
      </w:r>
    </w:p>
    <w:p w:rsidR="00131B28" w:rsidRPr="00993C60" w:rsidRDefault="00131B28" w:rsidP="00131B28">
      <w:pPr>
        <w:pStyle w:val="question"/>
      </w:pPr>
      <w:r w:rsidRPr="00255659">
        <w:rPr>
          <w:bCs/>
          <w:szCs w:val="24"/>
          <w:lang w:eastAsia="en-US"/>
        </w:rPr>
        <w:t>Q.</w:t>
      </w:r>
      <w:r w:rsidRPr="00993C60">
        <w:rPr>
          <w:bCs/>
          <w:szCs w:val="24"/>
          <w:lang w:eastAsia="en-US"/>
        </w:rPr>
        <w:tab/>
      </w:r>
      <w:r>
        <w:rPr>
          <w:bCs/>
          <w:szCs w:val="24"/>
          <w:lang w:eastAsia="en-US"/>
        </w:rPr>
        <w:t xml:space="preserve">Is </w:t>
      </w:r>
      <w:r w:rsidRPr="00255659">
        <w:t>Mr.</w:t>
      </w:r>
      <w:r>
        <w:t> </w:t>
      </w:r>
      <w:r w:rsidRPr="00255659">
        <w:rPr>
          <w:bCs/>
          <w:szCs w:val="24"/>
          <w:lang w:eastAsia="en-US"/>
        </w:rPr>
        <w:t>Parcell</w:t>
      </w:r>
      <w:r>
        <w:rPr>
          <w:bCs/>
          <w:szCs w:val="24"/>
          <w:lang w:eastAsia="en-US"/>
        </w:rPr>
        <w:t>’</w:t>
      </w:r>
      <w:r w:rsidRPr="00255659">
        <w:rPr>
          <w:bCs/>
          <w:szCs w:val="24"/>
          <w:lang w:eastAsia="en-US"/>
        </w:rPr>
        <w:t xml:space="preserve">s </w:t>
      </w:r>
      <w:r>
        <w:rPr>
          <w:bCs/>
          <w:szCs w:val="24"/>
          <w:lang w:eastAsia="en-US"/>
        </w:rPr>
        <w:t xml:space="preserve">second market risk premium </w:t>
      </w:r>
      <w:r w:rsidRPr="00255659">
        <w:rPr>
          <w:bCs/>
          <w:szCs w:val="24"/>
          <w:lang w:eastAsia="en-US"/>
        </w:rPr>
        <w:t xml:space="preserve">of </w:t>
      </w:r>
      <w:r>
        <w:rPr>
          <w:bCs/>
          <w:szCs w:val="24"/>
          <w:lang w:eastAsia="en-US"/>
        </w:rPr>
        <w:t>6</w:t>
      </w:r>
      <w:r w:rsidRPr="00255659">
        <w:rPr>
          <w:bCs/>
          <w:szCs w:val="24"/>
          <w:lang w:eastAsia="en-US"/>
        </w:rPr>
        <w:t>.0</w:t>
      </w:r>
      <w:r>
        <w:rPr>
          <w:bCs/>
          <w:szCs w:val="24"/>
          <w:lang w:eastAsia="en-US"/>
        </w:rPr>
        <w:t> percent reasonable?</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No.</w:t>
      </w:r>
      <w:r w:rsidR="00C91CE2">
        <w:rPr>
          <w:rFonts w:eastAsia="SimSun"/>
        </w:rPr>
        <w:t xml:space="preserve"> </w:t>
      </w:r>
      <w:r w:rsidR="00E51C96" w:rsidRPr="00255659">
        <w:rPr>
          <w:rFonts w:eastAsia="SimSun"/>
        </w:rPr>
        <w:t>Mr.</w:t>
      </w:r>
      <w:r w:rsidR="00E51C96">
        <w:rPr>
          <w:rFonts w:eastAsia="SimSun"/>
        </w:rPr>
        <w:t> </w:t>
      </w:r>
      <w:r w:rsidR="00993C60" w:rsidRPr="00255659">
        <w:rPr>
          <w:rFonts w:eastAsia="SimSun"/>
        </w:rPr>
        <w:t>Parcell</w:t>
      </w:r>
      <w:r w:rsidR="00255659">
        <w:rPr>
          <w:rFonts w:eastAsia="SimSun"/>
        </w:rPr>
        <w:t>’</w:t>
      </w:r>
      <w:r w:rsidR="00993C60" w:rsidRPr="00255659">
        <w:rPr>
          <w:rFonts w:eastAsia="SimSun"/>
        </w:rPr>
        <w:t xml:space="preserve">s second </w:t>
      </w:r>
      <w:r w:rsidR="00131B28">
        <w:rPr>
          <w:bCs/>
          <w:szCs w:val="24"/>
          <w:lang w:eastAsia="en-US"/>
        </w:rPr>
        <w:t xml:space="preserve">market risk premium </w:t>
      </w:r>
      <w:r w:rsidR="00993C60" w:rsidRPr="00255659">
        <w:rPr>
          <w:rFonts w:eastAsia="SimSun"/>
        </w:rPr>
        <w:t xml:space="preserve">estimate of </w:t>
      </w:r>
      <w:r w:rsidR="00131B28">
        <w:rPr>
          <w:rFonts w:eastAsia="SimSun"/>
        </w:rPr>
        <w:t>6</w:t>
      </w:r>
      <w:r w:rsidR="00993C60" w:rsidRPr="00255659">
        <w:rPr>
          <w:rFonts w:eastAsia="SimSun"/>
        </w:rPr>
        <w:t>.</w:t>
      </w:r>
      <w:r w:rsidR="00131B28">
        <w:rPr>
          <w:rFonts w:eastAsia="SimSun"/>
        </w:rPr>
        <w:t xml:space="preserve">0 percent </w:t>
      </w:r>
      <w:r w:rsidR="00993C60" w:rsidRPr="00255659">
        <w:rPr>
          <w:rFonts w:eastAsia="SimSun"/>
        </w:rPr>
        <w:t>is understated.</w:t>
      </w:r>
      <w:r w:rsidR="00C91CE2">
        <w:rPr>
          <w:rFonts w:eastAsia="SimSun"/>
        </w:rPr>
        <w:t xml:space="preserve"> </w:t>
      </w:r>
      <w:r w:rsidR="00993C60" w:rsidRPr="00255659">
        <w:rPr>
          <w:rFonts w:eastAsia="SimSun"/>
        </w:rPr>
        <w:t xml:space="preserve">For his second </w:t>
      </w:r>
      <w:r w:rsidR="00131B28">
        <w:rPr>
          <w:rFonts w:eastAsia="SimSun"/>
        </w:rPr>
        <w:t>market risk premium estimate</w:t>
      </w:r>
      <w:r w:rsidR="00993C60" w:rsidRPr="00255659">
        <w:rPr>
          <w:rFonts w:eastAsia="SimSun"/>
        </w:rPr>
        <w:t xml:space="preserve">, </w:t>
      </w:r>
      <w:r w:rsidR="00E51C96" w:rsidRPr="00255659">
        <w:rPr>
          <w:rFonts w:eastAsia="SimSun"/>
        </w:rPr>
        <w:t>Mr.</w:t>
      </w:r>
      <w:r w:rsidR="00E51C96">
        <w:rPr>
          <w:rFonts w:eastAsia="SimSun"/>
        </w:rPr>
        <w:t> </w:t>
      </w:r>
      <w:r w:rsidR="00993C60" w:rsidRPr="00255659">
        <w:rPr>
          <w:rFonts w:eastAsia="SimSun"/>
        </w:rPr>
        <w:t xml:space="preserve">Parcell used </w:t>
      </w:r>
      <w:r w:rsidR="00131B28" w:rsidRPr="00131B28">
        <w:rPr>
          <w:rFonts w:eastAsia="SimSun"/>
        </w:rPr>
        <w:t>total returns (i.e., dividends/interest plus capital</w:t>
      </w:r>
      <w:r w:rsidR="00131B28">
        <w:rPr>
          <w:rFonts w:eastAsia="SimSun"/>
        </w:rPr>
        <w:t xml:space="preserve"> </w:t>
      </w:r>
      <w:r w:rsidR="00131B28" w:rsidRPr="00131B28">
        <w:rPr>
          <w:rFonts w:eastAsia="SimSun"/>
        </w:rPr>
        <w:t>gains/losses) for the S&amp;P 500 group as well as for long-term government bonds, as</w:t>
      </w:r>
      <w:r w:rsidR="00131B28">
        <w:rPr>
          <w:rFonts w:eastAsia="SimSun"/>
        </w:rPr>
        <w:t xml:space="preserve"> </w:t>
      </w:r>
      <w:r w:rsidR="00131B28" w:rsidRPr="00131B28">
        <w:rPr>
          <w:rFonts w:eastAsia="SimSun"/>
        </w:rPr>
        <w:t>tabulated by Duff &amp; Phelps using arithmetic means.</w:t>
      </w:r>
      <w:r w:rsidR="00D97DE4">
        <w:rPr>
          <w:rFonts w:eastAsia="SimSun"/>
        </w:rPr>
        <w:t xml:space="preserve"> </w:t>
      </w:r>
      <w:r w:rsidR="00993C60" w:rsidRPr="00255659">
        <w:rPr>
          <w:rFonts w:eastAsia="SimSun"/>
        </w:rPr>
        <w:t xml:space="preserve">As I discussed in my direct testimony and </w:t>
      </w:r>
      <w:r w:rsidR="00D97DE4">
        <w:rPr>
          <w:rFonts w:eastAsia="SimSun"/>
        </w:rPr>
        <w:t>in Section II.C.3. of this rebuttal testimony</w:t>
      </w:r>
      <w:r w:rsidR="00993C60" w:rsidRPr="00255659">
        <w:rPr>
          <w:rFonts w:eastAsia="SimSun"/>
        </w:rPr>
        <w:t xml:space="preserve">, the more accurate way to estimate the </w:t>
      </w:r>
      <w:r w:rsidR="00D97DE4">
        <w:rPr>
          <w:rFonts w:eastAsia="SimSun"/>
        </w:rPr>
        <w:t xml:space="preserve">market risk premium </w:t>
      </w:r>
      <w:r w:rsidR="00993C60" w:rsidRPr="00255659">
        <w:rPr>
          <w:rFonts w:eastAsia="SimSun"/>
        </w:rPr>
        <w:t xml:space="preserve">from historical data is to use the </w:t>
      </w:r>
      <w:r w:rsidR="00993C60" w:rsidRPr="00255659">
        <w:rPr>
          <w:rFonts w:eastAsia="SimSun"/>
          <w:i/>
        </w:rPr>
        <w:t>income</w:t>
      </w:r>
      <w:r w:rsidR="00993C60" w:rsidRPr="00255659">
        <w:rPr>
          <w:rFonts w:eastAsia="SimSun"/>
        </w:rPr>
        <w:t xml:space="preserve"> return, not </w:t>
      </w:r>
      <w:r w:rsidR="00993C60" w:rsidRPr="00255659">
        <w:rPr>
          <w:rFonts w:eastAsia="SimSun"/>
          <w:i/>
        </w:rPr>
        <w:t>total</w:t>
      </w:r>
      <w:r w:rsidR="00993C60" w:rsidRPr="00255659">
        <w:rPr>
          <w:rFonts w:eastAsia="SimSun"/>
        </w:rPr>
        <w:t xml:space="preserve"> returns, on government bonds.</w:t>
      </w:r>
      <w:r w:rsidR="00D97DE4">
        <w:rPr>
          <w:rStyle w:val="FootnoteReference"/>
          <w:rFonts w:eastAsia="SimSun"/>
        </w:rPr>
        <w:footnoteReference w:id="85"/>
      </w:r>
      <w:r w:rsidR="00C91CE2">
        <w:rPr>
          <w:rFonts w:eastAsia="SimSun"/>
        </w:rPr>
        <w:t xml:space="preserve"> </w:t>
      </w:r>
      <w:r w:rsidR="00993C60" w:rsidRPr="00255659">
        <w:rPr>
          <w:rFonts w:eastAsia="SimSun"/>
        </w:rPr>
        <w:t xml:space="preserve">The long-term </w:t>
      </w:r>
      <w:r w:rsidR="00D97DE4">
        <w:rPr>
          <w:rFonts w:eastAsia="SimSun"/>
        </w:rPr>
        <w:t xml:space="preserve">market risk premium </w:t>
      </w:r>
      <w:r w:rsidR="00993C60" w:rsidRPr="00255659">
        <w:rPr>
          <w:rFonts w:eastAsia="SimSun"/>
        </w:rPr>
        <w:t xml:space="preserve">based on </w:t>
      </w:r>
      <w:r w:rsidR="00993C60" w:rsidRPr="00D97DE4">
        <w:rPr>
          <w:rFonts w:eastAsia="SimSun"/>
          <w:i/>
        </w:rPr>
        <w:t>income</w:t>
      </w:r>
      <w:r w:rsidR="00993C60" w:rsidRPr="00255659">
        <w:rPr>
          <w:rFonts w:eastAsia="SimSun"/>
        </w:rPr>
        <w:t xml:space="preserve"> returns</w:t>
      </w:r>
      <w:r w:rsidR="00D97DE4">
        <w:rPr>
          <w:rFonts w:eastAsia="SimSun"/>
        </w:rPr>
        <w:t xml:space="preserve"> </w:t>
      </w:r>
      <w:r w:rsidR="00993C60" w:rsidRPr="00255659">
        <w:rPr>
          <w:rFonts w:eastAsia="SimSun"/>
        </w:rPr>
        <w:t xml:space="preserve">is </w:t>
      </w:r>
      <w:r w:rsidR="00D97DE4">
        <w:rPr>
          <w:rFonts w:eastAsia="SimSun"/>
        </w:rPr>
        <w:t xml:space="preserve">6.6 percent, which is 60 basis points (i.e., 0.6 percent) </w:t>
      </w:r>
      <w:r w:rsidR="00993C60" w:rsidRPr="00255659">
        <w:rPr>
          <w:rFonts w:eastAsia="SimSun"/>
        </w:rPr>
        <w:t xml:space="preserve">higher than the </w:t>
      </w:r>
      <w:r w:rsidR="00D97DE4">
        <w:rPr>
          <w:rFonts w:eastAsia="SimSun"/>
        </w:rPr>
        <w:t xml:space="preserve">6.0 percent </w:t>
      </w:r>
      <w:r w:rsidR="00993C60" w:rsidRPr="00255659">
        <w:rPr>
          <w:rFonts w:eastAsia="SimSun"/>
        </w:rPr>
        <w:t>estimate based on total bond returns</w:t>
      </w:r>
      <w:r w:rsidR="00D97DE4">
        <w:rPr>
          <w:rFonts w:eastAsia="SimSun"/>
        </w:rPr>
        <w:t xml:space="preserve"> reported by Mr. Parcell</w:t>
      </w:r>
      <w:r w:rsidR="00993C60" w:rsidRPr="00255659">
        <w:rPr>
          <w:rFonts w:eastAsia="SimSun"/>
        </w:rPr>
        <w:t>.</w:t>
      </w:r>
    </w:p>
    <w:p w:rsidR="00D97DE4" w:rsidRPr="00993C60" w:rsidRDefault="00D97DE4" w:rsidP="00D97DE4">
      <w:pPr>
        <w:pStyle w:val="question"/>
      </w:pPr>
      <w:r w:rsidRPr="00255659">
        <w:rPr>
          <w:bCs/>
          <w:szCs w:val="24"/>
          <w:lang w:eastAsia="en-US"/>
        </w:rPr>
        <w:t>Q.</w:t>
      </w:r>
      <w:r w:rsidRPr="00993C60">
        <w:rPr>
          <w:bCs/>
          <w:szCs w:val="24"/>
          <w:lang w:eastAsia="en-US"/>
        </w:rPr>
        <w:tab/>
      </w:r>
      <w:r>
        <w:rPr>
          <w:bCs/>
          <w:szCs w:val="24"/>
          <w:lang w:eastAsia="en-US"/>
        </w:rPr>
        <w:t xml:space="preserve">Is </w:t>
      </w:r>
      <w:r w:rsidRPr="00255659">
        <w:t>Mr.</w:t>
      </w:r>
      <w:r>
        <w:t> </w:t>
      </w:r>
      <w:r w:rsidRPr="00255659">
        <w:rPr>
          <w:bCs/>
          <w:szCs w:val="24"/>
          <w:lang w:eastAsia="en-US"/>
        </w:rPr>
        <w:t>Parcell</w:t>
      </w:r>
      <w:r>
        <w:rPr>
          <w:bCs/>
          <w:szCs w:val="24"/>
          <w:lang w:eastAsia="en-US"/>
        </w:rPr>
        <w:t>’</w:t>
      </w:r>
      <w:r w:rsidRPr="00255659">
        <w:rPr>
          <w:bCs/>
          <w:szCs w:val="24"/>
          <w:lang w:eastAsia="en-US"/>
        </w:rPr>
        <w:t xml:space="preserve">s </w:t>
      </w:r>
      <w:r>
        <w:rPr>
          <w:bCs/>
          <w:szCs w:val="24"/>
          <w:lang w:eastAsia="en-US"/>
        </w:rPr>
        <w:t xml:space="preserve">third market risk premium </w:t>
      </w:r>
      <w:r w:rsidRPr="00255659">
        <w:rPr>
          <w:bCs/>
          <w:szCs w:val="24"/>
          <w:lang w:eastAsia="en-US"/>
        </w:rPr>
        <w:t xml:space="preserve">of </w:t>
      </w:r>
      <w:r>
        <w:rPr>
          <w:bCs/>
          <w:szCs w:val="24"/>
          <w:lang w:eastAsia="en-US"/>
        </w:rPr>
        <w:t>4</w:t>
      </w:r>
      <w:r w:rsidRPr="00255659">
        <w:rPr>
          <w:bCs/>
          <w:szCs w:val="24"/>
          <w:lang w:eastAsia="en-US"/>
        </w:rPr>
        <w:t>.</w:t>
      </w:r>
      <w:r>
        <w:rPr>
          <w:bCs/>
          <w:szCs w:val="24"/>
          <w:lang w:eastAsia="en-US"/>
        </w:rPr>
        <w:t>5 percent reasonable?</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No.</w:t>
      </w:r>
      <w:r w:rsidR="00C91CE2">
        <w:rPr>
          <w:rFonts w:eastAsia="SimSun"/>
        </w:rPr>
        <w:t xml:space="preserve"> </w:t>
      </w:r>
      <w:r w:rsidR="00E51C96" w:rsidRPr="00255659">
        <w:rPr>
          <w:rFonts w:eastAsia="SimSun"/>
        </w:rPr>
        <w:t>Mr.</w:t>
      </w:r>
      <w:r w:rsidR="00E51C96">
        <w:rPr>
          <w:rFonts w:eastAsia="SimSun"/>
        </w:rPr>
        <w:t> </w:t>
      </w:r>
      <w:r w:rsidR="00993C60" w:rsidRPr="00255659">
        <w:rPr>
          <w:rFonts w:eastAsia="SimSun"/>
        </w:rPr>
        <w:t>Parcell</w:t>
      </w:r>
      <w:r w:rsidR="00255659">
        <w:rPr>
          <w:rFonts w:eastAsia="SimSun"/>
        </w:rPr>
        <w:t>’</w:t>
      </w:r>
      <w:r w:rsidR="00993C60" w:rsidRPr="00255659">
        <w:rPr>
          <w:rFonts w:eastAsia="SimSun"/>
        </w:rPr>
        <w:t xml:space="preserve">s third </w:t>
      </w:r>
      <w:r w:rsidR="00D97DE4">
        <w:rPr>
          <w:rFonts w:eastAsia="SimSun"/>
        </w:rPr>
        <w:t xml:space="preserve">market risk premium </w:t>
      </w:r>
      <w:r w:rsidR="00993C60" w:rsidRPr="00255659">
        <w:rPr>
          <w:rFonts w:eastAsia="SimSun"/>
        </w:rPr>
        <w:t>of 4.5</w:t>
      </w:r>
      <w:r w:rsidR="00D97DE4">
        <w:rPr>
          <w:rFonts w:eastAsia="SimSun"/>
        </w:rPr>
        <w:t xml:space="preserve"> percent is not reasonable whatsoever. </w:t>
      </w:r>
      <w:r w:rsidR="00993C60" w:rsidRPr="00255659">
        <w:rPr>
          <w:rFonts w:eastAsia="SimSun"/>
        </w:rPr>
        <w:t xml:space="preserve">For his third </w:t>
      </w:r>
      <w:r w:rsidR="00D97DE4">
        <w:rPr>
          <w:rFonts w:eastAsia="SimSun"/>
        </w:rPr>
        <w:t>market risk premium</w:t>
      </w:r>
      <w:r w:rsidR="00993C60" w:rsidRPr="00255659">
        <w:rPr>
          <w:rFonts w:eastAsia="SimSun"/>
        </w:rPr>
        <w:t xml:space="preserve">, </w:t>
      </w:r>
      <w:r w:rsidR="00E51C96" w:rsidRPr="00255659">
        <w:rPr>
          <w:rFonts w:eastAsia="SimSun"/>
        </w:rPr>
        <w:t>Mr.</w:t>
      </w:r>
      <w:r w:rsidR="00E51C96">
        <w:rPr>
          <w:rFonts w:eastAsia="SimSun"/>
        </w:rPr>
        <w:t> </w:t>
      </w:r>
      <w:r w:rsidR="00993C60" w:rsidRPr="00255659">
        <w:rPr>
          <w:rFonts w:eastAsia="SimSun"/>
        </w:rPr>
        <w:t xml:space="preserve">Parcell uses the </w:t>
      </w:r>
      <w:r w:rsidR="00993C60" w:rsidRPr="00255659">
        <w:rPr>
          <w:rFonts w:eastAsia="SimSun"/>
        </w:rPr>
        <w:lastRenderedPageBreak/>
        <w:t xml:space="preserve">aforementioned Duff &amp; Phelps historical </w:t>
      </w:r>
      <w:r w:rsidR="00D97DE4">
        <w:rPr>
          <w:rFonts w:eastAsia="SimSun"/>
        </w:rPr>
        <w:t>market risk premium</w:t>
      </w:r>
      <w:r w:rsidR="00993C60" w:rsidRPr="00255659">
        <w:rPr>
          <w:rFonts w:eastAsia="SimSun"/>
        </w:rPr>
        <w:t>, only this time relying on the geometric average of historical returns instead of the arithmetic average of historical returns.</w:t>
      </w:r>
      <w:r w:rsidR="00D97DE4">
        <w:rPr>
          <w:rStyle w:val="FootnoteReference"/>
          <w:rFonts w:eastAsia="SimSun"/>
        </w:rPr>
        <w:footnoteReference w:id="86"/>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Is it appropriate to use geometric averages in measuring expected return</w:t>
      </w:r>
      <w:r w:rsidR="00993C60" w:rsidRPr="00993C60">
        <w:rPr>
          <w:bCs/>
          <w:szCs w:val="24"/>
          <w:lang w:eastAsia="en-US"/>
        </w:rPr>
        <w:t xml:space="preserve">? </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t>No.</w:t>
      </w:r>
      <w:r w:rsidR="00C91CE2">
        <w:rPr>
          <w:rFonts w:eastAsia="SimSun"/>
        </w:rPr>
        <w:t xml:space="preserve"> </w:t>
      </w:r>
      <w:r w:rsidR="00993C60" w:rsidRPr="00255659">
        <w:rPr>
          <w:rFonts w:eastAsia="SimSun"/>
        </w:rPr>
        <w:t xml:space="preserve">As discussed </w:t>
      </w:r>
      <w:r w:rsidR="00D97DE4">
        <w:rPr>
          <w:rFonts w:eastAsia="SimSun"/>
        </w:rPr>
        <w:t>in Section II.C.3.B. of this rebuttal testimony</w:t>
      </w:r>
      <w:r w:rsidR="00993C60" w:rsidRPr="00255659">
        <w:rPr>
          <w:rFonts w:eastAsia="SimSun"/>
        </w:rPr>
        <w:t xml:space="preserve">, arithmetic means are appropriate for forecasting and estimating the cost of capital, </w:t>
      </w:r>
      <w:r w:rsidR="00D97DE4">
        <w:rPr>
          <w:rFonts w:eastAsia="SimSun"/>
        </w:rPr>
        <w:t xml:space="preserve">whereas </w:t>
      </w:r>
      <w:r w:rsidR="00993C60" w:rsidRPr="00255659">
        <w:rPr>
          <w:rFonts w:eastAsia="SimSun"/>
        </w:rPr>
        <w:t xml:space="preserve">geometric means </w:t>
      </w:r>
      <w:r w:rsidR="00993C60" w:rsidRPr="00255659">
        <w:rPr>
          <w:rFonts w:eastAsia="SimSun"/>
          <w:color w:val="000000"/>
        </w:rPr>
        <w:t>are not.</w:t>
      </w:r>
    </w:p>
    <w:p w:rsidR="00993C60" w:rsidRPr="00993C60" w:rsidRDefault="00993C60" w:rsidP="00540A76">
      <w:pPr>
        <w:pStyle w:val="question"/>
      </w:pPr>
      <w:r w:rsidRPr="00993C60">
        <w:rPr>
          <w:bCs/>
          <w:szCs w:val="24"/>
          <w:lang w:eastAsia="en-US"/>
        </w:rPr>
        <w:t>Q.</w:t>
      </w:r>
      <w:r w:rsidRPr="00993C60">
        <w:rPr>
          <w:bCs/>
          <w:szCs w:val="24"/>
          <w:lang w:eastAsia="en-US"/>
        </w:rPr>
        <w:tab/>
      </w:r>
      <w:r w:rsidR="00572193" w:rsidRPr="00255659">
        <w:rPr>
          <w:bCs/>
          <w:szCs w:val="24"/>
          <w:lang w:eastAsia="en-US"/>
        </w:rPr>
        <w:t xml:space="preserve">What </w:t>
      </w:r>
      <w:r w:rsidR="00D97DE4">
        <w:rPr>
          <w:bCs/>
          <w:szCs w:val="24"/>
          <w:lang w:eastAsia="en-US"/>
        </w:rPr>
        <w:t xml:space="preserve">market risk premium estimate </w:t>
      </w:r>
      <w:r w:rsidR="00572193" w:rsidRPr="00255659">
        <w:rPr>
          <w:bCs/>
          <w:szCs w:val="24"/>
          <w:lang w:eastAsia="en-US"/>
        </w:rPr>
        <w:t xml:space="preserve">should </w:t>
      </w:r>
      <w:r w:rsidR="00E51C96" w:rsidRPr="00255659">
        <w:t>Mr.</w:t>
      </w:r>
      <w:r w:rsidR="00E51C96">
        <w:t> </w:t>
      </w:r>
      <w:r w:rsidR="00572193" w:rsidRPr="00255659">
        <w:rPr>
          <w:bCs/>
          <w:szCs w:val="24"/>
          <w:lang w:eastAsia="en-US"/>
        </w:rPr>
        <w:t>Parcell have used in his CAPM analysis</w:t>
      </w:r>
      <w:r w:rsidRPr="00993C60">
        <w:rPr>
          <w:bCs/>
          <w:szCs w:val="24"/>
          <w:lang w:eastAsia="en-US"/>
        </w:rPr>
        <w:t>.</w:t>
      </w:r>
    </w:p>
    <w:p w:rsidR="00993C60" w:rsidRPr="00255659" w:rsidRDefault="00993C60" w:rsidP="00540A76">
      <w:pPr>
        <w:pStyle w:val="answer"/>
        <w:rPr>
          <w:rFonts w:eastAsia="SimSun"/>
        </w:rPr>
      </w:pPr>
      <w:r w:rsidRPr="00255659">
        <w:rPr>
          <w:rFonts w:eastAsia="SimSun"/>
        </w:rPr>
        <w:t>A.</w:t>
      </w:r>
      <w:r w:rsidRPr="00255659">
        <w:rPr>
          <w:rFonts w:eastAsia="SimSun"/>
        </w:rPr>
        <w:tab/>
      </w:r>
      <w:r w:rsidR="0024046C">
        <w:rPr>
          <w:rFonts w:eastAsia="SimSun"/>
        </w:rPr>
        <w:t xml:space="preserve">The average of </w:t>
      </w:r>
      <w:r w:rsidR="00D97DE4">
        <w:rPr>
          <w:rFonts w:eastAsia="SimSun"/>
        </w:rPr>
        <w:t xml:space="preserve">Mr. Parcell’s </w:t>
      </w:r>
      <w:r w:rsidRPr="00255659">
        <w:rPr>
          <w:rFonts w:eastAsia="SimSun"/>
        </w:rPr>
        <w:t xml:space="preserve">first </w:t>
      </w:r>
      <w:r w:rsidR="00D97DE4">
        <w:rPr>
          <w:rFonts w:eastAsia="SimSun"/>
        </w:rPr>
        <w:t xml:space="preserve">market risk premium </w:t>
      </w:r>
      <w:r w:rsidRPr="00255659">
        <w:rPr>
          <w:rFonts w:eastAsia="SimSun"/>
        </w:rPr>
        <w:t>estimate of 7.0</w:t>
      </w:r>
      <w:r w:rsidR="00D97DE4">
        <w:rPr>
          <w:rFonts w:eastAsia="SimSun"/>
        </w:rPr>
        <w:t xml:space="preserve"> percent and </w:t>
      </w:r>
      <w:r w:rsidR="0024046C">
        <w:rPr>
          <w:rFonts w:eastAsia="SimSun"/>
        </w:rPr>
        <w:t xml:space="preserve">his </w:t>
      </w:r>
      <w:r w:rsidRPr="00255659">
        <w:rPr>
          <w:rFonts w:eastAsia="SimSun"/>
        </w:rPr>
        <w:t xml:space="preserve">amended second </w:t>
      </w:r>
      <w:r w:rsidR="0024046C">
        <w:rPr>
          <w:rFonts w:eastAsia="SimSun"/>
        </w:rPr>
        <w:t xml:space="preserve">market risk premium </w:t>
      </w:r>
      <w:r w:rsidRPr="00255659">
        <w:rPr>
          <w:rFonts w:eastAsia="SimSun"/>
        </w:rPr>
        <w:t>estimate of 6.6</w:t>
      </w:r>
      <w:r w:rsidR="0024046C">
        <w:rPr>
          <w:rFonts w:eastAsia="SimSun"/>
        </w:rPr>
        <w:t> percent (</w:t>
      </w:r>
      <w:r w:rsidRPr="00255659">
        <w:rPr>
          <w:rFonts w:eastAsia="SimSun"/>
        </w:rPr>
        <w:t>and ignoring the estimate based on geometric returns</w:t>
      </w:r>
      <w:r w:rsidR="0024046C">
        <w:rPr>
          <w:rFonts w:eastAsia="SimSun"/>
        </w:rPr>
        <w:t xml:space="preserve">) results in a market risk premium of </w:t>
      </w:r>
      <w:r w:rsidRPr="00255659">
        <w:rPr>
          <w:rFonts w:eastAsia="SimSun"/>
        </w:rPr>
        <w:t>6.8</w:t>
      </w:r>
      <w:r w:rsidR="0024046C">
        <w:rPr>
          <w:rFonts w:eastAsia="SimSun"/>
        </w:rPr>
        <w:t> percent</w:t>
      </w:r>
      <w:r w:rsidRPr="00255659">
        <w:rPr>
          <w:rFonts w:eastAsia="SimSun"/>
        </w:rPr>
        <w:t>.</w:t>
      </w:r>
      <w:r w:rsidR="00C91CE2">
        <w:rPr>
          <w:rFonts w:eastAsia="SimSun"/>
        </w:rPr>
        <w:t xml:space="preserve"> </w:t>
      </w:r>
      <w:r w:rsidR="0024046C">
        <w:rPr>
          <w:rFonts w:eastAsia="SimSun"/>
        </w:rPr>
        <w:t xml:space="preserve">Therefore, </w:t>
      </w:r>
      <w:r w:rsidR="00E51C96" w:rsidRPr="00255659">
        <w:rPr>
          <w:rFonts w:eastAsia="SimSun"/>
        </w:rPr>
        <w:t>Mr.</w:t>
      </w:r>
      <w:r w:rsidR="00E51C96">
        <w:rPr>
          <w:rFonts w:eastAsia="SimSun"/>
        </w:rPr>
        <w:t> </w:t>
      </w:r>
      <w:r w:rsidR="0024046C">
        <w:rPr>
          <w:rFonts w:eastAsia="SimSun"/>
        </w:rPr>
        <w:t>Parcell should have relied on a market risk premium of no less than 6.8 percent for his CAPM analyses</w:t>
      </w:r>
      <w:r w:rsidRPr="00255659">
        <w:rPr>
          <w:rFonts w:eastAsia="SimSun"/>
        </w:rPr>
        <w:t>.</w:t>
      </w:r>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What is the effect of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 xml:space="preserve">s use of the corrected </w:t>
      </w:r>
      <w:r w:rsidR="0024046C">
        <w:rPr>
          <w:bCs/>
          <w:szCs w:val="24"/>
          <w:lang w:eastAsia="en-US"/>
        </w:rPr>
        <w:t xml:space="preserve">market risk premium </w:t>
      </w:r>
      <w:r w:rsidRPr="00255659">
        <w:rPr>
          <w:bCs/>
          <w:szCs w:val="24"/>
          <w:lang w:eastAsia="en-US"/>
        </w:rPr>
        <w:t>of 6.8</w:t>
      </w:r>
      <w:r w:rsidR="0024046C">
        <w:rPr>
          <w:bCs/>
          <w:szCs w:val="24"/>
          <w:lang w:eastAsia="en-US"/>
        </w:rPr>
        <w:t> percent</w:t>
      </w:r>
      <w:r w:rsidR="00DD2B52">
        <w:rPr>
          <w:bCs/>
          <w:szCs w:val="24"/>
          <w:lang w:eastAsia="en-US"/>
        </w:rPr>
        <w:t xml:space="preserve"> </w:t>
      </w:r>
      <w:r w:rsidRPr="00255659">
        <w:rPr>
          <w:bCs/>
          <w:szCs w:val="24"/>
          <w:lang w:eastAsia="en-US"/>
        </w:rPr>
        <w:t>on his CAPM results</w:t>
      </w:r>
      <w:r w:rsidR="00993C60" w:rsidRPr="00993C60">
        <w:rPr>
          <w:bCs/>
          <w:szCs w:val="24"/>
          <w:lang w:eastAsia="en-US"/>
        </w:rPr>
        <w:t>?</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r>
      <w:r w:rsidR="00E51C96" w:rsidRPr="00255659">
        <w:rPr>
          <w:rFonts w:eastAsia="SimSun"/>
        </w:rPr>
        <w:t>Mr.</w:t>
      </w:r>
      <w:r w:rsidR="00E51C96">
        <w:rPr>
          <w:rFonts w:eastAsia="SimSun"/>
        </w:rPr>
        <w:t> </w:t>
      </w:r>
      <w:r w:rsidR="00993C60" w:rsidRPr="00255659">
        <w:rPr>
          <w:rFonts w:eastAsia="SimSun"/>
        </w:rPr>
        <w:t>Parcell</w:t>
      </w:r>
      <w:r w:rsidR="00255659">
        <w:rPr>
          <w:rFonts w:eastAsia="SimSun"/>
        </w:rPr>
        <w:t>’</w:t>
      </w:r>
      <w:r w:rsidR="00993C60" w:rsidRPr="00255659">
        <w:rPr>
          <w:rFonts w:eastAsia="SimSun"/>
        </w:rPr>
        <w:t xml:space="preserve">s use of </w:t>
      </w:r>
      <w:r w:rsidR="0024046C">
        <w:rPr>
          <w:rFonts w:eastAsia="SimSun"/>
        </w:rPr>
        <w:t xml:space="preserve">an unreasonable market risk premium of </w:t>
      </w:r>
      <w:r w:rsidR="00993C60" w:rsidRPr="00255659">
        <w:rPr>
          <w:rFonts w:eastAsia="SimSun"/>
        </w:rPr>
        <w:t>5.8</w:t>
      </w:r>
      <w:r w:rsidR="0024046C">
        <w:rPr>
          <w:rFonts w:eastAsia="SimSun"/>
        </w:rPr>
        <w:t xml:space="preserve"> percent </w:t>
      </w:r>
      <w:r w:rsidR="00993C60" w:rsidRPr="00255659">
        <w:rPr>
          <w:rFonts w:eastAsia="SimSun"/>
        </w:rPr>
        <w:t xml:space="preserve">instead of </w:t>
      </w:r>
      <w:r w:rsidR="0024046C">
        <w:rPr>
          <w:rFonts w:eastAsia="SimSun"/>
        </w:rPr>
        <w:t xml:space="preserve">a reasonable market risk premium </w:t>
      </w:r>
      <w:r w:rsidR="00993C60" w:rsidRPr="00255659">
        <w:rPr>
          <w:rFonts w:eastAsia="SimSun"/>
        </w:rPr>
        <w:t>of 6.8</w:t>
      </w:r>
      <w:r w:rsidR="0024046C">
        <w:rPr>
          <w:rFonts w:eastAsia="SimSun"/>
        </w:rPr>
        <w:t xml:space="preserve"> percent </w:t>
      </w:r>
      <w:r w:rsidR="00993C60" w:rsidRPr="00255659">
        <w:rPr>
          <w:rFonts w:eastAsia="SimSun"/>
        </w:rPr>
        <w:t xml:space="preserve">understates his CAPM </w:t>
      </w:r>
      <w:r w:rsidR="00993C60" w:rsidRPr="00255659">
        <w:rPr>
          <w:rFonts w:eastAsia="SimSun"/>
        </w:rPr>
        <w:lastRenderedPageBreak/>
        <w:t>estimates by 74</w:t>
      </w:r>
      <w:r w:rsidR="0024046C">
        <w:rPr>
          <w:rFonts w:eastAsia="SimSun"/>
        </w:rPr>
        <w:t> </w:t>
      </w:r>
      <w:r w:rsidR="00993C60" w:rsidRPr="00255659">
        <w:rPr>
          <w:rFonts w:eastAsia="SimSun"/>
        </w:rPr>
        <w:t xml:space="preserve">basis points </w:t>
      </w:r>
      <w:r w:rsidR="0024046C">
        <w:rPr>
          <w:rFonts w:eastAsia="SimSun"/>
        </w:rPr>
        <w:t xml:space="preserve">(i.e., 0.74 percent) </w:t>
      </w:r>
      <w:r w:rsidR="00993C60" w:rsidRPr="00255659">
        <w:rPr>
          <w:rFonts w:eastAsia="SimSun"/>
        </w:rPr>
        <w:t>alone.</w:t>
      </w:r>
      <w:r w:rsidR="00C91CE2">
        <w:rPr>
          <w:rFonts w:eastAsia="SimSun"/>
        </w:rPr>
        <w:t xml:space="preserve"> </w:t>
      </w:r>
      <w:r w:rsidR="00993C60" w:rsidRPr="00255659">
        <w:rPr>
          <w:rFonts w:eastAsia="SimSun"/>
        </w:rPr>
        <w:t xml:space="preserve">Using </w:t>
      </w:r>
      <w:r w:rsidR="00E51C96" w:rsidRPr="00255659">
        <w:rPr>
          <w:rFonts w:eastAsia="SimSun"/>
        </w:rPr>
        <w:t>Mr.</w:t>
      </w:r>
      <w:r w:rsidR="00E51C96">
        <w:rPr>
          <w:rFonts w:eastAsia="SimSun"/>
        </w:rPr>
        <w:t> </w:t>
      </w:r>
      <w:r w:rsidR="00993C60" w:rsidRPr="00255659">
        <w:rPr>
          <w:rFonts w:eastAsia="SimSun"/>
        </w:rPr>
        <w:t>Parcell</w:t>
      </w:r>
      <w:r w:rsidR="00255659">
        <w:rPr>
          <w:rFonts w:eastAsia="SimSun"/>
        </w:rPr>
        <w:t>’</w:t>
      </w:r>
      <w:r w:rsidR="00993C60" w:rsidRPr="00255659">
        <w:rPr>
          <w:rFonts w:eastAsia="SimSun"/>
        </w:rPr>
        <w:t xml:space="preserve">s beta of 0.74 </w:t>
      </w:r>
      <w:r w:rsidR="0024046C" w:rsidRPr="00255659">
        <w:rPr>
          <w:rFonts w:eastAsia="SimSun"/>
        </w:rPr>
        <w:t>for PSE</w:t>
      </w:r>
      <w:r w:rsidR="0024046C">
        <w:rPr>
          <w:rFonts w:eastAsia="SimSun"/>
        </w:rPr>
        <w:t>,</w:t>
      </w:r>
      <w:r w:rsidR="0024046C" w:rsidRPr="00255659">
        <w:rPr>
          <w:rFonts w:eastAsia="SimSun"/>
        </w:rPr>
        <w:t xml:space="preserve"> </w:t>
      </w:r>
      <w:r w:rsidR="00993C60" w:rsidRPr="00255659">
        <w:rPr>
          <w:rFonts w:eastAsia="SimSun"/>
        </w:rPr>
        <w:t>the understatement is calculated as follows:</w:t>
      </w:r>
    </w:p>
    <w:p w:rsidR="00993C60" w:rsidRPr="00993C60" w:rsidRDefault="00993C60" w:rsidP="00540A76">
      <w:pPr>
        <w:spacing w:line="480" w:lineRule="auto"/>
        <w:ind w:left="720" w:firstLine="0"/>
        <w:jc w:val="center"/>
        <w:rPr>
          <w:lang w:eastAsia="en-US"/>
        </w:rPr>
      </w:pPr>
      <w:r w:rsidRPr="00993C60">
        <w:rPr>
          <w:lang w:eastAsia="en-US"/>
        </w:rPr>
        <w:t>β</w:t>
      </w:r>
      <w:r w:rsidRPr="00993C60">
        <w:rPr>
          <w:vertAlign w:val="subscript"/>
          <w:lang w:eastAsia="en-US"/>
        </w:rPr>
        <w:t>PSE</w:t>
      </w:r>
      <w:r w:rsidR="00C91CE2">
        <w:rPr>
          <w:lang w:eastAsia="en-US"/>
        </w:rPr>
        <w:t xml:space="preserve"> </w:t>
      </w:r>
      <w:r w:rsidRPr="00993C60">
        <w:rPr>
          <w:lang w:eastAsia="en-US"/>
        </w:rPr>
        <w:t>x</w:t>
      </w:r>
      <w:r w:rsidR="00C91CE2">
        <w:rPr>
          <w:lang w:eastAsia="en-US"/>
        </w:rPr>
        <w:t xml:space="preserve"> </w:t>
      </w:r>
      <w:r w:rsidRPr="00993C60">
        <w:rPr>
          <w:lang w:eastAsia="en-US"/>
        </w:rPr>
        <w:t>(Arithmetic Mean – Geometric Mean)</w:t>
      </w:r>
    </w:p>
    <w:p w:rsidR="00993C60" w:rsidRPr="00993C60" w:rsidRDefault="00993C60" w:rsidP="00540A76">
      <w:pPr>
        <w:spacing w:line="480" w:lineRule="auto"/>
        <w:ind w:left="720" w:firstLine="0"/>
        <w:jc w:val="center"/>
        <w:rPr>
          <w:lang w:eastAsia="en-US"/>
        </w:rPr>
      </w:pPr>
      <w:r w:rsidRPr="00993C60">
        <w:rPr>
          <w:lang w:eastAsia="en-US"/>
        </w:rPr>
        <w:t>0.74</w:t>
      </w:r>
      <w:r w:rsidR="00C91CE2">
        <w:rPr>
          <w:lang w:eastAsia="en-US"/>
        </w:rPr>
        <w:t xml:space="preserve"> </w:t>
      </w:r>
      <w:r w:rsidRPr="00993C60">
        <w:rPr>
          <w:lang w:eastAsia="en-US"/>
        </w:rPr>
        <w:t>x</w:t>
      </w:r>
      <w:r w:rsidR="00C91CE2">
        <w:rPr>
          <w:lang w:eastAsia="en-US"/>
        </w:rPr>
        <w:t xml:space="preserve"> </w:t>
      </w:r>
      <w:r w:rsidRPr="00993C60">
        <w:rPr>
          <w:lang w:eastAsia="en-US"/>
        </w:rPr>
        <w:t>(6.8% – 5.8%)</w:t>
      </w:r>
      <w:r w:rsidR="00C91CE2">
        <w:rPr>
          <w:lang w:eastAsia="en-US"/>
        </w:rPr>
        <w:t xml:space="preserve"> </w:t>
      </w:r>
      <w:r w:rsidRPr="00993C60">
        <w:rPr>
          <w:lang w:eastAsia="en-US"/>
        </w:rPr>
        <w:t>=</w:t>
      </w:r>
      <w:r w:rsidR="00C91CE2">
        <w:rPr>
          <w:lang w:eastAsia="en-US"/>
        </w:rPr>
        <w:t xml:space="preserve"> </w:t>
      </w:r>
      <w:r w:rsidRPr="00993C60">
        <w:rPr>
          <w:lang w:eastAsia="en-US"/>
        </w:rPr>
        <w:t>0.74 x (1.0%)</w:t>
      </w:r>
      <w:r w:rsidR="00C91CE2">
        <w:rPr>
          <w:lang w:eastAsia="en-US"/>
        </w:rPr>
        <w:t xml:space="preserve"> </w:t>
      </w:r>
      <w:r w:rsidRPr="00993C60">
        <w:rPr>
          <w:lang w:eastAsia="en-US"/>
        </w:rPr>
        <w:t>=</w:t>
      </w:r>
      <w:r w:rsidR="00C91CE2">
        <w:rPr>
          <w:lang w:eastAsia="en-US"/>
        </w:rPr>
        <w:t xml:space="preserve"> </w:t>
      </w:r>
      <w:r w:rsidRPr="00993C60">
        <w:rPr>
          <w:lang w:eastAsia="en-US"/>
        </w:rPr>
        <w:t>0.74%</w:t>
      </w:r>
    </w:p>
    <w:p w:rsidR="00D25D7C" w:rsidRDefault="00D25D7C" w:rsidP="00D25D7C">
      <w:pPr>
        <w:pStyle w:val="Heading2"/>
        <w:rPr>
          <w:lang w:eastAsia="en-US"/>
        </w:rPr>
      </w:pPr>
      <w:bookmarkStart w:id="68" w:name="_Toc489887890"/>
      <w:r>
        <w:rPr>
          <w:lang w:eastAsia="en-US"/>
        </w:rPr>
        <w:t>C</w:t>
      </w:r>
      <w:r w:rsidRPr="00A068EF">
        <w:rPr>
          <w:lang w:eastAsia="en-US"/>
        </w:rPr>
        <w:t>.</w:t>
      </w:r>
      <w:r w:rsidRPr="00A068EF">
        <w:rPr>
          <w:lang w:eastAsia="en-US"/>
        </w:rPr>
        <w:tab/>
      </w:r>
      <w:r>
        <w:rPr>
          <w:lang w:eastAsia="en-US"/>
        </w:rPr>
        <w:t>M</w:t>
      </w:r>
      <w:r w:rsidRPr="00A068EF">
        <w:rPr>
          <w:lang w:eastAsia="en-US"/>
        </w:rPr>
        <w:t>r.</w:t>
      </w:r>
      <w:r>
        <w:rPr>
          <w:lang w:eastAsia="en-US"/>
        </w:rPr>
        <w:t> </w:t>
      </w:r>
      <w:r w:rsidR="006037DB">
        <w:rPr>
          <w:lang w:eastAsia="en-US"/>
        </w:rPr>
        <w:t>Parcell</w:t>
      </w:r>
      <w:r>
        <w:rPr>
          <w:lang w:eastAsia="en-US"/>
        </w:rPr>
        <w:t xml:space="preserve">’s </w:t>
      </w:r>
      <w:r w:rsidRPr="00A068EF">
        <w:rPr>
          <w:lang w:eastAsia="en-US"/>
        </w:rPr>
        <w:t xml:space="preserve">Criticisms </w:t>
      </w:r>
      <w:r>
        <w:rPr>
          <w:lang w:eastAsia="en-US"/>
        </w:rPr>
        <w:t>o</w:t>
      </w:r>
      <w:r w:rsidRPr="00A068EF">
        <w:rPr>
          <w:lang w:eastAsia="en-US"/>
        </w:rPr>
        <w:t xml:space="preserve">f My </w:t>
      </w:r>
      <w:r>
        <w:rPr>
          <w:lang w:eastAsia="en-US"/>
        </w:rPr>
        <w:t xml:space="preserve">Direct </w:t>
      </w:r>
      <w:r w:rsidRPr="00A068EF">
        <w:rPr>
          <w:lang w:eastAsia="en-US"/>
        </w:rPr>
        <w:t xml:space="preserve">Testimony </w:t>
      </w:r>
      <w:r>
        <w:rPr>
          <w:lang w:eastAsia="en-US"/>
        </w:rPr>
        <w:t>a</w:t>
      </w:r>
      <w:r w:rsidR="00946D50">
        <w:rPr>
          <w:lang w:eastAsia="en-US"/>
        </w:rPr>
        <w:t xml:space="preserve">re Unfounded, are </w:t>
      </w:r>
      <w:r w:rsidRPr="00A068EF">
        <w:rPr>
          <w:lang w:eastAsia="en-US"/>
        </w:rPr>
        <w:t xml:space="preserve">Without Merit, </w:t>
      </w:r>
      <w:r>
        <w:rPr>
          <w:lang w:eastAsia="en-US"/>
        </w:rPr>
        <w:t>a</w:t>
      </w:r>
      <w:r w:rsidRPr="00A068EF">
        <w:rPr>
          <w:lang w:eastAsia="en-US"/>
        </w:rPr>
        <w:t xml:space="preserve">nd Should </w:t>
      </w:r>
      <w:r>
        <w:rPr>
          <w:lang w:eastAsia="en-US"/>
        </w:rPr>
        <w:t>b</w:t>
      </w:r>
      <w:r w:rsidRPr="00A068EF">
        <w:rPr>
          <w:lang w:eastAsia="en-US"/>
        </w:rPr>
        <w:t xml:space="preserve">e Ignored </w:t>
      </w:r>
      <w:r>
        <w:rPr>
          <w:lang w:eastAsia="en-US"/>
        </w:rPr>
        <w:t>b</w:t>
      </w:r>
      <w:r w:rsidRPr="00A068EF">
        <w:rPr>
          <w:lang w:eastAsia="en-US"/>
        </w:rPr>
        <w:t xml:space="preserve">y </w:t>
      </w:r>
      <w:r>
        <w:rPr>
          <w:lang w:eastAsia="en-US"/>
        </w:rPr>
        <w:t>the Commission</w:t>
      </w:r>
      <w:bookmarkEnd w:id="68"/>
    </w:p>
    <w:p w:rsidR="006037DB" w:rsidRDefault="006037DB" w:rsidP="006037DB">
      <w:pPr>
        <w:pStyle w:val="Heading3"/>
        <w:rPr>
          <w:lang w:eastAsia="en-US"/>
        </w:rPr>
      </w:pPr>
      <w:bookmarkStart w:id="69" w:name="_Toc489887891"/>
      <w:r>
        <w:rPr>
          <w:lang w:eastAsia="en-US"/>
        </w:rPr>
        <w:t>1</w:t>
      </w:r>
      <w:r w:rsidRPr="00A068EF">
        <w:rPr>
          <w:lang w:eastAsia="en-US"/>
        </w:rPr>
        <w:t>.</w:t>
      </w:r>
      <w:r w:rsidRPr="00A068EF">
        <w:rPr>
          <w:lang w:eastAsia="en-US"/>
        </w:rPr>
        <w:tab/>
      </w:r>
      <w:r w:rsidR="00216FBF" w:rsidRPr="00255659">
        <w:t>Mr.</w:t>
      </w:r>
      <w:r w:rsidR="00216FBF">
        <w:t> </w:t>
      </w:r>
      <w:r w:rsidR="00216FBF" w:rsidRPr="00255659">
        <w:rPr>
          <w:bCs/>
          <w:szCs w:val="24"/>
          <w:lang w:eastAsia="en-US"/>
        </w:rPr>
        <w:t>Parcell</w:t>
      </w:r>
      <w:r w:rsidR="00216FBF">
        <w:rPr>
          <w:bCs/>
          <w:szCs w:val="24"/>
          <w:lang w:eastAsia="en-US"/>
        </w:rPr>
        <w:t>’s</w:t>
      </w:r>
      <w:r w:rsidR="00216FBF" w:rsidRPr="00255659">
        <w:rPr>
          <w:bCs/>
          <w:szCs w:val="24"/>
          <w:lang w:eastAsia="en-US"/>
        </w:rPr>
        <w:t xml:space="preserve"> </w:t>
      </w:r>
      <w:r w:rsidR="00216FBF">
        <w:rPr>
          <w:bCs/>
          <w:szCs w:val="24"/>
          <w:lang w:eastAsia="en-US"/>
        </w:rPr>
        <w:t xml:space="preserve">Assertions that </w:t>
      </w:r>
      <w:r w:rsidR="00216FBF" w:rsidRPr="00255659">
        <w:rPr>
          <w:bCs/>
          <w:szCs w:val="24"/>
          <w:lang w:eastAsia="en-US"/>
        </w:rPr>
        <w:t xml:space="preserve">the </w:t>
      </w:r>
      <w:r w:rsidR="00216FBF">
        <w:rPr>
          <w:bCs/>
          <w:szCs w:val="24"/>
          <w:lang w:eastAsia="en-US"/>
        </w:rPr>
        <w:t>E</w:t>
      </w:r>
      <w:r w:rsidR="00216FBF" w:rsidRPr="00255659">
        <w:rPr>
          <w:bCs/>
          <w:szCs w:val="24"/>
          <w:lang w:eastAsia="en-US"/>
        </w:rPr>
        <w:t xml:space="preserve">mpirical CAPM </w:t>
      </w:r>
      <w:r w:rsidR="00216FBF">
        <w:rPr>
          <w:bCs/>
          <w:szCs w:val="24"/>
          <w:lang w:eastAsia="en-US"/>
        </w:rPr>
        <w:t>I</w:t>
      </w:r>
      <w:r w:rsidR="00216FBF" w:rsidRPr="00255659">
        <w:rPr>
          <w:bCs/>
          <w:szCs w:val="24"/>
          <w:lang w:eastAsia="en-US"/>
        </w:rPr>
        <w:t xml:space="preserve">nflates CAPM </w:t>
      </w:r>
      <w:r w:rsidR="00216FBF">
        <w:rPr>
          <w:bCs/>
          <w:szCs w:val="24"/>
          <w:lang w:eastAsia="en-US"/>
        </w:rPr>
        <w:t>R</w:t>
      </w:r>
      <w:r w:rsidR="00216FBF" w:rsidRPr="00255659">
        <w:rPr>
          <w:bCs/>
          <w:szCs w:val="24"/>
          <w:lang w:eastAsia="en-US"/>
        </w:rPr>
        <w:t xml:space="preserve">esult for </w:t>
      </w:r>
      <w:r w:rsidR="00216FBF">
        <w:rPr>
          <w:bCs/>
          <w:szCs w:val="24"/>
          <w:lang w:eastAsia="en-US"/>
        </w:rPr>
        <w:t>S</w:t>
      </w:r>
      <w:r w:rsidR="00216FBF" w:rsidRPr="00255659">
        <w:rPr>
          <w:bCs/>
          <w:szCs w:val="24"/>
          <w:lang w:eastAsia="en-US"/>
        </w:rPr>
        <w:t xml:space="preserve">elected </w:t>
      </w:r>
      <w:r w:rsidR="00216FBF">
        <w:rPr>
          <w:bCs/>
          <w:szCs w:val="24"/>
          <w:lang w:eastAsia="en-US"/>
        </w:rPr>
        <w:t>C</w:t>
      </w:r>
      <w:r w:rsidR="00216FBF" w:rsidRPr="00255659">
        <w:rPr>
          <w:bCs/>
          <w:szCs w:val="24"/>
          <w:lang w:eastAsia="en-US"/>
        </w:rPr>
        <w:t>ompan</w:t>
      </w:r>
      <w:r w:rsidR="00216FBF">
        <w:rPr>
          <w:bCs/>
          <w:szCs w:val="24"/>
          <w:lang w:eastAsia="en-US"/>
        </w:rPr>
        <w:t xml:space="preserve">ies </w:t>
      </w:r>
      <w:r w:rsidR="00216FBF" w:rsidRPr="00255659">
        <w:rPr>
          <w:bCs/>
          <w:szCs w:val="24"/>
          <w:lang w:eastAsia="en-US"/>
        </w:rPr>
        <w:t xml:space="preserve">or </w:t>
      </w:r>
      <w:r w:rsidR="00216FBF">
        <w:rPr>
          <w:bCs/>
          <w:szCs w:val="24"/>
          <w:lang w:eastAsia="en-US"/>
        </w:rPr>
        <w:t>I</w:t>
      </w:r>
      <w:r w:rsidR="00216FBF" w:rsidRPr="00255659">
        <w:rPr>
          <w:bCs/>
          <w:szCs w:val="24"/>
          <w:lang w:eastAsia="en-US"/>
        </w:rPr>
        <w:t>ndustr</w:t>
      </w:r>
      <w:r w:rsidR="00216FBF">
        <w:rPr>
          <w:bCs/>
          <w:szCs w:val="24"/>
          <w:lang w:eastAsia="en-US"/>
        </w:rPr>
        <w:t>ies are Erroneous</w:t>
      </w:r>
      <w:bookmarkEnd w:id="69"/>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Is </w:t>
      </w:r>
      <w:r w:rsidR="00E51C96" w:rsidRPr="00255659">
        <w:t>Mr.</w:t>
      </w:r>
      <w:r w:rsidR="00E51C96">
        <w:t> </w:t>
      </w:r>
      <w:r w:rsidRPr="00255659">
        <w:rPr>
          <w:bCs/>
          <w:szCs w:val="24"/>
          <w:lang w:eastAsia="en-US"/>
        </w:rPr>
        <w:t>Parcell correct that the empirical CAPM inflates the CAPM result for the selected company or industry?</w:t>
      </w:r>
    </w:p>
    <w:p w:rsidR="00993C60" w:rsidRPr="00255659" w:rsidRDefault="00572193" w:rsidP="00540A76">
      <w:pPr>
        <w:pStyle w:val="answer"/>
        <w:rPr>
          <w:rFonts w:eastAsia="SimSun"/>
        </w:rPr>
      </w:pPr>
      <w:r w:rsidRPr="00255659">
        <w:rPr>
          <w:rFonts w:eastAsia="SimSun"/>
        </w:rPr>
        <w:t>A.</w:t>
      </w:r>
      <w:r w:rsidR="00993C60" w:rsidRPr="00255659">
        <w:rPr>
          <w:rFonts w:eastAsia="SimSun"/>
        </w:rPr>
        <w:tab/>
      </w:r>
      <w:r w:rsidR="00216FBF">
        <w:rPr>
          <w:rFonts w:eastAsia="SimSun"/>
        </w:rPr>
        <w:t xml:space="preserve">No. </w:t>
      </w:r>
      <w:r w:rsidR="00993C60" w:rsidRPr="00255659">
        <w:rPr>
          <w:rFonts w:eastAsia="SimSun"/>
        </w:rPr>
        <w:t>The empirical CAPM does not inflate the CAPM result for the selected company or industry.</w:t>
      </w:r>
      <w:r w:rsidR="00C91CE2">
        <w:rPr>
          <w:rFonts w:eastAsia="SimSun"/>
        </w:rPr>
        <w:t xml:space="preserve"> </w:t>
      </w:r>
      <w:r w:rsidR="00993C60" w:rsidRPr="00255659">
        <w:rPr>
          <w:rFonts w:eastAsia="SimSun"/>
        </w:rPr>
        <w:t>For companies with betas less than one, the CAPM understates the return; for companies with betas greater than one, the CAPM overstates the return.</w:t>
      </w:r>
      <w:r w:rsidR="00C91CE2">
        <w:rPr>
          <w:rFonts w:eastAsia="SimSun"/>
        </w:rPr>
        <w:t xml:space="preserve"> </w:t>
      </w:r>
      <w:r w:rsidR="00993C60" w:rsidRPr="00255659">
        <w:rPr>
          <w:rFonts w:eastAsia="SimSun"/>
        </w:rPr>
        <w:t xml:space="preserve">Please see </w:t>
      </w:r>
      <w:r w:rsidR="00216FBF">
        <w:rPr>
          <w:rFonts w:eastAsia="SimSun"/>
        </w:rPr>
        <w:t xml:space="preserve">the Seventh Exhibit to the Prefiled Direct Testimony of </w:t>
      </w:r>
      <w:r w:rsidR="00D20344">
        <w:rPr>
          <w:rFonts w:eastAsia="SimSun"/>
        </w:rPr>
        <w:t>Dr. </w:t>
      </w:r>
      <w:r w:rsidR="00216FBF">
        <w:rPr>
          <w:rFonts w:eastAsia="SimSun"/>
        </w:rPr>
        <w:t>Roger</w:t>
      </w:r>
      <w:r w:rsidR="00D20344">
        <w:rPr>
          <w:rFonts w:eastAsia="SimSun"/>
        </w:rPr>
        <w:t> </w:t>
      </w:r>
      <w:r w:rsidR="00216FBF">
        <w:rPr>
          <w:rFonts w:eastAsia="SimSun"/>
        </w:rPr>
        <w:t xml:space="preserve">A. Morin, </w:t>
      </w:r>
      <w:r w:rsidR="00993C60" w:rsidRPr="00255659">
        <w:rPr>
          <w:rFonts w:eastAsia="SimSun"/>
        </w:rPr>
        <w:t>Exh</w:t>
      </w:r>
      <w:r w:rsidR="00216FBF">
        <w:rPr>
          <w:rFonts w:eastAsia="SimSun"/>
        </w:rPr>
        <w:t>.</w:t>
      </w:r>
      <w:r w:rsidR="00993C60" w:rsidRPr="00255659">
        <w:rPr>
          <w:rFonts w:eastAsia="SimSun"/>
        </w:rPr>
        <w:t> RAM-</w:t>
      </w:r>
      <w:r w:rsidR="00216FBF">
        <w:rPr>
          <w:rFonts w:eastAsia="SimSun"/>
        </w:rPr>
        <w:t>8,</w:t>
      </w:r>
      <w:r w:rsidR="00993C60" w:rsidRPr="00255659">
        <w:rPr>
          <w:rFonts w:eastAsia="SimSun"/>
        </w:rPr>
        <w:t xml:space="preserve"> for a discussion of the conceptual and empirical foundations of the empirical CAPM. </w:t>
      </w:r>
    </w:p>
    <w:p w:rsidR="006037DB" w:rsidRDefault="006037DB" w:rsidP="006037DB">
      <w:pPr>
        <w:pStyle w:val="Heading3"/>
        <w:rPr>
          <w:lang w:eastAsia="en-US"/>
        </w:rPr>
      </w:pPr>
      <w:bookmarkStart w:id="70" w:name="_Toc489887892"/>
      <w:r>
        <w:rPr>
          <w:lang w:eastAsia="en-US"/>
        </w:rPr>
        <w:lastRenderedPageBreak/>
        <w:t>2</w:t>
      </w:r>
      <w:r w:rsidRPr="00A068EF">
        <w:rPr>
          <w:lang w:eastAsia="en-US"/>
        </w:rPr>
        <w:t>.</w:t>
      </w:r>
      <w:r w:rsidRPr="00A068EF">
        <w:rPr>
          <w:lang w:eastAsia="en-US"/>
        </w:rPr>
        <w:tab/>
      </w:r>
      <w:r>
        <w:rPr>
          <w:lang w:eastAsia="en-US"/>
        </w:rPr>
        <w:t>Risk Premium Methodology</w:t>
      </w:r>
      <w:bookmarkEnd w:id="70"/>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00216FBF">
        <w:rPr>
          <w:bCs/>
          <w:szCs w:val="24"/>
          <w:lang w:eastAsia="en-US"/>
        </w:rPr>
        <w:t xml:space="preserve">How do you respond to </w:t>
      </w:r>
      <w:r w:rsidR="00E51C96" w:rsidRPr="00255659">
        <w:t>Mr.</w:t>
      </w:r>
      <w:r w:rsidR="00E51C96">
        <w:t> </w:t>
      </w:r>
      <w:r w:rsidRPr="00255659">
        <w:rPr>
          <w:bCs/>
          <w:szCs w:val="24"/>
          <w:lang w:eastAsia="en-US"/>
        </w:rPr>
        <w:t>Parcell</w:t>
      </w:r>
      <w:r w:rsidR="00216FBF">
        <w:rPr>
          <w:bCs/>
          <w:szCs w:val="24"/>
          <w:lang w:eastAsia="en-US"/>
        </w:rPr>
        <w:t>’s</w:t>
      </w:r>
      <w:r w:rsidRPr="00255659">
        <w:rPr>
          <w:bCs/>
          <w:szCs w:val="24"/>
          <w:lang w:eastAsia="en-US"/>
        </w:rPr>
        <w:t xml:space="preserve"> </w:t>
      </w:r>
      <w:r w:rsidR="00216FBF">
        <w:rPr>
          <w:bCs/>
          <w:szCs w:val="24"/>
          <w:lang w:eastAsia="en-US"/>
        </w:rPr>
        <w:t xml:space="preserve">disagreement </w:t>
      </w:r>
      <w:r w:rsidRPr="00255659">
        <w:rPr>
          <w:bCs/>
          <w:szCs w:val="24"/>
          <w:lang w:eastAsia="en-US"/>
        </w:rPr>
        <w:t>with the risk premium methodology because economic conditions today are different and risk premiums are unstable from year to year</w:t>
      </w:r>
      <w:r w:rsidR="00993C60" w:rsidRPr="00993C60">
        <w:rPr>
          <w:bCs/>
          <w:szCs w:val="24"/>
          <w:lang w:eastAsia="en-US"/>
        </w:rPr>
        <w:t>?</w:t>
      </w:r>
    </w:p>
    <w:p w:rsidR="00572193" w:rsidRPr="00255659" w:rsidRDefault="00572193" w:rsidP="00540A76">
      <w:pPr>
        <w:pStyle w:val="answer"/>
        <w:rPr>
          <w:rFonts w:eastAsia="SimSun"/>
        </w:rPr>
      </w:pPr>
      <w:r w:rsidRPr="00255659">
        <w:rPr>
          <w:rFonts w:eastAsia="SimSun"/>
        </w:rPr>
        <w:t>A.</w:t>
      </w:r>
      <w:r w:rsidR="00993C60" w:rsidRPr="00255659">
        <w:rPr>
          <w:rFonts w:eastAsia="SimSun"/>
        </w:rPr>
        <w:tab/>
      </w:r>
      <w:r w:rsidR="00E51C96" w:rsidRPr="00255659">
        <w:rPr>
          <w:rFonts w:eastAsia="SimSun"/>
        </w:rPr>
        <w:t>Mr.</w:t>
      </w:r>
      <w:r w:rsidR="00E51C96">
        <w:rPr>
          <w:rFonts w:eastAsia="SimSun"/>
        </w:rPr>
        <w:t> </w:t>
      </w:r>
      <w:r w:rsidR="00993C60" w:rsidRPr="00255659">
        <w:rPr>
          <w:rFonts w:eastAsia="SimSun"/>
        </w:rPr>
        <w:t>Parcell critiques the risk premium method on two grounds: (i) the method assumes that past is prologue, and (ii) the method assumes that the risk premium is constant over time whereas in fact the risk premium results are dominated by the influence of capital gains in many years.</w:t>
      </w:r>
      <w:r w:rsidR="00216FBF">
        <w:rPr>
          <w:rStyle w:val="FootnoteReference"/>
          <w:rFonts w:eastAsia="SimSun"/>
        </w:rPr>
        <w:footnoteReference w:id="87"/>
      </w:r>
    </w:p>
    <w:p w:rsidR="00572193" w:rsidRPr="00255659" w:rsidRDefault="00993C60" w:rsidP="00540A76">
      <w:pPr>
        <w:pStyle w:val="answer"/>
        <w:ind w:firstLine="0"/>
        <w:rPr>
          <w:rFonts w:eastAsia="SimSun"/>
          <w:szCs w:val="24"/>
        </w:rPr>
      </w:pPr>
      <w:r w:rsidRPr="00993C60">
        <w:rPr>
          <w:rFonts w:eastAsia="SimSun"/>
          <w:szCs w:val="24"/>
        </w:rPr>
        <w:t>The first criticism is unwarranted.</w:t>
      </w:r>
      <w:r w:rsidR="00C91CE2">
        <w:rPr>
          <w:rFonts w:eastAsia="SimSun"/>
          <w:szCs w:val="24"/>
        </w:rPr>
        <w:t xml:space="preserve"> </w:t>
      </w:r>
      <w:r w:rsidRPr="00993C60">
        <w:rPr>
          <w:rFonts w:eastAsia="SimSun"/>
          <w:szCs w:val="24"/>
        </w:rPr>
        <w:t>I employed returns realized over long time periods rather than returns realized over more recent time periods.</w:t>
      </w:r>
      <w:r w:rsidR="00C91CE2">
        <w:rPr>
          <w:rFonts w:eastAsia="SimSun"/>
          <w:szCs w:val="24"/>
        </w:rPr>
        <w:t xml:space="preserve"> </w:t>
      </w:r>
      <w:r w:rsidRPr="00993C60">
        <w:rPr>
          <w:rFonts w:eastAsia="SimSun"/>
          <w:szCs w:val="24"/>
        </w:rPr>
        <w:t>Realized returns can be substantially different from prospective returns anticipated by investors, especially when measured over short time periods.</w:t>
      </w:r>
      <w:r w:rsidR="00C91CE2">
        <w:rPr>
          <w:rFonts w:eastAsia="SimSun"/>
          <w:szCs w:val="24"/>
        </w:rPr>
        <w:t xml:space="preserve"> </w:t>
      </w:r>
      <w:r w:rsidRPr="00993C60">
        <w:rPr>
          <w:rFonts w:eastAsia="SimSun"/>
          <w:szCs w:val="24"/>
        </w:rPr>
        <w:t>A risk premium study should consider the longest possible period for which data are available.</w:t>
      </w:r>
      <w:r w:rsidR="00C91CE2">
        <w:rPr>
          <w:rFonts w:eastAsia="SimSun"/>
          <w:szCs w:val="24"/>
        </w:rPr>
        <w:t xml:space="preserve"> </w:t>
      </w:r>
      <w:r w:rsidRPr="00993C60">
        <w:rPr>
          <w:rFonts w:eastAsia="SimSun"/>
          <w:szCs w:val="24"/>
        </w:rPr>
        <w:t>Short-run periods during which investors earned a lower risk premium than they expected are offset by short-run periods during which investors earned a higher risk premium than they expected.</w:t>
      </w:r>
      <w:r w:rsidR="00C91CE2">
        <w:rPr>
          <w:rFonts w:eastAsia="SimSun"/>
          <w:szCs w:val="24"/>
        </w:rPr>
        <w:t xml:space="preserve"> </w:t>
      </w:r>
      <w:r w:rsidRPr="00993C60">
        <w:rPr>
          <w:rFonts w:eastAsia="SimSun"/>
          <w:szCs w:val="24"/>
        </w:rPr>
        <w:t>Only over long time periods will investor return expectations and realizations converge, or else, investors would never commit any funds.</w:t>
      </w:r>
    </w:p>
    <w:p w:rsidR="00572193" w:rsidRPr="00255659" w:rsidRDefault="00993C60" w:rsidP="00540A76">
      <w:pPr>
        <w:pStyle w:val="answer"/>
        <w:ind w:firstLine="0"/>
        <w:rPr>
          <w:rFonts w:eastAsia="SimSun"/>
          <w:szCs w:val="24"/>
        </w:rPr>
      </w:pPr>
      <w:r w:rsidRPr="00993C60">
        <w:rPr>
          <w:rFonts w:eastAsia="SimSun"/>
          <w:szCs w:val="24"/>
        </w:rPr>
        <w:t>I have ignored realized risk premiums measured over short time periods because they are heavily dependent on short-term market movements.</w:t>
      </w:r>
      <w:r w:rsidR="00C91CE2">
        <w:rPr>
          <w:rFonts w:eastAsia="SimSun"/>
          <w:szCs w:val="24"/>
        </w:rPr>
        <w:t xml:space="preserve"> </w:t>
      </w:r>
      <w:r w:rsidRPr="00993C60">
        <w:rPr>
          <w:rFonts w:eastAsia="SimSun"/>
          <w:szCs w:val="24"/>
        </w:rPr>
        <w:t xml:space="preserve">Instead, I have relied on results over periods of enough length to smooth out short-term </w:t>
      </w:r>
      <w:r w:rsidRPr="00993C60">
        <w:rPr>
          <w:rFonts w:eastAsia="SimSun"/>
          <w:szCs w:val="24"/>
        </w:rPr>
        <w:lastRenderedPageBreak/>
        <w:t>aberrations, and to encompass several business and interest rate cycles.</w:t>
      </w:r>
      <w:r w:rsidR="00C91CE2">
        <w:rPr>
          <w:rFonts w:eastAsia="SimSun"/>
          <w:szCs w:val="24"/>
        </w:rPr>
        <w:t xml:space="preserve"> </w:t>
      </w:r>
      <w:r w:rsidRPr="00993C60">
        <w:rPr>
          <w:rFonts w:eastAsia="SimSun"/>
          <w:szCs w:val="24"/>
        </w:rPr>
        <w:t>By using the entire study period to estimate the appropriate market risk premium, subjective judgment is minimized and many diverse regimes of inflation, interest rate cycles, and economic cycles spanned.</w:t>
      </w:r>
    </w:p>
    <w:p w:rsidR="00993C60" w:rsidRDefault="00E51C96" w:rsidP="00540A76">
      <w:pPr>
        <w:pStyle w:val="answer"/>
        <w:ind w:firstLine="0"/>
        <w:rPr>
          <w:rFonts w:eastAsia="SimSun"/>
          <w:szCs w:val="24"/>
        </w:rPr>
      </w:pPr>
      <w:r w:rsidRPr="00255659">
        <w:rPr>
          <w:rFonts w:eastAsia="SimSun"/>
        </w:rPr>
        <w:t>Mr.</w:t>
      </w:r>
      <w:r>
        <w:rPr>
          <w:rFonts w:eastAsia="SimSun"/>
        </w:rPr>
        <w:t> </w:t>
      </w:r>
      <w:r w:rsidR="00993C60" w:rsidRPr="00993C60">
        <w:rPr>
          <w:rFonts w:eastAsia="SimSun"/>
          <w:szCs w:val="24"/>
        </w:rPr>
        <w:t>Parcell</w:t>
      </w:r>
      <w:r w:rsidR="00255659">
        <w:rPr>
          <w:rFonts w:eastAsia="SimSun"/>
          <w:szCs w:val="24"/>
        </w:rPr>
        <w:t>’</w:t>
      </w:r>
      <w:r w:rsidR="00993C60" w:rsidRPr="00993C60">
        <w:rPr>
          <w:rFonts w:eastAsia="SimSun"/>
          <w:szCs w:val="24"/>
        </w:rPr>
        <w:t xml:space="preserve">s second concern is </w:t>
      </w:r>
      <w:r w:rsidR="007D180B">
        <w:rPr>
          <w:rFonts w:eastAsia="SimSun"/>
          <w:szCs w:val="24"/>
        </w:rPr>
        <w:t xml:space="preserve">also </w:t>
      </w:r>
      <w:r w:rsidR="00993C60" w:rsidRPr="00993C60">
        <w:rPr>
          <w:rFonts w:eastAsia="SimSun"/>
          <w:szCs w:val="24"/>
        </w:rPr>
        <w:t>unwarranted.</w:t>
      </w:r>
      <w:r w:rsidR="00C91CE2">
        <w:rPr>
          <w:rFonts w:eastAsia="SimSun"/>
          <w:szCs w:val="24"/>
        </w:rPr>
        <w:t xml:space="preserve"> </w:t>
      </w:r>
      <w:r w:rsidR="00993C60" w:rsidRPr="00993C60">
        <w:rPr>
          <w:rFonts w:eastAsia="SimSun"/>
          <w:szCs w:val="24"/>
        </w:rPr>
        <w:t>The influence of unexpected capital losses offsets the influence of unexpected capital gains.</w:t>
      </w:r>
      <w:r w:rsidR="00C91CE2">
        <w:rPr>
          <w:rFonts w:eastAsia="SimSun"/>
          <w:szCs w:val="24"/>
        </w:rPr>
        <w:t xml:space="preserve"> </w:t>
      </w:r>
      <w:r w:rsidR="00993C60" w:rsidRPr="00993C60">
        <w:rPr>
          <w:rFonts w:eastAsia="SimSun"/>
          <w:szCs w:val="24"/>
        </w:rPr>
        <w:t>To the extent that the estimated historical equity risk premium follows what is known in statistics as a random walk, one should expect the equity risk premium to remain at its historical mean.</w:t>
      </w:r>
      <w:r w:rsidR="00C91CE2">
        <w:rPr>
          <w:rFonts w:eastAsia="SimSun"/>
          <w:szCs w:val="24"/>
        </w:rPr>
        <w:t xml:space="preserve"> </w:t>
      </w:r>
      <w:r w:rsidR="00993C60" w:rsidRPr="00993C60">
        <w:rPr>
          <w:rFonts w:eastAsia="SimSun"/>
          <w:szCs w:val="24"/>
        </w:rPr>
        <w:t>Thus, the best estimate of the future risk premium is the historical mean.</w:t>
      </w:r>
      <w:r w:rsidR="00C91CE2">
        <w:rPr>
          <w:rFonts w:eastAsia="SimSun"/>
          <w:szCs w:val="24"/>
        </w:rPr>
        <w:t xml:space="preserve"> </w:t>
      </w:r>
      <w:r w:rsidR="00993C60" w:rsidRPr="00993C60">
        <w:rPr>
          <w:rFonts w:eastAsia="SimSun"/>
          <w:szCs w:val="24"/>
        </w:rPr>
        <w:t xml:space="preserve">As explained in my direct testimony, </w:t>
      </w:r>
      <w:r w:rsidR="007D180B" w:rsidRPr="00993C60">
        <w:rPr>
          <w:rFonts w:eastAsia="SimSun"/>
          <w:szCs w:val="24"/>
        </w:rPr>
        <w:t xml:space="preserve">there is no evidence that the </w:t>
      </w:r>
      <w:r w:rsidR="007D180B">
        <w:rPr>
          <w:rFonts w:eastAsia="SimSun"/>
          <w:szCs w:val="24"/>
        </w:rPr>
        <w:t xml:space="preserve">market risk premium </w:t>
      </w:r>
      <w:r w:rsidR="007D180B" w:rsidRPr="00993C60">
        <w:rPr>
          <w:rFonts w:eastAsia="SimSun"/>
          <w:szCs w:val="24"/>
        </w:rPr>
        <w:t>in common stocks has changed over time (i.e., no significant serial correlation in the Duff &amp; Phelps historical return data)</w:t>
      </w:r>
      <w:r w:rsidR="007D180B">
        <w:rPr>
          <w:rFonts w:eastAsia="SimSun"/>
          <w:szCs w:val="24"/>
        </w:rPr>
        <w:t xml:space="preserve">. Therefore, it </w:t>
      </w:r>
      <w:r w:rsidR="00993C60" w:rsidRPr="00993C60">
        <w:rPr>
          <w:rFonts w:eastAsia="SimSun"/>
          <w:szCs w:val="24"/>
        </w:rPr>
        <w:t>is reasonable to assume that these quantities will remain stable in the future.</w:t>
      </w:r>
    </w:p>
    <w:p w:rsidR="00BA7E06" w:rsidRPr="00BA7E06" w:rsidRDefault="00BA7E06" w:rsidP="00BA7E06">
      <w:pPr>
        <w:pStyle w:val="Heading3"/>
        <w:rPr>
          <w:lang w:eastAsia="en-US"/>
        </w:rPr>
      </w:pPr>
      <w:bookmarkStart w:id="71" w:name="_Toc489887893"/>
      <w:r>
        <w:rPr>
          <w:lang w:eastAsia="en-US"/>
        </w:rPr>
        <w:t>3</w:t>
      </w:r>
      <w:r w:rsidRPr="00A068EF">
        <w:rPr>
          <w:lang w:eastAsia="en-US"/>
        </w:rPr>
        <w:t>.</w:t>
      </w:r>
      <w:r w:rsidRPr="00A068EF">
        <w:rPr>
          <w:lang w:eastAsia="en-US"/>
        </w:rPr>
        <w:tab/>
      </w:r>
      <w:r w:rsidRPr="00255659">
        <w:t>Mr.</w:t>
      </w:r>
      <w:r>
        <w:t> </w:t>
      </w:r>
      <w:r w:rsidRPr="00255659">
        <w:rPr>
          <w:bCs/>
          <w:szCs w:val="24"/>
          <w:lang w:eastAsia="en-US"/>
        </w:rPr>
        <w:t>Parcell</w:t>
      </w:r>
      <w:r>
        <w:rPr>
          <w:bCs/>
          <w:szCs w:val="24"/>
          <w:lang w:eastAsia="en-US"/>
        </w:rPr>
        <w:t xml:space="preserve"> Fails to Recognize that </w:t>
      </w:r>
      <w:r>
        <w:rPr>
          <w:bCs/>
          <w:szCs w:val="24"/>
        </w:rPr>
        <w:t xml:space="preserve">the </w:t>
      </w:r>
      <w:r w:rsidRPr="00255659">
        <w:t xml:space="preserve">Average </w:t>
      </w:r>
      <w:r>
        <w:t xml:space="preserve">Allowed Return on Equity Authorized by State Utility Commissions for </w:t>
      </w:r>
      <w:r w:rsidRPr="00255659">
        <w:t xml:space="preserve">Electric Utilities </w:t>
      </w:r>
      <w:r>
        <w:t xml:space="preserve">in 2017 is </w:t>
      </w:r>
      <w:r w:rsidRPr="00255659">
        <w:t>9.9</w:t>
      </w:r>
      <w:r>
        <w:t> percent</w:t>
      </w:r>
      <w:bookmarkEnd w:id="71"/>
    </w:p>
    <w:p w:rsidR="00BA7E06" w:rsidRPr="00993C60" w:rsidRDefault="00BA7E06" w:rsidP="00BA7E06">
      <w:pPr>
        <w:pStyle w:val="question"/>
        <w:spacing w:before="360"/>
      </w:pPr>
      <w:r w:rsidRPr="00993C60">
        <w:rPr>
          <w:bCs/>
          <w:szCs w:val="24"/>
        </w:rPr>
        <w:t>Q.</w:t>
      </w:r>
      <w:r w:rsidRPr="00993C60">
        <w:rPr>
          <w:bCs/>
          <w:szCs w:val="24"/>
        </w:rPr>
        <w:tab/>
      </w:r>
      <w:r w:rsidRPr="00255659">
        <w:rPr>
          <w:bCs/>
          <w:szCs w:val="24"/>
        </w:rPr>
        <w:t xml:space="preserve">Is </w:t>
      </w:r>
      <w:r w:rsidRPr="00255659">
        <w:t>Mr.</w:t>
      </w:r>
      <w:r>
        <w:t> </w:t>
      </w:r>
      <w:r w:rsidRPr="00255659">
        <w:rPr>
          <w:bCs/>
          <w:szCs w:val="24"/>
        </w:rPr>
        <w:t xml:space="preserve">Parcell correct that </w:t>
      </w:r>
      <w:r>
        <w:rPr>
          <w:bCs/>
          <w:szCs w:val="24"/>
        </w:rPr>
        <w:t xml:space="preserve">allowed returns on equity authorized by state utility commission </w:t>
      </w:r>
      <w:r w:rsidRPr="00255659">
        <w:rPr>
          <w:bCs/>
          <w:szCs w:val="24"/>
        </w:rPr>
        <w:t xml:space="preserve">has not been as large as your </w:t>
      </w:r>
      <w:r>
        <w:rPr>
          <w:bCs/>
          <w:szCs w:val="24"/>
        </w:rPr>
        <w:t xml:space="preserve">recommended return on equity of </w:t>
      </w:r>
      <w:r w:rsidRPr="00255659">
        <w:rPr>
          <w:bCs/>
          <w:szCs w:val="24"/>
        </w:rPr>
        <w:t>9.8</w:t>
      </w:r>
      <w:r>
        <w:rPr>
          <w:bCs/>
          <w:szCs w:val="24"/>
        </w:rPr>
        <w:t xml:space="preserve"> percent </w:t>
      </w:r>
      <w:r w:rsidRPr="00255659">
        <w:rPr>
          <w:bCs/>
          <w:szCs w:val="24"/>
        </w:rPr>
        <w:t>since 2013</w:t>
      </w:r>
      <w:r w:rsidRPr="00993C60">
        <w:rPr>
          <w:bCs/>
          <w:szCs w:val="24"/>
        </w:rPr>
        <w:t>?</w:t>
      </w:r>
    </w:p>
    <w:p w:rsidR="00BA7E06" w:rsidRPr="00255659" w:rsidRDefault="00BA7E06" w:rsidP="00BA7E06">
      <w:pPr>
        <w:pStyle w:val="answer"/>
        <w:rPr>
          <w:rFonts w:eastAsia="SimSun"/>
        </w:rPr>
      </w:pPr>
      <w:r w:rsidRPr="00255659">
        <w:rPr>
          <w:rFonts w:eastAsia="SimSun"/>
        </w:rPr>
        <w:t>A.</w:t>
      </w:r>
      <w:r w:rsidRPr="00255659">
        <w:rPr>
          <w:rFonts w:eastAsia="SimSun"/>
        </w:rPr>
        <w:tab/>
        <w:t>No</w:t>
      </w:r>
      <w:r>
        <w:rPr>
          <w:rFonts w:eastAsia="SimSun"/>
        </w:rPr>
        <w:t xml:space="preserve">. Mr. Parcell is incorrect in his assertion </w:t>
      </w:r>
      <w:r w:rsidRPr="00255659">
        <w:rPr>
          <w:bCs/>
          <w:szCs w:val="24"/>
        </w:rPr>
        <w:t xml:space="preserve">that </w:t>
      </w:r>
      <w:r>
        <w:rPr>
          <w:bCs/>
          <w:szCs w:val="24"/>
        </w:rPr>
        <w:t xml:space="preserve">allowed returns on equity authorized by state utility commission </w:t>
      </w:r>
      <w:r w:rsidRPr="00255659">
        <w:rPr>
          <w:bCs/>
          <w:szCs w:val="24"/>
        </w:rPr>
        <w:t xml:space="preserve">has not been as large as your </w:t>
      </w:r>
      <w:r>
        <w:rPr>
          <w:bCs/>
          <w:szCs w:val="24"/>
        </w:rPr>
        <w:t xml:space="preserve">recommended </w:t>
      </w:r>
      <w:r>
        <w:rPr>
          <w:bCs/>
          <w:szCs w:val="24"/>
        </w:rPr>
        <w:lastRenderedPageBreak/>
        <w:t xml:space="preserve">return on equity of </w:t>
      </w:r>
      <w:r w:rsidRPr="00255659">
        <w:rPr>
          <w:bCs/>
          <w:szCs w:val="24"/>
        </w:rPr>
        <w:t>9.8</w:t>
      </w:r>
      <w:r>
        <w:rPr>
          <w:bCs/>
          <w:szCs w:val="24"/>
        </w:rPr>
        <w:t xml:space="preserve"> percent </w:t>
      </w:r>
      <w:r w:rsidRPr="00255659">
        <w:rPr>
          <w:bCs/>
          <w:szCs w:val="24"/>
        </w:rPr>
        <w:t>since 2013</w:t>
      </w:r>
      <w:r>
        <w:rPr>
          <w:bCs/>
          <w:szCs w:val="24"/>
        </w:rPr>
        <w:t>.</w:t>
      </w:r>
      <w:r>
        <w:rPr>
          <w:rStyle w:val="FootnoteReference"/>
          <w:bCs/>
          <w:szCs w:val="24"/>
        </w:rPr>
        <w:footnoteReference w:id="88"/>
      </w:r>
      <w:r>
        <w:rPr>
          <w:bCs/>
          <w:szCs w:val="24"/>
        </w:rPr>
        <w:t xml:space="preserve"> Indeed, the </w:t>
      </w:r>
      <w:r w:rsidRPr="00255659">
        <w:rPr>
          <w:rFonts w:eastAsia="SimSun"/>
        </w:rPr>
        <w:t xml:space="preserve">average </w:t>
      </w:r>
      <w:r>
        <w:rPr>
          <w:rFonts w:eastAsia="SimSun"/>
        </w:rPr>
        <w:t xml:space="preserve">allowed return on equity authorized by state utility commissions for </w:t>
      </w:r>
      <w:r w:rsidRPr="00255659">
        <w:rPr>
          <w:rFonts w:eastAsia="SimSun"/>
        </w:rPr>
        <w:t xml:space="preserve">electric utilities </w:t>
      </w:r>
      <w:r>
        <w:rPr>
          <w:rFonts w:eastAsia="SimSun"/>
        </w:rPr>
        <w:t xml:space="preserve">in 2017 is </w:t>
      </w:r>
      <w:r w:rsidRPr="00255659">
        <w:rPr>
          <w:rFonts w:eastAsia="SimSun"/>
        </w:rPr>
        <w:t>9.9</w:t>
      </w:r>
      <w:r>
        <w:rPr>
          <w:rFonts w:eastAsia="SimSun"/>
        </w:rPr>
        <w:t xml:space="preserve"> percent, </w:t>
      </w:r>
      <w:r w:rsidRPr="00255659">
        <w:rPr>
          <w:rFonts w:eastAsia="SimSun"/>
        </w:rPr>
        <w:t xml:space="preserve">which is </w:t>
      </w:r>
      <w:r>
        <w:rPr>
          <w:rFonts w:eastAsia="SimSun"/>
        </w:rPr>
        <w:t xml:space="preserve">slightly higher </w:t>
      </w:r>
      <w:r w:rsidRPr="00255659">
        <w:rPr>
          <w:rFonts w:eastAsia="SimSun"/>
        </w:rPr>
        <w:t xml:space="preserve">than my recommended </w:t>
      </w:r>
      <w:r>
        <w:rPr>
          <w:rFonts w:eastAsia="SimSun"/>
        </w:rPr>
        <w:t xml:space="preserve">return on equity of </w:t>
      </w:r>
      <w:r w:rsidRPr="00255659">
        <w:rPr>
          <w:rFonts w:eastAsia="SimSun"/>
        </w:rPr>
        <w:t>9.8</w:t>
      </w:r>
      <w:r>
        <w:rPr>
          <w:rFonts w:eastAsia="SimSun"/>
        </w:rPr>
        <w:t> percent for PSE.</w:t>
      </w:r>
    </w:p>
    <w:p w:rsidR="00BA7E06" w:rsidRPr="00BA7E06" w:rsidRDefault="00BA7E06" w:rsidP="00BA7E06">
      <w:pPr>
        <w:pStyle w:val="Heading3"/>
        <w:rPr>
          <w:lang w:eastAsia="en-US"/>
        </w:rPr>
      </w:pPr>
      <w:bookmarkStart w:id="72" w:name="_Toc489887894"/>
      <w:r>
        <w:rPr>
          <w:lang w:eastAsia="en-US"/>
        </w:rPr>
        <w:t>4</w:t>
      </w:r>
      <w:r w:rsidRPr="00A068EF">
        <w:rPr>
          <w:lang w:eastAsia="en-US"/>
        </w:rPr>
        <w:t>.</w:t>
      </w:r>
      <w:r w:rsidRPr="00A068EF">
        <w:rPr>
          <w:lang w:eastAsia="en-US"/>
        </w:rPr>
        <w:tab/>
      </w:r>
      <w:r w:rsidR="005965C6">
        <w:rPr>
          <w:bCs/>
          <w:szCs w:val="24"/>
        </w:rPr>
        <w:t>Mr. Parcell Incorrectly Asserts that It</w:t>
      </w:r>
      <w:r w:rsidR="005965C6" w:rsidRPr="00255659">
        <w:rPr>
          <w:bCs/>
          <w:szCs w:val="24"/>
        </w:rPr>
        <w:t xml:space="preserve"> is </w:t>
      </w:r>
      <w:r w:rsidR="005965C6">
        <w:rPr>
          <w:bCs/>
          <w:szCs w:val="24"/>
        </w:rPr>
        <w:t>I</w:t>
      </w:r>
      <w:r w:rsidR="005965C6" w:rsidRPr="00255659">
        <w:rPr>
          <w:bCs/>
          <w:szCs w:val="24"/>
        </w:rPr>
        <w:t xml:space="preserve">nappropriate to </w:t>
      </w:r>
      <w:r w:rsidR="005965C6">
        <w:rPr>
          <w:bCs/>
          <w:szCs w:val="24"/>
        </w:rPr>
        <w:t>T</w:t>
      </w:r>
      <w:r w:rsidR="005965C6" w:rsidRPr="00255659">
        <w:rPr>
          <w:bCs/>
          <w:szCs w:val="24"/>
        </w:rPr>
        <w:t xml:space="preserve">ake into </w:t>
      </w:r>
      <w:r w:rsidR="005965C6">
        <w:rPr>
          <w:bCs/>
          <w:szCs w:val="24"/>
        </w:rPr>
        <w:t>A</w:t>
      </w:r>
      <w:r w:rsidR="005965C6" w:rsidRPr="00255659">
        <w:rPr>
          <w:bCs/>
          <w:szCs w:val="24"/>
        </w:rPr>
        <w:t xml:space="preserve">ccount </w:t>
      </w:r>
      <w:r w:rsidR="005965C6">
        <w:rPr>
          <w:bCs/>
          <w:szCs w:val="24"/>
        </w:rPr>
        <w:t>S</w:t>
      </w:r>
      <w:r w:rsidR="005965C6" w:rsidRPr="00255659">
        <w:rPr>
          <w:bCs/>
          <w:szCs w:val="24"/>
        </w:rPr>
        <w:t xml:space="preserve">ize </w:t>
      </w:r>
      <w:r w:rsidR="005965C6">
        <w:rPr>
          <w:bCs/>
          <w:szCs w:val="24"/>
        </w:rPr>
        <w:t>D</w:t>
      </w:r>
      <w:r w:rsidR="005965C6" w:rsidRPr="00255659">
        <w:rPr>
          <w:bCs/>
          <w:szCs w:val="24"/>
        </w:rPr>
        <w:t xml:space="preserve">ifferences of </w:t>
      </w:r>
      <w:r w:rsidR="005965C6">
        <w:rPr>
          <w:bCs/>
          <w:szCs w:val="24"/>
        </w:rPr>
        <w:t>C</w:t>
      </w:r>
      <w:r w:rsidR="005965C6" w:rsidRPr="00255659">
        <w:rPr>
          <w:bCs/>
          <w:szCs w:val="24"/>
        </w:rPr>
        <w:t xml:space="preserve">ompanies </w:t>
      </w:r>
      <w:r w:rsidR="005965C6">
        <w:rPr>
          <w:bCs/>
          <w:szCs w:val="24"/>
        </w:rPr>
        <w:t>W</w:t>
      </w:r>
      <w:r w:rsidR="005965C6" w:rsidRPr="00255659">
        <w:rPr>
          <w:bCs/>
          <w:szCs w:val="24"/>
        </w:rPr>
        <w:t xml:space="preserve">hen </w:t>
      </w:r>
      <w:r w:rsidR="005965C6">
        <w:rPr>
          <w:bCs/>
          <w:szCs w:val="24"/>
        </w:rPr>
        <w:t>D</w:t>
      </w:r>
      <w:r w:rsidR="005965C6" w:rsidRPr="00255659">
        <w:rPr>
          <w:bCs/>
          <w:szCs w:val="24"/>
        </w:rPr>
        <w:t xml:space="preserve">etermining the </w:t>
      </w:r>
      <w:r w:rsidR="005965C6">
        <w:rPr>
          <w:bCs/>
          <w:szCs w:val="24"/>
        </w:rPr>
        <w:t xml:space="preserve">Return </w:t>
      </w:r>
      <w:r w:rsidR="005965C6" w:rsidRPr="00255659">
        <w:rPr>
          <w:bCs/>
          <w:szCs w:val="24"/>
        </w:rPr>
        <w:t xml:space="preserve">of </w:t>
      </w:r>
      <w:r w:rsidR="005965C6">
        <w:rPr>
          <w:bCs/>
          <w:szCs w:val="24"/>
        </w:rPr>
        <w:t>E</w:t>
      </w:r>
      <w:r w:rsidR="005965C6" w:rsidRPr="00255659">
        <w:rPr>
          <w:bCs/>
          <w:szCs w:val="24"/>
        </w:rPr>
        <w:t>quity</w:t>
      </w:r>
      <w:bookmarkEnd w:id="72"/>
    </w:p>
    <w:p w:rsidR="00BA7E06" w:rsidRPr="00993C60" w:rsidRDefault="00BA7E06" w:rsidP="00BA7E06">
      <w:pPr>
        <w:pStyle w:val="question"/>
      </w:pPr>
      <w:r w:rsidRPr="00993C60">
        <w:rPr>
          <w:bCs/>
          <w:szCs w:val="24"/>
        </w:rPr>
        <w:t>Q.</w:t>
      </w:r>
      <w:r w:rsidRPr="00993C60">
        <w:rPr>
          <w:bCs/>
          <w:szCs w:val="24"/>
        </w:rPr>
        <w:tab/>
      </w:r>
      <w:r w:rsidR="005965C6">
        <w:rPr>
          <w:bCs/>
          <w:szCs w:val="24"/>
        </w:rPr>
        <w:t xml:space="preserve">Is Mr. Parcell correct in asserting that </w:t>
      </w:r>
      <w:r w:rsidRPr="00255659">
        <w:rPr>
          <w:bCs/>
          <w:szCs w:val="24"/>
        </w:rPr>
        <w:t>i</w:t>
      </w:r>
      <w:r>
        <w:rPr>
          <w:bCs/>
          <w:szCs w:val="24"/>
        </w:rPr>
        <w:t>t</w:t>
      </w:r>
      <w:r w:rsidRPr="00255659">
        <w:rPr>
          <w:bCs/>
          <w:szCs w:val="24"/>
        </w:rPr>
        <w:t xml:space="preserve"> is inappropriate to take into account size differences of companies when determining the </w:t>
      </w:r>
      <w:r w:rsidR="005965C6">
        <w:rPr>
          <w:bCs/>
          <w:szCs w:val="24"/>
        </w:rPr>
        <w:t xml:space="preserve">return on </w:t>
      </w:r>
      <w:r w:rsidRPr="00255659">
        <w:rPr>
          <w:bCs/>
          <w:szCs w:val="24"/>
        </w:rPr>
        <w:t>equity</w:t>
      </w:r>
      <w:r w:rsidRPr="00993C60">
        <w:rPr>
          <w:bCs/>
          <w:szCs w:val="24"/>
        </w:rPr>
        <w:t>?</w:t>
      </w:r>
    </w:p>
    <w:p w:rsidR="00BA7E06" w:rsidRPr="005965C6" w:rsidRDefault="00BA7E06" w:rsidP="005965C6">
      <w:pPr>
        <w:pStyle w:val="answer"/>
      </w:pPr>
      <w:r w:rsidRPr="00255659">
        <w:t>A.</w:t>
      </w:r>
      <w:r w:rsidRPr="00255659">
        <w:tab/>
        <w:t>No.</w:t>
      </w:r>
      <w:r>
        <w:t xml:space="preserve"> </w:t>
      </w:r>
      <w:r w:rsidR="005965C6">
        <w:rPr>
          <w:bCs/>
          <w:szCs w:val="24"/>
        </w:rPr>
        <w:t xml:space="preserve">Mr. Parcell incorrectly asserts that </w:t>
      </w:r>
      <w:r w:rsidR="005965C6" w:rsidRPr="00255659">
        <w:rPr>
          <w:bCs/>
          <w:szCs w:val="24"/>
        </w:rPr>
        <w:t>i</w:t>
      </w:r>
      <w:r w:rsidR="005965C6">
        <w:rPr>
          <w:bCs/>
          <w:szCs w:val="24"/>
        </w:rPr>
        <w:t>t</w:t>
      </w:r>
      <w:r w:rsidR="005965C6" w:rsidRPr="00255659">
        <w:rPr>
          <w:bCs/>
          <w:szCs w:val="24"/>
        </w:rPr>
        <w:t xml:space="preserve"> is inappropriate to take into account size differences of companies when determining the </w:t>
      </w:r>
      <w:r w:rsidR="005965C6">
        <w:rPr>
          <w:bCs/>
          <w:szCs w:val="24"/>
        </w:rPr>
        <w:t xml:space="preserve">return on </w:t>
      </w:r>
      <w:r w:rsidR="005965C6" w:rsidRPr="00255659">
        <w:rPr>
          <w:bCs/>
          <w:szCs w:val="24"/>
        </w:rPr>
        <w:t>equity</w:t>
      </w:r>
      <w:r w:rsidR="005965C6">
        <w:t>.</w:t>
      </w:r>
      <w:r w:rsidR="005965C6">
        <w:rPr>
          <w:rStyle w:val="FootnoteReference"/>
        </w:rPr>
        <w:footnoteReference w:id="89"/>
      </w:r>
      <w:r w:rsidR="005965C6">
        <w:t xml:space="preserve"> Frankly, </w:t>
      </w:r>
      <w:r w:rsidRPr="00255659">
        <w:t xml:space="preserve">I was surprised by this </w:t>
      </w:r>
      <w:r w:rsidR="005965C6">
        <w:t xml:space="preserve">assertion because </w:t>
      </w:r>
      <w:r w:rsidRPr="00255659">
        <w:t xml:space="preserve">the size phenomenon effect is well-known and well documented in the </w:t>
      </w:r>
      <w:r w:rsidR="005965C6">
        <w:t xml:space="preserve">financial </w:t>
      </w:r>
      <w:r w:rsidRPr="00255659">
        <w:t>literature.</w:t>
      </w:r>
      <w:r w:rsidR="005965C6">
        <w:t xml:space="preserve"> </w:t>
      </w:r>
      <w:r w:rsidRPr="00993C60">
        <w:rPr>
          <w:rFonts w:eastAsia="MS Mincho"/>
        </w:rPr>
        <w:t>Investment risk increases as company size diminishes, all else remaining constant.</w:t>
      </w:r>
      <w:r>
        <w:rPr>
          <w:rFonts w:eastAsia="MS Mincho"/>
        </w:rPr>
        <w:t xml:space="preserve"> </w:t>
      </w:r>
      <w:r w:rsidRPr="00993C60">
        <w:rPr>
          <w:rFonts w:eastAsia="MS Mincho"/>
        </w:rPr>
        <w:t>Small companies have very different returns than large ones and on average those returns have been higher.</w:t>
      </w:r>
      <w:r>
        <w:rPr>
          <w:rFonts w:eastAsia="MS Mincho"/>
        </w:rPr>
        <w:t xml:space="preserve"> </w:t>
      </w:r>
      <w:r w:rsidRPr="00993C60">
        <w:rPr>
          <w:rFonts w:eastAsia="MS Mincho"/>
          <w:szCs w:val="24"/>
        </w:rPr>
        <w:t>Small companies earn many different returns than large ones, and on average the actual returns of small companies have been higher, as is well documented in the financ</w:t>
      </w:r>
      <w:r w:rsidR="005965C6">
        <w:rPr>
          <w:rFonts w:eastAsia="MS Mincho"/>
          <w:szCs w:val="24"/>
        </w:rPr>
        <w:t>ial</w:t>
      </w:r>
      <w:r w:rsidRPr="00993C60">
        <w:rPr>
          <w:rFonts w:eastAsia="MS Mincho"/>
          <w:szCs w:val="24"/>
        </w:rPr>
        <w:t xml:space="preserve"> literature.</w:t>
      </w:r>
      <w:r>
        <w:rPr>
          <w:rFonts w:eastAsia="MS Mincho"/>
          <w:szCs w:val="24"/>
        </w:rPr>
        <w:t xml:space="preserve"> </w:t>
      </w:r>
      <w:r w:rsidR="005965C6">
        <w:rPr>
          <w:rFonts w:eastAsia="MS Mincho"/>
          <w:szCs w:val="24"/>
        </w:rPr>
        <w:t xml:space="preserve">Indeed, the </w:t>
      </w:r>
      <w:r w:rsidRPr="00993C60">
        <w:rPr>
          <w:rFonts w:eastAsia="MS Mincho"/>
          <w:szCs w:val="24"/>
        </w:rPr>
        <w:t xml:space="preserve">Duff &amp; Phelps Valuation book </w:t>
      </w:r>
      <w:r w:rsidR="005965C6">
        <w:rPr>
          <w:rFonts w:eastAsia="MS Mincho"/>
          <w:szCs w:val="24"/>
        </w:rPr>
        <w:t xml:space="preserve">cited by </w:t>
      </w:r>
      <w:r w:rsidRPr="00255659">
        <w:rPr>
          <w:rFonts w:eastAsia="SimSun"/>
        </w:rPr>
        <w:t>Mr.</w:t>
      </w:r>
      <w:r>
        <w:rPr>
          <w:rFonts w:eastAsia="SimSun"/>
        </w:rPr>
        <w:t> </w:t>
      </w:r>
      <w:r w:rsidRPr="00993C60">
        <w:rPr>
          <w:rFonts w:eastAsia="MS Mincho"/>
          <w:szCs w:val="24"/>
        </w:rPr>
        <w:t>Parcell his testimony also devote a full two chapters and two appendices documenting and quantifying the size effect.</w:t>
      </w:r>
      <w:r w:rsidR="005965C6">
        <w:rPr>
          <w:rStyle w:val="FootnoteReference"/>
          <w:rFonts w:eastAsia="MS Mincho"/>
          <w:szCs w:val="24"/>
        </w:rPr>
        <w:footnoteReference w:id="90"/>
      </w:r>
    </w:p>
    <w:p w:rsidR="00BA7E06" w:rsidRPr="00993C60" w:rsidRDefault="00BA7E06" w:rsidP="00BA7E06">
      <w:pPr>
        <w:pStyle w:val="answer"/>
        <w:ind w:firstLine="0"/>
        <w:rPr>
          <w:szCs w:val="24"/>
          <w:lang w:eastAsia="en-US"/>
        </w:rPr>
      </w:pPr>
      <w:r w:rsidRPr="00993C60">
        <w:rPr>
          <w:szCs w:val="24"/>
          <w:lang w:eastAsia="en-US"/>
        </w:rPr>
        <w:lastRenderedPageBreak/>
        <w:t>The greater risk of small stocks does not fully account for their higher returns over many historical periods.</w:t>
      </w:r>
      <w:r>
        <w:rPr>
          <w:szCs w:val="24"/>
          <w:lang w:eastAsia="en-US"/>
        </w:rPr>
        <w:t xml:space="preserve"> </w:t>
      </w:r>
      <w:r w:rsidRPr="00993C60">
        <w:rPr>
          <w:szCs w:val="24"/>
          <w:lang w:eastAsia="en-US"/>
        </w:rPr>
        <w:t>The average small stock premium is well in excess of that of the average stock, more than could be expected by risk differences alone, suggesting that the cost of equity for small stocks is considerably larger than for large capitalization stocks.</w:t>
      </w:r>
      <w:r>
        <w:rPr>
          <w:szCs w:val="24"/>
          <w:lang w:eastAsia="en-US"/>
        </w:rPr>
        <w:t xml:space="preserve"> </w:t>
      </w:r>
      <w:r w:rsidRPr="00993C60">
        <w:rPr>
          <w:szCs w:val="24"/>
          <w:lang w:eastAsia="en-US"/>
        </w:rPr>
        <w:t>In addition to earning higher average rates of return, small stocks also have a higher volatility, as measured by the standard deviation of returns.</w:t>
      </w:r>
    </w:p>
    <w:p w:rsidR="00BA7E06" w:rsidRPr="00993C60" w:rsidRDefault="00BA7E06" w:rsidP="00BA7E06">
      <w:pPr>
        <w:pStyle w:val="question"/>
      </w:pPr>
      <w:r w:rsidRPr="00993C60">
        <w:rPr>
          <w:bCs/>
          <w:szCs w:val="24"/>
        </w:rPr>
        <w:t>Q.</w:t>
      </w:r>
      <w:r w:rsidRPr="00255659">
        <w:rPr>
          <w:bCs/>
          <w:szCs w:val="24"/>
        </w:rPr>
        <w:tab/>
      </w:r>
      <w:r w:rsidRPr="00993C60">
        <w:rPr>
          <w:bCs/>
          <w:szCs w:val="24"/>
        </w:rPr>
        <w:t xml:space="preserve">What do you think of </w:t>
      </w:r>
      <w:r w:rsidRPr="00255659">
        <w:t>Mr.</w:t>
      </w:r>
      <w:r>
        <w:t> </w:t>
      </w:r>
      <w:r w:rsidRPr="00993C60">
        <w:rPr>
          <w:bCs/>
          <w:szCs w:val="24"/>
        </w:rPr>
        <w:t>Parcell</w:t>
      </w:r>
      <w:r>
        <w:rPr>
          <w:bCs/>
          <w:szCs w:val="24"/>
        </w:rPr>
        <w:t>’</w:t>
      </w:r>
      <w:r w:rsidRPr="00993C60">
        <w:rPr>
          <w:bCs/>
          <w:szCs w:val="24"/>
        </w:rPr>
        <w:t>s evidence that size adjustments are unwarranted in regulatory proceedings?</w:t>
      </w:r>
    </w:p>
    <w:p w:rsidR="006D7CE4" w:rsidRDefault="00BA7E06" w:rsidP="00BA7E06">
      <w:pPr>
        <w:pStyle w:val="answer"/>
      </w:pPr>
      <w:r w:rsidRPr="00993C60">
        <w:t>A.</w:t>
      </w:r>
      <w:r w:rsidRPr="00993C60">
        <w:tab/>
        <w:t xml:space="preserve">I respectfully </w:t>
      </w:r>
      <w:r w:rsidR="006D7CE4">
        <w:t xml:space="preserve">submit </w:t>
      </w:r>
      <w:r w:rsidRPr="00993C60">
        <w:t xml:space="preserve">that </w:t>
      </w:r>
      <w:r w:rsidRPr="00255659">
        <w:rPr>
          <w:rFonts w:eastAsia="SimSun"/>
        </w:rPr>
        <w:t>Mr.</w:t>
      </w:r>
      <w:r>
        <w:rPr>
          <w:rFonts w:eastAsia="SimSun"/>
        </w:rPr>
        <w:t> </w:t>
      </w:r>
      <w:r w:rsidRPr="00993C60">
        <w:t>Parcell</w:t>
      </w:r>
      <w:r>
        <w:t>’</w:t>
      </w:r>
      <w:r w:rsidRPr="00993C60">
        <w:t>s table on page</w:t>
      </w:r>
      <w:r w:rsidR="006D7CE4">
        <w:t> </w:t>
      </w:r>
      <w:r w:rsidRPr="00993C60">
        <w:t xml:space="preserve">54 of </w:t>
      </w:r>
      <w:r w:rsidR="006D7CE4">
        <w:t xml:space="preserve">his testimony </w:t>
      </w:r>
      <w:r w:rsidRPr="00993C60">
        <w:t>should be discarded entirely for several reasons.</w:t>
      </w:r>
      <w:r>
        <w:t xml:space="preserve"> </w:t>
      </w:r>
      <w:r w:rsidRPr="00993C60">
        <w:t>The major flaw of the table is that risk has not been held constant to isolate the size effect</w:t>
      </w:r>
      <w:r w:rsidR="006D7CE4">
        <w:t xml:space="preserve">. Therefore, it </w:t>
      </w:r>
      <w:r w:rsidRPr="00993C60">
        <w:t>is impossible to disentangle the impact of risk from the impact of size, unlike most studies in the literature.</w:t>
      </w:r>
      <w:r>
        <w:t xml:space="preserve"> </w:t>
      </w:r>
      <w:r w:rsidRPr="00993C60">
        <w:t xml:space="preserve">For example, electric utilities are seen to benefit from higher </w:t>
      </w:r>
      <w:r w:rsidR="006D7CE4">
        <w:t xml:space="preserve">allowed returns on equity </w:t>
      </w:r>
      <w:r w:rsidRPr="00993C60">
        <w:t xml:space="preserve">than water utilities on the upper table located on </w:t>
      </w:r>
      <w:r w:rsidRPr="00255659">
        <w:rPr>
          <w:rFonts w:eastAsia="SimSun"/>
        </w:rPr>
        <w:t>Mr.</w:t>
      </w:r>
      <w:r>
        <w:rPr>
          <w:rFonts w:eastAsia="SimSun"/>
        </w:rPr>
        <w:t> </w:t>
      </w:r>
      <w:r w:rsidRPr="00993C60">
        <w:t>Parcell</w:t>
      </w:r>
      <w:r>
        <w:t>’</w:t>
      </w:r>
      <w:r w:rsidRPr="00993C60">
        <w:t xml:space="preserve">s </w:t>
      </w:r>
      <w:r w:rsidR="006D7CE4">
        <w:t>table</w:t>
      </w:r>
      <w:r w:rsidRPr="00993C60">
        <w:t>, but the reason is simply that electric utilities are riskier than water utilities, not because of any size differences.</w:t>
      </w:r>
      <w:r>
        <w:t xml:space="preserve"> </w:t>
      </w:r>
      <w:r w:rsidR="006D7CE4">
        <w:t>When trying to quantify</w:t>
      </w:r>
      <w:r w:rsidRPr="00993C60">
        <w:t xml:space="preserve"> the size effect, risk</w:t>
      </w:r>
      <w:r w:rsidR="006D7CE4">
        <w:t> </w:t>
      </w:r>
      <w:r w:rsidRPr="00993C60">
        <w:t>(</w:t>
      </w:r>
      <w:r w:rsidR="006D7CE4">
        <w:t xml:space="preserve">i.e., </w:t>
      </w:r>
      <w:r w:rsidRPr="00993C60">
        <w:t>beta) has to be held constant</w:t>
      </w:r>
      <w:r w:rsidR="006D7CE4">
        <w:t xml:space="preserve">. Otherwise, one </w:t>
      </w:r>
      <w:r w:rsidRPr="00993C60">
        <w:t>commingl</w:t>
      </w:r>
      <w:r w:rsidR="006D7CE4">
        <w:t>es</w:t>
      </w:r>
      <w:r w:rsidRPr="00993C60">
        <w:t xml:space="preserve"> and confound</w:t>
      </w:r>
      <w:r w:rsidR="006D7CE4">
        <w:t>s</w:t>
      </w:r>
      <w:r w:rsidRPr="00993C60">
        <w:t xml:space="preserve"> the size and risk impacts.</w:t>
      </w:r>
    </w:p>
    <w:p w:rsidR="006D7CE4" w:rsidRDefault="00BA7E06" w:rsidP="006D7CE4">
      <w:pPr>
        <w:pStyle w:val="answer"/>
        <w:ind w:firstLine="0"/>
      </w:pPr>
      <w:r w:rsidRPr="00993C60">
        <w:t>There are other statistical flaws as well.</w:t>
      </w:r>
      <w:r>
        <w:t xml:space="preserve"> </w:t>
      </w:r>
      <w:r w:rsidRPr="00255659">
        <w:rPr>
          <w:rFonts w:eastAsia="SimSun"/>
        </w:rPr>
        <w:t>Mr.</w:t>
      </w:r>
      <w:r>
        <w:rPr>
          <w:rFonts w:eastAsia="SimSun"/>
        </w:rPr>
        <w:t> </w:t>
      </w:r>
      <w:r w:rsidRPr="00993C60">
        <w:t>Parcell</w:t>
      </w:r>
      <w:r>
        <w:t xml:space="preserve"> does not allow for the fact that</w:t>
      </w:r>
      <w:r w:rsidRPr="00993C60">
        <w:t xml:space="preserve"> the beta estimates of smaller companies are understated and subject to the well-known thin</w:t>
      </w:r>
      <w:r w:rsidR="006D7CE4">
        <w:t>-</w:t>
      </w:r>
      <w:r w:rsidRPr="00993C60">
        <w:t>trading bias.</w:t>
      </w:r>
      <w:r>
        <w:t xml:space="preserve"> </w:t>
      </w:r>
      <w:r w:rsidRPr="00993C60">
        <w:t xml:space="preserve">Moreover, </w:t>
      </w:r>
      <w:r w:rsidRPr="00255659">
        <w:rPr>
          <w:rFonts w:eastAsia="SimSun"/>
        </w:rPr>
        <w:t>Mr.</w:t>
      </w:r>
      <w:r>
        <w:rPr>
          <w:rFonts w:eastAsia="SimSun"/>
        </w:rPr>
        <w:t> </w:t>
      </w:r>
      <w:r w:rsidRPr="00993C60">
        <w:t>Parcell</w:t>
      </w:r>
      <w:r>
        <w:t>’</w:t>
      </w:r>
      <w:r w:rsidRPr="00993C60">
        <w:t xml:space="preserve">s study is limited to a very </w:t>
      </w:r>
      <w:r w:rsidRPr="00993C60">
        <w:lastRenderedPageBreak/>
        <w:t>small sample of companies so that from a statistical perspective there are very few degrees of freedom, that is, very few industries represented, only utilities.</w:t>
      </w:r>
      <w:r>
        <w:t xml:space="preserve"> </w:t>
      </w:r>
      <w:r w:rsidRPr="00993C60">
        <w:t xml:space="preserve">By analogy, if one </w:t>
      </w:r>
      <w:r w:rsidR="006D7CE4">
        <w:t xml:space="preserve">were </w:t>
      </w:r>
      <w:r w:rsidRPr="00993C60">
        <w:t xml:space="preserve">trying to determine how many </w:t>
      </w:r>
      <w:r w:rsidR="006D7CE4">
        <w:t xml:space="preserve">people </w:t>
      </w:r>
      <w:r w:rsidRPr="00993C60">
        <w:t xml:space="preserve">have blond hair and then selects a sample of </w:t>
      </w:r>
      <w:r w:rsidR="006D7CE4">
        <w:t xml:space="preserve">people </w:t>
      </w:r>
      <w:r w:rsidRPr="00993C60">
        <w:t>with predominantly blond hair, the exercise becomes statistically meaningless.</w:t>
      </w:r>
      <w:r>
        <w:t xml:space="preserve"> </w:t>
      </w:r>
      <w:r w:rsidRPr="00993C60">
        <w:t>The same is true here.</w:t>
      </w:r>
    </w:p>
    <w:p w:rsidR="00BA7E06" w:rsidRPr="00993C60" w:rsidRDefault="00BA7E06" w:rsidP="006D7CE4">
      <w:pPr>
        <w:pStyle w:val="answer"/>
        <w:ind w:firstLine="0"/>
      </w:pPr>
      <w:r w:rsidRPr="00993C60">
        <w:t xml:space="preserve">In short, </w:t>
      </w:r>
      <w:r w:rsidR="006D7CE4">
        <w:t xml:space="preserve">the Commission should give </w:t>
      </w:r>
      <w:r w:rsidRPr="00255659">
        <w:rPr>
          <w:rFonts w:eastAsia="SimSun"/>
        </w:rPr>
        <w:t>Mr.</w:t>
      </w:r>
      <w:r>
        <w:rPr>
          <w:rFonts w:eastAsia="SimSun"/>
        </w:rPr>
        <w:t> </w:t>
      </w:r>
      <w:r w:rsidRPr="00993C60">
        <w:t>Parcell</w:t>
      </w:r>
      <w:r>
        <w:t>’</w:t>
      </w:r>
      <w:r w:rsidRPr="00993C60">
        <w:t>s size study little</w:t>
      </w:r>
      <w:r w:rsidR="006D7CE4">
        <w:t>, if any,</w:t>
      </w:r>
      <w:r w:rsidRPr="00993C60">
        <w:t xml:space="preserve"> weight.</w:t>
      </w:r>
    </w:p>
    <w:p w:rsidR="006037DB" w:rsidRPr="00255659" w:rsidRDefault="006037DB" w:rsidP="006037DB">
      <w:pPr>
        <w:pStyle w:val="Heading2"/>
        <w:rPr>
          <w:lang w:eastAsia="en-US"/>
        </w:rPr>
      </w:pPr>
      <w:bookmarkStart w:id="73" w:name="_Toc489887895"/>
      <w:r>
        <w:rPr>
          <w:lang w:eastAsia="en-US"/>
        </w:rPr>
        <w:t>D</w:t>
      </w:r>
      <w:r w:rsidRPr="00255659">
        <w:rPr>
          <w:lang w:eastAsia="en-US"/>
        </w:rPr>
        <w:t>.</w:t>
      </w:r>
      <w:r w:rsidRPr="00255659">
        <w:rPr>
          <w:lang w:eastAsia="en-US"/>
        </w:rPr>
        <w:tab/>
      </w:r>
      <w:r w:rsidR="007D180B">
        <w:rPr>
          <w:szCs w:val="24"/>
        </w:rPr>
        <w:t>M</w:t>
      </w:r>
      <w:r>
        <w:rPr>
          <w:szCs w:val="24"/>
        </w:rPr>
        <w:t>r.</w:t>
      </w:r>
      <w:r w:rsidR="007D180B">
        <w:rPr>
          <w:szCs w:val="24"/>
        </w:rPr>
        <w:t> Parcell</w:t>
      </w:r>
      <w:r>
        <w:rPr>
          <w:szCs w:val="24"/>
        </w:rPr>
        <w:t xml:space="preserve">’s Return on Equity </w:t>
      </w:r>
      <w:r w:rsidRPr="00255659">
        <w:rPr>
          <w:szCs w:val="24"/>
          <w:lang w:val="x-none"/>
        </w:rPr>
        <w:t xml:space="preserve">Recommendation </w:t>
      </w:r>
      <w:r w:rsidR="006D7CE4">
        <w:rPr>
          <w:szCs w:val="24"/>
        </w:rPr>
        <w:t>is Understated</w:t>
      </w:r>
      <w:bookmarkEnd w:id="73"/>
    </w:p>
    <w:p w:rsidR="00993C60" w:rsidRPr="00993C60" w:rsidRDefault="00572193" w:rsidP="00540A76">
      <w:pPr>
        <w:pStyle w:val="question"/>
      </w:pPr>
      <w:r w:rsidRPr="00255659">
        <w:rPr>
          <w:bCs/>
          <w:szCs w:val="24"/>
          <w:lang w:eastAsia="en-US"/>
        </w:rPr>
        <w:t>Q.</w:t>
      </w:r>
      <w:r w:rsidR="00993C60" w:rsidRPr="00993C60">
        <w:rPr>
          <w:bCs/>
          <w:szCs w:val="24"/>
          <w:lang w:eastAsia="en-US"/>
        </w:rPr>
        <w:tab/>
      </w:r>
      <w:r w:rsidRPr="00255659">
        <w:rPr>
          <w:bCs/>
          <w:szCs w:val="24"/>
          <w:lang w:eastAsia="en-US"/>
        </w:rPr>
        <w:t xml:space="preserve">What do you conclude from </w:t>
      </w:r>
      <w:r w:rsidR="00E51C96" w:rsidRPr="00255659">
        <w:t>Mr.</w:t>
      </w:r>
      <w:r w:rsidR="00E51C96">
        <w:t> </w:t>
      </w:r>
      <w:r w:rsidRPr="00255659">
        <w:rPr>
          <w:bCs/>
          <w:szCs w:val="24"/>
          <w:lang w:eastAsia="en-US"/>
        </w:rPr>
        <w:t>Parcell</w:t>
      </w:r>
      <w:r w:rsidR="00255659">
        <w:rPr>
          <w:bCs/>
          <w:szCs w:val="24"/>
          <w:lang w:eastAsia="en-US"/>
        </w:rPr>
        <w:t>’</w:t>
      </w:r>
      <w:r w:rsidRPr="00255659">
        <w:rPr>
          <w:bCs/>
          <w:szCs w:val="24"/>
          <w:lang w:eastAsia="en-US"/>
        </w:rPr>
        <w:t xml:space="preserve">s </w:t>
      </w:r>
      <w:r w:rsidR="00116B8D">
        <w:rPr>
          <w:bCs/>
          <w:szCs w:val="24"/>
          <w:lang w:eastAsia="en-US"/>
        </w:rPr>
        <w:t xml:space="preserve">return on equity </w:t>
      </w:r>
      <w:r w:rsidRPr="00255659">
        <w:rPr>
          <w:bCs/>
          <w:szCs w:val="24"/>
          <w:lang w:eastAsia="en-US"/>
        </w:rPr>
        <w:t>recommendation</w:t>
      </w:r>
      <w:r w:rsidR="00993C60" w:rsidRPr="00993C60">
        <w:rPr>
          <w:bCs/>
          <w:szCs w:val="24"/>
          <w:lang w:eastAsia="en-US"/>
        </w:rPr>
        <w:t>?</w:t>
      </w:r>
    </w:p>
    <w:p w:rsidR="00116B8D" w:rsidRDefault="00572193" w:rsidP="00540A76">
      <w:pPr>
        <w:pStyle w:val="answer"/>
        <w:rPr>
          <w:rFonts w:eastAsia="SimSun"/>
        </w:rPr>
      </w:pPr>
      <w:r w:rsidRPr="00255659">
        <w:rPr>
          <w:rFonts w:eastAsia="SimSun"/>
        </w:rPr>
        <w:t>A.</w:t>
      </w:r>
      <w:r w:rsidR="00993C60" w:rsidRPr="00255659">
        <w:rPr>
          <w:rFonts w:eastAsia="SimSun"/>
        </w:rPr>
        <w:tab/>
      </w:r>
      <w:r w:rsidR="00E51C96" w:rsidRPr="00255659">
        <w:rPr>
          <w:rFonts w:eastAsia="SimSun"/>
        </w:rPr>
        <w:t>Mr.</w:t>
      </w:r>
      <w:r w:rsidR="00E51C96">
        <w:rPr>
          <w:rFonts w:eastAsia="SimSun"/>
        </w:rPr>
        <w:t> </w:t>
      </w:r>
      <w:r w:rsidR="00993C60" w:rsidRPr="00255659">
        <w:rPr>
          <w:rFonts w:eastAsia="SimSun"/>
        </w:rPr>
        <w:t>Parcell</w:t>
      </w:r>
      <w:r w:rsidR="00255659">
        <w:rPr>
          <w:rFonts w:eastAsia="SimSun"/>
        </w:rPr>
        <w:t>’</w:t>
      </w:r>
      <w:r w:rsidR="00993C60" w:rsidRPr="00255659">
        <w:rPr>
          <w:rFonts w:eastAsia="SimSun"/>
        </w:rPr>
        <w:t xml:space="preserve">s recommended </w:t>
      </w:r>
      <w:r w:rsidR="00116B8D">
        <w:rPr>
          <w:rFonts w:eastAsia="SimSun"/>
        </w:rPr>
        <w:t xml:space="preserve">return on equity </w:t>
      </w:r>
      <w:r w:rsidR="00993C60" w:rsidRPr="00255659">
        <w:rPr>
          <w:rFonts w:eastAsia="SimSun"/>
        </w:rPr>
        <w:t>is understated.</w:t>
      </w:r>
    </w:p>
    <w:p w:rsidR="00572193" w:rsidRPr="00255659" w:rsidRDefault="00993C60" w:rsidP="00116B8D">
      <w:pPr>
        <w:pStyle w:val="answer"/>
        <w:ind w:firstLine="0"/>
        <w:rPr>
          <w:rFonts w:eastAsia="SimSun"/>
        </w:rPr>
      </w:pPr>
      <w:r w:rsidRPr="00255659">
        <w:rPr>
          <w:rFonts w:eastAsia="SimSun"/>
        </w:rPr>
        <w:t>Recognition of the proper functional form of the DCF model (10</w:t>
      </w:r>
      <w:r w:rsidR="00116B8D">
        <w:rPr>
          <w:rFonts w:eastAsia="SimSun"/>
        </w:rPr>
        <w:t> </w:t>
      </w:r>
      <w:r w:rsidRPr="00255659">
        <w:rPr>
          <w:rFonts w:eastAsia="SimSun"/>
        </w:rPr>
        <w:t>basis points</w:t>
      </w:r>
      <w:r w:rsidR="00116B8D">
        <w:rPr>
          <w:rFonts w:eastAsia="SimSun"/>
        </w:rPr>
        <w:t xml:space="preserve"> or 0.1 percent</w:t>
      </w:r>
      <w:r w:rsidRPr="00255659">
        <w:rPr>
          <w:rFonts w:eastAsia="SimSun"/>
        </w:rPr>
        <w:t>), the use of analysts</w:t>
      </w:r>
      <w:r w:rsidR="00255659">
        <w:rPr>
          <w:rFonts w:eastAsia="SimSun"/>
        </w:rPr>
        <w:t>’</w:t>
      </w:r>
      <w:r w:rsidRPr="00255659">
        <w:rPr>
          <w:rFonts w:eastAsia="SimSun"/>
        </w:rPr>
        <w:t xml:space="preserve"> growth forecasts in the DCF analysis (</w:t>
      </w:r>
      <w:r w:rsidR="00116B8D">
        <w:rPr>
          <w:rFonts w:eastAsia="SimSun"/>
        </w:rPr>
        <w:t>6</w:t>
      </w:r>
      <w:r w:rsidRPr="00255659">
        <w:rPr>
          <w:rFonts w:eastAsia="SimSun"/>
        </w:rPr>
        <w:t>0</w:t>
      </w:r>
      <w:r w:rsidR="00116B8D">
        <w:rPr>
          <w:rFonts w:eastAsia="SimSun"/>
        </w:rPr>
        <w:t> </w:t>
      </w:r>
      <w:r w:rsidRPr="00255659">
        <w:rPr>
          <w:rFonts w:eastAsia="SimSun"/>
        </w:rPr>
        <w:t>basis points</w:t>
      </w:r>
      <w:r w:rsidR="00116B8D">
        <w:rPr>
          <w:rFonts w:eastAsia="SimSun"/>
        </w:rPr>
        <w:t xml:space="preserve"> or 0.6 percent</w:t>
      </w:r>
      <w:r w:rsidRPr="00255659">
        <w:rPr>
          <w:rFonts w:eastAsia="SimSun"/>
        </w:rPr>
        <w:t>), the use of a forecast risk-free rate in the CAPM analysis (167</w:t>
      </w:r>
      <w:r w:rsidR="00116B8D">
        <w:rPr>
          <w:rFonts w:eastAsia="SimSun"/>
        </w:rPr>
        <w:t> </w:t>
      </w:r>
      <w:r w:rsidRPr="00255659">
        <w:rPr>
          <w:rFonts w:eastAsia="SimSun"/>
        </w:rPr>
        <w:t>basis points</w:t>
      </w:r>
      <w:r w:rsidR="00116B8D">
        <w:rPr>
          <w:rFonts w:eastAsia="SimSun"/>
        </w:rPr>
        <w:t xml:space="preserve"> or 1.67 percent</w:t>
      </w:r>
      <w:r w:rsidRPr="00255659">
        <w:rPr>
          <w:rFonts w:eastAsia="SimSun"/>
        </w:rPr>
        <w:t xml:space="preserve">), and the appropriate </w:t>
      </w:r>
      <w:r w:rsidR="00116B8D">
        <w:rPr>
          <w:rFonts w:eastAsia="SimSun"/>
        </w:rPr>
        <w:t xml:space="preserve">market risk premium </w:t>
      </w:r>
      <w:r w:rsidRPr="00255659">
        <w:rPr>
          <w:rFonts w:eastAsia="SimSun"/>
        </w:rPr>
        <w:t>in the CAPM analysis (74</w:t>
      </w:r>
      <w:r w:rsidR="00116B8D">
        <w:rPr>
          <w:rFonts w:eastAsia="SimSun"/>
        </w:rPr>
        <w:t> </w:t>
      </w:r>
      <w:r w:rsidRPr="00255659">
        <w:rPr>
          <w:rFonts w:eastAsia="SimSun"/>
        </w:rPr>
        <w:t>basis points</w:t>
      </w:r>
      <w:r w:rsidR="00116B8D">
        <w:rPr>
          <w:rFonts w:eastAsia="SimSun"/>
        </w:rPr>
        <w:t xml:space="preserve"> or 0.74 percent</w:t>
      </w:r>
      <w:r w:rsidRPr="00255659">
        <w:rPr>
          <w:rFonts w:eastAsia="SimSun"/>
        </w:rPr>
        <w:t xml:space="preserve">), would suggest much higher returns </w:t>
      </w:r>
      <w:r w:rsidR="00116B8D">
        <w:rPr>
          <w:rFonts w:eastAsia="SimSun"/>
        </w:rPr>
        <w:t xml:space="preserve">on equity </w:t>
      </w:r>
      <w:r w:rsidRPr="00255659">
        <w:rPr>
          <w:rFonts w:eastAsia="SimSun"/>
        </w:rPr>
        <w:t xml:space="preserve">that are quite close to my own </w:t>
      </w:r>
      <w:r w:rsidR="00116B8D">
        <w:rPr>
          <w:rFonts w:eastAsia="SimSun"/>
        </w:rPr>
        <w:t xml:space="preserve">recommended return on equity of </w:t>
      </w:r>
      <w:r w:rsidRPr="00255659">
        <w:rPr>
          <w:rFonts w:eastAsia="SimSun"/>
        </w:rPr>
        <w:t>9.8</w:t>
      </w:r>
      <w:r w:rsidR="00116B8D">
        <w:rPr>
          <w:rFonts w:eastAsia="SimSun"/>
        </w:rPr>
        <w:t> percent.</w:t>
      </w:r>
      <w:r w:rsidR="00C91CE2">
        <w:rPr>
          <w:rFonts w:eastAsia="SimSun"/>
        </w:rPr>
        <w:t xml:space="preserve"> </w:t>
      </w:r>
      <w:r w:rsidR="00116B8D">
        <w:rPr>
          <w:rFonts w:eastAsia="SimSun"/>
        </w:rPr>
        <w:t>Moreover</w:t>
      </w:r>
      <w:r w:rsidRPr="00255659">
        <w:rPr>
          <w:rFonts w:eastAsia="SimSun"/>
        </w:rPr>
        <w:t xml:space="preserve">, </w:t>
      </w:r>
      <w:r w:rsidR="00E51C96" w:rsidRPr="00255659">
        <w:rPr>
          <w:rFonts w:eastAsia="SimSun"/>
        </w:rPr>
        <w:t>Mr.</w:t>
      </w:r>
      <w:r w:rsidR="00E51C96">
        <w:rPr>
          <w:rFonts w:eastAsia="SimSun"/>
        </w:rPr>
        <w:t> </w:t>
      </w:r>
      <w:r w:rsidRPr="00255659">
        <w:rPr>
          <w:rFonts w:eastAsia="SimSun"/>
        </w:rPr>
        <w:t>Parcell did not account for PSE</w:t>
      </w:r>
      <w:r w:rsidR="00255659">
        <w:rPr>
          <w:rFonts w:eastAsia="SimSun"/>
        </w:rPr>
        <w:t>’</w:t>
      </w:r>
      <w:r w:rsidRPr="00255659">
        <w:rPr>
          <w:rFonts w:eastAsia="SimSun"/>
        </w:rPr>
        <w:t>s higher relative risks, as discussed in my direct testimony.</w:t>
      </w:r>
    </w:p>
    <w:p w:rsidR="00993C60" w:rsidRDefault="00993C60" w:rsidP="00540A76">
      <w:pPr>
        <w:pStyle w:val="answer"/>
        <w:ind w:firstLine="0"/>
        <w:rPr>
          <w:rFonts w:eastAsia="SimSun"/>
          <w:szCs w:val="24"/>
        </w:rPr>
      </w:pPr>
      <w:r w:rsidRPr="00993C60">
        <w:rPr>
          <w:rFonts w:eastAsia="SimSun"/>
          <w:szCs w:val="24"/>
        </w:rPr>
        <w:t xml:space="preserve">I have replicated below the final results of </w:t>
      </w:r>
      <w:r w:rsidR="00E51C96" w:rsidRPr="00255659">
        <w:rPr>
          <w:rFonts w:eastAsia="SimSun"/>
        </w:rPr>
        <w:t>Mr.</w:t>
      </w:r>
      <w:r w:rsidR="00E51C96">
        <w:rPr>
          <w:rFonts w:eastAsia="SimSun"/>
        </w:rPr>
        <w:t> </w:t>
      </w:r>
      <w:r w:rsidRPr="00993C60">
        <w:rPr>
          <w:rFonts w:eastAsia="SimSun"/>
          <w:szCs w:val="24"/>
        </w:rPr>
        <w:t>Parcell</w:t>
      </w:r>
      <w:r w:rsidR="00255659">
        <w:rPr>
          <w:rFonts w:eastAsia="SimSun"/>
          <w:szCs w:val="24"/>
        </w:rPr>
        <w:t>’</w:t>
      </w:r>
      <w:r w:rsidRPr="00993C60">
        <w:rPr>
          <w:rFonts w:eastAsia="SimSun"/>
          <w:szCs w:val="24"/>
        </w:rPr>
        <w:t xml:space="preserve">s three </w:t>
      </w:r>
      <w:r w:rsidR="00116B8D">
        <w:rPr>
          <w:rFonts w:eastAsia="SimSun"/>
          <w:szCs w:val="24"/>
        </w:rPr>
        <w:t xml:space="preserve">return on equity </w:t>
      </w:r>
      <w:r w:rsidRPr="00993C60">
        <w:rPr>
          <w:rFonts w:eastAsia="SimSun"/>
          <w:szCs w:val="24"/>
        </w:rPr>
        <w:t xml:space="preserve">analyses from </w:t>
      </w:r>
      <w:r w:rsidR="00116B8D">
        <w:rPr>
          <w:rFonts w:eastAsia="SimSun"/>
          <w:szCs w:val="24"/>
        </w:rPr>
        <w:t>p</w:t>
      </w:r>
      <w:r w:rsidRPr="00993C60">
        <w:rPr>
          <w:rFonts w:eastAsia="SimSun"/>
          <w:szCs w:val="24"/>
        </w:rPr>
        <w:t>age</w:t>
      </w:r>
      <w:r w:rsidR="00116B8D">
        <w:rPr>
          <w:rFonts w:eastAsia="SimSun"/>
          <w:szCs w:val="24"/>
        </w:rPr>
        <w:t> </w:t>
      </w:r>
      <w:r w:rsidRPr="00993C60">
        <w:rPr>
          <w:rFonts w:eastAsia="SimSun"/>
          <w:szCs w:val="24"/>
        </w:rPr>
        <w:t xml:space="preserve">45 of </w:t>
      </w:r>
      <w:r w:rsidR="00116B8D">
        <w:rPr>
          <w:rFonts w:eastAsia="SimSun"/>
          <w:szCs w:val="24"/>
        </w:rPr>
        <w:t>his testimony</w:t>
      </w:r>
      <w:r w:rsidRPr="00993C60">
        <w:rPr>
          <w:rFonts w:eastAsia="SimSun"/>
          <w:szCs w:val="24"/>
        </w:rPr>
        <w:t>:</w:t>
      </w:r>
    </w:p>
    <w:p w:rsidR="00226681" w:rsidRPr="00DC010B" w:rsidRDefault="00DC010B" w:rsidP="00216FBF">
      <w:pPr>
        <w:pStyle w:val="TableHeading"/>
        <w:ind w:left="90" w:right="90"/>
      </w:pPr>
      <w:r w:rsidRPr="00DC010B">
        <w:rPr>
          <w:bCs/>
        </w:rPr>
        <w:lastRenderedPageBreak/>
        <w:t>Table </w:t>
      </w:r>
      <w:r>
        <w:rPr>
          <w:bCs/>
        </w:rPr>
        <w:t>5</w:t>
      </w:r>
      <w:r w:rsidRPr="00DC010B">
        <w:t xml:space="preserve">. </w:t>
      </w:r>
      <w:r>
        <w:t xml:space="preserve">Mr. Parcell’s </w:t>
      </w:r>
      <w:r w:rsidR="00226681" w:rsidRPr="00DC010B">
        <w:rPr>
          <w:rFonts w:eastAsia="SimSun"/>
        </w:rPr>
        <w:t>Original Results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710"/>
        <w:gridCol w:w="1696"/>
      </w:tblGrid>
      <w:tr w:rsidR="00226681" w:rsidRPr="00226681" w:rsidTr="00226681">
        <w:trPr>
          <w:jc w:val="center"/>
        </w:trPr>
        <w:tc>
          <w:tcPr>
            <w:tcW w:w="1548" w:type="dxa"/>
            <w:tcBorders>
              <w:bottom w:val="single" w:sz="4" w:space="0" w:color="auto"/>
            </w:tcBorders>
          </w:tcPr>
          <w:p w:rsidR="00226681" w:rsidRPr="00226681" w:rsidRDefault="00226681" w:rsidP="00216FBF">
            <w:pPr>
              <w:pStyle w:val="answer"/>
              <w:keepNext/>
              <w:keepLines/>
              <w:spacing w:before="60" w:after="60" w:line="240" w:lineRule="auto"/>
              <w:ind w:left="0" w:firstLine="0"/>
              <w:rPr>
                <w:rFonts w:eastAsia="SimSun"/>
                <w:b/>
                <w:szCs w:val="24"/>
              </w:rPr>
            </w:pPr>
          </w:p>
        </w:tc>
        <w:tc>
          <w:tcPr>
            <w:tcW w:w="1710" w:type="dxa"/>
            <w:tcBorders>
              <w:bottom w:val="single" w:sz="4" w:space="0" w:color="auto"/>
            </w:tcBorders>
          </w:tcPr>
          <w:p w:rsidR="00226681" w:rsidRPr="00226681" w:rsidRDefault="00226681" w:rsidP="00216FBF">
            <w:pPr>
              <w:pStyle w:val="answer"/>
              <w:keepNext/>
              <w:keepLines/>
              <w:spacing w:before="60" w:after="60" w:line="240" w:lineRule="auto"/>
              <w:ind w:left="0" w:firstLine="0"/>
              <w:jc w:val="center"/>
              <w:rPr>
                <w:rFonts w:eastAsia="SimSun"/>
                <w:b/>
                <w:szCs w:val="24"/>
              </w:rPr>
            </w:pPr>
            <w:r w:rsidRPr="00226681">
              <w:rPr>
                <w:rFonts w:eastAsia="SimSun"/>
                <w:b/>
                <w:szCs w:val="24"/>
                <w:lang w:val="fr-FR"/>
              </w:rPr>
              <w:t>Midpoint</w:t>
            </w:r>
          </w:p>
        </w:tc>
        <w:tc>
          <w:tcPr>
            <w:tcW w:w="1696" w:type="dxa"/>
            <w:tcBorders>
              <w:bottom w:val="single" w:sz="4" w:space="0" w:color="auto"/>
            </w:tcBorders>
          </w:tcPr>
          <w:p w:rsidR="00226681" w:rsidRPr="00226681" w:rsidRDefault="00226681" w:rsidP="00216FBF">
            <w:pPr>
              <w:pStyle w:val="answer"/>
              <w:keepNext/>
              <w:keepLines/>
              <w:spacing w:before="60" w:after="60" w:line="240" w:lineRule="auto"/>
              <w:ind w:left="0" w:firstLine="0"/>
              <w:jc w:val="center"/>
              <w:rPr>
                <w:rFonts w:eastAsia="SimSun"/>
                <w:b/>
                <w:szCs w:val="24"/>
              </w:rPr>
            </w:pPr>
            <w:r w:rsidRPr="00226681">
              <w:rPr>
                <w:rFonts w:eastAsia="SimSun"/>
                <w:b/>
                <w:szCs w:val="24"/>
                <w:lang w:val="fr-FR"/>
              </w:rPr>
              <w:t>Range</w:t>
            </w:r>
          </w:p>
        </w:tc>
      </w:tr>
      <w:tr w:rsidR="00226681" w:rsidTr="00226681">
        <w:trPr>
          <w:jc w:val="center"/>
        </w:trPr>
        <w:tc>
          <w:tcPr>
            <w:tcW w:w="1548" w:type="dxa"/>
            <w:tcBorders>
              <w:top w:val="single" w:sz="4" w:space="0" w:color="auto"/>
            </w:tcBorders>
          </w:tcPr>
          <w:p w:rsidR="00226681" w:rsidRDefault="00226681" w:rsidP="00216FBF">
            <w:pPr>
              <w:pStyle w:val="answer"/>
              <w:keepNext/>
              <w:keepLines/>
              <w:spacing w:before="60" w:after="60" w:line="240" w:lineRule="auto"/>
              <w:ind w:left="0" w:firstLine="0"/>
              <w:rPr>
                <w:rFonts w:eastAsia="SimSun"/>
                <w:szCs w:val="24"/>
              </w:rPr>
            </w:pPr>
            <w:r w:rsidRPr="00993C60">
              <w:rPr>
                <w:rFonts w:eastAsia="SimSun"/>
                <w:szCs w:val="24"/>
                <w:lang w:val="fr-FR"/>
              </w:rPr>
              <w:t>DCF</w:t>
            </w:r>
          </w:p>
        </w:tc>
        <w:tc>
          <w:tcPr>
            <w:tcW w:w="1710" w:type="dxa"/>
            <w:tcBorders>
              <w:top w:val="single" w:sz="4" w:space="0" w:color="auto"/>
            </w:tcBorders>
          </w:tcPr>
          <w:p w:rsidR="00226681" w:rsidRDefault="00226681" w:rsidP="00216FBF">
            <w:pPr>
              <w:pStyle w:val="answer"/>
              <w:keepNext/>
              <w:keepLines/>
              <w:spacing w:before="60" w:after="60" w:line="240" w:lineRule="auto"/>
              <w:ind w:left="0" w:firstLine="0"/>
              <w:jc w:val="center"/>
              <w:rPr>
                <w:rFonts w:eastAsia="SimSun"/>
                <w:szCs w:val="24"/>
              </w:rPr>
            </w:pPr>
            <w:r w:rsidRPr="00993C60">
              <w:rPr>
                <w:rFonts w:eastAsia="SimSun"/>
                <w:szCs w:val="24"/>
                <w:lang w:val="fr-FR"/>
              </w:rPr>
              <w:t>8.85%</w:t>
            </w:r>
          </w:p>
        </w:tc>
        <w:tc>
          <w:tcPr>
            <w:tcW w:w="1696" w:type="dxa"/>
            <w:tcBorders>
              <w:top w:val="single" w:sz="4" w:space="0" w:color="auto"/>
            </w:tcBorders>
          </w:tcPr>
          <w:p w:rsidR="00226681" w:rsidRDefault="00226681" w:rsidP="00216FBF">
            <w:pPr>
              <w:pStyle w:val="answer"/>
              <w:keepNext/>
              <w:keepLines/>
              <w:spacing w:before="60" w:after="60" w:line="240" w:lineRule="auto"/>
              <w:ind w:left="0" w:firstLine="0"/>
              <w:jc w:val="center"/>
              <w:rPr>
                <w:rFonts w:eastAsia="SimSun"/>
                <w:szCs w:val="24"/>
              </w:rPr>
            </w:pPr>
            <w:r w:rsidRPr="00993C60">
              <w:rPr>
                <w:rFonts w:eastAsia="SimSun"/>
                <w:szCs w:val="24"/>
                <w:lang w:val="fr-FR"/>
              </w:rPr>
              <w:t>8.7</w:t>
            </w:r>
            <w:r>
              <w:rPr>
                <w:rFonts w:eastAsia="SimSun"/>
                <w:szCs w:val="24"/>
                <w:lang w:val="fr-FR"/>
              </w:rPr>
              <w:t xml:space="preserve">% – </w:t>
            </w:r>
            <w:r w:rsidRPr="00993C60">
              <w:rPr>
                <w:rFonts w:eastAsia="SimSun"/>
                <w:szCs w:val="24"/>
                <w:lang w:val="fr-FR"/>
              </w:rPr>
              <w:t>9.0%</w:t>
            </w:r>
          </w:p>
        </w:tc>
      </w:tr>
      <w:tr w:rsidR="00226681" w:rsidTr="00226681">
        <w:trPr>
          <w:jc w:val="center"/>
        </w:trPr>
        <w:tc>
          <w:tcPr>
            <w:tcW w:w="1548" w:type="dxa"/>
          </w:tcPr>
          <w:p w:rsidR="00226681" w:rsidRDefault="00226681" w:rsidP="00216FBF">
            <w:pPr>
              <w:pStyle w:val="answer"/>
              <w:keepNext/>
              <w:keepLines/>
              <w:spacing w:before="60" w:after="60" w:line="240" w:lineRule="auto"/>
              <w:ind w:left="0" w:firstLine="0"/>
              <w:rPr>
                <w:rFonts w:eastAsia="SimSun"/>
                <w:szCs w:val="24"/>
              </w:rPr>
            </w:pPr>
            <w:r w:rsidRPr="00993C60">
              <w:rPr>
                <w:rFonts w:eastAsia="SimSun"/>
                <w:szCs w:val="24"/>
                <w:lang w:val="fr-FR"/>
              </w:rPr>
              <w:t>CAPM</w:t>
            </w:r>
          </w:p>
        </w:tc>
        <w:tc>
          <w:tcPr>
            <w:tcW w:w="1710" w:type="dxa"/>
          </w:tcPr>
          <w:p w:rsidR="00226681" w:rsidRDefault="00226681" w:rsidP="00216FBF">
            <w:pPr>
              <w:pStyle w:val="answer"/>
              <w:keepNext/>
              <w:keepLines/>
              <w:spacing w:before="60" w:after="60" w:line="240" w:lineRule="auto"/>
              <w:ind w:left="0" w:firstLine="0"/>
              <w:jc w:val="center"/>
              <w:rPr>
                <w:rFonts w:eastAsia="SimSun"/>
                <w:szCs w:val="24"/>
              </w:rPr>
            </w:pPr>
            <w:r w:rsidRPr="00993C60">
              <w:rPr>
                <w:rFonts w:eastAsia="SimSun"/>
                <w:szCs w:val="24"/>
                <w:lang w:val="fr-FR"/>
              </w:rPr>
              <w:t>6.75%</w:t>
            </w:r>
          </w:p>
        </w:tc>
        <w:tc>
          <w:tcPr>
            <w:tcW w:w="1696" w:type="dxa"/>
          </w:tcPr>
          <w:p w:rsidR="00226681" w:rsidRDefault="00226681" w:rsidP="00216FBF">
            <w:pPr>
              <w:pStyle w:val="answer"/>
              <w:keepNext/>
              <w:keepLines/>
              <w:spacing w:before="60" w:after="60" w:line="240" w:lineRule="auto"/>
              <w:ind w:left="0" w:firstLine="0"/>
              <w:jc w:val="center"/>
              <w:rPr>
                <w:rFonts w:eastAsia="SimSun"/>
                <w:szCs w:val="24"/>
              </w:rPr>
            </w:pPr>
            <w:r>
              <w:rPr>
                <w:rFonts w:eastAsia="SimSun"/>
                <w:szCs w:val="24"/>
                <w:lang w:val="fr-FR"/>
              </w:rPr>
              <w:t>6</w:t>
            </w:r>
            <w:r w:rsidRPr="00993C60">
              <w:rPr>
                <w:rFonts w:eastAsia="SimSun"/>
                <w:szCs w:val="24"/>
                <w:lang w:val="fr-FR"/>
              </w:rPr>
              <w:t>.</w:t>
            </w:r>
            <w:r>
              <w:rPr>
                <w:rFonts w:eastAsia="SimSun"/>
                <w:szCs w:val="24"/>
                <w:lang w:val="fr-FR"/>
              </w:rPr>
              <w:t>5% – 7</w:t>
            </w:r>
            <w:r w:rsidRPr="00993C60">
              <w:rPr>
                <w:rFonts w:eastAsia="SimSun"/>
                <w:szCs w:val="24"/>
                <w:lang w:val="fr-FR"/>
              </w:rPr>
              <w:t>.0%</w:t>
            </w:r>
          </w:p>
        </w:tc>
      </w:tr>
      <w:tr w:rsidR="00226681" w:rsidTr="00226681">
        <w:trPr>
          <w:jc w:val="center"/>
        </w:trPr>
        <w:tc>
          <w:tcPr>
            <w:tcW w:w="1548" w:type="dxa"/>
          </w:tcPr>
          <w:p w:rsidR="00226681" w:rsidRDefault="00226681" w:rsidP="00540A76">
            <w:pPr>
              <w:pStyle w:val="answer"/>
              <w:spacing w:before="60" w:after="60" w:line="240" w:lineRule="auto"/>
              <w:ind w:left="0" w:firstLine="0"/>
              <w:rPr>
                <w:rFonts w:eastAsia="SimSun"/>
                <w:szCs w:val="24"/>
              </w:rPr>
            </w:pPr>
            <w:r w:rsidRPr="00993C60">
              <w:rPr>
                <w:rFonts w:eastAsia="SimSun"/>
                <w:szCs w:val="24"/>
              </w:rPr>
              <w:t>CE</w:t>
            </w:r>
          </w:p>
        </w:tc>
        <w:tc>
          <w:tcPr>
            <w:tcW w:w="1710" w:type="dxa"/>
          </w:tcPr>
          <w:p w:rsidR="00226681" w:rsidRDefault="00226681" w:rsidP="00540A76">
            <w:pPr>
              <w:pStyle w:val="answer"/>
              <w:spacing w:before="60" w:after="60" w:line="240" w:lineRule="auto"/>
              <w:ind w:left="0" w:firstLine="0"/>
              <w:jc w:val="center"/>
              <w:rPr>
                <w:rFonts w:eastAsia="SimSun"/>
                <w:szCs w:val="24"/>
              </w:rPr>
            </w:pPr>
            <w:r w:rsidRPr="00993C60">
              <w:rPr>
                <w:rFonts w:eastAsia="SimSun"/>
                <w:szCs w:val="24"/>
              </w:rPr>
              <w:t>9.50%</w:t>
            </w:r>
          </w:p>
        </w:tc>
        <w:tc>
          <w:tcPr>
            <w:tcW w:w="1696" w:type="dxa"/>
          </w:tcPr>
          <w:p w:rsidR="00226681" w:rsidRDefault="00226681" w:rsidP="00540A76">
            <w:pPr>
              <w:pStyle w:val="answer"/>
              <w:spacing w:before="60" w:after="60" w:line="240" w:lineRule="auto"/>
              <w:ind w:left="0" w:firstLine="0"/>
              <w:jc w:val="center"/>
              <w:rPr>
                <w:rFonts w:eastAsia="SimSun"/>
                <w:szCs w:val="24"/>
              </w:rPr>
            </w:pPr>
            <w:r>
              <w:rPr>
                <w:rFonts w:eastAsia="SimSun"/>
                <w:szCs w:val="24"/>
                <w:lang w:val="fr-FR"/>
              </w:rPr>
              <w:t>9</w:t>
            </w:r>
            <w:r w:rsidRPr="00993C60">
              <w:rPr>
                <w:rFonts w:eastAsia="SimSun"/>
                <w:szCs w:val="24"/>
                <w:lang w:val="fr-FR"/>
              </w:rPr>
              <w:t>.</w:t>
            </w:r>
            <w:r>
              <w:rPr>
                <w:rFonts w:eastAsia="SimSun"/>
                <w:szCs w:val="24"/>
                <w:lang w:val="fr-FR"/>
              </w:rPr>
              <w:t>0% – 10</w:t>
            </w:r>
            <w:r w:rsidRPr="00993C60">
              <w:rPr>
                <w:rFonts w:eastAsia="SimSun"/>
                <w:szCs w:val="24"/>
                <w:lang w:val="fr-FR"/>
              </w:rPr>
              <w:t>.0%</w:t>
            </w:r>
          </w:p>
        </w:tc>
      </w:tr>
    </w:tbl>
    <w:p w:rsidR="00993C60" w:rsidRDefault="00993C60" w:rsidP="00540A76">
      <w:pPr>
        <w:pStyle w:val="answer"/>
        <w:spacing w:before="280"/>
        <w:ind w:firstLine="0"/>
        <w:rPr>
          <w:rFonts w:eastAsia="SimSun"/>
        </w:rPr>
      </w:pPr>
      <w:r w:rsidRPr="00255659">
        <w:rPr>
          <w:rFonts w:eastAsia="SimSun"/>
        </w:rPr>
        <w:t xml:space="preserve">I summarize below the final results of </w:t>
      </w:r>
      <w:r w:rsidR="00E51C96" w:rsidRPr="00255659">
        <w:rPr>
          <w:rFonts w:eastAsia="SimSun"/>
        </w:rPr>
        <w:t>Mr.</w:t>
      </w:r>
      <w:r w:rsidR="00E51C96">
        <w:rPr>
          <w:rFonts w:eastAsia="SimSun"/>
        </w:rPr>
        <w:t> </w:t>
      </w:r>
      <w:r w:rsidRPr="00255659">
        <w:rPr>
          <w:rFonts w:eastAsia="SimSun"/>
        </w:rPr>
        <w:t>Parcell</w:t>
      </w:r>
      <w:r w:rsidR="00255659">
        <w:rPr>
          <w:rFonts w:eastAsia="SimSun"/>
        </w:rPr>
        <w:t>’</w:t>
      </w:r>
      <w:r w:rsidRPr="00255659">
        <w:rPr>
          <w:rFonts w:eastAsia="SimSun"/>
        </w:rPr>
        <w:t xml:space="preserve">s three </w:t>
      </w:r>
      <w:r w:rsidR="00116B8D">
        <w:rPr>
          <w:rFonts w:eastAsia="SimSun"/>
        </w:rPr>
        <w:t xml:space="preserve">return on equity </w:t>
      </w:r>
      <w:r w:rsidRPr="00255659">
        <w:rPr>
          <w:rFonts w:eastAsia="SimSun"/>
        </w:rPr>
        <w:t xml:space="preserve">analyses amended for the aforementioned understatements: a total of </w:t>
      </w:r>
      <w:r w:rsidR="00116B8D">
        <w:rPr>
          <w:rFonts w:eastAsia="SimSun"/>
        </w:rPr>
        <w:t>7</w:t>
      </w:r>
      <w:r w:rsidRPr="00255659">
        <w:rPr>
          <w:rFonts w:eastAsia="SimSun"/>
        </w:rPr>
        <w:t>0</w:t>
      </w:r>
      <w:r w:rsidR="00116B8D">
        <w:rPr>
          <w:rFonts w:eastAsia="SimSun"/>
        </w:rPr>
        <w:t> </w:t>
      </w:r>
      <w:r w:rsidRPr="00255659">
        <w:rPr>
          <w:rFonts w:eastAsia="SimSun"/>
        </w:rPr>
        <w:t>basis points</w:t>
      </w:r>
      <w:r w:rsidR="00116B8D">
        <w:rPr>
          <w:rFonts w:eastAsia="SimSun"/>
        </w:rPr>
        <w:t xml:space="preserve"> (i.e., 0.7 percent)</w:t>
      </w:r>
      <w:r w:rsidRPr="00255659">
        <w:rPr>
          <w:rFonts w:eastAsia="SimSun"/>
        </w:rPr>
        <w:t xml:space="preserve"> for the DCF results and a total of 241</w:t>
      </w:r>
      <w:r w:rsidR="00116B8D">
        <w:rPr>
          <w:rFonts w:eastAsia="SimSun"/>
        </w:rPr>
        <w:t> </w:t>
      </w:r>
      <w:r w:rsidRPr="00255659">
        <w:rPr>
          <w:rFonts w:eastAsia="SimSun"/>
        </w:rPr>
        <w:t xml:space="preserve">basis points </w:t>
      </w:r>
      <w:r w:rsidR="00116B8D">
        <w:rPr>
          <w:rFonts w:eastAsia="SimSun"/>
        </w:rPr>
        <w:t>(i.e., 2.41 percent)</w:t>
      </w:r>
      <w:r w:rsidR="00116B8D" w:rsidRPr="00255659">
        <w:rPr>
          <w:rFonts w:eastAsia="SimSun"/>
        </w:rPr>
        <w:t xml:space="preserve"> </w:t>
      </w:r>
      <w:r w:rsidRPr="00255659">
        <w:rPr>
          <w:rFonts w:eastAsia="SimSun"/>
        </w:rPr>
        <w:t>for the CAPM results.</w:t>
      </w:r>
      <w:r w:rsidR="006B5168">
        <w:rPr>
          <w:rFonts w:eastAsia="SimSun"/>
        </w:rPr>
        <w:t xml:space="preserve"> </w:t>
      </w:r>
      <w:r w:rsidRPr="00255659">
        <w:rPr>
          <w:rFonts w:eastAsia="SimSun"/>
        </w:rPr>
        <w:t xml:space="preserve">The amended results produce a range of </w:t>
      </w:r>
      <w:r w:rsidR="009322EC">
        <w:rPr>
          <w:rFonts w:eastAsia="SimSun"/>
        </w:rPr>
        <w:t xml:space="preserve">between </w:t>
      </w:r>
      <w:r w:rsidRPr="00255659">
        <w:rPr>
          <w:rFonts w:eastAsia="SimSun"/>
        </w:rPr>
        <w:t>9.0</w:t>
      </w:r>
      <w:r w:rsidR="009322EC">
        <w:rPr>
          <w:rFonts w:eastAsia="SimSun"/>
        </w:rPr>
        <w:t xml:space="preserve"> and </w:t>
      </w:r>
      <w:r w:rsidRPr="00255659">
        <w:rPr>
          <w:rFonts w:eastAsia="SimSun"/>
        </w:rPr>
        <w:t>10.0</w:t>
      </w:r>
      <w:r w:rsidR="009322EC">
        <w:rPr>
          <w:rFonts w:eastAsia="SimSun"/>
        </w:rPr>
        <w:t xml:space="preserve"> percent, </w:t>
      </w:r>
      <w:r w:rsidRPr="00255659">
        <w:rPr>
          <w:rFonts w:eastAsia="SimSun"/>
        </w:rPr>
        <w:t xml:space="preserve">which encompasses my own </w:t>
      </w:r>
      <w:r w:rsidR="009322EC">
        <w:rPr>
          <w:rFonts w:eastAsia="SimSun"/>
        </w:rPr>
        <w:t xml:space="preserve">return on equity </w:t>
      </w:r>
      <w:r w:rsidRPr="00255659">
        <w:rPr>
          <w:rFonts w:eastAsia="SimSun"/>
        </w:rPr>
        <w:t>recommendation of 9.8</w:t>
      </w:r>
      <w:r w:rsidR="009322EC">
        <w:rPr>
          <w:rFonts w:eastAsia="SimSun"/>
        </w:rPr>
        <w:t> percent</w:t>
      </w:r>
      <w:r w:rsidRPr="00255659">
        <w:rPr>
          <w:rFonts w:eastAsia="SimSun"/>
        </w:rPr>
        <w:t>.</w:t>
      </w:r>
    </w:p>
    <w:p w:rsidR="00DC010B" w:rsidRPr="00DC010B" w:rsidRDefault="00DC010B" w:rsidP="00540A76">
      <w:pPr>
        <w:pStyle w:val="TableHeading"/>
        <w:ind w:left="90" w:right="90"/>
      </w:pPr>
      <w:r w:rsidRPr="00DC010B">
        <w:rPr>
          <w:bCs/>
        </w:rPr>
        <w:t>Table </w:t>
      </w:r>
      <w:r>
        <w:rPr>
          <w:bCs/>
        </w:rPr>
        <w:t>6</w:t>
      </w:r>
      <w:r w:rsidRPr="00DC010B">
        <w:t xml:space="preserve">. </w:t>
      </w:r>
      <w:r>
        <w:t xml:space="preserve">Mr. Parcell’s </w:t>
      </w:r>
      <w:r>
        <w:rPr>
          <w:rFonts w:eastAsia="SimSun"/>
        </w:rPr>
        <w:t xml:space="preserve">Amended </w:t>
      </w:r>
      <w:r w:rsidRPr="00DC010B">
        <w:rPr>
          <w:rFonts w:eastAsia="SimSun"/>
        </w:rPr>
        <w:t>Results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710"/>
        <w:gridCol w:w="1696"/>
      </w:tblGrid>
      <w:tr w:rsidR="00226681" w:rsidRPr="00226681" w:rsidTr="006B5168">
        <w:trPr>
          <w:jc w:val="center"/>
        </w:trPr>
        <w:tc>
          <w:tcPr>
            <w:tcW w:w="1548" w:type="dxa"/>
            <w:tcBorders>
              <w:bottom w:val="single" w:sz="4" w:space="0" w:color="auto"/>
            </w:tcBorders>
          </w:tcPr>
          <w:p w:rsidR="00226681" w:rsidRPr="00226681" w:rsidRDefault="00226681" w:rsidP="00540A76">
            <w:pPr>
              <w:pStyle w:val="answer"/>
              <w:spacing w:before="60" w:after="60" w:line="240" w:lineRule="auto"/>
              <w:ind w:left="0" w:firstLine="0"/>
              <w:rPr>
                <w:rFonts w:eastAsia="SimSun"/>
                <w:b/>
                <w:szCs w:val="24"/>
              </w:rPr>
            </w:pPr>
          </w:p>
        </w:tc>
        <w:tc>
          <w:tcPr>
            <w:tcW w:w="1710" w:type="dxa"/>
            <w:tcBorders>
              <w:bottom w:val="single" w:sz="4" w:space="0" w:color="auto"/>
            </w:tcBorders>
          </w:tcPr>
          <w:p w:rsidR="00226681" w:rsidRPr="00226681" w:rsidRDefault="00226681" w:rsidP="00540A76">
            <w:pPr>
              <w:pStyle w:val="answer"/>
              <w:spacing w:before="60" w:after="60" w:line="240" w:lineRule="auto"/>
              <w:ind w:left="0" w:firstLine="0"/>
              <w:jc w:val="center"/>
              <w:rPr>
                <w:rFonts w:eastAsia="SimSun"/>
                <w:b/>
                <w:szCs w:val="24"/>
              </w:rPr>
            </w:pPr>
            <w:r w:rsidRPr="00226681">
              <w:rPr>
                <w:rFonts w:eastAsia="SimSun"/>
                <w:b/>
                <w:szCs w:val="24"/>
                <w:lang w:val="fr-FR"/>
              </w:rPr>
              <w:t>Midpoint</w:t>
            </w:r>
          </w:p>
        </w:tc>
        <w:tc>
          <w:tcPr>
            <w:tcW w:w="1696" w:type="dxa"/>
            <w:tcBorders>
              <w:bottom w:val="single" w:sz="4" w:space="0" w:color="auto"/>
            </w:tcBorders>
          </w:tcPr>
          <w:p w:rsidR="00226681" w:rsidRPr="00226681" w:rsidRDefault="00226681" w:rsidP="00540A76">
            <w:pPr>
              <w:pStyle w:val="answer"/>
              <w:spacing w:before="60" w:after="60" w:line="240" w:lineRule="auto"/>
              <w:ind w:left="0" w:firstLine="0"/>
              <w:jc w:val="center"/>
              <w:rPr>
                <w:rFonts w:eastAsia="SimSun"/>
                <w:b/>
                <w:szCs w:val="24"/>
              </w:rPr>
            </w:pPr>
            <w:r w:rsidRPr="00226681">
              <w:rPr>
                <w:rFonts w:eastAsia="SimSun"/>
                <w:b/>
                <w:szCs w:val="24"/>
                <w:lang w:val="fr-FR"/>
              </w:rPr>
              <w:t>Range</w:t>
            </w:r>
          </w:p>
        </w:tc>
      </w:tr>
      <w:tr w:rsidR="00226681" w:rsidTr="006B5168">
        <w:trPr>
          <w:jc w:val="center"/>
        </w:trPr>
        <w:tc>
          <w:tcPr>
            <w:tcW w:w="1548" w:type="dxa"/>
            <w:tcBorders>
              <w:top w:val="single" w:sz="4" w:space="0" w:color="auto"/>
            </w:tcBorders>
          </w:tcPr>
          <w:p w:rsidR="00226681" w:rsidRDefault="00226681" w:rsidP="00540A76">
            <w:pPr>
              <w:pStyle w:val="answer"/>
              <w:spacing w:before="60" w:after="60" w:line="240" w:lineRule="auto"/>
              <w:ind w:left="0" w:firstLine="0"/>
              <w:rPr>
                <w:rFonts w:eastAsia="SimSun"/>
                <w:szCs w:val="24"/>
              </w:rPr>
            </w:pPr>
            <w:r w:rsidRPr="00993C60">
              <w:rPr>
                <w:rFonts w:eastAsia="SimSun"/>
                <w:szCs w:val="24"/>
                <w:lang w:val="fr-FR"/>
              </w:rPr>
              <w:t>DCF</w:t>
            </w:r>
          </w:p>
        </w:tc>
        <w:tc>
          <w:tcPr>
            <w:tcW w:w="1710" w:type="dxa"/>
            <w:tcBorders>
              <w:top w:val="single" w:sz="4" w:space="0" w:color="auto"/>
            </w:tcBorders>
          </w:tcPr>
          <w:p w:rsidR="00226681" w:rsidRDefault="00226681" w:rsidP="009322EC">
            <w:pPr>
              <w:pStyle w:val="answer"/>
              <w:spacing w:before="60" w:after="60" w:line="240" w:lineRule="auto"/>
              <w:ind w:left="0" w:firstLine="0"/>
              <w:jc w:val="center"/>
              <w:rPr>
                <w:rFonts w:eastAsia="SimSun"/>
                <w:szCs w:val="24"/>
              </w:rPr>
            </w:pPr>
            <w:r w:rsidRPr="00993C60">
              <w:rPr>
                <w:rFonts w:eastAsia="SimSun"/>
                <w:szCs w:val="24"/>
              </w:rPr>
              <w:t>9.</w:t>
            </w:r>
            <w:r w:rsidR="009322EC">
              <w:rPr>
                <w:rFonts w:eastAsia="SimSun"/>
                <w:szCs w:val="24"/>
              </w:rPr>
              <w:t>5</w:t>
            </w:r>
            <w:r w:rsidRPr="00993C60">
              <w:rPr>
                <w:rFonts w:eastAsia="SimSun"/>
                <w:szCs w:val="24"/>
              </w:rPr>
              <w:t>5</w:t>
            </w:r>
            <w:r w:rsidRPr="00993C60">
              <w:rPr>
                <w:rFonts w:eastAsia="SimSun"/>
                <w:szCs w:val="24"/>
                <w:lang w:val="fr-FR"/>
              </w:rPr>
              <w:t>%</w:t>
            </w:r>
          </w:p>
        </w:tc>
        <w:tc>
          <w:tcPr>
            <w:tcW w:w="1696" w:type="dxa"/>
            <w:tcBorders>
              <w:top w:val="single" w:sz="4" w:space="0" w:color="auto"/>
            </w:tcBorders>
          </w:tcPr>
          <w:p w:rsidR="00226681" w:rsidRDefault="00226681" w:rsidP="009322EC">
            <w:pPr>
              <w:pStyle w:val="answer"/>
              <w:spacing w:before="60" w:after="60" w:line="240" w:lineRule="auto"/>
              <w:ind w:left="0" w:firstLine="0"/>
              <w:jc w:val="center"/>
              <w:rPr>
                <w:rFonts w:eastAsia="SimSun"/>
                <w:szCs w:val="24"/>
              </w:rPr>
            </w:pPr>
            <w:r>
              <w:rPr>
                <w:rFonts w:eastAsia="SimSun"/>
                <w:szCs w:val="24"/>
                <w:lang w:val="fr-FR"/>
              </w:rPr>
              <w:t>9</w:t>
            </w:r>
            <w:r w:rsidRPr="00993C60">
              <w:rPr>
                <w:rFonts w:eastAsia="SimSun"/>
                <w:szCs w:val="24"/>
                <w:lang w:val="fr-FR"/>
              </w:rPr>
              <w:t>.</w:t>
            </w:r>
            <w:r w:rsidR="009322EC">
              <w:rPr>
                <w:rFonts w:eastAsia="SimSun"/>
                <w:szCs w:val="24"/>
                <w:lang w:val="fr-FR"/>
              </w:rPr>
              <w:t>4</w:t>
            </w:r>
            <w:r>
              <w:rPr>
                <w:rFonts w:eastAsia="SimSun"/>
                <w:szCs w:val="24"/>
                <w:lang w:val="fr-FR"/>
              </w:rPr>
              <w:t xml:space="preserve">% – </w:t>
            </w:r>
            <w:r w:rsidRPr="00993C60">
              <w:rPr>
                <w:rFonts w:eastAsia="SimSun"/>
                <w:szCs w:val="24"/>
                <w:lang w:val="fr-FR"/>
              </w:rPr>
              <w:t>9.</w:t>
            </w:r>
            <w:r w:rsidR="009322EC">
              <w:rPr>
                <w:rFonts w:eastAsia="SimSun"/>
                <w:szCs w:val="24"/>
                <w:lang w:val="fr-FR"/>
              </w:rPr>
              <w:t>7</w:t>
            </w:r>
            <w:r w:rsidRPr="00993C60">
              <w:rPr>
                <w:rFonts w:eastAsia="SimSun"/>
                <w:szCs w:val="24"/>
                <w:lang w:val="fr-FR"/>
              </w:rPr>
              <w:t>%</w:t>
            </w:r>
          </w:p>
        </w:tc>
      </w:tr>
      <w:tr w:rsidR="00226681" w:rsidTr="006B5168">
        <w:trPr>
          <w:jc w:val="center"/>
        </w:trPr>
        <w:tc>
          <w:tcPr>
            <w:tcW w:w="1548" w:type="dxa"/>
          </w:tcPr>
          <w:p w:rsidR="00226681" w:rsidRDefault="00226681" w:rsidP="00540A76">
            <w:pPr>
              <w:pStyle w:val="answer"/>
              <w:spacing w:before="60" w:after="60" w:line="240" w:lineRule="auto"/>
              <w:ind w:left="0" w:firstLine="0"/>
              <w:rPr>
                <w:rFonts w:eastAsia="SimSun"/>
                <w:szCs w:val="24"/>
              </w:rPr>
            </w:pPr>
            <w:r w:rsidRPr="00993C60">
              <w:rPr>
                <w:rFonts w:eastAsia="SimSun"/>
                <w:szCs w:val="24"/>
                <w:lang w:val="fr-FR"/>
              </w:rPr>
              <w:t>CAPM</w:t>
            </w:r>
          </w:p>
        </w:tc>
        <w:tc>
          <w:tcPr>
            <w:tcW w:w="1710" w:type="dxa"/>
          </w:tcPr>
          <w:p w:rsidR="00226681" w:rsidRDefault="00226681" w:rsidP="00540A76">
            <w:pPr>
              <w:pStyle w:val="answer"/>
              <w:spacing w:before="60" w:after="60" w:line="240" w:lineRule="auto"/>
              <w:ind w:left="0" w:firstLine="0"/>
              <w:jc w:val="center"/>
              <w:rPr>
                <w:rFonts w:eastAsia="SimSun"/>
                <w:szCs w:val="24"/>
              </w:rPr>
            </w:pPr>
            <w:r w:rsidRPr="00993C60">
              <w:rPr>
                <w:rFonts w:eastAsia="SimSun"/>
                <w:szCs w:val="24"/>
              </w:rPr>
              <w:t>9.15</w:t>
            </w:r>
            <w:r w:rsidRPr="00993C60">
              <w:rPr>
                <w:rFonts w:eastAsia="SimSun"/>
                <w:szCs w:val="24"/>
                <w:lang w:val="fr-FR"/>
              </w:rPr>
              <w:t>%</w:t>
            </w:r>
          </w:p>
        </w:tc>
        <w:tc>
          <w:tcPr>
            <w:tcW w:w="1696" w:type="dxa"/>
          </w:tcPr>
          <w:p w:rsidR="00226681" w:rsidRDefault="00226681" w:rsidP="00540A76">
            <w:pPr>
              <w:pStyle w:val="answer"/>
              <w:spacing w:before="60" w:after="60" w:line="240" w:lineRule="auto"/>
              <w:ind w:left="0" w:firstLine="0"/>
              <w:jc w:val="center"/>
              <w:rPr>
                <w:rFonts w:eastAsia="SimSun"/>
                <w:szCs w:val="24"/>
              </w:rPr>
            </w:pPr>
            <w:r>
              <w:rPr>
                <w:rFonts w:eastAsia="SimSun"/>
                <w:szCs w:val="24"/>
                <w:lang w:val="fr-FR"/>
              </w:rPr>
              <w:t>8</w:t>
            </w:r>
            <w:r w:rsidRPr="00993C60">
              <w:rPr>
                <w:rFonts w:eastAsia="SimSun"/>
                <w:szCs w:val="24"/>
                <w:lang w:val="fr-FR"/>
              </w:rPr>
              <w:t>.</w:t>
            </w:r>
            <w:r>
              <w:rPr>
                <w:rFonts w:eastAsia="SimSun"/>
                <w:szCs w:val="24"/>
                <w:lang w:val="fr-FR"/>
              </w:rPr>
              <w:t>9% – 9</w:t>
            </w:r>
            <w:r w:rsidRPr="00993C60">
              <w:rPr>
                <w:rFonts w:eastAsia="SimSun"/>
                <w:szCs w:val="24"/>
                <w:lang w:val="fr-FR"/>
              </w:rPr>
              <w:t>.</w:t>
            </w:r>
            <w:r>
              <w:rPr>
                <w:rFonts w:eastAsia="SimSun"/>
                <w:szCs w:val="24"/>
                <w:lang w:val="fr-FR"/>
              </w:rPr>
              <w:t>4</w:t>
            </w:r>
            <w:r w:rsidRPr="00993C60">
              <w:rPr>
                <w:rFonts w:eastAsia="SimSun"/>
                <w:szCs w:val="24"/>
                <w:lang w:val="fr-FR"/>
              </w:rPr>
              <w:t>%</w:t>
            </w:r>
          </w:p>
        </w:tc>
      </w:tr>
      <w:tr w:rsidR="00226681" w:rsidTr="006B5168">
        <w:trPr>
          <w:jc w:val="center"/>
        </w:trPr>
        <w:tc>
          <w:tcPr>
            <w:tcW w:w="1548" w:type="dxa"/>
          </w:tcPr>
          <w:p w:rsidR="00226681" w:rsidRDefault="00226681" w:rsidP="00540A76">
            <w:pPr>
              <w:pStyle w:val="answer"/>
              <w:spacing w:before="60" w:after="60" w:line="240" w:lineRule="auto"/>
              <w:ind w:left="0" w:firstLine="0"/>
              <w:rPr>
                <w:rFonts w:eastAsia="SimSun"/>
                <w:szCs w:val="24"/>
              </w:rPr>
            </w:pPr>
            <w:r w:rsidRPr="00993C60">
              <w:rPr>
                <w:rFonts w:eastAsia="SimSun"/>
                <w:szCs w:val="24"/>
              </w:rPr>
              <w:t>CE</w:t>
            </w:r>
          </w:p>
        </w:tc>
        <w:tc>
          <w:tcPr>
            <w:tcW w:w="1710" w:type="dxa"/>
          </w:tcPr>
          <w:p w:rsidR="00226681" w:rsidRDefault="00226681" w:rsidP="00540A76">
            <w:pPr>
              <w:pStyle w:val="answer"/>
              <w:spacing w:before="60" w:after="60" w:line="240" w:lineRule="auto"/>
              <w:ind w:left="0" w:firstLine="0"/>
              <w:jc w:val="center"/>
              <w:rPr>
                <w:rFonts w:eastAsia="SimSun"/>
                <w:szCs w:val="24"/>
              </w:rPr>
            </w:pPr>
            <w:r w:rsidRPr="00993C60">
              <w:rPr>
                <w:rFonts w:eastAsia="SimSun"/>
                <w:szCs w:val="24"/>
              </w:rPr>
              <w:t>9.50%</w:t>
            </w:r>
          </w:p>
        </w:tc>
        <w:tc>
          <w:tcPr>
            <w:tcW w:w="1696" w:type="dxa"/>
          </w:tcPr>
          <w:p w:rsidR="00226681" w:rsidRDefault="00226681" w:rsidP="00540A76">
            <w:pPr>
              <w:pStyle w:val="answer"/>
              <w:spacing w:before="60" w:after="60" w:line="240" w:lineRule="auto"/>
              <w:ind w:left="0" w:firstLine="0"/>
              <w:jc w:val="center"/>
              <w:rPr>
                <w:rFonts w:eastAsia="SimSun"/>
                <w:szCs w:val="24"/>
              </w:rPr>
            </w:pPr>
            <w:r>
              <w:rPr>
                <w:rFonts w:eastAsia="SimSun"/>
                <w:szCs w:val="24"/>
                <w:lang w:val="fr-FR"/>
              </w:rPr>
              <w:t>9</w:t>
            </w:r>
            <w:r w:rsidRPr="00993C60">
              <w:rPr>
                <w:rFonts w:eastAsia="SimSun"/>
                <w:szCs w:val="24"/>
                <w:lang w:val="fr-FR"/>
              </w:rPr>
              <w:t>.</w:t>
            </w:r>
            <w:r>
              <w:rPr>
                <w:rFonts w:eastAsia="SimSun"/>
                <w:szCs w:val="24"/>
                <w:lang w:val="fr-FR"/>
              </w:rPr>
              <w:t>0% – 10</w:t>
            </w:r>
            <w:r w:rsidRPr="00993C60">
              <w:rPr>
                <w:rFonts w:eastAsia="SimSun"/>
                <w:szCs w:val="24"/>
                <w:lang w:val="fr-FR"/>
              </w:rPr>
              <w:t>.0%</w:t>
            </w:r>
          </w:p>
        </w:tc>
      </w:tr>
    </w:tbl>
    <w:p w:rsidR="007852E7" w:rsidRPr="00255659" w:rsidRDefault="007852E7" w:rsidP="00DD2B52">
      <w:pPr>
        <w:pStyle w:val="Heading1"/>
        <w:spacing w:before="480"/>
        <w:rPr>
          <w:lang w:eastAsia="en-US"/>
        </w:rPr>
      </w:pPr>
      <w:bookmarkStart w:id="74" w:name="_Toc489887896"/>
      <w:bookmarkEnd w:id="37"/>
      <w:bookmarkEnd w:id="38"/>
      <w:bookmarkEnd w:id="39"/>
      <w:bookmarkEnd w:id="40"/>
      <w:bookmarkEnd w:id="41"/>
      <w:bookmarkEnd w:id="42"/>
      <w:bookmarkEnd w:id="43"/>
      <w:r w:rsidRPr="00255659">
        <w:rPr>
          <w:lang w:eastAsia="en-US"/>
        </w:rPr>
        <w:t>I</w:t>
      </w:r>
      <w:r w:rsidR="00814597" w:rsidRPr="00255659">
        <w:rPr>
          <w:lang w:eastAsia="en-US"/>
        </w:rPr>
        <w:t>V</w:t>
      </w:r>
      <w:r w:rsidRPr="00255659">
        <w:rPr>
          <w:lang w:eastAsia="en-US"/>
        </w:rPr>
        <w:t>.</w:t>
      </w:r>
      <w:r w:rsidR="00814597" w:rsidRPr="00255659">
        <w:rPr>
          <w:lang w:eastAsia="en-US"/>
        </w:rPr>
        <w:tab/>
      </w:r>
      <w:r w:rsidRPr="00255659">
        <w:rPr>
          <w:lang w:eastAsia="en-US"/>
        </w:rPr>
        <w:t>RESPONSE TO MR. GORMAN</w:t>
      </w:r>
      <w:r w:rsidR="00255659">
        <w:rPr>
          <w:lang w:eastAsia="en-US"/>
        </w:rPr>
        <w:t>’</w:t>
      </w:r>
      <w:r w:rsidRPr="00255659">
        <w:rPr>
          <w:lang w:eastAsia="en-US"/>
        </w:rPr>
        <w:t>S COMMENTS</w:t>
      </w:r>
      <w:bookmarkEnd w:id="74"/>
    </w:p>
    <w:p w:rsidR="007852E7" w:rsidRPr="00255659" w:rsidRDefault="007852E7" w:rsidP="00540A76">
      <w:pPr>
        <w:pStyle w:val="question"/>
      </w:pPr>
      <w:r w:rsidRPr="00255659">
        <w:rPr>
          <w:lang w:eastAsia="en-US"/>
        </w:rPr>
        <w:t>Q.</w:t>
      </w:r>
      <w:r w:rsidR="00A01731" w:rsidRPr="00255659">
        <w:rPr>
          <w:lang w:eastAsia="en-US"/>
        </w:rPr>
        <w:tab/>
        <w:t xml:space="preserve">Did </w:t>
      </w:r>
      <w:r w:rsidR="00E51C96" w:rsidRPr="00255659">
        <w:t>Mr.</w:t>
      </w:r>
      <w:r w:rsidR="00E51C96">
        <w:t> </w:t>
      </w:r>
      <w:r w:rsidR="00A01731" w:rsidRPr="00255659">
        <w:rPr>
          <w:lang w:eastAsia="en-US"/>
        </w:rPr>
        <w:t>Gorman present any evidence on PSE</w:t>
      </w:r>
      <w:r w:rsidR="00255659">
        <w:rPr>
          <w:lang w:eastAsia="en-US"/>
        </w:rPr>
        <w:t>’</w:t>
      </w:r>
      <w:r w:rsidR="00A01731" w:rsidRPr="00255659">
        <w:rPr>
          <w:lang w:eastAsia="en-US"/>
        </w:rPr>
        <w:t xml:space="preserve">s </w:t>
      </w:r>
      <w:r w:rsidR="004B701F">
        <w:rPr>
          <w:lang w:eastAsia="en-US"/>
        </w:rPr>
        <w:t>return on equity on behalf of ICNU</w:t>
      </w:r>
      <w:r w:rsidRPr="00255659">
        <w:rPr>
          <w:lang w:eastAsia="en-US"/>
        </w:rPr>
        <w:t>?</w:t>
      </w:r>
    </w:p>
    <w:p w:rsidR="007852E7" w:rsidRPr="00255659" w:rsidRDefault="007852E7" w:rsidP="00540A76">
      <w:pPr>
        <w:pStyle w:val="answer"/>
        <w:rPr>
          <w:rFonts w:eastAsia="SimSun"/>
        </w:rPr>
      </w:pPr>
      <w:r w:rsidRPr="00255659">
        <w:rPr>
          <w:szCs w:val="24"/>
          <w:lang w:eastAsia="en-US"/>
        </w:rPr>
        <w:t>A.</w:t>
      </w:r>
      <w:r w:rsidR="00A01731" w:rsidRPr="00255659">
        <w:rPr>
          <w:szCs w:val="24"/>
          <w:lang w:eastAsia="en-US"/>
        </w:rPr>
        <w:tab/>
        <w:t xml:space="preserve">No. </w:t>
      </w:r>
      <w:r w:rsidRPr="00255659">
        <w:rPr>
          <w:szCs w:val="24"/>
          <w:lang w:eastAsia="en-US"/>
        </w:rPr>
        <w:t xml:space="preserve">Contrary to his practice in past PSE proceedings, </w:t>
      </w:r>
      <w:r w:rsidR="00E51C96" w:rsidRPr="00255659">
        <w:rPr>
          <w:rFonts w:eastAsia="SimSun"/>
        </w:rPr>
        <w:t>Mr.</w:t>
      </w:r>
      <w:r w:rsidR="00E51C96">
        <w:rPr>
          <w:rFonts w:eastAsia="SimSun"/>
        </w:rPr>
        <w:t> </w:t>
      </w:r>
      <w:r w:rsidRPr="00255659">
        <w:rPr>
          <w:szCs w:val="24"/>
          <w:lang w:eastAsia="en-US"/>
        </w:rPr>
        <w:t xml:space="preserve">Gorman did not perform any </w:t>
      </w:r>
      <w:r w:rsidR="004B701F">
        <w:rPr>
          <w:szCs w:val="24"/>
          <w:lang w:eastAsia="en-US"/>
        </w:rPr>
        <w:t xml:space="preserve">return on equity </w:t>
      </w:r>
      <w:r w:rsidRPr="00255659">
        <w:rPr>
          <w:szCs w:val="24"/>
          <w:lang w:eastAsia="en-US"/>
        </w:rPr>
        <w:t>analys</w:t>
      </w:r>
      <w:r w:rsidR="004B701F">
        <w:rPr>
          <w:szCs w:val="24"/>
          <w:lang w:eastAsia="en-US"/>
        </w:rPr>
        <w:t>e</w:t>
      </w:r>
      <w:r w:rsidRPr="00255659">
        <w:rPr>
          <w:szCs w:val="24"/>
          <w:lang w:eastAsia="en-US"/>
        </w:rPr>
        <w:t>s</w:t>
      </w:r>
      <w:r w:rsidR="004B701F">
        <w:rPr>
          <w:szCs w:val="24"/>
          <w:lang w:eastAsia="en-US"/>
        </w:rPr>
        <w:t xml:space="preserve"> in this proceeding and </w:t>
      </w:r>
      <w:r w:rsidRPr="00255659">
        <w:rPr>
          <w:szCs w:val="24"/>
          <w:lang w:eastAsia="en-US"/>
        </w:rPr>
        <w:t>limit</w:t>
      </w:r>
      <w:r w:rsidR="004B701F">
        <w:rPr>
          <w:szCs w:val="24"/>
          <w:lang w:eastAsia="en-US"/>
        </w:rPr>
        <w:t>ed</w:t>
      </w:r>
      <w:r w:rsidRPr="00255659">
        <w:rPr>
          <w:szCs w:val="24"/>
          <w:lang w:eastAsia="en-US"/>
        </w:rPr>
        <w:t xml:space="preserve"> his testimony to </w:t>
      </w:r>
      <w:r w:rsidR="00431BED">
        <w:rPr>
          <w:szCs w:val="24"/>
          <w:lang w:eastAsia="en-US"/>
        </w:rPr>
        <w:t xml:space="preserve">criticisms of </w:t>
      </w:r>
      <w:r w:rsidR="00A01731" w:rsidRPr="00255659">
        <w:rPr>
          <w:szCs w:val="24"/>
          <w:lang w:eastAsia="en-US"/>
        </w:rPr>
        <w:t xml:space="preserve">my </w:t>
      </w:r>
      <w:r w:rsidR="00431BED">
        <w:rPr>
          <w:szCs w:val="24"/>
          <w:lang w:eastAsia="en-US"/>
        </w:rPr>
        <w:t>direct testimony</w:t>
      </w:r>
      <w:r w:rsidR="00A01731" w:rsidRPr="00255659">
        <w:rPr>
          <w:szCs w:val="24"/>
          <w:lang w:eastAsia="en-US"/>
        </w:rPr>
        <w:t xml:space="preserve">. </w:t>
      </w:r>
      <w:r w:rsidR="00431BED">
        <w:rPr>
          <w:szCs w:val="24"/>
          <w:lang w:eastAsia="en-US"/>
        </w:rPr>
        <w:t xml:space="preserve">Therefore, this section of rebuttal testimony is similarly limited and responds to </w:t>
      </w:r>
      <w:r w:rsidR="00E51C96" w:rsidRPr="00255659">
        <w:rPr>
          <w:rFonts w:eastAsia="SimSun"/>
        </w:rPr>
        <w:t>Mr.</w:t>
      </w:r>
      <w:r w:rsidR="00E51C96">
        <w:rPr>
          <w:rFonts w:eastAsia="SimSun"/>
        </w:rPr>
        <w:t> </w:t>
      </w:r>
      <w:r w:rsidRPr="00255659">
        <w:rPr>
          <w:szCs w:val="24"/>
          <w:lang w:eastAsia="en-US"/>
        </w:rPr>
        <w:t>Gorman</w:t>
      </w:r>
      <w:r w:rsidR="00255659">
        <w:rPr>
          <w:szCs w:val="24"/>
          <w:lang w:eastAsia="en-US"/>
        </w:rPr>
        <w:t>’</w:t>
      </w:r>
      <w:r w:rsidRPr="00255659">
        <w:rPr>
          <w:szCs w:val="24"/>
          <w:lang w:eastAsia="en-US"/>
        </w:rPr>
        <w:t xml:space="preserve">s unfounded comments </w:t>
      </w:r>
      <w:r w:rsidR="00431BED">
        <w:rPr>
          <w:szCs w:val="24"/>
          <w:lang w:eastAsia="en-US"/>
        </w:rPr>
        <w:t xml:space="preserve">regarding </w:t>
      </w:r>
      <w:r w:rsidRPr="00255659">
        <w:rPr>
          <w:szCs w:val="24"/>
          <w:lang w:eastAsia="en-US"/>
        </w:rPr>
        <w:t xml:space="preserve">my </w:t>
      </w:r>
      <w:r w:rsidR="00431BED">
        <w:rPr>
          <w:szCs w:val="24"/>
          <w:lang w:eastAsia="en-US"/>
        </w:rPr>
        <w:t xml:space="preserve">direct </w:t>
      </w:r>
      <w:r w:rsidRPr="00255659">
        <w:rPr>
          <w:szCs w:val="24"/>
          <w:lang w:eastAsia="en-US"/>
        </w:rPr>
        <w:t>testimony.</w:t>
      </w:r>
    </w:p>
    <w:p w:rsidR="007852E7" w:rsidRPr="00255659" w:rsidRDefault="00A01731" w:rsidP="00540A76">
      <w:pPr>
        <w:pStyle w:val="Heading2"/>
        <w:rPr>
          <w:lang w:eastAsia="en-US"/>
        </w:rPr>
      </w:pPr>
      <w:bookmarkStart w:id="75" w:name="_Toc489887897"/>
      <w:r w:rsidRPr="00255659">
        <w:rPr>
          <w:lang w:eastAsia="en-US"/>
        </w:rPr>
        <w:lastRenderedPageBreak/>
        <w:t>A.</w:t>
      </w:r>
      <w:r w:rsidRPr="00255659">
        <w:rPr>
          <w:lang w:eastAsia="en-US"/>
        </w:rPr>
        <w:tab/>
      </w:r>
      <w:r w:rsidR="00431BED" w:rsidRPr="00255659">
        <w:t>Mr.</w:t>
      </w:r>
      <w:r w:rsidR="00431BED">
        <w:t> </w:t>
      </w:r>
      <w:r w:rsidR="00431BED" w:rsidRPr="00255659">
        <w:rPr>
          <w:szCs w:val="24"/>
        </w:rPr>
        <w:t>Gorman</w:t>
      </w:r>
      <w:r w:rsidR="00431BED">
        <w:rPr>
          <w:szCs w:val="24"/>
        </w:rPr>
        <w:t>’s</w:t>
      </w:r>
      <w:r w:rsidR="00431BED" w:rsidRPr="00255659">
        <w:rPr>
          <w:szCs w:val="24"/>
        </w:rPr>
        <w:t xml:space="preserve"> </w:t>
      </w:r>
      <w:r w:rsidR="00431BED">
        <w:rPr>
          <w:szCs w:val="24"/>
        </w:rPr>
        <w:t xml:space="preserve">Argument </w:t>
      </w:r>
      <w:r w:rsidR="00431BED" w:rsidRPr="00255659">
        <w:rPr>
          <w:szCs w:val="24"/>
        </w:rPr>
        <w:t xml:space="preserve">that </w:t>
      </w:r>
      <w:r w:rsidR="00431BED">
        <w:rPr>
          <w:szCs w:val="24"/>
        </w:rPr>
        <w:t>It is Unreasonable to U</w:t>
      </w:r>
      <w:r w:rsidR="00431BED" w:rsidRPr="00431BED">
        <w:rPr>
          <w:szCs w:val="24"/>
        </w:rPr>
        <w:t xml:space="preserve">se Value Line </w:t>
      </w:r>
      <w:r w:rsidR="00431BED">
        <w:rPr>
          <w:szCs w:val="24"/>
        </w:rPr>
        <w:t>G</w:t>
      </w:r>
      <w:r w:rsidR="00431BED" w:rsidRPr="00431BED">
        <w:rPr>
          <w:szCs w:val="24"/>
        </w:rPr>
        <w:t xml:space="preserve">rowth </w:t>
      </w:r>
      <w:r w:rsidR="00431BED">
        <w:rPr>
          <w:szCs w:val="24"/>
        </w:rPr>
        <w:t>R</w:t>
      </w:r>
      <w:r w:rsidR="00431BED" w:rsidRPr="00431BED">
        <w:rPr>
          <w:szCs w:val="24"/>
        </w:rPr>
        <w:t xml:space="preserve">ates in </w:t>
      </w:r>
      <w:r w:rsidR="00431BED">
        <w:rPr>
          <w:szCs w:val="24"/>
        </w:rPr>
        <w:t xml:space="preserve">a </w:t>
      </w:r>
      <w:r w:rsidR="00431BED" w:rsidRPr="00431BED">
        <w:rPr>
          <w:szCs w:val="24"/>
        </w:rPr>
        <w:t xml:space="preserve">DCF </w:t>
      </w:r>
      <w:r w:rsidR="00431BED">
        <w:rPr>
          <w:szCs w:val="24"/>
        </w:rPr>
        <w:t>A</w:t>
      </w:r>
      <w:r w:rsidR="00431BED" w:rsidRPr="00431BED">
        <w:rPr>
          <w:szCs w:val="24"/>
        </w:rPr>
        <w:t>naly</w:t>
      </w:r>
      <w:r w:rsidR="00431BED">
        <w:rPr>
          <w:szCs w:val="24"/>
        </w:rPr>
        <w:t>sis</w:t>
      </w:r>
      <w:r w:rsidR="00431BED">
        <w:rPr>
          <w:rStyle w:val="FootnoteReference"/>
          <w:szCs w:val="24"/>
        </w:rPr>
        <w:t xml:space="preserve"> </w:t>
      </w:r>
      <w:r w:rsidR="00431BED" w:rsidRPr="00431BED">
        <w:rPr>
          <w:szCs w:val="24"/>
        </w:rPr>
        <w:t xml:space="preserve">is </w:t>
      </w:r>
      <w:r w:rsidR="00431BED">
        <w:rPr>
          <w:szCs w:val="24"/>
        </w:rPr>
        <w:t>Both Astonishing and Incorrect</w:t>
      </w:r>
      <w:bookmarkEnd w:id="75"/>
    </w:p>
    <w:p w:rsidR="007852E7" w:rsidRPr="00255659" w:rsidRDefault="007852E7" w:rsidP="00540A76">
      <w:pPr>
        <w:pStyle w:val="question"/>
      </w:pPr>
      <w:r w:rsidRPr="00255659">
        <w:rPr>
          <w:lang w:eastAsia="en-US"/>
        </w:rPr>
        <w:t>Q.</w:t>
      </w:r>
      <w:r w:rsidR="00A01731" w:rsidRPr="00255659">
        <w:rPr>
          <w:lang w:eastAsia="en-US"/>
        </w:rPr>
        <w:tab/>
      </w:r>
      <w:r w:rsidR="00431BED">
        <w:rPr>
          <w:lang w:eastAsia="en-US"/>
        </w:rPr>
        <w:t xml:space="preserve">Is Mr. Gorman correct </w:t>
      </w:r>
      <w:r w:rsidR="00431BED" w:rsidRPr="00255659">
        <w:rPr>
          <w:szCs w:val="24"/>
        </w:rPr>
        <w:t>that Value Line growth forecasts should not be used in a DCF analysis</w:t>
      </w:r>
      <w:r w:rsidR="00431BED">
        <w:rPr>
          <w:lang w:eastAsia="en-US"/>
        </w:rPr>
        <w:t>?</w:t>
      </w:r>
    </w:p>
    <w:p w:rsidR="002B078A" w:rsidRDefault="007852E7" w:rsidP="00540A76">
      <w:pPr>
        <w:pStyle w:val="answer"/>
        <w:rPr>
          <w:szCs w:val="24"/>
        </w:rPr>
      </w:pPr>
      <w:r w:rsidRPr="00255659">
        <w:rPr>
          <w:szCs w:val="24"/>
        </w:rPr>
        <w:t>A.</w:t>
      </w:r>
      <w:r w:rsidR="000A6D33" w:rsidRPr="00255659">
        <w:rPr>
          <w:szCs w:val="24"/>
        </w:rPr>
        <w:tab/>
      </w:r>
      <w:r w:rsidR="00431BED">
        <w:rPr>
          <w:szCs w:val="24"/>
        </w:rPr>
        <w:t xml:space="preserve">No. </w:t>
      </w:r>
      <w:r w:rsidR="00E51C96" w:rsidRPr="00255659">
        <w:rPr>
          <w:rFonts w:eastAsia="SimSun"/>
        </w:rPr>
        <w:t>Mr.</w:t>
      </w:r>
      <w:r w:rsidR="00E51C96">
        <w:rPr>
          <w:rFonts w:eastAsia="SimSun"/>
        </w:rPr>
        <w:t> </w:t>
      </w:r>
      <w:r w:rsidRPr="00255659">
        <w:rPr>
          <w:szCs w:val="24"/>
        </w:rPr>
        <w:t>Gorman</w:t>
      </w:r>
      <w:r w:rsidR="00431BED">
        <w:rPr>
          <w:szCs w:val="24"/>
        </w:rPr>
        <w:t>’s</w:t>
      </w:r>
      <w:r w:rsidRPr="00255659">
        <w:rPr>
          <w:szCs w:val="24"/>
        </w:rPr>
        <w:t xml:space="preserve"> </w:t>
      </w:r>
      <w:r w:rsidR="00431BED">
        <w:rPr>
          <w:szCs w:val="24"/>
        </w:rPr>
        <w:t xml:space="preserve">argument </w:t>
      </w:r>
      <w:r w:rsidRPr="00255659">
        <w:rPr>
          <w:szCs w:val="24"/>
        </w:rPr>
        <w:t xml:space="preserve">that </w:t>
      </w:r>
      <w:r w:rsidR="00431BED">
        <w:rPr>
          <w:szCs w:val="24"/>
        </w:rPr>
        <w:t xml:space="preserve">it is unreasonable to </w:t>
      </w:r>
      <w:r w:rsidR="00431BED" w:rsidRPr="00431BED">
        <w:rPr>
          <w:szCs w:val="24"/>
        </w:rPr>
        <w:t xml:space="preserve">use Value Line growth rates in </w:t>
      </w:r>
      <w:r w:rsidR="00431BED">
        <w:rPr>
          <w:szCs w:val="24"/>
        </w:rPr>
        <w:t xml:space="preserve">a </w:t>
      </w:r>
      <w:r w:rsidR="00431BED" w:rsidRPr="00431BED">
        <w:rPr>
          <w:szCs w:val="24"/>
        </w:rPr>
        <w:t>DCF analy</w:t>
      </w:r>
      <w:r w:rsidR="00431BED">
        <w:rPr>
          <w:szCs w:val="24"/>
        </w:rPr>
        <w:t>sis</w:t>
      </w:r>
      <w:r w:rsidR="00431BED">
        <w:rPr>
          <w:rStyle w:val="FootnoteReference"/>
          <w:szCs w:val="24"/>
        </w:rPr>
        <w:footnoteReference w:id="91"/>
      </w:r>
      <w:r w:rsidR="00431BED" w:rsidRPr="00431BED">
        <w:rPr>
          <w:szCs w:val="24"/>
        </w:rPr>
        <w:t xml:space="preserve"> is </w:t>
      </w:r>
      <w:r w:rsidR="00431BED">
        <w:rPr>
          <w:szCs w:val="24"/>
        </w:rPr>
        <w:t xml:space="preserve">both astonishing and incorrect. </w:t>
      </w:r>
      <w:r w:rsidRPr="00255659">
        <w:rPr>
          <w:szCs w:val="24"/>
        </w:rPr>
        <w:t>Value Line is one of the most widely-known and widely disseminated investment information service used by investors</w:t>
      </w:r>
      <w:r w:rsidR="002B078A">
        <w:rPr>
          <w:szCs w:val="24"/>
        </w:rPr>
        <w:t xml:space="preserve">. </w:t>
      </w:r>
      <w:r w:rsidR="002B078A" w:rsidRPr="00255659">
        <w:rPr>
          <w:szCs w:val="24"/>
        </w:rPr>
        <w:t xml:space="preserve">Value Line </w:t>
      </w:r>
      <w:r w:rsidR="002B078A">
        <w:rPr>
          <w:szCs w:val="24"/>
        </w:rPr>
        <w:t>data appear</w:t>
      </w:r>
      <w:r w:rsidRPr="00255659">
        <w:rPr>
          <w:szCs w:val="24"/>
        </w:rPr>
        <w:t xml:space="preserve"> in virtually all the rate cases in which I have participated over the years, and </w:t>
      </w:r>
      <w:r w:rsidR="002B078A">
        <w:rPr>
          <w:szCs w:val="24"/>
        </w:rPr>
        <w:t xml:space="preserve">are </w:t>
      </w:r>
      <w:r w:rsidRPr="00255659">
        <w:rPr>
          <w:szCs w:val="24"/>
        </w:rPr>
        <w:t xml:space="preserve">relied upon by most rate of return witnesses, including </w:t>
      </w:r>
      <w:r w:rsidR="00516646">
        <w:rPr>
          <w:szCs w:val="24"/>
        </w:rPr>
        <w:t>C</w:t>
      </w:r>
      <w:r w:rsidRPr="00255659">
        <w:rPr>
          <w:szCs w:val="24"/>
        </w:rPr>
        <w:t xml:space="preserve">ommission </w:t>
      </w:r>
      <w:r w:rsidR="00516646">
        <w:rPr>
          <w:szCs w:val="24"/>
        </w:rPr>
        <w:t>S</w:t>
      </w:r>
      <w:r w:rsidRPr="00255659">
        <w:rPr>
          <w:szCs w:val="24"/>
        </w:rPr>
        <w:t>taff witnesses.</w:t>
      </w:r>
    </w:p>
    <w:p w:rsidR="007852E7" w:rsidRPr="00431BED" w:rsidRDefault="007852E7" w:rsidP="002B078A">
      <w:pPr>
        <w:pStyle w:val="answer"/>
        <w:ind w:firstLine="0"/>
        <w:rPr>
          <w:szCs w:val="24"/>
        </w:rPr>
      </w:pPr>
      <w:r w:rsidRPr="00255659">
        <w:rPr>
          <w:szCs w:val="24"/>
        </w:rPr>
        <w:t xml:space="preserve">Moreover, </w:t>
      </w:r>
      <w:r w:rsidR="00E51C96" w:rsidRPr="00255659">
        <w:rPr>
          <w:rFonts w:eastAsia="SimSun"/>
        </w:rPr>
        <w:t>Mr.</w:t>
      </w:r>
      <w:r w:rsidR="00E51C96">
        <w:rPr>
          <w:rFonts w:eastAsia="SimSun"/>
        </w:rPr>
        <w:t> </w:t>
      </w:r>
      <w:r w:rsidRPr="00255659">
        <w:rPr>
          <w:szCs w:val="24"/>
        </w:rPr>
        <w:t>Gorman himself has consistently relied on Value Line growth projections in past cases.</w:t>
      </w:r>
      <w:r w:rsidR="006B5168">
        <w:rPr>
          <w:szCs w:val="24"/>
        </w:rPr>
        <w:t xml:space="preserve"> </w:t>
      </w:r>
      <w:r w:rsidRPr="00255659">
        <w:rPr>
          <w:szCs w:val="24"/>
        </w:rPr>
        <w:t>For example, in a recent case in the S</w:t>
      </w:r>
      <w:r w:rsidR="002B078A">
        <w:rPr>
          <w:szCs w:val="24"/>
        </w:rPr>
        <w:t>tate of Missouri (Case No</w:t>
      </w:r>
      <w:r w:rsidRPr="00255659">
        <w:rPr>
          <w:szCs w:val="24"/>
        </w:rPr>
        <w:t>. WR-2015-0301)</w:t>
      </w:r>
      <w:r w:rsidR="002B078A">
        <w:rPr>
          <w:szCs w:val="24"/>
        </w:rPr>
        <w:t>,</w:t>
      </w:r>
      <w:r w:rsidRPr="00255659">
        <w:rPr>
          <w:szCs w:val="24"/>
        </w:rPr>
        <w:t xml:space="preserve"> </w:t>
      </w:r>
      <w:r w:rsidR="00E51C96" w:rsidRPr="00255659">
        <w:rPr>
          <w:rFonts w:eastAsia="SimSun"/>
        </w:rPr>
        <w:t>Mr.</w:t>
      </w:r>
      <w:r w:rsidR="00E51C96">
        <w:rPr>
          <w:rFonts w:eastAsia="SimSun"/>
        </w:rPr>
        <w:t> </w:t>
      </w:r>
      <w:r w:rsidRPr="00255659">
        <w:rPr>
          <w:szCs w:val="24"/>
        </w:rPr>
        <w:t xml:space="preserve">Gorman filed rate of return testimony and states </w:t>
      </w:r>
      <w:r w:rsidR="00C70F80">
        <w:rPr>
          <w:szCs w:val="24"/>
        </w:rPr>
        <w:t xml:space="preserve">as following in </w:t>
      </w:r>
      <w:r w:rsidRPr="00255659">
        <w:rPr>
          <w:szCs w:val="24"/>
        </w:rPr>
        <w:t>explaining his DCF analyses</w:t>
      </w:r>
      <w:r w:rsidR="00C70F80" w:rsidRPr="00C70F80">
        <w:rPr>
          <w:szCs w:val="24"/>
        </w:rPr>
        <w:t xml:space="preserve"> </w:t>
      </w:r>
      <w:r w:rsidR="00C70F80" w:rsidRPr="00255659">
        <w:rPr>
          <w:szCs w:val="24"/>
        </w:rPr>
        <w:t>on page 34 lines 8-11</w:t>
      </w:r>
      <w:r w:rsidRPr="00255659">
        <w:rPr>
          <w:szCs w:val="24"/>
        </w:rPr>
        <w:t>:</w:t>
      </w:r>
    </w:p>
    <w:p w:rsidR="007852E7" w:rsidRPr="00255659" w:rsidRDefault="007852E7" w:rsidP="00540A76">
      <w:pPr>
        <w:pStyle w:val="BlockQuote"/>
        <w:rPr>
          <w:i w:val="0"/>
        </w:rPr>
      </w:pPr>
      <w:r w:rsidRPr="00255659">
        <w:rPr>
          <w:i w:val="0"/>
        </w:rPr>
        <w:t>The data used to estimate the long-term sustainable growth rate is based on the Company</w:t>
      </w:r>
      <w:r w:rsidR="00255659">
        <w:rPr>
          <w:i w:val="0"/>
        </w:rPr>
        <w:t>’</w:t>
      </w:r>
      <w:r w:rsidRPr="00255659">
        <w:rPr>
          <w:i w:val="0"/>
        </w:rPr>
        <w:t xml:space="preserve">s current market-to-book ratio and on </w:t>
      </w:r>
      <w:r w:rsidRPr="00255659">
        <w:t>Value Line</w:t>
      </w:r>
      <w:r w:rsidR="00255659">
        <w:t>’</w:t>
      </w:r>
      <w:r w:rsidRPr="00255659">
        <w:t>s three- to five-year projections of earnings, dividends,</w:t>
      </w:r>
      <w:r w:rsidRPr="00255659">
        <w:rPr>
          <w:i w:val="0"/>
        </w:rPr>
        <w:t xml:space="preserve"> earned returns on bo</w:t>
      </w:r>
      <w:r w:rsidR="000A6D33" w:rsidRPr="00255659">
        <w:rPr>
          <w:i w:val="0"/>
        </w:rPr>
        <w:t>ok equity, and stock issuances.</w:t>
      </w:r>
    </w:p>
    <w:p w:rsidR="007852E7" w:rsidRPr="00255659" w:rsidRDefault="007852E7" w:rsidP="00540A76">
      <w:pPr>
        <w:pStyle w:val="answer"/>
        <w:ind w:firstLine="0"/>
        <w:rPr>
          <w:rFonts w:eastAsia="SimSun"/>
        </w:rPr>
      </w:pPr>
      <w:r w:rsidRPr="00255659">
        <w:rPr>
          <w:szCs w:val="24"/>
        </w:rPr>
        <w:t>The same statement appears on page</w:t>
      </w:r>
      <w:r w:rsidR="00C70F80">
        <w:rPr>
          <w:szCs w:val="24"/>
        </w:rPr>
        <w:t> </w:t>
      </w:r>
      <w:r w:rsidRPr="00255659">
        <w:rPr>
          <w:szCs w:val="24"/>
        </w:rPr>
        <w:t>28</w:t>
      </w:r>
      <w:r w:rsidR="00C70F80">
        <w:rPr>
          <w:szCs w:val="24"/>
        </w:rPr>
        <w:t xml:space="preserve">, </w:t>
      </w:r>
      <w:r w:rsidRPr="00255659">
        <w:rPr>
          <w:szCs w:val="24"/>
        </w:rPr>
        <w:t>lines</w:t>
      </w:r>
      <w:r w:rsidR="00C70F80">
        <w:rPr>
          <w:szCs w:val="24"/>
        </w:rPr>
        <w:t xml:space="preserve"> 4-6, of </w:t>
      </w:r>
      <w:r w:rsidR="00E51C96" w:rsidRPr="00255659">
        <w:rPr>
          <w:rFonts w:eastAsia="SimSun"/>
        </w:rPr>
        <w:t>Mr.</w:t>
      </w:r>
      <w:r w:rsidR="00E51C96">
        <w:rPr>
          <w:rFonts w:eastAsia="SimSun"/>
        </w:rPr>
        <w:t> </w:t>
      </w:r>
      <w:r w:rsidRPr="00255659">
        <w:rPr>
          <w:szCs w:val="24"/>
        </w:rPr>
        <w:t>Gorman</w:t>
      </w:r>
      <w:r w:rsidR="00255659">
        <w:rPr>
          <w:szCs w:val="24"/>
        </w:rPr>
        <w:t>’</w:t>
      </w:r>
      <w:r w:rsidRPr="00255659">
        <w:rPr>
          <w:szCs w:val="24"/>
        </w:rPr>
        <w:t xml:space="preserve">s 2014 </w:t>
      </w:r>
      <w:r w:rsidR="00C70F80">
        <w:rPr>
          <w:szCs w:val="24"/>
        </w:rPr>
        <w:t xml:space="preserve">return on equity </w:t>
      </w:r>
      <w:r w:rsidRPr="00255659">
        <w:rPr>
          <w:szCs w:val="24"/>
        </w:rPr>
        <w:t xml:space="preserve">testimony filed before this Commission in a Pacific Power </w:t>
      </w:r>
      <w:r w:rsidR="00C70F80">
        <w:rPr>
          <w:szCs w:val="24"/>
        </w:rPr>
        <w:t xml:space="preserve">and Light </w:t>
      </w:r>
      <w:r w:rsidRPr="00255659">
        <w:rPr>
          <w:szCs w:val="24"/>
        </w:rPr>
        <w:t>case in Docket No.</w:t>
      </w:r>
      <w:r w:rsidR="00C70F80">
        <w:rPr>
          <w:szCs w:val="24"/>
        </w:rPr>
        <w:t> </w:t>
      </w:r>
      <w:r w:rsidRPr="00255659">
        <w:rPr>
          <w:szCs w:val="24"/>
        </w:rPr>
        <w:t>UE-140762.</w:t>
      </w:r>
      <w:r w:rsidR="006B5168">
        <w:rPr>
          <w:szCs w:val="24"/>
        </w:rPr>
        <w:t xml:space="preserve"> </w:t>
      </w:r>
      <w:r w:rsidR="00C70F80">
        <w:rPr>
          <w:szCs w:val="24"/>
        </w:rPr>
        <w:t xml:space="preserve">I have no </w:t>
      </w:r>
      <w:r w:rsidRPr="00255659">
        <w:rPr>
          <w:szCs w:val="24"/>
        </w:rPr>
        <w:t xml:space="preserve">doubt </w:t>
      </w:r>
      <w:r w:rsidR="00C70F80">
        <w:rPr>
          <w:szCs w:val="24"/>
        </w:rPr>
        <w:t xml:space="preserve">that Mr. Gorman </w:t>
      </w:r>
      <w:r w:rsidRPr="00255659">
        <w:rPr>
          <w:szCs w:val="24"/>
        </w:rPr>
        <w:t xml:space="preserve">would have continued to rely on Value Line projections had he presented </w:t>
      </w:r>
      <w:r w:rsidR="00C70F80">
        <w:rPr>
          <w:szCs w:val="24"/>
        </w:rPr>
        <w:t xml:space="preserve">his own return on equity analyses </w:t>
      </w:r>
      <w:r w:rsidRPr="00255659">
        <w:rPr>
          <w:szCs w:val="24"/>
        </w:rPr>
        <w:t>in this proceeding.</w:t>
      </w:r>
    </w:p>
    <w:p w:rsidR="007852E7" w:rsidRPr="00255659" w:rsidRDefault="007852E7" w:rsidP="00540A76">
      <w:pPr>
        <w:pStyle w:val="question"/>
      </w:pPr>
      <w:r w:rsidRPr="00255659">
        <w:rPr>
          <w:lang w:eastAsia="en-US"/>
        </w:rPr>
        <w:lastRenderedPageBreak/>
        <w:t>Q.</w:t>
      </w:r>
      <w:r w:rsidR="00A01731" w:rsidRPr="00255659">
        <w:rPr>
          <w:lang w:eastAsia="en-US"/>
        </w:rPr>
        <w:tab/>
      </w:r>
      <w:r w:rsidR="000A6D33" w:rsidRPr="00255659">
        <w:rPr>
          <w:lang w:eastAsia="en-US"/>
        </w:rPr>
        <w:t xml:space="preserve">Please comment on </w:t>
      </w:r>
      <w:r w:rsidR="00E51C96" w:rsidRPr="00255659">
        <w:t>Mr.</w:t>
      </w:r>
      <w:r w:rsidR="00E51C96">
        <w:t> </w:t>
      </w:r>
      <w:r w:rsidR="000A6D33" w:rsidRPr="00255659">
        <w:rPr>
          <w:lang w:eastAsia="en-US"/>
        </w:rPr>
        <w:t>Gorman</w:t>
      </w:r>
      <w:r w:rsidR="00255659">
        <w:rPr>
          <w:lang w:eastAsia="en-US"/>
        </w:rPr>
        <w:t>’</w:t>
      </w:r>
      <w:r w:rsidR="000A6D33" w:rsidRPr="00255659">
        <w:rPr>
          <w:lang w:eastAsia="en-US"/>
        </w:rPr>
        <w:t xml:space="preserve">s criticism of your </w:t>
      </w:r>
      <w:r w:rsidRPr="00255659">
        <w:rPr>
          <w:lang w:eastAsia="en-US"/>
        </w:rPr>
        <w:t xml:space="preserve">DCF </w:t>
      </w:r>
      <w:r w:rsidR="000A6D33" w:rsidRPr="00255659">
        <w:rPr>
          <w:lang w:eastAsia="en-US"/>
        </w:rPr>
        <w:t>growth rates because they exceed the long-term growth of the macroeconomy</w:t>
      </w:r>
      <w:r w:rsidRPr="00255659">
        <w:rPr>
          <w:lang w:eastAsia="en-US"/>
        </w:rPr>
        <w:t>.</w:t>
      </w:r>
    </w:p>
    <w:p w:rsidR="000A6D33" w:rsidRPr="00F51E83" w:rsidRDefault="007852E7" w:rsidP="00540A76">
      <w:pPr>
        <w:pStyle w:val="answer"/>
        <w:rPr>
          <w:lang w:eastAsia="en-US"/>
        </w:rPr>
      </w:pPr>
      <w:r w:rsidRPr="00255659">
        <w:rPr>
          <w:szCs w:val="24"/>
          <w:lang w:eastAsia="en-US"/>
        </w:rPr>
        <w:t>A.</w:t>
      </w:r>
      <w:r w:rsidR="000A6D33" w:rsidRPr="00255659">
        <w:rPr>
          <w:szCs w:val="24"/>
          <w:lang w:eastAsia="en-US"/>
        </w:rPr>
        <w:tab/>
      </w:r>
      <w:r w:rsidR="00F51E83">
        <w:rPr>
          <w:szCs w:val="24"/>
          <w:lang w:eastAsia="en-US"/>
        </w:rPr>
        <w:t xml:space="preserve">First, </w:t>
      </w:r>
      <w:r w:rsidR="00E51C96" w:rsidRPr="00255659">
        <w:rPr>
          <w:rFonts w:eastAsia="SimSun"/>
        </w:rPr>
        <w:t>Mr.</w:t>
      </w:r>
      <w:r w:rsidR="00E51C96">
        <w:rPr>
          <w:rFonts w:eastAsia="SimSun"/>
        </w:rPr>
        <w:t> </w:t>
      </w:r>
      <w:r w:rsidRPr="00255659">
        <w:rPr>
          <w:szCs w:val="24"/>
          <w:lang w:eastAsia="en-US"/>
        </w:rPr>
        <w:t>Gorman states:</w:t>
      </w:r>
      <w:r w:rsidR="00255659">
        <w:rPr>
          <w:lang w:eastAsia="en-US"/>
        </w:rPr>
        <w:t>”</w:t>
      </w:r>
      <w:r w:rsidR="000A6D33" w:rsidRPr="00255659">
        <w:rPr>
          <w:lang w:eastAsia="en-US"/>
        </w:rPr>
        <w:t>[a]</w:t>
      </w:r>
      <w:r w:rsidRPr="00255659">
        <w:rPr>
          <w:iCs/>
          <w:szCs w:val="24"/>
          <w:lang w:eastAsia="en-US"/>
        </w:rPr>
        <w:t>s explained in detail earlier in my testimony, the GDP growth</w:t>
      </w:r>
      <w:r w:rsidR="00F51E83">
        <w:rPr>
          <w:iCs/>
          <w:szCs w:val="24"/>
          <w:lang w:eastAsia="en-US"/>
        </w:rPr>
        <w:t xml:space="preserve"> </w:t>
      </w:r>
      <w:r w:rsidR="00F51E83">
        <w:rPr>
          <w:lang w:eastAsia="en-US"/>
        </w:rPr>
        <w:t>rate can be used as a proxy for a long-term sustainable</w:t>
      </w:r>
      <w:r w:rsidR="00F51E83" w:rsidRPr="00F51E83">
        <w:rPr>
          <w:lang w:eastAsia="en-US"/>
        </w:rPr>
        <w:t xml:space="preserve"> </w:t>
      </w:r>
      <w:r w:rsidR="00F51E83">
        <w:rPr>
          <w:lang w:eastAsia="en-US"/>
        </w:rPr>
        <w:t>growth rate….</w:t>
      </w:r>
      <w:r w:rsidR="00255659">
        <w:rPr>
          <w:lang w:eastAsia="en-US"/>
        </w:rPr>
        <w:t>”</w:t>
      </w:r>
      <w:r w:rsidR="00F51E83">
        <w:rPr>
          <w:rStyle w:val="FootnoteReference"/>
          <w:lang w:eastAsia="en-US"/>
        </w:rPr>
        <w:footnoteReference w:id="92"/>
      </w:r>
      <w:r w:rsidR="00F51E83">
        <w:rPr>
          <w:lang w:eastAsia="en-US"/>
        </w:rPr>
        <w:t xml:space="preserve"> </w:t>
      </w:r>
      <w:r w:rsidRPr="00255659">
        <w:rPr>
          <w:szCs w:val="24"/>
          <w:lang w:eastAsia="en-US"/>
        </w:rPr>
        <w:t>I</w:t>
      </w:r>
      <w:r w:rsidR="00F51E83">
        <w:rPr>
          <w:szCs w:val="24"/>
          <w:lang w:eastAsia="en-US"/>
        </w:rPr>
        <w:t> </w:t>
      </w:r>
      <w:r w:rsidRPr="00255659">
        <w:rPr>
          <w:szCs w:val="24"/>
          <w:lang w:eastAsia="en-US"/>
        </w:rPr>
        <w:t>was unable to find this explanation and was confused by this statement</w:t>
      </w:r>
      <w:r w:rsidR="00F51E83">
        <w:rPr>
          <w:szCs w:val="24"/>
          <w:lang w:eastAsia="en-US"/>
        </w:rPr>
        <w:t xml:space="preserve"> because </w:t>
      </w:r>
      <w:r w:rsidR="00E51C96" w:rsidRPr="00255659">
        <w:rPr>
          <w:rFonts w:eastAsia="SimSun"/>
        </w:rPr>
        <w:t>Mr.</w:t>
      </w:r>
      <w:r w:rsidR="00E51C96">
        <w:rPr>
          <w:rFonts w:eastAsia="SimSun"/>
        </w:rPr>
        <w:t> </w:t>
      </w:r>
      <w:r w:rsidRPr="00255659">
        <w:rPr>
          <w:szCs w:val="24"/>
          <w:lang w:eastAsia="en-US"/>
        </w:rPr>
        <w:t xml:space="preserve">Gorman did not present any </w:t>
      </w:r>
      <w:r w:rsidR="00F51E83">
        <w:rPr>
          <w:szCs w:val="24"/>
          <w:lang w:eastAsia="en-US"/>
        </w:rPr>
        <w:t xml:space="preserve">return on equity </w:t>
      </w:r>
      <w:r w:rsidRPr="00255659">
        <w:rPr>
          <w:szCs w:val="24"/>
          <w:lang w:eastAsia="en-US"/>
        </w:rPr>
        <w:t>evidence in this proceeding.</w:t>
      </w:r>
    </w:p>
    <w:p w:rsidR="000A6D33" w:rsidRPr="00255659" w:rsidRDefault="00E51C96" w:rsidP="00540A76">
      <w:pPr>
        <w:pStyle w:val="answer"/>
        <w:ind w:firstLine="0"/>
        <w:rPr>
          <w:szCs w:val="24"/>
          <w:lang w:eastAsia="en-US"/>
        </w:rPr>
      </w:pPr>
      <w:r w:rsidRPr="00255659">
        <w:rPr>
          <w:rFonts w:eastAsia="SimSun"/>
        </w:rPr>
        <w:t>Mr.</w:t>
      </w:r>
      <w:r>
        <w:rPr>
          <w:rFonts w:eastAsia="SimSun"/>
        </w:rPr>
        <w:t> </w:t>
      </w:r>
      <w:r w:rsidR="007852E7" w:rsidRPr="00255659">
        <w:rPr>
          <w:szCs w:val="24"/>
          <w:lang w:eastAsia="en-US"/>
        </w:rPr>
        <w:t>Gorman criticizes my use of analysts</w:t>
      </w:r>
      <w:r w:rsidR="00255659">
        <w:rPr>
          <w:szCs w:val="24"/>
          <w:lang w:eastAsia="en-US"/>
        </w:rPr>
        <w:t>’</w:t>
      </w:r>
      <w:r w:rsidR="007852E7" w:rsidRPr="00255659">
        <w:rPr>
          <w:szCs w:val="24"/>
          <w:lang w:eastAsia="en-US"/>
        </w:rPr>
        <w:t xml:space="preserve"> growth rates on the grounds that they exceed the long-term sustainable growth rate of the economy.</w:t>
      </w:r>
      <w:r w:rsidR="00F51E83">
        <w:rPr>
          <w:rStyle w:val="FootnoteReference"/>
          <w:szCs w:val="24"/>
          <w:lang w:eastAsia="en-US"/>
        </w:rPr>
        <w:footnoteReference w:id="93"/>
      </w:r>
      <w:r w:rsidR="007852E7" w:rsidRPr="00255659">
        <w:rPr>
          <w:szCs w:val="24"/>
          <w:lang w:eastAsia="en-US"/>
        </w:rPr>
        <w:t xml:space="preserve"> </w:t>
      </w:r>
      <w:r w:rsidRPr="00255659">
        <w:rPr>
          <w:rFonts w:eastAsia="SimSun"/>
        </w:rPr>
        <w:t>Mr.</w:t>
      </w:r>
      <w:r>
        <w:rPr>
          <w:rFonts w:eastAsia="SimSun"/>
        </w:rPr>
        <w:t> </w:t>
      </w:r>
      <w:r w:rsidR="007852E7" w:rsidRPr="00255659">
        <w:rPr>
          <w:szCs w:val="24"/>
          <w:lang w:eastAsia="en-US"/>
        </w:rPr>
        <w:t>Gorman contends that projected growth in Gross Domestic Product (GDP) constitutes a high-end, sustainable growth rate for a utility over an indefinite period of time.</w:t>
      </w:r>
      <w:r w:rsidR="006B5168">
        <w:rPr>
          <w:szCs w:val="24"/>
          <w:lang w:eastAsia="en-US"/>
        </w:rPr>
        <w:t xml:space="preserve"> </w:t>
      </w:r>
      <w:r w:rsidR="007852E7" w:rsidRPr="00255659">
        <w:rPr>
          <w:szCs w:val="24"/>
          <w:lang w:eastAsia="en-US"/>
        </w:rPr>
        <w:t xml:space="preserve">However, </w:t>
      </w:r>
      <w:r w:rsidRPr="00255659">
        <w:rPr>
          <w:rFonts w:eastAsia="SimSun"/>
        </w:rPr>
        <w:t>Mr.</w:t>
      </w:r>
      <w:r>
        <w:rPr>
          <w:rFonts w:eastAsia="SimSun"/>
        </w:rPr>
        <w:t> </w:t>
      </w:r>
      <w:r w:rsidR="007852E7" w:rsidRPr="00255659">
        <w:rPr>
          <w:szCs w:val="24"/>
          <w:lang w:eastAsia="en-US"/>
        </w:rPr>
        <w:t>Gorman</w:t>
      </w:r>
      <w:r w:rsidR="00255659">
        <w:rPr>
          <w:szCs w:val="24"/>
          <w:lang w:eastAsia="en-US"/>
        </w:rPr>
        <w:t>’</w:t>
      </w:r>
      <w:r w:rsidR="007852E7" w:rsidRPr="00255659">
        <w:rPr>
          <w:szCs w:val="24"/>
          <w:lang w:eastAsia="en-US"/>
        </w:rPr>
        <w:t>s position is directly contradicted by his position in recent 2015 Missouri American Water Company testimony in Case No. WR-2015-0301</w:t>
      </w:r>
      <w:r w:rsidR="00F51E83">
        <w:rPr>
          <w:szCs w:val="24"/>
          <w:lang w:eastAsia="en-US"/>
        </w:rPr>
        <w:t xml:space="preserve">, in which Mr. Gorman states, at </w:t>
      </w:r>
      <w:r w:rsidR="007852E7" w:rsidRPr="00255659">
        <w:rPr>
          <w:szCs w:val="24"/>
          <w:lang w:eastAsia="en-US"/>
        </w:rPr>
        <w:t>page</w:t>
      </w:r>
      <w:r w:rsidR="00F51E83">
        <w:rPr>
          <w:szCs w:val="24"/>
          <w:lang w:eastAsia="en-US"/>
        </w:rPr>
        <w:t> </w:t>
      </w:r>
      <w:r w:rsidR="007852E7" w:rsidRPr="00255659">
        <w:rPr>
          <w:szCs w:val="24"/>
          <w:lang w:eastAsia="en-US"/>
        </w:rPr>
        <w:t>31, line</w:t>
      </w:r>
      <w:r w:rsidR="00F51E83">
        <w:rPr>
          <w:szCs w:val="24"/>
          <w:lang w:eastAsia="en-US"/>
        </w:rPr>
        <w:t>s </w:t>
      </w:r>
      <w:r w:rsidR="007852E7" w:rsidRPr="00255659">
        <w:rPr>
          <w:szCs w:val="24"/>
          <w:lang w:eastAsia="en-US"/>
        </w:rPr>
        <w:t>12-16</w:t>
      </w:r>
      <w:r w:rsidR="00F51E83">
        <w:rPr>
          <w:szCs w:val="24"/>
          <w:lang w:eastAsia="en-US"/>
        </w:rPr>
        <w:t>, as follows:</w:t>
      </w:r>
    </w:p>
    <w:p w:rsidR="000A6D33" w:rsidRPr="00255659" w:rsidRDefault="007852E7" w:rsidP="00540A76">
      <w:pPr>
        <w:pStyle w:val="BlockQuote"/>
        <w:rPr>
          <w:i w:val="0"/>
        </w:rPr>
      </w:pPr>
      <w:r w:rsidRPr="00255659">
        <w:rPr>
          <w:i w:val="0"/>
        </w:rPr>
        <w:t>As predictors of future returns, security analysts</w:t>
      </w:r>
      <w:r w:rsidR="00255659">
        <w:rPr>
          <w:i w:val="0"/>
        </w:rPr>
        <w:t>’</w:t>
      </w:r>
      <w:r w:rsidRPr="00255659">
        <w:rPr>
          <w:i w:val="0"/>
        </w:rPr>
        <w:t xml:space="preserve"> growth estimates have been shown to be more accurate than growth rates derived from historical data. That is, assuming the market generally makes rational investment decisions, analysts</w:t>
      </w:r>
      <w:r w:rsidR="00255659">
        <w:rPr>
          <w:i w:val="0"/>
        </w:rPr>
        <w:t>’</w:t>
      </w:r>
      <w:r w:rsidRPr="00255659">
        <w:rPr>
          <w:i w:val="0"/>
        </w:rPr>
        <w:t xml:space="preserve"> growth projections are more likely to influence investors</w:t>
      </w:r>
      <w:r w:rsidR="00255659">
        <w:rPr>
          <w:i w:val="0"/>
        </w:rPr>
        <w:t>’</w:t>
      </w:r>
      <w:r w:rsidRPr="00255659">
        <w:rPr>
          <w:i w:val="0"/>
        </w:rPr>
        <w:t xml:space="preserve"> decisions which are captured in observable stock prices than growth rates der</w:t>
      </w:r>
      <w:r w:rsidR="000A6D33" w:rsidRPr="00255659">
        <w:rPr>
          <w:i w:val="0"/>
        </w:rPr>
        <w:t>ived only from historical data.</w:t>
      </w:r>
    </w:p>
    <w:p w:rsidR="000A6D33" w:rsidRPr="00255659" w:rsidRDefault="00F51E83" w:rsidP="00540A76">
      <w:pPr>
        <w:pStyle w:val="answer"/>
        <w:ind w:firstLine="0"/>
        <w:rPr>
          <w:szCs w:val="24"/>
          <w:lang w:eastAsia="en-US"/>
        </w:rPr>
      </w:pPr>
      <w:r>
        <w:rPr>
          <w:color w:val="000000"/>
          <w:szCs w:val="24"/>
          <w:lang w:eastAsia="en-US"/>
        </w:rPr>
        <w:t xml:space="preserve">Further, </w:t>
      </w:r>
      <w:r w:rsidR="00E51C96" w:rsidRPr="00255659">
        <w:rPr>
          <w:rFonts w:eastAsia="SimSun"/>
        </w:rPr>
        <w:t>Mr.</w:t>
      </w:r>
      <w:r w:rsidR="00E51C96">
        <w:rPr>
          <w:rFonts w:eastAsia="SimSun"/>
        </w:rPr>
        <w:t> </w:t>
      </w:r>
      <w:r w:rsidR="007852E7" w:rsidRPr="00255659">
        <w:rPr>
          <w:color w:val="000000"/>
          <w:szCs w:val="24"/>
          <w:lang w:eastAsia="en-US"/>
        </w:rPr>
        <w:t xml:space="preserve">Gorman </w:t>
      </w:r>
      <w:r>
        <w:rPr>
          <w:color w:val="000000"/>
          <w:szCs w:val="24"/>
          <w:lang w:eastAsia="en-US"/>
        </w:rPr>
        <w:t xml:space="preserve">has not </w:t>
      </w:r>
      <w:r w:rsidR="007852E7" w:rsidRPr="00255659">
        <w:rPr>
          <w:color w:val="000000"/>
          <w:szCs w:val="24"/>
          <w:lang w:eastAsia="en-US"/>
        </w:rPr>
        <w:t xml:space="preserve">provided any empirical evidence that </w:t>
      </w:r>
      <w:r>
        <w:rPr>
          <w:color w:val="000000"/>
          <w:szCs w:val="24"/>
          <w:lang w:eastAsia="en-US"/>
        </w:rPr>
        <w:t xml:space="preserve">earnings per share </w:t>
      </w:r>
      <w:r w:rsidR="007852E7" w:rsidRPr="00255659">
        <w:rPr>
          <w:color w:val="000000"/>
          <w:szCs w:val="24"/>
          <w:lang w:eastAsia="en-US"/>
        </w:rPr>
        <w:t>would grow at the ave</w:t>
      </w:r>
      <w:r w:rsidR="007852E7" w:rsidRPr="00255659">
        <w:rPr>
          <w:color w:val="000000"/>
          <w:lang w:eastAsia="en-US"/>
        </w:rPr>
        <w:t xml:space="preserve">rage growth of the economy, or </w:t>
      </w:r>
      <w:r w:rsidR="007852E7" w:rsidRPr="00255659">
        <w:rPr>
          <w:color w:val="000000"/>
          <w:szCs w:val="24"/>
          <w:lang w:eastAsia="en-US"/>
        </w:rPr>
        <w:t xml:space="preserve">GDP growth, </w:t>
      </w:r>
      <w:r>
        <w:rPr>
          <w:color w:val="000000"/>
          <w:szCs w:val="24"/>
          <w:lang w:eastAsia="en-US"/>
        </w:rPr>
        <w:t xml:space="preserve">and </w:t>
      </w:r>
      <w:r w:rsidR="007852E7" w:rsidRPr="00255659">
        <w:rPr>
          <w:color w:val="000000"/>
          <w:szCs w:val="24"/>
          <w:lang w:eastAsia="en-US"/>
        </w:rPr>
        <w:t xml:space="preserve">I </w:t>
      </w:r>
      <w:r>
        <w:rPr>
          <w:color w:val="000000"/>
          <w:szCs w:val="24"/>
          <w:lang w:eastAsia="en-US"/>
        </w:rPr>
        <w:lastRenderedPageBreak/>
        <w:t xml:space="preserve">am un </w:t>
      </w:r>
      <w:r w:rsidR="007852E7" w:rsidRPr="00255659">
        <w:rPr>
          <w:color w:val="000000"/>
          <w:szCs w:val="24"/>
          <w:lang w:eastAsia="en-US"/>
        </w:rPr>
        <w:t xml:space="preserve">aware of any </w:t>
      </w:r>
      <w:r>
        <w:rPr>
          <w:color w:val="000000"/>
          <w:szCs w:val="24"/>
          <w:lang w:eastAsia="en-US"/>
        </w:rPr>
        <w:t>financial literature that would support such an assertion</w:t>
      </w:r>
      <w:r w:rsidR="007852E7" w:rsidRPr="00255659">
        <w:rPr>
          <w:color w:val="000000"/>
          <w:szCs w:val="24"/>
          <w:lang w:eastAsia="en-US"/>
        </w:rPr>
        <w:t>.</w:t>
      </w:r>
      <w:r w:rsidR="006B5168">
        <w:rPr>
          <w:color w:val="000000"/>
          <w:szCs w:val="24"/>
          <w:lang w:eastAsia="en-US"/>
        </w:rPr>
        <w:t xml:space="preserve"> </w:t>
      </w:r>
      <w:r w:rsidR="007852E7" w:rsidRPr="00255659">
        <w:rPr>
          <w:color w:val="000000"/>
          <w:lang w:eastAsia="en-US"/>
        </w:rPr>
        <w:t xml:space="preserve">To the best of my knowledge, there is no </w:t>
      </w:r>
      <w:r w:rsidR="007852E7" w:rsidRPr="00255659">
        <w:rPr>
          <w:szCs w:val="24"/>
          <w:lang w:eastAsia="en-US"/>
        </w:rPr>
        <w:t>empirical support for the notion that the earnings and dividends of utility companies, in general, or electric utilities, in particular, or indeed any specific company or industry, track GDP growth.</w:t>
      </w:r>
      <w:r w:rsidR="006B5168">
        <w:rPr>
          <w:szCs w:val="24"/>
          <w:lang w:eastAsia="en-US"/>
        </w:rPr>
        <w:t xml:space="preserve"> </w:t>
      </w:r>
      <w:r w:rsidR="007852E7" w:rsidRPr="00255659">
        <w:rPr>
          <w:szCs w:val="24"/>
          <w:lang w:eastAsia="en-US"/>
        </w:rPr>
        <w:t xml:space="preserve">Nor am I aware of any evidence </w:t>
      </w:r>
      <w:r w:rsidR="007852E7" w:rsidRPr="00255659">
        <w:rPr>
          <w:color w:val="000000"/>
          <w:szCs w:val="24"/>
          <w:lang w:eastAsia="en-US"/>
        </w:rPr>
        <w:t>that the investment community looks to GDP growth over the next century when evaluating utility investments.</w:t>
      </w:r>
      <w:r w:rsidR="006B5168">
        <w:rPr>
          <w:color w:val="000000"/>
          <w:szCs w:val="24"/>
          <w:lang w:eastAsia="en-US"/>
        </w:rPr>
        <w:t xml:space="preserve"> </w:t>
      </w:r>
      <w:r w:rsidR="007852E7" w:rsidRPr="00255659">
        <w:rPr>
          <w:color w:val="000000"/>
          <w:szCs w:val="24"/>
          <w:lang w:eastAsia="en-US"/>
        </w:rPr>
        <w:t xml:space="preserve">However, based upon the previously cited wealth of empirical and academic </w:t>
      </w:r>
      <w:r w:rsidR="007852E7" w:rsidRPr="00255659">
        <w:rPr>
          <w:color w:val="000000"/>
          <w:lang w:eastAsia="en-US"/>
        </w:rPr>
        <w:t>literature which supports the</w:t>
      </w:r>
      <w:r w:rsidR="007852E7" w:rsidRPr="00255659">
        <w:rPr>
          <w:color w:val="000000"/>
          <w:szCs w:val="24"/>
          <w:lang w:eastAsia="en-US"/>
        </w:rPr>
        <w:t xml:space="preserve"> superiority of analyst</w:t>
      </w:r>
      <w:r w:rsidR="00255659">
        <w:rPr>
          <w:color w:val="000000"/>
          <w:szCs w:val="24"/>
          <w:lang w:eastAsia="en-US"/>
        </w:rPr>
        <w:t>’</w:t>
      </w:r>
      <w:r w:rsidR="007852E7" w:rsidRPr="00255659">
        <w:rPr>
          <w:color w:val="000000"/>
          <w:szCs w:val="24"/>
          <w:lang w:eastAsia="en-US"/>
        </w:rPr>
        <w:t>s forecasts as measures of investor expectations</w:t>
      </w:r>
      <w:r w:rsidR="007852E7" w:rsidRPr="00255659">
        <w:rPr>
          <w:color w:val="000000"/>
          <w:lang w:eastAsia="en-US"/>
        </w:rPr>
        <w:t xml:space="preserve"> </w:t>
      </w:r>
      <w:r w:rsidR="007852E7" w:rsidRPr="00255659">
        <w:rPr>
          <w:color w:val="000000"/>
          <w:szCs w:val="24"/>
          <w:lang w:eastAsia="en-US"/>
        </w:rPr>
        <w:t>for the use of such forecasts in the DCF</w:t>
      </w:r>
      <w:r w:rsidR="007852E7" w:rsidRPr="00255659">
        <w:rPr>
          <w:color w:val="000000"/>
          <w:lang w:eastAsia="en-US"/>
        </w:rPr>
        <w:t xml:space="preserve"> model, current earnings growth </w:t>
      </w:r>
      <w:r w:rsidR="007852E7" w:rsidRPr="00255659">
        <w:rPr>
          <w:color w:val="000000"/>
          <w:szCs w:val="24"/>
          <w:lang w:eastAsia="en-US"/>
        </w:rPr>
        <w:t>forecasts ar</w:t>
      </w:r>
      <w:r w:rsidR="007852E7" w:rsidRPr="00255659">
        <w:rPr>
          <w:color w:val="000000"/>
          <w:lang w:eastAsia="en-US"/>
        </w:rPr>
        <w:t>e the appropriate</w:t>
      </w:r>
      <w:r w:rsidR="007852E7" w:rsidRPr="00255659">
        <w:rPr>
          <w:color w:val="000000"/>
          <w:szCs w:val="24"/>
          <w:lang w:eastAsia="en-US"/>
        </w:rPr>
        <w:t xml:space="preserve"> growth rates to us in a DCF analysis.</w:t>
      </w:r>
      <w:r w:rsidR="006B5168">
        <w:rPr>
          <w:color w:val="000000"/>
          <w:szCs w:val="24"/>
          <w:lang w:eastAsia="en-US"/>
        </w:rPr>
        <w:t xml:space="preserve"> </w:t>
      </w:r>
      <w:r w:rsidR="007852E7" w:rsidRPr="00255659">
        <w:rPr>
          <w:szCs w:val="24"/>
          <w:lang w:eastAsia="en-US"/>
        </w:rPr>
        <w:t>As discussed earlier in my rebuttal and in my direct testimony, there is considerable empirical evidence in the academic literature that support the superiority of analysts</w:t>
      </w:r>
      <w:r w:rsidR="00255659">
        <w:rPr>
          <w:szCs w:val="24"/>
          <w:lang w:eastAsia="en-US"/>
        </w:rPr>
        <w:t>’</w:t>
      </w:r>
      <w:r w:rsidR="007852E7" w:rsidRPr="00255659">
        <w:rPr>
          <w:szCs w:val="24"/>
          <w:lang w:eastAsia="en-US"/>
        </w:rPr>
        <w:t xml:space="preserve"> forecasts of </w:t>
      </w:r>
      <w:r w:rsidR="0014601B">
        <w:rPr>
          <w:szCs w:val="24"/>
          <w:lang w:eastAsia="en-US"/>
        </w:rPr>
        <w:t xml:space="preserve">earnings per share </w:t>
      </w:r>
      <w:r w:rsidR="007852E7" w:rsidRPr="00255659">
        <w:rPr>
          <w:szCs w:val="24"/>
          <w:lang w:eastAsia="en-US"/>
        </w:rPr>
        <w:t xml:space="preserve">as measures of investor expectations. Besides, </w:t>
      </w:r>
      <w:r w:rsidR="007852E7" w:rsidRPr="00255659">
        <w:rPr>
          <w:color w:val="000000"/>
          <w:szCs w:val="24"/>
          <w:lang w:eastAsia="en-US"/>
        </w:rPr>
        <w:t>to the extent that economic trends influence growth, they are already captured in analysts</w:t>
      </w:r>
      <w:r w:rsidR="00255659">
        <w:rPr>
          <w:color w:val="000000"/>
          <w:szCs w:val="24"/>
          <w:lang w:eastAsia="en-US"/>
        </w:rPr>
        <w:t>’</w:t>
      </w:r>
      <w:r w:rsidR="007852E7" w:rsidRPr="00255659">
        <w:rPr>
          <w:color w:val="000000"/>
          <w:szCs w:val="24"/>
          <w:lang w:eastAsia="en-US"/>
        </w:rPr>
        <w:t xml:space="preserve"> growth estimates for electric utilities.</w:t>
      </w:r>
    </w:p>
    <w:p w:rsidR="007852E7" w:rsidRPr="00255659" w:rsidRDefault="007852E7" w:rsidP="00540A76">
      <w:pPr>
        <w:pStyle w:val="answer"/>
        <w:ind w:firstLine="0"/>
        <w:rPr>
          <w:szCs w:val="24"/>
          <w:lang w:eastAsia="en-US"/>
        </w:rPr>
      </w:pPr>
      <w:r w:rsidRPr="00255659">
        <w:rPr>
          <w:szCs w:val="24"/>
          <w:lang w:eastAsia="en-US"/>
        </w:rPr>
        <w:t xml:space="preserve">Be that as it may, analyst growth rates are the growth rates impounded in stock prices, whether I or </w:t>
      </w:r>
      <w:r w:rsidR="00E51C96" w:rsidRPr="00255659">
        <w:rPr>
          <w:rFonts w:eastAsia="SimSun"/>
        </w:rPr>
        <w:t>Mr.</w:t>
      </w:r>
      <w:r w:rsidR="00E51C96">
        <w:rPr>
          <w:rFonts w:eastAsia="SimSun"/>
        </w:rPr>
        <w:t> </w:t>
      </w:r>
      <w:r w:rsidRPr="00255659">
        <w:rPr>
          <w:szCs w:val="24"/>
          <w:lang w:eastAsia="en-US"/>
        </w:rPr>
        <w:t>Gorman agree or disagree with the use of such growth rates.</w:t>
      </w:r>
    </w:p>
    <w:p w:rsidR="007852E7" w:rsidRPr="00255659" w:rsidRDefault="00A01731" w:rsidP="00540A76">
      <w:pPr>
        <w:pStyle w:val="Heading2"/>
        <w:rPr>
          <w:lang w:eastAsia="en-US"/>
        </w:rPr>
      </w:pPr>
      <w:bookmarkStart w:id="76" w:name="_Toc489887898"/>
      <w:r w:rsidRPr="00255659">
        <w:rPr>
          <w:lang w:eastAsia="en-US"/>
        </w:rPr>
        <w:lastRenderedPageBreak/>
        <w:t>B.</w:t>
      </w:r>
      <w:r w:rsidRPr="00255659">
        <w:rPr>
          <w:lang w:eastAsia="en-US"/>
        </w:rPr>
        <w:tab/>
      </w:r>
      <w:r w:rsidR="0014601B">
        <w:rPr>
          <w:bCs/>
          <w:szCs w:val="24"/>
        </w:rPr>
        <w:t xml:space="preserve">Mr. Gorman’s Exclusive Reliance on </w:t>
      </w:r>
      <w:r w:rsidR="0014601B" w:rsidRPr="00255659">
        <w:t xml:space="preserve">the </w:t>
      </w:r>
      <w:r w:rsidR="0014601B">
        <w:rPr>
          <w:szCs w:val="24"/>
          <w:lang w:eastAsia="en-US"/>
        </w:rPr>
        <w:t>F</w:t>
      </w:r>
      <w:r w:rsidR="0014601B" w:rsidRPr="00255659">
        <w:rPr>
          <w:szCs w:val="24"/>
          <w:lang w:eastAsia="en-US"/>
        </w:rPr>
        <w:t xml:space="preserve">orecast </w:t>
      </w:r>
      <w:r w:rsidR="0014601B">
        <w:rPr>
          <w:szCs w:val="24"/>
          <w:lang w:eastAsia="en-US"/>
        </w:rPr>
        <w:t>Long-Term Interest Rates P</w:t>
      </w:r>
      <w:r w:rsidR="0014601B" w:rsidRPr="00255659">
        <w:rPr>
          <w:szCs w:val="24"/>
          <w:lang w:eastAsia="en-US"/>
        </w:rPr>
        <w:t>ublished in The Blue Chip Financial Forecasts</w:t>
      </w:r>
      <w:r w:rsidR="0014601B">
        <w:rPr>
          <w:szCs w:val="24"/>
          <w:lang w:eastAsia="en-US"/>
        </w:rPr>
        <w:t xml:space="preserve"> is Misplaced</w:t>
      </w:r>
      <w:bookmarkEnd w:id="76"/>
    </w:p>
    <w:p w:rsidR="007852E7" w:rsidRPr="00255659" w:rsidRDefault="007852E7" w:rsidP="00540A76">
      <w:pPr>
        <w:pStyle w:val="question"/>
      </w:pPr>
      <w:r w:rsidRPr="00255659">
        <w:t>Q.</w:t>
      </w:r>
      <w:r w:rsidR="00A01731" w:rsidRPr="00255659">
        <w:tab/>
      </w:r>
      <w:r w:rsidR="0014601B">
        <w:t xml:space="preserve">How do you respond to </w:t>
      </w:r>
      <w:r w:rsidR="00E51C96" w:rsidRPr="00255659">
        <w:t>Mr.</w:t>
      </w:r>
      <w:r w:rsidR="00E51C96">
        <w:t> </w:t>
      </w:r>
      <w:r w:rsidR="000F052F" w:rsidRPr="00255659">
        <w:t>Gorman</w:t>
      </w:r>
      <w:r w:rsidR="0014601B">
        <w:t>’s</w:t>
      </w:r>
      <w:r w:rsidR="000F052F" w:rsidRPr="00255659">
        <w:t xml:space="preserve"> </w:t>
      </w:r>
      <w:r w:rsidR="0014601B">
        <w:t xml:space="preserve">criticisms of </w:t>
      </w:r>
      <w:r w:rsidR="000F052F" w:rsidRPr="00255659">
        <w:t xml:space="preserve">your long-term interest rate forecast because it is higher than the </w:t>
      </w:r>
      <w:r w:rsidR="0014601B" w:rsidRPr="00255659">
        <w:rPr>
          <w:szCs w:val="24"/>
          <w:lang w:eastAsia="en-US"/>
        </w:rPr>
        <w:t>forecast published in The Blue Chip Financial Forecasts</w:t>
      </w:r>
      <w:r w:rsidRPr="00255659">
        <w:t>?</w:t>
      </w:r>
    </w:p>
    <w:p w:rsidR="007852E7" w:rsidRPr="00255659" w:rsidRDefault="007852E7" w:rsidP="00540A76">
      <w:pPr>
        <w:pStyle w:val="answer"/>
        <w:rPr>
          <w:rFonts w:eastAsia="SimSun"/>
        </w:rPr>
      </w:pPr>
      <w:r w:rsidRPr="00255659">
        <w:rPr>
          <w:szCs w:val="24"/>
          <w:lang w:eastAsia="en-US"/>
        </w:rPr>
        <w:t>A.</w:t>
      </w:r>
      <w:r w:rsidR="000A6D33" w:rsidRPr="00255659">
        <w:rPr>
          <w:szCs w:val="24"/>
          <w:lang w:eastAsia="en-US"/>
        </w:rPr>
        <w:tab/>
      </w:r>
      <w:r w:rsidR="00E51C96" w:rsidRPr="00255659">
        <w:rPr>
          <w:rFonts w:eastAsia="SimSun"/>
        </w:rPr>
        <w:t>Mr.</w:t>
      </w:r>
      <w:r w:rsidR="00E51C96">
        <w:rPr>
          <w:rFonts w:eastAsia="SimSun"/>
        </w:rPr>
        <w:t> </w:t>
      </w:r>
      <w:r w:rsidRPr="00255659">
        <w:rPr>
          <w:szCs w:val="24"/>
          <w:lang w:eastAsia="en-US"/>
        </w:rPr>
        <w:t>Gorman argues that a projected risk-free rate of 4.4</w:t>
      </w:r>
      <w:r w:rsidR="0014601B">
        <w:rPr>
          <w:szCs w:val="24"/>
          <w:lang w:eastAsia="en-US"/>
        </w:rPr>
        <w:t xml:space="preserve"> percent </w:t>
      </w:r>
      <w:r w:rsidRPr="00255659">
        <w:rPr>
          <w:szCs w:val="24"/>
          <w:lang w:eastAsia="en-US"/>
        </w:rPr>
        <w:t>exceeds the consensus forecast published in The Blue Chip Financial Forecasts.</w:t>
      </w:r>
      <w:r w:rsidR="0014601B">
        <w:rPr>
          <w:rStyle w:val="FootnoteReference"/>
          <w:szCs w:val="24"/>
          <w:lang w:eastAsia="en-US"/>
        </w:rPr>
        <w:footnoteReference w:id="94"/>
      </w:r>
      <w:r w:rsidR="006B5168">
        <w:rPr>
          <w:szCs w:val="24"/>
          <w:lang w:eastAsia="en-US"/>
        </w:rPr>
        <w:t xml:space="preserve"> </w:t>
      </w:r>
      <w:r w:rsidRPr="00255659">
        <w:rPr>
          <w:szCs w:val="24"/>
          <w:lang w:eastAsia="en-US"/>
        </w:rPr>
        <w:t>I have two responses.</w:t>
      </w:r>
      <w:r w:rsidR="006B5168">
        <w:rPr>
          <w:szCs w:val="24"/>
          <w:lang w:eastAsia="en-US"/>
        </w:rPr>
        <w:t xml:space="preserve"> </w:t>
      </w:r>
      <w:r w:rsidRPr="00255659">
        <w:rPr>
          <w:szCs w:val="24"/>
          <w:lang w:eastAsia="en-US"/>
        </w:rPr>
        <w:t xml:space="preserve">First, </w:t>
      </w:r>
      <w:r w:rsidR="0014601B" w:rsidRPr="00255659">
        <w:rPr>
          <w:szCs w:val="24"/>
          <w:lang w:eastAsia="en-US"/>
        </w:rPr>
        <w:t xml:space="preserve">The Blue Chip Financial Forecasts </w:t>
      </w:r>
      <w:r w:rsidRPr="00255659">
        <w:rPr>
          <w:szCs w:val="24"/>
          <w:lang w:eastAsia="en-US"/>
        </w:rPr>
        <w:t xml:space="preserve">is not necessarily the consensus and is but one forecast and is certainly not representative of the consensus as shown on </w:t>
      </w:r>
      <w:r w:rsidR="0014601B">
        <w:rPr>
          <w:szCs w:val="24"/>
          <w:lang w:eastAsia="en-US"/>
        </w:rPr>
        <w:t>T</w:t>
      </w:r>
      <w:r w:rsidRPr="00255659">
        <w:rPr>
          <w:szCs w:val="24"/>
          <w:lang w:eastAsia="en-US"/>
        </w:rPr>
        <w:t>able</w:t>
      </w:r>
      <w:r w:rsidR="0014601B">
        <w:rPr>
          <w:szCs w:val="24"/>
          <w:lang w:eastAsia="en-US"/>
        </w:rPr>
        <w:t> 7</w:t>
      </w:r>
      <w:r w:rsidRPr="00255659">
        <w:rPr>
          <w:szCs w:val="24"/>
          <w:lang w:eastAsia="en-US"/>
        </w:rPr>
        <w:t xml:space="preserve"> below</w:t>
      </w:r>
      <w:r w:rsidR="0014601B">
        <w:rPr>
          <w:szCs w:val="24"/>
          <w:lang w:eastAsia="en-US"/>
        </w:rPr>
        <w:t xml:space="preserve">, which </w:t>
      </w:r>
      <w:r w:rsidRPr="00255659">
        <w:rPr>
          <w:szCs w:val="24"/>
          <w:lang w:eastAsia="en-US"/>
        </w:rPr>
        <w:t>displays the interest rate forecast from several well-known authoritative sources.</w:t>
      </w:r>
    </w:p>
    <w:p w:rsidR="007852E7" w:rsidRPr="00255659" w:rsidRDefault="007852E7" w:rsidP="0014601B">
      <w:pPr>
        <w:pStyle w:val="TableHeading"/>
        <w:ind w:left="90" w:right="90"/>
      </w:pPr>
      <w:r w:rsidRPr="00255659">
        <w:t xml:space="preserve">Table </w:t>
      </w:r>
      <w:r w:rsidR="00DC010B">
        <w:t>7.</w:t>
      </w:r>
      <w:r w:rsidRPr="00255659">
        <w:t xml:space="preserve"> Forecast Yields on</w:t>
      </w:r>
      <w:r w:rsidR="00DC010B">
        <w:t xml:space="preserve"> </w:t>
      </w:r>
      <w:r w:rsidRPr="00255659">
        <w:t>30-year U.S. Treasury Bonds</w:t>
      </w:r>
    </w:p>
    <w:tbl>
      <w:tblPr>
        <w:tblW w:w="6399" w:type="dxa"/>
        <w:jc w:val="center"/>
        <w:tblInd w:w="828" w:type="dxa"/>
        <w:tblLook w:val="04A0" w:firstRow="1" w:lastRow="0" w:firstColumn="1" w:lastColumn="0" w:noHBand="0" w:noVBand="1"/>
      </w:tblPr>
      <w:tblGrid>
        <w:gridCol w:w="4236"/>
        <w:gridCol w:w="2163"/>
      </w:tblGrid>
      <w:tr w:rsidR="007852E7" w:rsidRPr="00255659" w:rsidTr="000F052F">
        <w:trPr>
          <w:trHeight w:val="380"/>
          <w:jc w:val="center"/>
        </w:trPr>
        <w:tc>
          <w:tcPr>
            <w:tcW w:w="4236" w:type="dxa"/>
            <w:noWrap/>
            <w:vAlign w:val="bottom"/>
            <w:hideMark/>
          </w:tcPr>
          <w:p w:rsidR="007852E7" w:rsidRPr="00255659" w:rsidRDefault="007852E7" w:rsidP="0014601B">
            <w:pPr>
              <w:keepNext/>
              <w:keepLines/>
              <w:spacing w:before="60" w:after="60" w:line="240" w:lineRule="auto"/>
              <w:ind w:firstLine="0"/>
              <w:rPr>
                <w:sz w:val="20"/>
                <w:lang w:eastAsia="en-US"/>
              </w:rPr>
            </w:pP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b/>
                <w:color w:val="000000"/>
                <w:szCs w:val="24"/>
                <w:lang w:eastAsia="en-US"/>
              </w:rPr>
            </w:pPr>
            <w:r w:rsidRPr="00255659">
              <w:rPr>
                <w:b/>
                <w:color w:val="000000"/>
                <w:szCs w:val="24"/>
                <w:lang w:eastAsia="en-US"/>
              </w:rPr>
              <w:t>US 30-Yr Treas.</w:t>
            </w:r>
            <w:r w:rsidR="000F052F" w:rsidRPr="00255659">
              <w:rPr>
                <w:b/>
                <w:color w:val="000000"/>
                <w:szCs w:val="24"/>
                <w:lang w:eastAsia="en-US"/>
              </w:rPr>
              <w:br/>
              <w:t>L/T Yield Forecast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Congressional Budget Office</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color w:val="000000"/>
                <w:szCs w:val="24"/>
                <w:lang w:eastAsia="en-US"/>
              </w:rPr>
            </w:pPr>
            <w:r w:rsidRPr="00255659">
              <w:rPr>
                <w:color w:val="000000"/>
                <w:szCs w:val="24"/>
                <w:lang w:eastAsia="en-US"/>
              </w:rPr>
              <w:t>4.1</w:t>
            </w:r>
            <w:r w:rsidR="0014601B">
              <w:rPr>
                <w:color w:val="000000"/>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Bureau of Labor Statistics</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color w:val="000000"/>
                <w:szCs w:val="24"/>
                <w:lang w:eastAsia="en-US"/>
              </w:rPr>
            </w:pPr>
            <w:r w:rsidRPr="00255659">
              <w:rPr>
                <w:color w:val="000000"/>
                <w:szCs w:val="24"/>
                <w:lang w:eastAsia="en-US"/>
              </w:rPr>
              <w:t>4.8</w:t>
            </w:r>
            <w:r w:rsidR="0014601B">
              <w:rPr>
                <w:color w:val="000000"/>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U.S. Energy Information Administration</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color w:val="000000"/>
                <w:szCs w:val="24"/>
                <w:lang w:eastAsia="en-US"/>
              </w:rPr>
            </w:pPr>
            <w:r w:rsidRPr="00255659">
              <w:rPr>
                <w:color w:val="000000"/>
                <w:szCs w:val="24"/>
                <w:lang w:eastAsia="en-US"/>
              </w:rPr>
              <w:t>4.3</w:t>
            </w:r>
            <w:r w:rsidR="0014601B">
              <w:rPr>
                <w:color w:val="000000"/>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IHS (Global Insight)</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color w:val="000000"/>
                <w:szCs w:val="24"/>
                <w:lang w:eastAsia="en-US"/>
              </w:rPr>
            </w:pPr>
            <w:r w:rsidRPr="00255659">
              <w:rPr>
                <w:color w:val="000000"/>
                <w:szCs w:val="24"/>
                <w:lang w:eastAsia="en-US"/>
              </w:rPr>
              <w:t>4.6</w:t>
            </w:r>
            <w:r w:rsidR="0014601B">
              <w:rPr>
                <w:color w:val="000000"/>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Value Line Economic Forecast</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color w:val="000000"/>
                <w:szCs w:val="24"/>
                <w:lang w:eastAsia="en-US"/>
              </w:rPr>
            </w:pPr>
            <w:r w:rsidRPr="00255659">
              <w:rPr>
                <w:color w:val="000000"/>
                <w:szCs w:val="24"/>
                <w:lang w:eastAsia="en-US"/>
              </w:rPr>
              <w:t>4.7</w:t>
            </w:r>
            <w:r w:rsidR="0014601B">
              <w:rPr>
                <w:color w:val="000000"/>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both"/>
              <w:rPr>
                <w:color w:val="000000"/>
                <w:szCs w:val="24"/>
                <w:lang w:eastAsia="en-US"/>
              </w:rPr>
            </w:pPr>
            <w:r w:rsidRPr="00255659">
              <w:rPr>
                <w:color w:val="000000"/>
                <w:szCs w:val="24"/>
                <w:lang w:eastAsia="en-US"/>
              </w:rPr>
              <w:t>Economic Report of the President</w:t>
            </w:r>
          </w:p>
        </w:tc>
        <w:tc>
          <w:tcPr>
            <w:tcW w:w="2163" w:type="dxa"/>
            <w:noWrap/>
            <w:vAlign w:val="bottom"/>
            <w:hideMark/>
          </w:tcPr>
          <w:p w:rsidR="007852E7" w:rsidRPr="00255659" w:rsidRDefault="007852E7" w:rsidP="0014601B">
            <w:pPr>
              <w:keepNext/>
              <w:keepLines/>
              <w:overflowPunct w:val="0"/>
              <w:autoSpaceDE w:val="0"/>
              <w:autoSpaceDN w:val="0"/>
              <w:adjustRightInd w:val="0"/>
              <w:spacing w:before="60" w:after="60" w:line="240" w:lineRule="auto"/>
              <w:ind w:firstLine="0"/>
              <w:jc w:val="center"/>
              <w:rPr>
                <w:szCs w:val="24"/>
                <w:lang w:eastAsia="en-US"/>
              </w:rPr>
            </w:pPr>
            <w:r w:rsidRPr="00255659">
              <w:rPr>
                <w:szCs w:val="24"/>
                <w:lang w:eastAsia="en-US"/>
              </w:rPr>
              <w:t>4.2</w:t>
            </w:r>
            <w:r w:rsidR="0014601B">
              <w:rPr>
                <w:szCs w:val="24"/>
                <w:lang w:eastAsia="en-US"/>
              </w:rPr>
              <w:t>%</w:t>
            </w:r>
          </w:p>
        </w:tc>
      </w:tr>
      <w:tr w:rsidR="007852E7" w:rsidRPr="00255659" w:rsidTr="000F052F">
        <w:trPr>
          <w:trHeight w:val="380"/>
          <w:jc w:val="center"/>
        </w:trPr>
        <w:tc>
          <w:tcPr>
            <w:tcW w:w="4236" w:type="dxa"/>
            <w:noWrap/>
            <w:vAlign w:val="bottom"/>
            <w:hideMark/>
          </w:tcPr>
          <w:p w:rsidR="007852E7" w:rsidRPr="00255659" w:rsidRDefault="007852E7" w:rsidP="00540A76">
            <w:pPr>
              <w:overflowPunct w:val="0"/>
              <w:autoSpaceDE w:val="0"/>
              <w:autoSpaceDN w:val="0"/>
              <w:adjustRightInd w:val="0"/>
              <w:spacing w:before="60" w:after="280" w:line="240" w:lineRule="auto"/>
              <w:ind w:right="605" w:firstLine="0"/>
              <w:jc w:val="right"/>
              <w:rPr>
                <w:b/>
                <w:color w:val="000000"/>
                <w:szCs w:val="24"/>
                <w:lang w:eastAsia="en-US"/>
              </w:rPr>
            </w:pPr>
            <w:r w:rsidRPr="00255659">
              <w:rPr>
                <w:b/>
                <w:color w:val="000000"/>
                <w:szCs w:val="24"/>
                <w:lang w:eastAsia="en-US"/>
              </w:rPr>
              <w:t>AVERAGE</w:t>
            </w:r>
          </w:p>
        </w:tc>
        <w:tc>
          <w:tcPr>
            <w:tcW w:w="2163" w:type="dxa"/>
            <w:noWrap/>
            <w:vAlign w:val="bottom"/>
            <w:hideMark/>
          </w:tcPr>
          <w:p w:rsidR="007852E7" w:rsidRPr="00255659" w:rsidRDefault="007852E7" w:rsidP="0014601B">
            <w:pPr>
              <w:overflowPunct w:val="0"/>
              <w:autoSpaceDE w:val="0"/>
              <w:autoSpaceDN w:val="0"/>
              <w:adjustRightInd w:val="0"/>
              <w:spacing w:before="60" w:after="280" w:line="240" w:lineRule="auto"/>
              <w:ind w:firstLine="0"/>
              <w:jc w:val="center"/>
              <w:rPr>
                <w:b/>
                <w:color w:val="000000"/>
                <w:szCs w:val="24"/>
                <w:lang w:eastAsia="en-US"/>
              </w:rPr>
            </w:pPr>
            <w:r w:rsidRPr="00255659">
              <w:rPr>
                <w:b/>
                <w:color w:val="000000"/>
                <w:szCs w:val="24"/>
                <w:lang w:eastAsia="en-US"/>
              </w:rPr>
              <w:t>4.4</w:t>
            </w:r>
            <w:r w:rsidR="0014601B">
              <w:rPr>
                <w:b/>
                <w:color w:val="000000"/>
                <w:szCs w:val="24"/>
                <w:lang w:eastAsia="en-US"/>
              </w:rPr>
              <w:t>%</w:t>
            </w:r>
          </w:p>
        </w:tc>
      </w:tr>
    </w:tbl>
    <w:p w:rsidR="007852E7" w:rsidRPr="0014601B" w:rsidRDefault="007852E7" w:rsidP="00540A76">
      <w:pPr>
        <w:pStyle w:val="answer"/>
        <w:ind w:firstLine="0"/>
        <w:rPr>
          <w:szCs w:val="24"/>
          <w:lang w:eastAsia="en-US"/>
        </w:rPr>
      </w:pPr>
      <w:r w:rsidRPr="00255659">
        <w:rPr>
          <w:szCs w:val="24"/>
          <w:lang w:eastAsia="en-US"/>
        </w:rPr>
        <w:t xml:space="preserve">The average forecast </w:t>
      </w:r>
      <w:r w:rsidR="0014601B">
        <w:rPr>
          <w:szCs w:val="24"/>
          <w:lang w:eastAsia="en-US"/>
        </w:rPr>
        <w:t xml:space="preserve">of these six authoritative resources </w:t>
      </w:r>
      <w:r w:rsidRPr="00255659">
        <w:rPr>
          <w:szCs w:val="24"/>
          <w:lang w:eastAsia="en-US"/>
        </w:rPr>
        <w:t>is 4.4</w:t>
      </w:r>
      <w:r w:rsidR="0014601B">
        <w:rPr>
          <w:szCs w:val="24"/>
          <w:lang w:eastAsia="en-US"/>
        </w:rPr>
        <w:t xml:space="preserve"> percent, and there is little </w:t>
      </w:r>
      <w:r w:rsidRPr="00255659">
        <w:rPr>
          <w:szCs w:val="24"/>
          <w:lang w:eastAsia="en-US"/>
        </w:rPr>
        <w:t>variability among the forecasts.</w:t>
      </w:r>
      <w:r w:rsidR="006B5168">
        <w:rPr>
          <w:szCs w:val="24"/>
          <w:lang w:eastAsia="en-US"/>
        </w:rPr>
        <w:t xml:space="preserve"> </w:t>
      </w:r>
      <w:r w:rsidRPr="00255659">
        <w:rPr>
          <w:szCs w:val="24"/>
          <w:lang w:eastAsia="en-US"/>
        </w:rPr>
        <w:t xml:space="preserve">Clearly, </w:t>
      </w:r>
      <w:r w:rsidR="0014601B" w:rsidRPr="00255659">
        <w:rPr>
          <w:szCs w:val="24"/>
          <w:lang w:eastAsia="en-US"/>
        </w:rPr>
        <w:t xml:space="preserve">The Blue Chip Financial </w:t>
      </w:r>
      <w:r w:rsidR="0014601B" w:rsidRPr="00255659">
        <w:rPr>
          <w:szCs w:val="24"/>
          <w:lang w:eastAsia="en-US"/>
        </w:rPr>
        <w:lastRenderedPageBreak/>
        <w:t xml:space="preserve">Forecasts </w:t>
      </w:r>
      <w:r w:rsidRPr="00255659">
        <w:rPr>
          <w:szCs w:val="24"/>
          <w:lang w:eastAsia="en-US"/>
        </w:rPr>
        <w:t>forecast of 3.7</w:t>
      </w:r>
      <w:r w:rsidR="0014601B">
        <w:rPr>
          <w:szCs w:val="24"/>
          <w:lang w:eastAsia="en-US"/>
        </w:rPr>
        <w:t xml:space="preserve"> percent </w:t>
      </w:r>
      <w:r w:rsidRPr="00255659">
        <w:rPr>
          <w:szCs w:val="24"/>
          <w:lang w:eastAsia="en-US"/>
        </w:rPr>
        <w:t>appears as an outlier.</w:t>
      </w:r>
      <w:r w:rsidR="0014601B">
        <w:rPr>
          <w:szCs w:val="24"/>
          <w:lang w:eastAsia="en-US"/>
        </w:rPr>
        <w:t xml:space="preserve"> </w:t>
      </w:r>
      <w:r w:rsidRPr="00255659">
        <w:rPr>
          <w:szCs w:val="24"/>
          <w:lang w:eastAsia="en-US"/>
        </w:rPr>
        <w:t xml:space="preserve">Second, </w:t>
      </w:r>
      <w:r w:rsidR="0014601B" w:rsidRPr="00255659">
        <w:rPr>
          <w:szCs w:val="24"/>
          <w:lang w:eastAsia="en-US"/>
        </w:rPr>
        <w:t>The Blue Chip Financial Forecasts</w:t>
      </w:r>
      <w:r w:rsidR="0014601B" w:rsidRPr="00255659">
        <w:rPr>
          <w:rFonts w:eastAsia="SimSun"/>
        </w:rPr>
        <w:t xml:space="preserve"> </w:t>
      </w:r>
      <w:r w:rsidRPr="00255659">
        <w:rPr>
          <w:szCs w:val="24"/>
        </w:rPr>
        <w:t xml:space="preserve">are for only the next five- and </w:t>
      </w:r>
      <w:r w:rsidR="0014601B">
        <w:rPr>
          <w:szCs w:val="24"/>
        </w:rPr>
        <w:t>ten</w:t>
      </w:r>
      <w:r w:rsidRPr="00255659">
        <w:rPr>
          <w:szCs w:val="24"/>
        </w:rPr>
        <w:t>-year periods</w:t>
      </w:r>
      <w:r w:rsidR="0014601B">
        <w:rPr>
          <w:szCs w:val="24"/>
        </w:rPr>
        <w:t>,</w:t>
      </w:r>
      <w:r w:rsidRPr="00255659">
        <w:rPr>
          <w:szCs w:val="24"/>
        </w:rPr>
        <w:t xml:space="preserve"> whereas</w:t>
      </w:r>
      <w:r w:rsidRPr="00255659">
        <w:rPr>
          <w:szCs w:val="24"/>
          <w:lang w:eastAsia="en-US"/>
        </w:rPr>
        <w:t xml:space="preserve"> the</w:t>
      </w:r>
      <w:r w:rsidRPr="00255659">
        <w:rPr>
          <w:szCs w:val="24"/>
        </w:rPr>
        <w:t xml:space="preserve"> interest rate forecasts shown on </w:t>
      </w:r>
      <w:r w:rsidR="0014601B">
        <w:rPr>
          <w:szCs w:val="24"/>
        </w:rPr>
        <w:t>T</w:t>
      </w:r>
      <w:r w:rsidRPr="00255659">
        <w:rPr>
          <w:szCs w:val="24"/>
        </w:rPr>
        <w:t>able</w:t>
      </w:r>
      <w:r w:rsidR="0014601B">
        <w:rPr>
          <w:szCs w:val="24"/>
        </w:rPr>
        <w:t> 7</w:t>
      </w:r>
      <w:r w:rsidRPr="00255659">
        <w:rPr>
          <w:szCs w:val="24"/>
        </w:rPr>
        <w:t xml:space="preserve"> are based on much longer time periods, which is quite consistent with the DCF model long-term horizon requirements and with what investors can reasonably expect to occur over the very long-run horizon of the DCF model. </w:t>
      </w:r>
    </w:p>
    <w:p w:rsidR="007852E7" w:rsidRPr="00255659" w:rsidRDefault="00A01731" w:rsidP="00540A76">
      <w:pPr>
        <w:pStyle w:val="Heading2"/>
        <w:rPr>
          <w:lang w:eastAsia="en-US"/>
        </w:rPr>
      </w:pPr>
      <w:bookmarkStart w:id="77" w:name="_Toc489887899"/>
      <w:r w:rsidRPr="00255659">
        <w:rPr>
          <w:lang w:eastAsia="en-US"/>
        </w:rPr>
        <w:t>C.</w:t>
      </w:r>
      <w:r w:rsidRPr="00255659">
        <w:rPr>
          <w:lang w:eastAsia="en-US"/>
        </w:rPr>
        <w:tab/>
      </w:r>
      <w:r w:rsidR="00F372DE" w:rsidRPr="00255659">
        <w:t>Mr.</w:t>
      </w:r>
      <w:r w:rsidR="00F372DE">
        <w:t> </w:t>
      </w:r>
      <w:r w:rsidR="00F372DE" w:rsidRPr="00255659">
        <w:rPr>
          <w:color w:val="000000"/>
          <w:szCs w:val="24"/>
          <w:lang w:eastAsia="en-US"/>
        </w:rPr>
        <w:t>Gorman</w:t>
      </w:r>
      <w:r w:rsidR="00F372DE">
        <w:rPr>
          <w:color w:val="000000"/>
          <w:szCs w:val="24"/>
          <w:lang w:eastAsia="en-US"/>
        </w:rPr>
        <w:t>’</w:t>
      </w:r>
      <w:r w:rsidR="00F372DE" w:rsidRPr="00255659">
        <w:rPr>
          <w:color w:val="000000"/>
          <w:szCs w:val="24"/>
          <w:lang w:eastAsia="en-US"/>
        </w:rPr>
        <w:t xml:space="preserve">s </w:t>
      </w:r>
      <w:r w:rsidR="00F372DE">
        <w:rPr>
          <w:color w:val="000000"/>
          <w:szCs w:val="24"/>
          <w:lang w:eastAsia="en-US"/>
        </w:rPr>
        <w:t xml:space="preserve">Purported </w:t>
      </w:r>
      <w:r w:rsidR="00F372DE" w:rsidRPr="00255659">
        <w:rPr>
          <w:color w:val="000000"/>
          <w:szCs w:val="24"/>
          <w:lang w:eastAsia="en-US"/>
        </w:rPr>
        <w:t xml:space="preserve">Concerns </w:t>
      </w:r>
      <w:r w:rsidR="00F372DE">
        <w:rPr>
          <w:color w:val="000000"/>
          <w:szCs w:val="24"/>
          <w:lang w:eastAsia="en-US"/>
        </w:rPr>
        <w:t xml:space="preserve">with My </w:t>
      </w:r>
      <w:r w:rsidR="00F372DE">
        <w:rPr>
          <w:szCs w:val="24"/>
          <w:lang w:eastAsia="en-US"/>
        </w:rPr>
        <w:t>Empirical CAPM Analysis</w:t>
      </w:r>
      <w:r w:rsidR="00F372DE" w:rsidRPr="00255659">
        <w:rPr>
          <w:color w:val="000000"/>
          <w:szCs w:val="24"/>
          <w:lang w:eastAsia="en-US"/>
        </w:rPr>
        <w:t xml:space="preserve"> Arise from His Confusing the Adjustment of </w:t>
      </w:r>
      <w:r w:rsidR="00F372DE">
        <w:rPr>
          <w:color w:val="000000"/>
          <w:szCs w:val="24"/>
          <w:lang w:eastAsia="en-US"/>
        </w:rPr>
        <w:t>B</w:t>
      </w:r>
      <w:r w:rsidR="00F372DE" w:rsidRPr="00255659">
        <w:rPr>
          <w:color w:val="000000"/>
          <w:szCs w:val="24"/>
          <w:lang w:eastAsia="en-US"/>
        </w:rPr>
        <w:t xml:space="preserve">eta with the </w:t>
      </w:r>
      <w:r w:rsidR="00F372DE">
        <w:rPr>
          <w:color w:val="000000"/>
          <w:szCs w:val="24"/>
          <w:lang w:eastAsia="en-US"/>
        </w:rPr>
        <w:t xml:space="preserve">Empirical </w:t>
      </w:r>
      <w:r w:rsidR="00F372DE" w:rsidRPr="00255659">
        <w:rPr>
          <w:color w:val="000000"/>
          <w:szCs w:val="24"/>
          <w:lang w:eastAsia="en-US"/>
        </w:rPr>
        <w:t>CAPM</w:t>
      </w:r>
      <w:bookmarkEnd w:id="77"/>
    </w:p>
    <w:p w:rsidR="00A01731" w:rsidRPr="00255659" w:rsidRDefault="007852E7" w:rsidP="00540A76">
      <w:pPr>
        <w:pStyle w:val="question"/>
        <w:rPr>
          <w:szCs w:val="24"/>
          <w:lang w:eastAsia="en-US"/>
        </w:rPr>
      </w:pPr>
      <w:r w:rsidRPr="00255659">
        <w:rPr>
          <w:lang w:eastAsia="en-US"/>
        </w:rPr>
        <w:t>Q.</w:t>
      </w:r>
      <w:r w:rsidR="00A01731" w:rsidRPr="00255659">
        <w:rPr>
          <w:lang w:eastAsia="en-US"/>
        </w:rPr>
        <w:tab/>
      </w:r>
      <w:r w:rsidR="00F372DE">
        <w:rPr>
          <w:lang w:eastAsia="en-US"/>
        </w:rPr>
        <w:t xml:space="preserve">Do you have any comments regarding </w:t>
      </w:r>
      <w:r w:rsidR="00E51C96" w:rsidRPr="00255659">
        <w:t>Mr.</w:t>
      </w:r>
      <w:r w:rsidR="00E51C96">
        <w:t> </w:t>
      </w:r>
      <w:r w:rsidR="000F052F" w:rsidRPr="00255659">
        <w:rPr>
          <w:lang w:eastAsia="en-US"/>
        </w:rPr>
        <w:t>Gorman</w:t>
      </w:r>
      <w:r w:rsidR="00F372DE">
        <w:rPr>
          <w:lang w:eastAsia="en-US"/>
        </w:rPr>
        <w:t>’s</w:t>
      </w:r>
      <w:r w:rsidR="000F052F" w:rsidRPr="00255659">
        <w:rPr>
          <w:lang w:eastAsia="en-US"/>
        </w:rPr>
        <w:t xml:space="preserve"> </w:t>
      </w:r>
      <w:r w:rsidR="00F372DE">
        <w:rPr>
          <w:lang w:eastAsia="en-US"/>
        </w:rPr>
        <w:t xml:space="preserve">concerns with your </w:t>
      </w:r>
      <w:r w:rsidR="00F372DE">
        <w:rPr>
          <w:szCs w:val="24"/>
          <w:lang w:eastAsia="en-US"/>
        </w:rPr>
        <w:t>empirical CAPM analysis?</w:t>
      </w:r>
    </w:p>
    <w:p w:rsidR="00F372DE" w:rsidRDefault="007852E7" w:rsidP="00F372DE">
      <w:pPr>
        <w:pStyle w:val="answer"/>
        <w:rPr>
          <w:color w:val="000000"/>
          <w:szCs w:val="24"/>
          <w:lang w:eastAsia="en-US"/>
        </w:rPr>
      </w:pPr>
      <w:r w:rsidRPr="00255659">
        <w:rPr>
          <w:color w:val="000000"/>
          <w:szCs w:val="24"/>
          <w:lang w:eastAsia="en-US"/>
        </w:rPr>
        <w:t>A.</w:t>
      </w:r>
      <w:r w:rsidR="000F052F" w:rsidRPr="00255659">
        <w:rPr>
          <w:color w:val="000000"/>
          <w:szCs w:val="24"/>
          <w:lang w:eastAsia="en-US"/>
        </w:rPr>
        <w:tab/>
      </w:r>
      <w:r w:rsidR="00F372DE">
        <w:rPr>
          <w:color w:val="000000"/>
          <w:szCs w:val="24"/>
          <w:lang w:eastAsia="en-US"/>
        </w:rPr>
        <w:t xml:space="preserve">Yes. </w:t>
      </w:r>
      <w:r w:rsidR="00E51C96" w:rsidRPr="00255659">
        <w:rPr>
          <w:rFonts w:eastAsia="SimSun"/>
        </w:rPr>
        <w:t>Mr.</w:t>
      </w:r>
      <w:r w:rsidR="00E51C96">
        <w:rPr>
          <w:rFonts w:eastAsia="SimSun"/>
        </w:rPr>
        <w:t> </w:t>
      </w:r>
      <w:r w:rsidRPr="00255659">
        <w:rPr>
          <w:color w:val="000000"/>
          <w:szCs w:val="24"/>
          <w:lang w:eastAsia="en-US"/>
        </w:rPr>
        <w:t>Gorman</w:t>
      </w:r>
      <w:r w:rsidR="00255659">
        <w:rPr>
          <w:color w:val="000000"/>
          <w:szCs w:val="24"/>
          <w:lang w:eastAsia="en-US"/>
        </w:rPr>
        <w:t>’</w:t>
      </w:r>
      <w:r w:rsidRPr="00255659">
        <w:rPr>
          <w:color w:val="000000"/>
          <w:szCs w:val="24"/>
          <w:lang w:eastAsia="en-US"/>
        </w:rPr>
        <w:t xml:space="preserve">s </w:t>
      </w:r>
      <w:r w:rsidR="00F372DE">
        <w:rPr>
          <w:color w:val="000000"/>
          <w:szCs w:val="24"/>
          <w:lang w:eastAsia="en-US"/>
        </w:rPr>
        <w:t xml:space="preserve">purported </w:t>
      </w:r>
      <w:r w:rsidRPr="00255659">
        <w:rPr>
          <w:color w:val="000000"/>
          <w:szCs w:val="24"/>
          <w:lang w:eastAsia="en-US"/>
        </w:rPr>
        <w:t xml:space="preserve">concerns </w:t>
      </w:r>
      <w:r w:rsidR="00F372DE">
        <w:rPr>
          <w:color w:val="000000"/>
          <w:szCs w:val="24"/>
          <w:lang w:eastAsia="en-US"/>
        </w:rPr>
        <w:t xml:space="preserve">with my </w:t>
      </w:r>
      <w:r w:rsidR="00F372DE">
        <w:rPr>
          <w:szCs w:val="24"/>
          <w:lang w:eastAsia="en-US"/>
        </w:rPr>
        <w:t>empirical CAPM analysis</w:t>
      </w:r>
      <w:r w:rsidR="00F372DE" w:rsidRPr="00255659">
        <w:rPr>
          <w:color w:val="000000"/>
          <w:szCs w:val="24"/>
          <w:lang w:eastAsia="en-US"/>
        </w:rPr>
        <w:t xml:space="preserve"> </w:t>
      </w:r>
      <w:r w:rsidRPr="00255659">
        <w:rPr>
          <w:color w:val="000000"/>
          <w:szCs w:val="24"/>
          <w:lang w:eastAsia="en-US"/>
        </w:rPr>
        <w:t xml:space="preserve">arise from his confusing the adjustment of beta with the </w:t>
      </w:r>
      <w:r w:rsidR="00F372DE">
        <w:rPr>
          <w:color w:val="000000"/>
          <w:szCs w:val="24"/>
          <w:lang w:eastAsia="en-US"/>
        </w:rPr>
        <w:t xml:space="preserve">empirical </w:t>
      </w:r>
      <w:r w:rsidRPr="00255659">
        <w:rPr>
          <w:color w:val="000000"/>
          <w:szCs w:val="24"/>
          <w:lang w:eastAsia="en-US"/>
        </w:rPr>
        <w:t>CAPM.</w:t>
      </w:r>
      <w:r w:rsidR="006B5168">
        <w:rPr>
          <w:color w:val="000000"/>
          <w:szCs w:val="24"/>
          <w:lang w:eastAsia="en-US"/>
        </w:rPr>
        <w:t xml:space="preserve"> </w:t>
      </w:r>
      <w:r w:rsidRPr="00255659">
        <w:rPr>
          <w:color w:val="000000"/>
          <w:szCs w:val="24"/>
          <w:lang w:eastAsia="en-US"/>
        </w:rPr>
        <w:t xml:space="preserve">As previously discussed in </w:t>
      </w:r>
      <w:r w:rsidR="00F372DE">
        <w:rPr>
          <w:color w:val="000000"/>
          <w:szCs w:val="24"/>
          <w:lang w:eastAsia="en-US"/>
        </w:rPr>
        <w:t xml:space="preserve">the Seventh Exhibit to the Prefiled Direct Testimony of </w:t>
      </w:r>
      <w:r w:rsidR="00D20344">
        <w:rPr>
          <w:color w:val="000000"/>
          <w:szCs w:val="24"/>
          <w:lang w:eastAsia="en-US"/>
        </w:rPr>
        <w:t>Dr. </w:t>
      </w:r>
      <w:r w:rsidR="00F372DE">
        <w:rPr>
          <w:color w:val="000000"/>
          <w:szCs w:val="24"/>
          <w:lang w:eastAsia="en-US"/>
        </w:rPr>
        <w:t>Roger</w:t>
      </w:r>
      <w:r w:rsidR="00D20344">
        <w:rPr>
          <w:color w:val="000000"/>
          <w:szCs w:val="24"/>
          <w:lang w:eastAsia="en-US"/>
        </w:rPr>
        <w:t> </w:t>
      </w:r>
      <w:r w:rsidR="00F372DE">
        <w:rPr>
          <w:color w:val="000000"/>
          <w:szCs w:val="24"/>
          <w:lang w:eastAsia="en-US"/>
        </w:rPr>
        <w:t xml:space="preserve">A. Morin, Exh. RAM-8, </w:t>
      </w:r>
      <w:r w:rsidRPr="00255659">
        <w:rPr>
          <w:color w:val="000000"/>
          <w:szCs w:val="24"/>
          <w:lang w:eastAsia="en-US"/>
        </w:rPr>
        <w:t xml:space="preserve">there is considerable academic and </w:t>
      </w:r>
      <w:r w:rsidRPr="00255659">
        <w:rPr>
          <w:color w:val="000000"/>
          <w:lang w:eastAsia="en-US"/>
        </w:rPr>
        <w:t xml:space="preserve">regulatory support for the use </w:t>
      </w:r>
      <w:r w:rsidRPr="00255659">
        <w:rPr>
          <w:color w:val="000000"/>
          <w:szCs w:val="24"/>
          <w:lang w:eastAsia="en-US"/>
        </w:rPr>
        <w:t xml:space="preserve">of the </w:t>
      </w:r>
      <w:r w:rsidR="00F372DE">
        <w:rPr>
          <w:color w:val="000000"/>
          <w:szCs w:val="24"/>
          <w:lang w:eastAsia="en-US"/>
        </w:rPr>
        <w:t xml:space="preserve">empirical </w:t>
      </w:r>
      <w:r w:rsidRPr="00255659">
        <w:rPr>
          <w:color w:val="000000"/>
          <w:szCs w:val="24"/>
          <w:lang w:eastAsia="en-US"/>
        </w:rPr>
        <w:t>CAPM.</w:t>
      </w:r>
      <w:r w:rsidR="006B5168">
        <w:rPr>
          <w:color w:val="000000"/>
          <w:szCs w:val="24"/>
          <w:lang w:eastAsia="en-US"/>
        </w:rPr>
        <w:t xml:space="preserve"> </w:t>
      </w:r>
      <w:r w:rsidRPr="00255659">
        <w:rPr>
          <w:color w:val="000000"/>
          <w:szCs w:val="24"/>
          <w:lang w:eastAsia="en-US"/>
        </w:rPr>
        <w:t>As explained in my direct</w:t>
      </w:r>
      <w:r w:rsidRPr="00255659">
        <w:rPr>
          <w:color w:val="000000"/>
          <w:lang w:eastAsia="en-US"/>
        </w:rPr>
        <w:t xml:space="preserve"> testimony</w:t>
      </w:r>
      <w:r w:rsidR="00F372DE">
        <w:rPr>
          <w:rStyle w:val="FootnoteReference"/>
          <w:color w:val="000000"/>
          <w:lang w:eastAsia="en-US"/>
        </w:rPr>
        <w:footnoteReference w:id="95"/>
      </w:r>
      <w:r w:rsidRPr="00255659">
        <w:rPr>
          <w:color w:val="000000"/>
          <w:lang w:eastAsia="en-US"/>
        </w:rPr>
        <w:t xml:space="preserve"> </w:t>
      </w:r>
      <w:r w:rsidR="00F372DE">
        <w:rPr>
          <w:color w:val="000000"/>
          <w:lang w:eastAsia="en-US"/>
        </w:rPr>
        <w:t>and supporting exhibit,</w:t>
      </w:r>
      <w:r w:rsidR="00F372DE">
        <w:rPr>
          <w:rStyle w:val="FootnoteReference"/>
          <w:color w:val="000000"/>
          <w:lang w:eastAsia="en-US"/>
        </w:rPr>
        <w:footnoteReference w:id="96"/>
      </w:r>
      <w:r w:rsidR="00F372DE">
        <w:rPr>
          <w:color w:val="000000"/>
          <w:lang w:eastAsia="en-US"/>
        </w:rPr>
        <w:t xml:space="preserve"> </w:t>
      </w:r>
      <w:r w:rsidRPr="00255659">
        <w:rPr>
          <w:color w:val="000000"/>
          <w:szCs w:val="24"/>
          <w:lang w:eastAsia="en-US"/>
        </w:rPr>
        <w:t>it is essential to take</w:t>
      </w:r>
      <w:r w:rsidRPr="00255659">
        <w:rPr>
          <w:color w:val="000000"/>
          <w:lang w:eastAsia="en-US"/>
        </w:rPr>
        <w:t xml:space="preserve"> into account the reality that </w:t>
      </w:r>
      <w:r w:rsidRPr="00255659">
        <w:rPr>
          <w:color w:val="000000"/>
          <w:szCs w:val="24"/>
          <w:lang w:eastAsia="en-US"/>
        </w:rPr>
        <w:t>the empirical Security Market Line des</w:t>
      </w:r>
      <w:r w:rsidRPr="00255659">
        <w:rPr>
          <w:color w:val="000000"/>
          <w:lang w:eastAsia="en-US"/>
        </w:rPr>
        <w:t xml:space="preserve">cribed by the traditional CAPM </w:t>
      </w:r>
      <w:r w:rsidRPr="00255659">
        <w:rPr>
          <w:color w:val="000000"/>
          <w:szCs w:val="24"/>
          <w:lang w:eastAsia="en-US"/>
        </w:rPr>
        <w:t xml:space="preserve">is not as steeply sloped as the predicted </w:t>
      </w:r>
      <w:r w:rsidR="00F372DE" w:rsidRPr="00255659">
        <w:rPr>
          <w:color w:val="000000"/>
          <w:szCs w:val="24"/>
          <w:lang w:eastAsia="en-US"/>
        </w:rPr>
        <w:t>Security Market Line</w:t>
      </w:r>
      <w:r w:rsidRPr="00255659">
        <w:rPr>
          <w:color w:val="000000"/>
          <w:szCs w:val="24"/>
          <w:lang w:eastAsia="en-US"/>
        </w:rPr>
        <w:t>.</w:t>
      </w:r>
      <w:r w:rsidR="006B5168">
        <w:rPr>
          <w:color w:val="000000"/>
          <w:szCs w:val="24"/>
          <w:lang w:eastAsia="en-US"/>
        </w:rPr>
        <w:t xml:space="preserve"> </w:t>
      </w:r>
      <w:r w:rsidRPr="00255659">
        <w:rPr>
          <w:color w:val="000000"/>
          <w:lang w:eastAsia="en-US"/>
        </w:rPr>
        <w:t xml:space="preserve">The </w:t>
      </w:r>
      <w:r w:rsidR="00F372DE">
        <w:rPr>
          <w:color w:val="000000"/>
          <w:lang w:eastAsia="en-US"/>
        </w:rPr>
        <w:t xml:space="preserve">empirical </w:t>
      </w:r>
      <w:r w:rsidRPr="00255659">
        <w:rPr>
          <w:color w:val="000000"/>
          <w:lang w:eastAsia="en-US"/>
        </w:rPr>
        <w:t xml:space="preserve">CAPM is thus a return </w:t>
      </w:r>
      <w:r w:rsidRPr="00255659">
        <w:rPr>
          <w:color w:val="000000"/>
          <w:szCs w:val="24"/>
          <w:lang w:eastAsia="en-US"/>
        </w:rPr>
        <w:t>adjustment which accounts for this reality an</w:t>
      </w:r>
      <w:r w:rsidRPr="00255659">
        <w:rPr>
          <w:color w:val="000000"/>
          <w:lang w:eastAsia="en-US"/>
        </w:rPr>
        <w:t xml:space="preserve">d is not an adjustment to beta </w:t>
      </w:r>
      <w:r w:rsidRPr="00255659">
        <w:rPr>
          <w:color w:val="000000"/>
          <w:szCs w:val="24"/>
          <w:lang w:eastAsia="en-US"/>
        </w:rPr>
        <w:t>which is an x-axis adjustment accounting for r</w:t>
      </w:r>
      <w:r w:rsidRPr="00255659">
        <w:rPr>
          <w:color w:val="000000"/>
          <w:lang w:eastAsia="en-US"/>
        </w:rPr>
        <w:t xml:space="preserve">egression bias. Hence, the use </w:t>
      </w:r>
      <w:r w:rsidRPr="00255659">
        <w:rPr>
          <w:color w:val="000000"/>
          <w:szCs w:val="24"/>
          <w:lang w:eastAsia="en-US"/>
        </w:rPr>
        <w:lastRenderedPageBreak/>
        <w:t xml:space="preserve">of adjusted betas is not equivalent to the </w:t>
      </w:r>
      <w:r w:rsidR="00F372DE">
        <w:rPr>
          <w:color w:val="000000"/>
          <w:szCs w:val="24"/>
          <w:lang w:eastAsia="en-US"/>
        </w:rPr>
        <w:t xml:space="preserve">empirical </w:t>
      </w:r>
      <w:r w:rsidRPr="00255659">
        <w:rPr>
          <w:color w:val="000000"/>
          <w:szCs w:val="24"/>
          <w:lang w:eastAsia="en-US"/>
        </w:rPr>
        <w:t>CAPM.</w:t>
      </w:r>
      <w:r w:rsidR="00F372DE">
        <w:rPr>
          <w:color w:val="000000"/>
          <w:szCs w:val="24"/>
          <w:lang w:eastAsia="en-US"/>
        </w:rPr>
        <w:t xml:space="preserve"> </w:t>
      </w:r>
      <w:r w:rsidR="00E51C96" w:rsidRPr="00255659">
        <w:rPr>
          <w:rFonts w:eastAsia="SimSun"/>
        </w:rPr>
        <w:t>Mr.</w:t>
      </w:r>
      <w:r w:rsidR="00E51C96">
        <w:rPr>
          <w:rFonts w:eastAsia="SimSun"/>
        </w:rPr>
        <w:t> </w:t>
      </w:r>
      <w:r w:rsidRPr="00255659">
        <w:rPr>
          <w:color w:val="000000"/>
          <w:szCs w:val="24"/>
          <w:lang w:eastAsia="en-US"/>
        </w:rPr>
        <w:t>Gorman</w:t>
      </w:r>
      <w:r w:rsidR="00255659">
        <w:rPr>
          <w:color w:val="000000"/>
          <w:szCs w:val="24"/>
          <w:lang w:eastAsia="en-US"/>
        </w:rPr>
        <w:t>’</w:t>
      </w:r>
      <w:r w:rsidRPr="00255659">
        <w:rPr>
          <w:color w:val="000000"/>
          <w:szCs w:val="24"/>
          <w:lang w:eastAsia="en-US"/>
        </w:rPr>
        <w:t>s</w:t>
      </w:r>
      <w:r w:rsidRPr="00255659">
        <w:rPr>
          <w:rFonts w:eastAsia="PMingLiU"/>
          <w:color w:val="000000"/>
          <w:lang w:eastAsia="en-US"/>
        </w:rPr>
        <w:t xml:space="preserve"> criticisms </w:t>
      </w:r>
      <w:r w:rsidRPr="00255659">
        <w:rPr>
          <w:color w:val="000000"/>
          <w:lang w:eastAsia="en-US"/>
        </w:rPr>
        <w:t>are unfounded</w:t>
      </w:r>
      <w:r w:rsidRPr="00255659">
        <w:rPr>
          <w:color w:val="000000"/>
          <w:szCs w:val="24"/>
          <w:lang w:eastAsia="en-US"/>
        </w:rPr>
        <w:t>.</w:t>
      </w:r>
    </w:p>
    <w:p w:rsidR="00D20344" w:rsidRDefault="00E51C96" w:rsidP="00F372DE">
      <w:pPr>
        <w:pStyle w:val="answer"/>
        <w:ind w:firstLine="0"/>
        <w:rPr>
          <w:color w:val="000000"/>
          <w:lang w:eastAsia="en-US"/>
        </w:rPr>
      </w:pPr>
      <w:r w:rsidRPr="00255659">
        <w:rPr>
          <w:rFonts w:eastAsia="SimSun"/>
        </w:rPr>
        <w:t>Mr.</w:t>
      </w:r>
      <w:r>
        <w:rPr>
          <w:rFonts w:eastAsia="SimSun"/>
        </w:rPr>
        <w:t> </w:t>
      </w:r>
      <w:r w:rsidR="007852E7" w:rsidRPr="00255659">
        <w:rPr>
          <w:color w:val="000000"/>
          <w:lang w:eastAsia="en-US"/>
        </w:rPr>
        <w:t xml:space="preserve">Gorman also </w:t>
      </w:r>
      <w:r w:rsidR="00F372DE">
        <w:rPr>
          <w:color w:val="000000"/>
          <w:lang w:eastAsia="en-US"/>
        </w:rPr>
        <w:t xml:space="preserve">erroneously </w:t>
      </w:r>
      <w:r w:rsidR="007852E7" w:rsidRPr="00255659">
        <w:rPr>
          <w:color w:val="000000"/>
          <w:lang w:eastAsia="en-US"/>
        </w:rPr>
        <w:t xml:space="preserve">argues that there is no evidence supporting the </w:t>
      </w:r>
      <w:r w:rsidR="00F372DE">
        <w:rPr>
          <w:color w:val="000000"/>
          <w:lang w:eastAsia="en-US"/>
        </w:rPr>
        <w:t xml:space="preserve">empirical </w:t>
      </w:r>
      <w:r w:rsidR="007852E7" w:rsidRPr="00255659">
        <w:rPr>
          <w:color w:val="000000"/>
          <w:lang w:eastAsia="en-US"/>
        </w:rPr>
        <w:t>CAPM that rely on Value Line adjusted betas.</w:t>
      </w:r>
      <w:r w:rsidR="00F372DE">
        <w:rPr>
          <w:rStyle w:val="FootnoteReference"/>
          <w:color w:val="000000"/>
          <w:lang w:eastAsia="en-US"/>
        </w:rPr>
        <w:footnoteReference w:id="97"/>
      </w:r>
      <w:r w:rsidR="006B5168">
        <w:rPr>
          <w:color w:val="000000"/>
          <w:lang w:eastAsia="en-US"/>
        </w:rPr>
        <w:t xml:space="preserve"> </w:t>
      </w:r>
      <w:r w:rsidR="00D20344">
        <w:rPr>
          <w:color w:val="000000"/>
          <w:lang w:eastAsia="en-US"/>
        </w:rPr>
        <w:t xml:space="preserve">I provided a substantial bibliography of evidence </w:t>
      </w:r>
      <w:r w:rsidR="00D20344" w:rsidRPr="00255659">
        <w:rPr>
          <w:color w:val="000000"/>
          <w:lang w:eastAsia="en-US"/>
        </w:rPr>
        <w:t xml:space="preserve">supporting the </w:t>
      </w:r>
      <w:r w:rsidR="00D20344">
        <w:rPr>
          <w:color w:val="000000"/>
          <w:lang w:eastAsia="en-US"/>
        </w:rPr>
        <w:t xml:space="preserve">empirical </w:t>
      </w:r>
      <w:r w:rsidR="00D20344" w:rsidRPr="00255659">
        <w:rPr>
          <w:color w:val="000000"/>
          <w:lang w:eastAsia="en-US"/>
        </w:rPr>
        <w:t>CAPM</w:t>
      </w:r>
      <w:r w:rsidR="00D20344">
        <w:rPr>
          <w:color w:val="000000"/>
          <w:lang w:eastAsia="en-US"/>
        </w:rPr>
        <w:t xml:space="preserve"> in PSE’s Response to Public Counsel Data Request No. 333, which is also provided as the First Exhibit to the Prefiled Rebuttal Testimony of Dr. Roger A. Morin, Exh. RAM-13.</w:t>
      </w:r>
    </w:p>
    <w:p w:rsidR="007852E7" w:rsidRPr="00255659" w:rsidRDefault="00D20344" w:rsidP="00540A76">
      <w:pPr>
        <w:pStyle w:val="Heading2"/>
        <w:rPr>
          <w:lang w:eastAsia="en-US"/>
        </w:rPr>
      </w:pPr>
      <w:bookmarkStart w:id="78" w:name="_Toc489887900"/>
      <w:r>
        <w:rPr>
          <w:lang w:eastAsia="en-US"/>
        </w:rPr>
        <w:t>D</w:t>
      </w:r>
      <w:r w:rsidR="00A01731" w:rsidRPr="00255659">
        <w:rPr>
          <w:lang w:eastAsia="en-US"/>
        </w:rPr>
        <w:t>.</w:t>
      </w:r>
      <w:r w:rsidR="00A01731" w:rsidRPr="00255659">
        <w:rPr>
          <w:lang w:eastAsia="en-US"/>
        </w:rPr>
        <w:tab/>
      </w:r>
      <w:r w:rsidR="006303A7">
        <w:rPr>
          <w:szCs w:val="24"/>
          <w:lang w:eastAsia="en-US"/>
        </w:rPr>
        <w:t>Mr. Gorman Erroneously A</w:t>
      </w:r>
      <w:r w:rsidR="006303A7" w:rsidRPr="00255659">
        <w:rPr>
          <w:szCs w:val="24"/>
          <w:lang w:eastAsia="en-US"/>
        </w:rPr>
        <w:t xml:space="preserve">rgues that the Inverse Relationship Between Equity Risk Premiums and Interest Rates is </w:t>
      </w:r>
      <w:r w:rsidR="006303A7">
        <w:rPr>
          <w:szCs w:val="24"/>
          <w:lang w:eastAsia="en-US"/>
        </w:rPr>
        <w:t>N</w:t>
      </w:r>
      <w:r w:rsidR="006303A7" w:rsidRPr="00255659">
        <w:rPr>
          <w:szCs w:val="24"/>
          <w:lang w:eastAsia="en-US"/>
        </w:rPr>
        <w:t>ot Supported by Academic Research</w:t>
      </w:r>
      <w:bookmarkEnd w:id="78"/>
    </w:p>
    <w:p w:rsidR="007852E7" w:rsidRPr="00255659" w:rsidRDefault="007852E7" w:rsidP="00540A76">
      <w:pPr>
        <w:pStyle w:val="question"/>
      </w:pPr>
      <w:r w:rsidRPr="00255659">
        <w:rPr>
          <w:lang w:eastAsia="en-US"/>
        </w:rPr>
        <w:t>Q.</w:t>
      </w:r>
      <w:r w:rsidR="00A01731" w:rsidRPr="00255659">
        <w:rPr>
          <w:lang w:eastAsia="en-US"/>
        </w:rPr>
        <w:tab/>
      </w:r>
      <w:r w:rsidR="006303A7">
        <w:rPr>
          <w:lang w:eastAsia="en-US"/>
        </w:rPr>
        <w:t xml:space="preserve">Is </w:t>
      </w:r>
      <w:r w:rsidR="00E51C96" w:rsidRPr="00255659">
        <w:t>Mr.</w:t>
      </w:r>
      <w:r w:rsidR="00E51C96">
        <w:t> </w:t>
      </w:r>
      <w:r w:rsidR="000F052F" w:rsidRPr="00255659">
        <w:rPr>
          <w:lang w:eastAsia="en-US"/>
        </w:rPr>
        <w:t>Gorman</w:t>
      </w:r>
      <w:r w:rsidR="006303A7">
        <w:rPr>
          <w:lang w:eastAsia="en-US"/>
        </w:rPr>
        <w:t xml:space="preserve"> correct </w:t>
      </w:r>
      <w:r w:rsidR="006303A7" w:rsidRPr="00255659">
        <w:rPr>
          <w:szCs w:val="24"/>
          <w:lang w:eastAsia="en-US"/>
        </w:rPr>
        <w:t>that the inverse relationship between equity risk premiums and interest rates is not supported by academic research</w:t>
      </w:r>
      <w:r w:rsidR="006303A7">
        <w:rPr>
          <w:lang w:eastAsia="en-US"/>
        </w:rPr>
        <w:t>?</w:t>
      </w:r>
    </w:p>
    <w:p w:rsidR="006303A7" w:rsidRDefault="007852E7" w:rsidP="006303A7">
      <w:pPr>
        <w:pStyle w:val="answer"/>
        <w:rPr>
          <w:szCs w:val="24"/>
          <w:lang w:eastAsia="en-US"/>
        </w:rPr>
      </w:pPr>
      <w:r w:rsidRPr="00255659">
        <w:rPr>
          <w:szCs w:val="24"/>
          <w:lang w:eastAsia="en-US"/>
        </w:rPr>
        <w:t>A.</w:t>
      </w:r>
      <w:r w:rsidR="000F052F" w:rsidRPr="00255659">
        <w:rPr>
          <w:szCs w:val="24"/>
          <w:lang w:eastAsia="en-US"/>
        </w:rPr>
        <w:tab/>
      </w:r>
      <w:r w:rsidRPr="00255659">
        <w:rPr>
          <w:szCs w:val="24"/>
          <w:lang w:eastAsia="en-US"/>
        </w:rPr>
        <w:t>No.</w:t>
      </w:r>
      <w:r w:rsidR="006B5168">
        <w:rPr>
          <w:szCs w:val="24"/>
          <w:lang w:eastAsia="en-US"/>
        </w:rPr>
        <w:t xml:space="preserve"> </w:t>
      </w:r>
      <w:r w:rsidR="00D20344">
        <w:rPr>
          <w:szCs w:val="24"/>
          <w:lang w:eastAsia="en-US"/>
        </w:rPr>
        <w:t xml:space="preserve">Mr. Gorman erroneously </w:t>
      </w:r>
      <w:r w:rsidRPr="00255659">
        <w:rPr>
          <w:szCs w:val="24"/>
          <w:lang w:eastAsia="en-US"/>
        </w:rPr>
        <w:t>argues that the inverse relationship between equity risk premiums and interest rates is not supported by academic research.</w:t>
      </w:r>
      <w:r w:rsidR="00D20344">
        <w:rPr>
          <w:rStyle w:val="FootnoteReference"/>
          <w:szCs w:val="24"/>
          <w:lang w:eastAsia="en-US"/>
        </w:rPr>
        <w:footnoteReference w:id="98"/>
      </w:r>
      <w:r w:rsidR="006B5168">
        <w:rPr>
          <w:szCs w:val="24"/>
          <w:lang w:eastAsia="en-US"/>
        </w:rPr>
        <w:t xml:space="preserve"> </w:t>
      </w:r>
      <w:r w:rsidRPr="00255659">
        <w:rPr>
          <w:szCs w:val="24"/>
          <w:lang w:eastAsia="en-US"/>
        </w:rPr>
        <w:t xml:space="preserve">My first reaction was to simply point to the graph on </w:t>
      </w:r>
      <w:r w:rsidR="00D20344">
        <w:rPr>
          <w:szCs w:val="24"/>
          <w:lang w:eastAsia="en-US"/>
        </w:rPr>
        <w:t>p</w:t>
      </w:r>
      <w:r w:rsidRPr="00255659">
        <w:rPr>
          <w:szCs w:val="24"/>
          <w:lang w:eastAsia="en-US"/>
        </w:rPr>
        <w:t>age</w:t>
      </w:r>
      <w:r w:rsidR="00D20344">
        <w:rPr>
          <w:szCs w:val="24"/>
          <w:lang w:eastAsia="en-US"/>
        </w:rPr>
        <w:t> </w:t>
      </w:r>
      <w:r w:rsidRPr="00255659">
        <w:rPr>
          <w:szCs w:val="24"/>
          <w:lang w:eastAsia="en-US"/>
        </w:rPr>
        <w:t>5</w:t>
      </w:r>
      <w:r w:rsidR="006303A7">
        <w:rPr>
          <w:szCs w:val="24"/>
          <w:lang w:eastAsia="en-US"/>
        </w:rPr>
        <w:t>3</w:t>
      </w:r>
      <w:r w:rsidRPr="00255659">
        <w:rPr>
          <w:szCs w:val="24"/>
          <w:lang w:eastAsia="en-US"/>
        </w:rPr>
        <w:t xml:space="preserve"> of my direct testimony</w:t>
      </w:r>
      <w:r w:rsidR="00D20344">
        <w:rPr>
          <w:szCs w:val="24"/>
          <w:lang w:eastAsia="en-US"/>
        </w:rPr>
        <w:t xml:space="preserve">, which shows </w:t>
      </w:r>
      <w:r w:rsidRPr="00255659">
        <w:rPr>
          <w:szCs w:val="24"/>
          <w:lang w:eastAsia="en-US"/>
        </w:rPr>
        <w:t>a very clear sign</w:t>
      </w:r>
      <w:r w:rsidR="000F052F" w:rsidRPr="00255659">
        <w:rPr>
          <w:szCs w:val="24"/>
          <w:lang w:eastAsia="en-US"/>
        </w:rPr>
        <w:t>ificant negative relationship.</w:t>
      </w:r>
    </w:p>
    <w:p w:rsidR="000F052F" w:rsidRPr="006303A7" w:rsidRDefault="007852E7" w:rsidP="006303A7">
      <w:pPr>
        <w:pStyle w:val="answer"/>
        <w:ind w:firstLine="0"/>
        <w:rPr>
          <w:szCs w:val="24"/>
          <w:lang w:eastAsia="en-US"/>
        </w:rPr>
      </w:pPr>
      <w:r w:rsidRPr="00255659">
        <w:rPr>
          <w:spacing w:val="-3"/>
          <w:szCs w:val="24"/>
          <w:lang w:eastAsia="en-US"/>
        </w:rPr>
        <w:t xml:space="preserve">Contrary to </w:t>
      </w:r>
      <w:r w:rsidR="00E51C96" w:rsidRPr="00255659">
        <w:rPr>
          <w:rFonts w:eastAsia="SimSun"/>
        </w:rPr>
        <w:t>Mr.</w:t>
      </w:r>
      <w:r w:rsidR="00E51C96">
        <w:rPr>
          <w:rFonts w:eastAsia="SimSun"/>
        </w:rPr>
        <w:t> </w:t>
      </w:r>
      <w:r w:rsidRPr="00255659">
        <w:rPr>
          <w:spacing w:val="-3"/>
          <w:szCs w:val="24"/>
          <w:lang w:eastAsia="en-US"/>
        </w:rPr>
        <w:t>Gorman</w:t>
      </w:r>
      <w:r w:rsidR="00255659">
        <w:rPr>
          <w:spacing w:val="-3"/>
          <w:szCs w:val="24"/>
          <w:lang w:eastAsia="en-US"/>
        </w:rPr>
        <w:t>’</w:t>
      </w:r>
      <w:r w:rsidRPr="00255659">
        <w:rPr>
          <w:spacing w:val="-3"/>
          <w:szCs w:val="24"/>
          <w:lang w:eastAsia="en-US"/>
        </w:rPr>
        <w:t>s contention that the finance literature does not fully endorse the notion that the risk premium shrinks as interest rates decline, there is an abundance of studies that support the notion.</w:t>
      </w:r>
      <w:r w:rsidR="006B5168">
        <w:rPr>
          <w:spacing w:val="-3"/>
          <w:szCs w:val="24"/>
          <w:lang w:eastAsia="en-US"/>
        </w:rPr>
        <w:t xml:space="preserve"> </w:t>
      </w:r>
      <w:r w:rsidRPr="00255659">
        <w:rPr>
          <w:spacing w:val="-3"/>
          <w:szCs w:val="24"/>
          <w:lang w:eastAsia="en-US"/>
        </w:rPr>
        <w:t xml:space="preserve">Published studies demonstrate that, </w:t>
      </w:r>
      <w:r w:rsidRPr="00255659">
        <w:rPr>
          <w:spacing w:val="-3"/>
          <w:szCs w:val="24"/>
          <w:lang w:eastAsia="en-US"/>
        </w:rPr>
        <w:lastRenderedPageBreak/>
        <w:t>beginning in 1980, risk premiums varied inversely with the level of interest rates, rising when rates fell and decli</w:t>
      </w:r>
      <w:r w:rsidR="000F052F" w:rsidRPr="00255659">
        <w:rPr>
          <w:spacing w:val="-3"/>
          <w:szCs w:val="24"/>
          <w:lang w:eastAsia="en-US"/>
        </w:rPr>
        <w:t>ning when interest rates rose.</w:t>
      </w:r>
      <w:r w:rsidR="006303A7">
        <w:rPr>
          <w:rStyle w:val="FootnoteReference"/>
          <w:spacing w:val="-3"/>
          <w:szCs w:val="24"/>
          <w:lang w:eastAsia="en-US"/>
        </w:rPr>
        <w:footnoteReference w:id="99"/>
      </w:r>
    </w:p>
    <w:p w:rsidR="000F052F" w:rsidRPr="00255659" w:rsidRDefault="007852E7" w:rsidP="00540A76">
      <w:pPr>
        <w:pStyle w:val="answer"/>
        <w:ind w:firstLine="0"/>
        <w:rPr>
          <w:color w:val="000000"/>
          <w:szCs w:val="24"/>
          <w:lang w:eastAsia="en-US"/>
        </w:rPr>
      </w:pPr>
      <w:r w:rsidRPr="00255659">
        <w:rPr>
          <w:spacing w:val="-3"/>
          <w:szCs w:val="24"/>
          <w:lang w:eastAsia="en-US"/>
        </w:rPr>
        <w:t>Regulators have recognized this tendency as well.</w:t>
      </w:r>
      <w:r w:rsidR="006B5168">
        <w:rPr>
          <w:spacing w:val="-3"/>
          <w:szCs w:val="24"/>
          <w:lang w:eastAsia="en-US"/>
        </w:rPr>
        <w:t xml:space="preserve"> </w:t>
      </w:r>
      <w:r w:rsidRPr="00255659">
        <w:rPr>
          <w:color w:val="000000"/>
          <w:szCs w:val="24"/>
          <w:lang w:eastAsia="en-US"/>
        </w:rPr>
        <w:t>The California Public Utility Commission recognizes that the cost of equity does not move in tandem with interest rates, and its long-standing practice has been to adjust the cost of equity by one-half to two-thirds of the change in bond yields.</w:t>
      </w:r>
    </w:p>
    <w:p w:rsidR="00E92A13" w:rsidRDefault="007852E7" w:rsidP="00540A76">
      <w:pPr>
        <w:pStyle w:val="answer"/>
        <w:ind w:firstLine="0"/>
        <w:rPr>
          <w:spacing w:val="-3"/>
          <w:szCs w:val="24"/>
          <w:lang w:eastAsia="en-US"/>
        </w:rPr>
      </w:pPr>
      <w:r w:rsidRPr="00255659">
        <w:rPr>
          <w:spacing w:val="-3"/>
          <w:szCs w:val="24"/>
          <w:lang w:eastAsia="en-US"/>
        </w:rPr>
        <w:t>The reason for this relationship is that when interest rates rise, bondholders, whose interest rates are fixed, often suffered a decrease in the market value of their bonds, experiencing a capital loss.</w:t>
      </w:r>
      <w:r w:rsidR="006B5168">
        <w:rPr>
          <w:spacing w:val="-3"/>
          <w:szCs w:val="24"/>
          <w:lang w:eastAsia="en-US"/>
        </w:rPr>
        <w:t xml:space="preserve"> </w:t>
      </w:r>
      <w:r w:rsidRPr="00255659">
        <w:rPr>
          <w:spacing w:val="-3"/>
          <w:szCs w:val="24"/>
          <w:lang w:eastAsia="en-US"/>
        </w:rPr>
        <w:t>This is referred to as interest rate risk.</w:t>
      </w:r>
      <w:r w:rsidR="006B5168">
        <w:rPr>
          <w:spacing w:val="-3"/>
          <w:szCs w:val="24"/>
          <w:lang w:eastAsia="en-US"/>
        </w:rPr>
        <w:t xml:space="preserve"> </w:t>
      </w:r>
      <w:r w:rsidRPr="00255659">
        <w:rPr>
          <w:spacing w:val="-3"/>
          <w:szCs w:val="24"/>
          <w:lang w:eastAsia="en-US"/>
        </w:rPr>
        <w:t>Stockholders, on the other hand, are more concerned with the firm</w:t>
      </w:r>
      <w:r w:rsidR="00255659">
        <w:rPr>
          <w:spacing w:val="-3"/>
          <w:szCs w:val="24"/>
          <w:lang w:eastAsia="en-US"/>
        </w:rPr>
        <w:t>’</w:t>
      </w:r>
      <w:r w:rsidRPr="00255659">
        <w:rPr>
          <w:spacing w:val="-3"/>
          <w:szCs w:val="24"/>
          <w:lang w:eastAsia="en-US"/>
        </w:rPr>
        <w:t>s earning power.</w:t>
      </w:r>
    </w:p>
    <w:p w:rsidR="00E92A13" w:rsidRDefault="007852E7" w:rsidP="00540A76">
      <w:pPr>
        <w:pStyle w:val="answer"/>
        <w:ind w:firstLine="0"/>
        <w:rPr>
          <w:spacing w:val="-3"/>
          <w:szCs w:val="24"/>
          <w:lang w:eastAsia="en-US"/>
        </w:rPr>
      </w:pPr>
      <w:r w:rsidRPr="00255659">
        <w:rPr>
          <w:spacing w:val="-3"/>
          <w:szCs w:val="24"/>
          <w:lang w:eastAsia="en-US"/>
        </w:rPr>
        <w:t>In order to avoid interest rate risk in an environment of rising interest rates, investors tend to become more willing to undertake equity investments which, although subject to some fear of loss of earning power, are less sensitive to the fear of interest rate risk.</w:t>
      </w:r>
      <w:r w:rsidR="006B5168">
        <w:rPr>
          <w:spacing w:val="-3"/>
          <w:szCs w:val="24"/>
          <w:lang w:eastAsia="en-US"/>
        </w:rPr>
        <w:t xml:space="preserve"> </w:t>
      </w:r>
      <w:r w:rsidRPr="00255659">
        <w:rPr>
          <w:spacing w:val="-3"/>
          <w:szCs w:val="24"/>
          <w:lang w:eastAsia="en-US"/>
        </w:rPr>
        <w:t>The resulting increase in the supply of funds available for such equity investments causes a downward pressure on the market price for equity.</w:t>
      </w:r>
    </w:p>
    <w:p w:rsidR="000F052F" w:rsidRPr="00255659" w:rsidRDefault="007852E7" w:rsidP="00540A76">
      <w:pPr>
        <w:pStyle w:val="answer"/>
        <w:ind w:firstLine="0"/>
        <w:rPr>
          <w:spacing w:val="-3"/>
          <w:szCs w:val="24"/>
          <w:lang w:eastAsia="en-US"/>
        </w:rPr>
      </w:pPr>
      <w:r w:rsidRPr="00255659">
        <w:rPr>
          <w:spacing w:val="-3"/>
          <w:szCs w:val="24"/>
          <w:lang w:eastAsia="en-US"/>
        </w:rPr>
        <w:t>So, generally it is observed that if bondholders</w:t>
      </w:r>
      <w:r w:rsidR="00255659">
        <w:rPr>
          <w:spacing w:val="-3"/>
          <w:szCs w:val="24"/>
          <w:lang w:eastAsia="en-US"/>
        </w:rPr>
        <w:t>’</w:t>
      </w:r>
      <w:r w:rsidRPr="00255659">
        <w:rPr>
          <w:spacing w:val="-3"/>
          <w:szCs w:val="24"/>
          <w:lang w:eastAsia="en-US"/>
        </w:rPr>
        <w:t xml:space="preserve"> fear of interest rate risk exceeds shareholders</w:t>
      </w:r>
      <w:r w:rsidR="00255659">
        <w:rPr>
          <w:spacing w:val="-3"/>
          <w:szCs w:val="24"/>
          <w:lang w:eastAsia="en-US"/>
        </w:rPr>
        <w:t>’</w:t>
      </w:r>
      <w:r w:rsidRPr="00255659">
        <w:rPr>
          <w:spacing w:val="-3"/>
          <w:szCs w:val="24"/>
          <w:lang w:eastAsia="en-US"/>
        </w:rPr>
        <w:t xml:space="preserve"> fear of loss of earning power, the risk differential will narrow and </w:t>
      </w:r>
      <w:r w:rsidRPr="00255659">
        <w:rPr>
          <w:spacing w:val="-3"/>
          <w:szCs w:val="24"/>
          <w:lang w:eastAsia="en-US"/>
        </w:rPr>
        <w:lastRenderedPageBreak/>
        <w:t>hence the risk premium will shrink.</w:t>
      </w:r>
      <w:r w:rsidR="006B5168">
        <w:rPr>
          <w:spacing w:val="-3"/>
          <w:szCs w:val="24"/>
          <w:lang w:eastAsia="en-US"/>
        </w:rPr>
        <w:t xml:space="preserve"> </w:t>
      </w:r>
      <w:r w:rsidRPr="00255659">
        <w:rPr>
          <w:spacing w:val="-3"/>
          <w:szCs w:val="24"/>
          <w:lang w:eastAsia="en-US"/>
        </w:rPr>
        <w:t>This is particularly true in high inflation environments.</w:t>
      </w:r>
      <w:r w:rsidR="006B5168">
        <w:rPr>
          <w:spacing w:val="-3"/>
          <w:szCs w:val="24"/>
          <w:lang w:eastAsia="en-US"/>
        </w:rPr>
        <w:t xml:space="preserve"> </w:t>
      </w:r>
      <w:r w:rsidRPr="00255659">
        <w:rPr>
          <w:spacing w:val="-3"/>
          <w:szCs w:val="24"/>
          <w:lang w:eastAsia="en-US"/>
        </w:rPr>
        <w:t>Interest rates rise as a result of accelerating inflation, and the interest rate risk of bonds intensifies more than the earnings risk of common stocks, which are partially hedged from the ravages of inflation.</w:t>
      </w:r>
      <w:r w:rsidR="006B5168">
        <w:rPr>
          <w:spacing w:val="-3"/>
          <w:szCs w:val="24"/>
          <w:lang w:eastAsia="en-US"/>
        </w:rPr>
        <w:t xml:space="preserve"> </w:t>
      </w:r>
      <w:r w:rsidRPr="00255659">
        <w:rPr>
          <w:spacing w:val="-3"/>
          <w:szCs w:val="24"/>
          <w:lang w:eastAsia="en-US"/>
        </w:rPr>
        <w:t xml:space="preserve">This phenomenon has been termed as a </w:t>
      </w:r>
      <w:r w:rsidR="00255659">
        <w:rPr>
          <w:spacing w:val="-3"/>
          <w:szCs w:val="24"/>
          <w:lang w:eastAsia="en-US"/>
        </w:rPr>
        <w:t>“</w:t>
      </w:r>
      <w:r w:rsidRPr="00255659">
        <w:rPr>
          <w:spacing w:val="-3"/>
          <w:szCs w:val="24"/>
          <w:lang w:eastAsia="en-US"/>
        </w:rPr>
        <w:t>lock</w:t>
      </w:r>
      <w:r w:rsidRPr="00255659">
        <w:rPr>
          <w:spacing w:val="-3"/>
          <w:szCs w:val="24"/>
          <w:lang w:eastAsia="en-US"/>
        </w:rPr>
        <w:noBreakHyphen/>
        <w:t>in</w:t>
      </w:r>
      <w:r w:rsidR="00255659">
        <w:rPr>
          <w:spacing w:val="-3"/>
          <w:szCs w:val="24"/>
          <w:lang w:eastAsia="en-US"/>
        </w:rPr>
        <w:t>”</w:t>
      </w:r>
      <w:r w:rsidRPr="00255659">
        <w:rPr>
          <w:spacing w:val="-3"/>
          <w:szCs w:val="24"/>
          <w:lang w:eastAsia="en-US"/>
        </w:rPr>
        <w:t xml:space="preserve"> premium.</w:t>
      </w:r>
      <w:r w:rsidR="006B5168">
        <w:rPr>
          <w:spacing w:val="-3"/>
          <w:szCs w:val="24"/>
          <w:lang w:eastAsia="en-US"/>
        </w:rPr>
        <w:t xml:space="preserve"> </w:t>
      </w:r>
      <w:r w:rsidRPr="00255659">
        <w:rPr>
          <w:spacing w:val="-3"/>
          <w:szCs w:val="24"/>
          <w:lang w:eastAsia="en-US"/>
        </w:rPr>
        <w:t>Conversely in low interest rate environments, as is the case currently, when bondholders</w:t>
      </w:r>
      <w:r w:rsidR="00255659">
        <w:rPr>
          <w:spacing w:val="-3"/>
          <w:szCs w:val="24"/>
          <w:lang w:eastAsia="en-US"/>
        </w:rPr>
        <w:t>’</w:t>
      </w:r>
      <w:r w:rsidRPr="00255659">
        <w:rPr>
          <w:spacing w:val="-3"/>
          <w:szCs w:val="24"/>
          <w:lang w:eastAsia="en-US"/>
        </w:rPr>
        <w:t xml:space="preserve"> interest rate fears subside and shareholders</w:t>
      </w:r>
      <w:r w:rsidR="00255659">
        <w:rPr>
          <w:spacing w:val="-3"/>
          <w:szCs w:val="24"/>
          <w:lang w:eastAsia="en-US"/>
        </w:rPr>
        <w:t>’</w:t>
      </w:r>
      <w:r w:rsidRPr="00255659">
        <w:rPr>
          <w:spacing w:val="-3"/>
          <w:szCs w:val="24"/>
          <w:lang w:eastAsia="en-US"/>
        </w:rPr>
        <w:t xml:space="preserve"> loss of earning power dominate, the risk differential will widen and hence the risk premium will increase.</w:t>
      </w:r>
    </w:p>
    <w:p w:rsidR="000F052F" w:rsidRPr="00255659" w:rsidRDefault="007852E7" w:rsidP="00540A76">
      <w:pPr>
        <w:pStyle w:val="answer"/>
        <w:ind w:firstLine="0"/>
        <w:rPr>
          <w:szCs w:val="24"/>
        </w:rPr>
      </w:pPr>
      <w:r w:rsidRPr="00255659">
        <w:rPr>
          <w:szCs w:val="24"/>
        </w:rPr>
        <w:t>These empirical studies show that equity risk premiums have consistently increased as interest rates have declined. This result is a simple reflection of the fact that required rates of return in the stock market are not entirely dependent on changes in interest rates.</w:t>
      </w:r>
      <w:r w:rsidR="006B5168">
        <w:rPr>
          <w:szCs w:val="24"/>
        </w:rPr>
        <w:t xml:space="preserve"> </w:t>
      </w:r>
      <w:r w:rsidRPr="00255659">
        <w:rPr>
          <w:szCs w:val="24"/>
        </w:rPr>
        <w:t xml:space="preserve">Because utilities have to compete with other companies and with other types of equity investments for money, the </w:t>
      </w:r>
      <w:r w:rsidR="007603AD">
        <w:rPr>
          <w:szCs w:val="24"/>
        </w:rPr>
        <w:t xml:space="preserve">return on equity </w:t>
      </w:r>
      <w:r w:rsidRPr="00255659">
        <w:rPr>
          <w:szCs w:val="24"/>
        </w:rPr>
        <w:t>for utilities does not change by as much as the observed changes in interest rates. The use of an unadjusted simple average of long-term equity risk premiums with current interest rates would be simply wrong.</w:t>
      </w:r>
      <w:r w:rsidR="006B5168">
        <w:rPr>
          <w:szCs w:val="24"/>
        </w:rPr>
        <w:t xml:space="preserve"> </w:t>
      </w:r>
      <w:r w:rsidRPr="00255659">
        <w:rPr>
          <w:szCs w:val="24"/>
        </w:rPr>
        <w:t xml:space="preserve">Such an approach would consistently understate the required </w:t>
      </w:r>
      <w:r w:rsidR="007603AD">
        <w:rPr>
          <w:szCs w:val="24"/>
        </w:rPr>
        <w:t>return on equity</w:t>
      </w:r>
      <w:r w:rsidRPr="00255659">
        <w:rPr>
          <w:szCs w:val="24"/>
        </w:rPr>
        <w:t>.</w:t>
      </w:r>
    </w:p>
    <w:p w:rsidR="007852E7" w:rsidRPr="00255659" w:rsidRDefault="007852E7" w:rsidP="00540A76">
      <w:pPr>
        <w:pStyle w:val="answer"/>
        <w:ind w:firstLine="0"/>
        <w:rPr>
          <w:rFonts w:eastAsia="SimSun"/>
        </w:rPr>
      </w:pPr>
      <w:r w:rsidRPr="00255659">
        <w:rPr>
          <w:szCs w:val="24"/>
          <w:lang w:eastAsia="en-US"/>
        </w:rPr>
        <w:t xml:space="preserve">In short, the empirical evidence from the published academic literature demonstrates that the risk premium varies inversely with the level of interest rates, contrary to </w:t>
      </w:r>
      <w:r w:rsidR="00E51C96" w:rsidRPr="00255659">
        <w:rPr>
          <w:rFonts w:eastAsia="SimSun"/>
        </w:rPr>
        <w:t>Mr.</w:t>
      </w:r>
      <w:r w:rsidR="00E51C96">
        <w:rPr>
          <w:rFonts w:eastAsia="SimSun"/>
        </w:rPr>
        <w:t> </w:t>
      </w:r>
      <w:r w:rsidRPr="00255659">
        <w:rPr>
          <w:szCs w:val="24"/>
          <w:lang w:eastAsia="en-US"/>
        </w:rPr>
        <w:t>Gorman</w:t>
      </w:r>
      <w:r w:rsidR="00255659">
        <w:rPr>
          <w:szCs w:val="24"/>
          <w:lang w:eastAsia="en-US"/>
        </w:rPr>
        <w:t>’</w:t>
      </w:r>
      <w:r w:rsidRPr="00255659">
        <w:rPr>
          <w:szCs w:val="24"/>
          <w:lang w:eastAsia="en-US"/>
        </w:rPr>
        <w:t>s view.</w:t>
      </w:r>
      <w:r w:rsidR="006B5168">
        <w:rPr>
          <w:szCs w:val="24"/>
          <w:lang w:eastAsia="en-US"/>
        </w:rPr>
        <w:t xml:space="preserve"> </w:t>
      </w:r>
      <w:r w:rsidRPr="00255659">
        <w:rPr>
          <w:szCs w:val="24"/>
          <w:lang w:eastAsia="en-US"/>
        </w:rPr>
        <w:t xml:space="preserve">The relationship remains true today, as evidenced by the graph </w:t>
      </w:r>
      <w:r w:rsidR="007603AD">
        <w:rPr>
          <w:szCs w:val="24"/>
          <w:lang w:eastAsia="en-US"/>
        </w:rPr>
        <w:t xml:space="preserve">provided on page 53 of my </w:t>
      </w:r>
      <w:r w:rsidRPr="00255659">
        <w:rPr>
          <w:szCs w:val="24"/>
          <w:lang w:eastAsia="en-US"/>
        </w:rPr>
        <w:t>direct testimony.</w:t>
      </w:r>
    </w:p>
    <w:p w:rsidR="007852E7" w:rsidRPr="00255659" w:rsidRDefault="007603AD" w:rsidP="00540A76">
      <w:pPr>
        <w:pStyle w:val="Heading2"/>
        <w:rPr>
          <w:lang w:eastAsia="en-US"/>
        </w:rPr>
      </w:pPr>
      <w:bookmarkStart w:id="79" w:name="_Toc489887901"/>
      <w:r>
        <w:rPr>
          <w:lang w:eastAsia="en-US"/>
        </w:rPr>
        <w:lastRenderedPageBreak/>
        <w:t>E</w:t>
      </w:r>
      <w:r w:rsidR="00A01731" w:rsidRPr="00255659">
        <w:rPr>
          <w:lang w:eastAsia="en-US"/>
        </w:rPr>
        <w:t>.</w:t>
      </w:r>
      <w:r w:rsidR="00A01731" w:rsidRPr="00255659">
        <w:rPr>
          <w:lang w:eastAsia="en-US"/>
        </w:rPr>
        <w:tab/>
      </w:r>
      <w:r w:rsidR="004D1F15">
        <w:rPr>
          <w:lang w:eastAsia="en-US"/>
        </w:rPr>
        <w:t xml:space="preserve">The Commission Should Expressly Reject </w:t>
      </w:r>
      <w:r w:rsidR="004D1F15" w:rsidRPr="00255659">
        <w:t>Mr.</w:t>
      </w:r>
      <w:r w:rsidR="004D1F15">
        <w:t> </w:t>
      </w:r>
      <w:r w:rsidR="004D1F15" w:rsidRPr="00255659">
        <w:rPr>
          <w:snapToGrid w:val="0"/>
          <w:lang w:eastAsia="en-US"/>
        </w:rPr>
        <w:t>Gorman</w:t>
      </w:r>
      <w:r w:rsidR="004D1F15">
        <w:rPr>
          <w:snapToGrid w:val="0"/>
          <w:lang w:eastAsia="en-US"/>
        </w:rPr>
        <w:t>’</w:t>
      </w:r>
      <w:r w:rsidR="004D1F15" w:rsidRPr="00255659">
        <w:rPr>
          <w:snapToGrid w:val="0"/>
          <w:lang w:eastAsia="en-US"/>
        </w:rPr>
        <w:t xml:space="preserve">s </w:t>
      </w:r>
      <w:r w:rsidR="004D1F15">
        <w:rPr>
          <w:snapToGrid w:val="0"/>
          <w:lang w:eastAsia="en-US"/>
        </w:rPr>
        <w:t>Recommendation to A</w:t>
      </w:r>
      <w:r w:rsidR="004D1F15" w:rsidRPr="00255659">
        <w:rPr>
          <w:snapToGrid w:val="0"/>
          <w:lang w:eastAsia="en-US"/>
        </w:rPr>
        <w:t>djust PSE</w:t>
      </w:r>
      <w:r w:rsidR="004D1F15">
        <w:rPr>
          <w:snapToGrid w:val="0"/>
          <w:lang w:eastAsia="en-US"/>
        </w:rPr>
        <w:t>’</w:t>
      </w:r>
      <w:r w:rsidR="004D1F15" w:rsidRPr="00255659">
        <w:rPr>
          <w:snapToGrid w:val="0"/>
          <w:lang w:eastAsia="en-US"/>
        </w:rPr>
        <w:t xml:space="preserve">s </w:t>
      </w:r>
      <w:r w:rsidR="004D1F15">
        <w:rPr>
          <w:snapToGrid w:val="0"/>
          <w:lang w:eastAsia="en-US"/>
        </w:rPr>
        <w:t>Return on Equity D</w:t>
      </w:r>
      <w:r w:rsidR="004D1F15" w:rsidRPr="00255659">
        <w:rPr>
          <w:snapToGrid w:val="0"/>
          <w:lang w:eastAsia="en-US"/>
        </w:rPr>
        <w:t xml:space="preserve">ownward in the </w:t>
      </w:r>
      <w:r w:rsidR="004D1F15">
        <w:rPr>
          <w:snapToGrid w:val="0"/>
          <w:lang w:eastAsia="en-US"/>
        </w:rPr>
        <w:t>E</w:t>
      </w:r>
      <w:r w:rsidR="004D1F15" w:rsidRPr="00255659">
        <w:rPr>
          <w:snapToGrid w:val="0"/>
          <w:lang w:eastAsia="en-US"/>
        </w:rPr>
        <w:t xml:space="preserve">vent </w:t>
      </w:r>
      <w:r w:rsidR="004D1F15">
        <w:rPr>
          <w:snapToGrid w:val="0"/>
          <w:lang w:eastAsia="en-US"/>
        </w:rPr>
        <w:t>R</w:t>
      </w:r>
      <w:r w:rsidR="004D1F15" w:rsidRPr="00255659">
        <w:rPr>
          <w:snapToGrid w:val="0"/>
          <w:lang w:eastAsia="en-US"/>
        </w:rPr>
        <w:t xml:space="preserve">evenue </w:t>
      </w:r>
      <w:r w:rsidR="004D1F15">
        <w:rPr>
          <w:snapToGrid w:val="0"/>
          <w:lang w:eastAsia="en-US"/>
        </w:rPr>
        <w:t>D</w:t>
      </w:r>
      <w:r w:rsidR="004D1F15" w:rsidRPr="00255659">
        <w:rPr>
          <w:snapToGrid w:val="0"/>
          <w:lang w:eastAsia="en-US"/>
        </w:rPr>
        <w:t xml:space="preserve">ecoupling </w:t>
      </w:r>
      <w:r w:rsidR="004D1F15">
        <w:rPr>
          <w:snapToGrid w:val="0"/>
          <w:lang w:eastAsia="en-US"/>
        </w:rPr>
        <w:t>C</w:t>
      </w:r>
      <w:r w:rsidR="004D1F15" w:rsidRPr="00255659">
        <w:rPr>
          <w:snapToGrid w:val="0"/>
          <w:lang w:eastAsia="en-US"/>
        </w:rPr>
        <w:t>ontinue</w:t>
      </w:r>
      <w:r w:rsidR="004D1F15">
        <w:rPr>
          <w:snapToGrid w:val="0"/>
          <w:lang w:eastAsia="en-US"/>
        </w:rPr>
        <w:t>s</w:t>
      </w:r>
      <w:bookmarkEnd w:id="79"/>
    </w:p>
    <w:p w:rsidR="007852E7" w:rsidRPr="00255659" w:rsidRDefault="007852E7" w:rsidP="00540A76">
      <w:pPr>
        <w:pStyle w:val="question"/>
      </w:pPr>
      <w:r w:rsidRPr="00255659">
        <w:rPr>
          <w:snapToGrid w:val="0"/>
          <w:lang w:eastAsia="en-US"/>
        </w:rPr>
        <w:t>Q.</w:t>
      </w:r>
      <w:r w:rsidR="00A01731" w:rsidRPr="00255659">
        <w:rPr>
          <w:snapToGrid w:val="0"/>
          <w:lang w:eastAsia="en-US"/>
        </w:rPr>
        <w:tab/>
      </w:r>
      <w:r w:rsidR="000F052F" w:rsidRPr="00255659">
        <w:rPr>
          <w:snapToGrid w:val="0"/>
          <w:lang w:eastAsia="en-US"/>
        </w:rPr>
        <w:t xml:space="preserve">Do you agree with </w:t>
      </w:r>
      <w:r w:rsidR="00E51C96" w:rsidRPr="00255659">
        <w:t>Mr.</w:t>
      </w:r>
      <w:r w:rsidR="00E51C96">
        <w:t> </w:t>
      </w:r>
      <w:r w:rsidR="000F052F" w:rsidRPr="00255659">
        <w:rPr>
          <w:snapToGrid w:val="0"/>
          <w:lang w:eastAsia="en-US"/>
        </w:rPr>
        <w:t>Gorman</w:t>
      </w:r>
      <w:r w:rsidR="00255659">
        <w:rPr>
          <w:snapToGrid w:val="0"/>
          <w:lang w:eastAsia="en-US"/>
        </w:rPr>
        <w:t>’</w:t>
      </w:r>
      <w:r w:rsidR="000F052F" w:rsidRPr="00255659">
        <w:rPr>
          <w:snapToGrid w:val="0"/>
          <w:lang w:eastAsia="en-US"/>
        </w:rPr>
        <w:t xml:space="preserve">s </w:t>
      </w:r>
      <w:r w:rsidR="00160D91">
        <w:rPr>
          <w:snapToGrid w:val="0"/>
          <w:lang w:eastAsia="en-US"/>
        </w:rPr>
        <w:t xml:space="preserve">recommendation </w:t>
      </w:r>
      <w:r w:rsidR="000F052F" w:rsidRPr="00255659">
        <w:rPr>
          <w:snapToGrid w:val="0"/>
          <w:lang w:eastAsia="en-US"/>
        </w:rPr>
        <w:t xml:space="preserve">that the </w:t>
      </w:r>
      <w:r w:rsidR="00160D91">
        <w:rPr>
          <w:snapToGrid w:val="0"/>
          <w:lang w:eastAsia="en-US"/>
        </w:rPr>
        <w:t>C</w:t>
      </w:r>
      <w:r w:rsidR="000F052F" w:rsidRPr="00255659">
        <w:rPr>
          <w:snapToGrid w:val="0"/>
          <w:lang w:eastAsia="en-US"/>
        </w:rPr>
        <w:t>ommission should adjust PSE</w:t>
      </w:r>
      <w:r w:rsidR="00255659">
        <w:rPr>
          <w:snapToGrid w:val="0"/>
          <w:lang w:eastAsia="en-US"/>
        </w:rPr>
        <w:t>’</w:t>
      </w:r>
      <w:r w:rsidR="000F052F" w:rsidRPr="00255659">
        <w:rPr>
          <w:snapToGrid w:val="0"/>
          <w:lang w:eastAsia="en-US"/>
        </w:rPr>
        <w:t xml:space="preserve">s </w:t>
      </w:r>
      <w:r w:rsidR="00160D91">
        <w:rPr>
          <w:snapToGrid w:val="0"/>
          <w:lang w:eastAsia="en-US"/>
        </w:rPr>
        <w:t xml:space="preserve">return on equity </w:t>
      </w:r>
      <w:r w:rsidR="000F052F" w:rsidRPr="00255659">
        <w:rPr>
          <w:snapToGrid w:val="0"/>
          <w:lang w:eastAsia="en-US"/>
        </w:rPr>
        <w:t>downward in the event revenue decoupling is continued</w:t>
      </w:r>
      <w:r w:rsidRPr="00255659">
        <w:rPr>
          <w:snapToGrid w:val="0"/>
          <w:lang w:eastAsia="en-US"/>
        </w:rPr>
        <w:t>?</w:t>
      </w:r>
    </w:p>
    <w:p w:rsidR="00160D91" w:rsidRDefault="007852E7" w:rsidP="00540A76">
      <w:pPr>
        <w:pStyle w:val="answer"/>
        <w:rPr>
          <w:snapToGrid w:val="0"/>
          <w:lang w:eastAsia="en-US"/>
        </w:rPr>
      </w:pPr>
      <w:r w:rsidRPr="00255659">
        <w:rPr>
          <w:snapToGrid w:val="0"/>
          <w:lang w:eastAsia="en-US"/>
        </w:rPr>
        <w:t>A.</w:t>
      </w:r>
      <w:r w:rsidR="000F052F" w:rsidRPr="00255659">
        <w:rPr>
          <w:snapToGrid w:val="0"/>
          <w:lang w:eastAsia="en-US"/>
        </w:rPr>
        <w:tab/>
      </w:r>
      <w:r w:rsidR="00160D91">
        <w:rPr>
          <w:snapToGrid w:val="0"/>
          <w:lang w:eastAsia="en-US"/>
        </w:rPr>
        <w:t xml:space="preserve">No. </w:t>
      </w:r>
      <w:r w:rsidR="00E51C96" w:rsidRPr="00255659">
        <w:rPr>
          <w:rFonts w:eastAsia="SimSun"/>
        </w:rPr>
        <w:t>Mr.</w:t>
      </w:r>
      <w:r w:rsidR="00E51C96">
        <w:rPr>
          <w:rFonts w:eastAsia="SimSun"/>
        </w:rPr>
        <w:t> </w:t>
      </w:r>
      <w:r w:rsidRPr="00255659">
        <w:rPr>
          <w:snapToGrid w:val="0"/>
          <w:lang w:eastAsia="en-US"/>
        </w:rPr>
        <w:t>Gorman</w:t>
      </w:r>
      <w:r w:rsidRPr="00255659">
        <w:rPr>
          <w:snapToGrid w:val="0"/>
          <w:szCs w:val="24"/>
          <w:lang w:eastAsia="en-US"/>
        </w:rPr>
        <w:t xml:space="preserve"> </w:t>
      </w:r>
      <w:r w:rsidRPr="00255659">
        <w:rPr>
          <w:snapToGrid w:val="0"/>
          <w:lang w:eastAsia="en-US"/>
        </w:rPr>
        <w:t>recommends that the Commission adjust PSE</w:t>
      </w:r>
      <w:r w:rsidR="00255659">
        <w:rPr>
          <w:snapToGrid w:val="0"/>
          <w:lang w:eastAsia="en-US"/>
        </w:rPr>
        <w:t>’</w:t>
      </w:r>
      <w:r w:rsidRPr="00255659">
        <w:rPr>
          <w:snapToGrid w:val="0"/>
          <w:lang w:eastAsia="en-US"/>
        </w:rPr>
        <w:t xml:space="preserve">s </w:t>
      </w:r>
      <w:r w:rsidR="00160D91">
        <w:rPr>
          <w:snapToGrid w:val="0"/>
          <w:lang w:eastAsia="en-US"/>
        </w:rPr>
        <w:t xml:space="preserve">return on equity </w:t>
      </w:r>
      <w:r w:rsidRPr="00255659">
        <w:rPr>
          <w:snapToGrid w:val="0"/>
          <w:lang w:eastAsia="en-US"/>
        </w:rPr>
        <w:t xml:space="preserve">downward in order to account for </w:t>
      </w:r>
      <w:r w:rsidR="00160D91">
        <w:rPr>
          <w:snapToGrid w:val="0"/>
          <w:lang w:eastAsia="en-US"/>
        </w:rPr>
        <w:t xml:space="preserve">PSE’s </w:t>
      </w:r>
      <w:r w:rsidR="00160D91" w:rsidRPr="00255659">
        <w:rPr>
          <w:lang w:eastAsia="en-US"/>
        </w:rPr>
        <w:t xml:space="preserve">revenue decoupling mechanism </w:t>
      </w:r>
      <w:r w:rsidRPr="00255659">
        <w:rPr>
          <w:lang w:eastAsia="en-US"/>
        </w:rPr>
        <w:t xml:space="preserve">because he argues that such a mechanism reduces </w:t>
      </w:r>
      <w:r w:rsidR="00160D91">
        <w:rPr>
          <w:lang w:eastAsia="en-US"/>
        </w:rPr>
        <w:t xml:space="preserve">PSE’s </w:t>
      </w:r>
      <w:r w:rsidRPr="00255659">
        <w:rPr>
          <w:lang w:eastAsia="en-US"/>
        </w:rPr>
        <w:t>risk.</w:t>
      </w:r>
      <w:r w:rsidR="00160D91">
        <w:rPr>
          <w:rStyle w:val="FootnoteReference"/>
          <w:lang w:eastAsia="en-US"/>
        </w:rPr>
        <w:footnoteReference w:id="100"/>
      </w:r>
      <w:r w:rsidR="006B5168">
        <w:rPr>
          <w:lang w:eastAsia="en-US"/>
        </w:rPr>
        <w:t xml:space="preserve"> </w:t>
      </w:r>
      <w:r w:rsidRPr="00255659">
        <w:rPr>
          <w:snapToGrid w:val="0"/>
          <w:szCs w:val="24"/>
          <w:lang w:eastAsia="en-US"/>
        </w:rPr>
        <w:t xml:space="preserve">Although risk-mitigating mechanisms, such as </w:t>
      </w:r>
      <w:r w:rsidR="00160D91">
        <w:rPr>
          <w:snapToGrid w:val="0"/>
          <w:szCs w:val="24"/>
          <w:lang w:eastAsia="en-US"/>
        </w:rPr>
        <w:t>PSE’s revenue decoupling mechanism</w:t>
      </w:r>
      <w:r w:rsidRPr="00255659">
        <w:rPr>
          <w:snapToGrid w:val="0"/>
          <w:szCs w:val="24"/>
          <w:lang w:eastAsia="en-US"/>
        </w:rPr>
        <w:t>, may reduce risk on an absolute basis, they do not necessarily do so on a relative basis (i.e., compared to other utilities).</w:t>
      </w:r>
      <w:r w:rsidR="006B5168">
        <w:rPr>
          <w:snapToGrid w:val="0"/>
          <w:szCs w:val="24"/>
          <w:lang w:eastAsia="en-US"/>
        </w:rPr>
        <w:t xml:space="preserve"> </w:t>
      </w:r>
      <w:r w:rsidRPr="00255659">
        <w:rPr>
          <w:snapToGrid w:val="0"/>
          <w:szCs w:val="24"/>
          <w:lang w:eastAsia="en-US"/>
        </w:rPr>
        <w:t>For example, a</w:t>
      </w:r>
      <w:r w:rsidRPr="00255659">
        <w:rPr>
          <w:snapToGrid w:val="0"/>
          <w:lang w:eastAsia="en-US"/>
        </w:rPr>
        <w:t xml:space="preserve"> fuel adjustment clause </w:t>
      </w:r>
      <w:r w:rsidRPr="00255659">
        <w:rPr>
          <w:snapToGrid w:val="0"/>
          <w:szCs w:val="24"/>
          <w:lang w:eastAsia="en-US"/>
        </w:rPr>
        <w:t>may reduce absolute risk, but it does not reduce relative risk because most electric</w:t>
      </w:r>
      <w:r w:rsidRPr="00255659">
        <w:rPr>
          <w:snapToGrid w:val="0"/>
          <w:lang w:eastAsia="en-US"/>
        </w:rPr>
        <w:t xml:space="preserve"> </w:t>
      </w:r>
      <w:r w:rsidRPr="00255659">
        <w:rPr>
          <w:snapToGrid w:val="0"/>
          <w:szCs w:val="24"/>
          <w:lang w:eastAsia="en-US"/>
        </w:rPr>
        <w:t xml:space="preserve">utilities in the industry have </w:t>
      </w:r>
      <w:r w:rsidRPr="00255659">
        <w:rPr>
          <w:snapToGrid w:val="0"/>
          <w:lang w:eastAsia="en-US"/>
        </w:rPr>
        <w:t>similar mechanisms.</w:t>
      </w:r>
    </w:p>
    <w:p w:rsidR="000F052F" w:rsidRPr="00160D91" w:rsidRDefault="004E11B4" w:rsidP="00160D91">
      <w:pPr>
        <w:pStyle w:val="answer"/>
        <w:ind w:firstLine="0"/>
        <w:rPr>
          <w:lang w:eastAsia="en-US"/>
        </w:rPr>
      </w:pPr>
      <w:r>
        <w:rPr>
          <w:snapToGrid w:val="0"/>
          <w:szCs w:val="24"/>
          <w:lang w:eastAsia="en-US"/>
        </w:rPr>
        <w:t>A</w:t>
      </w:r>
      <w:r w:rsidR="007852E7" w:rsidRPr="00255659">
        <w:rPr>
          <w:snapToGrid w:val="0"/>
          <w:szCs w:val="24"/>
          <w:lang w:eastAsia="en-US"/>
        </w:rPr>
        <w:t xml:space="preserve">djustment clauses, </w:t>
      </w:r>
      <w:r w:rsidR="007852E7" w:rsidRPr="00255659">
        <w:rPr>
          <w:snapToGrid w:val="0"/>
          <w:lang w:eastAsia="en-US"/>
        </w:rPr>
        <w:t>revenue decoupling mechanisms</w:t>
      </w:r>
      <w:r>
        <w:rPr>
          <w:snapToGrid w:val="0"/>
          <w:lang w:eastAsia="en-US"/>
        </w:rPr>
        <w:t>,</w:t>
      </w:r>
      <w:r w:rsidR="007852E7" w:rsidRPr="00255659">
        <w:rPr>
          <w:snapToGrid w:val="0"/>
          <w:lang w:eastAsia="en-US"/>
        </w:rPr>
        <w:t xml:space="preserve"> and other risk mitigators</w:t>
      </w:r>
      <w:r>
        <w:rPr>
          <w:snapToGrid w:val="0"/>
          <w:lang w:eastAsia="en-US"/>
        </w:rPr>
        <w:t xml:space="preserve"> (</w:t>
      </w:r>
      <w:r w:rsidR="007852E7" w:rsidRPr="00255659">
        <w:rPr>
          <w:snapToGrid w:val="0"/>
          <w:lang w:eastAsia="en-US"/>
        </w:rPr>
        <w:t xml:space="preserve">such as </w:t>
      </w:r>
      <w:r>
        <w:rPr>
          <w:snapToGrid w:val="0"/>
          <w:szCs w:val="24"/>
          <w:lang w:eastAsia="en-US"/>
        </w:rPr>
        <w:t xml:space="preserve">return on equity </w:t>
      </w:r>
      <w:r w:rsidR="007852E7" w:rsidRPr="00255659">
        <w:rPr>
          <w:snapToGrid w:val="0"/>
          <w:szCs w:val="24"/>
          <w:lang w:eastAsia="en-US"/>
        </w:rPr>
        <w:t>incentives</w:t>
      </w:r>
      <w:r>
        <w:rPr>
          <w:snapToGrid w:val="0"/>
          <w:szCs w:val="24"/>
          <w:lang w:eastAsia="en-US"/>
        </w:rPr>
        <w:t>,</w:t>
      </w:r>
      <w:r w:rsidR="007852E7" w:rsidRPr="00255659">
        <w:rPr>
          <w:snapToGrid w:val="0"/>
          <w:szCs w:val="24"/>
          <w:lang w:eastAsia="en-US"/>
        </w:rPr>
        <w:t xml:space="preserve"> riders, trackers, forward test years, and cost recovery mechanisms</w:t>
      </w:r>
      <w:r>
        <w:rPr>
          <w:snapToGrid w:val="0"/>
          <w:szCs w:val="24"/>
          <w:lang w:eastAsia="en-US"/>
        </w:rPr>
        <w:t>)</w:t>
      </w:r>
      <w:r w:rsidR="007852E7" w:rsidRPr="00255659">
        <w:rPr>
          <w:snapToGrid w:val="0"/>
          <w:szCs w:val="24"/>
          <w:lang w:eastAsia="en-US"/>
        </w:rPr>
        <w:t xml:space="preserve"> </w:t>
      </w:r>
      <w:r>
        <w:rPr>
          <w:snapToGrid w:val="0"/>
          <w:szCs w:val="24"/>
          <w:lang w:eastAsia="en-US"/>
        </w:rPr>
        <w:t xml:space="preserve">authorized </w:t>
      </w:r>
      <w:r w:rsidR="007852E7" w:rsidRPr="00255659">
        <w:rPr>
          <w:snapToGrid w:val="0"/>
          <w:szCs w:val="24"/>
          <w:lang w:eastAsia="en-US"/>
        </w:rPr>
        <w:t xml:space="preserve">by </w:t>
      </w:r>
      <w:r>
        <w:rPr>
          <w:snapToGrid w:val="0"/>
          <w:szCs w:val="24"/>
          <w:lang w:eastAsia="en-US"/>
        </w:rPr>
        <w:t xml:space="preserve">regulatory utility </w:t>
      </w:r>
      <w:r w:rsidR="007852E7" w:rsidRPr="00255659">
        <w:rPr>
          <w:snapToGrid w:val="0"/>
          <w:szCs w:val="24"/>
          <w:lang w:eastAsia="en-US"/>
        </w:rPr>
        <w:t xml:space="preserve">commissions </w:t>
      </w:r>
      <w:r>
        <w:rPr>
          <w:snapToGrid w:val="0"/>
          <w:szCs w:val="24"/>
          <w:lang w:eastAsia="en-US"/>
        </w:rPr>
        <w:t xml:space="preserve">are </w:t>
      </w:r>
      <w:r w:rsidR="007852E7" w:rsidRPr="00255659">
        <w:rPr>
          <w:snapToGrid w:val="0"/>
          <w:szCs w:val="24"/>
          <w:lang w:eastAsia="en-US"/>
        </w:rPr>
        <w:t xml:space="preserve">widespread in the utility business and </w:t>
      </w:r>
      <w:r>
        <w:rPr>
          <w:snapToGrid w:val="0"/>
          <w:szCs w:val="24"/>
          <w:lang w:eastAsia="en-US"/>
        </w:rPr>
        <w:t xml:space="preserve">are </w:t>
      </w:r>
      <w:r w:rsidR="007852E7" w:rsidRPr="00255659">
        <w:rPr>
          <w:snapToGrid w:val="0"/>
          <w:szCs w:val="24"/>
          <w:lang w:eastAsia="en-US"/>
        </w:rPr>
        <w:t xml:space="preserve">already largely embedded in financial data, such as </w:t>
      </w:r>
      <w:r w:rsidR="007852E7" w:rsidRPr="00255659">
        <w:rPr>
          <w:snapToGrid w:val="0"/>
          <w:lang w:eastAsia="en-US"/>
        </w:rPr>
        <w:t xml:space="preserve">stock prices, </w:t>
      </w:r>
      <w:r w:rsidR="007852E7" w:rsidRPr="00255659">
        <w:rPr>
          <w:snapToGrid w:val="0"/>
          <w:szCs w:val="24"/>
          <w:lang w:eastAsia="en-US"/>
        </w:rPr>
        <w:t>bond rating</w:t>
      </w:r>
      <w:r w:rsidR="007852E7" w:rsidRPr="00255659">
        <w:rPr>
          <w:snapToGrid w:val="0"/>
          <w:lang w:eastAsia="en-US"/>
        </w:rPr>
        <w:t>s,</w:t>
      </w:r>
      <w:r w:rsidR="007852E7" w:rsidRPr="00255659">
        <w:rPr>
          <w:snapToGrid w:val="0"/>
          <w:szCs w:val="24"/>
          <w:lang w:eastAsia="en-US"/>
        </w:rPr>
        <w:t xml:space="preserve"> and business risk scores.</w:t>
      </w:r>
      <w:r w:rsidR="007852E7" w:rsidRPr="00255659">
        <w:rPr>
          <w:szCs w:val="24"/>
          <w:lang w:eastAsia="en-US"/>
        </w:rPr>
        <w:t xml:space="preserve"> Moreover, it is important to note that investors generally do not associate specific increments to their return requirements with specific rate structures.</w:t>
      </w:r>
      <w:r w:rsidR="006B5168">
        <w:rPr>
          <w:szCs w:val="24"/>
          <w:lang w:eastAsia="en-US"/>
        </w:rPr>
        <w:t xml:space="preserve"> </w:t>
      </w:r>
      <w:r w:rsidR="007852E7" w:rsidRPr="00255659">
        <w:rPr>
          <w:szCs w:val="24"/>
          <w:lang w:eastAsia="en-US"/>
        </w:rPr>
        <w:t xml:space="preserve">Rather, investors tend to </w:t>
      </w:r>
      <w:r w:rsidR="007852E7" w:rsidRPr="00255659">
        <w:rPr>
          <w:szCs w:val="24"/>
          <w:lang w:eastAsia="en-US"/>
        </w:rPr>
        <w:lastRenderedPageBreak/>
        <w:t>look at the totality of risk-mitigating mechanisms in place relative to those in place at comparable companies when assessing risk.</w:t>
      </w:r>
    </w:p>
    <w:p w:rsidR="000F052F" w:rsidRPr="00255659" w:rsidRDefault="007852E7" w:rsidP="00540A76">
      <w:pPr>
        <w:pStyle w:val="answer"/>
        <w:ind w:firstLine="0"/>
        <w:rPr>
          <w:rFonts w:eastAsia="SimSun"/>
        </w:rPr>
      </w:pPr>
      <w:r w:rsidRPr="00255659">
        <w:rPr>
          <w:rFonts w:eastAsia="SimSun"/>
          <w:snapToGrid w:val="0"/>
          <w:szCs w:val="24"/>
          <w:lang w:eastAsia="en-US"/>
        </w:rPr>
        <w:t>Although adjustment clauses, riders, and cost tracking mechanisms may mitigate (on an absolute basis but not on a relative basis) a portion of the risk and uncertainty related to the day-to-day management of PSE</w:t>
      </w:r>
      <w:r w:rsidR="00255659">
        <w:rPr>
          <w:rFonts w:eastAsia="SimSun"/>
          <w:snapToGrid w:val="0"/>
          <w:szCs w:val="24"/>
          <w:lang w:eastAsia="en-US"/>
        </w:rPr>
        <w:t>’</w:t>
      </w:r>
      <w:r w:rsidRPr="00255659">
        <w:rPr>
          <w:rFonts w:eastAsia="SimSun"/>
          <w:snapToGrid w:val="0"/>
          <w:szCs w:val="24"/>
          <w:lang w:eastAsia="en-US"/>
        </w:rPr>
        <w:t>s operations, there are other significant factors to consider that work in the reverse direction for PSE</w:t>
      </w:r>
      <w:r w:rsidR="004E11B4">
        <w:rPr>
          <w:rFonts w:eastAsia="SimSun"/>
          <w:snapToGrid w:val="0"/>
          <w:szCs w:val="24"/>
          <w:lang w:eastAsia="en-US"/>
        </w:rPr>
        <w:t>. F</w:t>
      </w:r>
      <w:r w:rsidRPr="00255659">
        <w:rPr>
          <w:rFonts w:eastAsia="SimSun"/>
          <w:snapToGrid w:val="0"/>
          <w:szCs w:val="24"/>
          <w:lang w:eastAsia="en-US"/>
        </w:rPr>
        <w:t xml:space="preserve">or example, </w:t>
      </w:r>
      <w:r w:rsidR="004E11B4">
        <w:rPr>
          <w:rFonts w:eastAsia="SimSun"/>
          <w:snapToGrid w:val="0"/>
          <w:szCs w:val="24"/>
          <w:lang w:eastAsia="en-US"/>
        </w:rPr>
        <w:t xml:space="preserve">PSE’s has a </w:t>
      </w:r>
      <w:r w:rsidRPr="00255659">
        <w:rPr>
          <w:rFonts w:eastAsia="SimSun"/>
          <w:snapToGrid w:val="0"/>
          <w:szCs w:val="24"/>
          <w:lang w:eastAsia="en-US"/>
        </w:rPr>
        <w:t xml:space="preserve">substantial capital spending program to refurbish an aging infrastructure, </w:t>
      </w:r>
      <w:r w:rsidR="004E11B4">
        <w:rPr>
          <w:rFonts w:eastAsia="SimSun"/>
          <w:snapToGrid w:val="0"/>
          <w:szCs w:val="24"/>
          <w:lang w:eastAsia="en-US"/>
        </w:rPr>
        <w:t xml:space="preserve">is experiencing </w:t>
      </w:r>
      <w:r w:rsidRPr="00255659">
        <w:rPr>
          <w:rFonts w:eastAsia="SimSun"/>
          <w:snapToGrid w:val="0"/>
          <w:szCs w:val="24"/>
          <w:lang w:eastAsia="en-US"/>
        </w:rPr>
        <w:t xml:space="preserve">declining </w:t>
      </w:r>
      <w:r w:rsidR="004E11B4">
        <w:rPr>
          <w:rFonts w:eastAsia="SimSun"/>
          <w:snapToGrid w:val="0"/>
          <w:szCs w:val="24"/>
          <w:lang w:eastAsia="en-US"/>
        </w:rPr>
        <w:t xml:space="preserve">per </w:t>
      </w:r>
      <w:r w:rsidRPr="00255659">
        <w:rPr>
          <w:rFonts w:eastAsia="SimSun"/>
          <w:snapToGrid w:val="0"/>
          <w:szCs w:val="24"/>
          <w:lang w:eastAsia="en-US"/>
        </w:rPr>
        <w:t xml:space="preserve">customer usage, and </w:t>
      </w:r>
      <w:r w:rsidR="004E11B4">
        <w:rPr>
          <w:rFonts w:eastAsia="SimSun"/>
          <w:snapToGrid w:val="0"/>
          <w:szCs w:val="24"/>
          <w:lang w:eastAsia="en-US"/>
        </w:rPr>
        <w:t xml:space="preserve">must </w:t>
      </w:r>
      <w:r w:rsidRPr="00255659">
        <w:rPr>
          <w:rFonts w:eastAsia="SimSun"/>
          <w:snapToGrid w:val="0"/>
          <w:szCs w:val="24"/>
          <w:lang w:eastAsia="en-US"/>
        </w:rPr>
        <w:t>compl</w:t>
      </w:r>
      <w:r w:rsidR="004E11B4">
        <w:rPr>
          <w:rFonts w:eastAsia="SimSun"/>
          <w:snapToGrid w:val="0"/>
          <w:szCs w:val="24"/>
          <w:lang w:eastAsia="en-US"/>
        </w:rPr>
        <w:t>y</w:t>
      </w:r>
      <w:r w:rsidRPr="00255659">
        <w:rPr>
          <w:rFonts w:eastAsia="SimSun"/>
          <w:snapToGrid w:val="0"/>
          <w:szCs w:val="24"/>
          <w:lang w:eastAsia="en-US"/>
        </w:rPr>
        <w:t xml:space="preserve"> with </w:t>
      </w:r>
      <w:r w:rsidR="004E11B4">
        <w:rPr>
          <w:rFonts w:eastAsia="SimSun"/>
          <w:snapToGrid w:val="0"/>
          <w:szCs w:val="24"/>
          <w:lang w:eastAsia="en-US"/>
        </w:rPr>
        <w:t xml:space="preserve">increasingly </w:t>
      </w:r>
      <w:r w:rsidRPr="00255659">
        <w:rPr>
          <w:rFonts w:eastAsia="SimSun"/>
          <w:snapToGrid w:val="0"/>
          <w:szCs w:val="24"/>
          <w:lang w:eastAsia="en-US"/>
        </w:rPr>
        <w:t>stringent environmental and renewables target.</w:t>
      </w:r>
      <w:r w:rsidR="006B5168">
        <w:rPr>
          <w:rFonts w:eastAsia="SimSun"/>
          <w:snapToGrid w:val="0"/>
          <w:szCs w:val="24"/>
          <w:lang w:eastAsia="en-US"/>
        </w:rPr>
        <w:t xml:space="preserve"> </w:t>
      </w:r>
      <w:r w:rsidRPr="00255659">
        <w:rPr>
          <w:rFonts w:eastAsia="SimSun"/>
          <w:snapToGrid w:val="0"/>
          <w:szCs w:val="24"/>
          <w:lang w:eastAsia="en-US"/>
        </w:rPr>
        <w:t>These additional factors largely offset the presence of the aforementioned risk-mitigating mechanisms.</w:t>
      </w:r>
      <w:r w:rsidR="006B5168">
        <w:rPr>
          <w:rFonts w:eastAsia="SimSun"/>
          <w:snapToGrid w:val="0"/>
          <w:szCs w:val="24"/>
          <w:lang w:eastAsia="en-US"/>
        </w:rPr>
        <w:t xml:space="preserve"> </w:t>
      </w:r>
      <w:r w:rsidR="00E51C96" w:rsidRPr="00255659">
        <w:rPr>
          <w:rFonts w:eastAsia="SimSun"/>
        </w:rPr>
        <w:t>Mr.</w:t>
      </w:r>
      <w:r w:rsidR="00E51C96">
        <w:rPr>
          <w:rFonts w:eastAsia="SimSun"/>
        </w:rPr>
        <w:t> </w:t>
      </w:r>
      <w:r w:rsidRPr="00255659">
        <w:rPr>
          <w:rFonts w:eastAsia="SimSun"/>
          <w:snapToGrid w:val="0"/>
          <w:szCs w:val="24"/>
          <w:lang w:eastAsia="en-US"/>
        </w:rPr>
        <w:t xml:space="preserve">Gorman chose not to discuss such factors in his testimony, nor did </w:t>
      </w:r>
      <w:r w:rsidR="00E51C96" w:rsidRPr="00255659">
        <w:rPr>
          <w:rFonts w:eastAsia="SimSun"/>
        </w:rPr>
        <w:t>Mr.</w:t>
      </w:r>
      <w:r w:rsidR="00E51C96">
        <w:rPr>
          <w:rFonts w:eastAsia="SimSun"/>
        </w:rPr>
        <w:t> </w:t>
      </w:r>
      <w:r w:rsidRPr="00255659">
        <w:rPr>
          <w:rFonts w:eastAsia="SimSun"/>
          <w:snapToGrid w:val="0"/>
          <w:szCs w:val="24"/>
          <w:lang w:eastAsia="en-US"/>
        </w:rPr>
        <w:t xml:space="preserve">Gorman offer any opinion as to the magnitude of the downward </w:t>
      </w:r>
      <w:r w:rsidR="004E11B4">
        <w:rPr>
          <w:rFonts w:eastAsia="SimSun"/>
          <w:snapToGrid w:val="0"/>
          <w:szCs w:val="24"/>
          <w:lang w:eastAsia="en-US"/>
        </w:rPr>
        <w:t xml:space="preserve">return on equity </w:t>
      </w:r>
      <w:r w:rsidRPr="00255659">
        <w:rPr>
          <w:rFonts w:eastAsia="SimSun"/>
          <w:snapToGrid w:val="0"/>
          <w:szCs w:val="24"/>
          <w:lang w:eastAsia="en-US"/>
        </w:rPr>
        <w:t xml:space="preserve">adjustment </w:t>
      </w:r>
      <w:r w:rsidR="004E11B4">
        <w:rPr>
          <w:rFonts w:eastAsia="SimSun"/>
          <w:snapToGrid w:val="0"/>
          <w:szCs w:val="24"/>
          <w:lang w:eastAsia="en-US"/>
        </w:rPr>
        <w:t>that he would recommend</w:t>
      </w:r>
      <w:r w:rsidRPr="00255659">
        <w:rPr>
          <w:rFonts w:eastAsia="SimSun"/>
          <w:snapToGrid w:val="0"/>
          <w:szCs w:val="24"/>
          <w:lang w:eastAsia="en-US"/>
        </w:rPr>
        <w:t>.</w:t>
      </w:r>
    </w:p>
    <w:p w:rsidR="004E11B4" w:rsidRPr="004E11B4" w:rsidRDefault="004E11B4" w:rsidP="004E11B4">
      <w:pPr>
        <w:pStyle w:val="question"/>
      </w:pPr>
      <w:r w:rsidRPr="00255659">
        <w:rPr>
          <w:snapToGrid w:val="0"/>
          <w:lang w:eastAsia="en-US"/>
        </w:rPr>
        <w:t>Q.</w:t>
      </w:r>
      <w:r w:rsidRPr="00255659">
        <w:rPr>
          <w:snapToGrid w:val="0"/>
          <w:lang w:eastAsia="en-US"/>
        </w:rPr>
        <w:tab/>
      </w:r>
      <w:r>
        <w:rPr>
          <w:snapToGrid w:val="0"/>
          <w:lang w:eastAsia="en-US"/>
        </w:rPr>
        <w:t xml:space="preserve">What is your </w:t>
      </w:r>
      <w:r w:rsidRPr="00255659">
        <w:rPr>
          <w:snapToGrid w:val="0"/>
          <w:szCs w:val="24"/>
          <w:lang w:eastAsia="en-US"/>
        </w:rPr>
        <w:t xml:space="preserve">view </w:t>
      </w:r>
      <w:r>
        <w:rPr>
          <w:snapToGrid w:val="0"/>
          <w:szCs w:val="24"/>
          <w:lang w:eastAsia="en-US"/>
        </w:rPr>
        <w:t xml:space="preserve">regarding the impact of </w:t>
      </w:r>
      <w:r w:rsidRPr="00255659">
        <w:rPr>
          <w:snapToGrid w:val="0"/>
          <w:szCs w:val="24"/>
          <w:lang w:eastAsia="en-US"/>
        </w:rPr>
        <w:t xml:space="preserve">decoupling on </w:t>
      </w:r>
      <w:r>
        <w:rPr>
          <w:snapToGrid w:val="0"/>
          <w:szCs w:val="24"/>
          <w:lang w:eastAsia="en-US"/>
        </w:rPr>
        <w:t xml:space="preserve">PSE’s </w:t>
      </w:r>
      <w:r w:rsidRPr="00255659">
        <w:rPr>
          <w:snapToGrid w:val="0"/>
          <w:szCs w:val="24"/>
          <w:lang w:eastAsia="en-US"/>
        </w:rPr>
        <w:t>risk profile</w:t>
      </w:r>
      <w:r>
        <w:rPr>
          <w:snapToGrid w:val="0"/>
          <w:szCs w:val="24"/>
          <w:lang w:eastAsia="en-US"/>
        </w:rPr>
        <w:t>?</w:t>
      </w:r>
    </w:p>
    <w:p w:rsidR="007852E7" w:rsidRPr="004E11B4" w:rsidRDefault="004E11B4" w:rsidP="004E11B4">
      <w:pPr>
        <w:pStyle w:val="answer"/>
        <w:rPr>
          <w:snapToGrid w:val="0"/>
          <w:lang w:eastAsia="en-US"/>
        </w:rPr>
      </w:pPr>
      <w:r w:rsidRPr="00255659">
        <w:rPr>
          <w:snapToGrid w:val="0"/>
          <w:lang w:eastAsia="en-US"/>
        </w:rPr>
        <w:t>A.</w:t>
      </w:r>
      <w:r w:rsidRPr="00255659">
        <w:rPr>
          <w:snapToGrid w:val="0"/>
          <w:lang w:eastAsia="en-US"/>
        </w:rPr>
        <w:tab/>
      </w:r>
      <w:r w:rsidR="007852E7" w:rsidRPr="00255659">
        <w:rPr>
          <w:rFonts w:eastAsia="SimSun"/>
          <w:snapToGrid w:val="0"/>
          <w:szCs w:val="24"/>
          <w:lang w:eastAsia="en-US"/>
        </w:rPr>
        <w:t xml:space="preserve">My own view is that any risk-mitigating impact that </w:t>
      </w:r>
      <w:r>
        <w:rPr>
          <w:rFonts w:eastAsia="SimSun"/>
          <w:snapToGrid w:val="0"/>
          <w:szCs w:val="24"/>
          <w:lang w:eastAsia="en-US"/>
        </w:rPr>
        <w:t xml:space="preserve">the revenue </w:t>
      </w:r>
      <w:r w:rsidR="007852E7" w:rsidRPr="00255659">
        <w:rPr>
          <w:rFonts w:eastAsia="SimSun"/>
          <w:snapToGrid w:val="0"/>
          <w:szCs w:val="24"/>
          <w:lang w:eastAsia="en-US"/>
        </w:rPr>
        <w:t xml:space="preserve">decoupling </w:t>
      </w:r>
      <w:r>
        <w:rPr>
          <w:rFonts w:eastAsia="SimSun"/>
          <w:snapToGrid w:val="0"/>
          <w:szCs w:val="24"/>
          <w:lang w:eastAsia="en-US"/>
        </w:rPr>
        <w:t xml:space="preserve">mechanism </w:t>
      </w:r>
      <w:r w:rsidR="007852E7" w:rsidRPr="00255659">
        <w:rPr>
          <w:rFonts w:eastAsia="SimSun"/>
          <w:snapToGrid w:val="0"/>
          <w:szCs w:val="24"/>
          <w:lang w:eastAsia="en-US"/>
        </w:rPr>
        <w:t xml:space="preserve">could have on the </w:t>
      </w:r>
      <w:r>
        <w:rPr>
          <w:rFonts w:eastAsia="SimSun"/>
          <w:snapToGrid w:val="0"/>
          <w:szCs w:val="24"/>
          <w:lang w:eastAsia="en-US"/>
        </w:rPr>
        <w:t xml:space="preserve">PSE’s </w:t>
      </w:r>
      <w:r w:rsidR="007852E7" w:rsidRPr="00255659">
        <w:rPr>
          <w:rFonts w:eastAsia="SimSun"/>
          <w:snapToGrid w:val="0"/>
          <w:szCs w:val="24"/>
          <w:lang w:eastAsia="en-US"/>
        </w:rPr>
        <w:t>risk profile is reflected in the capital market data of the comparable companies and that the risk impact of these mechanisms is offset by several factors that work in the reverse direction. The market-derived cost of common equity for other utility companies already incorporates the results of decoupling and/or similar mechanisms so that no further adjustment is appropriate or reasonable in determining the cost of common equity for PSE.</w:t>
      </w:r>
      <w:r w:rsidR="006B5168">
        <w:rPr>
          <w:rFonts w:eastAsia="SimSun"/>
          <w:snapToGrid w:val="0"/>
          <w:szCs w:val="24"/>
          <w:lang w:eastAsia="en-US"/>
        </w:rPr>
        <w:t xml:space="preserve"> </w:t>
      </w:r>
      <w:r w:rsidR="007852E7" w:rsidRPr="00255659">
        <w:rPr>
          <w:rFonts w:eastAsia="SimSun"/>
          <w:snapToGrid w:val="0"/>
          <w:szCs w:val="24"/>
          <w:lang w:eastAsia="en-US"/>
        </w:rPr>
        <w:t xml:space="preserve">Decoupling and other similar risk-mitigating mechanisms have become the norm </w:t>
      </w:r>
      <w:r w:rsidR="007852E7" w:rsidRPr="00255659">
        <w:rPr>
          <w:rFonts w:eastAsia="SimSun"/>
          <w:snapToGrid w:val="0"/>
          <w:szCs w:val="24"/>
          <w:lang w:eastAsia="en-US"/>
        </w:rPr>
        <w:lastRenderedPageBreak/>
        <w:t>for regulated utilities across the U.S.</w:t>
      </w:r>
      <w:r w:rsidR="006B5168">
        <w:rPr>
          <w:rFonts w:eastAsia="SimSun"/>
          <w:snapToGrid w:val="0"/>
          <w:szCs w:val="24"/>
          <w:lang w:eastAsia="en-US"/>
        </w:rPr>
        <w:t xml:space="preserve"> </w:t>
      </w:r>
      <w:r w:rsidR="007852E7" w:rsidRPr="00255659">
        <w:rPr>
          <w:rFonts w:eastAsia="SimSun"/>
          <w:snapToGrid w:val="0"/>
          <w:szCs w:val="24"/>
          <w:lang w:eastAsia="en-US"/>
        </w:rPr>
        <w:t xml:space="preserve">In short, a downward </w:t>
      </w:r>
      <w:r>
        <w:rPr>
          <w:rFonts w:eastAsia="SimSun"/>
          <w:snapToGrid w:val="0"/>
          <w:szCs w:val="24"/>
          <w:lang w:eastAsia="en-US"/>
        </w:rPr>
        <w:t xml:space="preserve">adjustment to the return on equity, </w:t>
      </w:r>
      <w:r w:rsidR="007852E7" w:rsidRPr="00255659">
        <w:rPr>
          <w:rFonts w:eastAsia="SimSun"/>
          <w:snapToGrid w:val="0"/>
          <w:szCs w:val="24"/>
          <w:lang w:eastAsia="en-US"/>
        </w:rPr>
        <w:t xml:space="preserve">as recommended by </w:t>
      </w:r>
      <w:r w:rsidR="00E51C96" w:rsidRPr="00255659">
        <w:rPr>
          <w:rFonts w:eastAsia="SimSun"/>
        </w:rPr>
        <w:t>Mr.</w:t>
      </w:r>
      <w:r w:rsidR="00E51C96">
        <w:rPr>
          <w:rFonts w:eastAsia="SimSun"/>
        </w:rPr>
        <w:t> </w:t>
      </w:r>
      <w:r w:rsidR="007852E7" w:rsidRPr="00255659">
        <w:rPr>
          <w:rFonts w:eastAsia="SimSun"/>
          <w:snapToGrid w:val="0"/>
          <w:szCs w:val="24"/>
          <w:lang w:eastAsia="en-US"/>
        </w:rPr>
        <w:t>Gorman, would</w:t>
      </w:r>
      <w:r>
        <w:rPr>
          <w:rFonts w:eastAsia="SimSun"/>
          <w:snapToGrid w:val="0"/>
          <w:szCs w:val="24"/>
          <w:lang w:eastAsia="en-US"/>
        </w:rPr>
        <w:t>,</w:t>
      </w:r>
      <w:r w:rsidRPr="004E11B4">
        <w:rPr>
          <w:rFonts w:eastAsia="SimSun"/>
          <w:snapToGrid w:val="0"/>
          <w:szCs w:val="24"/>
          <w:lang w:eastAsia="en-US"/>
        </w:rPr>
        <w:t xml:space="preserve"> </w:t>
      </w:r>
      <w:r>
        <w:rPr>
          <w:rFonts w:eastAsia="SimSun"/>
          <w:snapToGrid w:val="0"/>
          <w:szCs w:val="24"/>
          <w:lang w:eastAsia="en-US"/>
        </w:rPr>
        <w:t>if applied,</w:t>
      </w:r>
      <w:r w:rsidR="007852E7" w:rsidRPr="00255659">
        <w:rPr>
          <w:rFonts w:eastAsia="SimSun"/>
          <w:snapToGrid w:val="0"/>
          <w:szCs w:val="24"/>
          <w:lang w:eastAsia="en-US"/>
        </w:rPr>
        <w:t xml:space="preserve"> constitute double-counting.</w:t>
      </w:r>
    </w:p>
    <w:p w:rsidR="007852E7" w:rsidRPr="00255659" w:rsidRDefault="007852E7" w:rsidP="00540A76">
      <w:pPr>
        <w:pStyle w:val="question"/>
      </w:pPr>
      <w:r w:rsidRPr="00255659">
        <w:rPr>
          <w:lang w:eastAsia="en-US"/>
        </w:rPr>
        <w:t>Q.</w:t>
      </w:r>
      <w:r w:rsidR="00A01731" w:rsidRPr="00255659">
        <w:rPr>
          <w:lang w:eastAsia="en-US"/>
        </w:rPr>
        <w:tab/>
      </w:r>
      <w:r w:rsidR="000F052F" w:rsidRPr="00255659">
        <w:rPr>
          <w:lang w:eastAsia="en-US"/>
        </w:rPr>
        <w:t>Is there any empirical evidence on the impact of risk mitigators</w:t>
      </w:r>
      <w:r w:rsidRPr="00255659">
        <w:rPr>
          <w:lang w:eastAsia="en-US"/>
        </w:rPr>
        <w:t>?</w:t>
      </w:r>
    </w:p>
    <w:p w:rsidR="007852E7" w:rsidRPr="00255659" w:rsidRDefault="007852E7" w:rsidP="00540A76">
      <w:pPr>
        <w:pStyle w:val="answer"/>
        <w:rPr>
          <w:rFonts w:eastAsia="SimSun"/>
        </w:rPr>
      </w:pPr>
      <w:r w:rsidRPr="00255659">
        <w:rPr>
          <w:szCs w:val="24"/>
          <w:lang w:eastAsia="en-US"/>
        </w:rPr>
        <w:t>A.</w:t>
      </w:r>
      <w:r w:rsidR="000F052F" w:rsidRPr="00255659">
        <w:rPr>
          <w:szCs w:val="24"/>
          <w:lang w:eastAsia="en-US"/>
        </w:rPr>
        <w:tab/>
      </w:r>
      <w:r w:rsidRPr="00255659">
        <w:rPr>
          <w:szCs w:val="24"/>
          <w:lang w:eastAsia="en-US"/>
        </w:rPr>
        <w:t>Yes.</w:t>
      </w:r>
      <w:r w:rsidR="006B5168">
        <w:rPr>
          <w:szCs w:val="24"/>
          <w:lang w:eastAsia="en-US"/>
        </w:rPr>
        <w:t xml:space="preserve"> </w:t>
      </w:r>
      <w:r w:rsidRPr="00255659">
        <w:rPr>
          <w:szCs w:val="24"/>
          <w:lang w:eastAsia="en-US"/>
        </w:rPr>
        <w:t>A comprehensive study by the Brattle Group</w:t>
      </w:r>
      <w:r w:rsidRPr="00255659">
        <w:rPr>
          <w:szCs w:val="24"/>
          <w:vertAlign w:val="superscript"/>
          <w:lang w:eastAsia="en-US"/>
        </w:rPr>
        <w:footnoteReference w:id="101"/>
      </w:r>
      <w:r w:rsidRPr="00255659">
        <w:rPr>
          <w:szCs w:val="24"/>
          <w:lang w:eastAsia="en-US"/>
        </w:rPr>
        <w:t xml:space="preserve"> investigated the impact of a particular risk-mitigating mechanism, namely, revenue decoupling, on risk and the cost of capital and found that its effect on risk and cost of capital, if any, is undetectable statistically.</w:t>
      </w:r>
    </w:p>
    <w:p w:rsidR="007852E7" w:rsidRPr="00255659" w:rsidRDefault="007852E7" w:rsidP="00540A76">
      <w:pPr>
        <w:pStyle w:val="question"/>
      </w:pPr>
      <w:r w:rsidRPr="00255659">
        <w:rPr>
          <w:lang w:eastAsia="en-US"/>
        </w:rPr>
        <w:t>Q.</w:t>
      </w:r>
      <w:r w:rsidR="00A01731" w:rsidRPr="00255659">
        <w:rPr>
          <w:lang w:eastAsia="en-US"/>
        </w:rPr>
        <w:tab/>
      </w:r>
      <w:r w:rsidR="004E11B4">
        <w:rPr>
          <w:lang w:eastAsia="en-US"/>
        </w:rPr>
        <w:t>A</w:t>
      </w:r>
      <w:r w:rsidR="000F052F" w:rsidRPr="00255659">
        <w:rPr>
          <w:lang w:eastAsia="en-US"/>
        </w:rPr>
        <w:t xml:space="preserve">re you aware of any </w:t>
      </w:r>
      <w:r w:rsidR="004E11B4">
        <w:rPr>
          <w:lang w:eastAsia="en-US"/>
        </w:rPr>
        <w:t xml:space="preserve">state utility </w:t>
      </w:r>
      <w:r w:rsidR="000F052F" w:rsidRPr="00255659">
        <w:rPr>
          <w:lang w:eastAsia="en-US"/>
        </w:rPr>
        <w:t xml:space="preserve">commission </w:t>
      </w:r>
      <w:r w:rsidR="004E11B4">
        <w:rPr>
          <w:lang w:eastAsia="en-US"/>
        </w:rPr>
        <w:t xml:space="preserve">orders </w:t>
      </w:r>
      <w:r w:rsidR="000F052F" w:rsidRPr="00255659">
        <w:rPr>
          <w:lang w:eastAsia="en-US"/>
        </w:rPr>
        <w:t xml:space="preserve">reducing the allowed </w:t>
      </w:r>
      <w:r w:rsidR="004E11B4">
        <w:rPr>
          <w:lang w:eastAsia="en-US"/>
        </w:rPr>
        <w:t xml:space="preserve">return on equity </w:t>
      </w:r>
      <w:r w:rsidR="000F052F" w:rsidRPr="00255659">
        <w:rPr>
          <w:lang w:eastAsia="en-US"/>
        </w:rPr>
        <w:t>to account for the presence of a revenue</w:t>
      </w:r>
      <w:r w:rsidR="004E11B4">
        <w:rPr>
          <w:lang w:eastAsia="en-US"/>
        </w:rPr>
        <w:t xml:space="preserve"> </w:t>
      </w:r>
      <w:r w:rsidR="000F052F" w:rsidRPr="00255659">
        <w:rPr>
          <w:lang w:eastAsia="en-US"/>
        </w:rPr>
        <w:t xml:space="preserve">decoupling </w:t>
      </w:r>
      <w:r w:rsidR="00C8234D" w:rsidRPr="00255659">
        <w:rPr>
          <w:lang w:eastAsia="en-US"/>
        </w:rPr>
        <w:t>mechani</w:t>
      </w:r>
      <w:r w:rsidR="00C8234D">
        <w:rPr>
          <w:lang w:eastAsia="en-US"/>
        </w:rPr>
        <w:t>s</w:t>
      </w:r>
      <w:r w:rsidR="00C8234D" w:rsidRPr="00255659">
        <w:rPr>
          <w:lang w:eastAsia="en-US"/>
        </w:rPr>
        <w:t>ms</w:t>
      </w:r>
      <w:r w:rsidR="000F052F" w:rsidRPr="00255659">
        <w:rPr>
          <w:lang w:eastAsia="en-US"/>
        </w:rPr>
        <w:t xml:space="preserve"> in recent years</w:t>
      </w:r>
      <w:r w:rsidRPr="00255659">
        <w:rPr>
          <w:lang w:eastAsia="en-US"/>
        </w:rPr>
        <w:t>?</w:t>
      </w:r>
    </w:p>
    <w:p w:rsidR="007852E7" w:rsidRPr="004D1F15" w:rsidRDefault="007852E7" w:rsidP="00540A76">
      <w:pPr>
        <w:pStyle w:val="answer"/>
        <w:rPr>
          <w:szCs w:val="24"/>
          <w:lang w:eastAsia="en-US"/>
        </w:rPr>
      </w:pPr>
      <w:r w:rsidRPr="00255659">
        <w:rPr>
          <w:szCs w:val="24"/>
          <w:lang w:eastAsia="en-US"/>
        </w:rPr>
        <w:t>A.</w:t>
      </w:r>
      <w:r w:rsidR="000F052F" w:rsidRPr="00255659">
        <w:rPr>
          <w:szCs w:val="24"/>
          <w:lang w:eastAsia="en-US"/>
        </w:rPr>
        <w:tab/>
      </w:r>
      <w:r w:rsidRPr="00255659">
        <w:rPr>
          <w:szCs w:val="24"/>
          <w:lang w:eastAsia="en-US"/>
        </w:rPr>
        <w:t>No.</w:t>
      </w:r>
      <w:r w:rsidR="006B5168">
        <w:rPr>
          <w:szCs w:val="24"/>
          <w:lang w:eastAsia="en-US"/>
        </w:rPr>
        <w:t xml:space="preserve"> </w:t>
      </w:r>
      <w:r w:rsidR="004E11B4">
        <w:rPr>
          <w:szCs w:val="24"/>
          <w:lang w:eastAsia="en-US"/>
        </w:rPr>
        <w:t xml:space="preserve">To the best of my knowledge, no state utility </w:t>
      </w:r>
      <w:r w:rsidRPr="00255659">
        <w:rPr>
          <w:szCs w:val="24"/>
          <w:lang w:eastAsia="en-US"/>
        </w:rPr>
        <w:t xml:space="preserve">commission </w:t>
      </w:r>
      <w:r w:rsidR="004E11B4">
        <w:rPr>
          <w:szCs w:val="24"/>
          <w:lang w:eastAsia="en-US"/>
        </w:rPr>
        <w:t xml:space="preserve">has issued an order in the last six years that </w:t>
      </w:r>
      <w:r w:rsidRPr="00255659">
        <w:rPr>
          <w:szCs w:val="24"/>
          <w:lang w:eastAsia="en-US"/>
        </w:rPr>
        <w:t xml:space="preserve">applied a downward </w:t>
      </w:r>
      <w:r w:rsidR="004E11B4">
        <w:rPr>
          <w:szCs w:val="24"/>
          <w:lang w:eastAsia="en-US"/>
        </w:rPr>
        <w:t xml:space="preserve">adjustment </w:t>
      </w:r>
      <w:r w:rsidR="004E11B4" w:rsidRPr="00255659">
        <w:rPr>
          <w:lang w:eastAsia="en-US"/>
        </w:rPr>
        <w:t xml:space="preserve">reducing the allowed </w:t>
      </w:r>
      <w:r w:rsidR="004E11B4">
        <w:rPr>
          <w:lang w:eastAsia="en-US"/>
        </w:rPr>
        <w:t xml:space="preserve">return on equity </w:t>
      </w:r>
      <w:r w:rsidR="004E11B4" w:rsidRPr="00255659">
        <w:rPr>
          <w:lang w:eastAsia="en-US"/>
        </w:rPr>
        <w:t>to account for the presence of a revenue</w:t>
      </w:r>
      <w:r w:rsidR="004E11B4">
        <w:rPr>
          <w:lang w:eastAsia="en-US"/>
        </w:rPr>
        <w:t xml:space="preserve"> </w:t>
      </w:r>
      <w:r w:rsidR="004E11B4" w:rsidRPr="00255659">
        <w:rPr>
          <w:lang w:eastAsia="en-US"/>
        </w:rPr>
        <w:t>decoupling mechani</w:t>
      </w:r>
      <w:r w:rsidR="004E11B4">
        <w:rPr>
          <w:lang w:eastAsia="en-US"/>
        </w:rPr>
        <w:t>s</w:t>
      </w:r>
      <w:r w:rsidR="004E11B4" w:rsidRPr="00255659">
        <w:rPr>
          <w:lang w:eastAsia="en-US"/>
        </w:rPr>
        <w:t>m</w:t>
      </w:r>
      <w:r w:rsidR="004D1F15">
        <w:rPr>
          <w:lang w:eastAsia="en-US"/>
        </w:rPr>
        <w:t xml:space="preserve">, </w:t>
      </w:r>
      <w:r w:rsidRPr="00255659">
        <w:rPr>
          <w:szCs w:val="24"/>
          <w:lang w:eastAsia="en-US"/>
        </w:rPr>
        <w:t xml:space="preserve">presumably because such mechanisms are now firmly </w:t>
      </w:r>
      <w:r w:rsidR="004D1F15">
        <w:rPr>
          <w:szCs w:val="24"/>
          <w:lang w:eastAsia="en-US"/>
        </w:rPr>
        <w:t xml:space="preserve">recognized </w:t>
      </w:r>
      <w:r w:rsidRPr="00255659">
        <w:rPr>
          <w:szCs w:val="24"/>
          <w:lang w:eastAsia="en-US"/>
        </w:rPr>
        <w:t>in the utility industry.</w:t>
      </w:r>
    </w:p>
    <w:p w:rsidR="007F3DDD" w:rsidRPr="00255659" w:rsidRDefault="007F3DDD" w:rsidP="007F3DDD">
      <w:pPr>
        <w:pStyle w:val="question"/>
        <w:rPr>
          <w:lang w:eastAsia="en-US"/>
        </w:rPr>
      </w:pPr>
      <w:bookmarkStart w:id="80" w:name="_Toc127023404"/>
      <w:r w:rsidRPr="00255659">
        <w:rPr>
          <w:lang w:eastAsia="en-US"/>
        </w:rPr>
        <w:lastRenderedPageBreak/>
        <w:t>Q.</w:t>
      </w:r>
      <w:r w:rsidRPr="00255659">
        <w:rPr>
          <w:lang w:eastAsia="en-US"/>
        </w:rPr>
        <w:tab/>
      </w:r>
      <w:r>
        <w:rPr>
          <w:lang w:eastAsia="en-US"/>
        </w:rPr>
        <w:t xml:space="preserve">Has this Commission </w:t>
      </w:r>
      <w:r w:rsidR="002B1EA5">
        <w:rPr>
          <w:lang w:eastAsia="en-US"/>
        </w:rPr>
        <w:t xml:space="preserve">expressed an opinion regarding attempts to account </w:t>
      </w:r>
      <w:r w:rsidR="002B1EA5" w:rsidRPr="007F3DDD">
        <w:rPr>
          <w:szCs w:val="24"/>
          <w:lang w:eastAsia="en-US"/>
        </w:rPr>
        <w:t xml:space="preserve">separately in its </w:t>
      </w:r>
      <w:r w:rsidR="002B1EA5">
        <w:rPr>
          <w:szCs w:val="24"/>
          <w:lang w:eastAsia="en-US"/>
        </w:rPr>
        <w:t xml:space="preserve">return on equity </w:t>
      </w:r>
      <w:r w:rsidR="002B1EA5" w:rsidRPr="007F3DDD">
        <w:rPr>
          <w:szCs w:val="24"/>
          <w:lang w:eastAsia="en-US"/>
        </w:rPr>
        <w:t xml:space="preserve">determinations for specific risks or risk mitigating factors, </w:t>
      </w:r>
      <w:r w:rsidR="002B1EA5">
        <w:rPr>
          <w:szCs w:val="24"/>
          <w:lang w:eastAsia="en-US"/>
        </w:rPr>
        <w:t>such as PSE’s revenue decoupling mechanism</w:t>
      </w:r>
      <w:r w:rsidRPr="00255659">
        <w:rPr>
          <w:lang w:eastAsia="en-US"/>
        </w:rPr>
        <w:t>?</w:t>
      </w:r>
    </w:p>
    <w:p w:rsidR="002B1EA5" w:rsidRPr="002B1EA5" w:rsidRDefault="007F3DDD" w:rsidP="002B1EA5">
      <w:pPr>
        <w:pStyle w:val="answer"/>
        <w:rPr>
          <w:szCs w:val="24"/>
          <w:lang w:eastAsia="en-US"/>
        </w:rPr>
      </w:pPr>
      <w:r w:rsidRPr="00255659">
        <w:rPr>
          <w:szCs w:val="24"/>
          <w:lang w:eastAsia="en-US"/>
        </w:rPr>
        <w:t>A.</w:t>
      </w:r>
      <w:r w:rsidRPr="00255659">
        <w:rPr>
          <w:szCs w:val="24"/>
          <w:lang w:eastAsia="en-US"/>
        </w:rPr>
        <w:tab/>
      </w:r>
      <w:r w:rsidR="002B1EA5">
        <w:rPr>
          <w:szCs w:val="24"/>
          <w:lang w:eastAsia="en-US"/>
        </w:rPr>
        <w:t>Yes</w:t>
      </w:r>
      <w:r w:rsidRPr="00255659">
        <w:rPr>
          <w:szCs w:val="24"/>
          <w:lang w:eastAsia="en-US"/>
        </w:rPr>
        <w:t>.</w:t>
      </w:r>
      <w:r>
        <w:rPr>
          <w:szCs w:val="24"/>
          <w:lang w:eastAsia="en-US"/>
        </w:rPr>
        <w:t xml:space="preserve"> </w:t>
      </w:r>
      <w:r w:rsidR="002B1EA5">
        <w:rPr>
          <w:szCs w:val="24"/>
          <w:lang w:eastAsia="en-US"/>
        </w:rPr>
        <w:t xml:space="preserve">In </w:t>
      </w:r>
      <w:r w:rsidR="002B1EA5" w:rsidRPr="002B1EA5">
        <w:rPr>
          <w:szCs w:val="24"/>
          <w:lang w:eastAsia="en-US"/>
        </w:rPr>
        <w:t>Dockets</w:t>
      </w:r>
      <w:r w:rsidR="002B1EA5">
        <w:rPr>
          <w:szCs w:val="24"/>
          <w:lang w:eastAsia="en-US"/>
        </w:rPr>
        <w:t> </w:t>
      </w:r>
      <w:r w:rsidR="002B1EA5" w:rsidRPr="002B1EA5">
        <w:rPr>
          <w:szCs w:val="24"/>
          <w:lang w:eastAsia="en-US"/>
        </w:rPr>
        <w:t>UE-121697</w:t>
      </w:r>
      <w:r w:rsidR="002B1EA5">
        <w:rPr>
          <w:szCs w:val="24"/>
          <w:lang w:eastAsia="en-US"/>
        </w:rPr>
        <w:t xml:space="preserve">, </w:t>
      </w:r>
      <w:r w:rsidR="002B1EA5" w:rsidRPr="002B1EA5">
        <w:rPr>
          <w:i/>
          <w:szCs w:val="24"/>
          <w:lang w:eastAsia="en-US"/>
        </w:rPr>
        <w:t>et al</w:t>
      </w:r>
      <w:r w:rsidR="002B1EA5">
        <w:rPr>
          <w:szCs w:val="24"/>
          <w:lang w:eastAsia="en-US"/>
        </w:rPr>
        <w:t xml:space="preserve">., the Commission expressly indicated that it </w:t>
      </w:r>
      <w:r w:rsidR="002B1EA5" w:rsidRPr="007F3DDD">
        <w:rPr>
          <w:szCs w:val="24"/>
          <w:lang w:eastAsia="en-US"/>
        </w:rPr>
        <w:t xml:space="preserve">has never tried to account separately in its </w:t>
      </w:r>
      <w:r w:rsidR="002B1EA5">
        <w:rPr>
          <w:szCs w:val="24"/>
          <w:lang w:eastAsia="en-US"/>
        </w:rPr>
        <w:t xml:space="preserve">return on equity </w:t>
      </w:r>
      <w:r w:rsidR="002B1EA5" w:rsidRPr="007F3DDD">
        <w:rPr>
          <w:szCs w:val="24"/>
          <w:lang w:eastAsia="en-US"/>
        </w:rPr>
        <w:t>determinations for specific ri</w:t>
      </w:r>
      <w:r w:rsidR="002B1EA5">
        <w:rPr>
          <w:szCs w:val="24"/>
          <w:lang w:eastAsia="en-US"/>
        </w:rPr>
        <w:t>sks or risk mitigating factors, including, specifically, PSE’s revenue decoupling mechanism:</w:t>
      </w:r>
    </w:p>
    <w:p w:rsidR="007F3DDD" w:rsidRDefault="007F3DDD" w:rsidP="002B1EA5">
      <w:pPr>
        <w:pStyle w:val="BlockQuote"/>
        <w:rPr>
          <w:i w:val="0"/>
          <w:lang w:eastAsia="en-US"/>
        </w:rPr>
      </w:pPr>
      <w:r w:rsidRPr="002B1EA5">
        <w:rPr>
          <w:i w:val="0"/>
          <w:lang w:eastAsia="en-US"/>
        </w:rPr>
        <w:t xml:space="preserve">We believe it is correct that cost of capital analysis cannot be expected to produce results that support measurement of decrements to </w:t>
      </w:r>
      <w:r w:rsidR="002B1EA5">
        <w:rPr>
          <w:i w:val="0"/>
          <w:lang w:eastAsia="en-US"/>
        </w:rPr>
        <w:t xml:space="preserve">[return on equity] </w:t>
      </w:r>
      <w:r w:rsidRPr="002B1EA5">
        <w:rPr>
          <w:i w:val="0"/>
          <w:lang w:eastAsia="en-US"/>
        </w:rPr>
        <w:t xml:space="preserve">ostensibly due to approval of one risk mitigation mechanism or another. Nor would cost of capital analysis be adequate to the task of identifying increments to </w:t>
      </w:r>
      <w:r w:rsidR="002B1EA5">
        <w:rPr>
          <w:i w:val="0"/>
          <w:lang w:eastAsia="en-US"/>
        </w:rPr>
        <w:t xml:space="preserve">[return on equity] </w:t>
      </w:r>
      <w:r w:rsidRPr="002B1EA5">
        <w:rPr>
          <w:i w:val="0"/>
          <w:lang w:eastAsia="en-US"/>
        </w:rPr>
        <w:t>that might be considered due to some measure of additional risk a company takes on at some point in time.</w:t>
      </w:r>
      <w:r w:rsidR="002B1EA5">
        <w:rPr>
          <w:i w:val="0"/>
          <w:lang w:eastAsia="en-US"/>
        </w:rPr>
        <w:t xml:space="preserve"> </w:t>
      </w:r>
      <w:r w:rsidRPr="002B1EA5">
        <w:rPr>
          <w:i w:val="0"/>
          <w:lang w:eastAsia="en-US"/>
        </w:rPr>
        <w:t xml:space="preserve">The Commission has never tried to account separately in its </w:t>
      </w:r>
      <w:r w:rsidR="002B1EA5">
        <w:rPr>
          <w:i w:val="0"/>
          <w:lang w:eastAsia="en-US"/>
        </w:rPr>
        <w:t xml:space="preserve">[return on equity] </w:t>
      </w:r>
      <w:r w:rsidRPr="002B1EA5">
        <w:rPr>
          <w:i w:val="0"/>
          <w:lang w:eastAsia="en-US"/>
        </w:rPr>
        <w:t>determinations 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 The effects of these risk mitigating factors was by 2013, and is today, built into the data experts draw from the samples of companies they select as proxies.</w:t>
      </w:r>
    </w:p>
    <w:p w:rsidR="002B1EA5" w:rsidRPr="002B1EA5" w:rsidRDefault="002B1EA5" w:rsidP="002B1EA5">
      <w:pPr>
        <w:pStyle w:val="BlockQuote"/>
        <w:rPr>
          <w:i w:val="0"/>
          <w:lang w:eastAsia="en-US"/>
        </w:rPr>
      </w:pPr>
      <w:r w:rsidRPr="002B1EA5">
        <w:rPr>
          <w:i w:val="0"/>
          <w:lang w:eastAsia="en-US"/>
        </w:rPr>
        <w:t>In sum, we find persuasive the expert opinions of Dr.</w:t>
      </w:r>
      <w:r>
        <w:rPr>
          <w:i w:val="0"/>
          <w:lang w:eastAsia="en-US"/>
        </w:rPr>
        <w:t> </w:t>
      </w:r>
      <w:r w:rsidRPr="002B1EA5">
        <w:rPr>
          <w:i w:val="0"/>
          <w:lang w:eastAsia="en-US"/>
        </w:rPr>
        <w:t>Morin and Mr.</w:t>
      </w:r>
      <w:r>
        <w:rPr>
          <w:i w:val="0"/>
          <w:lang w:eastAsia="en-US"/>
        </w:rPr>
        <w:t> </w:t>
      </w:r>
      <w:r w:rsidRPr="002B1EA5">
        <w:rPr>
          <w:i w:val="0"/>
          <w:lang w:eastAsia="en-US"/>
        </w:rPr>
        <w:t xml:space="preserve">Gorman and find that the risk reducing effect of decoupling is reflected adequately in the data derived from the companies in their respective proxy groups. We reject the idea of a separate decrement to </w:t>
      </w:r>
      <w:r>
        <w:rPr>
          <w:i w:val="0"/>
          <w:lang w:eastAsia="en-US"/>
        </w:rPr>
        <w:t xml:space="preserve">[returns on equity] </w:t>
      </w:r>
      <w:r w:rsidRPr="002B1EA5">
        <w:rPr>
          <w:i w:val="0"/>
          <w:lang w:eastAsia="en-US"/>
        </w:rPr>
        <w:t xml:space="preserve">to account for the same risk reduction. We also find persuasive the point that cost of capital analysis cannot achieve the level of granularity necessary to support a discrete adjustment to </w:t>
      </w:r>
      <w:r>
        <w:rPr>
          <w:i w:val="0"/>
          <w:lang w:eastAsia="en-US"/>
        </w:rPr>
        <w:t xml:space="preserve">[return on equity] </w:t>
      </w:r>
      <w:r w:rsidRPr="002B1EA5">
        <w:rPr>
          <w:i w:val="0"/>
          <w:lang w:eastAsia="en-US"/>
        </w:rPr>
        <w:t>to account for particularized risks—up or</w:t>
      </w:r>
      <w:r>
        <w:rPr>
          <w:i w:val="0"/>
          <w:lang w:eastAsia="en-US"/>
        </w:rPr>
        <w:t xml:space="preserve"> down….</w:t>
      </w:r>
      <w:r w:rsidR="00FD229B">
        <w:rPr>
          <w:rStyle w:val="FootnoteReference"/>
          <w:i w:val="0"/>
          <w:lang w:eastAsia="en-US"/>
        </w:rPr>
        <w:footnoteReference w:id="102"/>
      </w:r>
    </w:p>
    <w:p w:rsidR="008C016A" w:rsidRPr="008C016A" w:rsidRDefault="007F3DDD" w:rsidP="008C016A">
      <w:pPr>
        <w:pStyle w:val="answer"/>
        <w:ind w:firstLine="0"/>
        <w:rPr>
          <w:snapToGrid w:val="0"/>
          <w:lang w:eastAsia="en-US"/>
        </w:rPr>
      </w:pPr>
      <w:r>
        <w:rPr>
          <w:szCs w:val="24"/>
          <w:lang w:eastAsia="en-US"/>
        </w:rPr>
        <w:lastRenderedPageBreak/>
        <w:t>Moreover, the Commission’s order noted that “</w:t>
      </w:r>
      <w:r w:rsidRPr="007F3DDD">
        <w:rPr>
          <w:szCs w:val="24"/>
          <w:lang w:eastAsia="en-US"/>
        </w:rPr>
        <w:t>Mr.</w:t>
      </w:r>
      <w:r>
        <w:rPr>
          <w:szCs w:val="24"/>
          <w:lang w:eastAsia="en-US"/>
        </w:rPr>
        <w:t> </w:t>
      </w:r>
      <w:r w:rsidRPr="007F3DDD">
        <w:rPr>
          <w:szCs w:val="24"/>
          <w:lang w:eastAsia="en-US"/>
        </w:rPr>
        <w:t>Gorman agrees with Dr. Morin that the impact of decoupling on risk was adequately reflected in the peer group data and analyses on which the experts relied in evaluating ROE for early 2013 for their remand phase testimony.</w:t>
      </w:r>
      <w:r>
        <w:rPr>
          <w:szCs w:val="24"/>
          <w:lang w:eastAsia="en-US"/>
        </w:rPr>
        <w:t>”</w:t>
      </w:r>
      <w:r w:rsidR="00277916">
        <w:rPr>
          <w:rStyle w:val="FootnoteReference"/>
          <w:lang w:eastAsia="en-US"/>
        </w:rPr>
        <w:footnoteReference w:id="103"/>
      </w:r>
      <w:r w:rsidR="008C016A">
        <w:rPr>
          <w:szCs w:val="24"/>
          <w:lang w:eastAsia="en-US"/>
        </w:rPr>
        <w:t xml:space="preserve"> In other words, Mr. Gorman argued before this Commission that downward adjustments to </w:t>
      </w:r>
      <w:r w:rsidR="008C016A">
        <w:rPr>
          <w:snapToGrid w:val="0"/>
          <w:lang w:eastAsia="en-US"/>
        </w:rPr>
        <w:t xml:space="preserve">returns on equity </w:t>
      </w:r>
      <w:r w:rsidR="008C016A" w:rsidRPr="00255659">
        <w:rPr>
          <w:snapToGrid w:val="0"/>
          <w:lang w:eastAsia="en-US"/>
        </w:rPr>
        <w:t xml:space="preserve">downward </w:t>
      </w:r>
      <w:r w:rsidR="008C016A">
        <w:rPr>
          <w:snapToGrid w:val="0"/>
          <w:lang w:eastAsia="en-US"/>
        </w:rPr>
        <w:t xml:space="preserve">to reflect </w:t>
      </w:r>
      <w:r w:rsidR="008C016A" w:rsidRPr="00255659">
        <w:rPr>
          <w:snapToGrid w:val="0"/>
          <w:lang w:eastAsia="en-US"/>
        </w:rPr>
        <w:t xml:space="preserve">revenue decoupling is </w:t>
      </w:r>
      <w:r w:rsidR="008C016A">
        <w:rPr>
          <w:snapToGrid w:val="0"/>
          <w:lang w:eastAsia="en-US"/>
        </w:rPr>
        <w:t xml:space="preserve">unwarranted when the </w:t>
      </w:r>
      <w:r w:rsidR="008C016A" w:rsidRPr="008C016A">
        <w:rPr>
          <w:snapToGrid w:val="0"/>
          <w:lang w:eastAsia="en-US"/>
        </w:rPr>
        <w:t xml:space="preserve">impact of </w:t>
      </w:r>
      <w:r w:rsidR="008C016A" w:rsidRPr="00255659">
        <w:rPr>
          <w:snapToGrid w:val="0"/>
          <w:lang w:eastAsia="en-US"/>
        </w:rPr>
        <w:t xml:space="preserve">revenue </w:t>
      </w:r>
      <w:r w:rsidR="008C016A" w:rsidRPr="008C016A">
        <w:rPr>
          <w:snapToGrid w:val="0"/>
          <w:lang w:eastAsia="en-US"/>
        </w:rPr>
        <w:t xml:space="preserve">decoupling on risk </w:t>
      </w:r>
      <w:r w:rsidR="008C016A">
        <w:rPr>
          <w:snapToGrid w:val="0"/>
          <w:lang w:eastAsia="en-US"/>
        </w:rPr>
        <w:t xml:space="preserve">is </w:t>
      </w:r>
      <w:r w:rsidR="008C016A" w:rsidRPr="008C016A">
        <w:rPr>
          <w:snapToGrid w:val="0"/>
          <w:lang w:eastAsia="en-US"/>
        </w:rPr>
        <w:t>adequately reflected in the</w:t>
      </w:r>
      <w:r w:rsidR="008C016A">
        <w:rPr>
          <w:snapToGrid w:val="0"/>
          <w:lang w:eastAsia="en-US"/>
        </w:rPr>
        <w:t xml:space="preserve"> proxy group of comparable utilities. In this proceeding the </w:t>
      </w:r>
      <w:r w:rsidR="008C016A" w:rsidRPr="008C016A">
        <w:rPr>
          <w:snapToGrid w:val="0"/>
          <w:lang w:eastAsia="en-US"/>
        </w:rPr>
        <w:t xml:space="preserve">impact of </w:t>
      </w:r>
      <w:r w:rsidR="008C016A" w:rsidRPr="00255659">
        <w:rPr>
          <w:snapToGrid w:val="0"/>
          <w:lang w:eastAsia="en-US"/>
        </w:rPr>
        <w:t xml:space="preserve">revenue </w:t>
      </w:r>
      <w:r w:rsidR="008C016A" w:rsidRPr="008C016A">
        <w:rPr>
          <w:snapToGrid w:val="0"/>
          <w:lang w:eastAsia="en-US"/>
        </w:rPr>
        <w:t xml:space="preserve">decoupling on risk </w:t>
      </w:r>
      <w:r w:rsidR="008C016A">
        <w:rPr>
          <w:snapToGrid w:val="0"/>
          <w:lang w:eastAsia="en-US"/>
        </w:rPr>
        <w:t xml:space="preserve">is </w:t>
      </w:r>
      <w:r w:rsidR="008C016A" w:rsidRPr="008C016A">
        <w:rPr>
          <w:snapToGrid w:val="0"/>
          <w:lang w:eastAsia="en-US"/>
        </w:rPr>
        <w:t>adequately reflected in the</w:t>
      </w:r>
      <w:r w:rsidR="008C016A">
        <w:rPr>
          <w:snapToGrid w:val="0"/>
          <w:lang w:eastAsia="en-US"/>
        </w:rPr>
        <w:t xml:space="preserve"> proxy group of comparable utilities, yet Mr. Gorman argues for a downward adjustment to the allowed return on equity of PSE. The Commission should</w:t>
      </w:r>
      <w:r w:rsidR="00966981">
        <w:rPr>
          <w:snapToGrid w:val="0"/>
          <w:lang w:eastAsia="en-US"/>
        </w:rPr>
        <w:t>, once again,</w:t>
      </w:r>
      <w:r w:rsidR="008C016A">
        <w:rPr>
          <w:snapToGrid w:val="0"/>
          <w:lang w:eastAsia="en-US"/>
        </w:rPr>
        <w:t xml:space="preserve"> expressly </w:t>
      </w:r>
      <w:r w:rsidR="00966981">
        <w:rPr>
          <w:snapToGrid w:val="0"/>
          <w:lang w:eastAsia="en-US"/>
        </w:rPr>
        <w:t xml:space="preserve">reject </w:t>
      </w:r>
      <w:r w:rsidR="00307CD6">
        <w:rPr>
          <w:snapToGrid w:val="0"/>
          <w:lang w:eastAsia="en-US"/>
        </w:rPr>
        <w:t xml:space="preserve">any </w:t>
      </w:r>
      <w:r w:rsidR="00966981">
        <w:rPr>
          <w:snapToGrid w:val="0"/>
          <w:lang w:eastAsia="en-US"/>
        </w:rPr>
        <w:t xml:space="preserve">recommendation </w:t>
      </w:r>
      <w:r w:rsidR="00181B59">
        <w:rPr>
          <w:snapToGrid w:val="0"/>
          <w:lang w:eastAsia="en-US"/>
        </w:rPr>
        <w:t>for a downward adjustment to return on equity</w:t>
      </w:r>
      <w:r w:rsidR="00307CD6">
        <w:rPr>
          <w:snapToGrid w:val="0"/>
          <w:lang w:eastAsia="en-US"/>
        </w:rPr>
        <w:t xml:space="preserve"> due to the existence of a revenue decoupling mechanism</w:t>
      </w:r>
      <w:r w:rsidR="00181B59">
        <w:rPr>
          <w:snapToGrid w:val="0"/>
          <w:lang w:eastAsia="en-US"/>
        </w:rPr>
        <w:t>.</w:t>
      </w:r>
    </w:p>
    <w:p w:rsidR="00F8418D" w:rsidRPr="00255659" w:rsidRDefault="000A6D33" w:rsidP="00540A76">
      <w:pPr>
        <w:pStyle w:val="Heading1"/>
      </w:pPr>
      <w:bookmarkStart w:id="81" w:name="_Toc489887902"/>
      <w:r w:rsidRPr="00255659">
        <w:t>V</w:t>
      </w:r>
      <w:r w:rsidR="00F8418D" w:rsidRPr="00255659">
        <w:t>.</w:t>
      </w:r>
      <w:r w:rsidR="00F8418D" w:rsidRPr="00255659">
        <w:tab/>
        <w:t>CONCLUSION</w:t>
      </w:r>
      <w:bookmarkEnd w:id="80"/>
      <w:bookmarkEnd w:id="81"/>
    </w:p>
    <w:p w:rsidR="00C07BB7" w:rsidRPr="00C07BB7" w:rsidRDefault="00C07BB7" w:rsidP="00C07BB7">
      <w:pPr>
        <w:pStyle w:val="question"/>
      </w:pPr>
      <w:r w:rsidRPr="00C07BB7">
        <w:t>Q.</w:t>
      </w:r>
      <w:r>
        <w:tab/>
      </w:r>
      <w:r w:rsidRPr="00C07BB7">
        <w:t xml:space="preserve">Please summarize your results and </w:t>
      </w:r>
      <w:r>
        <w:t>recommended return on equity for PSE</w:t>
      </w:r>
      <w:r w:rsidRPr="00C07BB7">
        <w:t>.</w:t>
      </w:r>
    </w:p>
    <w:p w:rsidR="00C07BB7" w:rsidRDefault="00C07BB7" w:rsidP="00C07BB7">
      <w:pPr>
        <w:pStyle w:val="answer"/>
        <w:rPr>
          <w:rFonts w:eastAsia="SimSun"/>
        </w:rPr>
      </w:pPr>
      <w:r w:rsidRPr="00C07BB7">
        <w:rPr>
          <w:rFonts w:eastAsia="SimSun"/>
        </w:rPr>
        <w:t>A.</w:t>
      </w:r>
      <w:r>
        <w:rPr>
          <w:rFonts w:eastAsia="SimSun"/>
        </w:rPr>
        <w:tab/>
      </w:r>
      <w:r w:rsidRPr="00C07BB7">
        <w:rPr>
          <w:rFonts w:eastAsia="SimSun"/>
        </w:rPr>
        <w:t>To arrive at my final recommendation, I performed</w:t>
      </w:r>
      <w:r w:rsidR="00516646">
        <w:rPr>
          <w:rFonts w:eastAsia="SimSun"/>
        </w:rPr>
        <w:t xml:space="preserve"> each of the following analy</w:t>
      </w:r>
      <w:r w:rsidR="008A6A0F">
        <w:rPr>
          <w:rFonts w:eastAsia="SimSun"/>
        </w:rPr>
        <w:t>s</w:t>
      </w:r>
      <w:r w:rsidR="00516646">
        <w:rPr>
          <w:rFonts w:eastAsia="SimSun"/>
        </w:rPr>
        <w:t>es:</w:t>
      </w:r>
    </w:p>
    <w:p w:rsidR="00C07BB7" w:rsidRDefault="00C07BB7" w:rsidP="00C07BB7">
      <w:pPr>
        <w:pStyle w:val="answer"/>
        <w:spacing w:before="0" w:after="280" w:line="240" w:lineRule="auto"/>
        <w:ind w:left="2160" w:right="720"/>
      </w:pPr>
      <w:r w:rsidRPr="00C07BB7">
        <w:rPr>
          <w:rFonts w:eastAsia="SimSun"/>
        </w:rPr>
        <w:t>(i)</w:t>
      </w:r>
      <w:r>
        <w:rPr>
          <w:rFonts w:eastAsia="SimSun"/>
        </w:rPr>
        <w:tab/>
      </w:r>
      <w:r w:rsidRPr="00C07BB7">
        <w:rPr>
          <w:rFonts w:eastAsia="SimSun"/>
        </w:rPr>
        <w:t>a DCF analysis on a grou</w:t>
      </w:r>
      <w:r>
        <w:rPr>
          <w:rFonts w:eastAsia="SimSun"/>
        </w:rPr>
        <w:t xml:space="preserve">p of investment-grade dividend </w:t>
      </w:r>
      <w:r w:rsidRPr="00C07BB7">
        <w:rPr>
          <w:rFonts w:eastAsia="SimSun"/>
        </w:rPr>
        <w:t>paying combination gas and electric utilities using Value</w:t>
      </w:r>
      <w:r>
        <w:rPr>
          <w:rFonts w:eastAsia="SimSun"/>
        </w:rPr>
        <w:t xml:space="preserve"> </w:t>
      </w:r>
      <w:r w:rsidRPr="00C07BB7">
        <w:rPr>
          <w:rFonts w:eastAsia="SimSun"/>
        </w:rPr>
        <w:t>Line’s growth forecasts;</w:t>
      </w:r>
    </w:p>
    <w:p w:rsidR="00C07BB7" w:rsidRDefault="00C07BB7" w:rsidP="00C07BB7">
      <w:pPr>
        <w:pStyle w:val="answer"/>
        <w:spacing w:before="0" w:after="280" w:line="240" w:lineRule="auto"/>
        <w:ind w:left="2160" w:right="720"/>
        <w:rPr>
          <w:rFonts w:eastAsia="SimSun"/>
        </w:rPr>
      </w:pPr>
      <w:r w:rsidRPr="00C07BB7">
        <w:rPr>
          <w:rFonts w:eastAsia="SimSun"/>
        </w:rPr>
        <w:lastRenderedPageBreak/>
        <w:t>(ii)</w:t>
      </w:r>
      <w:r>
        <w:rPr>
          <w:rFonts w:eastAsia="SimSun"/>
        </w:rPr>
        <w:tab/>
      </w:r>
      <w:r w:rsidRPr="00C07BB7">
        <w:rPr>
          <w:rFonts w:eastAsia="SimSun"/>
        </w:rPr>
        <w:t>a DCF analysis on a gro</w:t>
      </w:r>
      <w:r>
        <w:rPr>
          <w:rFonts w:eastAsia="SimSun"/>
        </w:rPr>
        <w:t xml:space="preserve">up of investment-grade dividend </w:t>
      </w:r>
      <w:r w:rsidRPr="00C07BB7">
        <w:rPr>
          <w:rFonts w:eastAsia="SimSun"/>
        </w:rPr>
        <w:t>paying combination gas and electric utilities using analysts’</w:t>
      </w:r>
      <w:r>
        <w:t xml:space="preserve"> </w:t>
      </w:r>
      <w:r w:rsidRPr="00C07BB7">
        <w:rPr>
          <w:rFonts w:eastAsia="SimSun"/>
        </w:rPr>
        <w:t>growth forecasts;</w:t>
      </w:r>
    </w:p>
    <w:p w:rsidR="00C07BB7" w:rsidRDefault="00C07BB7" w:rsidP="00C07BB7">
      <w:pPr>
        <w:pStyle w:val="answer"/>
        <w:spacing w:before="0" w:after="280" w:line="240" w:lineRule="auto"/>
        <w:ind w:left="2160" w:right="720"/>
        <w:rPr>
          <w:rFonts w:eastAsia="SimSun"/>
        </w:rPr>
      </w:pPr>
      <w:r w:rsidRPr="00C07BB7">
        <w:rPr>
          <w:rFonts w:eastAsia="SimSun"/>
        </w:rPr>
        <w:t>(iii)</w:t>
      </w:r>
      <w:r>
        <w:rPr>
          <w:rFonts w:eastAsia="SimSun"/>
        </w:rPr>
        <w:tab/>
      </w:r>
      <w:r w:rsidRPr="00C07BB7">
        <w:rPr>
          <w:rFonts w:eastAsia="SimSun"/>
        </w:rPr>
        <w:t>a traditional CAPM using current market data;</w:t>
      </w:r>
    </w:p>
    <w:p w:rsidR="00C07BB7" w:rsidRDefault="00C07BB7" w:rsidP="00C07BB7">
      <w:pPr>
        <w:pStyle w:val="answer"/>
        <w:spacing w:before="0" w:after="280" w:line="240" w:lineRule="auto"/>
        <w:ind w:left="2160" w:right="720"/>
      </w:pPr>
      <w:r w:rsidRPr="00C07BB7">
        <w:rPr>
          <w:rFonts w:eastAsia="SimSun"/>
        </w:rPr>
        <w:t>(iv)</w:t>
      </w:r>
      <w:r>
        <w:rPr>
          <w:rFonts w:eastAsia="SimSun"/>
        </w:rPr>
        <w:tab/>
      </w:r>
      <w:r w:rsidRPr="00C07BB7">
        <w:rPr>
          <w:rFonts w:eastAsia="SimSun"/>
        </w:rPr>
        <w:t>an empirical approximation of the CAPM using current</w:t>
      </w:r>
      <w:r>
        <w:t xml:space="preserve"> </w:t>
      </w:r>
      <w:r w:rsidRPr="00C07BB7">
        <w:rPr>
          <w:rFonts w:eastAsia="SimSun"/>
        </w:rPr>
        <w:t>market data;</w:t>
      </w:r>
    </w:p>
    <w:p w:rsidR="00C07BB7" w:rsidRDefault="00C07BB7" w:rsidP="00C07BB7">
      <w:pPr>
        <w:pStyle w:val="answer"/>
        <w:spacing w:before="0" w:after="280" w:line="240" w:lineRule="auto"/>
        <w:ind w:left="2160" w:right="720"/>
      </w:pPr>
      <w:r w:rsidRPr="00C07BB7">
        <w:rPr>
          <w:rFonts w:eastAsia="SimSun"/>
        </w:rPr>
        <w:t>(v)</w:t>
      </w:r>
      <w:r>
        <w:rPr>
          <w:rFonts w:eastAsia="SimSun"/>
        </w:rPr>
        <w:tab/>
      </w:r>
      <w:r w:rsidRPr="00C07BB7">
        <w:rPr>
          <w:rFonts w:eastAsia="SimSun"/>
        </w:rPr>
        <w:t>historical risk premium data from electric utility industry</w:t>
      </w:r>
      <w:r>
        <w:t xml:space="preserve"> </w:t>
      </w:r>
      <w:r w:rsidRPr="00C07BB7">
        <w:rPr>
          <w:rFonts w:eastAsia="SimSun"/>
        </w:rPr>
        <w:t>aggregate data, using the current yield on long-term U</w:t>
      </w:r>
      <w:r>
        <w:rPr>
          <w:rFonts w:eastAsia="SimSun"/>
        </w:rPr>
        <w:t>.</w:t>
      </w:r>
      <w:r w:rsidRPr="00C07BB7">
        <w:rPr>
          <w:rFonts w:eastAsia="SimSun"/>
        </w:rPr>
        <w:t>S</w:t>
      </w:r>
      <w:r>
        <w:rPr>
          <w:rFonts w:eastAsia="SimSun"/>
        </w:rPr>
        <w:t>.</w:t>
      </w:r>
      <w:r>
        <w:t> </w:t>
      </w:r>
      <w:r w:rsidRPr="00C07BB7">
        <w:rPr>
          <w:rFonts w:eastAsia="SimSun"/>
        </w:rPr>
        <w:t>Treasury bonds; and</w:t>
      </w:r>
    </w:p>
    <w:p w:rsidR="00C07BB7" w:rsidRDefault="00C07BB7" w:rsidP="00C07BB7">
      <w:pPr>
        <w:pStyle w:val="answer"/>
        <w:spacing w:before="0" w:after="280" w:line="240" w:lineRule="auto"/>
        <w:ind w:left="2160" w:right="720"/>
      </w:pPr>
      <w:r w:rsidRPr="00C07BB7">
        <w:rPr>
          <w:rFonts w:eastAsia="SimSun"/>
        </w:rPr>
        <w:t>(vi)</w:t>
      </w:r>
      <w:r>
        <w:rPr>
          <w:rFonts w:eastAsia="SimSun"/>
        </w:rPr>
        <w:tab/>
      </w:r>
      <w:r w:rsidRPr="00C07BB7">
        <w:rPr>
          <w:rFonts w:eastAsia="SimSun"/>
        </w:rPr>
        <w:t>allowed risk premium data from electric utility industry</w:t>
      </w:r>
      <w:r>
        <w:t xml:space="preserve"> </w:t>
      </w:r>
      <w:r w:rsidRPr="00C07BB7">
        <w:rPr>
          <w:rFonts w:eastAsia="SimSun"/>
        </w:rPr>
        <w:t>aggregate data, using the current yield on long-term U</w:t>
      </w:r>
      <w:r>
        <w:rPr>
          <w:rFonts w:eastAsia="SimSun"/>
        </w:rPr>
        <w:t>.</w:t>
      </w:r>
      <w:r w:rsidRPr="00C07BB7">
        <w:rPr>
          <w:rFonts w:eastAsia="SimSun"/>
        </w:rPr>
        <w:t>S</w:t>
      </w:r>
      <w:r>
        <w:rPr>
          <w:rFonts w:eastAsia="SimSun"/>
        </w:rPr>
        <w:t>.</w:t>
      </w:r>
      <w:r>
        <w:t> </w:t>
      </w:r>
      <w:r w:rsidRPr="00C07BB7">
        <w:rPr>
          <w:rFonts w:eastAsia="SimSun"/>
        </w:rPr>
        <w:t>Treasury bonds.</w:t>
      </w:r>
    </w:p>
    <w:p w:rsidR="00C07BB7" w:rsidRPr="00C07BB7" w:rsidRDefault="00C07BB7" w:rsidP="00C07BB7">
      <w:pPr>
        <w:pStyle w:val="answer"/>
        <w:ind w:firstLine="0"/>
        <w:rPr>
          <w:rFonts w:eastAsia="SimSun"/>
        </w:rPr>
      </w:pPr>
      <w:r w:rsidRPr="00C07BB7">
        <w:rPr>
          <w:rFonts w:eastAsia="SimSun"/>
        </w:rPr>
        <w:t>Table</w:t>
      </w:r>
      <w:r>
        <w:rPr>
          <w:rFonts w:eastAsia="SimSun"/>
        </w:rPr>
        <w:t> 8</w:t>
      </w:r>
      <w:r w:rsidRPr="00C07BB7">
        <w:rPr>
          <w:rFonts w:eastAsia="SimSun"/>
        </w:rPr>
        <w:t xml:space="preserve"> below summarizes </w:t>
      </w:r>
      <w:r>
        <w:rPr>
          <w:rFonts w:eastAsia="SimSun"/>
        </w:rPr>
        <w:t xml:space="preserve">my return on equity </w:t>
      </w:r>
      <w:r w:rsidRPr="00C07BB7">
        <w:rPr>
          <w:rFonts w:eastAsia="SimSun"/>
        </w:rPr>
        <w:t>estimates for PSE.</w:t>
      </w:r>
    </w:p>
    <w:p w:rsidR="00C07BB7" w:rsidRPr="00C07BB7" w:rsidRDefault="00C07BB7" w:rsidP="00C07BB7">
      <w:pPr>
        <w:pStyle w:val="TableHeading"/>
      </w:pPr>
      <w:r w:rsidRPr="00E51C96">
        <w:t xml:space="preserve">Table </w:t>
      </w:r>
      <w:r>
        <w:t>8</w:t>
      </w:r>
      <w:r w:rsidRPr="00E51C96">
        <w:t xml:space="preserve">. </w:t>
      </w:r>
      <w:r w:rsidRPr="00C07BB7">
        <w:rPr>
          <w:rFonts w:eastAsia="SimSun"/>
        </w:rPr>
        <w:t xml:space="preserve">Summary of </w:t>
      </w:r>
      <w:r>
        <w:rPr>
          <w:rFonts w:eastAsia="SimSun"/>
        </w:rPr>
        <w:t xml:space="preserve">Dr. Morin’s Return on Equity </w:t>
      </w:r>
      <w:r w:rsidRPr="00C07BB7">
        <w:rPr>
          <w:rFonts w:eastAsia="SimSun"/>
        </w:rPr>
        <w:t>Estimates</w:t>
      </w:r>
    </w:p>
    <w:tbl>
      <w:tblPr>
        <w:tblW w:w="5940" w:type="dxa"/>
        <w:tblInd w:w="1440" w:type="dxa"/>
        <w:tblLook w:val="04A0" w:firstRow="1" w:lastRow="0" w:firstColumn="1" w:lastColumn="0" w:noHBand="0" w:noVBand="1"/>
      </w:tblPr>
      <w:tblGrid>
        <w:gridCol w:w="5000"/>
        <w:gridCol w:w="940"/>
      </w:tblGrid>
      <w:tr w:rsidR="00224D23" w:rsidRPr="00224D23" w:rsidTr="00224D23">
        <w:trPr>
          <w:trHeight w:val="300"/>
        </w:trPr>
        <w:tc>
          <w:tcPr>
            <w:tcW w:w="5000" w:type="dxa"/>
            <w:tcBorders>
              <w:bottom w:val="single" w:sz="4" w:space="0" w:color="auto"/>
            </w:tcBorders>
            <w:noWrap/>
            <w:hideMark/>
          </w:tcPr>
          <w:p w:rsidR="00224D23" w:rsidRPr="00224D23" w:rsidRDefault="00224D23" w:rsidP="00224D23">
            <w:pPr>
              <w:keepNext/>
              <w:keepLines/>
              <w:autoSpaceDN w:val="0"/>
              <w:spacing w:before="60" w:after="60" w:line="240" w:lineRule="auto"/>
              <w:ind w:firstLine="0"/>
              <w:jc w:val="center"/>
              <w:rPr>
                <w:b/>
                <w:sz w:val="22"/>
                <w:szCs w:val="22"/>
                <w:lang w:eastAsia="en-US"/>
              </w:rPr>
            </w:pPr>
            <w:r w:rsidRPr="00224D23">
              <w:rPr>
                <w:rFonts w:eastAsia="SimSun"/>
                <w:b/>
                <w:sz w:val="22"/>
                <w:szCs w:val="22"/>
              </w:rPr>
              <w:t>Study</w:t>
            </w:r>
          </w:p>
        </w:tc>
        <w:tc>
          <w:tcPr>
            <w:tcW w:w="940" w:type="dxa"/>
            <w:tcBorders>
              <w:bottom w:val="single" w:sz="4" w:space="0" w:color="auto"/>
            </w:tcBorders>
            <w:shd w:val="clear" w:color="auto" w:fill="FFFFFF"/>
            <w:hideMark/>
          </w:tcPr>
          <w:p w:rsidR="00224D23" w:rsidRPr="00224D23" w:rsidRDefault="00224D23" w:rsidP="00224D23">
            <w:pPr>
              <w:keepNext/>
              <w:keepLines/>
              <w:autoSpaceDN w:val="0"/>
              <w:spacing w:before="60" w:after="60" w:line="240" w:lineRule="auto"/>
              <w:ind w:firstLine="0"/>
              <w:jc w:val="center"/>
              <w:rPr>
                <w:b/>
                <w:sz w:val="22"/>
                <w:szCs w:val="22"/>
                <w:lang w:eastAsia="en-US"/>
              </w:rPr>
            </w:pPr>
            <w:r w:rsidRPr="00224D23">
              <w:rPr>
                <w:rFonts w:eastAsia="SimSun"/>
                <w:b/>
                <w:sz w:val="22"/>
                <w:szCs w:val="22"/>
              </w:rPr>
              <w:t>ROE</w:t>
            </w:r>
          </w:p>
        </w:tc>
      </w:tr>
      <w:tr w:rsidR="00C07BB7" w:rsidRPr="00224D23" w:rsidTr="00224D23">
        <w:trPr>
          <w:trHeight w:val="300"/>
        </w:trPr>
        <w:tc>
          <w:tcPr>
            <w:tcW w:w="5000" w:type="dxa"/>
            <w:tcBorders>
              <w:top w:val="single" w:sz="4" w:space="0" w:color="auto"/>
            </w:tcBorders>
            <w:noWrap/>
            <w:hideMark/>
          </w:tcPr>
          <w:p w:rsidR="00C07BB7" w:rsidRPr="00224D23" w:rsidRDefault="00C07BB7" w:rsidP="00224D23">
            <w:pPr>
              <w:keepNext/>
              <w:keepLines/>
              <w:autoSpaceDN w:val="0"/>
              <w:spacing w:before="60" w:after="60" w:line="240" w:lineRule="auto"/>
              <w:ind w:firstLine="0"/>
              <w:rPr>
                <w:sz w:val="22"/>
                <w:szCs w:val="22"/>
                <w:lang w:eastAsia="en-US"/>
              </w:rPr>
            </w:pPr>
            <w:r w:rsidRPr="00224D23">
              <w:rPr>
                <w:rFonts w:eastAsia="SimSun"/>
                <w:sz w:val="22"/>
                <w:szCs w:val="22"/>
              </w:rPr>
              <w:t xml:space="preserve">DCF - Electric Utilities Value Line Growth </w:t>
            </w:r>
          </w:p>
        </w:tc>
        <w:tc>
          <w:tcPr>
            <w:tcW w:w="940" w:type="dxa"/>
            <w:tcBorders>
              <w:top w:val="single" w:sz="4" w:space="0" w:color="auto"/>
            </w:tcBorders>
            <w:shd w:val="clear" w:color="auto" w:fill="FFFFFF"/>
            <w:hideMark/>
          </w:tcPr>
          <w:p w:rsidR="00C07BB7" w:rsidRPr="00224D23" w:rsidRDefault="00C07BB7"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9.8%</w:t>
            </w:r>
          </w:p>
        </w:tc>
      </w:tr>
      <w:tr w:rsidR="00224D23" w:rsidRPr="00224D23" w:rsidTr="00224D23">
        <w:trPr>
          <w:trHeight w:val="300"/>
        </w:trPr>
        <w:tc>
          <w:tcPr>
            <w:tcW w:w="5000" w:type="dxa"/>
            <w:noWrap/>
          </w:tcPr>
          <w:p w:rsidR="00224D23" w:rsidRPr="00224D23" w:rsidRDefault="00224D23" w:rsidP="00224D23">
            <w:pPr>
              <w:keepNext/>
              <w:keepLines/>
              <w:autoSpaceDN w:val="0"/>
              <w:spacing w:before="60" w:after="60" w:line="240" w:lineRule="auto"/>
              <w:ind w:firstLine="0"/>
              <w:rPr>
                <w:sz w:val="22"/>
                <w:szCs w:val="22"/>
                <w:lang w:eastAsia="en-US"/>
              </w:rPr>
            </w:pPr>
            <w:r w:rsidRPr="00224D23">
              <w:rPr>
                <w:rFonts w:eastAsia="SimSun"/>
                <w:sz w:val="22"/>
                <w:szCs w:val="22"/>
              </w:rPr>
              <w:t xml:space="preserve">DCF - Electric Utilities Analysts Growth </w:t>
            </w:r>
          </w:p>
        </w:tc>
        <w:tc>
          <w:tcPr>
            <w:tcW w:w="940" w:type="dxa"/>
            <w:shd w:val="clear" w:color="auto" w:fill="FFFFFF"/>
          </w:tcPr>
          <w:p w:rsidR="00224D23" w:rsidRPr="00224D23" w:rsidRDefault="00224D23"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9.4%</w:t>
            </w:r>
          </w:p>
        </w:tc>
      </w:tr>
      <w:tr w:rsidR="00224D23" w:rsidRPr="00224D23" w:rsidTr="00224D23">
        <w:trPr>
          <w:trHeight w:val="300"/>
        </w:trPr>
        <w:tc>
          <w:tcPr>
            <w:tcW w:w="5000" w:type="dxa"/>
            <w:noWrap/>
          </w:tcPr>
          <w:p w:rsidR="00224D23" w:rsidRPr="00224D23" w:rsidRDefault="00224D23" w:rsidP="00224D23">
            <w:pPr>
              <w:keepNext/>
              <w:keepLines/>
              <w:autoSpaceDN w:val="0"/>
              <w:spacing w:before="60" w:after="60" w:line="240" w:lineRule="auto"/>
              <w:ind w:firstLine="0"/>
              <w:rPr>
                <w:sz w:val="22"/>
                <w:szCs w:val="22"/>
                <w:lang w:eastAsia="en-US"/>
              </w:rPr>
            </w:pPr>
            <w:r w:rsidRPr="00224D23">
              <w:rPr>
                <w:rFonts w:eastAsia="SimSun"/>
                <w:sz w:val="22"/>
                <w:szCs w:val="22"/>
              </w:rPr>
              <w:t>Traditional CAPM</w:t>
            </w:r>
          </w:p>
        </w:tc>
        <w:tc>
          <w:tcPr>
            <w:tcW w:w="940" w:type="dxa"/>
            <w:shd w:val="clear" w:color="auto" w:fill="FFFFFF"/>
          </w:tcPr>
          <w:p w:rsidR="00224D23" w:rsidRPr="00224D23" w:rsidRDefault="00224D23"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9.3%</w:t>
            </w:r>
          </w:p>
        </w:tc>
      </w:tr>
      <w:tr w:rsidR="00224D23" w:rsidRPr="00224D23" w:rsidTr="00224D23">
        <w:trPr>
          <w:trHeight w:val="300"/>
        </w:trPr>
        <w:tc>
          <w:tcPr>
            <w:tcW w:w="5000" w:type="dxa"/>
            <w:noWrap/>
          </w:tcPr>
          <w:p w:rsidR="00224D23" w:rsidRPr="00224D23" w:rsidRDefault="00224D23" w:rsidP="00224D23">
            <w:pPr>
              <w:keepNext/>
              <w:keepLines/>
              <w:autoSpaceDN w:val="0"/>
              <w:spacing w:before="60" w:after="60" w:line="240" w:lineRule="auto"/>
              <w:ind w:firstLine="0"/>
              <w:rPr>
                <w:sz w:val="22"/>
                <w:szCs w:val="22"/>
                <w:lang w:eastAsia="en-US"/>
              </w:rPr>
            </w:pPr>
            <w:r w:rsidRPr="00224D23">
              <w:rPr>
                <w:rFonts w:eastAsia="SimSun"/>
                <w:sz w:val="22"/>
                <w:szCs w:val="22"/>
              </w:rPr>
              <w:t>Empirical CAPM</w:t>
            </w:r>
          </w:p>
        </w:tc>
        <w:tc>
          <w:tcPr>
            <w:tcW w:w="940" w:type="dxa"/>
            <w:shd w:val="clear" w:color="auto" w:fill="FFFFFF"/>
          </w:tcPr>
          <w:p w:rsidR="00224D23" w:rsidRPr="00224D23" w:rsidRDefault="00224D23"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9.8%</w:t>
            </w:r>
          </w:p>
        </w:tc>
      </w:tr>
      <w:tr w:rsidR="00224D23" w:rsidRPr="00224D23" w:rsidTr="00224D23">
        <w:trPr>
          <w:trHeight w:val="300"/>
        </w:trPr>
        <w:tc>
          <w:tcPr>
            <w:tcW w:w="5000" w:type="dxa"/>
            <w:noWrap/>
          </w:tcPr>
          <w:p w:rsidR="00224D23" w:rsidRPr="00224D23" w:rsidRDefault="00224D23" w:rsidP="00224D23">
            <w:pPr>
              <w:keepNext/>
              <w:keepLines/>
              <w:autoSpaceDN w:val="0"/>
              <w:spacing w:before="60" w:after="60" w:line="240" w:lineRule="auto"/>
              <w:ind w:firstLine="0"/>
              <w:rPr>
                <w:sz w:val="22"/>
                <w:szCs w:val="22"/>
                <w:lang w:eastAsia="en-US"/>
              </w:rPr>
            </w:pPr>
            <w:r w:rsidRPr="00224D23">
              <w:rPr>
                <w:rFonts w:eastAsia="SimSun"/>
                <w:sz w:val="22"/>
                <w:szCs w:val="22"/>
              </w:rPr>
              <w:t>Historical Risk Premium Electric</w:t>
            </w:r>
          </w:p>
        </w:tc>
        <w:tc>
          <w:tcPr>
            <w:tcW w:w="940" w:type="dxa"/>
            <w:shd w:val="clear" w:color="auto" w:fill="FFFFFF"/>
          </w:tcPr>
          <w:p w:rsidR="00224D23" w:rsidRPr="00224D23" w:rsidRDefault="00224D23"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10.5%</w:t>
            </w:r>
          </w:p>
        </w:tc>
      </w:tr>
      <w:tr w:rsidR="00224D23" w:rsidRPr="00224D23" w:rsidTr="00224D23">
        <w:trPr>
          <w:trHeight w:val="300"/>
        </w:trPr>
        <w:tc>
          <w:tcPr>
            <w:tcW w:w="5000" w:type="dxa"/>
            <w:tcBorders>
              <w:bottom w:val="single" w:sz="4" w:space="0" w:color="auto"/>
            </w:tcBorders>
            <w:noWrap/>
          </w:tcPr>
          <w:p w:rsidR="00224D23" w:rsidRPr="00224D23" w:rsidRDefault="00224D23" w:rsidP="00224D23">
            <w:pPr>
              <w:keepNext/>
              <w:keepLines/>
              <w:autoSpaceDN w:val="0"/>
              <w:spacing w:before="60" w:after="60" w:line="240" w:lineRule="auto"/>
              <w:ind w:firstLine="0"/>
              <w:rPr>
                <w:sz w:val="22"/>
                <w:szCs w:val="22"/>
                <w:lang w:eastAsia="en-US"/>
              </w:rPr>
            </w:pPr>
            <w:r w:rsidRPr="00224D23">
              <w:rPr>
                <w:rFonts w:eastAsia="SimSun"/>
                <w:sz w:val="22"/>
                <w:szCs w:val="22"/>
              </w:rPr>
              <w:t>Allowed Risk Premium</w:t>
            </w:r>
          </w:p>
        </w:tc>
        <w:tc>
          <w:tcPr>
            <w:tcW w:w="940" w:type="dxa"/>
            <w:tcBorders>
              <w:bottom w:val="single" w:sz="4" w:space="0" w:color="auto"/>
            </w:tcBorders>
            <w:shd w:val="clear" w:color="auto" w:fill="FFFFFF"/>
          </w:tcPr>
          <w:p w:rsidR="00224D23" w:rsidRPr="00224D23" w:rsidRDefault="00224D23" w:rsidP="00224D23">
            <w:pPr>
              <w:keepNext/>
              <w:keepLines/>
              <w:autoSpaceDN w:val="0"/>
              <w:spacing w:before="60" w:after="60" w:line="240" w:lineRule="auto"/>
              <w:ind w:firstLine="0"/>
              <w:jc w:val="center"/>
              <w:rPr>
                <w:sz w:val="22"/>
                <w:szCs w:val="22"/>
                <w:lang w:eastAsia="en-US"/>
              </w:rPr>
            </w:pPr>
            <w:r w:rsidRPr="00224D23">
              <w:rPr>
                <w:rFonts w:eastAsia="SimSun"/>
                <w:sz w:val="22"/>
                <w:szCs w:val="22"/>
              </w:rPr>
              <w:t>10.7%</w:t>
            </w:r>
          </w:p>
        </w:tc>
      </w:tr>
      <w:tr w:rsidR="00224D23" w:rsidRPr="00224D23" w:rsidTr="00224D23">
        <w:trPr>
          <w:trHeight w:val="300"/>
        </w:trPr>
        <w:tc>
          <w:tcPr>
            <w:tcW w:w="5000" w:type="dxa"/>
            <w:tcBorders>
              <w:top w:val="single" w:sz="4" w:space="0" w:color="auto"/>
            </w:tcBorders>
            <w:noWrap/>
          </w:tcPr>
          <w:p w:rsidR="00224D23" w:rsidRPr="00224D23" w:rsidRDefault="00224D23" w:rsidP="00224D23">
            <w:pPr>
              <w:keepNext/>
              <w:keepLines/>
              <w:autoSpaceDN w:val="0"/>
              <w:spacing w:before="60" w:after="60" w:line="240" w:lineRule="auto"/>
              <w:ind w:firstLine="0"/>
              <w:rPr>
                <w:b/>
                <w:sz w:val="22"/>
                <w:szCs w:val="22"/>
                <w:lang w:eastAsia="en-US"/>
              </w:rPr>
            </w:pPr>
            <w:r w:rsidRPr="00224D23">
              <w:rPr>
                <w:b/>
                <w:sz w:val="22"/>
                <w:szCs w:val="22"/>
                <w:lang w:eastAsia="en-US"/>
              </w:rPr>
              <w:t>Average</w:t>
            </w:r>
          </w:p>
        </w:tc>
        <w:tc>
          <w:tcPr>
            <w:tcW w:w="940" w:type="dxa"/>
            <w:tcBorders>
              <w:top w:val="single" w:sz="4" w:space="0" w:color="auto"/>
            </w:tcBorders>
            <w:shd w:val="clear" w:color="auto" w:fill="FFFFFF"/>
          </w:tcPr>
          <w:p w:rsidR="00224D23" w:rsidRPr="00224D23" w:rsidRDefault="00224D23" w:rsidP="00224D23">
            <w:pPr>
              <w:keepNext/>
              <w:keepLines/>
              <w:autoSpaceDN w:val="0"/>
              <w:spacing w:before="60" w:after="60" w:line="240" w:lineRule="auto"/>
              <w:ind w:firstLine="0"/>
              <w:jc w:val="center"/>
              <w:rPr>
                <w:b/>
                <w:sz w:val="22"/>
                <w:szCs w:val="22"/>
                <w:lang w:eastAsia="en-US"/>
              </w:rPr>
            </w:pPr>
            <w:r w:rsidRPr="00224D23">
              <w:rPr>
                <w:b/>
                <w:sz w:val="22"/>
                <w:szCs w:val="22"/>
                <w:lang w:eastAsia="en-US"/>
              </w:rPr>
              <w:t>9.9%</w:t>
            </w:r>
          </w:p>
        </w:tc>
      </w:tr>
      <w:tr w:rsidR="00224D23" w:rsidRPr="00224D23" w:rsidTr="00224D23">
        <w:trPr>
          <w:trHeight w:val="300"/>
        </w:trPr>
        <w:tc>
          <w:tcPr>
            <w:tcW w:w="5000" w:type="dxa"/>
            <w:noWrap/>
          </w:tcPr>
          <w:p w:rsidR="00224D23" w:rsidRPr="00224D23" w:rsidRDefault="00224D23" w:rsidP="00224D23">
            <w:pPr>
              <w:keepNext/>
              <w:keepLines/>
              <w:autoSpaceDN w:val="0"/>
              <w:spacing w:before="60" w:after="60" w:line="240" w:lineRule="auto"/>
              <w:ind w:firstLine="0"/>
              <w:rPr>
                <w:b/>
                <w:sz w:val="22"/>
                <w:szCs w:val="22"/>
                <w:lang w:eastAsia="en-US"/>
              </w:rPr>
            </w:pPr>
            <w:r w:rsidRPr="00224D23">
              <w:rPr>
                <w:b/>
                <w:sz w:val="22"/>
                <w:szCs w:val="22"/>
                <w:lang w:eastAsia="en-US"/>
              </w:rPr>
              <w:t>Median</w:t>
            </w:r>
          </w:p>
        </w:tc>
        <w:tc>
          <w:tcPr>
            <w:tcW w:w="940" w:type="dxa"/>
            <w:shd w:val="clear" w:color="auto" w:fill="FFFFFF"/>
          </w:tcPr>
          <w:p w:rsidR="00224D23" w:rsidRPr="00224D23" w:rsidRDefault="00224D23" w:rsidP="00224D23">
            <w:pPr>
              <w:keepNext/>
              <w:keepLines/>
              <w:autoSpaceDN w:val="0"/>
              <w:spacing w:before="60" w:after="60" w:line="240" w:lineRule="auto"/>
              <w:ind w:firstLine="0"/>
              <w:jc w:val="center"/>
              <w:rPr>
                <w:b/>
                <w:sz w:val="22"/>
                <w:szCs w:val="22"/>
                <w:lang w:eastAsia="en-US"/>
              </w:rPr>
            </w:pPr>
            <w:r w:rsidRPr="00224D23">
              <w:rPr>
                <w:b/>
                <w:sz w:val="22"/>
                <w:szCs w:val="22"/>
                <w:lang w:eastAsia="en-US"/>
              </w:rPr>
              <w:t>9.8%</w:t>
            </w:r>
          </w:p>
        </w:tc>
      </w:tr>
      <w:tr w:rsidR="00224D23" w:rsidRPr="00224D23" w:rsidTr="00224D23">
        <w:trPr>
          <w:trHeight w:val="300"/>
        </w:trPr>
        <w:tc>
          <w:tcPr>
            <w:tcW w:w="5000" w:type="dxa"/>
            <w:noWrap/>
          </w:tcPr>
          <w:p w:rsidR="00224D23" w:rsidRPr="00224D23" w:rsidRDefault="00224D23" w:rsidP="00224D23">
            <w:pPr>
              <w:autoSpaceDN w:val="0"/>
              <w:spacing w:before="60" w:after="60" w:line="240" w:lineRule="auto"/>
              <w:ind w:firstLine="0"/>
              <w:rPr>
                <w:b/>
                <w:sz w:val="22"/>
                <w:szCs w:val="22"/>
                <w:lang w:eastAsia="en-US"/>
              </w:rPr>
            </w:pPr>
            <w:r w:rsidRPr="00224D23">
              <w:rPr>
                <w:b/>
                <w:sz w:val="22"/>
                <w:szCs w:val="22"/>
                <w:lang w:eastAsia="en-US"/>
              </w:rPr>
              <w:t>Truncated Mean</w:t>
            </w:r>
          </w:p>
        </w:tc>
        <w:tc>
          <w:tcPr>
            <w:tcW w:w="940" w:type="dxa"/>
            <w:shd w:val="clear" w:color="auto" w:fill="FFFFFF"/>
          </w:tcPr>
          <w:p w:rsidR="00224D23" w:rsidRPr="00224D23" w:rsidRDefault="00224D23" w:rsidP="00224D23">
            <w:pPr>
              <w:autoSpaceDN w:val="0"/>
              <w:spacing w:before="60" w:after="60" w:line="240" w:lineRule="auto"/>
              <w:ind w:firstLine="0"/>
              <w:jc w:val="center"/>
              <w:rPr>
                <w:b/>
                <w:sz w:val="22"/>
                <w:szCs w:val="22"/>
                <w:lang w:eastAsia="en-US"/>
              </w:rPr>
            </w:pPr>
            <w:r w:rsidRPr="00224D23">
              <w:rPr>
                <w:b/>
                <w:sz w:val="22"/>
                <w:szCs w:val="22"/>
                <w:lang w:eastAsia="en-US"/>
              </w:rPr>
              <w:t>9.9%</w:t>
            </w:r>
          </w:p>
        </w:tc>
      </w:tr>
    </w:tbl>
    <w:p w:rsidR="00224D23" w:rsidRDefault="00C07BB7" w:rsidP="00224D23">
      <w:pPr>
        <w:pStyle w:val="answer"/>
        <w:ind w:firstLine="0"/>
        <w:rPr>
          <w:rFonts w:eastAsia="SimSun"/>
        </w:rPr>
      </w:pPr>
      <w:r w:rsidRPr="00C07BB7">
        <w:rPr>
          <w:rFonts w:eastAsia="SimSun"/>
        </w:rPr>
        <w:t>The average estimate is 9.9</w:t>
      </w:r>
      <w:r w:rsidR="00224D23">
        <w:rPr>
          <w:rFonts w:eastAsia="SimSun"/>
        </w:rPr>
        <w:t> percent</w:t>
      </w:r>
      <w:r w:rsidRPr="00C07BB7">
        <w:rPr>
          <w:rFonts w:eastAsia="SimSun"/>
        </w:rPr>
        <w:t>, the median resu</w:t>
      </w:r>
      <w:r w:rsidR="00224D23">
        <w:rPr>
          <w:rFonts w:eastAsia="SimSun"/>
        </w:rPr>
        <w:t>lt is 9.8 percent, and truncated mean</w:t>
      </w:r>
      <w:r w:rsidR="00224D23">
        <w:rPr>
          <w:rStyle w:val="FootnoteReference"/>
          <w:rFonts w:eastAsia="SimSun"/>
        </w:rPr>
        <w:footnoteReference w:id="104"/>
      </w:r>
      <w:r w:rsidRPr="00C07BB7">
        <w:rPr>
          <w:rFonts w:eastAsia="SimSun"/>
        </w:rPr>
        <w:t xml:space="preserve"> is</w:t>
      </w:r>
      <w:r w:rsidR="00224D23">
        <w:rPr>
          <w:rFonts w:eastAsia="SimSun"/>
        </w:rPr>
        <w:t xml:space="preserve"> </w:t>
      </w:r>
      <w:r w:rsidRPr="00C07BB7">
        <w:rPr>
          <w:rFonts w:eastAsia="SimSun"/>
        </w:rPr>
        <w:t>9.9</w:t>
      </w:r>
      <w:r w:rsidR="00224D23">
        <w:rPr>
          <w:rFonts w:eastAsia="SimSun"/>
        </w:rPr>
        <w:t> percent.</w:t>
      </w:r>
    </w:p>
    <w:p w:rsidR="00224D23" w:rsidRPr="00255659" w:rsidRDefault="00224D23" w:rsidP="00224D23">
      <w:pPr>
        <w:pStyle w:val="question"/>
      </w:pPr>
      <w:r w:rsidRPr="00255659">
        <w:lastRenderedPageBreak/>
        <w:t>Q.</w:t>
      </w:r>
      <w:r w:rsidRPr="00255659">
        <w:tab/>
      </w:r>
      <w:r w:rsidR="00DD2B52">
        <w:t>Has the testimony of Dr. Woolridge, Mr. Parcell, or Mr. Gorman caused you to revise your analyses or change your recommended return on equity of 9.8 percent for PSE</w:t>
      </w:r>
      <w:r w:rsidRPr="00255659">
        <w:t>?</w:t>
      </w:r>
    </w:p>
    <w:p w:rsidR="00224D23" w:rsidRPr="00255659" w:rsidRDefault="00224D23" w:rsidP="00224D23">
      <w:pPr>
        <w:pStyle w:val="answer"/>
        <w:rPr>
          <w:rFonts w:eastAsia="SimSun"/>
        </w:rPr>
      </w:pPr>
      <w:r w:rsidRPr="00255659">
        <w:rPr>
          <w:rFonts w:eastAsia="SimSun"/>
        </w:rPr>
        <w:t>A.</w:t>
      </w:r>
      <w:r w:rsidRPr="00255659">
        <w:rPr>
          <w:rFonts w:eastAsia="SimSun"/>
        </w:rPr>
        <w:tab/>
      </w:r>
      <w:r w:rsidR="00DD2B52">
        <w:rPr>
          <w:rFonts w:eastAsia="SimSun"/>
        </w:rPr>
        <w:t xml:space="preserve">None of </w:t>
      </w:r>
      <w:r w:rsidR="00DD2B52">
        <w:t>the testimony of Dr. Woolridge, Mr. Parcell, or Mr. Gorman has caused me to revise my analyses or change my recommended return on equity of 9.8 percent for PSE</w:t>
      </w:r>
      <w:r w:rsidR="00DD2B52">
        <w:rPr>
          <w:rFonts w:eastAsia="SimSun"/>
        </w:rPr>
        <w:t xml:space="preserve">. </w:t>
      </w:r>
      <w:r>
        <w:rPr>
          <w:rFonts w:eastAsia="SimSun"/>
        </w:rPr>
        <w:t>Th</w:t>
      </w:r>
      <w:r w:rsidR="00DD2B52">
        <w:rPr>
          <w:rFonts w:eastAsia="SimSun"/>
        </w:rPr>
        <w:t>e</w:t>
      </w:r>
      <w:r>
        <w:rPr>
          <w:rFonts w:eastAsia="SimSun"/>
        </w:rPr>
        <w:t xml:space="preserve"> return on equity of </w:t>
      </w:r>
      <w:r w:rsidRPr="00C07BB7">
        <w:rPr>
          <w:rFonts w:eastAsia="SimSun"/>
        </w:rPr>
        <w:t>9.8</w:t>
      </w:r>
      <w:r>
        <w:rPr>
          <w:rFonts w:eastAsia="SimSun"/>
        </w:rPr>
        <w:t xml:space="preserve"> percent </w:t>
      </w:r>
      <w:r w:rsidRPr="00C07BB7">
        <w:rPr>
          <w:rFonts w:eastAsia="SimSun"/>
        </w:rPr>
        <w:t xml:space="preserve">requested by PSE </w:t>
      </w:r>
      <w:r>
        <w:rPr>
          <w:rFonts w:eastAsia="SimSun"/>
        </w:rPr>
        <w:t xml:space="preserve">in this proceeding is </w:t>
      </w:r>
      <w:r w:rsidRPr="00C07BB7">
        <w:rPr>
          <w:rFonts w:eastAsia="SimSun"/>
        </w:rPr>
        <w:t>a</w:t>
      </w:r>
      <w:r>
        <w:rPr>
          <w:rFonts w:eastAsia="SimSun"/>
        </w:rPr>
        <w:t xml:space="preserve"> </w:t>
      </w:r>
      <w:r w:rsidRPr="00C07BB7">
        <w:rPr>
          <w:rFonts w:eastAsia="SimSun"/>
        </w:rPr>
        <w:t>fair and reasonable estimate</w:t>
      </w:r>
      <w:r w:rsidR="00DD2B52">
        <w:rPr>
          <w:rFonts w:eastAsia="SimSun"/>
        </w:rPr>
        <w:t>, and the Commission should adopt this recommended return on equity in establishing rates for PSE in this proceeding.</w:t>
      </w:r>
    </w:p>
    <w:p w:rsidR="00C07BB7" w:rsidRPr="00255659" w:rsidRDefault="00C07BB7" w:rsidP="00C07BB7">
      <w:pPr>
        <w:pStyle w:val="question"/>
      </w:pPr>
      <w:r w:rsidRPr="00255659">
        <w:t>Q.</w:t>
      </w:r>
      <w:r w:rsidRPr="00255659">
        <w:tab/>
        <w:t>Does this conclude your rebuttal testimony?</w:t>
      </w:r>
    </w:p>
    <w:p w:rsidR="00C07BB7" w:rsidRPr="00255659" w:rsidRDefault="00C07BB7" w:rsidP="00C07BB7">
      <w:pPr>
        <w:pStyle w:val="answer"/>
        <w:rPr>
          <w:rFonts w:eastAsia="SimSun"/>
        </w:rPr>
      </w:pPr>
      <w:r w:rsidRPr="00255659">
        <w:rPr>
          <w:rFonts w:eastAsia="SimSun"/>
        </w:rPr>
        <w:t>A.</w:t>
      </w:r>
      <w:r w:rsidRPr="00255659">
        <w:rPr>
          <w:rFonts w:eastAsia="SimSun"/>
        </w:rPr>
        <w:tab/>
        <w:t>Yes.</w:t>
      </w:r>
    </w:p>
    <w:sectPr w:rsidR="00C07BB7" w:rsidRPr="00255659" w:rsidSect="00EC61B9">
      <w:footerReference w:type="default" r:id="rId14"/>
      <w:footerReference w:type="first" r:id="rId15"/>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83" w:rsidRDefault="00421783">
      <w:r>
        <w:separator/>
      </w:r>
    </w:p>
  </w:endnote>
  <w:endnote w:type="continuationSeparator" w:id="0">
    <w:p w:rsidR="00421783" w:rsidRDefault="0042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rsidP="005448D9">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B1034A" w:rsidRDefault="00B1034A">
    <w:pPr>
      <w:pStyle w:val="Footer"/>
      <w:tabs>
        <w:tab w:val="clear" w:pos="4507"/>
        <w:tab w:val="clear" w:pos="9000"/>
        <w:tab w:val="right" w:pos="8640"/>
      </w:tabs>
      <w:spacing w:line="240" w:lineRule="auto"/>
      <w:ind w:right="0" w:hanging="4"/>
      <w:rPr>
        <w:sz w:val="10"/>
        <w:szCs w:val="10"/>
      </w:rPr>
    </w:pPr>
  </w:p>
  <w:p w:rsidR="00B1034A" w:rsidRDefault="00B1034A">
    <w:pPr>
      <w:pStyle w:val="Footer"/>
      <w:tabs>
        <w:tab w:val="clear" w:pos="4507"/>
        <w:tab w:val="clear" w:pos="9000"/>
        <w:tab w:val="right" w:pos="8640"/>
      </w:tabs>
      <w:ind w:hanging="4"/>
    </w:pPr>
    <w:r>
      <w:t>Prefiled Rebuttal Testimony</w:t>
    </w:r>
    <w:r>
      <w:tab/>
      <w:t>Exh. RAM-12T</w:t>
    </w:r>
  </w:p>
  <w:p w:rsidR="00B1034A" w:rsidRDefault="00B1034A">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83BDA">
      <w:rPr>
        <w:rStyle w:val="PageNumber"/>
        <w:noProof/>
      </w:rPr>
      <w:t>v</w:t>
    </w:r>
    <w:r>
      <w:rPr>
        <w:rStyle w:val="PageNumber"/>
      </w:rPr>
      <w:fldChar w:fldCharType="end"/>
    </w:r>
    <w:r>
      <w:rPr>
        <w:rStyle w:val="PageNumber"/>
      </w:rPr>
      <w:t xml:space="preserve"> of </w:t>
    </w:r>
    <w:r>
      <w:t>v</w:t>
    </w:r>
  </w:p>
  <w:p w:rsidR="00B1034A" w:rsidRDefault="00B1034A" w:rsidP="007852E7">
    <w:pPr>
      <w:pStyle w:val="Footer"/>
      <w:tabs>
        <w:tab w:val="clear" w:pos="4507"/>
        <w:tab w:val="clear" w:pos="9000"/>
        <w:tab w:val="right" w:pos="8640"/>
      </w:tabs>
      <w:ind w:hanging="4"/>
    </w:pPr>
    <w:r>
      <w:t>Dr. Roger A. Morin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1034A" w:rsidRDefault="00B1034A">
    <w:pPr>
      <w:pStyle w:val="Footer"/>
      <w:tabs>
        <w:tab w:val="clear" w:pos="4507"/>
        <w:tab w:val="clear" w:pos="9000"/>
        <w:tab w:val="right" w:pos="8640"/>
      </w:tabs>
      <w:spacing w:line="240" w:lineRule="auto"/>
      <w:ind w:right="0"/>
      <w:rPr>
        <w:sz w:val="10"/>
      </w:rPr>
    </w:pPr>
  </w:p>
  <w:p w:rsidR="00B1034A" w:rsidRDefault="00B1034A">
    <w:pPr>
      <w:pStyle w:val="Footer"/>
      <w:tabs>
        <w:tab w:val="clear" w:pos="4507"/>
        <w:tab w:val="clear" w:pos="9000"/>
        <w:tab w:val="right" w:pos="8640"/>
      </w:tabs>
    </w:pPr>
    <w:r>
      <w:t>Prefiled Rebuttal Testimony</w:t>
    </w:r>
    <w:r>
      <w:tab/>
      <w:t>Exh. RAM-12T</w:t>
    </w:r>
  </w:p>
  <w:p w:rsidR="00B1034A" w:rsidRDefault="00B1034A">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83BDA">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F83BDA">
      <w:rPr>
        <w:rStyle w:val="PageNumber"/>
        <w:noProof/>
      </w:rPr>
      <w:t>97</w:t>
    </w:r>
    <w:r>
      <w:rPr>
        <w:rStyle w:val="PageNumber"/>
      </w:rPr>
      <w:fldChar w:fldCharType="end"/>
    </w:r>
  </w:p>
  <w:p w:rsidR="00B1034A" w:rsidRDefault="00B1034A" w:rsidP="000F052F">
    <w:pPr>
      <w:pStyle w:val="Footer"/>
      <w:tabs>
        <w:tab w:val="clear" w:pos="4507"/>
        <w:tab w:val="clear" w:pos="9000"/>
        <w:tab w:val="right" w:pos="8640"/>
      </w:tabs>
    </w:pPr>
    <w:r>
      <w:t>Dr. Roger A. Morin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B1034A" w:rsidRDefault="00B1034A">
    <w:pPr>
      <w:pStyle w:val="Footer"/>
      <w:tabs>
        <w:tab w:val="clear" w:pos="4507"/>
        <w:tab w:val="clear" w:pos="9000"/>
        <w:tab w:val="right" w:pos="8640"/>
      </w:tabs>
      <w:spacing w:line="240" w:lineRule="auto"/>
      <w:ind w:left="-630" w:right="0" w:hanging="4"/>
      <w:rPr>
        <w:sz w:val="10"/>
      </w:rPr>
    </w:pPr>
  </w:p>
  <w:p w:rsidR="00B1034A" w:rsidRDefault="00B1034A">
    <w:pPr>
      <w:pStyle w:val="Footer"/>
      <w:tabs>
        <w:tab w:val="clear" w:pos="4507"/>
        <w:tab w:val="clear" w:pos="9000"/>
        <w:tab w:val="right" w:pos="8640"/>
      </w:tabs>
      <w:ind w:left="-630" w:hanging="4"/>
    </w:pPr>
    <w:r>
      <w:t>Prefiled Direct Testimony of</w:t>
    </w:r>
    <w:r>
      <w:tab/>
      <w:t>Exhibit No. ___(JD-1CT)</w:t>
    </w:r>
  </w:p>
  <w:p w:rsidR="00B1034A" w:rsidRDefault="00B1034A">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8A6A0F">
      <w:rPr>
        <w:rStyle w:val="PageNumber"/>
        <w:noProof/>
      </w:rPr>
      <w:t>96</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83" w:rsidRDefault="00421783" w:rsidP="00133922">
      <w:pPr>
        <w:spacing w:line="240" w:lineRule="auto"/>
        <w:ind w:firstLine="0"/>
      </w:pPr>
      <w:r>
        <w:separator/>
      </w:r>
    </w:p>
  </w:footnote>
  <w:footnote w:type="continuationSeparator" w:id="0">
    <w:p w:rsidR="00421783" w:rsidRDefault="00421783" w:rsidP="00133922">
      <w:pPr>
        <w:spacing w:line="240" w:lineRule="auto"/>
        <w:ind w:firstLine="0"/>
      </w:pPr>
      <w:r>
        <w:continuationSeparator/>
      </w:r>
    </w:p>
  </w:footnote>
  <w:footnote w:type="continuationNotice" w:id="1">
    <w:p w:rsidR="00421783" w:rsidRDefault="00421783" w:rsidP="00133922">
      <w:pPr>
        <w:spacing w:line="240" w:lineRule="auto"/>
        <w:ind w:firstLine="0"/>
      </w:pPr>
    </w:p>
  </w:footnote>
  <w:footnote w:id="2">
    <w:p w:rsidR="00B1034A" w:rsidRDefault="00B1034A">
      <w:pPr>
        <w:pStyle w:val="FootnoteText"/>
      </w:pPr>
      <w:r>
        <w:rPr>
          <w:rStyle w:val="FootnoteReference"/>
        </w:rPr>
        <w:footnoteRef/>
      </w:r>
      <w:r>
        <w:tab/>
      </w:r>
      <w:r w:rsidRPr="0032154D">
        <w:rPr>
          <w:i/>
        </w:rPr>
        <w:t>See, e.g.,</w:t>
      </w:r>
      <w:r>
        <w:t xml:space="preserve"> Woolridge, Exh. JRW-1T,</w:t>
      </w:r>
      <w:bookmarkStart w:id="5" w:name="_GoBack"/>
      <w:bookmarkEnd w:id="5"/>
      <w:r>
        <w:t xml:space="preserve"> at page 43, Table 2.</w:t>
      </w:r>
    </w:p>
  </w:footnote>
  <w:footnote w:id="3">
    <w:p w:rsidR="00B1034A" w:rsidRDefault="00B1034A">
      <w:pPr>
        <w:pStyle w:val="FootnoteText"/>
      </w:pPr>
      <w:r>
        <w:rPr>
          <w:rStyle w:val="FootnoteReference"/>
        </w:rPr>
        <w:footnoteRef/>
      </w:r>
      <w:r>
        <w:tab/>
      </w:r>
      <w:r w:rsidRPr="00FE2FCA">
        <w:rPr>
          <w:i/>
        </w:rPr>
        <w:t>See</w:t>
      </w:r>
      <w:r>
        <w:t xml:space="preserve"> Woolridge, </w:t>
      </w:r>
      <w:r w:rsidRPr="00FE2FCA">
        <w:t>Exh</w:t>
      </w:r>
      <w:r>
        <w:t>. </w:t>
      </w:r>
      <w:r w:rsidRPr="00FE2FCA">
        <w:t>JRW-1</w:t>
      </w:r>
      <w:r>
        <w:t>T, at</w:t>
      </w:r>
      <w:r w:rsidRPr="00FE2FCA">
        <w:t xml:space="preserve"> page</w:t>
      </w:r>
      <w:r>
        <w:t xml:space="preserve"> 35, lines 11;13; </w:t>
      </w:r>
      <w:r w:rsidRPr="00FE2FCA">
        <w:rPr>
          <w:i/>
        </w:rPr>
        <w:t>see also</w:t>
      </w:r>
      <w:r>
        <w:t xml:space="preserve"> Woolridge, </w:t>
      </w:r>
      <w:r w:rsidRPr="00FE2FCA">
        <w:t>Exh</w:t>
      </w:r>
      <w:r>
        <w:t>. </w:t>
      </w:r>
      <w:r w:rsidRPr="00FE2FCA">
        <w:t>JRW-12</w:t>
      </w:r>
      <w:r>
        <w:t>, at</w:t>
      </w:r>
      <w:r w:rsidRPr="00FE2FCA">
        <w:t xml:space="preserve"> page</w:t>
      </w:r>
      <w:r>
        <w:t> </w:t>
      </w:r>
      <w:r w:rsidRPr="00FE2FCA">
        <w:t>1</w:t>
      </w:r>
      <w:r>
        <w:t>.</w:t>
      </w:r>
    </w:p>
  </w:footnote>
  <w:footnote w:id="4">
    <w:p w:rsidR="00B1034A" w:rsidRDefault="00B1034A">
      <w:pPr>
        <w:pStyle w:val="FootnoteText"/>
      </w:pPr>
      <w:r>
        <w:rPr>
          <w:rStyle w:val="FootnoteReference"/>
        </w:rPr>
        <w:footnoteRef/>
      </w:r>
      <w:r>
        <w:tab/>
      </w:r>
      <w:r w:rsidRPr="00573DFB">
        <w:t>4% × (1 + (0.05 × 0.5) = 4.1%</w:t>
      </w:r>
      <w:r>
        <w:t>.</w:t>
      </w:r>
    </w:p>
  </w:footnote>
  <w:footnote w:id="5">
    <w:p w:rsidR="00B1034A" w:rsidRDefault="00B1034A">
      <w:pPr>
        <w:pStyle w:val="FootnoteText"/>
      </w:pPr>
      <w:r>
        <w:rPr>
          <w:rStyle w:val="FootnoteReference"/>
        </w:rPr>
        <w:footnoteRef/>
      </w:r>
      <w:r>
        <w:tab/>
      </w:r>
      <w:r w:rsidRPr="00573DFB">
        <w:t>4% × (1 + .05) =</w:t>
      </w:r>
      <w:r>
        <w:t xml:space="preserve"> </w:t>
      </w:r>
      <w:r w:rsidRPr="00573DFB">
        <w:t>4.</w:t>
      </w:r>
      <w:r>
        <w:t>2</w:t>
      </w:r>
      <w:r w:rsidRPr="00573DFB">
        <w:t>%</w:t>
      </w:r>
      <w:r>
        <w:t>.</w:t>
      </w:r>
    </w:p>
  </w:footnote>
  <w:footnote w:id="6">
    <w:p w:rsidR="00B1034A" w:rsidRPr="00DA7525" w:rsidRDefault="00B1034A">
      <w:pPr>
        <w:pStyle w:val="FootnoteText"/>
        <w:rPr>
          <w:szCs w:val="22"/>
        </w:rPr>
      </w:pPr>
      <w:r>
        <w:rPr>
          <w:rStyle w:val="FootnoteReference"/>
        </w:rPr>
        <w:footnoteRef/>
      </w:r>
      <w:r>
        <w:tab/>
      </w:r>
      <w:r w:rsidRPr="00DA7525">
        <w:rPr>
          <w:szCs w:val="22"/>
        </w:rPr>
        <w:t>Woolridge, Exh. JRW-1T, at page 40, lines 10-12.</w:t>
      </w:r>
    </w:p>
  </w:footnote>
  <w:footnote w:id="7">
    <w:p w:rsidR="00B1034A" w:rsidRPr="00DA7525" w:rsidRDefault="00B1034A" w:rsidP="0045302F">
      <w:pPr>
        <w:pStyle w:val="FootnoteText"/>
        <w:rPr>
          <w:szCs w:val="22"/>
        </w:rPr>
      </w:pPr>
      <w:r>
        <w:rPr>
          <w:rStyle w:val="FootnoteReference"/>
        </w:rPr>
        <w:footnoteRef/>
      </w:r>
      <w:r>
        <w:tab/>
      </w:r>
      <w:r w:rsidRPr="00DA7525">
        <w:rPr>
          <w:szCs w:val="22"/>
        </w:rPr>
        <w:t>Woolridge, Exh. JRW-1T, at page 42, lines 12-15.</w:t>
      </w:r>
    </w:p>
  </w:footnote>
  <w:footnote w:id="8">
    <w:p w:rsidR="00B1034A" w:rsidRPr="00DA7525" w:rsidRDefault="00B1034A" w:rsidP="00917A4F">
      <w:pPr>
        <w:pStyle w:val="FootnoteText"/>
        <w:keepLines/>
        <w:tabs>
          <w:tab w:val="left" w:pos="720"/>
        </w:tabs>
        <w:rPr>
          <w:szCs w:val="22"/>
        </w:rPr>
      </w:pPr>
      <w:r>
        <w:rPr>
          <w:rStyle w:val="FootnoteReference"/>
        </w:rPr>
        <w:footnoteRef/>
      </w:r>
      <w:r>
        <w:tab/>
      </w:r>
      <w:r w:rsidRPr="00DA7525">
        <w:rPr>
          <w:i/>
          <w:szCs w:val="22"/>
        </w:rPr>
        <w:t xml:space="preserve">See </w:t>
      </w:r>
      <w:r w:rsidRPr="00DA7525">
        <w:rPr>
          <w:szCs w:val="22"/>
        </w:rPr>
        <w:t xml:space="preserve">footnote 30, </w:t>
      </w:r>
      <w:r w:rsidRPr="00DA7525">
        <w:rPr>
          <w:i/>
          <w:szCs w:val="22"/>
        </w:rPr>
        <w:t>supra</w:t>
      </w:r>
      <w:r w:rsidRPr="00DA7525">
        <w:rPr>
          <w:szCs w:val="22"/>
        </w:rPr>
        <w:t>.</w:t>
      </w:r>
    </w:p>
  </w:footnote>
  <w:footnote w:id="9">
    <w:p w:rsidR="00B1034A" w:rsidRDefault="00B1034A" w:rsidP="00221D00">
      <w:pPr>
        <w:pStyle w:val="FootnoteText"/>
      </w:pPr>
      <w:r>
        <w:rPr>
          <w:rStyle w:val="FootnoteReference"/>
        </w:rPr>
        <w:footnoteRef/>
      </w:r>
      <w:r>
        <w:tab/>
        <w:t>Dr. Woolridge does suggest that he gave primary weight to the projected earnings per share growth rates of Wall Street analysts in using a growth rate of 5.25 percent for his electric proxy group. Woolridge, Exh. JRW-1T, at page 42, lines 12-13.</w:t>
      </w:r>
    </w:p>
  </w:footnote>
  <w:footnote w:id="10">
    <w:p w:rsidR="00B1034A" w:rsidRDefault="00B1034A">
      <w:pPr>
        <w:pStyle w:val="FootnoteText"/>
      </w:pPr>
      <w:r>
        <w:rPr>
          <w:rStyle w:val="FootnoteReference"/>
        </w:rPr>
        <w:footnoteRef/>
      </w:r>
      <w:r>
        <w:tab/>
        <w:t>Woolridge, Exh. JRW-12, at page 4 (column titled “</w:t>
      </w:r>
      <w:r w:rsidRPr="00EE3220">
        <w:rPr>
          <w:i/>
        </w:rPr>
        <w:t>Value Line</w:t>
      </w:r>
      <w:r>
        <w:t xml:space="preserve"> Sustainable Growth Return on Equity”).</w:t>
      </w:r>
    </w:p>
  </w:footnote>
  <w:footnote w:id="11">
    <w:p w:rsidR="00B1034A" w:rsidRDefault="00B1034A">
      <w:pPr>
        <w:pStyle w:val="FootnoteText"/>
      </w:pPr>
      <w:r>
        <w:rPr>
          <w:rStyle w:val="FootnoteReference"/>
        </w:rPr>
        <w:footnoteRef/>
      </w:r>
      <w:r>
        <w:tab/>
        <w:t>Woolridge, Exh. JRW-12, at page 4 (column titled “</w:t>
      </w:r>
      <w:r w:rsidRPr="00EE3220">
        <w:rPr>
          <w:i/>
        </w:rPr>
        <w:t>Value Line</w:t>
      </w:r>
      <w:r>
        <w:t xml:space="preserve"> Sustainable Growth Return on Equity”).</w:t>
      </w:r>
    </w:p>
  </w:footnote>
  <w:footnote w:id="12">
    <w:p w:rsidR="00B1034A" w:rsidRDefault="00B1034A">
      <w:pPr>
        <w:pStyle w:val="FootnoteText"/>
      </w:pPr>
      <w:r>
        <w:rPr>
          <w:rStyle w:val="FootnoteReference"/>
        </w:rPr>
        <w:footnoteRef/>
      </w:r>
      <w:r>
        <w:tab/>
      </w:r>
      <w:r w:rsidRPr="00D34596">
        <w:rPr>
          <w:i/>
        </w:rPr>
        <w:t>See</w:t>
      </w:r>
      <w:r>
        <w:t xml:space="preserve"> Roger A. Morin, </w:t>
      </w:r>
      <w:r w:rsidRPr="00D34596">
        <w:rPr>
          <w:i/>
        </w:rPr>
        <w:t>The New Regulatory Finance</w:t>
      </w:r>
      <w:r w:rsidRPr="00D34596">
        <w:t>,</w:t>
      </w:r>
      <w:r>
        <w:t xml:space="preserve"> at chapter 9 (2006).</w:t>
      </w:r>
    </w:p>
  </w:footnote>
  <w:footnote w:id="13">
    <w:p w:rsidR="00B1034A" w:rsidRDefault="00B1034A" w:rsidP="008242E9">
      <w:pPr>
        <w:pStyle w:val="FootnoteText"/>
      </w:pPr>
      <w:r>
        <w:rPr>
          <w:rStyle w:val="FootnoteReference"/>
        </w:rPr>
        <w:footnoteRef/>
      </w:r>
      <w:r>
        <w:tab/>
        <w:t xml:space="preserve">As previously mentioned, Dr. Woolridge appears to give primary weight to the projected earnings per share growth rates of Wall Street analysts. </w:t>
      </w:r>
      <w:r w:rsidRPr="00415C8D">
        <w:rPr>
          <w:i/>
        </w:rPr>
        <w:t>See</w:t>
      </w:r>
      <w:r>
        <w:t xml:space="preserve"> Woolridge, Exh. JRW-1T, at page 42, lines 12-13.</w:t>
      </w:r>
    </w:p>
  </w:footnote>
  <w:footnote w:id="14">
    <w:p w:rsidR="00B1034A" w:rsidRDefault="00B1034A" w:rsidP="004C0B6D">
      <w:pPr>
        <w:pStyle w:val="FootnoteText"/>
      </w:pPr>
      <w:r>
        <w:rPr>
          <w:rStyle w:val="FootnoteReference"/>
        </w:rPr>
        <w:footnoteRef/>
      </w:r>
      <w:r>
        <w:tab/>
      </w:r>
      <w:r w:rsidRPr="0075009A">
        <w:t>Woolridge</w:t>
      </w:r>
      <w:r>
        <w:t>, Exh. JRW-1T, at</w:t>
      </w:r>
      <w:r w:rsidRPr="0075009A">
        <w:t xml:space="preserve"> page</w:t>
      </w:r>
      <w:r>
        <w:t> 46,</w:t>
      </w:r>
      <w:r w:rsidRPr="0075009A">
        <w:t xml:space="preserve"> line</w:t>
      </w:r>
      <w:r>
        <w:t>s </w:t>
      </w:r>
      <w:r w:rsidRPr="0075009A">
        <w:t>1</w:t>
      </w:r>
      <w:r>
        <w:t>-19.</w:t>
      </w:r>
    </w:p>
  </w:footnote>
  <w:footnote w:id="15">
    <w:p w:rsidR="00B1034A" w:rsidRDefault="00B1034A" w:rsidP="004C0B6D">
      <w:pPr>
        <w:pStyle w:val="FootnoteText"/>
      </w:pPr>
      <w:r>
        <w:rPr>
          <w:rStyle w:val="FootnoteReference"/>
        </w:rPr>
        <w:footnoteRef/>
      </w:r>
      <w:r>
        <w:tab/>
      </w:r>
      <w:r w:rsidRPr="0075009A">
        <w:t>Woolridge</w:t>
      </w:r>
      <w:r>
        <w:t>, Exh. JRW-1T, at</w:t>
      </w:r>
      <w:r w:rsidRPr="0075009A">
        <w:t xml:space="preserve"> page</w:t>
      </w:r>
      <w:r>
        <w:t> 46,</w:t>
      </w:r>
      <w:r w:rsidRPr="0075009A">
        <w:t xml:space="preserve"> line</w:t>
      </w:r>
      <w:r>
        <w:t> 20, through page 47, line 16.</w:t>
      </w:r>
    </w:p>
  </w:footnote>
  <w:footnote w:id="16">
    <w:p w:rsidR="00B1034A" w:rsidRDefault="00B1034A" w:rsidP="00D1741E">
      <w:pPr>
        <w:pStyle w:val="FootnoteText"/>
      </w:pPr>
      <w:r>
        <w:rPr>
          <w:rStyle w:val="FootnoteReference"/>
        </w:rPr>
        <w:footnoteRef/>
      </w:r>
      <w:r>
        <w:tab/>
      </w:r>
      <w:r w:rsidRPr="0075009A">
        <w:t>Woolridge</w:t>
      </w:r>
      <w:r>
        <w:t>, Exh. JRW-1T, at</w:t>
      </w:r>
      <w:r w:rsidRPr="0075009A">
        <w:t xml:space="preserve"> page</w:t>
      </w:r>
      <w:r>
        <w:t> 47,</w:t>
      </w:r>
      <w:r w:rsidRPr="0075009A">
        <w:t xml:space="preserve"> line</w:t>
      </w:r>
      <w:r>
        <w:t> 17, through page 51, line 19.</w:t>
      </w:r>
    </w:p>
  </w:footnote>
  <w:footnote w:id="17">
    <w:p w:rsidR="00B1034A" w:rsidRDefault="00B1034A">
      <w:pPr>
        <w:pStyle w:val="FootnoteText"/>
      </w:pPr>
      <w:r>
        <w:rPr>
          <w:rStyle w:val="FootnoteReference"/>
        </w:rPr>
        <w:footnoteRef/>
      </w:r>
      <w:r>
        <w:tab/>
        <w:t xml:space="preserve">Woolridge, </w:t>
      </w:r>
      <w:r w:rsidRPr="00F939A6">
        <w:t>Exh</w:t>
      </w:r>
      <w:r>
        <w:t>. </w:t>
      </w:r>
      <w:r w:rsidRPr="00F939A6">
        <w:t>JRW-13</w:t>
      </w:r>
      <w:r>
        <w:t>, at page 1.</w:t>
      </w:r>
    </w:p>
  </w:footnote>
  <w:footnote w:id="18">
    <w:p w:rsidR="00B1034A" w:rsidRDefault="00B1034A">
      <w:pPr>
        <w:pStyle w:val="FootnoteText"/>
      </w:pPr>
      <w:r>
        <w:rPr>
          <w:rStyle w:val="FootnoteReference"/>
        </w:rPr>
        <w:footnoteRef/>
      </w:r>
      <w:r>
        <w:tab/>
        <w:t>Morin, Exh. RAM-1T, at page 37 (Table 2).</w:t>
      </w:r>
    </w:p>
  </w:footnote>
  <w:footnote w:id="19">
    <w:p w:rsidR="00B1034A" w:rsidRDefault="00B1034A">
      <w:pPr>
        <w:pStyle w:val="FootnoteText"/>
      </w:pPr>
      <w:r>
        <w:rPr>
          <w:rStyle w:val="FootnoteReference"/>
        </w:rPr>
        <w:footnoteRef/>
      </w:r>
      <w:r>
        <w:tab/>
        <w:t xml:space="preserve">Woolridge, </w:t>
      </w:r>
      <w:r w:rsidRPr="00795515">
        <w:t>Exh</w:t>
      </w:r>
      <w:r>
        <w:t>. </w:t>
      </w:r>
      <w:r w:rsidRPr="00795515">
        <w:t xml:space="preserve">JRW-13, </w:t>
      </w:r>
      <w:r>
        <w:t xml:space="preserve">at </w:t>
      </w:r>
      <w:r w:rsidRPr="00795515">
        <w:t>page</w:t>
      </w:r>
      <w:r>
        <w:t> </w:t>
      </w:r>
      <w:r w:rsidRPr="00795515">
        <w:t>5</w:t>
      </w:r>
      <w:r>
        <w:t>.</w:t>
      </w:r>
    </w:p>
  </w:footnote>
  <w:footnote w:id="20">
    <w:p w:rsidR="00B1034A" w:rsidRDefault="00B1034A">
      <w:pPr>
        <w:pStyle w:val="FootnoteText"/>
      </w:pPr>
      <w:r>
        <w:rPr>
          <w:rStyle w:val="FootnoteReference"/>
        </w:rPr>
        <w:footnoteRef/>
      </w:r>
      <w:r>
        <w:tab/>
        <w:t>Woolridge, Exh. JRW-1T, at page </w:t>
      </w:r>
      <w:r w:rsidRPr="00DA7525">
        <w:t>51</w:t>
      </w:r>
      <w:r>
        <w:t>,</w:t>
      </w:r>
      <w:r w:rsidRPr="00DA7525">
        <w:t xml:space="preserve"> lines</w:t>
      </w:r>
      <w:r>
        <w:t> </w:t>
      </w:r>
      <w:r w:rsidRPr="00DA7525">
        <w:t>16-17</w:t>
      </w:r>
      <w:r>
        <w:t>.</w:t>
      </w:r>
    </w:p>
  </w:footnote>
  <w:footnote w:id="21">
    <w:p w:rsidR="00B1034A" w:rsidRPr="00DA7525" w:rsidRDefault="00B1034A">
      <w:pPr>
        <w:pStyle w:val="FootnoteText"/>
        <w:rPr>
          <w:szCs w:val="22"/>
        </w:rPr>
      </w:pPr>
      <w:r>
        <w:rPr>
          <w:rStyle w:val="FootnoteReference"/>
        </w:rPr>
        <w:footnoteRef/>
      </w:r>
      <w:r>
        <w:tab/>
      </w:r>
      <w:r w:rsidRPr="00DA7525">
        <w:rPr>
          <w:szCs w:val="22"/>
        </w:rPr>
        <w:t xml:space="preserve">Richard A. Brealey, </w:t>
      </w:r>
      <w:r w:rsidRPr="00DA7525">
        <w:rPr>
          <w:i/>
          <w:szCs w:val="22"/>
        </w:rPr>
        <w:t>et al.</w:t>
      </w:r>
      <w:r w:rsidRPr="00DA7525">
        <w:rPr>
          <w:szCs w:val="22"/>
        </w:rPr>
        <w:t xml:space="preserve">, </w:t>
      </w:r>
      <w:r w:rsidRPr="00DA7525">
        <w:rPr>
          <w:i/>
          <w:szCs w:val="22"/>
        </w:rPr>
        <w:t>Principles of Corporate Finance</w:t>
      </w:r>
      <w:r w:rsidRPr="00DA7525">
        <w:rPr>
          <w:szCs w:val="22"/>
        </w:rPr>
        <w:t xml:space="preserve">, </w:t>
      </w:r>
      <w:r>
        <w:rPr>
          <w:szCs w:val="22"/>
        </w:rPr>
        <w:t>at page 180</w:t>
      </w:r>
      <w:r w:rsidRPr="00DA7525">
        <w:rPr>
          <w:szCs w:val="22"/>
        </w:rPr>
        <w:t xml:space="preserve"> (</w:t>
      </w:r>
      <w:r>
        <w:rPr>
          <w:szCs w:val="22"/>
        </w:rPr>
        <w:t>9</w:t>
      </w:r>
      <w:r w:rsidRPr="00DA7525">
        <w:rPr>
          <w:szCs w:val="22"/>
        </w:rPr>
        <w:t>th ed. 200</w:t>
      </w:r>
      <w:r>
        <w:rPr>
          <w:szCs w:val="22"/>
        </w:rPr>
        <w:t>8</w:t>
      </w:r>
      <w:r w:rsidRPr="00DA7525">
        <w:rPr>
          <w:szCs w:val="22"/>
        </w:rPr>
        <w:t>).</w:t>
      </w:r>
    </w:p>
  </w:footnote>
  <w:footnote w:id="22">
    <w:p w:rsidR="00B1034A" w:rsidRDefault="00B1034A">
      <w:pPr>
        <w:pStyle w:val="FootnoteText"/>
      </w:pPr>
      <w:r>
        <w:rPr>
          <w:rStyle w:val="FootnoteReference"/>
        </w:rPr>
        <w:footnoteRef/>
      </w:r>
      <w:r>
        <w:tab/>
      </w:r>
      <w:r w:rsidRPr="00447147">
        <w:rPr>
          <w:i/>
        </w:rPr>
        <w:t>See</w:t>
      </w:r>
      <w:r>
        <w:t xml:space="preserve"> Roger A. Morin, </w:t>
      </w:r>
      <w:r w:rsidRPr="00447147">
        <w:rPr>
          <w:i/>
        </w:rPr>
        <w:t>The New Regulatory Finance</w:t>
      </w:r>
      <w:r>
        <w:t>, at chapter 5 (2006).</w:t>
      </w:r>
    </w:p>
  </w:footnote>
  <w:footnote w:id="23">
    <w:p w:rsidR="00B1034A" w:rsidRPr="00553E43" w:rsidRDefault="00B1034A">
      <w:pPr>
        <w:pStyle w:val="FootnoteText"/>
        <w:rPr>
          <w:szCs w:val="22"/>
        </w:rPr>
      </w:pPr>
      <w:r>
        <w:rPr>
          <w:rStyle w:val="FootnoteReference"/>
        </w:rPr>
        <w:footnoteRef/>
      </w:r>
      <w:r>
        <w:tab/>
        <w:t xml:space="preserve">Woolridge, </w:t>
      </w:r>
      <w:r w:rsidRPr="00553E43">
        <w:rPr>
          <w:szCs w:val="22"/>
        </w:rPr>
        <w:t>Exh</w:t>
      </w:r>
      <w:r>
        <w:rPr>
          <w:szCs w:val="22"/>
        </w:rPr>
        <w:t>. </w:t>
      </w:r>
      <w:r w:rsidRPr="00553E43">
        <w:rPr>
          <w:szCs w:val="22"/>
        </w:rPr>
        <w:t xml:space="preserve">JRW-13, </w:t>
      </w:r>
      <w:r>
        <w:rPr>
          <w:szCs w:val="22"/>
        </w:rPr>
        <w:t xml:space="preserve">at </w:t>
      </w:r>
      <w:r w:rsidRPr="00553E43">
        <w:rPr>
          <w:szCs w:val="22"/>
        </w:rPr>
        <w:t>page</w:t>
      </w:r>
      <w:r>
        <w:rPr>
          <w:szCs w:val="22"/>
        </w:rPr>
        <w:t> </w:t>
      </w:r>
      <w:r w:rsidRPr="00553E43">
        <w:rPr>
          <w:szCs w:val="22"/>
        </w:rPr>
        <w:t>5</w:t>
      </w:r>
      <w:r>
        <w:rPr>
          <w:szCs w:val="22"/>
        </w:rPr>
        <w:t xml:space="preserve"> (citing </w:t>
      </w:r>
      <w:r w:rsidRPr="00553E43">
        <w:rPr>
          <w:szCs w:val="22"/>
        </w:rPr>
        <w:t xml:space="preserve">Elroy Dimson, </w:t>
      </w:r>
      <w:r w:rsidRPr="00553E43">
        <w:rPr>
          <w:i/>
          <w:szCs w:val="22"/>
        </w:rPr>
        <w:t>et al.</w:t>
      </w:r>
      <w:r>
        <w:rPr>
          <w:szCs w:val="22"/>
        </w:rPr>
        <w:t xml:space="preserve">, </w:t>
      </w:r>
      <w:r w:rsidRPr="00553E43">
        <w:rPr>
          <w:szCs w:val="22"/>
        </w:rPr>
        <w:t>Risk and Return in the 20</w:t>
      </w:r>
      <w:r w:rsidRPr="00553E43">
        <w:rPr>
          <w:szCs w:val="22"/>
          <w:vertAlign w:val="superscript"/>
        </w:rPr>
        <w:t>th</w:t>
      </w:r>
      <w:r w:rsidRPr="00553E43">
        <w:rPr>
          <w:szCs w:val="22"/>
        </w:rPr>
        <w:t xml:space="preserve"> and 21</w:t>
      </w:r>
      <w:r w:rsidRPr="00553E43">
        <w:rPr>
          <w:szCs w:val="22"/>
          <w:vertAlign w:val="superscript"/>
        </w:rPr>
        <w:t xml:space="preserve">st </w:t>
      </w:r>
      <w:r w:rsidRPr="00553E43">
        <w:rPr>
          <w:szCs w:val="22"/>
        </w:rPr>
        <w:t>centuries</w:t>
      </w:r>
      <w:r>
        <w:rPr>
          <w:szCs w:val="22"/>
        </w:rPr>
        <w:t xml:space="preserve">,” </w:t>
      </w:r>
      <w:r w:rsidRPr="00553E43">
        <w:rPr>
          <w:i/>
          <w:szCs w:val="22"/>
        </w:rPr>
        <w:t>Business Strategy Review</w:t>
      </w:r>
      <w:r w:rsidRPr="00553E43">
        <w:rPr>
          <w:szCs w:val="22"/>
        </w:rPr>
        <w:t xml:space="preserve"> 11(2): 1-18</w:t>
      </w:r>
      <w:r>
        <w:rPr>
          <w:szCs w:val="22"/>
        </w:rPr>
        <w:t xml:space="preserve"> (2000))</w:t>
      </w:r>
      <w:r w:rsidRPr="00553E43">
        <w:rPr>
          <w:szCs w:val="22"/>
        </w:rPr>
        <w:t>.</w:t>
      </w:r>
    </w:p>
  </w:footnote>
  <w:footnote w:id="24">
    <w:p w:rsidR="00B1034A" w:rsidRDefault="00B1034A">
      <w:pPr>
        <w:pStyle w:val="FootnoteText"/>
      </w:pPr>
      <w:r>
        <w:rPr>
          <w:rStyle w:val="FootnoteReference"/>
        </w:rPr>
        <w:footnoteRef/>
      </w:r>
      <w:r>
        <w:tab/>
        <w:t xml:space="preserve">Woolridge, </w:t>
      </w:r>
      <w:r w:rsidRPr="00553E43">
        <w:rPr>
          <w:szCs w:val="22"/>
        </w:rPr>
        <w:t>Exh</w:t>
      </w:r>
      <w:r>
        <w:rPr>
          <w:szCs w:val="22"/>
        </w:rPr>
        <w:t>. </w:t>
      </w:r>
      <w:r w:rsidRPr="00553E43">
        <w:rPr>
          <w:szCs w:val="22"/>
        </w:rPr>
        <w:t xml:space="preserve">JRW-13, </w:t>
      </w:r>
      <w:r>
        <w:rPr>
          <w:szCs w:val="22"/>
        </w:rPr>
        <w:t xml:space="preserve">at </w:t>
      </w:r>
      <w:r w:rsidRPr="00553E43">
        <w:rPr>
          <w:szCs w:val="22"/>
        </w:rPr>
        <w:t>page</w:t>
      </w:r>
      <w:r>
        <w:rPr>
          <w:szCs w:val="22"/>
        </w:rPr>
        <w:t> </w:t>
      </w:r>
      <w:r w:rsidRPr="00553E43">
        <w:rPr>
          <w:szCs w:val="22"/>
        </w:rPr>
        <w:t>5</w:t>
      </w:r>
      <w:r>
        <w:rPr>
          <w:szCs w:val="22"/>
        </w:rPr>
        <w:t>.</w:t>
      </w:r>
    </w:p>
  </w:footnote>
  <w:footnote w:id="25">
    <w:p w:rsidR="00B1034A" w:rsidRPr="00DA7525" w:rsidRDefault="00B1034A" w:rsidP="00D94B46">
      <w:pPr>
        <w:pStyle w:val="FootnoteText"/>
        <w:rPr>
          <w:szCs w:val="22"/>
        </w:rPr>
      </w:pPr>
      <w:r>
        <w:rPr>
          <w:rStyle w:val="FootnoteReference"/>
        </w:rPr>
        <w:footnoteRef/>
      </w:r>
      <w:r>
        <w:tab/>
      </w:r>
      <w:r w:rsidRPr="00DA7525">
        <w:rPr>
          <w:szCs w:val="22"/>
        </w:rPr>
        <w:t xml:space="preserve">Richard A. Brealey, </w:t>
      </w:r>
      <w:r w:rsidRPr="00DA7525">
        <w:rPr>
          <w:i/>
          <w:szCs w:val="22"/>
        </w:rPr>
        <w:t>et al.</w:t>
      </w:r>
      <w:r w:rsidRPr="00DA7525">
        <w:rPr>
          <w:szCs w:val="22"/>
        </w:rPr>
        <w:t xml:space="preserve">, </w:t>
      </w:r>
      <w:r w:rsidRPr="00DA7525">
        <w:rPr>
          <w:i/>
          <w:szCs w:val="22"/>
        </w:rPr>
        <w:t>Principles of Corporate Finance</w:t>
      </w:r>
      <w:r w:rsidRPr="00DA7525">
        <w:rPr>
          <w:szCs w:val="22"/>
        </w:rPr>
        <w:t xml:space="preserve"> (</w:t>
      </w:r>
      <w:r>
        <w:rPr>
          <w:szCs w:val="22"/>
        </w:rPr>
        <w:t>9</w:t>
      </w:r>
      <w:r w:rsidRPr="00DA7525">
        <w:rPr>
          <w:szCs w:val="22"/>
        </w:rPr>
        <w:t>th ed. 2006).</w:t>
      </w:r>
    </w:p>
  </w:footnote>
  <w:footnote w:id="26">
    <w:p w:rsidR="00B1034A" w:rsidRPr="004C03EA" w:rsidRDefault="00B1034A" w:rsidP="00CC0914">
      <w:pPr>
        <w:pStyle w:val="FootnoteText"/>
        <w:rPr>
          <w:sz w:val="24"/>
          <w:szCs w:val="24"/>
        </w:rPr>
      </w:pPr>
      <w:r>
        <w:rPr>
          <w:rStyle w:val="FootnoteReference"/>
        </w:rPr>
        <w:footnoteRef/>
      </w:r>
      <w:r>
        <w:tab/>
      </w:r>
      <w:r w:rsidRPr="006963A5">
        <w:rPr>
          <w:szCs w:val="22"/>
        </w:rPr>
        <w:t xml:space="preserve">Rajnish Mehra, “The Equity Risk Premium: Why Is It a Puzzle?” </w:t>
      </w:r>
      <w:r>
        <w:rPr>
          <w:szCs w:val="22"/>
        </w:rPr>
        <w:t xml:space="preserve">59 </w:t>
      </w:r>
      <w:r w:rsidRPr="006963A5">
        <w:rPr>
          <w:i/>
          <w:szCs w:val="22"/>
        </w:rPr>
        <w:t>Financial Analysts’ Journal</w:t>
      </w:r>
      <w:r>
        <w:rPr>
          <w:szCs w:val="22"/>
        </w:rPr>
        <w:t xml:space="preserve"> </w:t>
      </w:r>
      <w:r w:rsidRPr="006963A5">
        <w:rPr>
          <w:szCs w:val="22"/>
        </w:rPr>
        <w:t>54</w:t>
      </w:r>
      <w:r>
        <w:rPr>
          <w:szCs w:val="22"/>
        </w:rPr>
        <w:t>-69</w:t>
      </w:r>
      <w:r w:rsidRPr="006963A5">
        <w:rPr>
          <w:szCs w:val="22"/>
        </w:rPr>
        <w:t xml:space="preserve"> (2003)</w:t>
      </w:r>
      <w:r w:rsidRPr="004C03EA">
        <w:rPr>
          <w:sz w:val="24"/>
          <w:szCs w:val="24"/>
        </w:rPr>
        <w:t>.</w:t>
      </w:r>
    </w:p>
  </w:footnote>
  <w:footnote w:id="27">
    <w:p w:rsidR="00B1034A" w:rsidRDefault="00B1034A">
      <w:pPr>
        <w:pStyle w:val="FootnoteText"/>
      </w:pPr>
      <w:r>
        <w:rPr>
          <w:rStyle w:val="FootnoteReference"/>
        </w:rPr>
        <w:footnoteRef/>
      </w:r>
      <w:r>
        <w:tab/>
      </w:r>
      <w:r w:rsidRPr="005454BD">
        <w:t xml:space="preserve">Robert S. Harris </w:t>
      </w:r>
      <w:r>
        <w:t xml:space="preserve">&amp; </w:t>
      </w:r>
      <w:r w:rsidRPr="005454BD">
        <w:t>Felicia C. Marston</w:t>
      </w:r>
      <w:r>
        <w:t>, “</w:t>
      </w:r>
      <w:r w:rsidRPr="005454BD">
        <w:t xml:space="preserve">Estimating </w:t>
      </w:r>
      <w:r>
        <w:t>S</w:t>
      </w:r>
      <w:r w:rsidRPr="005454BD">
        <w:t xml:space="preserve">hareholder </w:t>
      </w:r>
      <w:r>
        <w:t>R</w:t>
      </w:r>
      <w:r w:rsidRPr="005454BD">
        <w:t xml:space="preserve">isk </w:t>
      </w:r>
      <w:r>
        <w:t>P</w:t>
      </w:r>
      <w:r w:rsidRPr="005454BD">
        <w:t xml:space="preserve">remia </w:t>
      </w:r>
      <w:r>
        <w:t>U</w:t>
      </w:r>
      <w:r w:rsidRPr="005454BD">
        <w:t xml:space="preserve">sing </w:t>
      </w:r>
      <w:r>
        <w:t>A</w:t>
      </w:r>
      <w:r w:rsidRPr="005454BD">
        <w:t xml:space="preserve">nalysts’ </w:t>
      </w:r>
      <w:r>
        <w:t>G</w:t>
      </w:r>
      <w:r w:rsidRPr="005454BD">
        <w:t xml:space="preserve">rowth </w:t>
      </w:r>
      <w:r>
        <w:t>F</w:t>
      </w:r>
      <w:r w:rsidRPr="005454BD">
        <w:t>orecasts</w:t>
      </w:r>
      <w:r>
        <w:t xml:space="preserve">,” 21 </w:t>
      </w:r>
      <w:r w:rsidRPr="0015009B">
        <w:rPr>
          <w:i/>
        </w:rPr>
        <w:t>Financial Management</w:t>
      </w:r>
      <w:r>
        <w:t xml:space="preserve"> 63-70 (1992).</w:t>
      </w:r>
    </w:p>
  </w:footnote>
  <w:footnote w:id="28">
    <w:p w:rsidR="00B1034A" w:rsidRPr="004C03EA" w:rsidRDefault="00B1034A">
      <w:pPr>
        <w:pStyle w:val="FootnoteText"/>
        <w:rPr>
          <w:sz w:val="24"/>
          <w:szCs w:val="24"/>
        </w:rPr>
      </w:pPr>
      <w:r>
        <w:rPr>
          <w:rStyle w:val="FootnoteReference"/>
        </w:rPr>
        <w:footnoteRef/>
      </w:r>
      <w:r>
        <w:tab/>
      </w:r>
      <w:r w:rsidRPr="007B37C8">
        <w:rPr>
          <w:szCs w:val="22"/>
        </w:rPr>
        <w:t xml:space="preserve">George M. Constantinides, “Rational Asset Prices,” </w:t>
      </w:r>
      <w:r>
        <w:rPr>
          <w:szCs w:val="22"/>
        </w:rPr>
        <w:t xml:space="preserve">57 </w:t>
      </w:r>
      <w:r w:rsidRPr="007B37C8">
        <w:rPr>
          <w:i/>
          <w:szCs w:val="22"/>
        </w:rPr>
        <w:t>Journal of Finance</w:t>
      </w:r>
      <w:r w:rsidRPr="007B37C8">
        <w:rPr>
          <w:szCs w:val="22"/>
        </w:rPr>
        <w:t xml:space="preserve"> 1567-91 (2002).</w:t>
      </w:r>
    </w:p>
  </w:footnote>
  <w:footnote w:id="29">
    <w:p w:rsidR="00B1034A" w:rsidRPr="004C03EA" w:rsidRDefault="00B1034A">
      <w:pPr>
        <w:pStyle w:val="FootnoteText"/>
        <w:rPr>
          <w:sz w:val="24"/>
          <w:szCs w:val="24"/>
        </w:rPr>
      </w:pPr>
      <w:r>
        <w:rPr>
          <w:rStyle w:val="FootnoteReference"/>
        </w:rPr>
        <w:footnoteRef/>
      </w:r>
      <w:r>
        <w:tab/>
      </w:r>
      <w:r w:rsidRPr="001250DB">
        <w:rPr>
          <w:szCs w:val="22"/>
        </w:rPr>
        <w:t>Steven N. Kaplan &amp; Rischard S. Ruback, “The Valuation of Cash Flow Forecasts: An Empirical Analysis,” 50</w:t>
      </w:r>
      <w:r>
        <w:rPr>
          <w:szCs w:val="22"/>
        </w:rPr>
        <w:t xml:space="preserve"> </w:t>
      </w:r>
      <w:r w:rsidRPr="001250DB">
        <w:rPr>
          <w:i/>
          <w:szCs w:val="22"/>
        </w:rPr>
        <w:t>Journal of Finance</w:t>
      </w:r>
      <w:r>
        <w:rPr>
          <w:szCs w:val="22"/>
        </w:rPr>
        <w:t xml:space="preserve"> </w:t>
      </w:r>
      <w:r w:rsidRPr="001250DB">
        <w:rPr>
          <w:szCs w:val="22"/>
        </w:rPr>
        <w:t>1059-93 (1995).</w:t>
      </w:r>
    </w:p>
  </w:footnote>
  <w:footnote w:id="30">
    <w:p w:rsidR="00B1034A" w:rsidRDefault="00B1034A" w:rsidP="001250DB">
      <w:pPr>
        <w:pStyle w:val="FootnoteText"/>
      </w:pPr>
      <w:r>
        <w:rPr>
          <w:rStyle w:val="FootnoteReference"/>
        </w:rPr>
        <w:footnoteRef/>
      </w:r>
      <w:r>
        <w:tab/>
        <w:t>Woolridge, Exh. JRW-1T, at page 49</w:t>
      </w:r>
      <w:r w:rsidRPr="001250DB">
        <w:t>, lines</w:t>
      </w:r>
      <w:r>
        <w:t> </w:t>
      </w:r>
      <w:r w:rsidRPr="001250DB">
        <w:t xml:space="preserve">4-7 </w:t>
      </w:r>
      <w:r>
        <w:t xml:space="preserve">(referring to Rajnish Mehra &amp; Edward C. Prescott, “The Equity Premium: A Puzzle,” </w:t>
      </w:r>
      <w:r w:rsidRPr="001250DB">
        <w:t xml:space="preserve">15 </w:t>
      </w:r>
      <w:r w:rsidRPr="001250DB">
        <w:rPr>
          <w:i/>
        </w:rPr>
        <w:t>Journal of Monetary Economics</w:t>
      </w:r>
      <w:r>
        <w:t xml:space="preserve"> </w:t>
      </w:r>
      <w:r w:rsidRPr="001250DB">
        <w:t>145-161</w:t>
      </w:r>
      <w:r>
        <w:t xml:space="preserve"> </w:t>
      </w:r>
      <w:r w:rsidRPr="001250DB">
        <w:t>(1985)</w:t>
      </w:r>
      <w:r>
        <w:t>).</w:t>
      </w:r>
    </w:p>
  </w:footnote>
  <w:footnote w:id="31">
    <w:p w:rsidR="00B1034A" w:rsidRPr="004C03EA" w:rsidRDefault="00B1034A" w:rsidP="00540A76">
      <w:pPr>
        <w:pStyle w:val="FootnoteText"/>
        <w:rPr>
          <w:sz w:val="24"/>
          <w:szCs w:val="24"/>
        </w:rPr>
      </w:pPr>
      <w:r>
        <w:rPr>
          <w:rStyle w:val="FootnoteReference"/>
        </w:rPr>
        <w:footnoteRef/>
      </w:r>
      <w:r>
        <w:tab/>
        <w:t>Rajnish M</w:t>
      </w:r>
      <w:r w:rsidRPr="00557A1F">
        <w:rPr>
          <w:szCs w:val="22"/>
        </w:rPr>
        <w:t xml:space="preserve">ehra &amp; Edward C. Prescott (2003), “The Equity Premium in Retrospect,” in George M. Constantinides, </w:t>
      </w:r>
      <w:r w:rsidRPr="00557A1F">
        <w:rPr>
          <w:i/>
          <w:szCs w:val="22"/>
        </w:rPr>
        <w:t>et al</w:t>
      </w:r>
      <w:r w:rsidRPr="00557A1F">
        <w:rPr>
          <w:szCs w:val="22"/>
        </w:rPr>
        <w:t>.</w:t>
      </w:r>
      <w:r>
        <w:rPr>
          <w:szCs w:val="22"/>
        </w:rPr>
        <w:t xml:space="preserve"> (eds.), </w:t>
      </w:r>
      <w:r w:rsidRPr="00557A1F">
        <w:rPr>
          <w:i/>
          <w:szCs w:val="22"/>
        </w:rPr>
        <w:t>Handbook of the Economics of Finance</w:t>
      </w:r>
      <w:r w:rsidRPr="00557A1F">
        <w:rPr>
          <w:szCs w:val="22"/>
        </w:rPr>
        <w:t>, 926 (2003).</w:t>
      </w:r>
    </w:p>
  </w:footnote>
  <w:footnote w:id="32">
    <w:p w:rsidR="00B1034A" w:rsidRDefault="00B1034A" w:rsidP="00B857CD">
      <w:pPr>
        <w:pStyle w:val="FootnoteText"/>
      </w:pPr>
      <w:r>
        <w:rPr>
          <w:rStyle w:val="FootnoteReference"/>
        </w:rPr>
        <w:footnoteRef/>
      </w:r>
      <w:r>
        <w:tab/>
        <w:t xml:space="preserve">Woolridge, </w:t>
      </w:r>
      <w:r w:rsidRPr="00B857CD">
        <w:t>Exh</w:t>
      </w:r>
      <w:r>
        <w:t xml:space="preserve">. </w:t>
      </w:r>
      <w:r w:rsidRPr="00B857CD">
        <w:t xml:space="preserve">JRW-13, </w:t>
      </w:r>
      <w:r>
        <w:t xml:space="preserve">at </w:t>
      </w:r>
      <w:r w:rsidRPr="00B857CD">
        <w:t>page</w:t>
      </w:r>
      <w:r>
        <w:t> </w:t>
      </w:r>
      <w:r w:rsidRPr="00B857CD">
        <w:t>5</w:t>
      </w:r>
      <w:r>
        <w:t>.</w:t>
      </w:r>
    </w:p>
  </w:footnote>
  <w:footnote w:id="33">
    <w:p w:rsidR="00B1034A" w:rsidRDefault="00B1034A" w:rsidP="00B857CD">
      <w:pPr>
        <w:pStyle w:val="FootnoteText"/>
      </w:pPr>
      <w:r>
        <w:rPr>
          <w:rStyle w:val="FootnoteReference"/>
        </w:rPr>
        <w:footnoteRef/>
      </w:r>
      <w:r>
        <w:tab/>
      </w:r>
      <w:r w:rsidRPr="004744C1">
        <w:rPr>
          <w:i/>
        </w:rPr>
        <w:t>See, e.g.,</w:t>
      </w:r>
      <w:r>
        <w:t xml:space="preserve"> Ivo Welch &amp; Amit Goyal, “A Comprehensive Look at The Empirical Performance of Equity Premium Prediction,” 21 </w:t>
      </w:r>
      <w:r w:rsidRPr="004744C1">
        <w:rPr>
          <w:i/>
        </w:rPr>
        <w:t>Review of Financial Studies</w:t>
      </w:r>
      <w:r>
        <w:t xml:space="preserve"> 1455-1508 (2008).</w:t>
      </w:r>
    </w:p>
  </w:footnote>
  <w:footnote w:id="34">
    <w:p w:rsidR="00B1034A" w:rsidRPr="00652B25" w:rsidRDefault="00B1034A" w:rsidP="00652B25">
      <w:pPr>
        <w:pStyle w:val="FootnoteText"/>
      </w:pPr>
      <w:r>
        <w:rPr>
          <w:rStyle w:val="FootnoteReference"/>
        </w:rPr>
        <w:footnoteRef/>
      </w:r>
      <w:r>
        <w:tab/>
        <w:t>G. William Schwert, “Indexes of U.S. Stock Prices from 1802 to 1987,” 63 </w:t>
      </w:r>
      <w:r w:rsidRPr="00652B25">
        <w:rPr>
          <w:i/>
        </w:rPr>
        <w:t>Journal of Business</w:t>
      </w:r>
      <w:r>
        <w:t xml:space="preserve"> 399-426 (1990).</w:t>
      </w:r>
    </w:p>
  </w:footnote>
  <w:footnote w:id="35">
    <w:p w:rsidR="00B1034A" w:rsidRDefault="00B1034A" w:rsidP="00EE4F8A">
      <w:pPr>
        <w:pStyle w:val="FootnoteText"/>
      </w:pPr>
      <w:r>
        <w:rPr>
          <w:rStyle w:val="FootnoteReference"/>
        </w:rPr>
        <w:footnoteRef/>
      </w:r>
      <w:r>
        <w:tab/>
        <w:t xml:space="preserve">Woolridge, </w:t>
      </w:r>
      <w:r w:rsidRPr="00652B25">
        <w:t>Exh</w:t>
      </w:r>
      <w:r>
        <w:t>. </w:t>
      </w:r>
      <w:r w:rsidRPr="00652B25">
        <w:t xml:space="preserve">JRW-13, </w:t>
      </w:r>
      <w:r>
        <w:t xml:space="preserve">at </w:t>
      </w:r>
      <w:r w:rsidRPr="00652B25">
        <w:t>page</w:t>
      </w:r>
      <w:r>
        <w:t> </w:t>
      </w:r>
      <w:r w:rsidRPr="00652B25">
        <w:t>5</w:t>
      </w:r>
      <w:r>
        <w:t xml:space="preserve"> (citing Ivo Welch, “The Consensus Estimate for the Equity Premium by Academic Financial Economists in December 2007” (2008), available at </w:t>
      </w:r>
      <w:hyperlink r:id="rId1" w:history="1">
        <w:r w:rsidRPr="002F798B">
          <w:rPr>
            <w:rStyle w:val="Hyperlink"/>
          </w:rPr>
          <w:t>http://ssrn.com/abstract=1084918</w:t>
        </w:r>
      </w:hyperlink>
      <w:r>
        <w:t>).</w:t>
      </w:r>
    </w:p>
  </w:footnote>
  <w:footnote w:id="36">
    <w:p w:rsidR="00B1034A" w:rsidRDefault="00B1034A">
      <w:pPr>
        <w:pStyle w:val="FootnoteText"/>
      </w:pPr>
      <w:r>
        <w:rPr>
          <w:rStyle w:val="FootnoteReference"/>
        </w:rPr>
        <w:footnoteRef/>
      </w:r>
      <w:r>
        <w:tab/>
        <w:t>Woolridge, Exh. JRW-13, at page 5.</w:t>
      </w:r>
    </w:p>
  </w:footnote>
  <w:footnote w:id="37">
    <w:p w:rsidR="00B1034A" w:rsidRPr="004C03EA" w:rsidRDefault="00B1034A">
      <w:pPr>
        <w:pStyle w:val="FootnoteText"/>
        <w:rPr>
          <w:sz w:val="24"/>
          <w:szCs w:val="24"/>
        </w:rPr>
      </w:pPr>
      <w:r>
        <w:rPr>
          <w:rStyle w:val="FootnoteReference"/>
        </w:rPr>
        <w:footnoteRef/>
      </w:r>
      <w:r>
        <w:tab/>
      </w:r>
      <w:r w:rsidRPr="00D22846">
        <w:rPr>
          <w:i/>
          <w:color w:val="000000"/>
          <w:szCs w:val="22"/>
        </w:rPr>
        <w:t>See</w:t>
      </w:r>
      <w:r w:rsidRPr="00D22846">
        <w:rPr>
          <w:color w:val="000000"/>
          <w:szCs w:val="22"/>
        </w:rPr>
        <w:t xml:space="preserve"> Roger A. Morin, </w:t>
      </w:r>
      <w:r w:rsidRPr="00D22846">
        <w:rPr>
          <w:i/>
          <w:color w:val="000000"/>
          <w:szCs w:val="22"/>
        </w:rPr>
        <w:t>The New</w:t>
      </w:r>
      <w:r w:rsidRPr="00D22846">
        <w:rPr>
          <w:color w:val="000000"/>
          <w:szCs w:val="22"/>
        </w:rPr>
        <w:t xml:space="preserve"> </w:t>
      </w:r>
      <w:r w:rsidRPr="00D22846">
        <w:rPr>
          <w:i/>
          <w:color w:val="000000"/>
          <w:szCs w:val="22"/>
        </w:rPr>
        <w:t>Regulatory Finance</w:t>
      </w:r>
      <w:r w:rsidRPr="00D22846">
        <w:rPr>
          <w:color w:val="000000"/>
          <w:szCs w:val="22"/>
        </w:rPr>
        <w:t xml:space="preserve">, chapter 4 (2006); </w:t>
      </w:r>
      <w:r w:rsidRPr="00DA7525">
        <w:rPr>
          <w:szCs w:val="22"/>
        </w:rPr>
        <w:t xml:space="preserve">Richard A. </w:t>
      </w:r>
      <w:r w:rsidRPr="00D22846">
        <w:rPr>
          <w:color w:val="000000"/>
          <w:szCs w:val="22"/>
        </w:rPr>
        <w:t xml:space="preserve">Brealey, </w:t>
      </w:r>
      <w:r w:rsidRPr="00D22846">
        <w:rPr>
          <w:i/>
          <w:color w:val="000000"/>
          <w:szCs w:val="22"/>
        </w:rPr>
        <w:t>et al</w:t>
      </w:r>
      <w:r>
        <w:rPr>
          <w:color w:val="000000"/>
          <w:szCs w:val="22"/>
        </w:rPr>
        <w:t>.</w:t>
      </w:r>
      <w:r w:rsidRPr="00D22846">
        <w:rPr>
          <w:szCs w:val="22"/>
        </w:rPr>
        <w:t xml:space="preserve">, </w:t>
      </w:r>
      <w:r w:rsidRPr="00D22846">
        <w:rPr>
          <w:i/>
          <w:szCs w:val="22"/>
        </w:rPr>
        <w:t>Principles of Corporate Finance</w:t>
      </w:r>
      <w:r w:rsidRPr="00D22846">
        <w:rPr>
          <w:szCs w:val="22"/>
        </w:rPr>
        <w:t xml:space="preserve"> (</w:t>
      </w:r>
      <w:r>
        <w:rPr>
          <w:szCs w:val="22"/>
        </w:rPr>
        <w:t>9</w:t>
      </w:r>
      <w:r w:rsidRPr="00D22846">
        <w:rPr>
          <w:szCs w:val="22"/>
        </w:rPr>
        <w:t>th ed. 200</w:t>
      </w:r>
      <w:r>
        <w:rPr>
          <w:szCs w:val="22"/>
        </w:rPr>
        <w:t>8</w:t>
      </w:r>
      <w:r w:rsidRPr="00D22846">
        <w:rPr>
          <w:szCs w:val="22"/>
        </w:rPr>
        <w:t>).</w:t>
      </w:r>
    </w:p>
  </w:footnote>
  <w:footnote w:id="38">
    <w:p w:rsidR="00B1034A" w:rsidRDefault="00B1034A">
      <w:pPr>
        <w:pStyle w:val="FootnoteText"/>
      </w:pPr>
      <w:r>
        <w:rPr>
          <w:rStyle w:val="FootnoteReference"/>
        </w:rPr>
        <w:footnoteRef/>
      </w:r>
      <w:r>
        <w:tab/>
        <w:t xml:space="preserve">Woolridge, Exh. JRW-1T, at </w:t>
      </w:r>
      <w:r w:rsidRPr="00EE4F8A">
        <w:t>page</w:t>
      </w:r>
      <w:r>
        <w:t> 4</w:t>
      </w:r>
      <w:r w:rsidRPr="00EE4F8A">
        <w:t>8</w:t>
      </w:r>
      <w:r>
        <w:t>,</w:t>
      </w:r>
      <w:r w:rsidRPr="00EE4F8A">
        <w:t xml:space="preserve"> </w:t>
      </w:r>
      <w:r>
        <w:t xml:space="preserve">footnote 36 (citing </w:t>
      </w:r>
      <w:r w:rsidRPr="00EE4F8A">
        <w:t xml:space="preserve">Roger Ibbotson, </w:t>
      </w:r>
      <w:r w:rsidRPr="00EE4F8A">
        <w:rPr>
          <w:i/>
        </w:rPr>
        <w:t>et al</w:t>
      </w:r>
      <w:r w:rsidRPr="00EE4F8A">
        <w:t xml:space="preserve">, Duff &amp; Phelps, </w:t>
      </w:r>
      <w:r w:rsidRPr="00EE4F8A">
        <w:rPr>
          <w:i/>
        </w:rPr>
        <w:t>2016 SBBI Yearbook Stocks, Bonds, Bills, and Inflation</w:t>
      </w:r>
      <w:r>
        <w:t xml:space="preserve"> </w:t>
      </w:r>
      <w:r w:rsidRPr="00EE4F8A">
        <w:t>(Sept. 6, 2016)</w:t>
      </w:r>
      <w:r>
        <w:t>).</w:t>
      </w:r>
    </w:p>
  </w:footnote>
  <w:footnote w:id="39">
    <w:p w:rsidR="00B1034A" w:rsidRDefault="00B1034A">
      <w:pPr>
        <w:pStyle w:val="FootnoteText"/>
      </w:pPr>
      <w:r>
        <w:rPr>
          <w:rStyle w:val="FootnoteReference"/>
        </w:rPr>
        <w:footnoteRef/>
      </w:r>
      <w:r>
        <w:tab/>
      </w:r>
      <w:r w:rsidRPr="00EE4F8A">
        <w:t xml:space="preserve">Please see </w:t>
      </w:r>
      <w:r>
        <w:t xml:space="preserve">Roger A. </w:t>
      </w:r>
      <w:r w:rsidRPr="00EE4F8A">
        <w:t xml:space="preserve">Morin, </w:t>
      </w:r>
      <w:r w:rsidRPr="00EE4F8A">
        <w:rPr>
          <w:i/>
        </w:rPr>
        <w:t>The New Regulatory Finance</w:t>
      </w:r>
      <w:r w:rsidRPr="00EE4F8A">
        <w:t xml:space="preserve">, </w:t>
      </w:r>
      <w:r>
        <w:t xml:space="preserve">at </w:t>
      </w:r>
      <w:r w:rsidRPr="00EE4F8A">
        <w:t>chapter</w:t>
      </w:r>
      <w:r>
        <w:t> </w:t>
      </w:r>
      <w:r w:rsidRPr="00EE4F8A">
        <w:t>4 (2006) for a complete discussion regarding the theoretical underpinnings, empirical validation, and the consensus of academics on why geometric means are inappropriate for forecasting and estimating the cost of capital.</w:t>
      </w:r>
    </w:p>
  </w:footnote>
  <w:footnote w:id="40">
    <w:p w:rsidR="00B1034A" w:rsidRDefault="00B1034A">
      <w:pPr>
        <w:pStyle w:val="FootnoteText"/>
      </w:pPr>
      <w:r>
        <w:rPr>
          <w:rStyle w:val="FootnoteReference"/>
        </w:rPr>
        <w:footnoteRef/>
      </w:r>
      <w:r>
        <w:tab/>
        <w:t xml:space="preserve">Woolridge, </w:t>
      </w:r>
      <w:r w:rsidRPr="00B85263">
        <w:t>Exh</w:t>
      </w:r>
      <w:r>
        <w:t>. </w:t>
      </w:r>
      <w:r w:rsidRPr="00B85263">
        <w:t xml:space="preserve">JRW-13, </w:t>
      </w:r>
      <w:r>
        <w:t xml:space="preserve">at </w:t>
      </w:r>
      <w:r w:rsidRPr="00B85263">
        <w:t>page</w:t>
      </w:r>
      <w:r>
        <w:t> </w:t>
      </w:r>
      <w:r w:rsidRPr="00B85263">
        <w:t>5,</w:t>
      </w:r>
      <w:r>
        <w:t xml:space="preserve"> column G.</w:t>
      </w:r>
    </w:p>
  </w:footnote>
  <w:footnote w:id="41">
    <w:p w:rsidR="00B1034A" w:rsidRDefault="00B1034A">
      <w:pPr>
        <w:pStyle w:val="FootnoteText"/>
      </w:pPr>
      <w:r>
        <w:rPr>
          <w:rStyle w:val="FootnoteReference"/>
        </w:rPr>
        <w:footnoteRef/>
      </w:r>
      <w:r>
        <w:tab/>
        <w:t>Woolridge, Exh. JRW-1T, at page 67, line 15, through page 69, line 28.</w:t>
      </w:r>
    </w:p>
  </w:footnote>
  <w:footnote w:id="42">
    <w:p w:rsidR="00B1034A" w:rsidRDefault="00B1034A">
      <w:pPr>
        <w:pStyle w:val="FootnoteText"/>
      </w:pPr>
      <w:r>
        <w:rPr>
          <w:rStyle w:val="FootnoteReference"/>
        </w:rPr>
        <w:footnoteRef/>
      </w:r>
      <w:r>
        <w:tab/>
      </w:r>
      <w:r w:rsidRPr="00EE4F8A">
        <w:t xml:space="preserve">Please see </w:t>
      </w:r>
      <w:r>
        <w:t xml:space="preserve">Roger A. </w:t>
      </w:r>
      <w:r w:rsidRPr="00EE4F8A">
        <w:t xml:space="preserve">Morin, </w:t>
      </w:r>
      <w:r w:rsidRPr="00EE4F8A">
        <w:rPr>
          <w:i/>
        </w:rPr>
        <w:t>The New Regulatory Finance</w:t>
      </w:r>
      <w:r w:rsidRPr="00EE4F8A">
        <w:t xml:space="preserve">, </w:t>
      </w:r>
      <w:r>
        <w:t xml:space="preserve">at </w:t>
      </w:r>
      <w:r w:rsidRPr="00EE4F8A">
        <w:t>chapter</w:t>
      </w:r>
      <w:r>
        <w:t> </w:t>
      </w:r>
      <w:r w:rsidRPr="00EE4F8A">
        <w:t>4 (2006)</w:t>
      </w:r>
      <w:r>
        <w:t xml:space="preserve">,which </w:t>
      </w:r>
      <w:r w:rsidRPr="00F62798">
        <w:t xml:space="preserve">explains this issue in detail, provides illustrative mathematical examples, and cites authoritative financial texts, all of which confirm the need to use arithmetic means, and not geometric means, to properly estimate a utility’s </w:t>
      </w:r>
      <w:r>
        <w:t xml:space="preserve">return on </w:t>
      </w:r>
      <w:r w:rsidRPr="00F62798">
        <w:t>equity.</w:t>
      </w:r>
    </w:p>
  </w:footnote>
  <w:footnote w:id="43">
    <w:p w:rsidR="00B1034A" w:rsidRDefault="00B1034A">
      <w:pPr>
        <w:pStyle w:val="FootnoteText"/>
      </w:pPr>
      <w:r>
        <w:rPr>
          <w:rStyle w:val="FootnoteReference"/>
        </w:rPr>
        <w:footnoteRef/>
      </w:r>
      <w:r>
        <w:tab/>
        <w:t>Morin, Exh. RAM-1T, at page 43, line 13, through page 45, line 3.</w:t>
      </w:r>
    </w:p>
  </w:footnote>
  <w:footnote w:id="44">
    <w:p w:rsidR="00B1034A" w:rsidRDefault="00B1034A">
      <w:pPr>
        <w:pStyle w:val="FootnoteText"/>
      </w:pPr>
      <w:r>
        <w:rPr>
          <w:rStyle w:val="FootnoteReference"/>
        </w:rPr>
        <w:footnoteRef/>
      </w:r>
      <w:r>
        <w:tab/>
        <w:t>Woolridge, Exh. JRW-1T, at page </w:t>
      </w:r>
      <w:r w:rsidRPr="00F62798">
        <w:t>68</w:t>
      </w:r>
      <w:r>
        <w:t>, lines 5-15.</w:t>
      </w:r>
    </w:p>
  </w:footnote>
  <w:footnote w:id="45">
    <w:p w:rsidR="00B1034A" w:rsidRDefault="00B1034A">
      <w:pPr>
        <w:pStyle w:val="FootnoteText"/>
      </w:pPr>
      <w:r>
        <w:rPr>
          <w:rStyle w:val="FootnoteReference"/>
        </w:rPr>
        <w:footnoteRef/>
      </w:r>
      <w:r>
        <w:tab/>
        <w:t>Woolridge, Exh. </w:t>
      </w:r>
      <w:r w:rsidRPr="004A45F4">
        <w:t xml:space="preserve">JRW-13, </w:t>
      </w:r>
      <w:r>
        <w:t xml:space="preserve">at </w:t>
      </w:r>
      <w:r w:rsidRPr="004A45F4">
        <w:t>page</w:t>
      </w:r>
      <w:r>
        <w:t> </w:t>
      </w:r>
      <w:r w:rsidRPr="004A45F4">
        <w:t>5</w:t>
      </w:r>
      <w:r>
        <w:t>.</w:t>
      </w:r>
    </w:p>
  </w:footnote>
  <w:footnote w:id="46">
    <w:p w:rsidR="00B1034A" w:rsidRDefault="00B1034A">
      <w:pPr>
        <w:pStyle w:val="FootnoteText"/>
      </w:pPr>
      <w:r>
        <w:rPr>
          <w:rStyle w:val="FootnoteReference"/>
        </w:rPr>
        <w:footnoteRef/>
      </w:r>
      <w:r>
        <w:tab/>
        <w:t>Woolridge, Exh. JRW-1T, at page 63, line 10, through page 64, line 8.</w:t>
      </w:r>
    </w:p>
  </w:footnote>
  <w:footnote w:id="47">
    <w:p w:rsidR="00B1034A" w:rsidRDefault="00B1034A">
      <w:pPr>
        <w:pStyle w:val="FootnoteText"/>
      </w:pPr>
      <w:r>
        <w:rPr>
          <w:rStyle w:val="FootnoteReference"/>
        </w:rPr>
        <w:footnoteRef/>
      </w:r>
      <w:r>
        <w:tab/>
        <w:t>Woolridge, Exh. JRW-1T, at page 63, lines 15-17.</w:t>
      </w:r>
    </w:p>
  </w:footnote>
  <w:footnote w:id="48">
    <w:p w:rsidR="00B1034A" w:rsidRDefault="00B1034A">
      <w:pPr>
        <w:pStyle w:val="FootnoteText"/>
      </w:pPr>
      <w:r>
        <w:rPr>
          <w:rStyle w:val="FootnoteReference"/>
        </w:rPr>
        <w:footnoteRef/>
      </w:r>
      <w:r>
        <w:tab/>
      </w:r>
      <w:r w:rsidRPr="00EE44BA">
        <w:rPr>
          <w:i/>
        </w:rPr>
        <w:t>See, e.g.,</w:t>
      </w:r>
      <w:r>
        <w:t xml:space="preserve"> Morin, Exh. RAM-1T, at page 22, lines 1-20.</w:t>
      </w:r>
    </w:p>
  </w:footnote>
  <w:footnote w:id="49">
    <w:p w:rsidR="00B1034A" w:rsidRDefault="00B1034A">
      <w:pPr>
        <w:pStyle w:val="FootnoteText"/>
      </w:pPr>
      <w:r>
        <w:rPr>
          <w:rStyle w:val="FootnoteReference"/>
        </w:rPr>
        <w:footnoteRef/>
      </w:r>
      <w:r>
        <w:t xml:space="preserve"> </w:t>
      </w:r>
      <w:r>
        <w:tab/>
        <w:t>Woolridge, Exh. JRW-1T, at page </w:t>
      </w:r>
      <w:r w:rsidRPr="00F6479A">
        <w:t>39, lines</w:t>
      </w:r>
      <w:r>
        <w:t> </w:t>
      </w:r>
      <w:r w:rsidRPr="00F6479A">
        <w:t>13-17, and at page</w:t>
      </w:r>
      <w:r>
        <w:t> </w:t>
      </w:r>
      <w:r w:rsidRPr="00F6479A">
        <w:t>64, lines</w:t>
      </w:r>
      <w:r>
        <w:t> </w:t>
      </w:r>
      <w:r w:rsidRPr="00F6479A">
        <w:t>2-8</w:t>
      </w:r>
      <w:r>
        <w:t>.</w:t>
      </w:r>
    </w:p>
  </w:footnote>
  <w:footnote w:id="50">
    <w:p w:rsidR="00B1034A" w:rsidRDefault="00B1034A">
      <w:pPr>
        <w:pStyle w:val="FootnoteText"/>
      </w:pPr>
      <w:r>
        <w:rPr>
          <w:rStyle w:val="FootnoteReference"/>
        </w:rPr>
        <w:footnoteRef/>
      </w:r>
      <w:r>
        <w:tab/>
      </w:r>
      <w:r w:rsidRPr="00F6479A">
        <w:rPr>
          <w:szCs w:val="22"/>
        </w:rPr>
        <w:t>Thomas Lys &amp; Sungkyu Sohn</w:t>
      </w:r>
      <w:r>
        <w:rPr>
          <w:szCs w:val="22"/>
        </w:rPr>
        <w:t>,</w:t>
      </w:r>
      <w:r w:rsidRPr="00F6479A">
        <w:rPr>
          <w:szCs w:val="22"/>
        </w:rPr>
        <w:t xml:space="preserve"> “The Association between Revisions of Financial Analysts’ Earnings Forecasts and Security-Price Changes</w:t>
      </w:r>
      <w:r>
        <w:rPr>
          <w:szCs w:val="22"/>
        </w:rPr>
        <w:t>,</w:t>
      </w:r>
      <w:r w:rsidRPr="00F6479A">
        <w:rPr>
          <w:szCs w:val="22"/>
        </w:rPr>
        <w:t xml:space="preserve">” 13 </w:t>
      </w:r>
      <w:r w:rsidRPr="00F6479A">
        <w:rPr>
          <w:i/>
          <w:szCs w:val="22"/>
        </w:rPr>
        <w:t>Journal of Accounting and Economics</w:t>
      </w:r>
      <w:r w:rsidRPr="00F6479A">
        <w:rPr>
          <w:szCs w:val="22"/>
        </w:rPr>
        <w:t xml:space="preserve"> 341-63 (1990).</w:t>
      </w:r>
    </w:p>
  </w:footnote>
  <w:footnote w:id="51">
    <w:p w:rsidR="00B1034A" w:rsidRPr="004C03EA" w:rsidRDefault="00B1034A">
      <w:pPr>
        <w:pStyle w:val="FootnoteText"/>
        <w:rPr>
          <w:sz w:val="24"/>
          <w:szCs w:val="24"/>
        </w:rPr>
      </w:pPr>
      <w:r>
        <w:rPr>
          <w:rStyle w:val="FootnoteReference"/>
        </w:rPr>
        <w:footnoteRef/>
      </w:r>
      <w:r>
        <w:tab/>
      </w:r>
      <w:r w:rsidRPr="00B97282">
        <w:rPr>
          <w:szCs w:val="22"/>
        </w:rPr>
        <w:t xml:space="preserve">John C. Easterwood &amp; Stacey R. Nutt, “Inefficiency in Analysts’ Earnings Forecasts: Systematic Misreaction or Systematic Optimism?” 54 </w:t>
      </w:r>
      <w:r w:rsidRPr="00B97282">
        <w:rPr>
          <w:i/>
          <w:szCs w:val="22"/>
        </w:rPr>
        <w:t>Journal of Finance</w:t>
      </w:r>
      <w:r w:rsidRPr="00B97282">
        <w:rPr>
          <w:szCs w:val="22"/>
        </w:rPr>
        <w:t xml:space="preserve"> 1777-97 (1999).</w:t>
      </w:r>
    </w:p>
  </w:footnote>
  <w:footnote w:id="52">
    <w:p w:rsidR="00B1034A" w:rsidRPr="004C03EA" w:rsidRDefault="00B1034A" w:rsidP="00B97282">
      <w:pPr>
        <w:pStyle w:val="FootnoteText"/>
        <w:rPr>
          <w:sz w:val="24"/>
          <w:szCs w:val="24"/>
        </w:rPr>
      </w:pPr>
      <w:r>
        <w:rPr>
          <w:rStyle w:val="FootnoteReference"/>
        </w:rPr>
        <w:footnoteRef/>
      </w:r>
      <w:r>
        <w:tab/>
      </w:r>
      <w:r w:rsidRPr="00B97282">
        <w:rPr>
          <w:i/>
          <w:szCs w:val="22"/>
        </w:rPr>
        <w:t>Id.</w:t>
      </w:r>
    </w:p>
  </w:footnote>
  <w:footnote w:id="53">
    <w:p w:rsidR="00B1034A" w:rsidRDefault="00B1034A" w:rsidP="00B97282">
      <w:pPr>
        <w:pStyle w:val="FootnoteText"/>
      </w:pPr>
      <w:r>
        <w:rPr>
          <w:rStyle w:val="FootnoteReference"/>
        </w:rPr>
        <w:footnoteRef/>
      </w:r>
      <w:r>
        <w:t xml:space="preserve"> </w:t>
      </w:r>
      <w:r>
        <w:tab/>
        <w:t>Woolridge, Exh. JRW-1T, at page </w:t>
      </w:r>
      <w:r w:rsidRPr="00F6479A">
        <w:t>39, lines</w:t>
      </w:r>
      <w:r>
        <w:t> </w:t>
      </w:r>
      <w:r w:rsidRPr="00F6479A">
        <w:t>13-17, and at page</w:t>
      </w:r>
      <w:r>
        <w:t> </w:t>
      </w:r>
      <w:r w:rsidRPr="00F6479A">
        <w:t>64, lines</w:t>
      </w:r>
      <w:r>
        <w:t> </w:t>
      </w:r>
      <w:r w:rsidRPr="00F6479A">
        <w:t>2-8</w:t>
      </w:r>
      <w:r>
        <w:t>.</w:t>
      </w:r>
    </w:p>
  </w:footnote>
  <w:footnote w:id="54">
    <w:p w:rsidR="00B1034A" w:rsidRDefault="00B1034A" w:rsidP="00320E4F">
      <w:pPr>
        <w:pStyle w:val="FootnoteText"/>
      </w:pPr>
      <w:r>
        <w:rPr>
          <w:rStyle w:val="FootnoteReference"/>
        </w:rPr>
        <w:footnoteRef/>
      </w:r>
      <w:r>
        <w:tab/>
      </w:r>
      <w:r w:rsidRPr="00320E4F">
        <w:t xml:space="preserve">John G. Cragg </w:t>
      </w:r>
      <w:r>
        <w:t xml:space="preserve">&amp; </w:t>
      </w:r>
      <w:r w:rsidRPr="00320E4F">
        <w:t>Burton G. Malkiel</w:t>
      </w:r>
      <w:r>
        <w:t xml:space="preserve">, </w:t>
      </w:r>
      <w:r w:rsidRPr="00320E4F">
        <w:rPr>
          <w:i/>
        </w:rPr>
        <w:t>Expectations and the Structure of Share Prices</w:t>
      </w:r>
      <w:r>
        <w:t xml:space="preserve"> (1982)</w:t>
      </w:r>
    </w:p>
  </w:footnote>
  <w:footnote w:id="55">
    <w:p w:rsidR="00B1034A" w:rsidRDefault="00B1034A">
      <w:pPr>
        <w:pStyle w:val="FootnoteText"/>
      </w:pPr>
      <w:r>
        <w:rPr>
          <w:rStyle w:val="FootnoteReference"/>
        </w:rPr>
        <w:footnoteRef/>
      </w:r>
      <w:r>
        <w:tab/>
      </w:r>
      <w:r w:rsidRPr="00320E4F">
        <w:t xml:space="preserve">James </w:t>
      </w:r>
      <w:r>
        <w:t xml:space="preserve">H. </w:t>
      </w:r>
      <w:r w:rsidRPr="00320E4F">
        <w:t xml:space="preserve">Vander Weide </w:t>
      </w:r>
      <w:r>
        <w:t>&amp;</w:t>
      </w:r>
      <w:r w:rsidRPr="00320E4F">
        <w:t xml:space="preserve"> Willard </w:t>
      </w:r>
      <w:r>
        <w:t xml:space="preserve">T. </w:t>
      </w:r>
      <w:r w:rsidRPr="00320E4F">
        <w:t>Carleton, “Investor Growth Expectations: Analysts vs. History</w:t>
      </w:r>
      <w:r>
        <w:t>,</w:t>
      </w:r>
      <w:r w:rsidRPr="00320E4F">
        <w:t>” 14</w:t>
      </w:r>
      <w:r>
        <w:t xml:space="preserve"> </w:t>
      </w:r>
      <w:r w:rsidRPr="00320E4F">
        <w:rPr>
          <w:i/>
        </w:rPr>
        <w:t>Journal of Portfolio Management</w:t>
      </w:r>
      <w:r w:rsidRPr="00320E4F">
        <w:t xml:space="preserve"> 78-82</w:t>
      </w:r>
      <w:r>
        <w:t xml:space="preserve"> (</w:t>
      </w:r>
      <w:r w:rsidRPr="00320E4F">
        <w:t>1988)</w:t>
      </w:r>
      <w:r>
        <w:t>.</w:t>
      </w:r>
    </w:p>
  </w:footnote>
  <w:footnote w:id="56">
    <w:p w:rsidR="00B1034A" w:rsidRDefault="00B1034A">
      <w:pPr>
        <w:pStyle w:val="FootnoteText"/>
      </w:pPr>
      <w:r>
        <w:rPr>
          <w:rStyle w:val="FootnoteReference"/>
        </w:rPr>
        <w:footnoteRef/>
      </w:r>
      <w:r>
        <w:tab/>
      </w:r>
      <w:r w:rsidRPr="00320E4F">
        <w:t>Stephen G. Timme &amp; Peter C. Eisemann,</w:t>
      </w:r>
      <w:r>
        <w:t xml:space="preserve"> </w:t>
      </w:r>
      <w:r w:rsidRPr="00320E4F">
        <w:t xml:space="preserve">“On the Use of Consensus Forecasts of Growth in the Constant Growth Model: The Case of Electric Utilities,” 18 </w:t>
      </w:r>
      <w:r w:rsidRPr="00320E4F">
        <w:rPr>
          <w:i/>
        </w:rPr>
        <w:t>Financial Management</w:t>
      </w:r>
      <w:r w:rsidRPr="00320E4F">
        <w:t xml:space="preserve"> 23-35 (1989).</w:t>
      </w:r>
    </w:p>
  </w:footnote>
  <w:footnote w:id="57">
    <w:p w:rsidR="00B1034A" w:rsidRDefault="00B1034A">
      <w:pPr>
        <w:pStyle w:val="FootnoteText"/>
      </w:pPr>
      <w:r>
        <w:rPr>
          <w:rStyle w:val="FootnoteReference"/>
        </w:rPr>
        <w:footnoteRef/>
      </w:r>
      <w:r>
        <w:tab/>
      </w:r>
      <w:r w:rsidRPr="00747316">
        <w:rPr>
          <w:i/>
        </w:rPr>
        <w:t>See</w:t>
      </w:r>
      <w:r w:rsidRPr="00702DE7">
        <w:t xml:space="preserve"> </w:t>
      </w:r>
      <w:r>
        <w:t xml:space="preserve">Woolridge, </w:t>
      </w:r>
      <w:r w:rsidRPr="00702DE7">
        <w:t>Exh</w:t>
      </w:r>
      <w:r>
        <w:t>. </w:t>
      </w:r>
      <w:r w:rsidRPr="00702DE7">
        <w:t>JRW-1</w:t>
      </w:r>
      <w:r>
        <w:t>3, at</w:t>
      </w:r>
      <w:r w:rsidRPr="00702DE7">
        <w:t xml:space="preserve"> page</w:t>
      </w:r>
      <w:r>
        <w:t> </w:t>
      </w:r>
      <w:r w:rsidRPr="00702DE7">
        <w:t>5</w:t>
      </w:r>
      <w:r>
        <w:t>.</w:t>
      </w:r>
    </w:p>
  </w:footnote>
  <w:footnote w:id="58">
    <w:p w:rsidR="00B1034A" w:rsidRDefault="00B1034A">
      <w:pPr>
        <w:pStyle w:val="FootnoteText"/>
      </w:pPr>
      <w:r>
        <w:rPr>
          <w:rStyle w:val="FootnoteReference"/>
        </w:rPr>
        <w:footnoteRef/>
      </w:r>
      <w:r>
        <w:tab/>
      </w:r>
      <w:r w:rsidRPr="00747316">
        <w:rPr>
          <w:i/>
        </w:rPr>
        <w:t>See</w:t>
      </w:r>
      <w:r w:rsidRPr="00702DE7">
        <w:t xml:space="preserve"> </w:t>
      </w:r>
      <w:r>
        <w:t xml:space="preserve">Woolridge, </w:t>
      </w:r>
      <w:r w:rsidRPr="00702DE7">
        <w:t>Exh</w:t>
      </w:r>
      <w:r>
        <w:t>. </w:t>
      </w:r>
      <w:r w:rsidRPr="00702DE7">
        <w:t>JRW-1</w:t>
      </w:r>
      <w:r>
        <w:t>T, at</w:t>
      </w:r>
      <w:r w:rsidRPr="00702DE7">
        <w:t xml:space="preserve"> page</w:t>
      </w:r>
      <w:r>
        <w:t> </w:t>
      </w:r>
      <w:r w:rsidRPr="00702DE7">
        <w:t>5</w:t>
      </w:r>
      <w:r>
        <w:t xml:space="preserve">0, lines 12-16; </w:t>
      </w:r>
      <w:r w:rsidRPr="00747316">
        <w:rPr>
          <w:i/>
        </w:rPr>
        <w:t>see also</w:t>
      </w:r>
      <w:r>
        <w:t xml:space="preserve"> Woolridge, Exh. JRW-13, at page 5</w:t>
      </w:r>
      <w:r w:rsidRPr="00747316">
        <w:t>.</w:t>
      </w:r>
    </w:p>
  </w:footnote>
  <w:footnote w:id="59">
    <w:p w:rsidR="00B1034A" w:rsidRDefault="00B1034A">
      <w:pPr>
        <w:pStyle w:val="FootnoteText"/>
      </w:pPr>
      <w:r>
        <w:rPr>
          <w:rStyle w:val="FootnoteReference"/>
        </w:rPr>
        <w:footnoteRef/>
      </w:r>
      <w:r>
        <w:tab/>
        <w:t>Woolridge, Exh. JRW-1T, at page </w:t>
      </w:r>
      <w:r w:rsidRPr="00747316">
        <w:t>65</w:t>
      </w:r>
      <w:r>
        <w:t>, lines 9-10.</w:t>
      </w:r>
    </w:p>
  </w:footnote>
  <w:footnote w:id="60">
    <w:p w:rsidR="00B1034A" w:rsidRDefault="00B1034A">
      <w:pPr>
        <w:pStyle w:val="FootnoteText"/>
      </w:pPr>
      <w:r>
        <w:rPr>
          <w:rStyle w:val="FootnoteReference"/>
        </w:rPr>
        <w:footnoteRef/>
      </w:r>
      <w:r>
        <w:tab/>
      </w:r>
      <w:r w:rsidRPr="00197232">
        <w:rPr>
          <w:i/>
        </w:rPr>
        <w:t>See</w:t>
      </w:r>
      <w:r>
        <w:t xml:space="preserve"> Woolridge, Exh. JRW-1T, at page 66, lines 15-20.</w:t>
      </w:r>
    </w:p>
  </w:footnote>
  <w:footnote w:id="61">
    <w:p w:rsidR="00B1034A" w:rsidRDefault="00B1034A">
      <w:pPr>
        <w:pStyle w:val="FootnoteText"/>
      </w:pPr>
      <w:r>
        <w:rPr>
          <w:rStyle w:val="FootnoteReference"/>
        </w:rPr>
        <w:footnoteRef/>
      </w:r>
      <w:r>
        <w:tab/>
      </w:r>
      <w:r w:rsidRPr="00197232">
        <w:rPr>
          <w:i/>
        </w:rPr>
        <w:t>See</w:t>
      </w:r>
      <w:r>
        <w:t xml:space="preserve"> Woolridge, Exh. JRW-1T, at page 67, lines 1-13.</w:t>
      </w:r>
    </w:p>
  </w:footnote>
  <w:footnote w:id="62">
    <w:p w:rsidR="00B1034A" w:rsidRDefault="00B1034A">
      <w:pPr>
        <w:pStyle w:val="FootnoteText"/>
      </w:pPr>
      <w:r>
        <w:rPr>
          <w:rStyle w:val="FootnoteReference"/>
        </w:rPr>
        <w:footnoteRef/>
      </w:r>
      <w:r>
        <w:tab/>
      </w:r>
      <w:r w:rsidRPr="00197232">
        <w:rPr>
          <w:i/>
        </w:rPr>
        <w:t>See</w:t>
      </w:r>
      <w:r>
        <w:t xml:space="preserve"> Woolridge, Exh. JRW-1T, at page 67, lines 7-9.</w:t>
      </w:r>
    </w:p>
  </w:footnote>
  <w:footnote w:id="63">
    <w:p w:rsidR="00B1034A" w:rsidRPr="004C03EA" w:rsidRDefault="00B1034A">
      <w:pPr>
        <w:pStyle w:val="FootnoteText"/>
        <w:rPr>
          <w:sz w:val="24"/>
          <w:szCs w:val="24"/>
        </w:rPr>
      </w:pPr>
      <w:r>
        <w:rPr>
          <w:rStyle w:val="FootnoteReference"/>
        </w:rPr>
        <w:footnoteRef/>
      </w:r>
      <w:r>
        <w:tab/>
      </w:r>
      <w:r w:rsidRPr="00486E5B">
        <w:t xml:space="preserve">Philippe Jorion </w:t>
      </w:r>
      <w:r>
        <w:t>&amp;</w:t>
      </w:r>
      <w:r w:rsidRPr="00486E5B">
        <w:t xml:space="preserve"> William N. Goetzmann</w:t>
      </w:r>
      <w:r w:rsidRPr="00486E5B">
        <w:rPr>
          <w:szCs w:val="22"/>
        </w:rPr>
        <w:t>, “Global Stock Markets in the Twentieth Century,” 54:</w:t>
      </w:r>
      <w:r w:rsidRPr="00486E5B">
        <w:rPr>
          <w:i/>
          <w:szCs w:val="22"/>
        </w:rPr>
        <w:t>Journal of Finance</w:t>
      </w:r>
      <w:r w:rsidRPr="00486E5B">
        <w:rPr>
          <w:szCs w:val="22"/>
        </w:rPr>
        <w:t xml:space="preserve"> 953-80 (1999).</w:t>
      </w:r>
    </w:p>
  </w:footnote>
  <w:footnote w:id="64">
    <w:p w:rsidR="00B1034A" w:rsidRPr="00D22846" w:rsidRDefault="00B1034A" w:rsidP="00486E5B">
      <w:pPr>
        <w:pStyle w:val="FootnoteText"/>
      </w:pPr>
      <w:r>
        <w:rPr>
          <w:rStyle w:val="FootnoteReference"/>
        </w:rPr>
        <w:footnoteRef/>
      </w:r>
      <w:r>
        <w:tab/>
        <w:t xml:space="preserve">Elroy Dimson, </w:t>
      </w:r>
      <w:r w:rsidRPr="00D22846">
        <w:rPr>
          <w:i/>
        </w:rPr>
        <w:t>et al</w:t>
      </w:r>
      <w:r>
        <w:t xml:space="preserve">., </w:t>
      </w:r>
      <w:r>
        <w:rPr>
          <w:rFonts w:ascii="Cambria Math" w:hAnsi="Cambria Math" w:cs="Cambria Math"/>
        </w:rPr>
        <w:t>“</w:t>
      </w:r>
      <w:r>
        <w:t>The Worldwide Equity Premium: A Smaller Puzzle,” in Rajnish M</w:t>
      </w:r>
      <w:r>
        <w:rPr>
          <w:szCs w:val="22"/>
        </w:rPr>
        <w:t xml:space="preserve">ehra (ed.), </w:t>
      </w:r>
      <w:r w:rsidRPr="00D22846">
        <w:rPr>
          <w:i/>
        </w:rPr>
        <w:t>Handbook of the Equity Risk Premium</w:t>
      </w:r>
      <w:r w:rsidRPr="00D22846">
        <w:t xml:space="preserve"> 467–514</w:t>
      </w:r>
      <w:r>
        <w:t xml:space="preserve"> (</w:t>
      </w:r>
      <w:r w:rsidRPr="00D22846">
        <w:t>2008</w:t>
      </w:r>
      <w:r>
        <w:t>).</w:t>
      </w:r>
    </w:p>
  </w:footnote>
  <w:footnote w:id="65">
    <w:p w:rsidR="00B1034A" w:rsidRDefault="00B1034A">
      <w:pPr>
        <w:pStyle w:val="FootnoteText"/>
      </w:pPr>
      <w:r>
        <w:rPr>
          <w:rStyle w:val="FootnoteReference"/>
        </w:rPr>
        <w:footnoteRef/>
      </w:r>
      <w:r>
        <w:tab/>
        <w:t xml:space="preserve">Roger A. Morin, </w:t>
      </w:r>
      <w:r w:rsidRPr="00963935">
        <w:rPr>
          <w:i/>
        </w:rPr>
        <w:t>The New Regulatory Finance</w:t>
      </w:r>
      <w:r w:rsidRPr="00963935">
        <w:t xml:space="preserve"> </w:t>
      </w:r>
      <w:r>
        <w:t xml:space="preserve">116 </w:t>
      </w:r>
      <w:r w:rsidRPr="00963935">
        <w:t>(2006)</w:t>
      </w:r>
    </w:p>
  </w:footnote>
  <w:footnote w:id="66">
    <w:p w:rsidR="00B1034A" w:rsidRDefault="00B1034A">
      <w:pPr>
        <w:pStyle w:val="FootnoteText"/>
      </w:pPr>
      <w:r>
        <w:rPr>
          <w:rStyle w:val="FootnoteReference"/>
        </w:rPr>
        <w:footnoteRef/>
      </w:r>
      <w:r>
        <w:tab/>
        <w:t>Woolridge, Exh. JRW-1T, at page 71, lines 7-13.</w:t>
      </w:r>
    </w:p>
  </w:footnote>
  <w:footnote w:id="67">
    <w:p w:rsidR="00B1034A" w:rsidRDefault="00B1034A">
      <w:pPr>
        <w:pStyle w:val="FootnoteText"/>
      </w:pPr>
      <w:r>
        <w:rPr>
          <w:rStyle w:val="FootnoteReference"/>
        </w:rPr>
        <w:footnoteRef/>
      </w:r>
      <w:r>
        <w:tab/>
        <w:t>Woolridge, Exh. JRW-1T, at page 73, line 17, through page 75, line 3.</w:t>
      </w:r>
    </w:p>
  </w:footnote>
  <w:footnote w:id="68">
    <w:p w:rsidR="00B1034A" w:rsidRDefault="00B1034A" w:rsidP="00C23DFB">
      <w:pPr>
        <w:pStyle w:val="FootnoteText"/>
      </w:pPr>
      <w:r>
        <w:rPr>
          <w:rStyle w:val="FootnoteReference"/>
        </w:rPr>
        <w:footnoteRef/>
      </w:r>
      <w:r>
        <w:tab/>
        <w:t xml:space="preserve">Woolridge, Exh. JRW-1T, at page 26, line 6, through page 27, line 2; </w:t>
      </w:r>
      <w:r w:rsidRPr="00C23DFB">
        <w:rPr>
          <w:i/>
        </w:rPr>
        <w:t>see also id</w:t>
      </w:r>
      <w:r>
        <w:t>. at page 74, line 20, through page 75, line 3.</w:t>
      </w:r>
    </w:p>
  </w:footnote>
  <w:footnote w:id="69">
    <w:p w:rsidR="00B1034A" w:rsidRPr="004C03EA" w:rsidRDefault="00B1034A" w:rsidP="00C23DFB">
      <w:pPr>
        <w:pStyle w:val="FootnoteText"/>
        <w:tabs>
          <w:tab w:val="left" w:pos="810"/>
        </w:tabs>
        <w:rPr>
          <w:sz w:val="24"/>
          <w:szCs w:val="24"/>
        </w:rPr>
      </w:pPr>
      <w:r>
        <w:rPr>
          <w:rStyle w:val="FootnoteReference"/>
        </w:rPr>
        <w:footnoteRef/>
      </w:r>
      <w:r>
        <w:tab/>
      </w:r>
      <w:r w:rsidRPr="00C23DFB">
        <w:rPr>
          <w:spacing w:val="-3"/>
          <w:szCs w:val="22"/>
        </w:rPr>
        <w:t>The relationship between the market value of a firm’s securities and the replacement cost of its assets is embodied in the Q</w:t>
      </w:r>
      <w:r w:rsidRPr="00C23DFB">
        <w:rPr>
          <w:spacing w:val="-3"/>
          <w:szCs w:val="22"/>
        </w:rPr>
        <w:noBreakHyphen/>
        <w:t>ratio. The Q</w:t>
      </w:r>
      <w:r w:rsidRPr="00C23DFB">
        <w:rPr>
          <w:spacing w:val="-3"/>
          <w:szCs w:val="22"/>
        </w:rPr>
        <w:noBreakHyphen/>
        <w:t>ratio is defined as the market value of a firm’s securities divided by the re</w:t>
      </w:r>
      <w:r>
        <w:rPr>
          <w:spacing w:val="-3"/>
          <w:szCs w:val="22"/>
        </w:rPr>
        <w:t xml:space="preserve">placement cost of its assets. </w:t>
      </w:r>
      <w:r w:rsidRPr="00C23DFB">
        <w:rPr>
          <w:spacing w:val="-3"/>
          <w:szCs w:val="22"/>
        </w:rPr>
        <w:t>If Q &gt; 1.0, a firm has an incentive to invest because the value of the firm’s securities exceeds the replacement cost of assets, that is, the firm’s return on its investments exceeds its cost of capital. Conversely, if Q &lt; 1.0, a firm has a disinc</w:t>
      </w:r>
      <w:r>
        <w:rPr>
          <w:spacing w:val="-3"/>
          <w:szCs w:val="22"/>
        </w:rPr>
        <w:t xml:space="preserve">entive to invest in new plant. </w:t>
      </w:r>
      <w:r w:rsidRPr="00C23DFB">
        <w:rPr>
          <w:spacing w:val="-3"/>
          <w:szCs w:val="22"/>
        </w:rPr>
        <w:t>In final long</w:t>
      </w:r>
      <w:r w:rsidRPr="00C23DFB">
        <w:rPr>
          <w:spacing w:val="-3"/>
          <w:szCs w:val="22"/>
        </w:rPr>
        <w:noBreakHyphen/>
        <w:t>run equilibrium, the Q</w:t>
      </w:r>
      <w:r w:rsidRPr="00C23DFB">
        <w:rPr>
          <w:spacing w:val="-3"/>
          <w:szCs w:val="22"/>
        </w:rPr>
        <w:noBreakHyphen/>
        <w:t>ratio is driven to 1.0.</w:t>
      </w:r>
    </w:p>
  </w:footnote>
  <w:footnote w:id="70">
    <w:p w:rsidR="00B1034A" w:rsidRDefault="00B1034A" w:rsidP="0054222F">
      <w:pPr>
        <w:pStyle w:val="FootnoteText"/>
      </w:pPr>
      <w:r>
        <w:rPr>
          <w:rStyle w:val="FootnoteReference"/>
        </w:rPr>
        <w:footnoteRef/>
      </w:r>
      <w:r>
        <w:tab/>
      </w:r>
      <w:r w:rsidRPr="004347A0">
        <w:rPr>
          <w:i/>
        </w:rPr>
        <w:t>See</w:t>
      </w:r>
      <w:r>
        <w:t xml:space="preserve"> </w:t>
      </w:r>
      <w:r w:rsidRPr="004347A0">
        <w:t>Woolridge</w:t>
      </w:r>
      <w:r>
        <w:t xml:space="preserve">, </w:t>
      </w:r>
      <w:r w:rsidRPr="004347A0">
        <w:t>Exh</w:t>
      </w:r>
      <w:r>
        <w:t xml:space="preserve">. </w:t>
      </w:r>
      <w:r w:rsidRPr="004347A0">
        <w:t xml:space="preserve">JRW-12, </w:t>
      </w:r>
      <w:r>
        <w:t xml:space="preserve">at </w:t>
      </w:r>
      <w:r w:rsidRPr="004347A0">
        <w:t>page</w:t>
      </w:r>
      <w:r>
        <w:t> </w:t>
      </w:r>
      <w:r w:rsidRPr="004347A0">
        <w:t>4</w:t>
      </w:r>
      <w:r>
        <w:t xml:space="preserve"> (column with the </w:t>
      </w:r>
      <w:r w:rsidRPr="004347A0">
        <w:t>heading “Return on Equity”</w:t>
      </w:r>
      <w:r>
        <w:t>).</w:t>
      </w:r>
    </w:p>
  </w:footnote>
  <w:footnote w:id="71">
    <w:p w:rsidR="00B1034A" w:rsidRDefault="00B1034A">
      <w:pPr>
        <w:pStyle w:val="FootnoteText"/>
      </w:pPr>
      <w:r>
        <w:rPr>
          <w:rStyle w:val="FootnoteReference"/>
        </w:rPr>
        <w:footnoteRef/>
      </w:r>
      <w:r>
        <w:tab/>
      </w:r>
      <w:r w:rsidRPr="00946D50">
        <w:rPr>
          <w:i/>
        </w:rPr>
        <w:t>See</w:t>
      </w:r>
      <w:r w:rsidRPr="00946D50">
        <w:t xml:space="preserve"> </w:t>
      </w:r>
      <w:r>
        <w:t xml:space="preserve">Parcell, </w:t>
      </w:r>
      <w:r w:rsidRPr="00946D50">
        <w:t>Exh</w:t>
      </w:r>
      <w:r>
        <w:t>. </w:t>
      </w:r>
      <w:r w:rsidRPr="00946D50">
        <w:t>DCP-1T</w:t>
      </w:r>
      <w:r>
        <w:t>,</w:t>
      </w:r>
      <w:r w:rsidRPr="00946D50">
        <w:t xml:space="preserve"> at page</w:t>
      </w:r>
      <w:r>
        <w:t> </w:t>
      </w:r>
      <w:r w:rsidRPr="00946D50">
        <w:t>32, line</w:t>
      </w:r>
      <w:r>
        <w:t> </w:t>
      </w:r>
      <w:r w:rsidRPr="00946D50">
        <w:t>19, through page</w:t>
      </w:r>
      <w:r>
        <w:t> </w:t>
      </w:r>
      <w:r w:rsidRPr="00946D50">
        <w:t>33, line</w:t>
      </w:r>
      <w:r>
        <w:t> </w:t>
      </w:r>
      <w:r w:rsidRPr="00946D50">
        <w:t>16.</w:t>
      </w:r>
    </w:p>
  </w:footnote>
  <w:footnote w:id="72">
    <w:p w:rsidR="00B1034A" w:rsidRDefault="00B1034A">
      <w:pPr>
        <w:pStyle w:val="FootnoteText"/>
      </w:pPr>
      <w:r>
        <w:rPr>
          <w:rStyle w:val="FootnoteReference"/>
        </w:rPr>
        <w:footnoteRef/>
      </w:r>
      <w:r>
        <w:tab/>
      </w:r>
      <w:r w:rsidRPr="000A7F0F">
        <w:rPr>
          <w:i/>
        </w:rPr>
        <w:t>See</w:t>
      </w:r>
      <w:r>
        <w:t xml:space="preserve"> Parcell, Exh. DCP-9, at page 3 (first three </w:t>
      </w:r>
      <w:r w:rsidRPr="000A7F0F">
        <w:t>columns</w:t>
      </w:r>
      <w:r>
        <w:t>).</w:t>
      </w:r>
    </w:p>
  </w:footnote>
  <w:footnote w:id="73">
    <w:p w:rsidR="00B1034A" w:rsidRDefault="00B1034A">
      <w:pPr>
        <w:pStyle w:val="FootnoteText"/>
      </w:pPr>
      <w:r>
        <w:rPr>
          <w:rStyle w:val="FootnoteReference"/>
        </w:rPr>
        <w:footnoteRef/>
      </w:r>
      <w:r>
        <w:tab/>
      </w:r>
      <w:r w:rsidRPr="000A7F0F">
        <w:rPr>
          <w:i/>
        </w:rPr>
        <w:t>See</w:t>
      </w:r>
      <w:r w:rsidRPr="000A7F0F">
        <w:t xml:space="preserve"> </w:t>
      </w:r>
      <w:r>
        <w:t xml:space="preserve">Parcell, </w:t>
      </w:r>
      <w:r w:rsidRPr="000A7F0F">
        <w:t>Exh</w:t>
      </w:r>
      <w:r>
        <w:t>. </w:t>
      </w:r>
      <w:r w:rsidRPr="000A7F0F">
        <w:t>DCP-11</w:t>
      </w:r>
      <w:r>
        <w:t xml:space="preserve">, </w:t>
      </w:r>
      <w:r w:rsidRPr="000A7F0F">
        <w:t>at page</w:t>
      </w:r>
      <w:r>
        <w:t> </w:t>
      </w:r>
      <w:r w:rsidRPr="000A7F0F">
        <w:t>4.</w:t>
      </w:r>
    </w:p>
  </w:footnote>
  <w:footnote w:id="74">
    <w:p w:rsidR="00B1034A" w:rsidRDefault="00B1034A" w:rsidP="009F107C">
      <w:pPr>
        <w:pStyle w:val="FootnoteText"/>
      </w:pPr>
      <w:r>
        <w:rPr>
          <w:rStyle w:val="FootnoteReference"/>
        </w:rPr>
        <w:footnoteRef/>
      </w:r>
      <w:r>
        <w:tab/>
      </w:r>
      <w:r w:rsidRPr="000A7F0F">
        <w:rPr>
          <w:i/>
        </w:rPr>
        <w:t>See</w:t>
      </w:r>
      <w:r w:rsidRPr="000A7F0F">
        <w:t xml:space="preserve"> </w:t>
      </w:r>
      <w:r>
        <w:t xml:space="preserve">Parcell, </w:t>
      </w:r>
      <w:r w:rsidRPr="000A7F0F">
        <w:t>Exh</w:t>
      </w:r>
      <w:r>
        <w:t>. </w:t>
      </w:r>
      <w:r w:rsidRPr="000A7F0F">
        <w:t>DCP-11</w:t>
      </w:r>
      <w:r>
        <w:t xml:space="preserve">, </w:t>
      </w:r>
      <w:r w:rsidRPr="000A7F0F">
        <w:t>at page</w:t>
      </w:r>
      <w:r>
        <w:t> </w:t>
      </w:r>
      <w:r w:rsidRPr="000A7F0F">
        <w:t>4.</w:t>
      </w:r>
    </w:p>
  </w:footnote>
  <w:footnote w:id="75">
    <w:p w:rsidR="00B1034A" w:rsidRDefault="00B1034A">
      <w:pPr>
        <w:pStyle w:val="FootnoteText"/>
      </w:pPr>
      <w:r>
        <w:rPr>
          <w:rStyle w:val="FootnoteReference"/>
        </w:rPr>
        <w:footnoteRef/>
      </w:r>
      <w:r>
        <w:tab/>
        <w:t>Parcell, Exh. DCP-11, at page 4.</w:t>
      </w:r>
    </w:p>
  </w:footnote>
  <w:footnote w:id="76">
    <w:p w:rsidR="00B1034A" w:rsidRDefault="00B1034A" w:rsidP="00FE3299">
      <w:pPr>
        <w:pStyle w:val="FootnoteText"/>
      </w:pPr>
      <w:r>
        <w:rPr>
          <w:rStyle w:val="FootnoteReference"/>
        </w:rPr>
        <w:footnoteRef/>
      </w:r>
      <w:r>
        <w:tab/>
        <w:t>Parcell, Exh. DCP-11, at page 4.</w:t>
      </w:r>
    </w:p>
  </w:footnote>
  <w:footnote w:id="77">
    <w:p w:rsidR="00B1034A" w:rsidRDefault="00B1034A">
      <w:pPr>
        <w:pStyle w:val="FootnoteText"/>
      </w:pPr>
      <w:r>
        <w:rPr>
          <w:rStyle w:val="FootnoteReference"/>
        </w:rPr>
        <w:footnoteRef/>
      </w:r>
      <w:r>
        <w:tab/>
      </w:r>
      <w:r w:rsidRPr="00D14A77">
        <w:rPr>
          <w:i/>
        </w:rPr>
        <w:t>See</w:t>
      </w:r>
      <w:r>
        <w:t xml:space="preserve"> Parcell, </w:t>
      </w:r>
      <w:r w:rsidRPr="00D14A77">
        <w:t>Exh.</w:t>
      </w:r>
      <w:r>
        <w:t> </w:t>
      </w:r>
      <w:r w:rsidRPr="00D14A77">
        <w:t>DCP-1T</w:t>
      </w:r>
      <w:r>
        <w:t>,</w:t>
      </w:r>
      <w:r w:rsidRPr="00D14A77">
        <w:t xml:space="preserve"> at page</w:t>
      </w:r>
      <w:r>
        <w:t> </w:t>
      </w:r>
      <w:r w:rsidRPr="00D14A77">
        <w:t>47, lines</w:t>
      </w:r>
      <w:r>
        <w:t> </w:t>
      </w:r>
      <w:r w:rsidRPr="00D14A77">
        <w:t>13-15</w:t>
      </w:r>
      <w:r>
        <w:t>.</w:t>
      </w:r>
    </w:p>
  </w:footnote>
  <w:footnote w:id="78">
    <w:p w:rsidR="00B1034A" w:rsidRDefault="00B1034A">
      <w:pPr>
        <w:pStyle w:val="FootnoteText"/>
      </w:pPr>
      <w:r>
        <w:rPr>
          <w:rStyle w:val="FootnoteReference"/>
        </w:rPr>
        <w:footnoteRef/>
      </w:r>
      <w:r>
        <w:tab/>
        <w:t>Parcell, Exh. DCP-1T, at page 38, lines 7-10.</w:t>
      </w:r>
    </w:p>
  </w:footnote>
  <w:footnote w:id="79">
    <w:p w:rsidR="00B1034A" w:rsidRDefault="00B1034A" w:rsidP="000B6D9B">
      <w:pPr>
        <w:pStyle w:val="FootnoteText"/>
      </w:pPr>
      <w:r>
        <w:rPr>
          <w:rStyle w:val="FootnoteReference"/>
        </w:rPr>
        <w:footnoteRef/>
      </w:r>
      <w:r>
        <w:tab/>
        <w:t xml:space="preserve">Parcell, Exh. DCP-1T, at page 38, lines 7-10; </w:t>
      </w:r>
      <w:r w:rsidRPr="000B6D9B">
        <w:rPr>
          <w:i/>
        </w:rPr>
        <w:t>see also</w:t>
      </w:r>
      <w:r>
        <w:t xml:space="preserve"> Parcell, </w:t>
      </w:r>
      <w:r w:rsidRPr="00434529">
        <w:t>Exh</w:t>
      </w:r>
      <w:r>
        <w:t>. </w:t>
      </w:r>
      <w:r w:rsidRPr="00434529">
        <w:t>DCP-11</w:t>
      </w:r>
      <w:r>
        <w:t>.</w:t>
      </w:r>
    </w:p>
  </w:footnote>
  <w:footnote w:id="80">
    <w:p w:rsidR="00B1034A" w:rsidRDefault="00B1034A">
      <w:pPr>
        <w:pStyle w:val="FootnoteText"/>
      </w:pPr>
      <w:r>
        <w:rPr>
          <w:rStyle w:val="FootnoteReference"/>
        </w:rPr>
        <w:footnoteRef/>
      </w:r>
      <w:r>
        <w:tab/>
        <w:t>Parcell, Exh. DCP-1T, at page 39, lines 3-9.</w:t>
      </w:r>
    </w:p>
  </w:footnote>
  <w:footnote w:id="81">
    <w:p w:rsidR="00B1034A" w:rsidRDefault="00B1034A" w:rsidP="00131B28">
      <w:pPr>
        <w:pStyle w:val="FootnoteText"/>
      </w:pPr>
      <w:r>
        <w:rPr>
          <w:rStyle w:val="FootnoteReference"/>
        </w:rPr>
        <w:footnoteRef/>
      </w:r>
      <w:r>
        <w:tab/>
        <w:t>Parcell, Exh. DCP-1T, at page 39, lines 3-9.</w:t>
      </w:r>
    </w:p>
  </w:footnote>
  <w:footnote w:id="82">
    <w:p w:rsidR="00B1034A" w:rsidRDefault="00B1034A" w:rsidP="000B6D9B">
      <w:pPr>
        <w:pStyle w:val="FootnoteText"/>
      </w:pPr>
      <w:r>
        <w:rPr>
          <w:rStyle w:val="FootnoteReference"/>
        </w:rPr>
        <w:footnoteRef/>
      </w:r>
      <w:r>
        <w:tab/>
        <w:t>Parcell, Exh. DCP-1T, at page 39, lines 10-15.</w:t>
      </w:r>
    </w:p>
  </w:footnote>
  <w:footnote w:id="83">
    <w:p w:rsidR="00B1034A" w:rsidRDefault="00B1034A" w:rsidP="00131B28">
      <w:pPr>
        <w:pStyle w:val="FootnoteText"/>
      </w:pPr>
      <w:r>
        <w:rPr>
          <w:rStyle w:val="FootnoteReference"/>
        </w:rPr>
        <w:footnoteRef/>
      </w:r>
      <w:r>
        <w:tab/>
        <w:t>Parcell, Exh. DCP-1T, at page 39, lines 10-15.</w:t>
      </w:r>
    </w:p>
  </w:footnote>
  <w:footnote w:id="84">
    <w:p w:rsidR="00B1034A" w:rsidRDefault="00B1034A">
      <w:pPr>
        <w:pStyle w:val="FootnoteText"/>
      </w:pPr>
      <w:r>
        <w:rPr>
          <w:rStyle w:val="FootnoteReference"/>
        </w:rPr>
        <w:footnoteRef/>
      </w:r>
      <w:r>
        <w:tab/>
        <w:t>Parcell, Exh. DCP-1T, at page 39, line 16, through page 40, line 2.</w:t>
      </w:r>
    </w:p>
  </w:footnote>
  <w:footnote w:id="85">
    <w:p w:rsidR="00B1034A" w:rsidRDefault="00B1034A" w:rsidP="00D97DE4">
      <w:pPr>
        <w:pStyle w:val="FootnoteText"/>
      </w:pPr>
      <w:r>
        <w:rPr>
          <w:rStyle w:val="FootnoteReference"/>
        </w:rPr>
        <w:footnoteRef/>
      </w:r>
      <w:r>
        <w:tab/>
        <w:t>Parcell, Exh. DCP-1T, at page 39, lines 10-15.</w:t>
      </w:r>
    </w:p>
  </w:footnote>
  <w:footnote w:id="86">
    <w:p w:rsidR="00B1034A" w:rsidRDefault="00B1034A" w:rsidP="00D97DE4">
      <w:pPr>
        <w:pStyle w:val="FootnoteText"/>
      </w:pPr>
      <w:r>
        <w:rPr>
          <w:rStyle w:val="FootnoteReference"/>
        </w:rPr>
        <w:footnoteRef/>
      </w:r>
      <w:r>
        <w:tab/>
        <w:t>Parcell, Exh. DCP-1T, at page 39, lines 10-15.</w:t>
      </w:r>
    </w:p>
  </w:footnote>
  <w:footnote w:id="87">
    <w:p w:rsidR="00B1034A" w:rsidRDefault="00B1034A">
      <w:pPr>
        <w:pStyle w:val="FootnoteText"/>
      </w:pPr>
      <w:r>
        <w:rPr>
          <w:rStyle w:val="FootnoteReference"/>
        </w:rPr>
        <w:footnoteRef/>
      </w:r>
      <w:r>
        <w:tab/>
        <w:t xml:space="preserve">Parcell, </w:t>
      </w:r>
      <w:r w:rsidRPr="00216FBF">
        <w:t>Exh</w:t>
      </w:r>
      <w:r>
        <w:t>. </w:t>
      </w:r>
      <w:r w:rsidRPr="00216FBF">
        <w:t>DCP-1T</w:t>
      </w:r>
      <w:r>
        <w:t>, at page </w:t>
      </w:r>
      <w:r w:rsidRPr="00216FBF">
        <w:t>51</w:t>
      </w:r>
      <w:r>
        <w:t>, line 18, through page 52, line 8</w:t>
      </w:r>
      <w:r w:rsidRPr="00216FBF">
        <w:t>.</w:t>
      </w:r>
    </w:p>
  </w:footnote>
  <w:footnote w:id="88">
    <w:p w:rsidR="00B1034A" w:rsidRDefault="00B1034A" w:rsidP="00BA7E06">
      <w:pPr>
        <w:pStyle w:val="FootnoteText"/>
      </w:pPr>
      <w:r>
        <w:rPr>
          <w:rStyle w:val="FootnoteReference"/>
        </w:rPr>
        <w:footnoteRef/>
      </w:r>
      <w:r>
        <w:tab/>
        <w:t xml:space="preserve">Parcell, </w:t>
      </w:r>
      <w:r w:rsidRPr="00216FBF">
        <w:t>Exh</w:t>
      </w:r>
      <w:r>
        <w:t>. </w:t>
      </w:r>
      <w:r w:rsidRPr="00216FBF">
        <w:t>DCP-1T</w:t>
      </w:r>
      <w:r>
        <w:t>, at page </w:t>
      </w:r>
      <w:r w:rsidRPr="00216FBF">
        <w:t>5</w:t>
      </w:r>
      <w:r>
        <w:t>3, lines 6-7</w:t>
      </w:r>
      <w:r w:rsidRPr="00216FBF">
        <w:t>.</w:t>
      </w:r>
    </w:p>
  </w:footnote>
  <w:footnote w:id="89">
    <w:p w:rsidR="00B1034A" w:rsidRDefault="00B1034A">
      <w:pPr>
        <w:pStyle w:val="FootnoteText"/>
      </w:pPr>
      <w:r>
        <w:rPr>
          <w:rStyle w:val="FootnoteReference"/>
        </w:rPr>
        <w:footnoteRef/>
      </w:r>
      <w:r>
        <w:tab/>
        <w:t xml:space="preserve">Parcell, </w:t>
      </w:r>
      <w:r w:rsidRPr="00216FBF">
        <w:t>Exh</w:t>
      </w:r>
      <w:r>
        <w:t>. </w:t>
      </w:r>
      <w:r w:rsidRPr="00216FBF">
        <w:t>DCP-1T</w:t>
      </w:r>
      <w:r>
        <w:t>, at page </w:t>
      </w:r>
      <w:r w:rsidRPr="00216FBF">
        <w:t>5</w:t>
      </w:r>
      <w:r>
        <w:t>3, line 9, through page 55, line 5.</w:t>
      </w:r>
    </w:p>
  </w:footnote>
  <w:footnote w:id="90">
    <w:p w:rsidR="00B1034A" w:rsidRDefault="00B1034A">
      <w:pPr>
        <w:pStyle w:val="FootnoteText"/>
      </w:pPr>
      <w:r>
        <w:rPr>
          <w:rStyle w:val="FootnoteReference"/>
        </w:rPr>
        <w:footnoteRef/>
      </w:r>
      <w:r>
        <w:tab/>
      </w:r>
      <w:r w:rsidRPr="00D34596">
        <w:rPr>
          <w:i/>
        </w:rPr>
        <w:t>See</w:t>
      </w:r>
      <w:r>
        <w:rPr>
          <w:i/>
        </w:rPr>
        <w:t xml:space="preserve"> also</w:t>
      </w:r>
      <w:r>
        <w:t xml:space="preserve"> Roger A. Morin, </w:t>
      </w:r>
      <w:r w:rsidRPr="00D34596">
        <w:rPr>
          <w:i/>
        </w:rPr>
        <w:t>The New Regulatory Finance</w:t>
      </w:r>
      <w:r w:rsidRPr="00D34596">
        <w:t>,</w:t>
      </w:r>
      <w:r>
        <w:t xml:space="preserve"> at chapter 6 (2006).</w:t>
      </w:r>
    </w:p>
  </w:footnote>
  <w:footnote w:id="91">
    <w:p w:rsidR="00B1034A" w:rsidRDefault="00B1034A">
      <w:pPr>
        <w:pStyle w:val="FootnoteText"/>
      </w:pPr>
      <w:r>
        <w:rPr>
          <w:rStyle w:val="FootnoteReference"/>
        </w:rPr>
        <w:footnoteRef/>
      </w:r>
      <w:r>
        <w:tab/>
        <w:t>Gorman, Exh. MPG-1T, at page 13, lines 10-11.</w:t>
      </w:r>
    </w:p>
  </w:footnote>
  <w:footnote w:id="92">
    <w:p w:rsidR="00B1034A" w:rsidRDefault="00B1034A">
      <w:pPr>
        <w:pStyle w:val="FootnoteText"/>
      </w:pPr>
      <w:r>
        <w:rPr>
          <w:rStyle w:val="FootnoteReference"/>
        </w:rPr>
        <w:footnoteRef/>
      </w:r>
      <w:r>
        <w:tab/>
        <w:t>Gorman, Exh. MPG-1T, at page 13, lines 21-23.</w:t>
      </w:r>
    </w:p>
  </w:footnote>
  <w:footnote w:id="93">
    <w:p w:rsidR="00B1034A" w:rsidRDefault="00B1034A">
      <w:pPr>
        <w:pStyle w:val="FootnoteText"/>
      </w:pPr>
      <w:r>
        <w:rPr>
          <w:rStyle w:val="FootnoteReference"/>
        </w:rPr>
        <w:footnoteRef/>
      </w:r>
      <w:r>
        <w:tab/>
        <w:t>Gorman, Exh. MPG-1T, at p</w:t>
      </w:r>
      <w:r w:rsidRPr="00F51E83">
        <w:t>age</w:t>
      </w:r>
      <w:r>
        <w:t> 13 line 23, through p</w:t>
      </w:r>
      <w:r w:rsidRPr="00F51E83">
        <w:t>age</w:t>
      </w:r>
      <w:r>
        <w:t> </w:t>
      </w:r>
      <w:r w:rsidRPr="00F51E83">
        <w:t>14</w:t>
      </w:r>
      <w:r>
        <w:t xml:space="preserve">, </w:t>
      </w:r>
      <w:r w:rsidRPr="00F51E83">
        <w:t>line</w:t>
      </w:r>
      <w:r>
        <w:t> </w:t>
      </w:r>
      <w:r w:rsidRPr="00F51E83">
        <w:t>2</w:t>
      </w:r>
      <w:r>
        <w:t>.</w:t>
      </w:r>
    </w:p>
  </w:footnote>
  <w:footnote w:id="94">
    <w:p w:rsidR="00B1034A" w:rsidRDefault="00B1034A">
      <w:pPr>
        <w:pStyle w:val="FootnoteText"/>
      </w:pPr>
      <w:r>
        <w:rPr>
          <w:rStyle w:val="FootnoteReference"/>
        </w:rPr>
        <w:footnoteRef/>
      </w:r>
      <w:r>
        <w:tab/>
        <w:t>Gorman, Exh. MPG-1T, at p</w:t>
      </w:r>
      <w:r w:rsidRPr="0014601B">
        <w:t>age</w:t>
      </w:r>
      <w:r>
        <w:t> </w:t>
      </w:r>
      <w:r w:rsidRPr="0014601B">
        <w:t>16</w:t>
      </w:r>
      <w:r>
        <w:t>,</w:t>
      </w:r>
      <w:r w:rsidRPr="0014601B">
        <w:t xml:space="preserve"> lines</w:t>
      </w:r>
      <w:r>
        <w:t> </w:t>
      </w:r>
      <w:r w:rsidRPr="0014601B">
        <w:t>1-7</w:t>
      </w:r>
      <w:r>
        <w:t>.</w:t>
      </w:r>
    </w:p>
  </w:footnote>
  <w:footnote w:id="95">
    <w:p w:rsidR="00B1034A" w:rsidRDefault="00B1034A">
      <w:pPr>
        <w:pStyle w:val="FootnoteText"/>
      </w:pPr>
      <w:r>
        <w:rPr>
          <w:rStyle w:val="FootnoteReference"/>
        </w:rPr>
        <w:footnoteRef/>
      </w:r>
      <w:r>
        <w:tab/>
        <w:t xml:space="preserve">Morin, Exh. RAM-1T, </w:t>
      </w:r>
      <w:r w:rsidRPr="00F372DE">
        <w:t>at page</w:t>
      </w:r>
      <w:r>
        <w:t> </w:t>
      </w:r>
      <w:r w:rsidRPr="00F372DE">
        <w:t>54, line</w:t>
      </w:r>
      <w:r>
        <w:t> </w:t>
      </w:r>
      <w:r w:rsidRPr="00F372DE">
        <w:t>11</w:t>
      </w:r>
      <w:r>
        <w:t>,</w:t>
      </w:r>
      <w:r w:rsidRPr="00F372DE">
        <w:t xml:space="preserve"> through page</w:t>
      </w:r>
      <w:r>
        <w:t> </w:t>
      </w:r>
      <w:r w:rsidRPr="00F372DE">
        <w:t>56, line</w:t>
      </w:r>
      <w:r>
        <w:t> </w:t>
      </w:r>
      <w:r w:rsidRPr="00F372DE">
        <w:t>8</w:t>
      </w:r>
      <w:r>
        <w:t>.</w:t>
      </w:r>
    </w:p>
  </w:footnote>
  <w:footnote w:id="96">
    <w:p w:rsidR="00B1034A" w:rsidRDefault="00B1034A">
      <w:pPr>
        <w:pStyle w:val="FootnoteText"/>
      </w:pPr>
      <w:r>
        <w:rPr>
          <w:rStyle w:val="FootnoteReference"/>
        </w:rPr>
        <w:footnoteRef/>
      </w:r>
      <w:r>
        <w:tab/>
      </w:r>
      <w:r w:rsidRPr="00F372DE">
        <w:rPr>
          <w:i/>
        </w:rPr>
        <w:t>See</w:t>
      </w:r>
      <w:r>
        <w:t xml:space="preserve"> Morin, </w:t>
      </w:r>
      <w:r w:rsidRPr="00F372DE">
        <w:t>Exh. RAM-8</w:t>
      </w:r>
      <w:r>
        <w:t>.</w:t>
      </w:r>
    </w:p>
  </w:footnote>
  <w:footnote w:id="97">
    <w:p w:rsidR="00B1034A" w:rsidRDefault="00B1034A">
      <w:pPr>
        <w:pStyle w:val="FootnoteText"/>
      </w:pPr>
      <w:r>
        <w:rPr>
          <w:rStyle w:val="FootnoteReference"/>
        </w:rPr>
        <w:footnoteRef/>
      </w:r>
      <w:r>
        <w:tab/>
        <w:t>Gorman, Exh. MPG-1T, at p</w:t>
      </w:r>
      <w:r w:rsidRPr="0014601B">
        <w:t>age</w:t>
      </w:r>
      <w:r>
        <w:t> 2,</w:t>
      </w:r>
      <w:r w:rsidRPr="0014601B">
        <w:t xml:space="preserve"> lines</w:t>
      </w:r>
      <w:r>
        <w:t> </w:t>
      </w:r>
      <w:r w:rsidRPr="00F372DE">
        <w:t>8-9</w:t>
      </w:r>
      <w:r>
        <w:t>.</w:t>
      </w:r>
    </w:p>
  </w:footnote>
  <w:footnote w:id="98">
    <w:p w:rsidR="00B1034A" w:rsidRDefault="00B1034A">
      <w:pPr>
        <w:pStyle w:val="FootnoteText"/>
      </w:pPr>
      <w:r>
        <w:rPr>
          <w:rStyle w:val="FootnoteReference"/>
        </w:rPr>
        <w:footnoteRef/>
      </w:r>
      <w:r>
        <w:tab/>
        <w:t>Gorman, Exh. MPG-1T, at p</w:t>
      </w:r>
      <w:r w:rsidRPr="0014601B">
        <w:t>age</w:t>
      </w:r>
      <w:r>
        <w:t> </w:t>
      </w:r>
      <w:r w:rsidRPr="00D20344">
        <w:t>23</w:t>
      </w:r>
      <w:r>
        <w:t>,</w:t>
      </w:r>
      <w:r w:rsidRPr="00D20344">
        <w:t xml:space="preserve"> lines</w:t>
      </w:r>
      <w:r>
        <w:t> </w:t>
      </w:r>
      <w:r w:rsidRPr="00D20344">
        <w:t>1-15</w:t>
      </w:r>
      <w:r>
        <w:t>.</w:t>
      </w:r>
    </w:p>
  </w:footnote>
  <w:footnote w:id="99">
    <w:p w:rsidR="00B1034A" w:rsidRDefault="00B1034A" w:rsidP="006303A7">
      <w:pPr>
        <w:pStyle w:val="FootnoteText"/>
      </w:pPr>
      <w:r>
        <w:rPr>
          <w:rStyle w:val="FootnoteReference"/>
        </w:rPr>
        <w:footnoteRef/>
      </w:r>
      <w:r>
        <w:tab/>
      </w:r>
      <w:r w:rsidRPr="006303A7">
        <w:rPr>
          <w:i/>
        </w:rPr>
        <w:t>See, e.g.,</w:t>
      </w:r>
      <w:r>
        <w:t xml:space="preserve"> Willard T. Carleton, </w:t>
      </w:r>
      <w:r w:rsidRPr="00730DED">
        <w:rPr>
          <w:i/>
        </w:rPr>
        <w:t>et al</w:t>
      </w:r>
      <w:r>
        <w:t xml:space="preserve">., “Inflation Risk and Regulatory Lag,” </w:t>
      </w:r>
      <w:r w:rsidRPr="00730DED">
        <w:t>38</w:t>
      </w:r>
      <w:r>
        <w:t> </w:t>
      </w:r>
      <w:r w:rsidRPr="00730DED">
        <w:rPr>
          <w:i/>
        </w:rPr>
        <w:t>The Journal of Finance</w:t>
      </w:r>
      <w:r>
        <w:t xml:space="preserve"> </w:t>
      </w:r>
      <w:r w:rsidRPr="00730DED">
        <w:t>419–43</w:t>
      </w:r>
      <w:r>
        <w:t xml:space="preserve"> </w:t>
      </w:r>
      <w:r w:rsidRPr="00730DED">
        <w:t>(1983)</w:t>
      </w:r>
      <w:r>
        <w:t xml:space="preserve">; Eugene F. Brigham, </w:t>
      </w:r>
      <w:r w:rsidRPr="006303A7">
        <w:rPr>
          <w:i/>
        </w:rPr>
        <w:t>et al</w:t>
      </w:r>
      <w:r>
        <w:t xml:space="preserve">., “The Risk Premium Approach to Measuring a Utility’s Cost of Equity,” 14 </w:t>
      </w:r>
      <w:r w:rsidRPr="006303A7">
        <w:rPr>
          <w:i/>
        </w:rPr>
        <w:t>Financial Management</w:t>
      </w:r>
      <w:r>
        <w:t xml:space="preserve"> </w:t>
      </w:r>
      <w:r w:rsidRPr="006303A7">
        <w:t>33-45</w:t>
      </w:r>
      <w:r>
        <w:t xml:space="preserve"> (1985); </w:t>
      </w:r>
      <w:r w:rsidRPr="00730DED">
        <w:t>R</w:t>
      </w:r>
      <w:r>
        <w:t>obert S</w:t>
      </w:r>
      <w:r w:rsidRPr="00730DED">
        <w:t xml:space="preserve">. Harris, “Using Analysts' Growth Forecasts to Estimate Shareholder Required Rates of Return,” </w:t>
      </w:r>
      <w:r>
        <w:t>15 </w:t>
      </w:r>
      <w:r w:rsidRPr="00730DED">
        <w:rPr>
          <w:i/>
        </w:rPr>
        <w:t>Financial Management</w:t>
      </w:r>
      <w:r w:rsidRPr="00730DED">
        <w:t xml:space="preserve"> 58–67 (1986)</w:t>
      </w:r>
      <w:r>
        <w:t xml:space="preserve">; </w:t>
      </w:r>
      <w:r w:rsidRPr="006303A7">
        <w:t>Robert</w:t>
      </w:r>
      <w:r>
        <w:t> </w:t>
      </w:r>
      <w:r w:rsidRPr="006303A7">
        <w:t>S. Harris</w:t>
      </w:r>
      <w:r>
        <w:t xml:space="preserve"> &amp; </w:t>
      </w:r>
      <w:r w:rsidRPr="006303A7">
        <w:t>Felicia</w:t>
      </w:r>
      <w:r>
        <w:t> </w:t>
      </w:r>
      <w:r w:rsidRPr="006303A7">
        <w:t>C. Marston</w:t>
      </w:r>
      <w:r>
        <w:t>, “Estimating Shareholder Risk Premia Using Analysts’ Growth Forecasts,” 21 </w:t>
      </w:r>
      <w:r w:rsidRPr="00730DED">
        <w:rPr>
          <w:i/>
        </w:rPr>
        <w:t>Financial Management</w:t>
      </w:r>
      <w:r>
        <w:t xml:space="preserve"> 63-70 (1992); and Farris M. Maddox, </w:t>
      </w:r>
      <w:r w:rsidRPr="00E92A13">
        <w:rPr>
          <w:i/>
        </w:rPr>
        <w:t>et al</w:t>
      </w:r>
      <w:r>
        <w:t>., “An Empirical Study of Ex Ante Risk Premiums for the Electric Utility Industry,” 24 </w:t>
      </w:r>
      <w:r w:rsidRPr="00E92A13">
        <w:rPr>
          <w:i/>
        </w:rPr>
        <w:t>Financial Management</w:t>
      </w:r>
      <w:r>
        <w:t xml:space="preserve"> 89-95 (1995).</w:t>
      </w:r>
    </w:p>
  </w:footnote>
  <w:footnote w:id="100">
    <w:p w:rsidR="00B1034A" w:rsidRDefault="00B1034A">
      <w:pPr>
        <w:pStyle w:val="FootnoteText"/>
      </w:pPr>
      <w:r>
        <w:rPr>
          <w:rStyle w:val="FootnoteReference"/>
        </w:rPr>
        <w:footnoteRef/>
      </w:r>
      <w:r>
        <w:tab/>
        <w:t>Gorman, Exh. MPG-1T, at p</w:t>
      </w:r>
      <w:r w:rsidRPr="00160D91">
        <w:t>age</w:t>
      </w:r>
      <w:r>
        <w:t> </w:t>
      </w:r>
      <w:r w:rsidRPr="00160D91">
        <w:t>30</w:t>
      </w:r>
      <w:r>
        <w:t>,</w:t>
      </w:r>
      <w:r w:rsidRPr="00160D91">
        <w:t xml:space="preserve"> lines</w:t>
      </w:r>
      <w:r>
        <w:t> </w:t>
      </w:r>
      <w:r w:rsidRPr="00160D91">
        <w:t>10-20</w:t>
      </w:r>
      <w:r>
        <w:t>.</w:t>
      </w:r>
    </w:p>
  </w:footnote>
  <w:footnote w:id="101">
    <w:p w:rsidR="00B1034A" w:rsidRPr="000A6D33" w:rsidRDefault="00B1034A" w:rsidP="000A6D33">
      <w:pPr>
        <w:pStyle w:val="FootnoteText"/>
      </w:pPr>
      <w:r>
        <w:rPr>
          <w:rStyle w:val="FootnoteReference"/>
        </w:rPr>
        <w:footnoteRef/>
      </w:r>
      <w:r>
        <w:tab/>
      </w:r>
      <w:r w:rsidRPr="004E11B4">
        <w:rPr>
          <w:i/>
        </w:rPr>
        <w:t>See</w:t>
      </w:r>
      <w:r>
        <w:t xml:space="preserve"> Michael J. Vilbert, </w:t>
      </w:r>
      <w:r w:rsidRPr="004E11B4">
        <w:rPr>
          <w:i/>
        </w:rPr>
        <w:t>et al</w:t>
      </w:r>
      <w:r>
        <w:t xml:space="preserve">., </w:t>
      </w:r>
      <w:r w:rsidRPr="004E11B4">
        <w:rPr>
          <w:szCs w:val="22"/>
        </w:rPr>
        <w:t xml:space="preserve">The Brattle Group, </w:t>
      </w:r>
      <w:r w:rsidRPr="004E11B4">
        <w:rPr>
          <w:i/>
          <w:szCs w:val="22"/>
        </w:rPr>
        <w:t>The Impact of Decoupling on the Cost of Capital: An Empirical Investigation</w:t>
      </w:r>
      <w:r>
        <w:rPr>
          <w:szCs w:val="22"/>
        </w:rPr>
        <w:t xml:space="preserve"> (</w:t>
      </w:r>
      <w:r w:rsidRPr="004E11B4">
        <w:rPr>
          <w:szCs w:val="22"/>
        </w:rPr>
        <w:t>201</w:t>
      </w:r>
      <w:r>
        <w:rPr>
          <w:szCs w:val="22"/>
        </w:rPr>
        <w:t xml:space="preserve">4), available at </w:t>
      </w:r>
      <w:hyperlink r:id="rId2" w:history="1">
        <w:r w:rsidRPr="002F798B">
          <w:rPr>
            <w:rStyle w:val="Hyperlink"/>
            <w:szCs w:val="22"/>
          </w:rPr>
          <w:t>http://www.brattle.com/system/publications/pdfs/000/004/995/original/Effect_of_Electric_Decoupling_on_the_Cost_of_Capital.pdf?1395776507</w:t>
        </w:r>
      </w:hyperlink>
      <w:r w:rsidRPr="004E11B4">
        <w:rPr>
          <w:szCs w:val="22"/>
        </w:rPr>
        <w:t>.</w:t>
      </w:r>
    </w:p>
  </w:footnote>
  <w:footnote w:id="102">
    <w:p w:rsidR="00B1034A" w:rsidRDefault="00B1034A">
      <w:pPr>
        <w:pStyle w:val="FootnoteText"/>
      </w:pPr>
      <w:r>
        <w:rPr>
          <w:rStyle w:val="FootnoteReference"/>
        </w:rPr>
        <w:footnoteRef/>
      </w:r>
      <w:r>
        <w:tab/>
      </w:r>
      <w:r w:rsidRPr="00277916">
        <w:rPr>
          <w:i/>
        </w:rPr>
        <w:t>WUTC v. Puget Sound Energy</w:t>
      </w:r>
      <w:r w:rsidRPr="00277916">
        <w:t>, Dockets</w:t>
      </w:r>
      <w:r>
        <w:t> </w:t>
      </w:r>
      <w:r w:rsidRPr="00277916">
        <w:t>UE-121697</w:t>
      </w:r>
      <w:r>
        <w:t xml:space="preserve">, </w:t>
      </w:r>
      <w:r w:rsidRPr="00277916">
        <w:rPr>
          <w:i/>
        </w:rPr>
        <w:t>et al.</w:t>
      </w:r>
      <w:r>
        <w:t>,</w:t>
      </w:r>
      <w:r w:rsidRPr="00277916">
        <w:t xml:space="preserve"> Order</w:t>
      </w:r>
      <w:r>
        <w:t> </w:t>
      </w:r>
      <w:r w:rsidRPr="00277916">
        <w:t>15</w:t>
      </w:r>
      <w:r>
        <w:t xml:space="preserve"> at</w:t>
      </w:r>
      <w:r w:rsidRPr="00277916">
        <w:t xml:space="preserve"> ¶¶ 155</w:t>
      </w:r>
      <w:r>
        <w:t>-56</w:t>
      </w:r>
      <w:r w:rsidRPr="00277916">
        <w:t xml:space="preserve"> (June</w:t>
      </w:r>
      <w:r>
        <w:t> </w:t>
      </w:r>
      <w:r w:rsidRPr="00277916">
        <w:t>29, 2015).</w:t>
      </w:r>
    </w:p>
  </w:footnote>
  <w:footnote w:id="103">
    <w:p w:rsidR="00B1034A" w:rsidRDefault="00B1034A" w:rsidP="00277916">
      <w:pPr>
        <w:pStyle w:val="FootnoteText"/>
      </w:pPr>
      <w:r>
        <w:rPr>
          <w:rStyle w:val="FootnoteReference"/>
        </w:rPr>
        <w:footnoteRef/>
      </w:r>
      <w:r>
        <w:tab/>
      </w:r>
      <w:r>
        <w:rPr>
          <w:i/>
        </w:rPr>
        <w:t>Id.</w:t>
      </w:r>
      <w:r>
        <w:t xml:space="preserve"> at</w:t>
      </w:r>
      <w:r w:rsidRPr="00277916">
        <w:t xml:space="preserve"> ¶ 15</w:t>
      </w:r>
      <w:r>
        <w:t>0</w:t>
      </w:r>
      <w:r w:rsidRPr="00277916">
        <w:t>.</w:t>
      </w:r>
    </w:p>
  </w:footnote>
  <w:footnote w:id="104">
    <w:p w:rsidR="00B1034A" w:rsidRDefault="00B1034A">
      <w:pPr>
        <w:pStyle w:val="FootnoteText"/>
      </w:pPr>
      <w:r>
        <w:rPr>
          <w:rStyle w:val="FootnoteReference"/>
        </w:rPr>
        <w:footnoteRef/>
      </w:r>
      <w:r>
        <w:tab/>
      </w:r>
      <w:r w:rsidRPr="00224D23">
        <w:t>The truncated mean is obtained by removing the high and low results and the average of the remaining observations.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pPr>
      <w:pStyle w:val="Header"/>
    </w:pPr>
    <w:r>
      <w:rPr>
        <w:noProof/>
        <w:lang w:eastAsia="en-US"/>
      </w:rPr>
      <mc:AlternateContent>
        <mc:Choice Requires="wps">
          <w:drawing>
            <wp:anchor distT="0" distB="0" distL="114300" distR="114300" simplePos="0" relativeHeight="251660288" behindDoc="0" locked="0" layoutInCell="0" allowOverlap="1" wp14:anchorId="1D4ED9C8" wp14:editId="75058254">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4A" w:rsidRDefault="00B1034A">
    <w:pPr>
      <w:pStyle w:val="Header"/>
    </w:pPr>
    <w:r>
      <w:rPr>
        <w:noProof/>
        <w:lang w:eastAsia="en-US"/>
      </w:rPr>
      <mc:AlternateContent>
        <mc:Choice Requires="wps">
          <w:drawing>
            <wp:anchor distT="0" distB="0" distL="114300" distR="114300" simplePos="0" relativeHeight="251662336" behindDoc="0" locked="0" layoutInCell="1" allowOverlap="1" wp14:anchorId="07585AD5" wp14:editId="63A1629C">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0">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63C7BCD"/>
    <w:multiLevelType w:val="hybridMultilevel"/>
    <w:tmpl w:val="F154E1E4"/>
    <w:lvl w:ilvl="0" w:tplc="A77CD75E">
      <w:start w:val="1"/>
      <w:numFmt w:val="decimal"/>
      <w:lvlText w:val="%1."/>
      <w:lvlJc w:val="left"/>
      <w:pPr>
        <w:tabs>
          <w:tab w:val="num" w:pos="540"/>
        </w:tabs>
        <w:ind w:left="612" w:hanging="72"/>
      </w:pPr>
      <w:rPr>
        <w:b/>
        <w:i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4">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7">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8">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9">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B373A0B"/>
    <w:multiLevelType w:val="multilevel"/>
    <w:tmpl w:val="792C2970"/>
    <w:lvl w:ilvl="0">
      <w:start w:val="1"/>
      <w:numFmt w:val="none"/>
      <w:suff w:val="nothing"/>
      <w:lvlText w:val="%1"/>
      <w:lvlJc w:val="left"/>
      <w:pPr>
        <w:ind w:left="576" w:hanging="576"/>
      </w:pPr>
    </w:lvl>
    <w:lvl w:ilvl="1">
      <w:start w:val="1"/>
      <w:numFmt w:val="decimal"/>
      <w:lvlText w:val="%2)"/>
      <w:lvlJc w:val="left"/>
      <w:pPr>
        <w:tabs>
          <w:tab w:val="num" w:pos="936"/>
        </w:tabs>
        <w:ind w:left="936" w:hanging="360"/>
      </w:pPr>
    </w:lvl>
    <w:lvl w:ilvl="2">
      <w:start w:val="1"/>
      <w:numFmt w:val="lowerLetter"/>
      <w:lvlText w:val="%3)"/>
      <w:lvlJc w:val="left"/>
      <w:pPr>
        <w:tabs>
          <w:tab w:val="num" w:pos="1296"/>
        </w:tabs>
        <w:ind w:left="1296" w:hanging="360"/>
      </w:pPr>
    </w:lvl>
    <w:lvl w:ilvl="3">
      <w:start w:val="1"/>
      <w:numFmt w:val="lowerRoman"/>
      <w:lvlText w:val="%4)"/>
      <w:lvlJc w:val="left"/>
      <w:pPr>
        <w:tabs>
          <w:tab w:val="num" w:pos="2016"/>
        </w:tabs>
        <w:ind w:left="1656" w:hanging="360"/>
      </w:pPr>
    </w:lvl>
    <w:lvl w:ilvl="4">
      <w:start w:val="1"/>
      <w:numFmt w:val="decimal"/>
      <w:lvlText w:val="(%5)"/>
      <w:lvlJc w:val="left"/>
      <w:pPr>
        <w:tabs>
          <w:tab w:val="num" w:pos="2376"/>
        </w:tabs>
        <w:ind w:left="2016" w:hanging="360"/>
      </w:pPr>
    </w:lvl>
    <w:lvl w:ilvl="5">
      <w:start w:val="1"/>
      <w:numFmt w:val="lowerLetter"/>
      <w:lvlText w:val="(%6)"/>
      <w:lvlJc w:val="left"/>
      <w:pPr>
        <w:tabs>
          <w:tab w:val="num" w:pos="2736"/>
        </w:tabs>
        <w:ind w:left="2376" w:hanging="360"/>
      </w:pPr>
    </w:lvl>
    <w:lvl w:ilvl="6">
      <w:start w:val="1"/>
      <w:numFmt w:val="lowerRoman"/>
      <w:lvlText w:val="(%7)"/>
      <w:lvlJc w:val="left"/>
      <w:pPr>
        <w:tabs>
          <w:tab w:val="num" w:pos="3456"/>
        </w:tabs>
        <w:ind w:left="2736" w:hanging="360"/>
      </w:pPr>
    </w:lvl>
    <w:lvl w:ilvl="7">
      <w:start w:val="1"/>
      <w:numFmt w:val="decimal"/>
      <w:lvlText w:val="%8."/>
      <w:lvlJc w:val="left"/>
      <w:pPr>
        <w:tabs>
          <w:tab w:val="num" w:pos="3096"/>
        </w:tabs>
        <w:ind w:left="3096" w:hanging="360"/>
      </w:pPr>
    </w:lvl>
    <w:lvl w:ilvl="8">
      <w:start w:val="1"/>
      <w:numFmt w:val="lowerLetter"/>
      <w:lvlText w:val="%9."/>
      <w:lvlJc w:val="left"/>
      <w:pPr>
        <w:tabs>
          <w:tab w:val="num" w:pos="3456"/>
        </w:tabs>
        <w:ind w:left="3456" w:hanging="360"/>
      </w:pPr>
    </w:lvl>
  </w:abstractNum>
  <w:abstractNum w:abstractNumId="4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0"/>
  </w:num>
  <w:num w:numId="13">
    <w:abstractNumId w:val="38"/>
  </w:num>
  <w:num w:numId="14">
    <w:abstractNumId w:val="23"/>
  </w:num>
  <w:num w:numId="15">
    <w:abstractNumId w:val="33"/>
  </w:num>
  <w:num w:numId="16">
    <w:abstractNumId w:val="36"/>
  </w:num>
  <w:num w:numId="17">
    <w:abstractNumId w:val="40"/>
  </w:num>
  <w:num w:numId="18">
    <w:abstractNumId w:val="26"/>
  </w:num>
  <w:num w:numId="19">
    <w:abstractNumId w:val="42"/>
  </w:num>
  <w:num w:numId="20">
    <w:abstractNumId w:val="29"/>
  </w:num>
  <w:num w:numId="21">
    <w:abstractNumId w:val="32"/>
  </w:num>
  <w:num w:numId="22">
    <w:abstractNumId w:val="17"/>
  </w:num>
  <w:num w:numId="23">
    <w:abstractNumId w:val="15"/>
  </w:num>
  <w:num w:numId="24">
    <w:abstractNumId w:val="21"/>
  </w:num>
  <w:num w:numId="25">
    <w:abstractNumId w:val="19"/>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7"/>
  </w:num>
  <w:num w:numId="30">
    <w:abstractNumId w:val="12"/>
  </w:num>
  <w:num w:numId="31">
    <w:abstractNumId w:val="24"/>
  </w:num>
  <w:num w:numId="32">
    <w:abstractNumId w:val="28"/>
  </w:num>
  <w:num w:numId="33">
    <w:abstractNumId w:val="22"/>
  </w:num>
  <w:num w:numId="34">
    <w:abstractNumId w:val="11"/>
  </w:num>
  <w:num w:numId="35">
    <w:abstractNumId w:val="13"/>
  </w:num>
  <w:num w:numId="36">
    <w:abstractNumId w:val="14"/>
  </w:num>
  <w:num w:numId="37">
    <w:abstractNumId w:val="35"/>
  </w:num>
  <w:num w:numId="38">
    <w:abstractNumId w:val="25"/>
  </w:num>
  <w:num w:numId="39">
    <w:abstractNumId w:val="18"/>
  </w:num>
  <w:num w:numId="40">
    <w:abstractNumId w:val="20"/>
  </w:num>
  <w:num w:numId="41">
    <w:abstractNumId w:val="3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45/136067368.3"/>
    <w:docVar w:name="MPDocIDTemplate" w:val="%c-|%m/|%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12F"/>
    <w:rsid w:val="00011F34"/>
    <w:rsid w:val="00012170"/>
    <w:rsid w:val="00012CC9"/>
    <w:rsid w:val="000139D8"/>
    <w:rsid w:val="000166B1"/>
    <w:rsid w:val="00017DB9"/>
    <w:rsid w:val="00020C64"/>
    <w:rsid w:val="00020F60"/>
    <w:rsid w:val="0002256A"/>
    <w:rsid w:val="0002428B"/>
    <w:rsid w:val="00024ADC"/>
    <w:rsid w:val="000251EE"/>
    <w:rsid w:val="0003005E"/>
    <w:rsid w:val="00031B05"/>
    <w:rsid w:val="00032928"/>
    <w:rsid w:val="00032B65"/>
    <w:rsid w:val="00032BAE"/>
    <w:rsid w:val="000334C5"/>
    <w:rsid w:val="0003603B"/>
    <w:rsid w:val="000373BB"/>
    <w:rsid w:val="00037CE8"/>
    <w:rsid w:val="00040032"/>
    <w:rsid w:val="00040E73"/>
    <w:rsid w:val="00041701"/>
    <w:rsid w:val="000425A2"/>
    <w:rsid w:val="00043BF2"/>
    <w:rsid w:val="00044F9A"/>
    <w:rsid w:val="000456B9"/>
    <w:rsid w:val="000458B0"/>
    <w:rsid w:val="000460D8"/>
    <w:rsid w:val="0004727F"/>
    <w:rsid w:val="0005073B"/>
    <w:rsid w:val="00051008"/>
    <w:rsid w:val="000528F5"/>
    <w:rsid w:val="00052A37"/>
    <w:rsid w:val="00053B7F"/>
    <w:rsid w:val="00054C6A"/>
    <w:rsid w:val="00054CEF"/>
    <w:rsid w:val="00055FFA"/>
    <w:rsid w:val="00057091"/>
    <w:rsid w:val="00057AE7"/>
    <w:rsid w:val="00057C3E"/>
    <w:rsid w:val="00060493"/>
    <w:rsid w:val="0006223E"/>
    <w:rsid w:val="000623F4"/>
    <w:rsid w:val="00063680"/>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69E2"/>
    <w:rsid w:val="000A0290"/>
    <w:rsid w:val="000A0F0E"/>
    <w:rsid w:val="000A4ADD"/>
    <w:rsid w:val="000A56A7"/>
    <w:rsid w:val="000A6D33"/>
    <w:rsid w:val="000A7131"/>
    <w:rsid w:val="000A7CDF"/>
    <w:rsid w:val="000A7F0F"/>
    <w:rsid w:val="000A7F6A"/>
    <w:rsid w:val="000B068C"/>
    <w:rsid w:val="000B18E9"/>
    <w:rsid w:val="000B1EA2"/>
    <w:rsid w:val="000B38BF"/>
    <w:rsid w:val="000B3FB1"/>
    <w:rsid w:val="000B547D"/>
    <w:rsid w:val="000B6388"/>
    <w:rsid w:val="000B64A3"/>
    <w:rsid w:val="000B6B59"/>
    <w:rsid w:val="000B6D9B"/>
    <w:rsid w:val="000B6DD9"/>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52F"/>
    <w:rsid w:val="000F0D40"/>
    <w:rsid w:val="000F23B3"/>
    <w:rsid w:val="000F31BD"/>
    <w:rsid w:val="000F37FB"/>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47D"/>
    <w:rsid w:val="00113B9D"/>
    <w:rsid w:val="00113E20"/>
    <w:rsid w:val="00114B5C"/>
    <w:rsid w:val="00115F53"/>
    <w:rsid w:val="00116B8D"/>
    <w:rsid w:val="00116CF5"/>
    <w:rsid w:val="0012055A"/>
    <w:rsid w:val="001222A4"/>
    <w:rsid w:val="001227D6"/>
    <w:rsid w:val="001235E4"/>
    <w:rsid w:val="001248E8"/>
    <w:rsid w:val="001250DB"/>
    <w:rsid w:val="00125292"/>
    <w:rsid w:val="00126228"/>
    <w:rsid w:val="00127342"/>
    <w:rsid w:val="001310AA"/>
    <w:rsid w:val="001314A8"/>
    <w:rsid w:val="0013195B"/>
    <w:rsid w:val="00131B28"/>
    <w:rsid w:val="00132447"/>
    <w:rsid w:val="00133922"/>
    <w:rsid w:val="0013586D"/>
    <w:rsid w:val="0013679C"/>
    <w:rsid w:val="00137615"/>
    <w:rsid w:val="00140580"/>
    <w:rsid w:val="00140EC8"/>
    <w:rsid w:val="00141044"/>
    <w:rsid w:val="001417A7"/>
    <w:rsid w:val="00141820"/>
    <w:rsid w:val="00141A46"/>
    <w:rsid w:val="00142532"/>
    <w:rsid w:val="001433AA"/>
    <w:rsid w:val="00143E87"/>
    <w:rsid w:val="0014601B"/>
    <w:rsid w:val="00146EDB"/>
    <w:rsid w:val="001479BB"/>
    <w:rsid w:val="0015009B"/>
    <w:rsid w:val="001507AA"/>
    <w:rsid w:val="00150B43"/>
    <w:rsid w:val="00151400"/>
    <w:rsid w:val="00151E68"/>
    <w:rsid w:val="001527E4"/>
    <w:rsid w:val="001530C6"/>
    <w:rsid w:val="001533D3"/>
    <w:rsid w:val="00153529"/>
    <w:rsid w:val="00155A5E"/>
    <w:rsid w:val="00155ABF"/>
    <w:rsid w:val="001578FF"/>
    <w:rsid w:val="001603DB"/>
    <w:rsid w:val="00160D91"/>
    <w:rsid w:val="0016182B"/>
    <w:rsid w:val="00161845"/>
    <w:rsid w:val="00163F6E"/>
    <w:rsid w:val="0016430B"/>
    <w:rsid w:val="001654AE"/>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1B59"/>
    <w:rsid w:val="00182226"/>
    <w:rsid w:val="00182C81"/>
    <w:rsid w:val="00183093"/>
    <w:rsid w:val="00184D5A"/>
    <w:rsid w:val="00185C17"/>
    <w:rsid w:val="00185D01"/>
    <w:rsid w:val="001919C4"/>
    <w:rsid w:val="00192832"/>
    <w:rsid w:val="00192868"/>
    <w:rsid w:val="00192D72"/>
    <w:rsid w:val="00193433"/>
    <w:rsid w:val="001936DE"/>
    <w:rsid w:val="00193FEC"/>
    <w:rsid w:val="0019637E"/>
    <w:rsid w:val="00196CB7"/>
    <w:rsid w:val="00196FCA"/>
    <w:rsid w:val="00197232"/>
    <w:rsid w:val="00197652"/>
    <w:rsid w:val="00197984"/>
    <w:rsid w:val="001A1529"/>
    <w:rsid w:val="001A2510"/>
    <w:rsid w:val="001A2DBE"/>
    <w:rsid w:val="001A4255"/>
    <w:rsid w:val="001A4458"/>
    <w:rsid w:val="001A4A08"/>
    <w:rsid w:val="001A66B6"/>
    <w:rsid w:val="001A7397"/>
    <w:rsid w:val="001B05DD"/>
    <w:rsid w:val="001B0F21"/>
    <w:rsid w:val="001B163F"/>
    <w:rsid w:val="001B1B6E"/>
    <w:rsid w:val="001B22FA"/>
    <w:rsid w:val="001B4051"/>
    <w:rsid w:val="001B4343"/>
    <w:rsid w:val="001B61DF"/>
    <w:rsid w:val="001B7283"/>
    <w:rsid w:val="001B79BF"/>
    <w:rsid w:val="001B79DB"/>
    <w:rsid w:val="001C097C"/>
    <w:rsid w:val="001C1757"/>
    <w:rsid w:val="001C2894"/>
    <w:rsid w:val="001C5CAF"/>
    <w:rsid w:val="001C6AB4"/>
    <w:rsid w:val="001C7603"/>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313C"/>
    <w:rsid w:val="001F7858"/>
    <w:rsid w:val="002015A5"/>
    <w:rsid w:val="00201995"/>
    <w:rsid w:val="00202C2B"/>
    <w:rsid w:val="00203289"/>
    <w:rsid w:val="00204D0F"/>
    <w:rsid w:val="00206603"/>
    <w:rsid w:val="00206F0F"/>
    <w:rsid w:val="00210AF9"/>
    <w:rsid w:val="00210FD3"/>
    <w:rsid w:val="002111FC"/>
    <w:rsid w:val="0021264C"/>
    <w:rsid w:val="00216FBF"/>
    <w:rsid w:val="002176C8"/>
    <w:rsid w:val="00217738"/>
    <w:rsid w:val="002200C5"/>
    <w:rsid w:val="00220BA5"/>
    <w:rsid w:val="0022127D"/>
    <w:rsid w:val="00221CB5"/>
    <w:rsid w:val="00221D00"/>
    <w:rsid w:val="002225DC"/>
    <w:rsid w:val="00222C36"/>
    <w:rsid w:val="00224D23"/>
    <w:rsid w:val="0022574D"/>
    <w:rsid w:val="00226681"/>
    <w:rsid w:val="002272F9"/>
    <w:rsid w:val="00227B90"/>
    <w:rsid w:val="00235E91"/>
    <w:rsid w:val="002366CD"/>
    <w:rsid w:val="002370A7"/>
    <w:rsid w:val="00237BC7"/>
    <w:rsid w:val="00237DAF"/>
    <w:rsid w:val="0024042B"/>
    <w:rsid w:val="0024046C"/>
    <w:rsid w:val="00240D91"/>
    <w:rsid w:val="0024173A"/>
    <w:rsid w:val="002423F8"/>
    <w:rsid w:val="00242803"/>
    <w:rsid w:val="00242F00"/>
    <w:rsid w:val="002439A7"/>
    <w:rsid w:val="00243C0C"/>
    <w:rsid w:val="00243D81"/>
    <w:rsid w:val="0024414E"/>
    <w:rsid w:val="0024699F"/>
    <w:rsid w:val="002503F1"/>
    <w:rsid w:val="00250A52"/>
    <w:rsid w:val="002514AA"/>
    <w:rsid w:val="0025348F"/>
    <w:rsid w:val="00253A60"/>
    <w:rsid w:val="00253D38"/>
    <w:rsid w:val="0025416C"/>
    <w:rsid w:val="0025541B"/>
    <w:rsid w:val="002555BD"/>
    <w:rsid w:val="00255659"/>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7022C"/>
    <w:rsid w:val="00271076"/>
    <w:rsid w:val="00271C28"/>
    <w:rsid w:val="00272458"/>
    <w:rsid w:val="002727F1"/>
    <w:rsid w:val="002747B0"/>
    <w:rsid w:val="002758F7"/>
    <w:rsid w:val="002776EB"/>
    <w:rsid w:val="00277916"/>
    <w:rsid w:val="0028002A"/>
    <w:rsid w:val="00281869"/>
    <w:rsid w:val="00281FB1"/>
    <w:rsid w:val="00282FFC"/>
    <w:rsid w:val="00284894"/>
    <w:rsid w:val="00285457"/>
    <w:rsid w:val="00285588"/>
    <w:rsid w:val="00287C5A"/>
    <w:rsid w:val="00287F1B"/>
    <w:rsid w:val="00290409"/>
    <w:rsid w:val="002909F6"/>
    <w:rsid w:val="00290A9F"/>
    <w:rsid w:val="00291BD1"/>
    <w:rsid w:val="00291DF5"/>
    <w:rsid w:val="00292DA1"/>
    <w:rsid w:val="00292FA1"/>
    <w:rsid w:val="00296A6A"/>
    <w:rsid w:val="00296C41"/>
    <w:rsid w:val="00297CE7"/>
    <w:rsid w:val="002A0971"/>
    <w:rsid w:val="002A11DF"/>
    <w:rsid w:val="002A134B"/>
    <w:rsid w:val="002A192D"/>
    <w:rsid w:val="002A1CC8"/>
    <w:rsid w:val="002A2592"/>
    <w:rsid w:val="002A2B26"/>
    <w:rsid w:val="002A5324"/>
    <w:rsid w:val="002A6C1E"/>
    <w:rsid w:val="002A71E3"/>
    <w:rsid w:val="002A728C"/>
    <w:rsid w:val="002B0674"/>
    <w:rsid w:val="002B078A"/>
    <w:rsid w:val="002B19A0"/>
    <w:rsid w:val="002B1D5B"/>
    <w:rsid w:val="002B1EA5"/>
    <w:rsid w:val="002B3D07"/>
    <w:rsid w:val="002B3F2B"/>
    <w:rsid w:val="002B45F5"/>
    <w:rsid w:val="002B7714"/>
    <w:rsid w:val="002C091A"/>
    <w:rsid w:val="002C2BE4"/>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5518"/>
    <w:rsid w:val="002E6F7D"/>
    <w:rsid w:val="002F0199"/>
    <w:rsid w:val="002F0FE8"/>
    <w:rsid w:val="002F4BC1"/>
    <w:rsid w:val="002F4CD2"/>
    <w:rsid w:val="002F6E18"/>
    <w:rsid w:val="002F706F"/>
    <w:rsid w:val="002F77A9"/>
    <w:rsid w:val="002F7A4E"/>
    <w:rsid w:val="002F7C7C"/>
    <w:rsid w:val="00300996"/>
    <w:rsid w:val="0030150A"/>
    <w:rsid w:val="00301A6C"/>
    <w:rsid w:val="00302D0C"/>
    <w:rsid w:val="00302E7A"/>
    <w:rsid w:val="00304BA0"/>
    <w:rsid w:val="0030575E"/>
    <w:rsid w:val="00306F7C"/>
    <w:rsid w:val="0030775B"/>
    <w:rsid w:val="00307CD6"/>
    <w:rsid w:val="00311821"/>
    <w:rsid w:val="00312B40"/>
    <w:rsid w:val="00313E52"/>
    <w:rsid w:val="003148A2"/>
    <w:rsid w:val="003150B6"/>
    <w:rsid w:val="00315629"/>
    <w:rsid w:val="00317739"/>
    <w:rsid w:val="00320E4F"/>
    <w:rsid w:val="00320F41"/>
    <w:rsid w:val="0032154D"/>
    <w:rsid w:val="00322395"/>
    <w:rsid w:val="00322508"/>
    <w:rsid w:val="00322CA7"/>
    <w:rsid w:val="003239D7"/>
    <w:rsid w:val="003244A3"/>
    <w:rsid w:val="003244FC"/>
    <w:rsid w:val="00325B31"/>
    <w:rsid w:val="00325CC4"/>
    <w:rsid w:val="0032685E"/>
    <w:rsid w:val="0032688C"/>
    <w:rsid w:val="00326E7E"/>
    <w:rsid w:val="003303D4"/>
    <w:rsid w:val="00330580"/>
    <w:rsid w:val="0033255F"/>
    <w:rsid w:val="003325A3"/>
    <w:rsid w:val="0033262E"/>
    <w:rsid w:val="00332A3D"/>
    <w:rsid w:val="00332EF1"/>
    <w:rsid w:val="00335F02"/>
    <w:rsid w:val="003360EB"/>
    <w:rsid w:val="0033664C"/>
    <w:rsid w:val="00336842"/>
    <w:rsid w:val="003375D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F79"/>
    <w:rsid w:val="00373813"/>
    <w:rsid w:val="00373D78"/>
    <w:rsid w:val="0037404C"/>
    <w:rsid w:val="00380B7D"/>
    <w:rsid w:val="0038156A"/>
    <w:rsid w:val="0038164D"/>
    <w:rsid w:val="00382131"/>
    <w:rsid w:val="00382C51"/>
    <w:rsid w:val="00384C18"/>
    <w:rsid w:val="00385174"/>
    <w:rsid w:val="003854E8"/>
    <w:rsid w:val="0038685C"/>
    <w:rsid w:val="003870D3"/>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4F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CFA"/>
    <w:rsid w:val="003C6E2B"/>
    <w:rsid w:val="003C7909"/>
    <w:rsid w:val="003D03FF"/>
    <w:rsid w:val="003D094A"/>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42F6"/>
    <w:rsid w:val="0041507C"/>
    <w:rsid w:val="00415C8D"/>
    <w:rsid w:val="00416515"/>
    <w:rsid w:val="00417494"/>
    <w:rsid w:val="00420933"/>
    <w:rsid w:val="00421117"/>
    <w:rsid w:val="00421783"/>
    <w:rsid w:val="00421A4E"/>
    <w:rsid w:val="00421CCB"/>
    <w:rsid w:val="00421D6D"/>
    <w:rsid w:val="004233FB"/>
    <w:rsid w:val="0042344B"/>
    <w:rsid w:val="00423A55"/>
    <w:rsid w:val="0042489F"/>
    <w:rsid w:val="004266CA"/>
    <w:rsid w:val="0042791E"/>
    <w:rsid w:val="004306BC"/>
    <w:rsid w:val="00430D30"/>
    <w:rsid w:val="00430D80"/>
    <w:rsid w:val="00431BED"/>
    <w:rsid w:val="0043239C"/>
    <w:rsid w:val="00432B60"/>
    <w:rsid w:val="0043326F"/>
    <w:rsid w:val="0043332D"/>
    <w:rsid w:val="00433619"/>
    <w:rsid w:val="0043396E"/>
    <w:rsid w:val="00433CB2"/>
    <w:rsid w:val="00433CD9"/>
    <w:rsid w:val="00433FA7"/>
    <w:rsid w:val="00434515"/>
    <w:rsid w:val="00434529"/>
    <w:rsid w:val="004347A0"/>
    <w:rsid w:val="00434BDA"/>
    <w:rsid w:val="0043516D"/>
    <w:rsid w:val="004363AE"/>
    <w:rsid w:val="00436552"/>
    <w:rsid w:val="00440346"/>
    <w:rsid w:val="0044097A"/>
    <w:rsid w:val="00442BDB"/>
    <w:rsid w:val="00443378"/>
    <w:rsid w:val="00443445"/>
    <w:rsid w:val="004441C3"/>
    <w:rsid w:val="00445291"/>
    <w:rsid w:val="00447147"/>
    <w:rsid w:val="004479B6"/>
    <w:rsid w:val="0045217A"/>
    <w:rsid w:val="00452684"/>
    <w:rsid w:val="0045302F"/>
    <w:rsid w:val="00453706"/>
    <w:rsid w:val="0045400D"/>
    <w:rsid w:val="00454484"/>
    <w:rsid w:val="00455FB0"/>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CB4"/>
    <w:rsid w:val="004744C1"/>
    <w:rsid w:val="00474F45"/>
    <w:rsid w:val="004758A2"/>
    <w:rsid w:val="00476A1F"/>
    <w:rsid w:val="00477024"/>
    <w:rsid w:val="00480054"/>
    <w:rsid w:val="004807DC"/>
    <w:rsid w:val="00480BEE"/>
    <w:rsid w:val="00480DFA"/>
    <w:rsid w:val="004818C2"/>
    <w:rsid w:val="0048269E"/>
    <w:rsid w:val="0048295A"/>
    <w:rsid w:val="00482CE9"/>
    <w:rsid w:val="004837B4"/>
    <w:rsid w:val="00484125"/>
    <w:rsid w:val="004847D0"/>
    <w:rsid w:val="00486844"/>
    <w:rsid w:val="00486E5B"/>
    <w:rsid w:val="00486F8C"/>
    <w:rsid w:val="00490281"/>
    <w:rsid w:val="00491882"/>
    <w:rsid w:val="004949C9"/>
    <w:rsid w:val="00494CF7"/>
    <w:rsid w:val="0049768D"/>
    <w:rsid w:val="00497C3C"/>
    <w:rsid w:val="004A1256"/>
    <w:rsid w:val="004A1BA4"/>
    <w:rsid w:val="004A1F3B"/>
    <w:rsid w:val="004A36C8"/>
    <w:rsid w:val="004A390A"/>
    <w:rsid w:val="004A45F4"/>
    <w:rsid w:val="004A4D0C"/>
    <w:rsid w:val="004A636A"/>
    <w:rsid w:val="004A694E"/>
    <w:rsid w:val="004A75AA"/>
    <w:rsid w:val="004A78E3"/>
    <w:rsid w:val="004B0A53"/>
    <w:rsid w:val="004B3487"/>
    <w:rsid w:val="004B3E9E"/>
    <w:rsid w:val="004B4939"/>
    <w:rsid w:val="004B4B95"/>
    <w:rsid w:val="004B6069"/>
    <w:rsid w:val="004B62CF"/>
    <w:rsid w:val="004B701F"/>
    <w:rsid w:val="004C03EA"/>
    <w:rsid w:val="004C05B4"/>
    <w:rsid w:val="004C09FD"/>
    <w:rsid w:val="004C0B6D"/>
    <w:rsid w:val="004C168F"/>
    <w:rsid w:val="004C16E8"/>
    <w:rsid w:val="004C170F"/>
    <w:rsid w:val="004C2A9D"/>
    <w:rsid w:val="004C3E5A"/>
    <w:rsid w:val="004C4A2E"/>
    <w:rsid w:val="004C638F"/>
    <w:rsid w:val="004C6641"/>
    <w:rsid w:val="004C69B5"/>
    <w:rsid w:val="004C6CED"/>
    <w:rsid w:val="004C71E1"/>
    <w:rsid w:val="004D03B3"/>
    <w:rsid w:val="004D1343"/>
    <w:rsid w:val="004D1F15"/>
    <w:rsid w:val="004D2851"/>
    <w:rsid w:val="004D2A90"/>
    <w:rsid w:val="004D3D21"/>
    <w:rsid w:val="004D400A"/>
    <w:rsid w:val="004D4861"/>
    <w:rsid w:val="004D4984"/>
    <w:rsid w:val="004D4B77"/>
    <w:rsid w:val="004D4DCA"/>
    <w:rsid w:val="004D5B37"/>
    <w:rsid w:val="004D7505"/>
    <w:rsid w:val="004D7A7F"/>
    <w:rsid w:val="004E01A2"/>
    <w:rsid w:val="004E0DE1"/>
    <w:rsid w:val="004E11B4"/>
    <w:rsid w:val="004E1648"/>
    <w:rsid w:val="004E17E1"/>
    <w:rsid w:val="004E1E18"/>
    <w:rsid w:val="004E2C82"/>
    <w:rsid w:val="004E36E2"/>
    <w:rsid w:val="004E4D21"/>
    <w:rsid w:val="004E5469"/>
    <w:rsid w:val="004E5E66"/>
    <w:rsid w:val="004E65AF"/>
    <w:rsid w:val="004F0344"/>
    <w:rsid w:val="004F11E5"/>
    <w:rsid w:val="004F1C95"/>
    <w:rsid w:val="004F25CC"/>
    <w:rsid w:val="004F272B"/>
    <w:rsid w:val="004F42E7"/>
    <w:rsid w:val="004F50A3"/>
    <w:rsid w:val="004F55BA"/>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646"/>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A76"/>
    <w:rsid w:val="00540E13"/>
    <w:rsid w:val="00541AB6"/>
    <w:rsid w:val="0054222F"/>
    <w:rsid w:val="0054244E"/>
    <w:rsid w:val="005447C6"/>
    <w:rsid w:val="005448D9"/>
    <w:rsid w:val="00545293"/>
    <w:rsid w:val="005454BD"/>
    <w:rsid w:val="00545CA3"/>
    <w:rsid w:val="005468D3"/>
    <w:rsid w:val="0054761B"/>
    <w:rsid w:val="00550EF4"/>
    <w:rsid w:val="00550F70"/>
    <w:rsid w:val="00551C94"/>
    <w:rsid w:val="00552EF6"/>
    <w:rsid w:val="00553157"/>
    <w:rsid w:val="00553D39"/>
    <w:rsid w:val="00553E43"/>
    <w:rsid w:val="00554649"/>
    <w:rsid w:val="00554CEB"/>
    <w:rsid w:val="005557AF"/>
    <w:rsid w:val="00556755"/>
    <w:rsid w:val="00556802"/>
    <w:rsid w:val="00556BD8"/>
    <w:rsid w:val="00557A1F"/>
    <w:rsid w:val="00557FF3"/>
    <w:rsid w:val="00560BDC"/>
    <w:rsid w:val="0056302F"/>
    <w:rsid w:val="00563CE2"/>
    <w:rsid w:val="00564239"/>
    <w:rsid w:val="005642B7"/>
    <w:rsid w:val="00564563"/>
    <w:rsid w:val="005651E0"/>
    <w:rsid w:val="00565A01"/>
    <w:rsid w:val="005661BE"/>
    <w:rsid w:val="005665C3"/>
    <w:rsid w:val="00566656"/>
    <w:rsid w:val="00566D9B"/>
    <w:rsid w:val="005675B2"/>
    <w:rsid w:val="0057057E"/>
    <w:rsid w:val="005707A6"/>
    <w:rsid w:val="00571AEF"/>
    <w:rsid w:val="00571D94"/>
    <w:rsid w:val="00571F90"/>
    <w:rsid w:val="00572193"/>
    <w:rsid w:val="00572594"/>
    <w:rsid w:val="0057278B"/>
    <w:rsid w:val="00572A1B"/>
    <w:rsid w:val="00572DD7"/>
    <w:rsid w:val="00573849"/>
    <w:rsid w:val="00573DFB"/>
    <w:rsid w:val="005775FE"/>
    <w:rsid w:val="005809F6"/>
    <w:rsid w:val="00585BB2"/>
    <w:rsid w:val="00586948"/>
    <w:rsid w:val="00587372"/>
    <w:rsid w:val="0058766E"/>
    <w:rsid w:val="005879F2"/>
    <w:rsid w:val="00587E33"/>
    <w:rsid w:val="00591A61"/>
    <w:rsid w:val="00592134"/>
    <w:rsid w:val="00592351"/>
    <w:rsid w:val="00592472"/>
    <w:rsid w:val="00592644"/>
    <w:rsid w:val="00592D78"/>
    <w:rsid w:val="0059465D"/>
    <w:rsid w:val="00596396"/>
    <w:rsid w:val="005965C6"/>
    <w:rsid w:val="00597808"/>
    <w:rsid w:val="005979E2"/>
    <w:rsid w:val="005A0B57"/>
    <w:rsid w:val="005A155A"/>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090"/>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5262"/>
    <w:rsid w:val="005D6946"/>
    <w:rsid w:val="005D7148"/>
    <w:rsid w:val="005D7606"/>
    <w:rsid w:val="005D78A6"/>
    <w:rsid w:val="005D7C82"/>
    <w:rsid w:val="005E09DF"/>
    <w:rsid w:val="005E0C3F"/>
    <w:rsid w:val="005E1BF9"/>
    <w:rsid w:val="005E2C8E"/>
    <w:rsid w:val="005E30B2"/>
    <w:rsid w:val="005E3624"/>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37DB"/>
    <w:rsid w:val="00603A47"/>
    <w:rsid w:val="00605756"/>
    <w:rsid w:val="006060D0"/>
    <w:rsid w:val="006065BA"/>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612"/>
    <w:rsid w:val="00621388"/>
    <w:rsid w:val="006219C1"/>
    <w:rsid w:val="00621A32"/>
    <w:rsid w:val="00621F71"/>
    <w:rsid w:val="00622E2B"/>
    <w:rsid w:val="00623EAD"/>
    <w:rsid w:val="00624398"/>
    <w:rsid w:val="006254D3"/>
    <w:rsid w:val="00630315"/>
    <w:rsid w:val="006303A7"/>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50CC9"/>
    <w:rsid w:val="006511CF"/>
    <w:rsid w:val="00652B25"/>
    <w:rsid w:val="00652CDE"/>
    <w:rsid w:val="00653664"/>
    <w:rsid w:val="0065388B"/>
    <w:rsid w:val="00653E0A"/>
    <w:rsid w:val="00655A63"/>
    <w:rsid w:val="00655E60"/>
    <w:rsid w:val="00657F91"/>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61CC"/>
    <w:rsid w:val="0067782C"/>
    <w:rsid w:val="006806DF"/>
    <w:rsid w:val="00680A76"/>
    <w:rsid w:val="006811D1"/>
    <w:rsid w:val="006819F1"/>
    <w:rsid w:val="00681AF1"/>
    <w:rsid w:val="00681E92"/>
    <w:rsid w:val="00683198"/>
    <w:rsid w:val="006863FB"/>
    <w:rsid w:val="006868DE"/>
    <w:rsid w:val="006871DF"/>
    <w:rsid w:val="0068740D"/>
    <w:rsid w:val="006874DF"/>
    <w:rsid w:val="00687B3E"/>
    <w:rsid w:val="00687BB4"/>
    <w:rsid w:val="006936D1"/>
    <w:rsid w:val="00693729"/>
    <w:rsid w:val="00693C4C"/>
    <w:rsid w:val="00693C60"/>
    <w:rsid w:val="0069502F"/>
    <w:rsid w:val="00696255"/>
    <w:rsid w:val="006963A5"/>
    <w:rsid w:val="006971DB"/>
    <w:rsid w:val="00697BE3"/>
    <w:rsid w:val="006A01EE"/>
    <w:rsid w:val="006A192F"/>
    <w:rsid w:val="006A262E"/>
    <w:rsid w:val="006A2A87"/>
    <w:rsid w:val="006A31F3"/>
    <w:rsid w:val="006A36EB"/>
    <w:rsid w:val="006A3DBA"/>
    <w:rsid w:val="006A5744"/>
    <w:rsid w:val="006A716E"/>
    <w:rsid w:val="006A74F5"/>
    <w:rsid w:val="006A7DEB"/>
    <w:rsid w:val="006A7F43"/>
    <w:rsid w:val="006B0268"/>
    <w:rsid w:val="006B146E"/>
    <w:rsid w:val="006B16C0"/>
    <w:rsid w:val="006B2755"/>
    <w:rsid w:val="006B40A8"/>
    <w:rsid w:val="006B4712"/>
    <w:rsid w:val="006B50D3"/>
    <w:rsid w:val="006B5168"/>
    <w:rsid w:val="006B5757"/>
    <w:rsid w:val="006B79D5"/>
    <w:rsid w:val="006C03DD"/>
    <w:rsid w:val="006C15B5"/>
    <w:rsid w:val="006C1BFE"/>
    <w:rsid w:val="006C25C2"/>
    <w:rsid w:val="006C2AE1"/>
    <w:rsid w:val="006C2ED2"/>
    <w:rsid w:val="006C3EAD"/>
    <w:rsid w:val="006C4F89"/>
    <w:rsid w:val="006C793A"/>
    <w:rsid w:val="006D065D"/>
    <w:rsid w:val="006D07F2"/>
    <w:rsid w:val="006D478A"/>
    <w:rsid w:val="006D48DF"/>
    <w:rsid w:val="006D5D2B"/>
    <w:rsid w:val="006D6D2C"/>
    <w:rsid w:val="006D7CE4"/>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7F0"/>
    <w:rsid w:val="00702DE7"/>
    <w:rsid w:val="00702F60"/>
    <w:rsid w:val="00704232"/>
    <w:rsid w:val="00704B71"/>
    <w:rsid w:val="007068E6"/>
    <w:rsid w:val="00706B06"/>
    <w:rsid w:val="007112A2"/>
    <w:rsid w:val="00711ECD"/>
    <w:rsid w:val="00711F8C"/>
    <w:rsid w:val="007131CB"/>
    <w:rsid w:val="00713452"/>
    <w:rsid w:val="007134DF"/>
    <w:rsid w:val="007138BD"/>
    <w:rsid w:val="00713DA7"/>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0DED"/>
    <w:rsid w:val="0073104F"/>
    <w:rsid w:val="007324FB"/>
    <w:rsid w:val="00733F22"/>
    <w:rsid w:val="0073473E"/>
    <w:rsid w:val="007347E6"/>
    <w:rsid w:val="00734EBA"/>
    <w:rsid w:val="00740802"/>
    <w:rsid w:val="00741A4C"/>
    <w:rsid w:val="00741D0C"/>
    <w:rsid w:val="0074206F"/>
    <w:rsid w:val="00743A49"/>
    <w:rsid w:val="00745606"/>
    <w:rsid w:val="00745B9C"/>
    <w:rsid w:val="007464C7"/>
    <w:rsid w:val="00747316"/>
    <w:rsid w:val="0074780F"/>
    <w:rsid w:val="007479D7"/>
    <w:rsid w:val="00747E79"/>
    <w:rsid w:val="0075009A"/>
    <w:rsid w:val="007500C0"/>
    <w:rsid w:val="0075114A"/>
    <w:rsid w:val="00752492"/>
    <w:rsid w:val="00752EBB"/>
    <w:rsid w:val="00754552"/>
    <w:rsid w:val="007547FF"/>
    <w:rsid w:val="00756AAC"/>
    <w:rsid w:val="00760094"/>
    <w:rsid w:val="007603AD"/>
    <w:rsid w:val="007608D1"/>
    <w:rsid w:val="00761068"/>
    <w:rsid w:val="0076163B"/>
    <w:rsid w:val="00761722"/>
    <w:rsid w:val="00761E8E"/>
    <w:rsid w:val="007634AB"/>
    <w:rsid w:val="00764DAF"/>
    <w:rsid w:val="00765BC2"/>
    <w:rsid w:val="00770765"/>
    <w:rsid w:val="00771ADE"/>
    <w:rsid w:val="00771B62"/>
    <w:rsid w:val="00772CF4"/>
    <w:rsid w:val="0077386A"/>
    <w:rsid w:val="00774F17"/>
    <w:rsid w:val="007773E2"/>
    <w:rsid w:val="00777698"/>
    <w:rsid w:val="007777E6"/>
    <w:rsid w:val="00780212"/>
    <w:rsid w:val="0078122C"/>
    <w:rsid w:val="007816E1"/>
    <w:rsid w:val="0078192B"/>
    <w:rsid w:val="0078337F"/>
    <w:rsid w:val="00784F4E"/>
    <w:rsid w:val="007852E7"/>
    <w:rsid w:val="007853ED"/>
    <w:rsid w:val="00785BD9"/>
    <w:rsid w:val="00786F84"/>
    <w:rsid w:val="007879A0"/>
    <w:rsid w:val="007879D2"/>
    <w:rsid w:val="00787F86"/>
    <w:rsid w:val="007900B1"/>
    <w:rsid w:val="007917E4"/>
    <w:rsid w:val="00792710"/>
    <w:rsid w:val="00792C58"/>
    <w:rsid w:val="00793B29"/>
    <w:rsid w:val="00793ED4"/>
    <w:rsid w:val="00794BAC"/>
    <w:rsid w:val="00795515"/>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7C8"/>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80B"/>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566"/>
    <w:rsid w:val="007F1B32"/>
    <w:rsid w:val="007F1DA1"/>
    <w:rsid w:val="007F274C"/>
    <w:rsid w:val="007F2833"/>
    <w:rsid w:val="007F3DDD"/>
    <w:rsid w:val="007F3EA4"/>
    <w:rsid w:val="007F4174"/>
    <w:rsid w:val="007F501A"/>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597"/>
    <w:rsid w:val="00814B2E"/>
    <w:rsid w:val="008171E7"/>
    <w:rsid w:val="00817414"/>
    <w:rsid w:val="00821586"/>
    <w:rsid w:val="00821648"/>
    <w:rsid w:val="008232C8"/>
    <w:rsid w:val="008242E9"/>
    <w:rsid w:val="008244E3"/>
    <w:rsid w:val="008254AA"/>
    <w:rsid w:val="008261C3"/>
    <w:rsid w:val="008271D6"/>
    <w:rsid w:val="008272EF"/>
    <w:rsid w:val="00827622"/>
    <w:rsid w:val="008300E7"/>
    <w:rsid w:val="0083144D"/>
    <w:rsid w:val="00831B3D"/>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325E"/>
    <w:rsid w:val="00873862"/>
    <w:rsid w:val="00877BC0"/>
    <w:rsid w:val="00881A27"/>
    <w:rsid w:val="00882436"/>
    <w:rsid w:val="00882659"/>
    <w:rsid w:val="008827A7"/>
    <w:rsid w:val="00884379"/>
    <w:rsid w:val="0088470E"/>
    <w:rsid w:val="00884985"/>
    <w:rsid w:val="00885BEC"/>
    <w:rsid w:val="00885F68"/>
    <w:rsid w:val="00886451"/>
    <w:rsid w:val="008906F3"/>
    <w:rsid w:val="0089104A"/>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A0F"/>
    <w:rsid w:val="008A6B5F"/>
    <w:rsid w:val="008A70F5"/>
    <w:rsid w:val="008A7CA1"/>
    <w:rsid w:val="008A7F35"/>
    <w:rsid w:val="008B0D24"/>
    <w:rsid w:val="008B25E3"/>
    <w:rsid w:val="008B3D6F"/>
    <w:rsid w:val="008B6B95"/>
    <w:rsid w:val="008B7304"/>
    <w:rsid w:val="008B7B64"/>
    <w:rsid w:val="008C016A"/>
    <w:rsid w:val="008C0615"/>
    <w:rsid w:val="008C10C0"/>
    <w:rsid w:val="008C1BAC"/>
    <w:rsid w:val="008C20FF"/>
    <w:rsid w:val="008C4586"/>
    <w:rsid w:val="008C4AE3"/>
    <w:rsid w:val="008C589D"/>
    <w:rsid w:val="008C5DCB"/>
    <w:rsid w:val="008C5F34"/>
    <w:rsid w:val="008C69DB"/>
    <w:rsid w:val="008C6DE3"/>
    <w:rsid w:val="008C7983"/>
    <w:rsid w:val="008C79FE"/>
    <w:rsid w:val="008D03EA"/>
    <w:rsid w:val="008D20F5"/>
    <w:rsid w:val="008D3FE1"/>
    <w:rsid w:val="008D428E"/>
    <w:rsid w:val="008D4C23"/>
    <w:rsid w:val="008D5499"/>
    <w:rsid w:val="008D5784"/>
    <w:rsid w:val="008D712B"/>
    <w:rsid w:val="008E005F"/>
    <w:rsid w:val="008E00EF"/>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C14"/>
    <w:rsid w:val="008F7306"/>
    <w:rsid w:val="008F739E"/>
    <w:rsid w:val="008F7F79"/>
    <w:rsid w:val="009013D9"/>
    <w:rsid w:val="00902AA1"/>
    <w:rsid w:val="009041B6"/>
    <w:rsid w:val="00904733"/>
    <w:rsid w:val="00906383"/>
    <w:rsid w:val="009067E4"/>
    <w:rsid w:val="009075DC"/>
    <w:rsid w:val="0090760E"/>
    <w:rsid w:val="00910E4B"/>
    <w:rsid w:val="00911969"/>
    <w:rsid w:val="00911D1B"/>
    <w:rsid w:val="00912ACA"/>
    <w:rsid w:val="009139C3"/>
    <w:rsid w:val="00914544"/>
    <w:rsid w:val="00914617"/>
    <w:rsid w:val="0091508E"/>
    <w:rsid w:val="00917A4F"/>
    <w:rsid w:val="009225E7"/>
    <w:rsid w:val="009235FB"/>
    <w:rsid w:val="0092367C"/>
    <w:rsid w:val="009243DE"/>
    <w:rsid w:val="00924F80"/>
    <w:rsid w:val="0092521F"/>
    <w:rsid w:val="00925EB8"/>
    <w:rsid w:val="00926395"/>
    <w:rsid w:val="00926838"/>
    <w:rsid w:val="00926BB5"/>
    <w:rsid w:val="00926F84"/>
    <w:rsid w:val="00931AF0"/>
    <w:rsid w:val="009322EC"/>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62AC"/>
    <w:rsid w:val="00946D50"/>
    <w:rsid w:val="00947B74"/>
    <w:rsid w:val="00947F23"/>
    <w:rsid w:val="00951391"/>
    <w:rsid w:val="009517DD"/>
    <w:rsid w:val="0095467F"/>
    <w:rsid w:val="00955380"/>
    <w:rsid w:val="00955F63"/>
    <w:rsid w:val="009576BE"/>
    <w:rsid w:val="00960171"/>
    <w:rsid w:val="00961E05"/>
    <w:rsid w:val="00963935"/>
    <w:rsid w:val="00963942"/>
    <w:rsid w:val="009647FA"/>
    <w:rsid w:val="00966474"/>
    <w:rsid w:val="00966588"/>
    <w:rsid w:val="00966981"/>
    <w:rsid w:val="00966B10"/>
    <w:rsid w:val="00966C81"/>
    <w:rsid w:val="00966F57"/>
    <w:rsid w:val="00966FC0"/>
    <w:rsid w:val="00967449"/>
    <w:rsid w:val="00971C72"/>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87C56"/>
    <w:rsid w:val="00990297"/>
    <w:rsid w:val="00990591"/>
    <w:rsid w:val="00990ED1"/>
    <w:rsid w:val="00991A60"/>
    <w:rsid w:val="0099224E"/>
    <w:rsid w:val="00993BD7"/>
    <w:rsid w:val="00993C60"/>
    <w:rsid w:val="009950AE"/>
    <w:rsid w:val="00995BC5"/>
    <w:rsid w:val="00996D61"/>
    <w:rsid w:val="009973D1"/>
    <w:rsid w:val="009A0AD1"/>
    <w:rsid w:val="009A10FB"/>
    <w:rsid w:val="009A12B9"/>
    <w:rsid w:val="009A1FF8"/>
    <w:rsid w:val="009A3260"/>
    <w:rsid w:val="009A33B2"/>
    <w:rsid w:val="009A6969"/>
    <w:rsid w:val="009A6E26"/>
    <w:rsid w:val="009A7BEE"/>
    <w:rsid w:val="009B0DB9"/>
    <w:rsid w:val="009B0E8E"/>
    <w:rsid w:val="009B0EB2"/>
    <w:rsid w:val="009B0EB3"/>
    <w:rsid w:val="009B1285"/>
    <w:rsid w:val="009B4BA8"/>
    <w:rsid w:val="009B5733"/>
    <w:rsid w:val="009B67C5"/>
    <w:rsid w:val="009C109B"/>
    <w:rsid w:val="009C12C0"/>
    <w:rsid w:val="009C17B4"/>
    <w:rsid w:val="009C1C81"/>
    <w:rsid w:val="009C1DF9"/>
    <w:rsid w:val="009C28B1"/>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4767"/>
    <w:rsid w:val="009D6790"/>
    <w:rsid w:val="009D7FA2"/>
    <w:rsid w:val="009E01FD"/>
    <w:rsid w:val="009E0B51"/>
    <w:rsid w:val="009E27EB"/>
    <w:rsid w:val="009E2B56"/>
    <w:rsid w:val="009E40D0"/>
    <w:rsid w:val="009E5A09"/>
    <w:rsid w:val="009E758A"/>
    <w:rsid w:val="009F0584"/>
    <w:rsid w:val="009F107C"/>
    <w:rsid w:val="009F16F6"/>
    <w:rsid w:val="009F2286"/>
    <w:rsid w:val="009F303B"/>
    <w:rsid w:val="009F3A4C"/>
    <w:rsid w:val="009F3D88"/>
    <w:rsid w:val="009F5360"/>
    <w:rsid w:val="009F6332"/>
    <w:rsid w:val="00A0051F"/>
    <w:rsid w:val="00A00A07"/>
    <w:rsid w:val="00A01731"/>
    <w:rsid w:val="00A02DD0"/>
    <w:rsid w:val="00A031E6"/>
    <w:rsid w:val="00A0341E"/>
    <w:rsid w:val="00A03C2C"/>
    <w:rsid w:val="00A0488E"/>
    <w:rsid w:val="00A068EF"/>
    <w:rsid w:val="00A10F73"/>
    <w:rsid w:val="00A130CD"/>
    <w:rsid w:val="00A13807"/>
    <w:rsid w:val="00A1390B"/>
    <w:rsid w:val="00A148EB"/>
    <w:rsid w:val="00A14A3F"/>
    <w:rsid w:val="00A1527A"/>
    <w:rsid w:val="00A16FBB"/>
    <w:rsid w:val="00A1796F"/>
    <w:rsid w:val="00A21717"/>
    <w:rsid w:val="00A21D45"/>
    <w:rsid w:val="00A2288B"/>
    <w:rsid w:val="00A22B03"/>
    <w:rsid w:val="00A24DEB"/>
    <w:rsid w:val="00A24F0A"/>
    <w:rsid w:val="00A27109"/>
    <w:rsid w:val="00A27290"/>
    <w:rsid w:val="00A27F45"/>
    <w:rsid w:val="00A27F4D"/>
    <w:rsid w:val="00A339F5"/>
    <w:rsid w:val="00A3415A"/>
    <w:rsid w:val="00A354F2"/>
    <w:rsid w:val="00A35C7F"/>
    <w:rsid w:val="00A36F59"/>
    <w:rsid w:val="00A370FB"/>
    <w:rsid w:val="00A3719C"/>
    <w:rsid w:val="00A373A2"/>
    <w:rsid w:val="00A3798E"/>
    <w:rsid w:val="00A37C23"/>
    <w:rsid w:val="00A37F4E"/>
    <w:rsid w:val="00A41041"/>
    <w:rsid w:val="00A42875"/>
    <w:rsid w:val="00A47A93"/>
    <w:rsid w:val="00A50417"/>
    <w:rsid w:val="00A52A23"/>
    <w:rsid w:val="00A52CE9"/>
    <w:rsid w:val="00A52FBE"/>
    <w:rsid w:val="00A539B3"/>
    <w:rsid w:val="00A55CD4"/>
    <w:rsid w:val="00A56D01"/>
    <w:rsid w:val="00A57080"/>
    <w:rsid w:val="00A57BFE"/>
    <w:rsid w:val="00A635F6"/>
    <w:rsid w:val="00A643B3"/>
    <w:rsid w:val="00A67509"/>
    <w:rsid w:val="00A679F1"/>
    <w:rsid w:val="00A706E6"/>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011B"/>
    <w:rsid w:val="00A911DC"/>
    <w:rsid w:val="00A92F14"/>
    <w:rsid w:val="00A943DE"/>
    <w:rsid w:val="00A950BE"/>
    <w:rsid w:val="00A9627B"/>
    <w:rsid w:val="00A962D0"/>
    <w:rsid w:val="00A96BA8"/>
    <w:rsid w:val="00A96FF2"/>
    <w:rsid w:val="00AA0A33"/>
    <w:rsid w:val="00AA0F3E"/>
    <w:rsid w:val="00AA2435"/>
    <w:rsid w:val="00AA2591"/>
    <w:rsid w:val="00AA3023"/>
    <w:rsid w:val="00AA31D3"/>
    <w:rsid w:val="00AA3302"/>
    <w:rsid w:val="00AA3626"/>
    <w:rsid w:val="00AA63DC"/>
    <w:rsid w:val="00AB1B73"/>
    <w:rsid w:val="00AB246C"/>
    <w:rsid w:val="00AB3379"/>
    <w:rsid w:val="00AB54E2"/>
    <w:rsid w:val="00AB5D04"/>
    <w:rsid w:val="00AB5F0F"/>
    <w:rsid w:val="00AB6B68"/>
    <w:rsid w:val="00AB6DAC"/>
    <w:rsid w:val="00AB75F7"/>
    <w:rsid w:val="00AB7AC0"/>
    <w:rsid w:val="00AC0EFD"/>
    <w:rsid w:val="00AC3234"/>
    <w:rsid w:val="00AC5FC7"/>
    <w:rsid w:val="00AC6E75"/>
    <w:rsid w:val="00AC78A7"/>
    <w:rsid w:val="00AC7AED"/>
    <w:rsid w:val="00AC7C43"/>
    <w:rsid w:val="00AD03A4"/>
    <w:rsid w:val="00AD17A6"/>
    <w:rsid w:val="00AD202A"/>
    <w:rsid w:val="00AD34D4"/>
    <w:rsid w:val="00AD36AA"/>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361B"/>
    <w:rsid w:val="00AF426F"/>
    <w:rsid w:val="00AF5CAD"/>
    <w:rsid w:val="00AF6283"/>
    <w:rsid w:val="00B000D2"/>
    <w:rsid w:val="00B01500"/>
    <w:rsid w:val="00B0164A"/>
    <w:rsid w:val="00B0213C"/>
    <w:rsid w:val="00B0263C"/>
    <w:rsid w:val="00B027A9"/>
    <w:rsid w:val="00B02AD3"/>
    <w:rsid w:val="00B04D94"/>
    <w:rsid w:val="00B0701E"/>
    <w:rsid w:val="00B07E93"/>
    <w:rsid w:val="00B1034A"/>
    <w:rsid w:val="00B105AD"/>
    <w:rsid w:val="00B10D55"/>
    <w:rsid w:val="00B1463B"/>
    <w:rsid w:val="00B14D9B"/>
    <w:rsid w:val="00B14DE9"/>
    <w:rsid w:val="00B15EDE"/>
    <w:rsid w:val="00B17F8A"/>
    <w:rsid w:val="00B20BBF"/>
    <w:rsid w:val="00B2223B"/>
    <w:rsid w:val="00B223B9"/>
    <w:rsid w:val="00B22DF8"/>
    <w:rsid w:val="00B23136"/>
    <w:rsid w:val="00B23A48"/>
    <w:rsid w:val="00B24CBD"/>
    <w:rsid w:val="00B266D7"/>
    <w:rsid w:val="00B27039"/>
    <w:rsid w:val="00B278E8"/>
    <w:rsid w:val="00B302D7"/>
    <w:rsid w:val="00B30725"/>
    <w:rsid w:val="00B31C09"/>
    <w:rsid w:val="00B32C85"/>
    <w:rsid w:val="00B3467C"/>
    <w:rsid w:val="00B3683E"/>
    <w:rsid w:val="00B36A6E"/>
    <w:rsid w:val="00B373B1"/>
    <w:rsid w:val="00B40240"/>
    <w:rsid w:val="00B43501"/>
    <w:rsid w:val="00B44620"/>
    <w:rsid w:val="00B4519A"/>
    <w:rsid w:val="00B4527B"/>
    <w:rsid w:val="00B45BFA"/>
    <w:rsid w:val="00B4622E"/>
    <w:rsid w:val="00B46243"/>
    <w:rsid w:val="00B46635"/>
    <w:rsid w:val="00B46B5F"/>
    <w:rsid w:val="00B50B31"/>
    <w:rsid w:val="00B51D81"/>
    <w:rsid w:val="00B5217C"/>
    <w:rsid w:val="00B552CE"/>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7D2F"/>
    <w:rsid w:val="00B7150D"/>
    <w:rsid w:val="00B7217C"/>
    <w:rsid w:val="00B72B8E"/>
    <w:rsid w:val="00B73F34"/>
    <w:rsid w:val="00B73FBB"/>
    <w:rsid w:val="00B74FBA"/>
    <w:rsid w:val="00B7633E"/>
    <w:rsid w:val="00B773FF"/>
    <w:rsid w:val="00B77EA2"/>
    <w:rsid w:val="00B81686"/>
    <w:rsid w:val="00B83055"/>
    <w:rsid w:val="00B85263"/>
    <w:rsid w:val="00B857CD"/>
    <w:rsid w:val="00B86876"/>
    <w:rsid w:val="00B874A3"/>
    <w:rsid w:val="00B87593"/>
    <w:rsid w:val="00B87598"/>
    <w:rsid w:val="00B906AA"/>
    <w:rsid w:val="00B93265"/>
    <w:rsid w:val="00B94A1E"/>
    <w:rsid w:val="00B97282"/>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A7E06"/>
    <w:rsid w:val="00BB068C"/>
    <w:rsid w:val="00BB0E95"/>
    <w:rsid w:val="00BB1386"/>
    <w:rsid w:val="00BB2842"/>
    <w:rsid w:val="00BB3B79"/>
    <w:rsid w:val="00BB56E2"/>
    <w:rsid w:val="00BB58AE"/>
    <w:rsid w:val="00BB6B94"/>
    <w:rsid w:val="00BB71E9"/>
    <w:rsid w:val="00BB75FC"/>
    <w:rsid w:val="00BC0C2B"/>
    <w:rsid w:val="00BC29F7"/>
    <w:rsid w:val="00BC2ACE"/>
    <w:rsid w:val="00BC2D15"/>
    <w:rsid w:val="00BC3351"/>
    <w:rsid w:val="00BC4460"/>
    <w:rsid w:val="00BC45CD"/>
    <w:rsid w:val="00BC48B1"/>
    <w:rsid w:val="00BC5A31"/>
    <w:rsid w:val="00BC6B8F"/>
    <w:rsid w:val="00BD050D"/>
    <w:rsid w:val="00BD094A"/>
    <w:rsid w:val="00BD0976"/>
    <w:rsid w:val="00BD0FA2"/>
    <w:rsid w:val="00BD1824"/>
    <w:rsid w:val="00BD265A"/>
    <w:rsid w:val="00BD299C"/>
    <w:rsid w:val="00BD3447"/>
    <w:rsid w:val="00BD42D6"/>
    <w:rsid w:val="00BD4BAF"/>
    <w:rsid w:val="00BD50E5"/>
    <w:rsid w:val="00BD5285"/>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338C"/>
    <w:rsid w:val="00C03D0A"/>
    <w:rsid w:val="00C05B97"/>
    <w:rsid w:val="00C062FD"/>
    <w:rsid w:val="00C07256"/>
    <w:rsid w:val="00C0752B"/>
    <w:rsid w:val="00C07B3D"/>
    <w:rsid w:val="00C07BB7"/>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D7C"/>
    <w:rsid w:val="00C2328D"/>
    <w:rsid w:val="00C23367"/>
    <w:rsid w:val="00C23566"/>
    <w:rsid w:val="00C236BE"/>
    <w:rsid w:val="00C23DFB"/>
    <w:rsid w:val="00C25F56"/>
    <w:rsid w:val="00C26681"/>
    <w:rsid w:val="00C269BA"/>
    <w:rsid w:val="00C31DDE"/>
    <w:rsid w:val="00C32CE6"/>
    <w:rsid w:val="00C34E59"/>
    <w:rsid w:val="00C34FAA"/>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57B85"/>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0AE"/>
    <w:rsid w:val="00C707EF"/>
    <w:rsid w:val="00C70AD4"/>
    <w:rsid w:val="00C70F80"/>
    <w:rsid w:val="00C725AD"/>
    <w:rsid w:val="00C736E6"/>
    <w:rsid w:val="00C73C6C"/>
    <w:rsid w:val="00C75CDD"/>
    <w:rsid w:val="00C7683A"/>
    <w:rsid w:val="00C8021D"/>
    <w:rsid w:val="00C807B6"/>
    <w:rsid w:val="00C80B6B"/>
    <w:rsid w:val="00C8119A"/>
    <w:rsid w:val="00C8234D"/>
    <w:rsid w:val="00C83D1D"/>
    <w:rsid w:val="00C843DC"/>
    <w:rsid w:val="00C854E1"/>
    <w:rsid w:val="00C86ED6"/>
    <w:rsid w:val="00C914FC"/>
    <w:rsid w:val="00C91AAE"/>
    <w:rsid w:val="00C91CE2"/>
    <w:rsid w:val="00C92CD7"/>
    <w:rsid w:val="00C93694"/>
    <w:rsid w:val="00C93962"/>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F21"/>
    <w:rsid w:val="00CB25A6"/>
    <w:rsid w:val="00CB26FE"/>
    <w:rsid w:val="00CB52AF"/>
    <w:rsid w:val="00CB6B51"/>
    <w:rsid w:val="00CB6E01"/>
    <w:rsid w:val="00CB7AE4"/>
    <w:rsid w:val="00CC04BC"/>
    <w:rsid w:val="00CC06B8"/>
    <w:rsid w:val="00CC0914"/>
    <w:rsid w:val="00CC1227"/>
    <w:rsid w:val="00CC1BCD"/>
    <w:rsid w:val="00CC216D"/>
    <w:rsid w:val="00CC29C6"/>
    <w:rsid w:val="00CC2B6B"/>
    <w:rsid w:val="00CC55C8"/>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CB4"/>
    <w:rsid w:val="00CE5F26"/>
    <w:rsid w:val="00CF0530"/>
    <w:rsid w:val="00CF098F"/>
    <w:rsid w:val="00CF0E2A"/>
    <w:rsid w:val="00CF1119"/>
    <w:rsid w:val="00CF1E44"/>
    <w:rsid w:val="00CF358D"/>
    <w:rsid w:val="00CF5213"/>
    <w:rsid w:val="00CF59DA"/>
    <w:rsid w:val="00CF7001"/>
    <w:rsid w:val="00CF7048"/>
    <w:rsid w:val="00CF74F3"/>
    <w:rsid w:val="00D0029A"/>
    <w:rsid w:val="00D00D4C"/>
    <w:rsid w:val="00D01773"/>
    <w:rsid w:val="00D01B6A"/>
    <w:rsid w:val="00D01F16"/>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5C1"/>
    <w:rsid w:val="00D1395F"/>
    <w:rsid w:val="00D13EBA"/>
    <w:rsid w:val="00D1407E"/>
    <w:rsid w:val="00D14A77"/>
    <w:rsid w:val="00D15781"/>
    <w:rsid w:val="00D173FD"/>
    <w:rsid w:val="00D1741E"/>
    <w:rsid w:val="00D1798E"/>
    <w:rsid w:val="00D20344"/>
    <w:rsid w:val="00D203D3"/>
    <w:rsid w:val="00D21686"/>
    <w:rsid w:val="00D22846"/>
    <w:rsid w:val="00D22E5B"/>
    <w:rsid w:val="00D231AA"/>
    <w:rsid w:val="00D242CA"/>
    <w:rsid w:val="00D24501"/>
    <w:rsid w:val="00D25D7C"/>
    <w:rsid w:val="00D274CF"/>
    <w:rsid w:val="00D27F9C"/>
    <w:rsid w:val="00D307C6"/>
    <w:rsid w:val="00D3158F"/>
    <w:rsid w:val="00D33228"/>
    <w:rsid w:val="00D34596"/>
    <w:rsid w:val="00D34B7B"/>
    <w:rsid w:val="00D34F29"/>
    <w:rsid w:val="00D35801"/>
    <w:rsid w:val="00D41FFC"/>
    <w:rsid w:val="00D430CB"/>
    <w:rsid w:val="00D43B6E"/>
    <w:rsid w:val="00D45FEB"/>
    <w:rsid w:val="00D463A0"/>
    <w:rsid w:val="00D5240F"/>
    <w:rsid w:val="00D5747F"/>
    <w:rsid w:val="00D60183"/>
    <w:rsid w:val="00D60E8B"/>
    <w:rsid w:val="00D6114F"/>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128"/>
    <w:rsid w:val="00D90FF4"/>
    <w:rsid w:val="00D93122"/>
    <w:rsid w:val="00D94101"/>
    <w:rsid w:val="00D94B46"/>
    <w:rsid w:val="00D95151"/>
    <w:rsid w:val="00D97DE4"/>
    <w:rsid w:val="00D97E81"/>
    <w:rsid w:val="00DA0153"/>
    <w:rsid w:val="00DA0331"/>
    <w:rsid w:val="00DA5026"/>
    <w:rsid w:val="00DA509F"/>
    <w:rsid w:val="00DA7469"/>
    <w:rsid w:val="00DA7525"/>
    <w:rsid w:val="00DA7D3D"/>
    <w:rsid w:val="00DB08C0"/>
    <w:rsid w:val="00DB0A6C"/>
    <w:rsid w:val="00DB0E0E"/>
    <w:rsid w:val="00DB2869"/>
    <w:rsid w:val="00DB301E"/>
    <w:rsid w:val="00DB4568"/>
    <w:rsid w:val="00DB47DD"/>
    <w:rsid w:val="00DB5488"/>
    <w:rsid w:val="00DB64DC"/>
    <w:rsid w:val="00DB6710"/>
    <w:rsid w:val="00DB6949"/>
    <w:rsid w:val="00DB707C"/>
    <w:rsid w:val="00DC010B"/>
    <w:rsid w:val="00DC3098"/>
    <w:rsid w:val="00DC35E5"/>
    <w:rsid w:val="00DC3C34"/>
    <w:rsid w:val="00DC3F6F"/>
    <w:rsid w:val="00DC6CA9"/>
    <w:rsid w:val="00DC78A5"/>
    <w:rsid w:val="00DD0029"/>
    <w:rsid w:val="00DD0489"/>
    <w:rsid w:val="00DD07FD"/>
    <w:rsid w:val="00DD0ACB"/>
    <w:rsid w:val="00DD0EA5"/>
    <w:rsid w:val="00DD1DA9"/>
    <w:rsid w:val="00DD1DCF"/>
    <w:rsid w:val="00DD1E6D"/>
    <w:rsid w:val="00DD2250"/>
    <w:rsid w:val="00DD233F"/>
    <w:rsid w:val="00DD2B52"/>
    <w:rsid w:val="00DD3BEB"/>
    <w:rsid w:val="00DD4985"/>
    <w:rsid w:val="00DD4EF5"/>
    <w:rsid w:val="00DD68D1"/>
    <w:rsid w:val="00DE2318"/>
    <w:rsid w:val="00DE37B3"/>
    <w:rsid w:val="00DE4F77"/>
    <w:rsid w:val="00DE69DD"/>
    <w:rsid w:val="00DE6A65"/>
    <w:rsid w:val="00DF1108"/>
    <w:rsid w:val="00DF1E8A"/>
    <w:rsid w:val="00DF20AA"/>
    <w:rsid w:val="00DF279F"/>
    <w:rsid w:val="00DF3335"/>
    <w:rsid w:val="00DF5529"/>
    <w:rsid w:val="00DF55B2"/>
    <w:rsid w:val="00DF5AC8"/>
    <w:rsid w:val="00DF5C77"/>
    <w:rsid w:val="00DF5D71"/>
    <w:rsid w:val="00DF6BA9"/>
    <w:rsid w:val="00DF7CB8"/>
    <w:rsid w:val="00DF7DCA"/>
    <w:rsid w:val="00E02CD1"/>
    <w:rsid w:val="00E02DCE"/>
    <w:rsid w:val="00E034F1"/>
    <w:rsid w:val="00E03641"/>
    <w:rsid w:val="00E0439A"/>
    <w:rsid w:val="00E04CE3"/>
    <w:rsid w:val="00E05014"/>
    <w:rsid w:val="00E054D8"/>
    <w:rsid w:val="00E060DE"/>
    <w:rsid w:val="00E078C5"/>
    <w:rsid w:val="00E104A8"/>
    <w:rsid w:val="00E10EF1"/>
    <w:rsid w:val="00E119B5"/>
    <w:rsid w:val="00E12451"/>
    <w:rsid w:val="00E147DB"/>
    <w:rsid w:val="00E172F7"/>
    <w:rsid w:val="00E1747D"/>
    <w:rsid w:val="00E17ED9"/>
    <w:rsid w:val="00E20737"/>
    <w:rsid w:val="00E22C54"/>
    <w:rsid w:val="00E2622B"/>
    <w:rsid w:val="00E26E5A"/>
    <w:rsid w:val="00E2712A"/>
    <w:rsid w:val="00E27937"/>
    <w:rsid w:val="00E3143B"/>
    <w:rsid w:val="00E32941"/>
    <w:rsid w:val="00E332E8"/>
    <w:rsid w:val="00E332F6"/>
    <w:rsid w:val="00E33738"/>
    <w:rsid w:val="00E35091"/>
    <w:rsid w:val="00E3529D"/>
    <w:rsid w:val="00E36103"/>
    <w:rsid w:val="00E361D9"/>
    <w:rsid w:val="00E369CA"/>
    <w:rsid w:val="00E3736A"/>
    <w:rsid w:val="00E37E5D"/>
    <w:rsid w:val="00E4128A"/>
    <w:rsid w:val="00E41290"/>
    <w:rsid w:val="00E4193E"/>
    <w:rsid w:val="00E42118"/>
    <w:rsid w:val="00E4232C"/>
    <w:rsid w:val="00E423A8"/>
    <w:rsid w:val="00E4294C"/>
    <w:rsid w:val="00E42E09"/>
    <w:rsid w:val="00E42E37"/>
    <w:rsid w:val="00E43439"/>
    <w:rsid w:val="00E44025"/>
    <w:rsid w:val="00E46085"/>
    <w:rsid w:val="00E46107"/>
    <w:rsid w:val="00E4629B"/>
    <w:rsid w:val="00E51B87"/>
    <w:rsid w:val="00E51C96"/>
    <w:rsid w:val="00E52355"/>
    <w:rsid w:val="00E52F45"/>
    <w:rsid w:val="00E53AC8"/>
    <w:rsid w:val="00E54077"/>
    <w:rsid w:val="00E54542"/>
    <w:rsid w:val="00E557AC"/>
    <w:rsid w:val="00E56EC1"/>
    <w:rsid w:val="00E607EC"/>
    <w:rsid w:val="00E60934"/>
    <w:rsid w:val="00E63C00"/>
    <w:rsid w:val="00E65581"/>
    <w:rsid w:val="00E66A21"/>
    <w:rsid w:val="00E6776D"/>
    <w:rsid w:val="00E702E5"/>
    <w:rsid w:val="00E70958"/>
    <w:rsid w:val="00E7108C"/>
    <w:rsid w:val="00E712C4"/>
    <w:rsid w:val="00E71B57"/>
    <w:rsid w:val="00E73AC1"/>
    <w:rsid w:val="00E74183"/>
    <w:rsid w:val="00E74490"/>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4BF"/>
    <w:rsid w:val="00E9290E"/>
    <w:rsid w:val="00E92A13"/>
    <w:rsid w:val="00E9355C"/>
    <w:rsid w:val="00E9506C"/>
    <w:rsid w:val="00E956C2"/>
    <w:rsid w:val="00E9590B"/>
    <w:rsid w:val="00E96B31"/>
    <w:rsid w:val="00E96E4D"/>
    <w:rsid w:val="00EA0871"/>
    <w:rsid w:val="00EA10BF"/>
    <w:rsid w:val="00EA12D0"/>
    <w:rsid w:val="00EA1534"/>
    <w:rsid w:val="00EA22D8"/>
    <w:rsid w:val="00EA5149"/>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1644"/>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CF3"/>
    <w:rsid w:val="00EE1EA9"/>
    <w:rsid w:val="00EE21E9"/>
    <w:rsid w:val="00EE2746"/>
    <w:rsid w:val="00EE2E35"/>
    <w:rsid w:val="00EE3220"/>
    <w:rsid w:val="00EE3900"/>
    <w:rsid w:val="00EE4294"/>
    <w:rsid w:val="00EE42BF"/>
    <w:rsid w:val="00EE44BA"/>
    <w:rsid w:val="00EE4613"/>
    <w:rsid w:val="00EE4813"/>
    <w:rsid w:val="00EE4F8A"/>
    <w:rsid w:val="00EE4FC6"/>
    <w:rsid w:val="00EE5E3B"/>
    <w:rsid w:val="00EF00EC"/>
    <w:rsid w:val="00EF0976"/>
    <w:rsid w:val="00EF2085"/>
    <w:rsid w:val="00EF3B62"/>
    <w:rsid w:val="00EF4FC8"/>
    <w:rsid w:val="00EF5C09"/>
    <w:rsid w:val="00EF5CC2"/>
    <w:rsid w:val="00EF6F01"/>
    <w:rsid w:val="00F00047"/>
    <w:rsid w:val="00F003F6"/>
    <w:rsid w:val="00F01262"/>
    <w:rsid w:val="00F01467"/>
    <w:rsid w:val="00F01C6A"/>
    <w:rsid w:val="00F03343"/>
    <w:rsid w:val="00F04ABF"/>
    <w:rsid w:val="00F04E1C"/>
    <w:rsid w:val="00F0585D"/>
    <w:rsid w:val="00F06D30"/>
    <w:rsid w:val="00F06FFD"/>
    <w:rsid w:val="00F11FB9"/>
    <w:rsid w:val="00F1300E"/>
    <w:rsid w:val="00F139A3"/>
    <w:rsid w:val="00F144A1"/>
    <w:rsid w:val="00F151DF"/>
    <w:rsid w:val="00F16F6A"/>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28F"/>
    <w:rsid w:val="00F31ADF"/>
    <w:rsid w:val="00F32561"/>
    <w:rsid w:val="00F34018"/>
    <w:rsid w:val="00F358B9"/>
    <w:rsid w:val="00F372DE"/>
    <w:rsid w:val="00F37B02"/>
    <w:rsid w:val="00F400E2"/>
    <w:rsid w:val="00F40918"/>
    <w:rsid w:val="00F409F5"/>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47E15"/>
    <w:rsid w:val="00F5016E"/>
    <w:rsid w:val="00F514D0"/>
    <w:rsid w:val="00F51B93"/>
    <w:rsid w:val="00F51E83"/>
    <w:rsid w:val="00F52174"/>
    <w:rsid w:val="00F5297A"/>
    <w:rsid w:val="00F52CEC"/>
    <w:rsid w:val="00F52EB7"/>
    <w:rsid w:val="00F54EB2"/>
    <w:rsid w:val="00F56256"/>
    <w:rsid w:val="00F57641"/>
    <w:rsid w:val="00F57882"/>
    <w:rsid w:val="00F60BF1"/>
    <w:rsid w:val="00F6120A"/>
    <w:rsid w:val="00F617A0"/>
    <w:rsid w:val="00F61E32"/>
    <w:rsid w:val="00F62798"/>
    <w:rsid w:val="00F637CB"/>
    <w:rsid w:val="00F63A44"/>
    <w:rsid w:val="00F6479A"/>
    <w:rsid w:val="00F6607A"/>
    <w:rsid w:val="00F66143"/>
    <w:rsid w:val="00F668C7"/>
    <w:rsid w:val="00F66F62"/>
    <w:rsid w:val="00F67965"/>
    <w:rsid w:val="00F7294B"/>
    <w:rsid w:val="00F74892"/>
    <w:rsid w:val="00F74A9E"/>
    <w:rsid w:val="00F7519D"/>
    <w:rsid w:val="00F7641D"/>
    <w:rsid w:val="00F76A25"/>
    <w:rsid w:val="00F76D9B"/>
    <w:rsid w:val="00F80B4C"/>
    <w:rsid w:val="00F80FF6"/>
    <w:rsid w:val="00F8137F"/>
    <w:rsid w:val="00F82908"/>
    <w:rsid w:val="00F83BDA"/>
    <w:rsid w:val="00F8418D"/>
    <w:rsid w:val="00F848A5"/>
    <w:rsid w:val="00F85D5F"/>
    <w:rsid w:val="00F85F00"/>
    <w:rsid w:val="00F86385"/>
    <w:rsid w:val="00F86691"/>
    <w:rsid w:val="00F87670"/>
    <w:rsid w:val="00F90CF4"/>
    <w:rsid w:val="00F91105"/>
    <w:rsid w:val="00F92EA1"/>
    <w:rsid w:val="00F939A6"/>
    <w:rsid w:val="00F939B7"/>
    <w:rsid w:val="00F94661"/>
    <w:rsid w:val="00F9505F"/>
    <w:rsid w:val="00F962FF"/>
    <w:rsid w:val="00F96CB9"/>
    <w:rsid w:val="00F96E34"/>
    <w:rsid w:val="00FA093D"/>
    <w:rsid w:val="00FA1491"/>
    <w:rsid w:val="00FA22CD"/>
    <w:rsid w:val="00FA29D5"/>
    <w:rsid w:val="00FA3672"/>
    <w:rsid w:val="00FA4134"/>
    <w:rsid w:val="00FA4290"/>
    <w:rsid w:val="00FA42D7"/>
    <w:rsid w:val="00FA5143"/>
    <w:rsid w:val="00FA6A03"/>
    <w:rsid w:val="00FA7423"/>
    <w:rsid w:val="00FA7797"/>
    <w:rsid w:val="00FA7E08"/>
    <w:rsid w:val="00FB0C7B"/>
    <w:rsid w:val="00FB0D7F"/>
    <w:rsid w:val="00FB1380"/>
    <w:rsid w:val="00FB1549"/>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00D4"/>
    <w:rsid w:val="00FD1025"/>
    <w:rsid w:val="00FD1570"/>
    <w:rsid w:val="00FD229B"/>
    <w:rsid w:val="00FD2477"/>
    <w:rsid w:val="00FD309A"/>
    <w:rsid w:val="00FD43FD"/>
    <w:rsid w:val="00FD4F62"/>
    <w:rsid w:val="00FD5488"/>
    <w:rsid w:val="00FD5B44"/>
    <w:rsid w:val="00FD7ACD"/>
    <w:rsid w:val="00FD7BB7"/>
    <w:rsid w:val="00FE2CFD"/>
    <w:rsid w:val="00FE2FCA"/>
    <w:rsid w:val="00FE3299"/>
    <w:rsid w:val="00FE3862"/>
    <w:rsid w:val="00FE41DF"/>
    <w:rsid w:val="00FE4E26"/>
    <w:rsid w:val="00FE7709"/>
    <w:rsid w:val="00FF08C2"/>
    <w:rsid w:val="00FF13E8"/>
    <w:rsid w:val="00FF2050"/>
    <w:rsid w:val="00FF2326"/>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7852E7"/>
    <w:pPr>
      <w:keepNext/>
      <w:keepLines/>
      <w:spacing w:after="360" w:line="240" w:lineRule="auto"/>
      <w:ind w:left="720" w:right="720" w:firstLine="0"/>
      <w:jc w:val="center"/>
      <w:outlineLvl w:val="0"/>
    </w:pPr>
    <w:rPr>
      <w:rFonts w:eastAsia="SimSun"/>
      <w:b/>
    </w:rPr>
  </w:style>
  <w:style w:type="paragraph" w:styleId="Heading2">
    <w:name w:val="heading 2"/>
    <w:aliases w:val="h2"/>
    <w:basedOn w:val="Heading1"/>
    <w:next w:val="Normal"/>
    <w:link w:val="Heading2Char"/>
    <w:qFormat/>
    <w:rsid w:val="00EC61B9"/>
    <w:pPr>
      <w:spacing w:before="360"/>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7852E7"/>
    <w:rPr>
      <w:rFonts w:ascii="Times New Roman" w:eastAsia="SimSun" w:hAnsi="Times New Roman" w:cs="Times New Roman"/>
      <w:b/>
      <w:sz w:val="24"/>
      <w:szCs w:val="20"/>
      <w:lang w:val="en-US" w:eastAsia="zh-CN" w:bidi="ar-SA"/>
    </w:rPr>
  </w:style>
  <w:style w:type="character" w:customStyle="1" w:styleId="Heading2Char">
    <w:name w:val="Heading 2 Char"/>
    <w:aliases w:val="h2 Char"/>
    <w:basedOn w:val="Heading1Char"/>
    <w:link w:val="Heading2"/>
    <w:locked/>
    <w:rsid w:val="00EC61B9"/>
    <w:rPr>
      <w:rFonts w:ascii="Times New Roman" w:eastAsia="SimSu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0A6D33"/>
    <w:pPr>
      <w:spacing w:before="60" w:after="60" w:line="240" w:lineRule="auto"/>
      <w:ind w:firstLine="360"/>
    </w:pPr>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0A6D33"/>
    <w:rPr>
      <w:rFonts w:ascii="Times New Roman" w:hAnsi="Times New Roman"/>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B02AD3"/>
    <w:pPr>
      <w:keepNext/>
      <w:keepLines/>
      <w:spacing w:after="120" w:line="480" w:lineRule="auto"/>
    </w:pPr>
    <w:rPr>
      <w:rFonts w:ascii="Times New Roman" w:eastAsia="SimSun" w:hAnsi="Times New Roma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48412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B02AD3"/>
    <w:rPr>
      <w:rFonts w:ascii="Times New Roman" w:eastAsia="SimSun" w:hAnsi="Times New Roma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customStyle="1" w:styleId="BlockQuote">
    <w:name w:val="Block Quote"/>
    <w:basedOn w:val="Normal"/>
    <w:rsid w:val="000A6D33"/>
    <w:pPr>
      <w:spacing w:after="280" w:line="240" w:lineRule="auto"/>
      <w:ind w:left="1440" w:right="720" w:firstLine="0"/>
      <w:jc w:val="both"/>
    </w:pPr>
    <w:rPr>
      <w:i/>
      <w:iCs/>
      <w:szCs w:val="24"/>
    </w:rPr>
  </w:style>
  <w:style w:type="paragraph" w:customStyle="1" w:styleId="Level03">
    <w:name w:val="$Level03"/>
    <w:basedOn w:val="Normal"/>
    <w:rsid w:val="00AA31D3"/>
    <w:pPr>
      <w:widowControl w:val="0"/>
      <w:tabs>
        <w:tab w:val="left" w:pos="1656"/>
        <w:tab w:val="num" w:pos="2016"/>
        <w:tab w:val="left" w:pos="2232"/>
        <w:tab w:val="left" w:pos="2808"/>
      </w:tabs>
      <w:spacing w:line="480" w:lineRule="exact"/>
      <w:ind w:left="1656" w:hanging="360"/>
    </w:pPr>
    <w:rPr>
      <w:lang w:eastAsia="en-US"/>
    </w:rPr>
  </w:style>
  <w:style w:type="paragraph" w:customStyle="1" w:styleId="Level05">
    <w:name w:val="$Level05"/>
    <w:basedOn w:val="Normal"/>
    <w:rsid w:val="00AA31D3"/>
    <w:pPr>
      <w:tabs>
        <w:tab w:val="left" w:pos="2376"/>
        <w:tab w:val="num" w:pos="2736"/>
        <w:tab w:val="left" w:pos="2952"/>
        <w:tab w:val="left" w:pos="3528"/>
      </w:tabs>
      <w:spacing w:line="480" w:lineRule="exact"/>
      <w:ind w:left="2376" w:hanging="360"/>
    </w:pPr>
    <w:rPr>
      <w:lang w:eastAsia="en-US"/>
    </w:rPr>
  </w:style>
  <w:style w:type="paragraph" w:customStyle="1" w:styleId="Level04">
    <w:name w:val="$Level04"/>
    <w:basedOn w:val="Normal"/>
    <w:rsid w:val="00AA31D3"/>
    <w:pPr>
      <w:tabs>
        <w:tab w:val="left" w:pos="2016"/>
        <w:tab w:val="num" w:pos="2376"/>
        <w:tab w:val="left" w:pos="2592"/>
        <w:tab w:val="left" w:pos="3168"/>
        <w:tab w:val="num" w:pos="3456"/>
      </w:tabs>
      <w:spacing w:line="480" w:lineRule="exact"/>
      <w:ind w:left="2016" w:hanging="360"/>
    </w:pPr>
    <w:rPr>
      <w:lang w:eastAsia="en-US"/>
    </w:rPr>
  </w:style>
  <w:style w:type="paragraph" w:customStyle="1" w:styleId="Level06">
    <w:name w:val="$Level06"/>
    <w:basedOn w:val="Normal"/>
    <w:rsid w:val="00AA31D3"/>
    <w:pPr>
      <w:tabs>
        <w:tab w:val="left" w:pos="2736"/>
        <w:tab w:val="left" w:pos="3312"/>
        <w:tab w:val="num" w:pos="3456"/>
        <w:tab w:val="left" w:pos="3888"/>
      </w:tabs>
      <w:spacing w:line="480" w:lineRule="exact"/>
      <w:ind w:left="2736" w:hanging="360"/>
    </w:pPr>
    <w:rPr>
      <w:lang w:eastAsia="en-US"/>
    </w:rPr>
  </w:style>
  <w:style w:type="paragraph" w:customStyle="1" w:styleId="Level00">
    <w:name w:val="$Level00"/>
    <w:basedOn w:val="Normal"/>
    <w:next w:val="NormalIndent"/>
    <w:rsid w:val="00AA31D3"/>
    <w:pPr>
      <w:widowControl w:val="0"/>
      <w:tabs>
        <w:tab w:val="left" w:pos="576"/>
        <w:tab w:val="left" w:pos="1152"/>
      </w:tabs>
      <w:spacing w:line="480" w:lineRule="exact"/>
      <w:ind w:left="576" w:hanging="576"/>
    </w:pPr>
    <w:rPr>
      <w:lang w:eastAsia="en-US"/>
    </w:rPr>
  </w:style>
  <w:style w:type="paragraph" w:customStyle="1" w:styleId="QuickA">
    <w:name w:val="Quick A."/>
    <w:basedOn w:val="Normal"/>
    <w:rsid w:val="00AA31D3"/>
    <w:pPr>
      <w:widowControl w:val="0"/>
      <w:tabs>
        <w:tab w:val="num" w:pos="720"/>
      </w:tabs>
      <w:snapToGrid w:val="0"/>
      <w:spacing w:line="240" w:lineRule="auto"/>
      <w:ind w:left="720" w:hanging="360"/>
    </w:pPr>
    <w:rPr>
      <w:lang w:eastAsia="en-US"/>
    </w:rPr>
  </w:style>
  <w:style w:type="paragraph" w:customStyle="1" w:styleId="Answer1">
    <w:name w:val="Answer&quot;"/>
    <w:basedOn w:val="answer"/>
    <w:rsid w:val="003C7909"/>
    <w:pPr>
      <w:ind w:firstLine="0"/>
    </w:pPr>
    <w:rPr>
      <w:szCs w:val="24"/>
      <w:lang w:eastAsia="en-US"/>
    </w:rPr>
  </w:style>
  <w:style w:type="paragraph" w:customStyle="1" w:styleId="anwer">
    <w:name w:val="anwer"/>
    <w:basedOn w:val="Normal"/>
    <w:rsid w:val="00255659"/>
    <w:pPr>
      <w:widowControl w:val="0"/>
      <w:overflowPunct w:val="0"/>
      <w:autoSpaceDE w:val="0"/>
      <w:autoSpaceDN w:val="0"/>
      <w:adjustRightInd w:val="0"/>
      <w:spacing w:line="480" w:lineRule="auto"/>
      <w:ind w:left="720" w:hanging="720"/>
      <w:jc w:val="both"/>
    </w:pPr>
    <w:rPr>
      <w:szCs w:val="24"/>
      <w:lang w:eastAsia="en-US"/>
    </w:rPr>
  </w:style>
  <w:style w:type="paragraph" w:customStyle="1" w:styleId="TableHeading">
    <w:name w:val="Table Heading"/>
    <w:basedOn w:val="Normal"/>
    <w:rsid w:val="00E51C96"/>
    <w:pPr>
      <w:keepNext/>
      <w:keepLines/>
      <w:suppressLineNumbers/>
      <w:spacing w:after="120" w:line="240" w:lineRule="auto"/>
      <w:ind w:left="720" w:firstLine="0"/>
      <w:jc w:val="center"/>
    </w:pPr>
    <w:rPr>
      <w:b/>
      <w:szCs w:val="24"/>
      <w:lang w:eastAsia="en-US"/>
    </w:rPr>
  </w:style>
  <w:style w:type="paragraph" w:customStyle="1" w:styleId="Heading23">
    <w:name w:val="Heading 23"/>
    <w:basedOn w:val="Heading2"/>
    <w:rsid w:val="00D25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7852E7"/>
    <w:pPr>
      <w:keepNext/>
      <w:keepLines/>
      <w:spacing w:after="360" w:line="240" w:lineRule="auto"/>
      <w:ind w:left="720" w:right="720" w:firstLine="0"/>
      <w:jc w:val="center"/>
      <w:outlineLvl w:val="0"/>
    </w:pPr>
    <w:rPr>
      <w:rFonts w:eastAsia="SimSun"/>
      <w:b/>
    </w:rPr>
  </w:style>
  <w:style w:type="paragraph" w:styleId="Heading2">
    <w:name w:val="heading 2"/>
    <w:aliases w:val="h2"/>
    <w:basedOn w:val="Heading1"/>
    <w:next w:val="Normal"/>
    <w:link w:val="Heading2Char"/>
    <w:qFormat/>
    <w:rsid w:val="00EC61B9"/>
    <w:pPr>
      <w:spacing w:before="360"/>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7852E7"/>
    <w:rPr>
      <w:rFonts w:ascii="Times New Roman" w:eastAsia="SimSun" w:hAnsi="Times New Roman" w:cs="Times New Roman"/>
      <w:b/>
      <w:sz w:val="24"/>
      <w:szCs w:val="20"/>
      <w:lang w:val="en-US" w:eastAsia="zh-CN" w:bidi="ar-SA"/>
    </w:rPr>
  </w:style>
  <w:style w:type="character" w:customStyle="1" w:styleId="Heading2Char">
    <w:name w:val="Heading 2 Char"/>
    <w:aliases w:val="h2 Char"/>
    <w:basedOn w:val="Heading1Char"/>
    <w:link w:val="Heading2"/>
    <w:locked/>
    <w:rsid w:val="00EC61B9"/>
    <w:rPr>
      <w:rFonts w:ascii="Times New Roman" w:eastAsia="SimSun" w:hAnsi="Times New Roman" w:cs="Times New Roman"/>
      <w:b/>
      <w:sz w:val="24"/>
      <w:szCs w:val="20"/>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0A6D33"/>
    <w:pPr>
      <w:spacing w:before="60" w:after="60" w:line="240" w:lineRule="auto"/>
      <w:ind w:firstLine="360"/>
    </w:pPr>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0A6D33"/>
    <w:rPr>
      <w:rFonts w:ascii="Times New Roman" w:hAnsi="Times New Roman"/>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B02AD3"/>
    <w:pPr>
      <w:keepNext/>
      <w:keepLines/>
      <w:spacing w:after="120" w:line="480" w:lineRule="auto"/>
    </w:pPr>
    <w:rPr>
      <w:rFonts w:ascii="Times New Roman" w:eastAsia="SimSun" w:hAnsi="Times New Roma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48412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B02AD3"/>
    <w:rPr>
      <w:rFonts w:ascii="Times New Roman" w:eastAsia="SimSun" w:hAnsi="Times New Roma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customStyle="1" w:styleId="BlockQuote">
    <w:name w:val="Block Quote"/>
    <w:basedOn w:val="Normal"/>
    <w:rsid w:val="000A6D33"/>
    <w:pPr>
      <w:spacing w:after="280" w:line="240" w:lineRule="auto"/>
      <w:ind w:left="1440" w:right="720" w:firstLine="0"/>
      <w:jc w:val="both"/>
    </w:pPr>
    <w:rPr>
      <w:i/>
      <w:iCs/>
      <w:szCs w:val="24"/>
    </w:rPr>
  </w:style>
  <w:style w:type="paragraph" w:customStyle="1" w:styleId="Level03">
    <w:name w:val="$Level03"/>
    <w:basedOn w:val="Normal"/>
    <w:rsid w:val="00AA31D3"/>
    <w:pPr>
      <w:widowControl w:val="0"/>
      <w:tabs>
        <w:tab w:val="left" w:pos="1656"/>
        <w:tab w:val="num" w:pos="2016"/>
        <w:tab w:val="left" w:pos="2232"/>
        <w:tab w:val="left" w:pos="2808"/>
      </w:tabs>
      <w:spacing w:line="480" w:lineRule="exact"/>
      <w:ind w:left="1656" w:hanging="360"/>
    </w:pPr>
    <w:rPr>
      <w:lang w:eastAsia="en-US"/>
    </w:rPr>
  </w:style>
  <w:style w:type="paragraph" w:customStyle="1" w:styleId="Level05">
    <w:name w:val="$Level05"/>
    <w:basedOn w:val="Normal"/>
    <w:rsid w:val="00AA31D3"/>
    <w:pPr>
      <w:tabs>
        <w:tab w:val="left" w:pos="2376"/>
        <w:tab w:val="num" w:pos="2736"/>
        <w:tab w:val="left" w:pos="2952"/>
        <w:tab w:val="left" w:pos="3528"/>
      </w:tabs>
      <w:spacing w:line="480" w:lineRule="exact"/>
      <w:ind w:left="2376" w:hanging="360"/>
    </w:pPr>
    <w:rPr>
      <w:lang w:eastAsia="en-US"/>
    </w:rPr>
  </w:style>
  <w:style w:type="paragraph" w:customStyle="1" w:styleId="Level04">
    <w:name w:val="$Level04"/>
    <w:basedOn w:val="Normal"/>
    <w:rsid w:val="00AA31D3"/>
    <w:pPr>
      <w:tabs>
        <w:tab w:val="left" w:pos="2016"/>
        <w:tab w:val="num" w:pos="2376"/>
        <w:tab w:val="left" w:pos="2592"/>
        <w:tab w:val="left" w:pos="3168"/>
        <w:tab w:val="num" w:pos="3456"/>
      </w:tabs>
      <w:spacing w:line="480" w:lineRule="exact"/>
      <w:ind w:left="2016" w:hanging="360"/>
    </w:pPr>
    <w:rPr>
      <w:lang w:eastAsia="en-US"/>
    </w:rPr>
  </w:style>
  <w:style w:type="paragraph" w:customStyle="1" w:styleId="Level06">
    <w:name w:val="$Level06"/>
    <w:basedOn w:val="Normal"/>
    <w:rsid w:val="00AA31D3"/>
    <w:pPr>
      <w:tabs>
        <w:tab w:val="left" w:pos="2736"/>
        <w:tab w:val="left" w:pos="3312"/>
        <w:tab w:val="num" w:pos="3456"/>
        <w:tab w:val="left" w:pos="3888"/>
      </w:tabs>
      <w:spacing w:line="480" w:lineRule="exact"/>
      <w:ind w:left="2736" w:hanging="360"/>
    </w:pPr>
    <w:rPr>
      <w:lang w:eastAsia="en-US"/>
    </w:rPr>
  </w:style>
  <w:style w:type="paragraph" w:customStyle="1" w:styleId="Level00">
    <w:name w:val="$Level00"/>
    <w:basedOn w:val="Normal"/>
    <w:next w:val="NormalIndent"/>
    <w:rsid w:val="00AA31D3"/>
    <w:pPr>
      <w:widowControl w:val="0"/>
      <w:tabs>
        <w:tab w:val="left" w:pos="576"/>
        <w:tab w:val="left" w:pos="1152"/>
      </w:tabs>
      <w:spacing w:line="480" w:lineRule="exact"/>
      <w:ind w:left="576" w:hanging="576"/>
    </w:pPr>
    <w:rPr>
      <w:lang w:eastAsia="en-US"/>
    </w:rPr>
  </w:style>
  <w:style w:type="paragraph" w:customStyle="1" w:styleId="QuickA">
    <w:name w:val="Quick A."/>
    <w:basedOn w:val="Normal"/>
    <w:rsid w:val="00AA31D3"/>
    <w:pPr>
      <w:widowControl w:val="0"/>
      <w:tabs>
        <w:tab w:val="num" w:pos="720"/>
      </w:tabs>
      <w:snapToGrid w:val="0"/>
      <w:spacing w:line="240" w:lineRule="auto"/>
      <w:ind w:left="720" w:hanging="360"/>
    </w:pPr>
    <w:rPr>
      <w:lang w:eastAsia="en-US"/>
    </w:rPr>
  </w:style>
  <w:style w:type="paragraph" w:customStyle="1" w:styleId="Answer1">
    <w:name w:val="Answer&quot;"/>
    <w:basedOn w:val="answer"/>
    <w:rsid w:val="003C7909"/>
    <w:pPr>
      <w:ind w:firstLine="0"/>
    </w:pPr>
    <w:rPr>
      <w:szCs w:val="24"/>
      <w:lang w:eastAsia="en-US"/>
    </w:rPr>
  </w:style>
  <w:style w:type="paragraph" w:customStyle="1" w:styleId="anwer">
    <w:name w:val="anwer"/>
    <w:basedOn w:val="Normal"/>
    <w:rsid w:val="00255659"/>
    <w:pPr>
      <w:widowControl w:val="0"/>
      <w:overflowPunct w:val="0"/>
      <w:autoSpaceDE w:val="0"/>
      <w:autoSpaceDN w:val="0"/>
      <w:adjustRightInd w:val="0"/>
      <w:spacing w:line="480" w:lineRule="auto"/>
      <w:ind w:left="720" w:hanging="720"/>
      <w:jc w:val="both"/>
    </w:pPr>
    <w:rPr>
      <w:szCs w:val="24"/>
      <w:lang w:eastAsia="en-US"/>
    </w:rPr>
  </w:style>
  <w:style w:type="paragraph" w:customStyle="1" w:styleId="TableHeading">
    <w:name w:val="Table Heading"/>
    <w:basedOn w:val="Normal"/>
    <w:rsid w:val="00E51C96"/>
    <w:pPr>
      <w:keepNext/>
      <w:keepLines/>
      <w:suppressLineNumbers/>
      <w:spacing w:after="120" w:line="240" w:lineRule="auto"/>
      <w:ind w:left="720" w:firstLine="0"/>
      <w:jc w:val="center"/>
    </w:pPr>
    <w:rPr>
      <w:b/>
      <w:szCs w:val="24"/>
      <w:lang w:eastAsia="en-US"/>
    </w:rPr>
  </w:style>
  <w:style w:type="paragraph" w:customStyle="1" w:styleId="Heading23">
    <w:name w:val="Heading 23"/>
    <w:basedOn w:val="Heading2"/>
    <w:rsid w:val="00D2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8469">
      <w:bodyDiv w:val="1"/>
      <w:marLeft w:val="0"/>
      <w:marRight w:val="0"/>
      <w:marTop w:val="0"/>
      <w:marBottom w:val="0"/>
      <w:divBdr>
        <w:top w:val="none" w:sz="0" w:space="0" w:color="auto"/>
        <w:left w:val="none" w:sz="0" w:space="0" w:color="auto"/>
        <w:bottom w:val="none" w:sz="0" w:space="0" w:color="auto"/>
        <w:right w:val="none" w:sz="0" w:space="0" w:color="auto"/>
      </w:divBdr>
    </w:div>
    <w:div w:id="79761339">
      <w:bodyDiv w:val="1"/>
      <w:marLeft w:val="0"/>
      <w:marRight w:val="0"/>
      <w:marTop w:val="0"/>
      <w:marBottom w:val="0"/>
      <w:divBdr>
        <w:top w:val="none" w:sz="0" w:space="0" w:color="auto"/>
        <w:left w:val="none" w:sz="0" w:space="0" w:color="auto"/>
        <w:bottom w:val="none" w:sz="0" w:space="0" w:color="auto"/>
        <w:right w:val="none" w:sz="0" w:space="0" w:color="auto"/>
      </w:divBdr>
    </w:div>
    <w:div w:id="216210967">
      <w:bodyDiv w:val="1"/>
      <w:marLeft w:val="0"/>
      <w:marRight w:val="0"/>
      <w:marTop w:val="0"/>
      <w:marBottom w:val="0"/>
      <w:divBdr>
        <w:top w:val="none" w:sz="0" w:space="0" w:color="auto"/>
        <w:left w:val="none" w:sz="0" w:space="0" w:color="auto"/>
        <w:bottom w:val="none" w:sz="0" w:space="0" w:color="auto"/>
        <w:right w:val="none" w:sz="0" w:space="0" w:color="auto"/>
      </w:divBdr>
    </w:div>
    <w:div w:id="312417312">
      <w:bodyDiv w:val="1"/>
      <w:marLeft w:val="0"/>
      <w:marRight w:val="0"/>
      <w:marTop w:val="0"/>
      <w:marBottom w:val="0"/>
      <w:divBdr>
        <w:top w:val="none" w:sz="0" w:space="0" w:color="auto"/>
        <w:left w:val="none" w:sz="0" w:space="0" w:color="auto"/>
        <w:bottom w:val="none" w:sz="0" w:space="0" w:color="auto"/>
        <w:right w:val="none" w:sz="0" w:space="0" w:color="auto"/>
      </w:divBdr>
      <w:divsChild>
        <w:div w:id="1540315082">
          <w:marLeft w:val="0"/>
          <w:marRight w:val="0"/>
          <w:marTop w:val="0"/>
          <w:marBottom w:val="120"/>
          <w:divBdr>
            <w:top w:val="none" w:sz="0" w:space="0" w:color="auto"/>
            <w:left w:val="none" w:sz="0" w:space="0" w:color="auto"/>
            <w:bottom w:val="none" w:sz="0" w:space="0" w:color="auto"/>
            <w:right w:val="none" w:sz="0" w:space="0" w:color="auto"/>
          </w:divBdr>
          <w:divsChild>
            <w:div w:id="959610251">
              <w:marLeft w:val="0"/>
              <w:marRight w:val="0"/>
              <w:marTop w:val="0"/>
              <w:marBottom w:val="0"/>
              <w:divBdr>
                <w:top w:val="single" w:sz="6" w:space="16" w:color="414141"/>
                <w:left w:val="single" w:sz="6" w:space="18" w:color="414141"/>
                <w:bottom w:val="single" w:sz="6" w:space="0" w:color="414141"/>
                <w:right w:val="single" w:sz="6" w:space="31" w:color="414141"/>
              </w:divBdr>
            </w:div>
          </w:divsChild>
        </w:div>
        <w:div w:id="316811214">
          <w:marLeft w:val="0"/>
          <w:marRight w:val="0"/>
          <w:marTop w:val="0"/>
          <w:marBottom w:val="0"/>
          <w:divBdr>
            <w:top w:val="none" w:sz="0" w:space="0" w:color="auto"/>
            <w:left w:val="none" w:sz="0" w:space="0" w:color="auto"/>
            <w:bottom w:val="none" w:sz="0" w:space="0" w:color="auto"/>
            <w:right w:val="none" w:sz="0" w:space="0" w:color="auto"/>
          </w:divBdr>
        </w:div>
      </w:divsChild>
    </w:div>
    <w:div w:id="326133541">
      <w:bodyDiv w:val="1"/>
      <w:marLeft w:val="0"/>
      <w:marRight w:val="0"/>
      <w:marTop w:val="0"/>
      <w:marBottom w:val="0"/>
      <w:divBdr>
        <w:top w:val="none" w:sz="0" w:space="0" w:color="auto"/>
        <w:left w:val="none" w:sz="0" w:space="0" w:color="auto"/>
        <w:bottom w:val="none" w:sz="0" w:space="0" w:color="auto"/>
        <w:right w:val="none" w:sz="0" w:space="0" w:color="auto"/>
      </w:divBdr>
    </w:div>
    <w:div w:id="335115300">
      <w:bodyDiv w:val="1"/>
      <w:marLeft w:val="0"/>
      <w:marRight w:val="0"/>
      <w:marTop w:val="0"/>
      <w:marBottom w:val="0"/>
      <w:divBdr>
        <w:top w:val="none" w:sz="0" w:space="0" w:color="auto"/>
        <w:left w:val="none" w:sz="0" w:space="0" w:color="auto"/>
        <w:bottom w:val="none" w:sz="0" w:space="0" w:color="auto"/>
        <w:right w:val="none" w:sz="0" w:space="0" w:color="auto"/>
      </w:divBdr>
    </w:div>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37138533">
      <w:bodyDiv w:val="1"/>
      <w:marLeft w:val="0"/>
      <w:marRight w:val="0"/>
      <w:marTop w:val="0"/>
      <w:marBottom w:val="0"/>
      <w:divBdr>
        <w:top w:val="none" w:sz="0" w:space="0" w:color="auto"/>
        <w:left w:val="none" w:sz="0" w:space="0" w:color="auto"/>
        <w:bottom w:val="none" w:sz="0" w:space="0" w:color="auto"/>
        <w:right w:val="none" w:sz="0" w:space="0" w:color="auto"/>
      </w:divBdr>
    </w:div>
    <w:div w:id="446899313">
      <w:bodyDiv w:val="1"/>
      <w:marLeft w:val="0"/>
      <w:marRight w:val="0"/>
      <w:marTop w:val="0"/>
      <w:marBottom w:val="0"/>
      <w:divBdr>
        <w:top w:val="none" w:sz="0" w:space="0" w:color="auto"/>
        <w:left w:val="none" w:sz="0" w:space="0" w:color="auto"/>
        <w:bottom w:val="none" w:sz="0" w:space="0" w:color="auto"/>
        <w:right w:val="none" w:sz="0" w:space="0" w:color="auto"/>
      </w:divBdr>
    </w:div>
    <w:div w:id="469177510">
      <w:bodyDiv w:val="1"/>
      <w:marLeft w:val="0"/>
      <w:marRight w:val="0"/>
      <w:marTop w:val="0"/>
      <w:marBottom w:val="0"/>
      <w:divBdr>
        <w:top w:val="none" w:sz="0" w:space="0" w:color="auto"/>
        <w:left w:val="none" w:sz="0" w:space="0" w:color="auto"/>
        <w:bottom w:val="none" w:sz="0" w:space="0" w:color="auto"/>
        <w:right w:val="none" w:sz="0" w:space="0" w:color="auto"/>
      </w:divBdr>
      <w:divsChild>
        <w:div w:id="776025007">
          <w:marLeft w:val="0"/>
          <w:marRight w:val="0"/>
          <w:marTop w:val="0"/>
          <w:marBottom w:val="0"/>
          <w:divBdr>
            <w:top w:val="none" w:sz="0" w:space="0" w:color="auto"/>
            <w:left w:val="none" w:sz="0" w:space="0" w:color="auto"/>
            <w:bottom w:val="none" w:sz="0" w:space="0" w:color="auto"/>
            <w:right w:val="none" w:sz="0" w:space="0" w:color="auto"/>
          </w:divBdr>
        </w:div>
        <w:div w:id="1293949313">
          <w:marLeft w:val="0"/>
          <w:marRight w:val="0"/>
          <w:marTop w:val="0"/>
          <w:marBottom w:val="0"/>
          <w:divBdr>
            <w:top w:val="none" w:sz="0" w:space="0" w:color="auto"/>
            <w:left w:val="none" w:sz="0" w:space="0" w:color="auto"/>
            <w:bottom w:val="none" w:sz="0" w:space="0" w:color="auto"/>
            <w:right w:val="none" w:sz="0" w:space="0" w:color="auto"/>
          </w:divBdr>
        </w:div>
        <w:div w:id="102262909">
          <w:marLeft w:val="0"/>
          <w:marRight w:val="0"/>
          <w:marTop w:val="0"/>
          <w:marBottom w:val="0"/>
          <w:divBdr>
            <w:top w:val="none" w:sz="0" w:space="0" w:color="auto"/>
            <w:left w:val="none" w:sz="0" w:space="0" w:color="auto"/>
            <w:bottom w:val="none" w:sz="0" w:space="0" w:color="auto"/>
            <w:right w:val="none" w:sz="0" w:space="0" w:color="auto"/>
          </w:divBdr>
        </w:div>
      </w:divsChild>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546995766">
      <w:bodyDiv w:val="1"/>
      <w:marLeft w:val="0"/>
      <w:marRight w:val="0"/>
      <w:marTop w:val="0"/>
      <w:marBottom w:val="0"/>
      <w:divBdr>
        <w:top w:val="none" w:sz="0" w:space="0" w:color="auto"/>
        <w:left w:val="none" w:sz="0" w:space="0" w:color="auto"/>
        <w:bottom w:val="none" w:sz="0" w:space="0" w:color="auto"/>
        <w:right w:val="none" w:sz="0" w:space="0" w:color="auto"/>
      </w:divBdr>
    </w:div>
    <w:div w:id="663627452">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809133857">
      <w:bodyDiv w:val="1"/>
      <w:marLeft w:val="0"/>
      <w:marRight w:val="0"/>
      <w:marTop w:val="0"/>
      <w:marBottom w:val="0"/>
      <w:divBdr>
        <w:top w:val="none" w:sz="0" w:space="0" w:color="auto"/>
        <w:left w:val="none" w:sz="0" w:space="0" w:color="auto"/>
        <w:bottom w:val="none" w:sz="0" w:space="0" w:color="auto"/>
        <w:right w:val="none" w:sz="0" w:space="0" w:color="auto"/>
      </w:divBdr>
    </w:div>
    <w:div w:id="812647652">
      <w:bodyDiv w:val="1"/>
      <w:marLeft w:val="0"/>
      <w:marRight w:val="0"/>
      <w:marTop w:val="0"/>
      <w:marBottom w:val="0"/>
      <w:divBdr>
        <w:top w:val="none" w:sz="0" w:space="0" w:color="auto"/>
        <w:left w:val="none" w:sz="0" w:space="0" w:color="auto"/>
        <w:bottom w:val="none" w:sz="0" w:space="0" w:color="auto"/>
        <w:right w:val="none" w:sz="0" w:space="0" w:color="auto"/>
      </w:divBdr>
    </w:div>
    <w:div w:id="870266217">
      <w:bodyDiv w:val="1"/>
      <w:marLeft w:val="0"/>
      <w:marRight w:val="0"/>
      <w:marTop w:val="0"/>
      <w:marBottom w:val="0"/>
      <w:divBdr>
        <w:top w:val="none" w:sz="0" w:space="0" w:color="auto"/>
        <w:left w:val="none" w:sz="0" w:space="0" w:color="auto"/>
        <w:bottom w:val="none" w:sz="0" w:space="0" w:color="auto"/>
        <w:right w:val="none" w:sz="0" w:space="0" w:color="auto"/>
      </w:divBdr>
    </w:div>
    <w:div w:id="955334720">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993534644">
      <w:bodyDiv w:val="1"/>
      <w:marLeft w:val="0"/>
      <w:marRight w:val="0"/>
      <w:marTop w:val="0"/>
      <w:marBottom w:val="0"/>
      <w:divBdr>
        <w:top w:val="none" w:sz="0" w:space="0" w:color="auto"/>
        <w:left w:val="none" w:sz="0" w:space="0" w:color="auto"/>
        <w:bottom w:val="none" w:sz="0" w:space="0" w:color="auto"/>
        <w:right w:val="none" w:sz="0" w:space="0" w:color="auto"/>
      </w:divBdr>
    </w:div>
    <w:div w:id="1229074005">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1317608245">
      <w:bodyDiv w:val="1"/>
      <w:marLeft w:val="0"/>
      <w:marRight w:val="0"/>
      <w:marTop w:val="0"/>
      <w:marBottom w:val="0"/>
      <w:divBdr>
        <w:top w:val="none" w:sz="0" w:space="0" w:color="auto"/>
        <w:left w:val="none" w:sz="0" w:space="0" w:color="auto"/>
        <w:bottom w:val="none" w:sz="0" w:space="0" w:color="auto"/>
        <w:right w:val="none" w:sz="0" w:space="0" w:color="auto"/>
      </w:divBdr>
    </w:div>
    <w:div w:id="1360861766">
      <w:bodyDiv w:val="1"/>
      <w:marLeft w:val="0"/>
      <w:marRight w:val="0"/>
      <w:marTop w:val="0"/>
      <w:marBottom w:val="0"/>
      <w:divBdr>
        <w:top w:val="none" w:sz="0" w:space="0" w:color="auto"/>
        <w:left w:val="none" w:sz="0" w:space="0" w:color="auto"/>
        <w:bottom w:val="none" w:sz="0" w:space="0" w:color="auto"/>
        <w:right w:val="none" w:sz="0" w:space="0" w:color="auto"/>
      </w:divBdr>
    </w:div>
    <w:div w:id="1362517314">
      <w:bodyDiv w:val="1"/>
      <w:marLeft w:val="0"/>
      <w:marRight w:val="0"/>
      <w:marTop w:val="0"/>
      <w:marBottom w:val="0"/>
      <w:divBdr>
        <w:top w:val="none" w:sz="0" w:space="0" w:color="auto"/>
        <w:left w:val="none" w:sz="0" w:space="0" w:color="auto"/>
        <w:bottom w:val="none" w:sz="0" w:space="0" w:color="auto"/>
        <w:right w:val="none" w:sz="0" w:space="0" w:color="auto"/>
      </w:divBdr>
    </w:div>
    <w:div w:id="1396473618">
      <w:bodyDiv w:val="1"/>
      <w:marLeft w:val="0"/>
      <w:marRight w:val="0"/>
      <w:marTop w:val="0"/>
      <w:marBottom w:val="0"/>
      <w:divBdr>
        <w:top w:val="none" w:sz="0" w:space="0" w:color="auto"/>
        <w:left w:val="none" w:sz="0" w:space="0" w:color="auto"/>
        <w:bottom w:val="none" w:sz="0" w:space="0" w:color="auto"/>
        <w:right w:val="none" w:sz="0" w:space="0" w:color="auto"/>
      </w:divBdr>
    </w:div>
    <w:div w:id="1544517710">
      <w:bodyDiv w:val="1"/>
      <w:marLeft w:val="0"/>
      <w:marRight w:val="0"/>
      <w:marTop w:val="0"/>
      <w:marBottom w:val="0"/>
      <w:divBdr>
        <w:top w:val="none" w:sz="0" w:space="0" w:color="auto"/>
        <w:left w:val="none" w:sz="0" w:space="0" w:color="auto"/>
        <w:bottom w:val="none" w:sz="0" w:space="0" w:color="auto"/>
        <w:right w:val="none" w:sz="0" w:space="0" w:color="auto"/>
      </w:divBdr>
    </w:div>
    <w:div w:id="1699890391">
      <w:bodyDiv w:val="1"/>
      <w:marLeft w:val="0"/>
      <w:marRight w:val="0"/>
      <w:marTop w:val="0"/>
      <w:marBottom w:val="0"/>
      <w:divBdr>
        <w:top w:val="none" w:sz="0" w:space="0" w:color="auto"/>
        <w:left w:val="none" w:sz="0" w:space="0" w:color="auto"/>
        <w:bottom w:val="none" w:sz="0" w:space="0" w:color="auto"/>
        <w:right w:val="none" w:sz="0" w:space="0" w:color="auto"/>
      </w:divBdr>
    </w:div>
    <w:div w:id="1860311763">
      <w:bodyDiv w:val="1"/>
      <w:marLeft w:val="0"/>
      <w:marRight w:val="0"/>
      <w:marTop w:val="0"/>
      <w:marBottom w:val="0"/>
      <w:divBdr>
        <w:top w:val="none" w:sz="0" w:space="0" w:color="auto"/>
        <w:left w:val="none" w:sz="0" w:space="0" w:color="auto"/>
        <w:bottom w:val="none" w:sz="0" w:space="0" w:color="auto"/>
        <w:right w:val="none" w:sz="0" w:space="0" w:color="auto"/>
      </w:divBdr>
    </w:div>
    <w:div w:id="1865288865">
      <w:bodyDiv w:val="1"/>
      <w:marLeft w:val="0"/>
      <w:marRight w:val="0"/>
      <w:marTop w:val="0"/>
      <w:marBottom w:val="0"/>
      <w:divBdr>
        <w:top w:val="none" w:sz="0" w:space="0" w:color="auto"/>
        <w:left w:val="none" w:sz="0" w:space="0" w:color="auto"/>
        <w:bottom w:val="none" w:sz="0" w:space="0" w:color="auto"/>
        <w:right w:val="none" w:sz="0" w:space="0" w:color="auto"/>
      </w:divBdr>
    </w:div>
    <w:div w:id="1970670201">
      <w:bodyDiv w:val="1"/>
      <w:marLeft w:val="0"/>
      <w:marRight w:val="0"/>
      <w:marTop w:val="0"/>
      <w:marBottom w:val="0"/>
      <w:divBdr>
        <w:top w:val="none" w:sz="0" w:space="0" w:color="auto"/>
        <w:left w:val="none" w:sz="0" w:space="0" w:color="auto"/>
        <w:bottom w:val="none" w:sz="0" w:space="0" w:color="auto"/>
        <w:right w:val="none" w:sz="0" w:space="0" w:color="auto"/>
      </w:divBdr>
    </w:div>
    <w:div w:id="2050186007">
      <w:bodyDiv w:val="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 w:id="2083720717">
      <w:bodyDiv w:val="1"/>
      <w:marLeft w:val="0"/>
      <w:marRight w:val="0"/>
      <w:marTop w:val="0"/>
      <w:marBottom w:val="0"/>
      <w:divBdr>
        <w:top w:val="none" w:sz="0" w:space="0" w:color="auto"/>
        <w:left w:val="none" w:sz="0" w:space="0" w:color="auto"/>
        <w:bottom w:val="none" w:sz="0" w:space="0" w:color="auto"/>
        <w:right w:val="none" w:sz="0" w:space="0" w:color="auto"/>
      </w:divBdr>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rattle.com/system/publications/pdfs/000/004/995/original/Effect_of_Electric_Decoupling_on_the_Cost_of_Capital.pdf?1395776507" TargetMode="External"/><Relationship Id="rId1" Type="http://schemas.openxmlformats.org/officeDocument/2006/relationships/hyperlink" Target="http://ssrn.com/abstract=10849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uzmj\Documents\Opened_From_Outlook\Calculation%20of%20Long-Term%20Woolridge%20ROE%20Error%20Gap%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3018372703412"/>
          <c:y val="5.5537778522365563E-2"/>
          <c:w val="0.84412117235345585"/>
          <c:h val="0.89306165186798458"/>
        </c:manualLayout>
      </c:layout>
      <c:lineChart>
        <c:grouping val="standard"/>
        <c:varyColors val="0"/>
        <c:ser>
          <c:idx val="0"/>
          <c:order val="0"/>
          <c:tx>
            <c:strRef>
              <c:f>'Woolridge ROE Error Gap'!$D$5</c:f>
              <c:strCache>
                <c:ptCount val="1"/>
                <c:pt idx="0">
                  <c:v>Woolridge-Recommended ROE</c:v>
                </c:pt>
              </c:strCache>
            </c:strRef>
          </c:tx>
          <c:marker>
            <c:symbol val="none"/>
          </c:marker>
          <c:cat>
            <c:strRef>
              <c:f>'Woolridge ROE Error Gap'!$B$9:$B$58</c:f>
              <c:strCache>
                <c:ptCount val="50"/>
                <c:pt idx="0">
                  <c:v>2012</c:v>
                </c:pt>
                <c:pt idx="1">
                  <c:v>2012</c:v>
                </c:pt>
                <c:pt idx="2">
                  <c:v>2012</c:v>
                </c:pt>
                <c:pt idx="3">
                  <c:v>2012</c:v>
                </c:pt>
                <c:pt idx="4">
                  <c:v>2012</c:v>
                </c:pt>
                <c:pt idx="5">
                  <c:v>2012</c:v>
                </c:pt>
                <c:pt idx="6">
                  <c:v>2012</c:v>
                </c:pt>
                <c:pt idx="7">
                  <c:v>2012</c:v>
                </c:pt>
                <c:pt idx="8">
                  <c:v>2011-2014</c:v>
                </c:pt>
                <c:pt idx="9">
                  <c:v>2013</c:v>
                </c:pt>
                <c:pt idx="10">
                  <c:v>2013</c:v>
                </c:pt>
                <c:pt idx="11">
                  <c:v>2013</c:v>
                </c:pt>
                <c:pt idx="12">
                  <c:v>2013</c:v>
                </c:pt>
                <c:pt idx="13">
                  <c:v>2013</c:v>
                </c:pt>
                <c:pt idx="14">
                  <c:v>2013</c:v>
                </c:pt>
                <c:pt idx="15">
                  <c:v>2012</c:v>
                </c:pt>
                <c:pt idx="16">
                  <c:v>2013</c:v>
                </c:pt>
                <c:pt idx="17">
                  <c:v>2011</c:v>
                </c:pt>
                <c:pt idx="18">
                  <c:v>2012</c:v>
                </c:pt>
                <c:pt idx="19">
                  <c:v>2014</c:v>
                </c:pt>
                <c:pt idx="20">
                  <c:v>2014</c:v>
                </c:pt>
                <c:pt idx="21">
                  <c:v>2014</c:v>
                </c:pt>
                <c:pt idx="22">
                  <c:v>2014</c:v>
                </c:pt>
                <c:pt idx="23">
                  <c:v>2014</c:v>
                </c:pt>
                <c:pt idx="24">
                  <c:v>2014</c:v>
                </c:pt>
                <c:pt idx="25">
                  <c:v>2015</c:v>
                </c:pt>
                <c:pt idx="26">
                  <c:v>2015</c:v>
                </c:pt>
                <c:pt idx="27">
                  <c:v>2015</c:v>
                </c:pt>
                <c:pt idx="28">
                  <c:v>2015</c:v>
                </c:pt>
                <c:pt idx="29">
                  <c:v>2015</c:v>
                </c:pt>
                <c:pt idx="30">
                  <c:v>2015</c:v>
                </c:pt>
                <c:pt idx="31">
                  <c:v>2015</c:v>
                </c:pt>
                <c:pt idx="32">
                  <c:v>2016</c:v>
                </c:pt>
                <c:pt idx="33">
                  <c:v>2016</c:v>
                </c:pt>
                <c:pt idx="34">
                  <c:v>2016</c:v>
                </c:pt>
                <c:pt idx="35">
                  <c:v>2016</c:v>
                </c:pt>
                <c:pt idx="36">
                  <c:v>2016</c:v>
                </c:pt>
                <c:pt idx="37">
                  <c:v>2016</c:v>
                </c:pt>
                <c:pt idx="38">
                  <c:v>2016</c:v>
                </c:pt>
                <c:pt idx="39">
                  <c:v>2016</c:v>
                </c:pt>
                <c:pt idx="40">
                  <c:v>2016</c:v>
                </c:pt>
                <c:pt idx="41">
                  <c:v>2016</c:v>
                </c:pt>
                <c:pt idx="42">
                  <c:v>2016</c:v>
                </c:pt>
                <c:pt idx="43">
                  <c:v>2016</c:v>
                </c:pt>
                <c:pt idx="44">
                  <c:v>2016</c:v>
                </c:pt>
                <c:pt idx="45">
                  <c:v>2016</c:v>
                </c:pt>
                <c:pt idx="46">
                  <c:v>2017</c:v>
                </c:pt>
                <c:pt idx="47">
                  <c:v>2017</c:v>
                </c:pt>
                <c:pt idx="48">
                  <c:v>2017</c:v>
                </c:pt>
                <c:pt idx="49">
                  <c:v>2017</c:v>
                </c:pt>
              </c:strCache>
            </c:strRef>
          </c:cat>
          <c:val>
            <c:numRef>
              <c:f>'Woolridge ROE Error Gap'!$D$9:$D$58</c:f>
              <c:numCache>
                <c:formatCode>0.00%</c:formatCode>
                <c:ptCount val="50"/>
                <c:pt idx="0">
                  <c:v>8.7499999999999994E-2</c:v>
                </c:pt>
                <c:pt idx="1">
                  <c:v>0.09</c:v>
                </c:pt>
                <c:pt idx="2">
                  <c:v>8.5000000000000006E-2</c:v>
                </c:pt>
                <c:pt idx="3">
                  <c:v>8.5000000000000006E-2</c:v>
                </c:pt>
                <c:pt idx="4">
                  <c:v>8.5000000000000006E-2</c:v>
                </c:pt>
                <c:pt idx="5">
                  <c:v>8.5000000000000006E-2</c:v>
                </c:pt>
                <c:pt idx="6">
                  <c:v>8.5000000000000006E-2</c:v>
                </c:pt>
                <c:pt idx="7">
                  <c:v>8.5000000000000006E-2</c:v>
                </c:pt>
                <c:pt idx="8">
                  <c:v>8.8999999999999996E-2</c:v>
                </c:pt>
                <c:pt idx="9">
                  <c:v>8.5000000000000006E-2</c:v>
                </c:pt>
                <c:pt idx="10">
                  <c:v>8.7499999999999994E-2</c:v>
                </c:pt>
                <c:pt idx="11">
                  <c:v>8.7499999999999994E-2</c:v>
                </c:pt>
                <c:pt idx="12">
                  <c:v>8.8499999999999995E-2</c:v>
                </c:pt>
                <c:pt idx="13">
                  <c:v>8.5000000000000006E-2</c:v>
                </c:pt>
                <c:pt idx="14">
                  <c:v>8.7999999999999995E-2</c:v>
                </c:pt>
                <c:pt idx="15">
                  <c:v>8.5000000000000006E-2</c:v>
                </c:pt>
                <c:pt idx="16">
                  <c:v>8.7999999999999995E-2</c:v>
                </c:pt>
                <c:pt idx="17">
                  <c:v>9.1999999999999998E-2</c:v>
                </c:pt>
                <c:pt idx="18">
                  <c:v>8.5000000000000006E-2</c:v>
                </c:pt>
                <c:pt idx="19">
                  <c:v>8.8999999999999996E-2</c:v>
                </c:pt>
                <c:pt idx="20">
                  <c:v>8.5000000000000006E-2</c:v>
                </c:pt>
                <c:pt idx="21">
                  <c:v>8.5000000000000006E-2</c:v>
                </c:pt>
                <c:pt idx="22">
                  <c:v>8.7499999999999994E-2</c:v>
                </c:pt>
                <c:pt idx="23">
                  <c:v>8.7499999999999994E-2</c:v>
                </c:pt>
                <c:pt idx="24">
                  <c:v>8.7499999999999994E-2</c:v>
                </c:pt>
                <c:pt idx="25">
                  <c:v>8.5500000000000007E-2</c:v>
                </c:pt>
                <c:pt idx="26">
                  <c:v>8.5500000000000007E-2</c:v>
                </c:pt>
                <c:pt idx="27">
                  <c:v>8.6999999999999994E-2</c:v>
                </c:pt>
                <c:pt idx="28">
                  <c:v>8.6499999999999994E-2</c:v>
                </c:pt>
                <c:pt idx="29">
                  <c:v>8.8499999999999995E-2</c:v>
                </c:pt>
                <c:pt idx="30">
                  <c:v>8.8499999999999995E-2</c:v>
                </c:pt>
                <c:pt idx="31">
                  <c:v>8.7499999999999994E-2</c:v>
                </c:pt>
                <c:pt idx="32">
                  <c:v>8.9499999999999996E-2</c:v>
                </c:pt>
                <c:pt idx="33">
                  <c:v>0.09</c:v>
                </c:pt>
                <c:pt idx="34">
                  <c:v>8.6999999999999994E-2</c:v>
                </c:pt>
                <c:pt idx="35">
                  <c:v>8.8999999999999996E-2</c:v>
                </c:pt>
                <c:pt idx="36">
                  <c:v>8.7499999999999994E-2</c:v>
                </c:pt>
                <c:pt idx="37">
                  <c:v>8.6999999999999994E-2</c:v>
                </c:pt>
                <c:pt idx="38">
                  <c:v>8.5999999999999993E-2</c:v>
                </c:pt>
                <c:pt idx="39">
                  <c:v>8.5999999999999993E-2</c:v>
                </c:pt>
                <c:pt idx="40">
                  <c:v>8.5999999999999993E-2</c:v>
                </c:pt>
                <c:pt idx="41">
                  <c:v>8.5000000000000006E-2</c:v>
                </c:pt>
                <c:pt idx="42">
                  <c:v>8.7499999999999994E-2</c:v>
                </c:pt>
                <c:pt idx="43">
                  <c:v>8.5000000000000006E-2</c:v>
                </c:pt>
                <c:pt idx="44">
                  <c:v>8.6499999999999994E-2</c:v>
                </c:pt>
                <c:pt idx="45">
                  <c:v>8.5999999999999993E-2</c:v>
                </c:pt>
                <c:pt idx="46">
                  <c:v>8.5999999999999993E-2</c:v>
                </c:pt>
                <c:pt idx="47">
                  <c:v>8.6499999999999994E-2</c:v>
                </c:pt>
                <c:pt idx="48">
                  <c:v>8.7999999999999995E-2</c:v>
                </c:pt>
                <c:pt idx="49">
                  <c:v>8.6999999999999994E-2</c:v>
                </c:pt>
              </c:numCache>
            </c:numRef>
          </c:val>
          <c:smooth val="0"/>
        </c:ser>
        <c:ser>
          <c:idx val="1"/>
          <c:order val="1"/>
          <c:tx>
            <c:strRef>
              <c:f>'Woolridge ROE Error Gap'!$E$5</c:f>
              <c:strCache>
                <c:ptCount val="1"/>
                <c:pt idx="0">
                  <c:v>Commission-Approved ROE</c:v>
                </c:pt>
              </c:strCache>
            </c:strRef>
          </c:tx>
          <c:spPr>
            <a:ln w="41275"/>
          </c:spPr>
          <c:marker>
            <c:symbol val="none"/>
          </c:marker>
          <c:cat>
            <c:strRef>
              <c:f>'Woolridge ROE Error Gap'!$B$9:$B$58</c:f>
              <c:strCache>
                <c:ptCount val="50"/>
                <c:pt idx="0">
                  <c:v>2012</c:v>
                </c:pt>
                <c:pt idx="1">
                  <c:v>2012</c:v>
                </c:pt>
                <c:pt idx="2">
                  <c:v>2012</c:v>
                </c:pt>
                <c:pt idx="3">
                  <c:v>2012</c:v>
                </c:pt>
                <c:pt idx="4">
                  <c:v>2012</c:v>
                </c:pt>
                <c:pt idx="5">
                  <c:v>2012</c:v>
                </c:pt>
                <c:pt idx="6">
                  <c:v>2012</c:v>
                </c:pt>
                <c:pt idx="7">
                  <c:v>2012</c:v>
                </c:pt>
                <c:pt idx="8">
                  <c:v>2011-2014</c:v>
                </c:pt>
                <c:pt idx="9">
                  <c:v>2013</c:v>
                </c:pt>
                <c:pt idx="10">
                  <c:v>2013</c:v>
                </c:pt>
                <c:pt idx="11">
                  <c:v>2013</c:v>
                </c:pt>
                <c:pt idx="12">
                  <c:v>2013</c:v>
                </c:pt>
                <c:pt idx="13">
                  <c:v>2013</c:v>
                </c:pt>
                <c:pt idx="14">
                  <c:v>2013</c:v>
                </c:pt>
                <c:pt idx="15">
                  <c:v>2012</c:v>
                </c:pt>
                <c:pt idx="16">
                  <c:v>2013</c:v>
                </c:pt>
                <c:pt idx="17">
                  <c:v>2011</c:v>
                </c:pt>
                <c:pt idx="18">
                  <c:v>2012</c:v>
                </c:pt>
                <c:pt idx="19">
                  <c:v>2014</c:v>
                </c:pt>
                <c:pt idx="20">
                  <c:v>2014</c:v>
                </c:pt>
                <c:pt idx="21">
                  <c:v>2014</c:v>
                </c:pt>
                <c:pt idx="22">
                  <c:v>2014</c:v>
                </c:pt>
                <c:pt idx="23">
                  <c:v>2014</c:v>
                </c:pt>
                <c:pt idx="24">
                  <c:v>2014</c:v>
                </c:pt>
                <c:pt idx="25">
                  <c:v>2015</c:v>
                </c:pt>
                <c:pt idx="26">
                  <c:v>2015</c:v>
                </c:pt>
                <c:pt idx="27">
                  <c:v>2015</c:v>
                </c:pt>
                <c:pt idx="28">
                  <c:v>2015</c:v>
                </c:pt>
                <c:pt idx="29">
                  <c:v>2015</c:v>
                </c:pt>
                <c:pt idx="30">
                  <c:v>2015</c:v>
                </c:pt>
                <c:pt idx="31">
                  <c:v>2015</c:v>
                </c:pt>
                <c:pt idx="32">
                  <c:v>2016</c:v>
                </c:pt>
                <c:pt idx="33">
                  <c:v>2016</c:v>
                </c:pt>
                <c:pt idx="34">
                  <c:v>2016</c:v>
                </c:pt>
                <c:pt idx="35">
                  <c:v>2016</c:v>
                </c:pt>
                <c:pt idx="36">
                  <c:v>2016</c:v>
                </c:pt>
                <c:pt idx="37">
                  <c:v>2016</c:v>
                </c:pt>
                <c:pt idx="38">
                  <c:v>2016</c:v>
                </c:pt>
                <c:pt idx="39">
                  <c:v>2016</c:v>
                </c:pt>
                <c:pt idx="40">
                  <c:v>2016</c:v>
                </c:pt>
                <c:pt idx="41">
                  <c:v>2016</c:v>
                </c:pt>
                <c:pt idx="42">
                  <c:v>2016</c:v>
                </c:pt>
                <c:pt idx="43">
                  <c:v>2016</c:v>
                </c:pt>
                <c:pt idx="44">
                  <c:v>2016</c:v>
                </c:pt>
                <c:pt idx="45">
                  <c:v>2016</c:v>
                </c:pt>
                <c:pt idx="46">
                  <c:v>2017</c:v>
                </c:pt>
                <c:pt idx="47">
                  <c:v>2017</c:v>
                </c:pt>
                <c:pt idx="48">
                  <c:v>2017</c:v>
                </c:pt>
                <c:pt idx="49">
                  <c:v>2017</c:v>
                </c:pt>
              </c:strCache>
            </c:strRef>
          </c:cat>
          <c:val>
            <c:numRef>
              <c:f>'Woolridge ROE Error Gap'!$E$9:$E$58</c:f>
              <c:numCache>
                <c:formatCode>0.00%</c:formatCode>
                <c:ptCount val="50"/>
                <c:pt idx="0">
                  <c:v>9.4E-2</c:v>
                </c:pt>
                <c:pt idx="1">
                  <c:v>0.105</c:v>
                </c:pt>
                <c:pt idx="2">
                  <c:v>9.5000000000000001E-2</c:v>
                </c:pt>
                <c:pt idx="3">
                  <c:v>0.10299999999999999</c:v>
                </c:pt>
                <c:pt idx="4">
                  <c:v>9.7900000000000001E-2</c:v>
                </c:pt>
                <c:pt idx="5">
                  <c:v>0.10199999999999999</c:v>
                </c:pt>
                <c:pt idx="6">
                  <c:v>9.2499999999999999E-2</c:v>
                </c:pt>
                <c:pt idx="7">
                  <c:v>9.5000000000000001E-2</c:v>
                </c:pt>
                <c:pt idx="8">
                  <c:v>0.1057</c:v>
                </c:pt>
                <c:pt idx="9">
                  <c:v>9.1999999999999998E-2</c:v>
                </c:pt>
                <c:pt idx="10">
                  <c:v>9.1499999999999998E-2</c:v>
                </c:pt>
                <c:pt idx="11">
                  <c:v>0.10249999999999999</c:v>
                </c:pt>
                <c:pt idx="12">
                  <c:v>0.1</c:v>
                </c:pt>
                <c:pt idx="13">
                  <c:v>9.7500000000000003E-2</c:v>
                </c:pt>
                <c:pt idx="14">
                  <c:v>9.3600000000000003E-2</c:v>
                </c:pt>
                <c:pt idx="15">
                  <c:v>9.5000000000000001E-2</c:v>
                </c:pt>
                <c:pt idx="16">
                  <c:v>9.1800000000000007E-2</c:v>
                </c:pt>
                <c:pt idx="17">
                  <c:v>0.1057</c:v>
                </c:pt>
                <c:pt idx="18">
                  <c:v>0.10249999999999999</c:v>
                </c:pt>
                <c:pt idx="19">
                  <c:v>9.4E-2</c:v>
                </c:pt>
                <c:pt idx="20">
                  <c:v>9.0999999999999998E-2</c:v>
                </c:pt>
                <c:pt idx="21">
                  <c:v>9.0999999999999998E-2</c:v>
                </c:pt>
                <c:pt idx="22">
                  <c:v>0.105</c:v>
                </c:pt>
                <c:pt idx="23">
                  <c:v>9.7500000000000003E-2</c:v>
                </c:pt>
                <c:pt idx="24">
                  <c:v>9.7500000000000003E-2</c:v>
                </c:pt>
                <c:pt idx="25">
                  <c:v>0.105</c:v>
                </c:pt>
                <c:pt idx="26">
                  <c:v>9.2999999999999999E-2</c:v>
                </c:pt>
                <c:pt idx="27">
                  <c:v>9.5500000000000002E-2</c:v>
                </c:pt>
                <c:pt idx="28">
                  <c:v>9.8000000000000004E-2</c:v>
                </c:pt>
                <c:pt idx="29">
                  <c:v>9.8000000000000004E-2</c:v>
                </c:pt>
                <c:pt idx="30">
                  <c:v>0.1</c:v>
                </c:pt>
                <c:pt idx="31">
                  <c:v>0.1</c:v>
                </c:pt>
                <c:pt idx="32">
                  <c:v>9.4799999999999995E-2</c:v>
                </c:pt>
                <c:pt idx="33">
                  <c:v>9.5799999999999996E-2</c:v>
                </c:pt>
                <c:pt idx="34">
                  <c:v>9.98E-2</c:v>
                </c:pt>
                <c:pt idx="35">
                  <c:v>9.7500000000000003E-2</c:v>
                </c:pt>
                <c:pt idx="36">
                  <c:v>9.5000000000000001E-2</c:v>
                </c:pt>
                <c:pt idx="37">
                  <c:v>9.7500000000000003E-2</c:v>
                </c:pt>
                <c:pt idx="38">
                  <c:v>9.6500000000000002E-2</c:v>
                </c:pt>
                <c:pt idx="39">
                  <c:v>9.4E-2</c:v>
                </c:pt>
                <c:pt idx="40">
                  <c:v>9.9000000000000005E-2</c:v>
                </c:pt>
                <c:pt idx="41">
                  <c:v>9.0999999999999998E-2</c:v>
                </c:pt>
                <c:pt idx="42">
                  <c:v>0.1055</c:v>
                </c:pt>
                <c:pt idx="43">
                  <c:v>9.8000000000000004E-2</c:v>
                </c:pt>
                <c:pt idx="44">
                  <c:v>9.5500000000000002E-2</c:v>
                </c:pt>
                <c:pt idx="45">
                  <c:v>9.6000000000000002E-2</c:v>
                </c:pt>
                <c:pt idx="46">
                  <c:v>9.4E-2</c:v>
                </c:pt>
                <c:pt idx="47">
                  <c:v>9.4E-2</c:v>
                </c:pt>
                <c:pt idx="48">
                  <c:v>0.10249999999999999</c:v>
                </c:pt>
                <c:pt idx="49">
                  <c:v>9.5500000000000002E-2</c:v>
                </c:pt>
              </c:numCache>
            </c:numRef>
          </c:val>
          <c:smooth val="0"/>
        </c:ser>
        <c:dLbls>
          <c:showLegendKey val="0"/>
          <c:showVal val="0"/>
          <c:showCatName val="0"/>
          <c:showSerName val="0"/>
          <c:showPercent val="0"/>
          <c:showBubbleSize val="0"/>
        </c:dLbls>
        <c:marker val="1"/>
        <c:smooth val="0"/>
        <c:axId val="113055232"/>
        <c:axId val="113056768"/>
      </c:lineChart>
      <c:catAx>
        <c:axId val="113055232"/>
        <c:scaling>
          <c:orientation val="minMax"/>
        </c:scaling>
        <c:delete val="1"/>
        <c:axPos val="b"/>
        <c:majorTickMark val="out"/>
        <c:minorTickMark val="none"/>
        <c:tickLblPos val="nextTo"/>
        <c:crossAx val="113056768"/>
        <c:crosses val="autoZero"/>
        <c:auto val="1"/>
        <c:lblAlgn val="ctr"/>
        <c:lblOffset val="100"/>
        <c:noMultiLvlLbl val="0"/>
      </c:catAx>
      <c:valAx>
        <c:axId val="113056768"/>
        <c:scaling>
          <c:orientation val="minMax"/>
          <c:max val="0.11000000000000001"/>
          <c:min val="5.000000000000001E-2"/>
        </c:scaling>
        <c:delete val="0"/>
        <c:axPos val="l"/>
        <c:majorGridlines>
          <c:spPr>
            <a:ln w="6350">
              <a:prstDash val="sysDot"/>
            </a:ln>
          </c:spPr>
        </c:majorGridlines>
        <c:numFmt formatCode="0.00%" sourceLinked="1"/>
        <c:majorTickMark val="out"/>
        <c:minorTickMark val="none"/>
        <c:tickLblPos val="nextTo"/>
        <c:txPr>
          <a:bodyPr/>
          <a:lstStyle/>
          <a:p>
            <a:pPr>
              <a:defRPr baseline="0">
                <a:latin typeface="Times New Roman" panose="02020603050405020304" pitchFamily="18" charset="0"/>
              </a:defRPr>
            </a:pPr>
            <a:endParaRPr lang="en-US"/>
          </a:p>
        </c:txPr>
        <c:crossAx val="113055232"/>
        <c:crosses val="autoZero"/>
        <c:crossBetween val="between"/>
        <c:majorUnit val="1.0000000000000002E-2"/>
      </c:valAx>
    </c:plotArea>
    <c:legend>
      <c:legendPos val="r"/>
      <c:layout>
        <c:manualLayout>
          <c:xMode val="edge"/>
          <c:yMode val="edge"/>
          <c:x val="0.45170691163604543"/>
          <c:y val="0.65663969087197438"/>
          <c:w val="0.51218197725284342"/>
          <c:h val="0.27931321084864391"/>
        </c:manualLayout>
      </c:layout>
      <c:overlay val="0"/>
      <c:txPr>
        <a:bodyPr/>
        <a:lstStyle/>
        <a:p>
          <a:pPr>
            <a:defRPr sz="1200" baseline="0">
              <a:latin typeface="Times New Roman" panose="02020603050405020304" pitchFamily="18"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D2A0FE9-3361-48CA-9378-DDA8A0E2B063}">
  <ds:schemaRefs>
    <ds:schemaRef ds:uri="http://schemas.openxmlformats.org/officeDocument/2006/bibliography"/>
  </ds:schemaRefs>
</ds:datastoreItem>
</file>

<file path=customXml/itemProps2.xml><?xml version="1.0" encoding="utf-8"?>
<ds:datastoreItem xmlns:ds="http://schemas.openxmlformats.org/officeDocument/2006/customXml" ds:itemID="{5D818B75-EB79-4E23-A7C9-9D717AD68346}"/>
</file>

<file path=customXml/itemProps3.xml><?xml version="1.0" encoding="utf-8"?>
<ds:datastoreItem xmlns:ds="http://schemas.openxmlformats.org/officeDocument/2006/customXml" ds:itemID="{61F3BE49-35C8-4811-A398-A484A2F839FA}"/>
</file>

<file path=customXml/itemProps4.xml><?xml version="1.0" encoding="utf-8"?>
<ds:datastoreItem xmlns:ds="http://schemas.openxmlformats.org/officeDocument/2006/customXml" ds:itemID="{10CF42C1-7AD8-4884-A409-2D07F10E713D}"/>
</file>

<file path=customXml/itemProps5.xml><?xml version="1.0" encoding="utf-8"?>
<ds:datastoreItem xmlns:ds="http://schemas.openxmlformats.org/officeDocument/2006/customXml" ds:itemID="{F0779185-BCEA-43BB-9D8E-2E79D7B7D63A}"/>
</file>

<file path=docProps/app.xml><?xml version="1.0" encoding="utf-8"?>
<Properties xmlns="http://schemas.openxmlformats.org/officeDocument/2006/extended-properties" xmlns:vt="http://schemas.openxmlformats.org/officeDocument/2006/docPropsVTypes">
  <Template>Normal.dotm</Template>
  <TotalTime>4452</TotalTime>
  <Pages>103</Pages>
  <Words>21494</Words>
  <Characters>117070</Characters>
  <Application>Microsoft Office Word</Application>
  <DocSecurity>0</DocSecurity>
  <Lines>975</Lines>
  <Paragraphs>276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138288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51</cp:revision>
  <cp:lastPrinted>2017-08-07T23:13:00Z</cp:lastPrinted>
  <dcterms:created xsi:type="dcterms:W3CDTF">2017-06-27T17:40:00Z</dcterms:created>
  <dcterms:modified xsi:type="dcterms:W3CDTF">2017-08-07T23:57:00Z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