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BC" w:rsidRPr="000F1FBC" w:rsidRDefault="000F1FBC" w:rsidP="000F1FBC">
      <w:pPr>
        <w:spacing w:line="240" w:lineRule="auto"/>
        <w:ind w:left="4320" w:firstLine="0"/>
        <w:rPr>
          <w:b/>
        </w:rPr>
      </w:pPr>
      <w:proofErr w:type="spellStart"/>
      <w:r w:rsidRPr="009075DC">
        <w:rPr>
          <w:rStyle w:val="Strong"/>
        </w:rPr>
        <w:t>EXH</w:t>
      </w:r>
      <w:proofErr w:type="spellEnd"/>
      <w:r>
        <w:rPr>
          <w:rStyle w:val="Strong"/>
        </w:rPr>
        <w:t>. KJB-17T</w:t>
      </w:r>
      <w:r w:rsidRPr="000F1FBC">
        <w:rPr>
          <w:b/>
        </w:rPr>
        <w:br/>
        <w:t>DOCKETS UE-170033/UG-170034</w:t>
      </w:r>
      <w:r w:rsidRPr="000F1FBC">
        <w:rPr>
          <w:b/>
        </w:rPr>
        <w:br/>
        <w:t>2017 PSE GENERAL RATE CASE</w:t>
      </w:r>
      <w:r w:rsidRPr="000F1FBC">
        <w:rPr>
          <w:b/>
        </w:rPr>
        <w:br/>
        <w:t>WITNESS: </w:t>
      </w:r>
      <w:r>
        <w:rPr>
          <w:b/>
        </w:rPr>
        <w:t>KATHERINE J. BARNARD</w:t>
      </w:r>
    </w:p>
    <w:p w:rsidR="000F1FBC" w:rsidRPr="000F1FBC" w:rsidRDefault="000F1FBC" w:rsidP="000F1FBC">
      <w:pPr>
        <w:spacing w:before="1200" w:line="240" w:lineRule="auto"/>
        <w:ind w:firstLine="0"/>
        <w:jc w:val="center"/>
        <w:rPr>
          <w:b/>
        </w:rPr>
      </w:pPr>
      <w:r w:rsidRPr="000F1FBC">
        <w:rPr>
          <w:b/>
        </w:rPr>
        <w:t>BEFORE THE</w:t>
      </w:r>
    </w:p>
    <w:p w:rsidR="000F1FBC" w:rsidRPr="000F1FBC" w:rsidRDefault="000F1FBC" w:rsidP="000F1FBC">
      <w:pPr>
        <w:spacing w:after="720" w:line="240" w:lineRule="auto"/>
        <w:ind w:firstLine="0"/>
        <w:jc w:val="center"/>
        <w:rPr>
          <w:b/>
        </w:rPr>
      </w:pPr>
      <w:r w:rsidRPr="000F1FBC">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0F1FBC" w:rsidRPr="000F1FBC" w:rsidTr="00F26B15">
        <w:trPr>
          <w:cantSplit/>
        </w:trPr>
        <w:tc>
          <w:tcPr>
            <w:tcW w:w="4418" w:type="dxa"/>
            <w:tcBorders>
              <w:bottom w:val="single" w:sz="4" w:space="0" w:color="auto"/>
              <w:right w:val="single" w:sz="4" w:space="0" w:color="auto"/>
            </w:tcBorders>
          </w:tcPr>
          <w:p w:rsidR="000F1FBC" w:rsidRPr="000F1FBC" w:rsidRDefault="000F1FBC" w:rsidP="000F1FBC">
            <w:pPr>
              <w:spacing w:line="240" w:lineRule="auto"/>
              <w:ind w:firstLine="0"/>
              <w:rPr>
                <w:b/>
              </w:rPr>
            </w:pPr>
            <w:r w:rsidRPr="000F1FBC">
              <w:rPr>
                <w:b/>
              </w:rPr>
              <w:t>WASHINGTON UTILITIES AND</w:t>
            </w:r>
          </w:p>
          <w:p w:rsidR="000F1FBC" w:rsidRPr="000F1FBC" w:rsidRDefault="000F1FBC" w:rsidP="000F1FBC">
            <w:pPr>
              <w:spacing w:after="240" w:line="240" w:lineRule="auto"/>
              <w:ind w:firstLine="0"/>
              <w:rPr>
                <w:b/>
              </w:rPr>
            </w:pPr>
            <w:r w:rsidRPr="000F1FBC">
              <w:rPr>
                <w:b/>
              </w:rPr>
              <w:t>TRANSPORTATION COMMISSION,</w:t>
            </w:r>
          </w:p>
          <w:p w:rsidR="000F1FBC" w:rsidRPr="000F1FBC" w:rsidRDefault="000F1FBC" w:rsidP="000F1FBC">
            <w:pPr>
              <w:spacing w:after="240" w:line="240" w:lineRule="auto"/>
              <w:ind w:left="2438" w:firstLine="0"/>
              <w:rPr>
                <w:b/>
              </w:rPr>
            </w:pPr>
            <w:r w:rsidRPr="000F1FBC">
              <w:rPr>
                <w:b/>
              </w:rPr>
              <w:t>Complainant,</w:t>
            </w:r>
          </w:p>
          <w:p w:rsidR="000F1FBC" w:rsidRPr="000F1FBC" w:rsidRDefault="000F1FBC" w:rsidP="000F1FBC">
            <w:pPr>
              <w:spacing w:after="240" w:line="240" w:lineRule="auto"/>
              <w:ind w:left="728" w:firstLine="0"/>
              <w:rPr>
                <w:b/>
              </w:rPr>
            </w:pPr>
            <w:r w:rsidRPr="000F1FBC">
              <w:rPr>
                <w:b/>
              </w:rPr>
              <w:t>v.</w:t>
            </w:r>
          </w:p>
          <w:p w:rsidR="000F1FBC" w:rsidRPr="000F1FBC" w:rsidRDefault="000F1FBC" w:rsidP="000F1FBC">
            <w:pPr>
              <w:spacing w:after="240" w:line="240" w:lineRule="auto"/>
              <w:ind w:left="8" w:firstLine="0"/>
              <w:rPr>
                <w:b/>
              </w:rPr>
            </w:pPr>
            <w:r w:rsidRPr="000F1FBC">
              <w:rPr>
                <w:b/>
              </w:rPr>
              <w:t>PUGET SOUND ENERGY,</w:t>
            </w:r>
          </w:p>
          <w:p w:rsidR="000F1FBC" w:rsidRPr="000F1FBC" w:rsidRDefault="000F1FBC" w:rsidP="000F1FBC">
            <w:pPr>
              <w:spacing w:after="240" w:line="240" w:lineRule="auto"/>
              <w:ind w:left="2438" w:firstLine="0"/>
              <w:rPr>
                <w:b/>
              </w:rPr>
            </w:pPr>
            <w:r w:rsidRPr="000F1FBC">
              <w:rPr>
                <w:b/>
              </w:rPr>
              <w:t>Respondent.</w:t>
            </w:r>
          </w:p>
        </w:tc>
        <w:tc>
          <w:tcPr>
            <w:tcW w:w="360" w:type="dxa"/>
            <w:tcBorders>
              <w:left w:val="single" w:sz="4" w:space="0" w:color="auto"/>
            </w:tcBorders>
          </w:tcPr>
          <w:p w:rsidR="000F1FBC" w:rsidRPr="000F1FBC" w:rsidRDefault="000F1FBC" w:rsidP="000F1FBC">
            <w:pPr>
              <w:spacing w:line="240" w:lineRule="auto"/>
              <w:rPr>
                <w:b/>
              </w:rPr>
            </w:pPr>
          </w:p>
        </w:tc>
        <w:tc>
          <w:tcPr>
            <w:tcW w:w="4423" w:type="dxa"/>
            <w:vAlign w:val="center"/>
          </w:tcPr>
          <w:p w:rsidR="000F1FBC" w:rsidRPr="000F1FBC" w:rsidRDefault="000F1FBC" w:rsidP="000F1FBC">
            <w:pPr>
              <w:spacing w:line="240" w:lineRule="auto"/>
              <w:ind w:left="198" w:firstLine="0"/>
              <w:rPr>
                <w:b/>
              </w:rPr>
            </w:pPr>
            <w:r w:rsidRPr="000F1FBC">
              <w:rPr>
                <w:b/>
              </w:rPr>
              <w:t>Docket UE-170033</w:t>
            </w:r>
          </w:p>
          <w:p w:rsidR="000F1FBC" w:rsidRPr="000F1FBC" w:rsidRDefault="000F1FBC" w:rsidP="000F1FBC">
            <w:pPr>
              <w:spacing w:line="240" w:lineRule="auto"/>
              <w:ind w:left="198" w:firstLine="0"/>
              <w:rPr>
                <w:b/>
              </w:rPr>
            </w:pPr>
            <w:r w:rsidRPr="000F1FBC">
              <w:rPr>
                <w:b/>
              </w:rPr>
              <w:t>Docket UG-170034</w:t>
            </w:r>
          </w:p>
        </w:tc>
      </w:tr>
    </w:tbl>
    <w:p w:rsidR="000F1FBC" w:rsidRPr="000F1FBC" w:rsidRDefault="000F1FBC" w:rsidP="000F1FBC">
      <w:pPr>
        <w:spacing w:before="720" w:line="240" w:lineRule="auto"/>
        <w:ind w:firstLine="0"/>
        <w:jc w:val="center"/>
        <w:rPr>
          <w:b/>
        </w:rPr>
      </w:pPr>
      <w:proofErr w:type="spellStart"/>
      <w:r w:rsidRPr="000F1FBC">
        <w:rPr>
          <w:b/>
        </w:rPr>
        <w:t>PREFILED</w:t>
      </w:r>
      <w:proofErr w:type="spellEnd"/>
      <w:r w:rsidRPr="000F1FBC">
        <w:rPr>
          <w:b/>
        </w:rPr>
        <w:t xml:space="preserve"> REBUTTAL TESTIMONY</w:t>
      </w:r>
      <w:r w:rsidR="00D53EC5">
        <w:rPr>
          <w:b/>
        </w:rPr>
        <w:br/>
      </w:r>
      <w:r w:rsidRPr="000F1FBC">
        <w:rPr>
          <w:b/>
        </w:rPr>
        <w:t>(</w:t>
      </w:r>
      <w:proofErr w:type="spellStart"/>
      <w:r w:rsidRPr="000F1FBC">
        <w:rPr>
          <w:b/>
        </w:rPr>
        <w:t>NONCONFIDENTIAL</w:t>
      </w:r>
      <w:proofErr w:type="spellEnd"/>
      <w:r w:rsidRPr="000F1FBC">
        <w:rPr>
          <w:b/>
        </w:rPr>
        <w:t>) OF</w:t>
      </w:r>
    </w:p>
    <w:p w:rsidR="000F1FBC" w:rsidRPr="000F1FBC" w:rsidRDefault="000F1FBC" w:rsidP="000F1FBC">
      <w:pPr>
        <w:spacing w:before="240" w:after="240" w:line="240" w:lineRule="auto"/>
        <w:ind w:firstLine="0"/>
        <w:jc w:val="center"/>
        <w:rPr>
          <w:b/>
        </w:rPr>
      </w:pPr>
      <w:r>
        <w:rPr>
          <w:b/>
        </w:rPr>
        <w:t>KATHERINE J. BARNARD</w:t>
      </w:r>
    </w:p>
    <w:p w:rsidR="000F1FBC" w:rsidRPr="000F1FBC" w:rsidRDefault="000F1FBC" w:rsidP="00D53EC5">
      <w:pPr>
        <w:spacing w:after="3840" w:line="240" w:lineRule="auto"/>
        <w:ind w:firstLine="0"/>
        <w:jc w:val="center"/>
        <w:rPr>
          <w:b/>
        </w:rPr>
      </w:pPr>
      <w:r w:rsidRPr="000F1FBC">
        <w:rPr>
          <w:b/>
        </w:rPr>
        <w:t>ON BEHALF OF P</w:t>
      </w:r>
      <w:bookmarkStart w:id="0" w:name="_GoBack"/>
      <w:bookmarkEnd w:id="0"/>
      <w:r w:rsidRPr="000F1FBC">
        <w:rPr>
          <w:b/>
        </w:rPr>
        <w:t>UGET SOUND ENERGY</w:t>
      </w:r>
    </w:p>
    <w:p w:rsidR="000F1FBC" w:rsidRPr="000F1FBC" w:rsidRDefault="000F1FBC" w:rsidP="000F1FBC">
      <w:pPr>
        <w:spacing w:line="240" w:lineRule="auto"/>
        <w:ind w:firstLine="0"/>
        <w:jc w:val="center"/>
        <w:rPr>
          <w:b/>
          <w:bCs/>
          <w:szCs w:val="24"/>
        </w:rPr>
      </w:pPr>
      <w:r w:rsidRPr="000F1FBC">
        <w:rPr>
          <w:b/>
        </w:rPr>
        <w:t>AUGUST 9, 2017</w:t>
      </w:r>
    </w:p>
    <w:p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rsidR="00F8418D" w:rsidRPr="009075DC" w:rsidRDefault="00761068" w:rsidP="000F1FBC">
      <w:pPr>
        <w:spacing w:after="360" w:line="240" w:lineRule="auto"/>
        <w:ind w:left="720" w:right="720" w:firstLine="0"/>
        <w:jc w:val="center"/>
        <w:rPr>
          <w:b/>
          <w:bCs/>
          <w:szCs w:val="24"/>
        </w:rPr>
      </w:pPr>
      <w:r>
        <w:rPr>
          <w:b/>
          <w:bCs/>
          <w:szCs w:val="24"/>
        </w:rPr>
        <w:lastRenderedPageBreak/>
        <w:t>PUGET SOUND ENERGY</w:t>
      </w:r>
    </w:p>
    <w:p w:rsidR="00A706E6" w:rsidRDefault="00A706E6" w:rsidP="000F1FBC">
      <w:pPr>
        <w:pStyle w:val="center"/>
        <w:keepLines w:val="0"/>
        <w:spacing w:before="0" w:after="360" w:line="240" w:lineRule="auto"/>
        <w:rPr>
          <w:b/>
        </w:rPr>
      </w:pPr>
      <w:bookmarkStart w:id="1" w:name="TOCTitle"/>
      <w:proofErr w:type="spellStart"/>
      <w:r w:rsidRPr="009075DC">
        <w:rPr>
          <w:b/>
        </w:rPr>
        <w:t>PREFILED</w:t>
      </w:r>
      <w:proofErr w:type="spellEnd"/>
      <w:r w:rsidRPr="009075DC">
        <w:rPr>
          <w:b/>
        </w:rPr>
        <w:t xml:space="preserve"> </w:t>
      </w:r>
      <w:r>
        <w:rPr>
          <w:b/>
        </w:rPr>
        <w:t>REBUTTAL</w:t>
      </w:r>
      <w:r w:rsidRPr="009075DC">
        <w:rPr>
          <w:b/>
        </w:rPr>
        <w:t xml:space="preserve"> TESTIMONY</w:t>
      </w:r>
      <w:r w:rsidR="000F1FBC">
        <w:rPr>
          <w:b/>
        </w:rPr>
        <w:br/>
      </w:r>
      <w:r w:rsidRPr="009075DC">
        <w:rPr>
          <w:b/>
        </w:rPr>
        <w:t>(</w:t>
      </w:r>
      <w:proofErr w:type="spellStart"/>
      <w:r w:rsidRPr="009075DC">
        <w:rPr>
          <w:b/>
        </w:rPr>
        <w:t>NONCONFIDENTIAL</w:t>
      </w:r>
      <w:proofErr w:type="spellEnd"/>
      <w:r w:rsidRPr="009075DC">
        <w:rPr>
          <w:b/>
        </w:rPr>
        <w:t xml:space="preserve">) </w:t>
      </w:r>
      <w:r>
        <w:rPr>
          <w:b/>
        </w:rPr>
        <w:t>OF</w:t>
      </w:r>
      <w:r w:rsidR="000F1FBC">
        <w:rPr>
          <w:b/>
        </w:rPr>
        <w:br/>
      </w:r>
      <w:r w:rsidR="00DD0E02" w:rsidRPr="00DD0E02">
        <w:rPr>
          <w:b/>
        </w:rPr>
        <w:t xml:space="preserve">KATHERINE J. BARNARD </w:t>
      </w:r>
    </w:p>
    <w:p w:rsidR="00F8418D" w:rsidRPr="009075DC" w:rsidRDefault="00F8418D" w:rsidP="000F1FBC">
      <w:pPr>
        <w:pStyle w:val="TOC1"/>
        <w:keepLines w:val="0"/>
        <w:spacing w:before="0" w:after="360" w:line="240" w:lineRule="auto"/>
        <w:ind w:firstLine="0"/>
        <w:jc w:val="center"/>
        <w:rPr>
          <w:b/>
          <w:bCs/>
          <w:color w:val="auto"/>
        </w:rPr>
      </w:pPr>
      <w:r w:rsidRPr="009075DC">
        <w:rPr>
          <w:b/>
          <w:bCs/>
          <w:color w:val="auto"/>
        </w:rPr>
        <w:t>CONTENTS</w:t>
      </w:r>
      <w:bookmarkEnd w:id="1"/>
    </w:p>
    <w:p w:rsidR="00C970FA" w:rsidRPr="00C970FA" w:rsidRDefault="00F8418D">
      <w:pPr>
        <w:pStyle w:val="TOC1"/>
        <w:rPr>
          <w:rFonts w:asciiTheme="minorHAnsi" w:eastAsiaTheme="minorEastAsia" w:hAnsiTheme="minorHAnsi" w:cstheme="minorBidi"/>
          <w:color w:val="auto"/>
          <w:sz w:val="22"/>
          <w:szCs w:val="22"/>
          <w:lang w:eastAsia="en-US"/>
        </w:rPr>
      </w:pPr>
      <w:r w:rsidRPr="00C970FA">
        <w:rPr>
          <w:bCs/>
          <w:color w:val="auto"/>
        </w:rPr>
        <w:fldChar w:fldCharType="begin"/>
      </w:r>
      <w:r w:rsidRPr="00C970FA">
        <w:rPr>
          <w:bCs/>
          <w:color w:val="auto"/>
        </w:rPr>
        <w:instrText xml:space="preserve"> TOC \o "1-5" \h \z \u </w:instrText>
      </w:r>
      <w:r w:rsidRPr="00C970FA">
        <w:rPr>
          <w:bCs/>
          <w:color w:val="auto"/>
        </w:rPr>
        <w:fldChar w:fldCharType="separate"/>
      </w:r>
      <w:hyperlink w:anchor="_Toc490035596" w:history="1">
        <w:r w:rsidR="00C970FA" w:rsidRPr="00C970FA">
          <w:rPr>
            <w:rStyle w:val="Hyperlink"/>
            <w:color w:val="auto"/>
          </w:rPr>
          <w:t>I.</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INTRODUCTION</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_Toc490035596 \h </w:instrText>
        </w:r>
        <w:r w:rsidR="00C970FA" w:rsidRPr="00C970FA">
          <w:rPr>
            <w:webHidden/>
            <w:color w:val="auto"/>
          </w:rPr>
        </w:r>
        <w:r w:rsidR="00C970FA" w:rsidRPr="00C970FA">
          <w:rPr>
            <w:webHidden/>
            <w:color w:val="auto"/>
          </w:rPr>
          <w:fldChar w:fldCharType="separate"/>
        </w:r>
        <w:r w:rsidR="00DD70D7">
          <w:rPr>
            <w:webHidden/>
            <w:color w:val="auto"/>
          </w:rPr>
          <w:t>1</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597" w:history="1">
        <w:r w:rsidR="00C970FA" w:rsidRPr="00C970FA">
          <w:rPr>
            <w:rStyle w:val="Hyperlink"/>
            <w:color w:val="auto"/>
          </w:rPr>
          <w:t>II.</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COMPARISON OF PSE’S ELECTRIC BASE RATES REVENUE DEFICIENCY AND PARTIES’ REVENUE DEFICIENCIES</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_Toc490035597 \h </w:instrText>
        </w:r>
        <w:r w:rsidR="00C970FA" w:rsidRPr="00C970FA">
          <w:rPr>
            <w:webHidden/>
            <w:color w:val="auto"/>
          </w:rPr>
        </w:r>
        <w:r w:rsidR="00C970FA" w:rsidRPr="00C970FA">
          <w:rPr>
            <w:webHidden/>
            <w:color w:val="auto"/>
          </w:rPr>
          <w:fldChar w:fldCharType="separate"/>
        </w:r>
        <w:r w:rsidR="00DD70D7">
          <w:rPr>
            <w:webHidden/>
            <w:color w:val="auto"/>
          </w:rPr>
          <w:t>2</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598" w:history="1">
        <w:r w:rsidR="00C970FA" w:rsidRPr="00C970FA">
          <w:rPr>
            <w:rStyle w:val="Hyperlink"/>
            <w:color w:val="auto"/>
          </w:rPr>
          <w:t>III.</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MULTI-YEAR RATE PLAN</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_Toc490035598 \h </w:instrText>
        </w:r>
        <w:r w:rsidR="00C970FA" w:rsidRPr="00C970FA">
          <w:rPr>
            <w:webHidden/>
            <w:color w:val="auto"/>
          </w:rPr>
        </w:r>
        <w:r w:rsidR="00C970FA" w:rsidRPr="00C970FA">
          <w:rPr>
            <w:webHidden/>
            <w:color w:val="auto"/>
          </w:rPr>
          <w:fldChar w:fldCharType="separate"/>
        </w:r>
        <w:r w:rsidR="00DD70D7">
          <w:rPr>
            <w:webHidden/>
            <w:color w:val="auto"/>
          </w:rPr>
          <w:t>6</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599" w:history="1">
        <w:r w:rsidR="00C970FA" w:rsidRPr="00C970FA">
          <w:rPr>
            <w:rStyle w:val="Hyperlink"/>
            <w:color w:val="auto"/>
          </w:rPr>
          <w:t>IV.</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UNCONTESTED ELECTRIC ADJUSTMENTS BETWEEN PSE AND PARTIES</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_Toc490035599 \h </w:instrText>
        </w:r>
        <w:r w:rsidR="00C970FA" w:rsidRPr="00C970FA">
          <w:rPr>
            <w:webHidden/>
            <w:color w:val="auto"/>
          </w:rPr>
        </w:r>
        <w:r w:rsidR="00C970FA" w:rsidRPr="00C970FA">
          <w:rPr>
            <w:webHidden/>
            <w:color w:val="auto"/>
          </w:rPr>
          <w:fldChar w:fldCharType="separate"/>
        </w:r>
        <w:r w:rsidR="00DD70D7">
          <w:rPr>
            <w:webHidden/>
            <w:color w:val="auto"/>
          </w:rPr>
          <w:t>9</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00" w:history="1">
        <w:r w:rsidR="00C970FA" w:rsidRPr="00C970FA">
          <w:rPr>
            <w:rStyle w:val="Hyperlink"/>
            <w:color w:val="auto"/>
          </w:rPr>
          <w:t>A.</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 xml:space="preserve">Tax Benefit of Proforma Interest, Adjustments </w:t>
        </w:r>
        <w:r w:rsidR="00C970FA" w:rsidRPr="00C970FA">
          <w:rPr>
            <w:rStyle w:val="Hyperlink"/>
            <w:color w:val="auto"/>
            <w:lang w:eastAsia="en-US"/>
          </w:rPr>
          <w:t>KJB-</w:t>
        </w:r>
        <w:r w:rsidR="00C970FA" w:rsidRPr="00C970FA">
          <w:rPr>
            <w:rStyle w:val="Hyperlink"/>
            <w:color w:val="auto"/>
          </w:rPr>
          <w:t>20.05 and SEF-15.05</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_Toc490035600 \h </w:instrText>
        </w:r>
        <w:r w:rsidR="00C970FA" w:rsidRPr="00C970FA">
          <w:rPr>
            <w:webHidden/>
            <w:color w:val="auto"/>
          </w:rPr>
        </w:r>
        <w:r w:rsidR="00C970FA" w:rsidRPr="00C970FA">
          <w:rPr>
            <w:webHidden/>
            <w:color w:val="auto"/>
          </w:rPr>
          <w:fldChar w:fldCharType="separate"/>
        </w:r>
        <w:r w:rsidR="00DD70D7">
          <w:rPr>
            <w:webHidden/>
            <w:color w:val="auto"/>
          </w:rPr>
          <w:t>10</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01" w:history="1">
        <w:r w:rsidR="00C970FA" w:rsidRPr="00C970FA">
          <w:rPr>
            <w:rStyle w:val="Hyperlink"/>
            <w:color w:val="auto"/>
          </w:rPr>
          <w:t>B.</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 xml:space="preserve">Payment Processing Costs, Adjustments </w:t>
        </w:r>
        <w:r w:rsidR="00C970FA" w:rsidRPr="00C970FA">
          <w:rPr>
            <w:rStyle w:val="Hyperlink"/>
            <w:color w:val="auto"/>
            <w:lang w:eastAsia="en-US"/>
          </w:rPr>
          <w:t>KJB-</w:t>
        </w:r>
        <w:r w:rsidR="00C970FA" w:rsidRPr="00C970FA">
          <w:rPr>
            <w:rStyle w:val="Hyperlink"/>
            <w:color w:val="auto"/>
          </w:rPr>
          <w:t>20.20 and SEF-15.20</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_Toc490035601 \h </w:instrText>
        </w:r>
        <w:r w:rsidR="00C970FA" w:rsidRPr="00C970FA">
          <w:rPr>
            <w:webHidden/>
            <w:color w:val="auto"/>
          </w:rPr>
        </w:r>
        <w:r w:rsidR="00C970FA" w:rsidRPr="00C970FA">
          <w:rPr>
            <w:webHidden/>
            <w:color w:val="auto"/>
          </w:rPr>
          <w:fldChar w:fldCharType="separate"/>
        </w:r>
        <w:r w:rsidR="00DD70D7">
          <w:rPr>
            <w:webHidden/>
            <w:color w:val="auto"/>
          </w:rPr>
          <w:t>11</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02" w:history="1">
        <w:r w:rsidR="00C970FA" w:rsidRPr="00C970FA">
          <w:rPr>
            <w:rStyle w:val="Hyperlink"/>
            <w:color w:val="auto"/>
          </w:rPr>
          <w:t>C.</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 xml:space="preserve">Montana Electric Energy Tax, Adjustment </w:t>
        </w:r>
        <w:r w:rsidR="00C970FA" w:rsidRPr="00C970FA">
          <w:rPr>
            <w:rStyle w:val="Hyperlink"/>
            <w:color w:val="auto"/>
            <w:lang w:eastAsia="en-US"/>
          </w:rPr>
          <w:t>KJB-</w:t>
        </w:r>
        <w:r w:rsidR="00C970FA" w:rsidRPr="00C970FA">
          <w:rPr>
            <w:rStyle w:val="Hyperlink"/>
            <w:color w:val="auto"/>
          </w:rPr>
          <w:t>21.02</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_Toc490035602 \h </w:instrText>
        </w:r>
        <w:r w:rsidR="00C970FA" w:rsidRPr="00C970FA">
          <w:rPr>
            <w:webHidden/>
            <w:color w:val="auto"/>
          </w:rPr>
        </w:r>
        <w:r w:rsidR="00C970FA" w:rsidRPr="00C970FA">
          <w:rPr>
            <w:webHidden/>
            <w:color w:val="auto"/>
          </w:rPr>
          <w:fldChar w:fldCharType="separate"/>
        </w:r>
        <w:r w:rsidR="00DD70D7">
          <w:rPr>
            <w:webHidden/>
            <w:color w:val="auto"/>
          </w:rPr>
          <w:t>11</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03" w:history="1">
        <w:r w:rsidR="00C970FA" w:rsidRPr="00C970FA">
          <w:rPr>
            <w:rStyle w:val="Hyperlink"/>
            <w:color w:val="auto"/>
          </w:rPr>
          <w:t>D.</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Changes by PSE in Supplemental Testimony Ignored by ICNU</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_Toc490035603 \h </w:instrText>
        </w:r>
        <w:r w:rsidR="00C970FA" w:rsidRPr="00C970FA">
          <w:rPr>
            <w:webHidden/>
            <w:color w:val="auto"/>
          </w:rPr>
        </w:r>
        <w:r w:rsidR="00C970FA" w:rsidRPr="00C970FA">
          <w:rPr>
            <w:webHidden/>
            <w:color w:val="auto"/>
          </w:rPr>
          <w:fldChar w:fldCharType="separate"/>
        </w:r>
        <w:r w:rsidR="00DD70D7">
          <w:rPr>
            <w:webHidden/>
            <w:color w:val="auto"/>
          </w:rPr>
          <w:t>12</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604" w:history="1">
        <w:r w:rsidR="00C970FA" w:rsidRPr="00C970FA">
          <w:rPr>
            <w:rStyle w:val="Hyperlink"/>
            <w:color w:val="auto"/>
          </w:rPr>
          <w:t>V.</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CONTESTED ELECTRIC AND CERTAIN COMMON ADJUSTMENTS</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_Toc490035604 \h </w:instrText>
        </w:r>
        <w:r w:rsidR="00C970FA" w:rsidRPr="00C970FA">
          <w:rPr>
            <w:webHidden/>
            <w:color w:val="auto"/>
          </w:rPr>
        </w:r>
        <w:r w:rsidR="00C970FA" w:rsidRPr="00C970FA">
          <w:rPr>
            <w:webHidden/>
            <w:color w:val="auto"/>
          </w:rPr>
          <w:fldChar w:fldCharType="separate"/>
        </w:r>
        <w:r w:rsidR="00DD70D7">
          <w:rPr>
            <w:webHidden/>
            <w:color w:val="auto"/>
          </w:rPr>
          <w:t>13</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05" w:history="1">
        <w:r w:rsidR="00C970FA" w:rsidRPr="00C970FA">
          <w:rPr>
            <w:rStyle w:val="Hyperlink"/>
            <w:color w:val="auto"/>
          </w:rPr>
          <w:t>A.</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 xml:space="preserve">Temperature Normalization, Adjustment </w:t>
        </w:r>
        <w:r w:rsidR="00C970FA" w:rsidRPr="00C970FA">
          <w:rPr>
            <w:rStyle w:val="Hyperlink"/>
            <w:color w:val="auto"/>
            <w:lang w:eastAsia="en-US"/>
          </w:rPr>
          <w:t>KJB-</w:t>
        </w:r>
        <w:r w:rsidR="00C970FA" w:rsidRPr="00C970FA">
          <w:rPr>
            <w:rStyle w:val="Hyperlink"/>
            <w:color w:val="auto"/>
          </w:rPr>
          <w:t>20.01</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_Toc490035605 \h </w:instrText>
        </w:r>
        <w:r w:rsidR="00C970FA" w:rsidRPr="00C970FA">
          <w:rPr>
            <w:webHidden/>
            <w:color w:val="auto"/>
          </w:rPr>
        </w:r>
        <w:r w:rsidR="00C970FA" w:rsidRPr="00C970FA">
          <w:rPr>
            <w:webHidden/>
            <w:color w:val="auto"/>
          </w:rPr>
          <w:fldChar w:fldCharType="separate"/>
        </w:r>
        <w:r w:rsidR="00DD70D7">
          <w:rPr>
            <w:webHidden/>
            <w:color w:val="auto"/>
          </w:rPr>
          <w:t>13</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06" w:history="1">
        <w:r w:rsidR="00C970FA" w:rsidRPr="00C970FA">
          <w:rPr>
            <w:rStyle w:val="Hyperlink"/>
            <w:color w:val="auto"/>
          </w:rPr>
          <w:t>B.</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Depreciation Study, Adjustment KJB-20.06</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_Toc490035606 \h </w:instrText>
        </w:r>
        <w:r w:rsidR="00C970FA" w:rsidRPr="00C970FA">
          <w:rPr>
            <w:webHidden/>
            <w:color w:val="auto"/>
          </w:rPr>
        </w:r>
        <w:r w:rsidR="00C970FA" w:rsidRPr="00C970FA">
          <w:rPr>
            <w:webHidden/>
            <w:color w:val="auto"/>
          </w:rPr>
          <w:fldChar w:fldCharType="separate"/>
        </w:r>
        <w:r w:rsidR="00DD70D7">
          <w:rPr>
            <w:webHidden/>
            <w:color w:val="auto"/>
          </w:rPr>
          <w:t>14</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07" w:history="1">
        <w:r w:rsidR="00C970FA" w:rsidRPr="00C970FA">
          <w:rPr>
            <w:rStyle w:val="Hyperlink"/>
            <w:color w:val="auto"/>
          </w:rPr>
          <w:t>C.</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Rate Case Expenses, Adjustment KJB-20.12</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_Toc490035607 \h </w:instrText>
        </w:r>
        <w:r w:rsidR="00C970FA" w:rsidRPr="00C970FA">
          <w:rPr>
            <w:webHidden/>
            <w:color w:val="auto"/>
          </w:rPr>
        </w:r>
        <w:r w:rsidR="00C970FA" w:rsidRPr="00C970FA">
          <w:rPr>
            <w:webHidden/>
            <w:color w:val="auto"/>
          </w:rPr>
          <w:fldChar w:fldCharType="separate"/>
        </w:r>
        <w:r w:rsidR="00DD70D7">
          <w:rPr>
            <w:webHidden/>
            <w:color w:val="auto"/>
          </w:rPr>
          <w:t>38</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08" w:history="1">
        <w:r w:rsidR="00C970FA" w:rsidRPr="00C970FA">
          <w:rPr>
            <w:rStyle w:val="Hyperlink"/>
            <w:color w:val="auto"/>
          </w:rPr>
          <w:t>D.</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Pension Plan Expense, Adjustment KJB-20.15</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_Toc490035608 \h </w:instrText>
        </w:r>
        <w:r w:rsidR="00C970FA" w:rsidRPr="00C970FA">
          <w:rPr>
            <w:webHidden/>
            <w:color w:val="auto"/>
          </w:rPr>
        </w:r>
        <w:r w:rsidR="00C970FA" w:rsidRPr="00C970FA">
          <w:rPr>
            <w:webHidden/>
            <w:color w:val="auto"/>
          </w:rPr>
          <w:fldChar w:fldCharType="separate"/>
        </w:r>
        <w:r w:rsidR="00DD70D7">
          <w:rPr>
            <w:webHidden/>
            <w:color w:val="auto"/>
          </w:rPr>
          <w:t>38</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09" w:history="1">
        <w:r w:rsidR="00C970FA" w:rsidRPr="00C970FA">
          <w:rPr>
            <w:rStyle w:val="Hyperlink"/>
            <w:color w:val="auto"/>
          </w:rPr>
          <w:t>E.</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Environmental Remediation, Adjustment KJB-20.19</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_Toc490035609 \h </w:instrText>
        </w:r>
        <w:r w:rsidR="00C970FA" w:rsidRPr="00C970FA">
          <w:rPr>
            <w:webHidden/>
            <w:color w:val="auto"/>
          </w:rPr>
        </w:r>
        <w:r w:rsidR="00C970FA" w:rsidRPr="00C970FA">
          <w:rPr>
            <w:webHidden/>
            <w:color w:val="auto"/>
          </w:rPr>
          <w:fldChar w:fldCharType="separate"/>
        </w:r>
        <w:r w:rsidR="00DD70D7">
          <w:rPr>
            <w:webHidden/>
            <w:color w:val="auto"/>
          </w:rPr>
          <w:t>48</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0" w:history="1">
        <w:r w:rsidR="00C970FA" w:rsidRPr="00C970FA">
          <w:rPr>
            <w:rStyle w:val="Hyperlink"/>
            <w:color w:val="auto"/>
          </w:rPr>
          <w:t>F.</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Working Capital, Adjustment KJB-20.23</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_Toc490035610 \h </w:instrText>
        </w:r>
        <w:r w:rsidR="00C970FA" w:rsidRPr="00C970FA">
          <w:rPr>
            <w:webHidden/>
            <w:color w:val="auto"/>
          </w:rPr>
        </w:r>
        <w:r w:rsidR="00C970FA" w:rsidRPr="00C970FA">
          <w:rPr>
            <w:webHidden/>
            <w:color w:val="auto"/>
          </w:rPr>
          <w:fldChar w:fldCharType="separate"/>
        </w:r>
        <w:r w:rsidR="00DD70D7">
          <w:rPr>
            <w:webHidden/>
            <w:color w:val="auto"/>
          </w:rPr>
          <w:t>48</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1" w:history="1">
        <w:r w:rsidR="00C970FA" w:rsidRPr="00C970FA">
          <w:rPr>
            <w:rStyle w:val="Hyperlink"/>
            <w:color w:val="auto"/>
          </w:rPr>
          <w:t>G.</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Power Costs and Production O&amp;M, Adjustment KJB-21.01</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_Toc490035611 \h </w:instrText>
        </w:r>
        <w:r w:rsidR="00C970FA" w:rsidRPr="00C970FA">
          <w:rPr>
            <w:webHidden/>
            <w:color w:val="auto"/>
          </w:rPr>
        </w:r>
        <w:r w:rsidR="00C970FA" w:rsidRPr="00C970FA">
          <w:rPr>
            <w:webHidden/>
            <w:color w:val="auto"/>
          </w:rPr>
          <w:fldChar w:fldCharType="separate"/>
        </w:r>
        <w:r w:rsidR="00DD70D7">
          <w:rPr>
            <w:webHidden/>
            <w:color w:val="auto"/>
          </w:rPr>
          <w:t>48</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2" w:history="1">
        <w:r w:rsidR="00C970FA" w:rsidRPr="00C970FA">
          <w:rPr>
            <w:rStyle w:val="Hyperlink"/>
            <w:color w:val="auto"/>
          </w:rPr>
          <w:t>H.</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Storm, Adjustment KJB-21.05</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_Toc490035612 \h </w:instrText>
        </w:r>
        <w:r w:rsidR="00C970FA" w:rsidRPr="00C970FA">
          <w:rPr>
            <w:webHidden/>
            <w:color w:val="auto"/>
          </w:rPr>
        </w:r>
        <w:r w:rsidR="00C970FA" w:rsidRPr="00C970FA">
          <w:rPr>
            <w:webHidden/>
            <w:color w:val="auto"/>
          </w:rPr>
          <w:fldChar w:fldCharType="separate"/>
        </w:r>
        <w:r w:rsidR="00DD70D7">
          <w:rPr>
            <w:webHidden/>
            <w:color w:val="auto"/>
          </w:rPr>
          <w:t>50</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3" w:history="1">
        <w:r w:rsidR="00C970FA" w:rsidRPr="00C970FA">
          <w:rPr>
            <w:rStyle w:val="Hyperlink"/>
            <w:color w:val="auto"/>
          </w:rPr>
          <w:t>I.</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Energy Imbalance Market, Adjustment KJB-21.08</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_Toc490035613 \h </w:instrText>
        </w:r>
        <w:r w:rsidR="00C970FA" w:rsidRPr="00C970FA">
          <w:rPr>
            <w:webHidden/>
            <w:color w:val="auto"/>
          </w:rPr>
        </w:r>
        <w:r w:rsidR="00C970FA" w:rsidRPr="00C970FA">
          <w:rPr>
            <w:webHidden/>
            <w:color w:val="auto"/>
          </w:rPr>
          <w:fldChar w:fldCharType="separate"/>
        </w:r>
        <w:r w:rsidR="00DD70D7">
          <w:rPr>
            <w:webHidden/>
            <w:color w:val="auto"/>
          </w:rPr>
          <w:t>69</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4" w:history="1">
        <w:r w:rsidR="00C970FA" w:rsidRPr="00C970FA">
          <w:rPr>
            <w:rStyle w:val="Hyperlink"/>
            <w:color w:val="auto"/>
          </w:rPr>
          <w:t>J.</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White River, Adjustment KJB-21.11</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_Toc490035614 \h </w:instrText>
        </w:r>
        <w:r w:rsidR="00C970FA" w:rsidRPr="00C970FA">
          <w:rPr>
            <w:webHidden/>
            <w:color w:val="auto"/>
          </w:rPr>
        </w:r>
        <w:r w:rsidR="00C970FA" w:rsidRPr="00C970FA">
          <w:rPr>
            <w:webHidden/>
            <w:color w:val="auto"/>
          </w:rPr>
          <w:fldChar w:fldCharType="separate"/>
        </w:r>
        <w:r w:rsidR="00DD70D7">
          <w:rPr>
            <w:webHidden/>
            <w:color w:val="auto"/>
          </w:rPr>
          <w:t>72</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5" w:history="1">
        <w:r w:rsidR="00C970FA" w:rsidRPr="00C970FA">
          <w:rPr>
            <w:rStyle w:val="Hyperlink"/>
            <w:color w:val="auto"/>
          </w:rPr>
          <w:t>K.</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Hydro-Related Treasury Grants, Adjustment KJB-21.12</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_Toc490035615 \h </w:instrText>
        </w:r>
        <w:r w:rsidR="00C970FA" w:rsidRPr="00C970FA">
          <w:rPr>
            <w:webHidden/>
            <w:color w:val="auto"/>
          </w:rPr>
        </w:r>
        <w:r w:rsidR="00C970FA" w:rsidRPr="00C970FA">
          <w:rPr>
            <w:webHidden/>
            <w:color w:val="auto"/>
          </w:rPr>
          <w:fldChar w:fldCharType="separate"/>
        </w:r>
        <w:r w:rsidR="00DD70D7">
          <w:rPr>
            <w:webHidden/>
            <w:color w:val="auto"/>
          </w:rPr>
          <w:t>76</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6" w:history="1">
        <w:r w:rsidR="00C970FA" w:rsidRPr="00C970FA">
          <w:rPr>
            <w:rStyle w:val="Hyperlink"/>
            <w:color w:val="auto"/>
          </w:rPr>
          <w:t>L.</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Removal of Fixed Production Factor, Adjustment KJB-21.13</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_Toc490035616 \h </w:instrText>
        </w:r>
        <w:r w:rsidR="00C970FA" w:rsidRPr="00C970FA">
          <w:rPr>
            <w:webHidden/>
            <w:color w:val="auto"/>
          </w:rPr>
        </w:r>
        <w:r w:rsidR="00C970FA" w:rsidRPr="00C970FA">
          <w:rPr>
            <w:webHidden/>
            <w:color w:val="auto"/>
          </w:rPr>
          <w:fldChar w:fldCharType="separate"/>
        </w:r>
        <w:r w:rsidR="00DD70D7">
          <w:rPr>
            <w:webHidden/>
            <w:color w:val="auto"/>
          </w:rPr>
          <w:t>79</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7" w:history="1">
        <w:r w:rsidR="00C970FA" w:rsidRPr="00C970FA">
          <w:rPr>
            <w:rStyle w:val="Hyperlink"/>
            <w:color w:val="auto"/>
          </w:rPr>
          <w:t>M.</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 xml:space="preserve">Regulatory Asset – Colstrip, </w:t>
        </w:r>
        <w:r w:rsidR="00C970FA" w:rsidRPr="00C970FA">
          <w:rPr>
            <w:rStyle w:val="Hyperlink"/>
            <w:bCs/>
            <w:color w:val="auto"/>
          </w:rPr>
          <w:t xml:space="preserve">Commission </w:t>
        </w:r>
        <w:r w:rsidR="00C970FA" w:rsidRPr="00C970FA">
          <w:rPr>
            <w:rStyle w:val="Hyperlink"/>
            <w:color w:val="auto"/>
          </w:rPr>
          <w:t>Staff Adjustment 13.06A</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_Toc490035617 \h </w:instrText>
        </w:r>
        <w:r w:rsidR="00C970FA" w:rsidRPr="00C970FA">
          <w:rPr>
            <w:webHidden/>
            <w:color w:val="auto"/>
          </w:rPr>
        </w:r>
        <w:r w:rsidR="00C970FA" w:rsidRPr="00C970FA">
          <w:rPr>
            <w:webHidden/>
            <w:color w:val="auto"/>
          </w:rPr>
          <w:fldChar w:fldCharType="separate"/>
        </w:r>
        <w:r w:rsidR="00DD70D7">
          <w:rPr>
            <w:webHidden/>
            <w:color w:val="auto"/>
          </w:rPr>
          <w:t>81</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8" w:history="1">
        <w:r w:rsidR="00C970FA" w:rsidRPr="00C970FA">
          <w:rPr>
            <w:rStyle w:val="Hyperlink"/>
            <w:color w:val="auto"/>
          </w:rPr>
          <w:t>N.</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 xml:space="preserve">Legal Expense, </w:t>
        </w:r>
        <w:r w:rsidR="00C970FA" w:rsidRPr="00C970FA">
          <w:rPr>
            <w:rStyle w:val="Hyperlink"/>
            <w:bCs/>
            <w:color w:val="auto"/>
          </w:rPr>
          <w:t xml:space="preserve">Commission </w:t>
        </w:r>
        <w:r w:rsidR="00C970FA" w:rsidRPr="00C970FA">
          <w:rPr>
            <w:rStyle w:val="Hyperlink"/>
            <w:color w:val="auto"/>
          </w:rPr>
          <w:t>Staff Adjustments 13.24E and 11.24G</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_Toc490035618 \h </w:instrText>
        </w:r>
        <w:r w:rsidR="00C970FA" w:rsidRPr="00C970FA">
          <w:rPr>
            <w:webHidden/>
            <w:color w:val="auto"/>
          </w:rPr>
        </w:r>
        <w:r w:rsidR="00C970FA" w:rsidRPr="00C970FA">
          <w:rPr>
            <w:webHidden/>
            <w:color w:val="auto"/>
          </w:rPr>
          <w:fldChar w:fldCharType="separate"/>
        </w:r>
        <w:r w:rsidR="00DD70D7">
          <w:rPr>
            <w:webHidden/>
            <w:color w:val="auto"/>
          </w:rPr>
          <w:t>81</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19" w:history="1">
        <w:r w:rsidR="00C970FA" w:rsidRPr="00C970FA">
          <w:rPr>
            <w:rStyle w:val="Hyperlink"/>
            <w:color w:val="auto"/>
          </w:rPr>
          <w:t>O.</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Future Use Property, Public Counsel Adjustment B-5, ICNU and NWIGU Adjustment IN-4</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_Toc490035619 \h </w:instrText>
        </w:r>
        <w:r w:rsidR="00C970FA" w:rsidRPr="00C970FA">
          <w:rPr>
            <w:webHidden/>
            <w:color w:val="auto"/>
          </w:rPr>
        </w:r>
        <w:r w:rsidR="00C970FA" w:rsidRPr="00C970FA">
          <w:rPr>
            <w:webHidden/>
            <w:color w:val="auto"/>
          </w:rPr>
          <w:fldChar w:fldCharType="separate"/>
        </w:r>
        <w:r w:rsidR="00DD70D7">
          <w:rPr>
            <w:webHidden/>
            <w:color w:val="auto"/>
          </w:rPr>
          <w:t>82</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20" w:history="1">
        <w:r w:rsidR="00C970FA" w:rsidRPr="00C970FA">
          <w:rPr>
            <w:rStyle w:val="Hyperlink"/>
            <w:color w:val="auto"/>
          </w:rPr>
          <w:t>P.</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Proforma NOL to Zero, ICNU Adjustment IN-2</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_Toc490035620 \h </w:instrText>
        </w:r>
        <w:r w:rsidR="00C970FA" w:rsidRPr="00C970FA">
          <w:rPr>
            <w:webHidden/>
            <w:color w:val="auto"/>
          </w:rPr>
        </w:r>
        <w:r w:rsidR="00C970FA" w:rsidRPr="00C970FA">
          <w:rPr>
            <w:webHidden/>
            <w:color w:val="auto"/>
          </w:rPr>
          <w:fldChar w:fldCharType="separate"/>
        </w:r>
        <w:r w:rsidR="00DD70D7">
          <w:rPr>
            <w:webHidden/>
            <w:color w:val="auto"/>
          </w:rPr>
          <w:t>83</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21" w:history="1">
        <w:r w:rsidR="00C970FA" w:rsidRPr="00C970FA">
          <w:rPr>
            <w:rStyle w:val="Hyperlink"/>
            <w:color w:val="auto"/>
          </w:rPr>
          <w:t>Q.</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Amortize PTCs, ICNU Adjustment IN-3</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_Toc490035621 \h </w:instrText>
        </w:r>
        <w:r w:rsidR="00C970FA" w:rsidRPr="00C970FA">
          <w:rPr>
            <w:webHidden/>
            <w:color w:val="auto"/>
          </w:rPr>
        </w:r>
        <w:r w:rsidR="00C970FA" w:rsidRPr="00C970FA">
          <w:rPr>
            <w:webHidden/>
            <w:color w:val="auto"/>
          </w:rPr>
          <w:fldChar w:fldCharType="separate"/>
        </w:r>
        <w:r w:rsidR="00DD70D7">
          <w:rPr>
            <w:webHidden/>
            <w:color w:val="auto"/>
          </w:rPr>
          <w:t>84</w:t>
        </w:r>
        <w:r w:rsidR="00C970FA" w:rsidRPr="00C970FA">
          <w:rPr>
            <w:webHidden/>
            <w:color w:val="auto"/>
          </w:rPr>
          <w:fldChar w:fldCharType="end"/>
        </w:r>
      </w:hyperlink>
    </w:p>
    <w:p w:rsidR="00C970FA" w:rsidRPr="00C970FA" w:rsidRDefault="008658CA">
      <w:pPr>
        <w:pStyle w:val="TOC2"/>
        <w:rPr>
          <w:rFonts w:asciiTheme="minorHAnsi" w:eastAsiaTheme="minorEastAsia" w:hAnsiTheme="minorHAnsi" w:cstheme="minorBidi"/>
          <w:color w:val="auto"/>
          <w:sz w:val="22"/>
          <w:szCs w:val="22"/>
          <w:lang w:eastAsia="en-US"/>
        </w:rPr>
      </w:pPr>
      <w:hyperlink w:anchor="_Toc490035622" w:history="1">
        <w:r w:rsidR="00C970FA" w:rsidRPr="00C970FA">
          <w:rPr>
            <w:rStyle w:val="Hyperlink"/>
            <w:color w:val="auto"/>
          </w:rPr>
          <w:t>R.</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Ardmore Substation Overruns, ICNU Adjustment IN-6</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_Toc490035622 \h </w:instrText>
        </w:r>
        <w:r w:rsidR="00C970FA" w:rsidRPr="00C970FA">
          <w:rPr>
            <w:webHidden/>
            <w:color w:val="auto"/>
          </w:rPr>
        </w:r>
        <w:r w:rsidR="00C970FA" w:rsidRPr="00C970FA">
          <w:rPr>
            <w:webHidden/>
            <w:color w:val="auto"/>
          </w:rPr>
          <w:fldChar w:fldCharType="separate"/>
        </w:r>
        <w:r w:rsidR="00DD70D7">
          <w:rPr>
            <w:webHidden/>
            <w:color w:val="auto"/>
          </w:rPr>
          <w:t>84</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623" w:history="1">
        <w:r w:rsidR="00C970FA" w:rsidRPr="00C970FA">
          <w:rPr>
            <w:rStyle w:val="Hyperlink"/>
            <w:color w:val="auto"/>
          </w:rPr>
          <w:t>VI.</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CHANGES BY PSE AT REBUTTAL</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_Toc490035623 \h </w:instrText>
        </w:r>
        <w:r w:rsidR="00C970FA" w:rsidRPr="00C970FA">
          <w:rPr>
            <w:webHidden/>
            <w:color w:val="auto"/>
          </w:rPr>
        </w:r>
        <w:r w:rsidR="00C970FA" w:rsidRPr="00C970FA">
          <w:rPr>
            <w:webHidden/>
            <w:color w:val="auto"/>
          </w:rPr>
          <w:fldChar w:fldCharType="separate"/>
        </w:r>
        <w:r w:rsidR="00DD70D7">
          <w:rPr>
            <w:webHidden/>
            <w:color w:val="auto"/>
          </w:rPr>
          <w:t>85</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624" w:history="1">
        <w:r w:rsidR="00C970FA" w:rsidRPr="00C970FA">
          <w:rPr>
            <w:rStyle w:val="Hyperlink"/>
            <w:color w:val="auto"/>
          </w:rPr>
          <w:t>VII.</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USE OF PRODUCTION TAX CREDITS TO FUND COLSTRIP COSTS</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_Toc490035624 \h </w:instrText>
        </w:r>
        <w:r w:rsidR="00C970FA" w:rsidRPr="00C970FA">
          <w:rPr>
            <w:webHidden/>
            <w:color w:val="auto"/>
          </w:rPr>
        </w:r>
        <w:r w:rsidR="00C970FA" w:rsidRPr="00C970FA">
          <w:rPr>
            <w:webHidden/>
            <w:color w:val="auto"/>
          </w:rPr>
          <w:fldChar w:fldCharType="separate"/>
        </w:r>
        <w:r w:rsidR="00DD70D7">
          <w:rPr>
            <w:webHidden/>
            <w:color w:val="auto"/>
          </w:rPr>
          <w:t>86</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625" w:history="1">
        <w:r w:rsidR="00C970FA" w:rsidRPr="00C970FA">
          <w:rPr>
            <w:rStyle w:val="Hyperlink"/>
            <w:color w:val="auto"/>
          </w:rPr>
          <w:t>VIII.</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EXPEDITED RATE FILINGS</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_Toc490035625 \h </w:instrText>
        </w:r>
        <w:r w:rsidR="00C970FA" w:rsidRPr="00C970FA">
          <w:rPr>
            <w:webHidden/>
            <w:color w:val="auto"/>
          </w:rPr>
        </w:r>
        <w:r w:rsidR="00C970FA" w:rsidRPr="00C970FA">
          <w:rPr>
            <w:webHidden/>
            <w:color w:val="auto"/>
          </w:rPr>
          <w:fldChar w:fldCharType="separate"/>
        </w:r>
        <w:r w:rsidR="00DD70D7">
          <w:rPr>
            <w:webHidden/>
            <w:color w:val="auto"/>
          </w:rPr>
          <w:t>91</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626" w:history="1">
        <w:r w:rsidR="00C970FA" w:rsidRPr="00C970FA">
          <w:rPr>
            <w:rStyle w:val="Hyperlink"/>
            <w:color w:val="auto"/>
          </w:rPr>
          <w:t>IX.</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ELECTRIC COST RECOVERY MECHANISM</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_Toc490035626 \h </w:instrText>
        </w:r>
        <w:r w:rsidR="00C970FA" w:rsidRPr="00C970FA">
          <w:rPr>
            <w:webHidden/>
            <w:color w:val="auto"/>
          </w:rPr>
        </w:r>
        <w:r w:rsidR="00C970FA" w:rsidRPr="00C970FA">
          <w:rPr>
            <w:webHidden/>
            <w:color w:val="auto"/>
          </w:rPr>
          <w:fldChar w:fldCharType="separate"/>
        </w:r>
        <w:r w:rsidR="00DD70D7">
          <w:rPr>
            <w:webHidden/>
            <w:color w:val="auto"/>
          </w:rPr>
          <w:t>99</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627" w:history="1">
        <w:r w:rsidR="00C970FA" w:rsidRPr="00C970FA">
          <w:rPr>
            <w:rStyle w:val="Hyperlink"/>
            <w:color w:val="auto"/>
          </w:rPr>
          <w:t>X.</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MATERIALITY AND OTHER NON-REVENUE REQUIREMENT ISSUES</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_Toc490035627 \h </w:instrText>
        </w:r>
        <w:r w:rsidR="00C970FA" w:rsidRPr="00C970FA">
          <w:rPr>
            <w:webHidden/>
            <w:color w:val="auto"/>
          </w:rPr>
        </w:r>
        <w:r w:rsidR="00C970FA" w:rsidRPr="00C970FA">
          <w:rPr>
            <w:webHidden/>
            <w:color w:val="auto"/>
          </w:rPr>
          <w:fldChar w:fldCharType="separate"/>
        </w:r>
        <w:r w:rsidR="00DD70D7">
          <w:rPr>
            <w:webHidden/>
            <w:color w:val="auto"/>
          </w:rPr>
          <w:t>104</w:t>
        </w:r>
        <w:r w:rsidR="00C970FA" w:rsidRPr="00C970FA">
          <w:rPr>
            <w:webHidden/>
            <w:color w:val="auto"/>
          </w:rPr>
          <w:fldChar w:fldCharType="end"/>
        </w:r>
      </w:hyperlink>
    </w:p>
    <w:p w:rsidR="00C970FA" w:rsidRPr="00C970FA" w:rsidRDefault="008658CA">
      <w:pPr>
        <w:pStyle w:val="TOC1"/>
        <w:rPr>
          <w:rFonts w:asciiTheme="minorHAnsi" w:eastAsiaTheme="minorEastAsia" w:hAnsiTheme="minorHAnsi" w:cstheme="minorBidi"/>
          <w:color w:val="auto"/>
          <w:sz w:val="22"/>
          <w:szCs w:val="22"/>
          <w:lang w:eastAsia="en-US"/>
        </w:rPr>
      </w:pPr>
      <w:hyperlink w:anchor="_Toc490035628" w:history="1">
        <w:r w:rsidR="00C970FA" w:rsidRPr="00C970FA">
          <w:rPr>
            <w:rStyle w:val="Hyperlink"/>
            <w:color w:val="auto"/>
          </w:rPr>
          <w:t>XI.</w:t>
        </w:r>
        <w:r w:rsidR="00C970FA" w:rsidRPr="00C970FA">
          <w:rPr>
            <w:rFonts w:asciiTheme="minorHAnsi" w:eastAsiaTheme="minorEastAsia" w:hAnsiTheme="minorHAnsi" w:cstheme="minorBidi"/>
            <w:color w:val="auto"/>
            <w:sz w:val="22"/>
            <w:szCs w:val="22"/>
            <w:lang w:eastAsia="en-US"/>
          </w:rPr>
          <w:tab/>
        </w:r>
        <w:r w:rsidR="00C970FA" w:rsidRPr="00C970FA">
          <w:rPr>
            <w:rStyle w:val="Hyperlink"/>
            <w:color w:val="auto"/>
          </w:rPr>
          <w:t>CONCLUSION</w:t>
        </w:r>
        <w:r w:rsidR="00C970FA" w:rsidRPr="00C970FA">
          <w:rPr>
            <w:webHidden/>
            <w:color w:val="auto"/>
          </w:rPr>
          <w:tab/>
        </w:r>
        <w:r w:rsidR="00C970FA" w:rsidRPr="00C970FA">
          <w:rPr>
            <w:webHidden/>
            <w:color w:val="auto"/>
          </w:rPr>
          <w:fldChar w:fldCharType="begin"/>
        </w:r>
        <w:r w:rsidR="00C970FA" w:rsidRPr="00C970FA">
          <w:rPr>
            <w:webHidden/>
            <w:color w:val="auto"/>
          </w:rPr>
          <w:instrText xml:space="preserve"> PAGEREF _Toc490035628 \h </w:instrText>
        </w:r>
        <w:r w:rsidR="00C970FA" w:rsidRPr="00C970FA">
          <w:rPr>
            <w:webHidden/>
            <w:color w:val="auto"/>
          </w:rPr>
        </w:r>
        <w:r w:rsidR="00C970FA" w:rsidRPr="00C970FA">
          <w:rPr>
            <w:webHidden/>
            <w:color w:val="auto"/>
          </w:rPr>
          <w:fldChar w:fldCharType="separate"/>
        </w:r>
        <w:r w:rsidR="00DD70D7">
          <w:rPr>
            <w:webHidden/>
            <w:color w:val="auto"/>
          </w:rPr>
          <w:t>105</w:t>
        </w:r>
        <w:r w:rsidR="00C970FA" w:rsidRPr="00C970FA">
          <w:rPr>
            <w:webHidden/>
            <w:color w:val="auto"/>
          </w:rPr>
          <w:fldChar w:fldCharType="end"/>
        </w:r>
      </w:hyperlink>
    </w:p>
    <w:p w:rsidR="00021C30" w:rsidRPr="00D067AE" w:rsidRDefault="00F8418D" w:rsidP="00BF742B">
      <w:pPr>
        <w:pStyle w:val="TOC1"/>
        <w:rPr>
          <w:b/>
          <w:color w:val="auto"/>
        </w:rPr>
      </w:pPr>
      <w:r w:rsidRPr="00C970FA">
        <w:rPr>
          <w:bCs/>
          <w:color w:val="auto"/>
        </w:rPr>
        <w:fldChar w:fldCharType="end"/>
      </w:r>
      <w:r w:rsidR="00021C30" w:rsidRPr="00D067AE">
        <w:rPr>
          <w:b/>
          <w:color w:val="auto"/>
        </w:rPr>
        <w:br w:type="page"/>
      </w:r>
    </w:p>
    <w:p w:rsidR="00EF2448" w:rsidRDefault="00EF2448" w:rsidP="000F1FBC">
      <w:pPr>
        <w:pStyle w:val="center"/>
        <w:keepLines w:val="0"/>
        <w:spacing w:before="0" w:after="360" w:line="240" w:lineRule="auto"/>
        <w:rPr>
          <w:b/>
        </w:rPr>
      </w:pPr>
      <w:r>
        <w:rPr>
          <w:b/>
        </w:rPr>
        <w:lastRenderedPageBreak/>
        <w:t>LIST OF EXHIBITS</w:t>
      </w:r>
    </w:p>
    <w:p w:rsidR="009E2A77" w:rsidRPr="001D2094" w:rsidRDefault="009E2A77" w:rsidP="000F1FBC">
      <w:pPr>
        <w:pStyle w:val="Answer0"/>
        <w:spacing w:before="0" w:after="360" w:line="240" w:lineRule="auto"/>
        <w:ind w:left="1440" w:hanging="1440"/>
      </w:pPr>
      <w:proofErr w:type="spellStart"/>
      <w:r w:rsidRPr="001D2094">
        <w:t>Exh</w:t>
      </w:r>
      <w:proofErr w:type="spellEnd"/>
      <w:r w:rsidRPr="001D2094">
        <w:t>. KJB-</w:t>
      </w:r>
      <w:bookmarkStart w:id="2" w:name="AA_1GenRateInc"/>
      <w:r w:rsidRPr="001D2094">
        <w:t>18</w:t>
      </w:r>
      <w:bookmarkEnd w:id="2"/>
      <w:r w:rsidR="001D2094" w:rsidRPr="001D2094">
        <w:tab/>
      </w:r>
      <w:r w:rsidR="008A61EE" w:rsidRPr="001D2094">
        <w:t>Electric b</w:t>
      </w:r>
      <w:r w:rsidRPr="001D2094">
        <w:t xml:space="preserve">ase </w:t>
      </w:r>
      <w:r w:rsidR="008A61EE" w:rsidRPr="001D2094">
        <w:t>r</w:t>
      </w:r>
      <w:r w:rsidRPr="001D2094">
        <w:t xml:space="preserve">ates </w:t>
      </w:r>
      <w:r w:rsidR="008A61EE" w:rsidRPr="001D2094">
        <w:t>g</w:t>
      </w:r>
      <w:r w:rsidRPr="001D2094">
        <w:t xml:space="preserve">eneral </w:t>
      </w:r>
      <w:r w:rsidR="008A61EE" w:rsidRPr="001D2094">
        <w:t>r</w:t>
      </w:r>
      <w:r w:rsidRPr="001D2094">
        <w:t xml:space="preserve">ate </w:t>
      </w:r>
      <w:r w:rsidR="008A61EE" w:rsidRPr="001D2094">
        <w:t>i</w:t>
      </w:r>
      <w:r w:rsidRPr="001D2094">
        <w:t>ncrease</w:t>
      </w:r>
    </w:p>
    <w:p w:rsidR="009E2A77" w:rsidRPr="001D2094" w:rsidRDefault="009E2A77" w:rsidP="000F1FBC">
      <w:pPr>
        <w:pStyle w:val="Answer0"/>
        <w:spacing w:before="0" w:after="360" w:line="240" w:lineRule="auto"/>
        <w:ind w:left="1440" w:hanging="1440"/>
      </w:pPr>
      <w:proofErr w:type="spellStart"/>
      <w:r w:rsidRPr="001D2094">
        <w:t>Exh</w:t>
      </w:r>
      <w:proofErr w:type="spellEnd"/>
      <w:r w:rsidRPr="001D2094">
        <w:t>. KJB-</w:t>
      </w:r>
      <w:bookmarkStart w:id="3" w:name="AA_3Summary"/>
      <w:r w:rsidR="007706E4" w:rsidRPr="001D2094">
        <w:t>19</w:t>
      </w:r>
      <w:bookmarkEnd w:id="3"/>
      <w:r w:rsidRPr="001D2094">
        <w:tab/>
        <w:t>Summary of</w:t>
      </w:r>
      <w:r w:rsidR="000F1FBC">
        <w:t xml:space="preserve"> </w:t>
      </w:r>
      <w:r w:rsidR="008A61EE" w:rsidRPr="001D2094">
        <w:t xml:space="preserve">electric </w:t>
      </w:r>
      <w:proofErr w:type="spellStart"/>
      <w:r w:rsidRPr="001D2094">
        <w:t>proforma</w:t>
      </w:r>
      <w:proofErr w:type="spellEnd"/>
      <w:r w:rsidRPr="001D2094">
        <w:t xml:space="preserve"> and restating adjustments and their impact on the actual results of operations</w:t>
      </w:r>
    </w:p>
    <w:p w:rsidR="009E2A77" w:rsidRPr="001D2094" w:rsidRDefault="009E2A77" w:rsidP="000F1FBC">
      <w:pPr>
        <w:pStyle w:val="Answer0"/>
        <w:spacing w:before="0" w:after="360" w:line="240" w:lineRule="auto"/>
        <w:ind w:left="1440" w:hanging="1440"/>
      </w:pPr>
      <w:proofErr w:type="spellStart"/>
      <w:r w:rsidRPr="001D2094">
        <w:t>Exh</w:t>
      </w:r>
      <w:proofErr w:type="spellEnd"/>
      <w:r w:rsidRPr="001D2094">
        <w:t>. KJB-</w:t>
      </w:r>
      <w:bookmarkStart w:id="4" w:name="AA_4IndComm"/>
      <w:r w:rsidRPr="001D2094">
        <w:t>2</w:t>
      </w:r>
      <w:r w:rsidR="007706E4" w:rsidRPr="001D2094">
        <w:t>0</w:t>
      </w:r>
      <w:bookmarkEnd w:id="4"/>
      <w:r w:rsidRPr="001D2094">
        <w:tab/>
        <w:t xml:space="preserve">Individual adjustments – common assigned to </w:t>
      </w:r>
      <w:r w:rsidR="008A61EE" w:rsidRPr="001D2094">
        <w:t>electric</w:t>
      </w:r>
    </w:p>
    <w:p w:rsidR="000F1FBC" w:rsidRDefault="009E2A77" w:rsidP="000F1FBC">
      <w:pPr>
        <w:pStyle w:val="Answer0"/>
        <w:spacing w:before="0" w:after="360" w:line="240" w:lineRule="auto"/>
        <w:ind w:left="1440" w:hanging="1440"/>
      </w:pPr>
      <w:proofErr w:type="spellStart"/>
      <w:r w:rsidRPr="001D2094">
        <w:t>Exh</w:t>
      </w:r>
      <w:proofErr w:type="spellEnd"/>
      <w:r w:rsidRPr="001D2094">
        <w:t>. KJB-</w:t>
      </w:r>
      <w:bookmarkStart w:id="5" w:name="AA_5IndElectric"/>
      <w:r w:rsidRPr="001D2094">
        <w:t>2</w:t>
      </w:r>
      <w:r w:rsidR="007706E4" w:rsidRPr="001D2094">
        <w:t>1</w:t>
      </w:r>
      <w:bookmarkEnd w:id="5"/>
      <w:r w:rsidRPr="001D2094">
        <w:tab/>
        <w:t xml:space="preserve">Individual adjustment – </w:t>
      </w:r>
      <w:r w:rsidR="008A61EE" w:rsidRPr="001D2094">
        <w:t>electric</w:t>
      </w:r>
      <w:r w:rsidRPr="001D2094">
        <w:t xml:space="preserve"> only</w:t>
      </w:r>
    </w:p>
    <w:p w:rsidR="000F1FBC" w:rsidRDefault="007706E4" w:rsidP="000F1FBC">
      <w:pPr>
        <w:pStyle w:val="Answer0"/>
        <w:spacing w:before="0" w:after="360" w:line="240" w:lineRule="auto"/>
        <w:ind w:left="1440" w:hanging="1440"/>
        <w:rPr>
          <w:bCs/>
        </w:rPr>
      </w:pPr>
      <w:proofErr w:type="spellStart"/>
      <w:r w:rsidRPr="001D2094">
        <w:rPr>
          <w:bCs/>
        </w:rPr>
        <w:t>Exh</w:t>
      </w:r>
      <w:proofErr w:type="spellEnd"/>
      <w:r w:rsidRPr="001D2094">
        <w:rPr>
          <w:bCs/>
        </w:rPr>
        <w:t>. KJB-</w:t>
      </w:r>
      <w:bookmarkStart w:id="6" w:name="AA_PCBR"/>
      <w:r w:rsidRPr="001D2094">
        <w:rPr>
          <w:bCs/>
        </w:rPr>
        <w:t>22</w:t>
      </w:r>
      <w:bookmarkEnd w:id="6"/>
      <w:r w:rsidRPr="001D2094">
        <w:rPr>
          <w:bCs/>
        </w:rPr>
        <w:tab/>
        <w:t>Power Cost Adjustment Mechanism Exhibit A-1 Power Cost Rate</w:t>
      </w:r>
    </w:p>
    <w:p w:rsidR="000F1FBC" w:rsidRDefault="007706E4" w:rsidP="000F1FBC">
      <w:pPr>
        <w:pStyle w:val="Answer0"/>
        <w:spacing w:before="0" w:after="360" w:line="240" w:lineRule="auto"/>
        <w:ind w:left="1440" w:hanging="1440"/>
        <w:rPr>
          <w:bCs/>
        </w:rPr>
      </w:pPr>
      <w:proofErr w:type="spellStart"/>
      <w:r w:rsidRPr="001D2094">
        <w:rPr>
          <w:bCs/>
        </w:rPr>
        <w:t>Exh</w:t>
      </w:r>
      <w:proofErr w:type="spellEnd"/>
      <w:r w:rsidRPr="001D2094">
        <w:rPr>
          <w:bCs/>
        </w:rPr>
        <w:t>. KJB-</w:t>
      </w:r>
      <w:bookmarkStart w:id="7" w:name="AA_2CompToParties"/>
      <w:r w:rsidRPr="001D2094">
        <w:rPr>
          <w:bCs/>
        </w:rPr>
        <w:t>2</w:t>
      </w:r>
      <w:r w:rsidR="00A15921" w:rsidRPr="001D2094">
        <w:rPr>
          <w:bCs/>
        </w:rPr>
        <w:t>3</w:t>
      </w:r>
      <w:bookmarkEnd w:id="7"/>
      <w:r w:rsidRPr="001D2094">
        <w:rPr>
          <w:bCs/>
        </w:rPr>
        <w:tab/>
        <w:t xml:space="preserve">Comparison of the electric revenue deficiencies by adjustment currently filed by the Company and opposing </w:t>
      </w:r>
      <w:r w:rsidR="001D2094" w:rsidRPr="001D2094">
        <w:rPr>
          <w:bCs/>
        </w:rPr>
        <w:t>p</w:t>
      </w:r>
      <w:r w:rsidRPr="001D2094">
        <w:rPr>
          <w:bCs/>
        </w:rPr>
        <w:t>arties</w:t>
      </w:r>
    </w:p>
    <w:p w:rsidR="000F1FBC" w:rsidRDefault="00B61E3F" w:rsidP="000F1FBC">
      <w:pPr>
        <w:pStyle w:val="Answer0"/>
        <w:spacing w:before="0" w:after="360" w:line="240" w:lineRule="auto"/>
        <w:ind w:left="1440" w:hanging="1440"/>
        <w:rPr>
          <w:bCs/>
        </w:rPr>
      </w:pPr>
      <w:proofErr w:type="spellStart"/>
      <w:r w:rsidRPr="001D2094">
        <w:rPr>
          <w:bCs/>
        </w:rPr>
        <w:t>Exh</w:t>
      </w:r>
      <w:proofErr w:type="spellEnd"/>
      <w:r w:rsidRPr="001D2094">
        <w:rPr>
          <w:bCs/>
        </w:rPr>
        <w:t>. KJB-</w:t>
      </w:r>
      <w:bookmarkStart w:id="8" w:name="StaffDR27"/>
      <w:r w:rsidRPr="001D2094">
        <w:rPr>
          <w:bCs/>
        </w:rPr>
        <w:t>24</w:t>
      </w:r>
      <w:bookmarkEnd w:id="8"/>
      <w:r w:rsidR="001D2094" w:rsidRPr="001D2094">
        <w:rPr>
          <w:bCs/>
        </w:rPr>
        <w:tab/>
      </w:r>
      <w:r w:rsidRPr="001D2094">
        <w:rPr>
          <w:bCs/>
        </w:rPr>
        <w:t>Excerpts from Commission Staff</w:t>
      </w:r>
      <w:r w:rsidR="00E462EF">
        <w:rPr>
          <w:bCs/>
        </w:rPr>
        <w:t>’</w:t>
      </w:r>
      <w:r w:rsidRPr="001D2094">
        <w:rPr>
          <w:bCs/>
        </w:rPr>
        <w:t>s Response to PSE Data Request No.</w:t>
      </w:r>
      <w:r w:rsidR="000F1FBC">
        <w:rPr>
          <w:bCs/>
        </w:rPr>
        <w:t> </w:t>
      </w:r>
      <w:r w:rsidRPr="001D2094">
        <w:rPr>
          <w:bCs/>
        </w:rPr>
        <w:t>27</w:t>
      </w:r>
      <w:r w:rsidR="000F1FBC">
        <w:rPr>
          <w:bCs/>
        </w:rPr>
        <w:t> </w:t>
      </w:r>
      <w:r w:rsidRPr="001D2094">
        <w:rPr>
          <w:bCs/>
        </w:rPr>
        <w:t>– Impact on Commission Staff</w:t>
      </w:r>
      <w:r w:rsidR="00E462EF">
        <w:rPr>
          <w:bCs/>
        </w:rPr>
        <w:t>’</w:t>
      </w:r>
      <w:r w:rsidRPr="001D2094">
        <w:rPr>
          <w:bCs/>
        </w:rPr>
        <w:t>s electric revenue requirement for various corrections</w:t>
      </w:r>
    </w:p>
    <w:p w:rsidR="000F1FBC" w:rsidRDefault="00B92453" w:rsidP="000F1FBC">
      <w:pPr>
        <w:pStyle w:val="Answer0"/>
        <w:spacing w:before="0" w:after="360" w:line="240" w:lineRule="auto"/>
        <w:ind w:left="1440" w:hanging="1440"/>
        <w:rPr>
          <w:bCs/>
        </w:rPr>
      </w:pPr>
      <w:proofErr w:type="spellStart"/>
      <w:r w:rsidRPr="001D2094">
        <w:rPr>
          <w:bCs/>
        </w:rPr>
        <w:t>Exh</w:t>
      </w:r>
      <w:proofErr w:type="spellEnd"/>
      <w:r w:rsidRPr="001D2094">
        <w:rPr>
          <w:bCs/>
        </w:rPr>
        <w:t>. KJB-</w:t>
      </w:r>
      <w:bookmarkStart w:id="9" w:name="StaffResptoPSEDR17"/>
      <w:r w:rsidRPr="001D2094">
        <w:rPr>
          <w:bCs/>
        </w:rPr>
        <w:t>25</w:t>
      </w:r>
      <w:bookmarkEnd w:id="9"/>
      <w:r w:rsidR="001D2094" w:rsidRPr="001D2094">
        <w:rPr>
          <w:bCs/>
        </w:rPr>
        <w:tab/>
      </w:r>
      <w:r w:rsidRPr="001D2094">
        <w:rPr>
          <w:bCs/>
        </w:rPr>
        <w:t>Commission Staff</w:t>
      </w:r>
      <w:r w:rsidR="00E462EF">
        <w:rPr>
          <w:bCs/>
        </w:rPr>
        <w:t>’</w:t>
      </w:r>
      <w:r w:rsidRPr="001D2094">
        <w:rPr>
          <w:bCs/>
        </w:rPr>
        <w:t xml:space="preserve">s Response to PSE Data Request No. 17 – differences between PSE and </w:t>
      </w:r>
      <w:r w:rsidR="009A11B5">
        <w:rPr>
          <w:bCs/>
        </w:rPr>
        <w:t xml:space="preserve">Commission </w:t>
      </w:r>
      <w:r w:rsidRPr="001D2094">
        <w:rPr>
          <w:bCs/>
        </w:rPr>
        <w:t>Staff related to depreciation for Colstrip Units</w:t>
      </w:r>
      <w:r w:rsidR="0099661A">
        <w:rPr>
          <w:bCs/>
        </w:rPr>
        <w:t> </w:t>
      </w:r>
      <w:r w:rsidRPr="001D2094">
        <w:rPr>
          <w:bCs/>
        </w:rPr>
        <w:t>3</w:t>
      </w:r>
      <w:r w:rsidR="0099661A">
        <w:rPr>
          <w:bCs/>
        </w:rPr>
        <w:t> </w:t>
      </w:r>
      <w:r w:rsidR="007D56A5">
        <w:rPr>
          <w:bCs/>
        </w:rPr>
        <w:t>and</w:t>
      </w:r>
      <w:r w:rsidR="0099661A">
        <w:rPr>
          <w:bCs/>
        </w:rPr>
        <w:t> 4</w:t>
      </w:r>
    </w:p>
    <w:p w:rsidR="000F1FBC" w:rsidRDefault="00144BE0" w:rsidP="000F1FBC">
      <w:pPr>
        <w:pStyle w:val="Answer0"/>
        <w:spacing w:before="0" w:after="360" w:line="240" w:lineRule="auto"/>
        <w:ind w:left="1440" w:hanging="1440"/>
      </w:pPr>
      <w:proofErr w:type="spellStart"/>
      <w:r w:rsidRPr="001D2094">
        <w:rPr>
          <w:bCs/>
        </w:rPr>
        <w:t>Exh</w:t>
      </w:r>
      <w:proofErr w:type="spellEnd"/>
      <w:r w:rsidRPr="001D2094">
        <w:rPr>
          <w:bCs/>
        </w:rPr>
        <w:t>.</w:t>
      </w:r>
      <w:r w:rsidR="00264FFF" w:rsidRPr="001D2094">
        <w:t xml:space="preserve"> KJB-</w:t>
      </w:r>
      <w:bookmarkStart w:id="10" w:name="CommAdj_Dep_Col34"/>
      <w:r w:rsidR="007706E4" w:rsidRPr="001D2094">
        <w:t>2</w:t>
      </w:r>
      <w:r w:rsidR="00B92453" w:rsidRPr="001D2094">
        <w:t>6</w:t>
      </w:r>
      <w:bookmarkEnd w:id="10"/>
      <w:r w:rsidR="00264FFF" w:rsidRPr="001D2094">
        <w:tab/>
      </w:r>
      <w:r w:rsidRPr="001D2094">
        <w:t>Electric Depreciation Study Adjustment KJB-</w:t>
      </w:r>
      <w:r w:rsidR="00F31A91">
        <w:t>20</w:t>
      </w:r>
      <w:r w:rsidRPr="001D2094">
        <w:t xml:space="preserve"> with Colstrip</w:t>
      </w:r>
      <w:r w:rsidR="0099661A">
        <w:t xml:space="preserve"> Units </w:t>
      </w:r>
      <w:r w:rsidRPr="001D2094">
        <w:t>3</w:t>
      </w:r>
      <w:r w:rsidR="0099661A">
        <w:t> </w:t>
      </w:r>
      <w:r w:rsidR="007D56A5">
        <w:rPr>
          <w:bCs/>
        </w:rPr>
        <w:t>and</w:t>
      </w:r>
      <w:r w:rsidR="0099661A">
        <w:t> </w:t>
      </w:r>
      <w:r w:rsidRPr="001D2094">
        <w:t>4 at varying probable retirement years</w:t>
      </w:r>
    </w:p>
    <w:p w:rsidR="000F1FBC" w:rsidRDefault="008E24DE" w:rsidP="000F1FBC">
      <w:pPr>
        <w:pStyle w:val="Answer0"/>
        <w:spacing w:before="0" w:after="360" w:line="240" w:lineRule="auto"/>
        <w:ind w:left="1440" w:hanging="1440"/>
      </w:pPr>
      <w:proofErr w:type="spellStart"/>
      <w:r w:rsidRPr="001D2094">
        <w:t>Exh</w:t>
      </w:r>
      <w:proofErr w:type="spellEnd"/>
      <w:r w:rsidRPr="001D2094">
        <w:t>. KJB-</w:t>
      </w:r>
      <w:bookmarkStart w:id="11" w:name="CommAdj_Dep_PC_DR_2"/>
      <w:r w:rsidRPr="001D2094">
        <w:t>2</w:t>
      </w:r>
      <w:r w:rsidR="00B92453" w:rsidRPr="001D2094">
        <w:t>7</w:t>
      </w:r>
      <w:bookmarkEnd w:id="11"/>
      <w:r w:rsidR="001D2094" w:rsidRPr="001D2094">
        <w:tab/>
      </w:r>
      <w:r w:rsidR="001D2094">
        <w:t xml:space="preserve">Excerpts from </w:t>
      </w:r>
      <w:r w:rsidRPr="001D2094">
        <w:t>Public Counsel</w:t>
      </w:r>
      <w:r w:rsidR="00E462EF">
        <w:t>’</w:t>
      </w:r>
      <w:r w:rsidRPr="001D2094">
        <w:t>s Response to PSE</w:t>
      </w:r>
      <w:r w:rsidR="00E462EF">
        <w:t>’</w:t>
      </w:r>
      <w:r w:rsidRPr="001D2094">
        <w:t>s Data Request No. 12.</w:t>
      </w:r>
    </w:p>
    <w:p w:rsidR="000F1FBC" w:rsidRDefault="00264FFF" w:rsidP="000F1FBC">
      <w:pPr>
        <w:pStyle w:val="Answer0"/>
        <w:spacing w:before="0" w:after="360" w:line="240" w:lineRule="auto"/>
        <w:ind w:left="1440" w:hanging="1440"/>
      </w:pPr>
      <w:proofErr w:type="spellStart"/>
      <w:r w:rsidRPr="001D2094">
        <w:t>Exh</w:t>
      </w:r>
      <w:proofErr w:type="spellEnd"/>
      <w:r w:rsidR="00C4132D" w:rsidRPr="001D2094">
        <w:t>.</w:t>
      </w:r>
      <w:r w:rsidRPr="001D2094">
        <w:t xml:space="preserve"> KJB-</w:t>
      </w:r>
      <w:bookmarkStart w:id="12" w:name="CommAdj_Dep_PC_Errors"/>
      <w:r w:rsidR="00A15921" w:rsidRPr="001D2094">
        <w:t>2</w:t>
      </w:r>
      <w:r w:rsidR="00B92453" w:rsidRPr="001D2094">
        <w:t>8</w:t>
      </w:r>
      <w:bookmarkEnd w:id="12"/>
      <w:r w:rsidRPr="001D2094">
        <w:tab/>
      </w:r>
      <w:r w:rsidR="00A15921" w:rsidRPr="001D2094">
        <w:t>Demonstration of errors in Public Counsel</w:t>
      </w:r>
      <w:r w:rsidR="00E462EF">
        <w:t>’</w:t>
      </w:r>
      <w:r w:rsidR="00A15921" w:rsidRPr="001D2094">
        <w:t>s depreciation study adjustments</w:t>
      </w:r>
    </w:p>
    <w:p w:rsidR="000F1FBC" w:rsidRDefault="007E6292" w:rsidP="000F1FBC">
      <w:pPr>
        <w:pStyle w:val="Answer0"/>
        <w:spacing w:before="0" w:after="360" w:line="240" w:lineRule="auto"/>
        <w:ind w:left="1440" w:hanging="1440"/>
      </w:pPr>
      <w:proofErr w:type="spellStart"/>
      <w:r w:rsidRPr="001D2094">
        <w:t>Exh</w:t>
      </w:r>
      <w:proofErr w:type="spellEnd"/>
      <w:r w:rsidRPr="001D2094">
        <w:t>. KJB-</w:t>
      </w:r>
      <w:bookmarkStart w:id="13" w:name="Pens_ICNU58"/>
      <w:r w:rsidRPr="001D2094">
        <w:t>2</w:t>
      </w:r>
      <w:r w:rsidR="00B92453" w:rsidRPr="001D2094">
        <w:t>9</w:t>
      </w:r>
      <w:bookmarkEnd w:id="13"/>
      <w:r w:rsidRPr="001D2094">
        <w:tab/>
      </w:r>
      <w:r w:rsidRPr="001D2094">
        <w:rPr>
          <w:bCs/>
        </w:rPr>
        <w:t>PSE</w:t>
      </w:r>
      <w:r w:rsidR="00E462EF">
        <w:rPr>
          <w:bCs/>
        </w:rPr>
        <w:t>’</w:t>
      </w:r>
      <w:r w:rsidR="001D2094">
        <w:rPr>
          <w:bCs/>
        </w:rPr>
        <w:t>s</w:t>
      </w:r>
      <w:r w:rsidRPr="001D2094">
        <w:rPr>
          <w:bCs/>
        </w:rPr>
        <w:t xml:space="preserve"> Response to ICNU Data Request No. 058</w:t>
      </w:r>
    </w:p>
    <w:p w:rsidR="000F1FBC" w:rsidRDefault="007E6292" w:rsidP="000F1FBC">
      <w:pPr>
        <w:pStyle w:val="Answer0"/>
        <w:spacing w:before="0" w:after="360" w:line="240" w:lineRule="auto"/>
        <w:ind w:left="1440" w:hanging="1440"/>
      </w:pPr>
      <w:proofErr w:type="spellStart"/>
      <w:r w:rsidRPr="001D2094">
        <w:t>Exh</w:t>
      </w:r>
      <w:proofErr w:type="spellEnd"/>
      <w:r w:rsidRPr="001D2094">
        <w:t>. KJB-</w:t>
      </w:r>
      <w:bookmarkStart w:id="14" w:name="Pens_Staff134"/>
      <w:r w:rsidR="00B92453" w:rsidRPr="001D2094">
        <w:t>30</w:t>
      </w:r>
      <w:bookmarkEnd w:id="14"/>
      <w:r w:rsidRPr="001D2094">
        <w:tab/>
      </w:r>
      <w:r w:rsidRPr="001D2094">
        <w:rPr>
          <w:bCs/>
        </w:rPr>
        <w:t>PSE</w:t>
      </w:r>
      <w:r w:rsidR="00E462EF">
        <w:rPr>
          <w:bCs/>
        </w:rPr>
        <w:t>’</w:t>
      </w:r>
      <w:r w:rsidR="001D2094">
        <w:rPr>
          <w:bCs/>
        </w:rPr>
        <w:t>s</w:t>
      </w:r>
      <w:r w:rsidRPr="001D2094">
        <w:rPr>
          <w:bCs/>
        </w:rPr>
        <w:t xml:space="preserve"> Response to </w:t>
      </w:r>
      <w:r w:rsidR="009A11B5">
        <w:rPr>
          <w:bCs/>
        </w:rPr>
        <w:t xml:space="preserve">Commission </w:t>
      </w:r>
      <w:r w:rsidRPr="001D2094">
        <w:rPr>
          <w:bCs/>
        </w:rPr>
        <w:t>Staff Data Request No. 134</w:t>
      </w:r>
    </w:p>
    <w:p w:rsidR="000F1FBC" w:rsidRDefault="0052496C" w:rsidP="000F1FBC">
      <w:pPr>
        <w:pStyle w:val="Answer0"/>
        <w:spacing w:before="0" w:after="360" w:line="240" w:lineRule="auto"/>
        <w:ind w:left="1440" w:hanging="1440"/>
      </w:pPr>
      <w:proofErr w:type="spellStart"/>
      <w:r w:rsidRPr="001D2094">
        <w:t>Exh</w:t>
      </w:r>
      <w:proofErr w:type="spellEnd"/>
      <w:r w:rsidRPr="001D2094">
        <w:t>. KJB-</w:t>
      </w:r>
      <w:bookmarkStart w:id="15" w:name="ElecAdj_Storm_StaffDR2"/>
      <w:r w:rsidR="00B61E3F" w:rsidRPr="001D2094">
        <w:t>3</w:t>
      </w:r>
      <w:r w:rsidR="00B92453" w:rsidRPr="001D2094">
        <w:t>1</w:t>
      </w:r>
      <w:bookmarkEnd w:id="15"/>
      <w:r w:rsidR="001D2094" w:rsidRPr="001D2094">
        <w:tab/>
      </w:r>
      <w:r w:rsidRPr="001D2094">
        <w:t>Commission Staff</w:t>
      </w:r>
      <w:r w:rsidR="00E462EF">
        <w:t>’</w:t>
      </w:r>
      <w:r w:rsidRPr="001D2094">
        <w:t>s Response to PSE Data Request No. 02</w:t>
      </w:r>
    </w:p>
    <w:p w:rsidR="000F1FBC" w:rsidRDefault="00605EF2" w:rsidP="000F1FBC">
      <w:pPr>
        <w:pStyle w:val="Answer0"/>
        <w:spacing w:before="0" w:after="360" w:line="240" w:lineRule="auto"/>
        <w:ind w:left="1440" w:hanging="1440"/>
      </w:pPr>
      <w:proofErr w:type="spellStart"/>
      <w:r w:rsidRPr="001D2094">
        <w:t>Exh</w:t>
      </w:r>
      <w:proofErr w:type="spellEnd"/>
      <w:r w:rsidRPr="001D2094">
        <w:t>. KJB-</w:t>
      </w:r>
      <w:bookmarkStart w:id="16" w:name="ElecAdj_Storm_StaffDR9"/>
      <w:r w:rsidR="00B61E3F" w:rsidRPr="001D2094">
        <w:t>3</w:t>
      </w:r>
      <w:r w:rsidR="00B92453" w:rsidRPr="001D2094">
        <w:t>2</w:t>
      </w:r>
      <w:bookmarkEnd w:id="16"/>
      <w:r w:rsidR="001D2094" w:rsidRPr="001D2094">
        <w:tab/>
      </w:r>
      <w:r w:rsidRPr="001D2094">
        <w:t>Commission Staff</w:t>
      </w:r>
      <w:r w:rsidR="00E462EF">
        <w:t>’</w:t>
      </w:r>
      <w:r w:rsidRPr="001D2094">
        <w:t>s Response to PSE Data Request No. 09</w:t>
      </w:r>
    </w:p>
    <w:p w:rsidR="000F1FBC" w:rsidRDefault="00264FFF" w:rsidP="000F1FBC">
      <w:pPr>
        <w:pStyle w:val="Answer0"/>
        <w:spacing w:before="0" w:after="360" w:line="240" w:lineRule="auto"/>
        <w:ind w:left="1440" w:hanging="1440"/>
      </w:pPr>
      <w:proofErr w:type="spellStart"/>
      <w:r w:rsidRPr="001D2094">
        <w:lastRenderedPageBreak/>
        <w:t>Exh</w:t>
      </w:r>
      <w:proofErr w:type="spellEnd"/>
      <w:r w:rsidR="00C4132D" w:rsidRPr="001D2094">
        <w:t>.</w:t>
      </w:r>
      <w:r w:rsidRPr="001D2094">
        <w:t xml:space="preserve"> KJB-</w:t>
      </w:r>
      <w:bookmarkStart w:id="17" w:name="ElecAdj_Storm_6YrAvg"/>
      <w:r w:rsidR="00B61E3F" w:rsidRPr="001D2094">
        <w:t>3</w:t>
      </w:r>
      <w:r w:rsidR="00B92453" w:rsidRPr="001D2094">
        <w:t>3</w:t>
      </w:r>
      <w:bookmarkEnd w:id="17"/>
      <w:r w:rsidRPr="001D2094">
        <w:tab/>
      </w:r>
      <w:r w:rsidR="004F7B92" w:rsidRPr="001D2094">
        <w:t>Comparison of PSE</w:t>
      </w:r>
      <w:r w:rsidR="00E462EF">
        <w:t>’</w:t>
      </w:r>
      <w:r w:rsidR="004F7B92" w:rsidRPr="001D2094">
        <w:t>s and Commission Staff</w:t>
      </w:r>
      <w:r w:rsidR="00E462EF">
        <w:t>’</w:t>
      </w:r>
      <w:r w:rsidR="004F7B92" w:rsidRPr="001D2094">
        <w:t xml:space="preserve">s </w:t>
      </w:r>
      <w:r w:rsidR="001D2094">
        <w:t>six</w:t>
      </w:r>
      <w:r w:rsidR="004F7B92" w:rsidRPr="001D2094">
        <w:t xml:space="preserve"> year average normal storm proposals</w:t>
      </w:r>
    </w:p>
    <w:p w:rsidR="000F1FBC" w:rsidRDefault="00865CB6" w:rsidP="000F1FBC">
      <w:pPr>
        <w:pStyle w:val="Answer0"/>
        <w:spacing w:before="0" w:after="360" w:line="240" w:lineRule="auto"/>
        <w:ind w:left="1440" w:hanging="1440"/>
      </w:pPr>
      <w:proofErr w:type="spellStart"/>
      <w:r w:rsidRPr="001D2094">
        <w:t>Exh</w:t>
      </w:r>
      <w:proofErr w:type="spellEnd"/>
      <w:r w:rsidRPr="001D2094">
        <w:t>. KJB-</w:t>
      </w:r>
      <w:bookmarkStart w:id="18" w:name="ElecAdj_Storm_TES_WP"/>
      <w:r w:rsidR="0052496C" w:rsidRPr="001D2094">
        <w:t>3</w:t>
      </w:r>
      <w:r w:rsidR="00B92453" w:rsidRPr="001D2094">
        <w:t>4</w:t>
      </w:r>
      <w:bookmarkEnd w:id="18"/>
      <w:r w:rsidRPr="001D2094">
        <w:tab/>
        <w:t xml:space="preserve">Work paper filed by </w:t>
      </w:r>
      <w:r w:rsidR="009A11B5">
        <w:rPr>
          <w:bCs/>
        </w:rPr>
        <w:t xml:space="preserve">Commission </w:t>
      </w:r>
      <w:r w:rsidRPr="001D2094">
        <w:t>Staff supporting Exhibit TES-2</w:t>
      </w:r>
    </w:p>
    <w:p w:rsidR="000F1FBC" w:rsidRDefault="00C4132D" w:rsidP="000F1FBC">
      <w:pPr>
        <w:pStyle w:val="Answer0"/>
        <w:spacing w:before="0" w:after="360" w:line="240" w:lineRule="auto"/>
        <w:ind w:left="1440" w:hanging="1440"/>
      </w:pPr>
      <w:proofErr w:type="spellStart"/>
      <w:r w:rsidRPr="001D2094">
        <w:t>Exh</w:t>
      </w:r>
      <w:proofErr w:type="spellEnd"/>
      <w:r w:rsidRPr="001D2094">
        <w:t>. KJB-</w:t>
      </w:r>
      <w:r w:rsidR="00605EF2" w:rsidRPr="001D2094">
        <w:t>3</w:t>
      </w:r>
      <w:r w:rsidR="00F31A91">
        <w:t>5</w:t>
      </w:r>
      <w:r w:rsidR="001D2094" w:rsidRPr="001D2094">
        <w:tab/>
      </w:r>
      <w:r w:rsidRPr="001D2094">
        <w:t>Impacts on earnings sharing for Commission Staff</w:t>
      </w:r>
      <w:r w:rsidR="00E462EF">
        <w:t>’</w:t>
      </w:r>
      <w:r w:rsidRPr="001D2094">
        <w:t>s proposal on Storm</w:t>
      </w:r>
    </w:p>
    <w:p w:rsidR="000F1FBC" w:rsidRDefault="00A472D4" w:rsidP="000F1FBC">
      <w:pPr>
        <w:pStyle w:val="Answer0"/>
        <w:spacing w:before="0" w:after="360" w:line="240" w:lineRule="auto"/>
        <w:ind w:left="1440" w:hanging="1440"/>
      </w:pPr>
      <w:proofErr w:type="spellStart"/>
      <w:r w:rsidRPr="001D2094">
        <w:t>Exh</w:t>
      </w:r>
      <w:proofErr w:type="spellEnd"/>
      <w:r w:rsidRPr="001D2094">
        <w:t>. KJB-</w:t>
      </w:r>
      <w:bookmarkStart w:id="19" w:name="ERF_Staff_DRX"/>
      <w:r w:rsidRPr="001D2094">
        <w:t>3</w:t>
      </w:r>
      <w:bookmarkEnd w:id="19"/>
      <w:r w:rsidR="00F31A91">
        <w:t>6</w:t>
      </w:r>
      <w:r w:rsidR="001D2094" w:rsidRPr="001D2094">
        <w:tab/>
      </w:r>
      <w:r w:rsidRPr="001D2094">
        <w:t>Commission Staff</w:t>
      </w:r>
      <w:r w:rsidR="00E462EF">
        <w:t>’</w:t>
      </w:r>
      <w:r w:rsidRPr="001D2094">
        <w:t xml:space="preserve">s Response to </w:t>
      </w:r>
      <w:r w:rsidR="001D2094">
        <w:t>Public Counsel</w:t>
      </w:r>
      <w:r w:rsidRPr="001D2094">
        <w:t xml:space="preserve"> Data Request </w:t>
      </w:r>
      <w:r w:rsidR="001D2094">
        <w:t>Nos. 2, 4, 6 and 7</w:t>
      </w:r>
    </w:p>
    <w:p w:rsidR="000F1FBC" w:rsidRDefault="007E43B3" w:rsidP="000F1FBC">
      <w:pPr>
        <w:pStyle w:val="Answer0"/>
        <w:spacing w:before="0" w:after="360" w:line="240" w:lineRule="auto"/>
        <w:ind w:left="1440" w:hanging="1440"/>
      </w:pPr>
      <w:proofErr w:type="spellStart"/>
      <w:r w:rsidRPr="001D2094">
        <w:t>Exh</w:t>
      </w:r>
      <w:proofErr w:type="spellEnd"/>
      <w:r w:rsidRPr="001D2094">
        <w:t>. KJB-</w:t>
      </w:r>
      <w:bookmarkStart w:id="20" w:name="ECRM_RegLag"/>
      <w:r w:rsidRPr="001D2094">
        <w:t>3</w:t>
      </w:r>
      <w:bookmarkEnd w:id="20"/>
      <w:r w:rsidR="00F31A91">
        <w:t>7</w:t>
      </w:r>
      <w:r w:rsidR="001D2094" w:rsidRPr="001D2094">
        <w:tab/>
      </w:r>
      <w:r w:rsidR="00075C52" w:rsidRPr="001D2094">
        <w:t>Extract from Attachment A to PSE</w:t>
      </w:r>
      <w:r w:rsidR="00E462EF">
        <w:t>’</w:t>
      </w:r>
      <w:r w:rsidR="00075C52" w:rsidRPr="001D2094">
        <w:t>s Response to Public Counsel Data Request No. 072 showing r</w:t>
      </w:r>
      <w:r w:rsidRPr="001D2094">
        <w:t>egulatory lag associated with the Electric Reliability Plan absent an Electric Cost Recovery Mechanism</w:t>
      </w:r>
    </w:p>
    <w:p w:rsidR="000F1FBC" w:rsidRDefault="00E338FC" w:rsidP="000F1FBC">
      <w:pPr>
        <w:pStyle w:val="Answer0"/>
        <w:spacing w:before="0" w:after="360" w:line="240" w:lineRule="auto"/>
        <w:ind w:left="1440" w:hanging="1440"/>
      </w:pPr>
      <w:proofErr w:type="spellStart"/>
      <w:r w:rsidRPr="001D2094">
        <w:t>Exh</w:t>
      </w:r>
      <w:proofErr w:type="spellEnd"/>
      <w:r w:rsidRPr="001D2094">
        <w:t>. KJB-</w:t>
      </w:r>
      <w:bookmarkStart w:id="21" w:name="ECRM_UpdateRevReq"/>
      <w:r w:rsidRPr="001D2094">
        <w:t>3</w:t>
      </w:r>
      <w:bookmarkEnd w:id="21"/>
      <w:r w:rsidR="00F31A91">
        <w:t>8</w:t>
      </w:r>
      <w:r w:rsidR="001D2094" w:rsidRPr="001D2094">
        <w:tab/>
      </w:r>
      <w:r w:rsidRPr="001D2094">
        <w:t xml:space="preserve">Update to Electric Cost Recovery Mechanism </w:t>
      </w:r>
      <w:r w:rsidR="001D2094">
        <w:t>Revenue Requirements</w:t>
      </w:r>
    </w:p>
    <w:p w:rsidR="00F31A91" w:rsidRDefault="00F31A91" w:rsidP="000F1FBC">
      <w:pPr>
        <w:pStyle w:val="Answer0"/>
        <w:spacing w:before="0" w:after="360" w:line="240" w:lineRule="auto"/>
        <w:ind w:left="1440" w:hanging="1440"/>
      </w:pPr>
      <w:proofErr w:type="spellStart"/>
      <w:r>
        <w:t>Exh</w:t>
      </w:r>
      <w:proofErr w:type="spellEnd"/>
      <w:r>
        <w:t>. KJB-39</w:t>
      </w:r>
      <w:r>
        <w:tab/>
      </w:r>
      <w:proofErr w:type="spellStart"/>
      <w:r>
        <w:t>ICNU’s</w:t>
      </w:r>
      <w:proofErr w:type="spellEnd"/>
      <w:r>
        <w:t xml:space="preserve"> Response to PSE’s Response to PSE Data Request No. 6</w:t>
      </w:r>
    </w:p>
    <w:p w:rsidR="001D2094" w:rsidRPr="001D2094" w:rsidRDefault="001D2094" w:rsidP="000F1FBC">
      <w:pPr>
        <w:pStyle w:val="Answer0"/>
        <w:spacing w:before="0" w:after="360" w:line="240" w:lineRule="auto"/>
        <w:ind w:left="1440" w:hanging="1440"/>
      </w:pPr>
      <w:proofErr w:type="spellStart"/>
      <w:r>
        <w:t>Exh</w:t>
      </w:r>
      <w:proofErr w:type="spellEnd"/>
      <w:r>
        <w:t>. KJB-</w:t>
      </w:r>
      <w:r w:rsidR="00F31A91">
        <w:t>40</w:t>
      </w:r>
      <w:r>
        <w:tab/>
        <w:t>Recalculation of Exhibit B</w:t>
      </w:r>
      <w:r w:rsidR="00016BB8">
        <w:t>G</w:t>
      </w:r>
      <w:r>
        <w:t>M-6 for a correction to the calculation of carrying charges</w:t>
      </w:r>
    </w:p>
    <w:p w:rsidR="00621BFC" w:rsidRPr="009D1F78" w:rsidRDefault="00621BFC" w:rsidP="002F3CBB">
      <w:pPr>
        <w:pStyle w:val="center"/>
        <w:keepLines w:val="0"/>
        <w:spacing w:before="0" w:line="240" w:lineRule="auto"/>
        <w:ind w:left="1440" w:hanging="1440"/>
        <w:jc w:val="left"/>
        <w:rPr>
          <w:b/>
          <w:bCs/>
        </w:rPr>
        <w:sectPr w:rsidR="00621BFC" w:rsidRPr="009D1F78">
          <w:headerReference w:type="default" r:id="rId10"/>
          <w:footerReference w:type="default" r:id="rId11"/>
          <w:pgSz w:w="12240" w:h="15840" w:code="1"/>
          <w:pgMar w:top="1440" w:right="1440" w:bottom="1440" w:left="2160" w:header="864" w:footer="576" w:gutter="0"/>
          <w:pgNumType w:fmt="lowerRoman" w:start="1"/>
          <w:cols w:space="720"/>
        </w:sectPr>
      </w:pPr>
    </w:p>
    <w:p w:rsidR="00F8418D" w:rsidRPr="009075DC" w:rsidRDefault="00F8418D" w:rsidP="000F1FBC">
      <w:pPr>
        <w:spacing w:after="360" w:line="240" w:lineRule="auto"/>
        <w:ind w:left="540" w:right="540" w:firstLine="0"/>
        <w:jc w:val="center"/>
        <w:rPr>
          <w:b/>
          <w:bCs/>
          <w:szCs w:val="24"/>
        </w:rPr>
      </w:pPr>
      <w:r w:rsidRPr="009075DC">
        <w:rPr>
          <w:b/>
          <w:bCs/>
          <w:szCs w:val="24"/>
        </w:rPr>
        <w:lastRenderedPageBreak/>
        <w:t>PUGET SOUND ENERGY</w:t>
      </w:r>
    </w:p>
    <w:p w:rsidR="00A706E6" w:rsidRDefault="00A706E6" w:rsidP="000F1FBC">
      <w:pPr>
        <w:pStyle w:val="center"/>
        <w:keepLines w:val="0"/>
        <w:spacing w:before="0" w:after="360" w:line="240" w:lineRule="auto"/>
        <w:rPr>
          <w:b/>
        </w:rPr>
      </w:pPr>
      <w:bookmarkStart w:id="22" w:name="_Toc125167531"/>
      <w:bookmarkStart w:id="23" w:name="_Toc127023381"/>
      <w:proofErr w:type="spellStart"/>
      <w:r w:rsidRPr="009075DC">
        <w:rPr>
          <w:b/>
        </w:rPr>
        <w:t>PREFILED</w:t>
      </w:r>
      <w:proofErr w:type="spellEnd"/>
      <w:r w:rsidRPr="009075DC">
        <w:rPr>
          <w:b/>
        </w:rPr>
        <w:t xml:space="preserve"> </w:t>
      </w:r>
      <w:r>
        <w:rPr>
          <w:b/>
        </w:rPr>
        <w:t>REBUTTAL</w:t>
      </w:r>
      <w:r w:rsidRPr="009075DC">
        <w:rPr>
          <w:b/>
        </w:rPr>
        <w:t xml:space="preserve"> TESTIMONY</w:t>
      </w:r>
      <w:r w:rsidR="000F1FBC">
        <w:rPr>
          <w:b/>
        </w:rPr>
        <w:br/>
      </w:r>
      <w:r w:rsidRPr="009075DC">
        <w:rPr>
          <w:b/>
        </w:rPr>
        <w:t>(</w:t>
      </w:r>
      <w:proofErr w:type="spellStart"/>
      <w:r w:rsidRPr="009075DC">
        <w:rPr>
          <w:b/>
        </w:rPr>
        <w:t>NONCONFIDENTIAL</w:t>
      </w:r>
      <w:proofErr w:type="spellEnd"/>
      <w:r w:rsidRPr="009075DC">
        <w:rPr>
          <w:b/>
        </w:rPr>
        <w:t xml:space="preserve">) </w:t>
      </w:r>
      <w:r>
        <w:rPr>
          <w:b/>
        </w:rPr>
        <w:t>OF</w:t>
      </w:r>
      <w:r w:rsidR="000F1FBC">
        <w:rPr>
          <w:b/>
        </w:rPr>
        <w:br/>
      </w:r>
      <w:r w:rsidR="00DD0E02" w:rsidRPr="00DD0E02">
        <w:rPr>
          <w:b/>
        </w:rPr>
        <w:t xml:space="preserve">KATHERINE J. BARNARD </w:t>
      </w:r>
    </w:p>
    <w:p w:rsidR="00F8418D" w:rsidRPr="009075DC" w:rsidRDefault="00F8418D" w:rsidP="00771706">
      <w:pPr>
        <w:pStyle w:val="Heading1"/>
      </w:pPr>
      <w:bookmarkStart w:id="24" w:name="_Toc490035596"/>
      <w:r w:rsidRPr="009075DC">
        <w:t>I.</w:t>
      </w:r>
      <w:r w:rsidRPr="009075DC">
        <w:tab/>
      </w:r>
      <w:r w:rsidRPr="00021C30">
        <w:t>INTRODUCTION</w:t>
      </w:r>
      <w:bookmarkEnd w:id="22"/>
      <w:bookmarkEnd w:id="23"/>
      <w:bookmarkEnd w:id="24"/>
    </w:p>
    <w:p w:rsidR="00F8418D" w:rsidRPr="00734EBA" w:rsidRDefault="00F8418D" w:rsidP="00021C30">
      <w:pPr>
        <w:pStyle w:val="question"/>
      </w:pPr>
      <w:r w:rsidRPr="00734EBA">
        <w:t>Q.</w:t>
      </w:r>
      <w:r w:rsidRPr="00734EBA">
        <w:tab/>
      </w:r>
      <w:r w:rsidR="00F5016E" w:rsidRPr="00734EBA">
        <w:t>Are you the same</w:t>
      </w:r>
      <w:r w:rsidR="00DD0E02">
        <w:t xml:space="preserve"> Katherine J. Barnard </w:t>
      </w:r>
      <w:r w:rsidR="00F5016E" w:rsidRPr="00734EBA">
        <w:t xml:space="preserve">who submitted </w:t>
      </w:r>
      <w:proofErr w:type="spellStart"/>
      <w:r w:rsidR="00F5016E" w:rsidRPr="00734EBA">
        <w:t>prefiled</w:t>
      </w:r>
      <w:proofErr w:type="spellEnd"/>
      <w:r w:rsidR="00F5016E" w:rsidRPr="00734EBA">
        <w:t xml:space="preserve"> direct testimony on January 13, </w:t>
      </w:r>
      <w:r w:rsidR="00F5016E" w:rsidRPr="00021C30">
        <w:t>2017</w:t>
      </w:r>
      <w:r w:rsidR="00632256">
        <w:t>,</w:t>
      </w:r>
      <w:r w:rsidR="001F313C">
        <w:t xml:space="preserve"> </w:t>
      </w:r>
      <w:r w:rsidR="00864D3F">
        <w:t xml:space="preserve">and </w:t>
      </w:r>
      <w:proofErr w:type="spellStart"/>
      <w:r w:rsidR="00864D3F">
        <w:t>prefiled</w:t>
      </w:r>
      <w:proofErr w:type="spellEnd"/>
      <w:r w:rsidR="00864D3F">
        <w:t xml:space="preserve"> supplemental direct testimony on April 3, 2017, </w:t>
      </w:r>
      <w:r w:rsidR="00F5016E" w:rsidRPr="00734EBA">
        <w:t>on behalf of Puget Sound Energy (</w:t>
      </w:r>
      <w:r w:rsidR="00E462EF">
        <w:t>“</w:t>
      </w:r>
      <w:r w:rsidR="00F5016E" w:rsidRPr="00734EBA">
        <w:t>PSE</w:t>
      </w:r>
      <w:r w:rsidR="00E462EF">
        <w:t>”</w:t>
      </w:r>
      <w:r w:rsidR="00F5016E" w:rsidRPr="00734EBA">
        <w:t>) in this proceeding?</w:t>
      </w:r>
    </w:p>
    <w:p w:rsidR="00F8418D" w:rsidRPr="009075DC" w:rsidRDefault="00F8418D" w:rsidP="00734EBA">
      <w:pPr>
        <w:pStyle w:val="answer"/>
        <w:rPr>
          <w:rFonts w:eastAsia="SimSun"/>
        </w:rPr>
      </w:pPr>
      <w:r w:rsidRPr="009075DC">
        <w:rPr>
          <w:rFonts w:eastAsia="SimSun"/>
        </w:rPr>
        <w:t>A.</w:t>
      </w:r>
      <w:r w:rsidRPr="009075DC">
        <w:rPr>
          <w:rFonts w:eastAsia="SimSun"/>
        </w:rPr>
        <w:tab/>
      </w:r>
      <w:r w:rsidR="00C230B8">
        <w:rPr>
          <w:rFonts w:eastAsia="SimSun"/>
        </w:rPr>
        <w:t>Yes</w:t>
      </w:r>
      <w:r w:rsidR="007706E4">
        <w:rPr>
          <w:rFonts w:eastAsia="SimSun"/>
        </w:rPr>
        <w:t>.</w:t>
      </w:r>
    </w:p>
    <w:p w:rsidR="00F8418D" w:rsidRPr="009075DC" w:rsidRDefault="00F8418D" w:rsidP="00021C30">
      <w:pPr>
        <w:pStyle w:val="question"/>
      </w:pPr>
      <w:r w:rsidRPr="009075DC">
        <w:t>Q.</w:t>
      </w:r>
      <w:r w:rsidRPr="009075DC">
        <w:tab/>
        <w:t xml:space="preserve">What is </w:t>
      </w:r>
      <w:r w:rsidRPr="00021C30">
        <w:t>the</w:t>
      </w:r>
      <w:r w:rsidRPr="009075DC">
        <w:t xml:space="preserve"> purpose of your </w:t>
      </w:r>
      <w:r w:rsidR="00632256">
        <w:t>rebuttal</w:t>
      </w:r>
      <w:r w:rsidR="00F5016E">
        <w:t xml:space="preserve"> </w:t>
      </w:r>
      <w:r w:rsidRPr="009075DC">
        <w:t>testimony?</w:t>
      </w:r>
    </w:p>
    <w:p w:rsidR="00632256" w:rsidRDefault="00F8418D" w:rsidP="00021C30">
      <w:pPr>
        <w:pStyle w:val="answer"/>
        <w:rPr>
          <w:rFonts w:eastAsia="SimSun"/>
        </w:rPr>
      </w:pPr>
      <w:r w:rsidRPr="009075DC">
        <w:rPr>
          <w:rFonts w:eastAsia="SimSun"/>
        </w:rPr>
        <w:t>A.</w:t>
      </w:r>
      <w:r w:rsidRPr="009075DC">
        <w:rPr>
          <w:rFonts w:eastAsia="SimSun"/>
        </w:rPr>
        <w:tab/>
      </w:r>
      <w:r w:rsidR="00C230B8" w:rsidRPr="00FC01F8">
        <w:t xml:space="preserve">This </w:t>
      </w:r>
      <w:proofErr w:type="spellStart"/>
      <w:r w:rsidR="00C230B8" w:rsidRPr="00FC01F8">
        <w:t>prefiled</w:t>
      </w:r>
      <w:proofErr w:type="spellEnd"/>
      <w:r w:rsidR="00C230B8" w:rsidRPr="00FC01F8">
        <w:t xml:space="preserve"> rebuttal testimony addresses the</w:t>
      </w:r>
      <w:r w:rsidR="00C230B8">
        <w:t xml:space="preserve"> testimony submitted on behalf of </w:t>
      </w:r>
      <w:r w:rsidR="00C230B8" w:rsidRPr="00021C30">
        <w:t>Commission</w:t>
      </w:r>
      <w:r w:rsidR="00C230B8">
        <w:t xml:space="preserve"> Staff, the Industrial Customers of Northwest Utilities (</w:t>
      </w:r>
      <w:r w:rsidR="00E462EF">
        <w:t>“</w:t>
      </w:r>
      <w:r w:rsidR="00C230B8">
        <w:t>ICNU</w:t>
      </w:r>
      <w:r w:rsidR="00E462EF">
        <w:t>”</w:t>
      </w:r>
      <w:r w:rsidR="00C230B8">
        <w:t>), Public Counsel, the Northwest Industrial Gas Users (</w:t>
      </w:r>
      <w:r w:rsidR="00E462EF">
        <w:t>“</w:t>
      </w:r>
      <w:proofErr w:type="spellStart"/>
      <w:r w:rsidR="00C230B8">
        <w:t>NWIGU</w:t>
      </w:r>
      <w:proofErr w:type="spellEnd"/>
      <w:r w:rsidR="00E462EF">
        <w:t>”</w:t>
      </w:r>
      <w:r w:rsidR="00C230B8">
        <w:t>), Federal Energy Agency (</w:t>
      </w:r>
      <w:r w:rsidR="00E462EF">
        <w:t>“</w:t>
      </w:r>
      <w:proofErr w:type="spellStart"/>
      <w:r w:rsidR="00C230B8">
        <w:t>FEA</w:t>
      </w:r>
      <w:proofErr w:type="spellEnd"/>
      <w:r w:rsidR="00E462EF">
        <w:t>”</w:t>
      </w:r>
      <w:r w:rsidR="00C230B8">
        <w:t>), Sierra Club, and Kroger.</w:t>
      </w:r>
      <w:r w:rsidR="000F1FBC">
        <w:t xml:space="preserve"> </w:t>
      </w:r>
      <w:r w:rsidR="00C230B8">
        <w:t>Specifically, I will address the various witnesses</w:t>
      </w:r>
      <w:r w:rsidR="00E462EF">
        <w:t>’</w:t>
      </w:r>
      <w:r w:rsidR="00C230B8">
        <w:t xml:space="preserve"> testimony regarding </w:t>
      </w:r>
      <w:r w:rsidR="00DA6161">
        <w:t>PSE</w:t>
      </w:r>
      <w:r w:rsidR="00E462EF">
        <w:t>’</w:t>
      </w:r>
      <w:r w:rsidR="002E1ACC">
        <w:t xml:space="preserve">s </w:t>
      </w:r>
      <w:r w:rsidR="00C230B8">
        <w:t xml:space="preserve">proposed electric revenue requirement, along with their concerns </w:t>
      </w:r>
      <w:r w:rsidR="00CE653F">
        <w:t xml:space="preserve">raised about the </w:t>
      </w:r>
      <w:r w:rsidR="00C230B8">
        <w:t>Expedited Rate Filing procedures and the Electric Cost Recovery Mechanism</w:t>
      </w:r>
      <w:r w:rsidR="002E1ACC">
        <w:t>.</w:t>
      </w:r>
    </w:p>
    <w:p w:rsidR="007F588F" w:rsidRDefault="007F588F" w:rsidP="00771706">
      <w:pPr>
        <w:pStyle w:val="Heading1"/>
      </w:pPr>
      <w:bookmarkStart w:id="25" w:name="_Toc490035597"/>
      <w:r w:rsidRPr="009075DC">
        <w:lastRenderedPageBreak/>
        <w:t>I</w:t>
      </w:r>
      <w:r>
        <w:t>I.</w:t>
      </w:r>
      <w:r>
        <w:tab/>
      </w:r>
      <w:r w:rsidRPr="007F588F">
        <w:t xml:space="preserve">COMPARISON OF </w:t>
      </w:r>
      <w:r w:rsidR="00DA6161">
        <w:t>PSE</w:t>
      </w:r>
      <w:r w:rsidR="00E462EF">
        <w:t>’</w:t>
      </w:r>
      <w:r w:rsidRPr="007F588F">
        <w:t xml:space="preserve">S </w:t>
      </w:r>
      <w:r w:rsidR="001D2094">
        <w:t xml:space="preserve">ELECTRIC BASE RATES </w:t>
      </w:r>
      <w:r w:rsidRPr="007F588F">
        <w:t xml:space="preserve">REVENUE </w:t>
      </w:r>
      <w:r w:rsidRPr="00021C30">
        <w:t>DEFICIENCY</w:t>
      </w:r>
      <w:r w:rsidRPr="007F588F">
        <w:t xml:space="preserve"> AND </w:t>
      </w:r>
      <w:r w:rsidR="0018753D" w:rsidRPr="00021C30">
        <w:t>PARTIE</w:t>
      </w:r>
      <w:r w:rsidRPr="00021C30">
        <w:t>S</w:t>
      </w:r>
      <w:r w:rsidR="00E462EF">
        <w:t>’</w:t>
      </w:r>
      <w:r w:rsidRPr="007F588F">
        <w:t xml:space="preserve"> REVENUE </w:t>
      </w:r>
      <w:r w:rsidR="002E1ACC" w:rsidRPr="007F588F">
        <w:t>DEFICIENC</w:t>
      </w:r>
      <w:r w:rsidR="002E1ACC">
        <w:t>IES</w:t>
      </w:r>
      <w:bookmarkEnd w:id="25"/>
    </w:p>
    <w:p w:rsidR="006315E0" w:rsidRDefault="006315E0" w:rsidP="00021C30">
      <w:pPr>
        <w:pStyle w:val="question"/>
      </w:pPr>
      <w:bookmarkStart w:id="26" w:name="_Toc103413034"/>
      <w:bookmarkStart w:id="27" w:name="_Toc105471202"/>
      <w:bookmarkStart w:id="28" w:name="_Toc117411520"/>
      <w:bookmarkStart w:id="29" w:name="_Toc125892217"/>
      <w:bookmarkStart w:id="30" w:name="_Toc127283829"/>
      <w:bookmarkStart w:id="31" w:name="_Toc160546684"/>
      <w:bookmarkStart w:id="32" w:name="_Toc160885933"/>
      <w:bookmarkStart w:id="33" w:name="_Toc176837649"/>
      <w:bookmarkStart w:id="34" w:name="_Toc178136409"/>
      <w:bookmarkStart w:id="35" w:name="_Toc220493630"/>
      <w:bookmarkStart w:id="36" w:name="_Toc245279245"/>
      <w:r>
        <w:t>Q.</w:t>
      </w:r>
      <w:r>
        <w:tab/>
        <w:t xml:space="preserve">Have you </w:t>
      </w:r>
      <w:r w:rsidRPr="00021C30">
        <w:t>prepared</w:t>
      </w:r>
      <w:r>
        <w:t xml:space="preserve"> an exhibit showing </w:t>
      </w:r>
      <w:r w:rsidR="00DA6161">
        <w:t>PSE</w:t>
      </w:r>
      <w:r w:rsidR="00E462EF">
        <w:t>’</w:t>
      </w:r>
      <w:r w:rsidR="002E1ACC">
        <w:t xml:space="preserve">s </w:t>
      </w:r>
      <w:r>
        <w:t>electric base rates revenue deficiency you are filing in this rebuttal filing?</w:t>
      </w:r>
    </w:p>
    <w:p w:rsidR="006315E0" w:rsidRDefault="006315E0" w:rsidP="00021C30">
      <w:pPr>
        <w:pStyle w:val="answer"/>
      </w:pPr>
      <w:r>
        <w:t>A.</w:t>
      </w:r>
      <w:r>
        <w:tab/>
        <w:t>Yes.</w:t>
      </w:r>
      <w:r w:rsidR="000F1FBC">
        <w:t xml:space="preserve"> </w:t>
      </w:r>
      <w:r>
        <w:t>I have updated my electric base rates revenue deficiency for this rebuttal filing in Exhibit KJB-</w:t>
      </w:r>
      <w:r w:rsidR="00C21A59">
        <w:t>18</w:t>
      </w:r>
      <w:r>
        <w:t>.</w:t>
      </w:r>
      <w:r w:rsidR="000F1FBC">
        <w:t xml:space="preserve"> </w:t>
      </w:r>
      <w:r>
        <w:t xml:space="preserve">I discuss the changes made since the supplemental filing made on </w:t>
      </w:r>
      <w:r w:rsidRPr="00021C30">
        <w:t>April</w:t>
      </w:r>
      <w:r w:rsidR="00E462EF">
        <w:t> </w:t>
      </w:r>
      <w:r>
        <w:t>3, 2017 later in my testimony.</w:t>
      </w:r>
      <w:r w:rsidR="000F1FBC">
        <w:t xml:space="preserve"> </w:t>
      </w:r>
      <w:r>
        <w:t>Based on electric rate base of $5</w:t>
      </w:r>
      <w:r w:rsidR="001D2094">
        <w:t>,</w:t>
      </w:r>
      <w:r>
        <w:t>186</w:t>
      </w:r>
      <w:r w:rsidR="001D2094">
        <w:t>.9</w:t>
      </w:r>
      <w:r w:rsidR="00E462EF">
        <w:t> </w:t>
      </w:r>
      <w:r>
        <w:t>billion and pro</w:t>
      </w:r>
      <w:r w:rsidR="002E1ACC">
        <w:t xml:space="preserve"> </w:t>
      </w:r>
      <w:r>
        <w:t>forma operating income of $318.5</w:t>
      </w:r>
      <w:r w:rsidR="00E462EF">
        <w:t> </w:t>
      </w:r>
      <w:r>
        <w:t>million, the electric base rates revenue deficiency is $134.0</w:t>
      </w:r>
      <w:r w:rsidR="00E462EF">
        <w:t> </w:t>
      </w:r>
      <w:r>
        <w:t>million before al</w:t>
      </w:r>
      <w:r w:rsidR="004143A8">
        <w:t>location to wholesale customers.</w:t>
      </w:r>
      <w:r w:rsidR="000F1FBC">
        <w:t xml:space="preserve"> </w:t>
      </w:r>
      <w:r w:rsidR="001D2094">
        <w:t>This represents a reduction of $</w:t>
      </w:r>
      <w:r w:rsidR="00CE653F">
        <w:t>10.0</w:t>
      </w:r>
      <w:r w:rsidR="00E462EF">
        <w:t> </w:t>
      </w:r>
      <w:r w:rsidR="001D2094">
        <w:t>million from the supplemental filing submitted on April</w:t>
      </w:r>
      <w:r w:rsidR="00E462EF">
        <w:t> </w:t>
      </w:r>
      <w:r w:rsidR="001D2094">
        <w:t>3, 2017.</w:t>
      </w:r>
      <w:r w:rsidR="000F1FBC">
        <w:t xml:space="preserve"> </w:t>
      </w:r>
      <w:r w:rsidR="001D2094">
        <w:t>Accordingly, the overall electric revenue requirement deficiency of $68.3</w:t>
      </w:r>
      <w:r w:rsidR="00E462EF">
        <w:t> </w:t>
      </w:r>
      <w:r w:rsidR="001D2094">
        <w:t>million reported on page</w:t>
      </w:r>
      <w:r w:rsidR="00E462EF">
        <w:t> </w:t>
      </w:r>
      <w:r w:rsidR="001D2094">
        <w:t>2 of Exhibit</w:t>
      </w:r>
      <w:r w:rsidR="00E462EF">
        <w:t> </w:t>
      </w:r>
      <w:r w:rsidR="001D2094">
        <w:t>JAP-44 is now $58.</w:t>
      </w:r>
      <w:r w:rsidR="00CE653F">
        <w:t>3</w:t>
      </w:r>
      <w:r w:rsidR="00E462EF">
        <w:t> </w:t>
      </w:r>
      <w:r w:rsidR="001D2094">
        <w:t>million.</w:t>
      </w:r>
    </w:p>
    <w:p w:rsidR="007706E4" w:rsidRDefault="007706E4" w:rsidP="00021C30">
      <w:pPr>
        <w:pStyle w:val="question"/>
      </w:pPr>
      <w:r>
        <w:t>Q.</w:t>
      </w:r>
      <w:r>
        <w:tab/>
      </w:r>
      <w:r w:rsidRPr="00B108F3">
        <w:t xml:space="preserve">Have you prepared exhibits which detail the updated restating and pro forma adjustments that </w:t>
      </w:r>
      <w:r w:rsidR="00DA6161">
        <w:t>PSE</w:t>
      </w:r>
      <w:r w:rsidRPr="00B108F3">
        <w:t xml:space="preserve"> is proposing?</w:t>
      </w:r>
    </w:p>
    <w:p w:rsidR="007706E4" w:rsidRPr="008909AC" w:rsidRDefault="007706E4" w:rsidP="00021C30">
      <w:pPr>
        <w:pStyle w:val="answer"/>
      </w:pPr>
      <w:r w:rsidRPr="008909AC">
        <w:t>A.</w:t>
      </w:r>
      <w:r w:rsidRPr="008909AC">
        <w:rPr>
          <w:b/>
        </w:rPr>
        <w:tab/>
      </w:r>
      <w:r w:rsidRPr="008909AC">
        <w:t>Yes.</w:t>
      </w:r>
      <w:r w:rsidR="000F1FBC">
        <w:t xml:space="preserve"> </w:t>
      </w:r>
      <w:r w:rsidRPr="008909AC">
        <w:t xml:space="preserve">The impact on net operating income and rate base for each </w:t>
      </w:r>
      <w:r w:rsidR="00DA6161">
        <w:t>PSE adjustment</w:t>
      </w:r>
      <w:r w:rsidRPr="008909AC">
        <w:t xml:space="preserve"> is summarized on pages</w:t>
      </w:r>
      <w:r w:rsidR="00E12256">
        <w:t> 1 through 6</w:t>
      </w:r>
      <w:r w:rsidRPr="008909AC">
        <w:t xml:space="preserve"> of Exhibit </w:t>
      </w:r>
      <w:r>
        <w:t>KJB-</w:t>
      </w:r>
      <w:r w:rsidR="00C21A59">
        <w:t>19</w:t>
      </w:r>
      <w:r w:rsidRPr="008909AC">
        <w:t>.</w:t>
      </w:r>
      <w:r w:rsidR="000F1FBC">
        <w:t xml:space="preserve"> </w:t>
      </w:r>
      <w:r>
        <w:t>I have also prepared Exhibit</w:t>
      </w:r>
      <w:r w:rsidR="000A6AC1">
        <w:t>s</w:t>
      </w:r>
      <w:r w:rsidR="00E462EF">
        <w:t> </w:t>
      </w:r>
      <w:r>
        <w:t>KJB-</w:t>
      </w:r>
      <w:r w:rsidR="00C21A59">
        <w:t>20</w:t>
      </w:r>
      <w:r>
        <w:t xml:space="preserve"> and KJB-</w:t>
      </w:r>
      <w:r w:rsidR="00C21A59">
        <w:t>21</w:t>
      </w:r>
      <w:r w:rsidR="00E462EF">
        <w:t>,</w:t>
      </w:r>
      <w:r>
        <w:t xml:space="preserve"> which contain the detail pages supporting the </w:t>
      </w:r>
      <w:r w:rsidRPr="00021C30">
        <w:t>summarized</w:t>
      </w:r>
      <w:r>
        <w:t xml:space="preserve"> adjustments in Exhibit</w:t>
      </w:r>
      <w:r w:rsidR="00E462EF">
        <w:t> </w:t>
      </w:r>
      <w:r>
        <w:t>KJB-</w:t>
      </w:r>
      <w:r w:rsidR="00C21A59">
        <w:t>19</w:t>
      </w:r>
      <w:r>
        <w:t>.</w:t>
      </w:r>
      <w:r w:rsidR="000F1FBC">
        <w:t xml:space="preserve"> </w:t>
      </w:r>
      <w:r w:rsidRPr="006C4AF9">
        <w:t>Exhibit</w:t>
      </w:r>
      <w:r w:rsidR="000A6AC1">
        <w:t>s</w:t>
      </w:r>
      <w:r w:rsidR="00E462EF">
        <w:t> </w:t>
      </w:r>
      <w:r>
        <w:t>KJB</w:t>
      </w:r>
      <w:r w:rsidRPr="006C4AF9">
        <w:t>-</w:t>
      </w:r>
      <w:r w:rsidR="00C21A59">
        <w:t xml:space="preserve">19 </w:t>
      </w:r>
      <w:r>
        <w:t>through KJB-</w:t>
      </w:r>
      <w:r w:rsidR="00C21A59">
        <w:t>21</w:t>
      </w:r>
      <w:r>
        <w:t xml:space="preserve"> are</w:t>
      </w:r>
      <w:r w:rsidRPr="006C4AF9">
        <w:t xml:space="preserve"> </w:t>
      </w:r>
      <w:r>
        <w:t>presented</w:t>
      </w:r>
      <w:r w:rsidRPr="006C4AF9">
        <w:t xml:space="preserve"> in the same format </w:t>
      </w:r>
      <w:r>
        <w:t xml:space="preserve">as </w:t>
      </w:r>
      <w:r w:rsidRPr="006C4AF9">
        <w:t>Exhibit</w:t>
      </w:r>
      <w:r w:rsidR="000A6AC1">
        <w:t>s</w:t>
      </w:r>
      <w:r w:rsidR="00E462EF">
        <w:t> </w:t>
      </w:r>
      <w:r>
        <w:t>KJB</w:t>
      </w:r>
      <w:r w:rsidRPr="006C4AF9">
        <w:t>-</w:t>
      </w:r>
      <w:r>
        <w:t xml:space="preserve">12 through KJB-14, </w:t>
      </w:r>
      <w:r w:rsidRPr="006C4AF9">
        <w:t>and</w:t>
      </w:r>
      <w:r>
        <w:t xml:space="preserve"> in the same format as</w:t>
      </w:r>
      <w:r w:rsidRPr="006C4AF9">
        <w:t xml:space="preserve"> M</w:t>
      </w:r>
      <w:r>
        <w:t>s</w:t>
      </w:r>
      <w:r w:rsidRPr="006C4AF9">
        <w:t>.</w:t>
      </w:r>
      <w:r w:rsidR="00E462EF">
        <w:t> </w:t>
      </w:r>
      <w:proofErr w:type="spellStart"/>
      <w:r>
        <w:t>Cheesman</w:t>
      </w:r>
      <w:r w:rsidR="00E462EF">
        <w:t>’</w:t>
      </w:r>
      <w:r>
        <w:t>s</w:t>
      </w:r>
      <w:proofErr w:type="spellEnd"/>
      <w:r>
        <w:t xml:space="preserve"> </w:t>
      </w:r>
      <w:r w:rsidRPr="006C4AF9">
        <w:t xml:space="preserve">Exhibit </w:t>
      </w:r>
      <w:r>
        <w:t>MCC-2</w:t>
      </w:r>
      <w:r w:rsidRPr="006C4AF9">
        <w:t>.</w:t>
      </w:r>
      <w:r w:rsidR="000F1FBC">
        <w:t xml:space="preserve"> </w:t>
      </w:r>
      <w:r>
        <w:t>Exhibit KJB-</w:t>
      </w:r>
      <w:r w:rsidR="00C21A59">
        <w:t>22</w:t>
      </w:r>
      <w:r w:rsidR="00A15921">
        <w:t xml:space="preserve"> </w:t>
      </w:r>
      <w:r>
        <w:t>provide</w:t>
      </w:r>
      <w:r w:rsidR="00A15921">
        <w:t>s</w:t>
      </w:r>
      <w:r>
        <w:t xml:space="preserve"> the updated Exhibit</w:t>
      </w:r>
      <w:r w:rsidR="00E462EF">
        <w:t> </w:t>
      </w:r>
      <w:r>
        <w:t xml:space="preserve">A-1 Power Cost Baseline Rate for use in the Power Cost </w:t>
      </w:r>
      <w:r>
        <w:lastRenderedPageBreak/>
        <w:t xml:space="preserve">Adjustment </w:t>
      </w:r>
      <w:r w:rsidR="00244C34">
        <w:t>(</w:t>
      </w:r>
      <w:r w:rsidR="00E462EF">
        <w:t>“</w:t>
      </w:r>
      <w:proofErr w:type="spellStart"/>
      <w:r w:rsidR="00244C34">
        <w:t>PCA</w:t>
      </w:r>
      <w:proofErr w:type="spellEnd"/>
      <w:r w:rsidR="00E462EF">
        <w:t>”</w:t>
      </w:r>
      <w:r w:rsidR="00244C34">
        <w:t xml:space="preserve">) </w:t>
      </w:r>
      <w:r>
        <w:t>Mechanism</w:t>
      </w:r>
      <w:r w:rsidR="00A004F0">
        <w:t>.</w:t>
      </w:r>
      <w:r w:rsidR="00E12256">
        <w:rPr>
          <w:rStyle w:val="FootnoteReference"/>
        </w:rPr>
        <w:footnoteReference w:id="2"/>
      </w:r>
      <w:r w:rsidR="000F1FBC">
        <w:t xml:space="preserve"> </w:t>
      </w:r>
      <w:r w:rsidR="00E462EF">
        <w:t>F</w:t>
      </w:r>
      <w:r w:rsidR="00A004F0">
        <w:t>inally</w:t>
      </w:r>
      <w:r>
        <w:t>, Exhibit</w:t>
      </w:r>
      <w:r w:rsidR="00E462EF">
        <w:t> </w:t>
      </w:r>
      <w:r>
        <w:t>KJB-</w:t>
      </w:r>
      <w:r w:rsidR="00C21A59">
        <w:t>23</w:t>
      </w:r>
      <w:r>
        <w:t xml:space="preserve"> provides an additional overview of all electric adjustments as to whether they are contested or uncontested and the effect on net operating income, rate base</w:t>
      </w:r>
      <w:r w:rsidR="00E462EF">
        <w:t>,</w:t>
      </w:r>
      <w:r>
        <w:t xml:space="preserve"> and the contribution to</w:t>
      </w:r>
      <w:r w:rsidR="00E12256">
        <w:t xml:space="preserve"> the base rates</w:t>
      </w:r>
      <w:r>
        <w:t xml:space="preserve"> revenue deficiency when comparing the results between </w:t>
      </w:r>
      <w:r w:rsidR="00DA6161">
        <w:t>PSE</w:t>
      </w:r>
      <w:r>
        <w:t xml:space="preserve"> and other </w:t>
      </w:r>
      <w:r w:rsidR="00244C34">
        <w:t>parties.</w:t>
      </w:r>
      <w:r w:rsidR="000F1FBC">
        <w:t xml:space="preserve"> </w:t>
      </w:r>
      <w:r w:rsidRPr="008909AC">
        <w:t>Each of these adjustments is explained by reference to the actual adjustment page as listed below.</w:t>
      </w:r>
      <w:r w:rsidR="000F1FBC">
        <w:t xml:space="preserve"> </w:t>
      </w:r>
      <w:r w:rsidR="00244C34">
        <w:t>PSE</w:t>
      </w:r>
      <w:r w:rsidRPr="008909AC">
        <w:t xml:space="preserve"> requests that the Commission accept the adjustments</w:t>
      </w:r>
      <w:r w:rsidR="00A15921">
        <w:t xml:space="preserve"> included in these exhibits</w:t>
      </w:r>
      <w:r w:rsidRPr="008909AC">
        <w:t xml:space="preserve"> as presented by </w:t>
      </w:r>
      <w:r w:rsidR="00DA6161">
        <w:t>PSE</w:t>
      </w:r>
      <w:r w:rsidRPr="008909AC">
        <w:t>.</w:t>
      </w:r>
    </w:p>
    <w:p w:rsidR="003D413F" w:rsidRPr="006C4AF9" w:rsidRDefault="003D413F" w:rsidP="00021C30">
      <w:pPr>
        <w:pStyle w:val="question"/>
      </w:pPr>
      <w:r>
        <w:t>Q</w:t>
      </w:r>
      <w:r w:rsidRPr="00334C34">
        <w:t>.</w:t>
      </w:r>
      <w:r w:rsidRPr="00334C34">
        <w:tab/>
      </w:r>
      <w:bookmarkEnd w:id="26"/>
      <w:bookmarkEnd w:id="27"/>
      <w:bookmarkEnd w:id="28"/>
      <w:bookmarkEnd w:id="29"/>
      <w:bookmarkEnd w:id="30"/>
      <w:bookmarkEnd w:id="31"/>
      <w:bookmarkEnd w:id="32"/>
      <w:bookmarkEnd w:id="33"/>
      <w:bookmarkEnd w:id="34"/>
      <w:bookmarkEnd w:id="35"/>
      <w:r w:rsidRPr="006C4AF9">
        <w:t xml:space="preserve">Have </w:t>
      </w:r>
      <w:r w:rsidRPr="00021C30">
        <w:t>you</w:t>
      </w:r>
      <w:r w:rsidRPr="006C4AF9">
        <w:t xml:space="preserve"> prepared a reconciliation between the</w:t>
      </w:r>
      <w:r w:rsidR="00E12256">
        <w:t xml:space="preserve"> electric base rates</w:t>
      </w:r>
      <w:r w:rsidRPr="006C4AF9">
        <w:t xml:space="preserve"> revenue deficiency filed by </w:t>
      </w:r>
      <w:r w:rsidR="00DA6161">
        <w:t>PSE</w:t>
      </w:r>
      <w:r w:rsidRPr="006C4AF9">
        <w:t xml:space="preserve"> and </w:t>
      </w:r>
      <w:r>
        <w:t>the revenue deficiency/surplus</w:t>
      </w:r>
      <w:r w:rsidRPr="006C4AF9">
        <w:t xml:space="preserve"> filed by </w:t>
      </w:r>
      <w:r>
        <w:t>other parties</w:t>
      </w:r>
      <w:r w:rsidRPr="006C4AF9">
        <w:t>?</w:t>
      </w:r>
    </w:p>
    <w:p w:rsidR="003D413F" w:rsidRDefault="003D413F" w:rsidP="00021C30">
      <w:pPr>
        <w:pStyle w:val="answer"/>
      </w:pPr>
      <w:r w:rsidRPr="006C4AF9">
        <w:t>A.</w:t>
      </w:r>
      <w:r w:rsidRPr="006C4AF9">
        <w:tab/>
        <w:t>Yes.</w:t>
      </w:r>
      <w:r w:rsidR="000F1FBC">
        <w:t xml:space="preserve"> </w:t>
      </w:r>
      <w:r w:rsidR="00C21A59">
        <w:t>T</w:t>
      </w:r>
      <w:r w:rsidRPr="00F35EB9">
        <w:t>able</w:t>
      </w:r>
      <w:r w:rsidR="00C21A59">
        <w:t> 1 below</w:t>
      </w:r>
      <w:r w:rsidRPr="00F35EB9">
        <w:t xml:space="preserve"> highlights the </w:t>
      </w:r>
      <w:r w:rsidRPr="00021C30">
        <w:t>differences</w:t>
      </w:r>
      <w:r>
        <w:t xml:space="preserve"> </w:t>
      </w:r>
      <w:r w:rsidRPr="00F35EB9">
        <w:t xml:space="preserve">between </w:t>
      </w:r>
      <w:r w:rsidR="00DA6161">
        <w:t>PSE</w:t>
      </w:r>
      <w:r w:rsidR="00DA6161" w:rsidRPr="00F35EB9">
        <w:t xml:space="preserve"> </w:t>
      </w:r>
      <w:r w:rsidR="00E462EF">
        <w:t>‘</w:t>
      </w:r>
      <w:r w:rsidRPr="00F35EB9">
        <w:t xml:space="preserve">s </w:t>
      </w:r>
      <w:r>
        <w:t>supplemental</w:t>
      </w:r>
      <w:r w:rsidRPr="00F35EB9">
        <w:t xml:space="preserve"> filing, </w:t>
      </w:r>
      <w:r w:rsidR="00DA6161">
        <w:t>PSE</w:t>
      </w:r>
      <w:r w:rsidR="00DA6161" w:rsidRPr="00F35EB9">
        <w:t xml:space="preserve"> </w:t>
      </w:r>
      <w:r w:rsidR="00E462EF">
        <w:t>‘</w:t>
      </w:r>
      <w:r w:rsidRPr="00F35EB9">
        <w:t xml:space="preserve">s rebuttal filing and the </w:t>
      </w:r>
      <w:r>
        <w:t>opposing parties</w:t>
      </w:r>
      <w:r w:rsidR="00E462EF">
        <w:t>’</w:t>
      </w:r>
      <w:r w:rsidRPr="00F35EB9">
        <w:t xml:space="preserve"> filing</w:t>
      </w:r>
      <w:r w:rsidR="00244C34">
        <w:t>s</w:t>
      </w:r>
      <w:r w:rsidRPr="00F35EB9">
        <w:t xml:space="preserve"> on </w:t>
      </w:r>
      <w:r>
        <w:t>June</w:t>
      </w:r>
      <w:r w:rsidR="00E462EF">
        <w:t> </w:t>
      </w:r>
      <w:r>
        <w:t>30, 2017</w:t>
      </w:r>
      <w:r w:rsidRPr="00F35EB9">
        <w:t>.</w:t>
      </w:r>
      <w:bookmarkEnd w:id="36"/>
    </w:p>
    <w:p w:rsidR="00E12256" w:rsidRDefault="00E12256" w:rsidP="00E12256">
      <w:pPr>
        <w:pStyle w:val="center"/>
        <w:keepNext/>
        <w:keepLines w:val="0"/>
        <w:spacing w:before="0" w:line="240" w:lineRule="auto"/>
      </w:pPr>
      <w:r>
        <w:rPr>
          <w:b/>
        </w:rPr>
        <w:lastRenderedPageBreak/>
        <w:t>Table</w:t>
      </w:r>
      <w:r w:rsidR="00C21A59">
        <w:rPr>
          <w:b/>
        </w:rPr>
        <w:t> </w:t>
      </w:r>
      <w:r>
        <w:rPr>
          <w:b/>
        </w:rPr>
        <w:t>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tblGrid>
      <w:tr w:rsidR="00021C30" w:rsidTr="00EA6B61">
        <w:tc>
          <w:tcPr>
            <w:tcW w:w="8028" w:type="dxa"/>
          </w:tcPr>
          <w:p w:rsidR="00021C30" w:rsidRDefault="00EA6B61" w:rsidP="00021C30">
            <w:pPr>
              <w:pStyle w:val="answer"/>
              <w:ind w:left="0" w:firstLine="0"/>
              <w:jc w:val="center"/>
            </w:pPr>
            <w:r>
              <w:rPr>
                <w:noProof/>
                <w:lang w:eastAsia="en-US"/>
              </w:rPr>
              <w:drawing>
                <wp:inline distT="0" distB="0" distL="0" distR="0" wp14:anchorId="095F9F6F" wp14:editId="347418F3">
                  <wp:extent cx="4899062" cy="4764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9062" cy="4764024"/>
                          </a:xfrm>
                          <a:prstGeom prst="rect">
                            <a:avLst/>
                          </a:prstGeom>
                        </pic:spPr>
                      </pic:pic>
                    </a:graphicData>
                  </a:graphic>
                </wp:inline>
              </w:drawing>
            </w:r>
          </w:p>
        </w:tc>
      </w:tr>
    </w:tbl>
    <w:p w:rsidR="003D413F" w:rsidRPr="00F80FD5" w:rsidRDefault="003D413F" w:rsidP="00021C30">
      <w:pPr>
        <w:pStyle w:val="question"/>
      </w:pPr>
      <w:r w:rsidRPr="00F60B6E">
        <w:t>Q.</w:t>
      </w:r>
      <w:r w:rsidRPr="00F60B6E">
        <w:tab/>
        <w:t xml:space="preserve">What are the major differences between </w:t>
      </w:r>
      <w:r w:rsidR="00DA6161">
        <w:t>PSE</w:t>
      </w:r>
      <w:r w:rsidR="00E462EF">
        <w:t>’</w:t>
      </w:r>
      <w:r w:rsidRPr="00F60B6E">
        <w:t xml:space="preserve">s </w:t>
      </w:r>
      <w:r>
        <w:t xml:space="preserve">electric </w:t>
      </w:r>
      <w:r w:rsidRPr="00F60B6E">
        <w:t xml:space="preserve">revenue deficiency and the </w:t>
      </w:r>
      <w:r w:rsidR="00AD0A2C">
        <w:t>parties</w:t>
      </w:r>
      <w:r w:rsidR="00E462EF">
        <w:t>’</w:t>
      </w:r>
      <w:r w:rsidR="00AD0A2C" w:rsidRPr="00F60B6E">
        <w:t xml:space="preserve"> </w:t>
      </w:r>
      <w:r>
        <w:t>electric</w:t>
      </w:r>
      <w:r w:rsidRPr="00F60B6E">
        <w:t xml:space="preserve"> revenue deficiency?</w:t>
      </w:r>
    </w:p>
    <w:p w:rsidR="003D413F" w:rsidRDefault="003D413F" w:rsidP="00021C30">
      <w:pPr>
        <w:pStyle w:val="answer"/>
      </w:pPr>
      <w:r>
        <w:t>A.</w:t>
      </w:r>
      <w:r>
        <w:tab/>
        <w:t>Included in Exhibit</w:t>
      </w:r>
      <w:r w:rsidR="00E462EF">
        <w:t> </w:t>
      </w:r>
      <w:r>
        <w:t>KJB-</w:t>
      </w:r>
      <w:r w:rsidR="00C21A59">
        <w:t>23</w:t>
      </w:r>
      <w:r>
        <w:t xml:space="preserve"> is a comparison of the revenue deficiencies by adjustment currently filed by </w:t>
      </w:r>
      <w:r w:rsidR="00DA6161">
        <w:t>PSE</w:t>
      </w:r>
      <w:r>
        <w:t xml:space="preserve"> and opposing </w:t>
      </w:r>
      <w:r w:rsidR="00AD0A2C">
        <w:t>parties</w:t>
      </w:r>
      <w:r>
        <w:t>.</w:t>
      </w:r>
      <w:r w:rsidR="000F1FBC">
        <w:t xml:space="preserve"> </w:t>
      </w:r>
      <w:r w:rsidRPr="00013A6A">
        <w:t>The</w:t>
      </w:r>
      <w:r>
        <w:t xml:space="preserve"> major differences between </w:t>
      </w:r>
      <w:r w:rsidR="00DA6161">
        <w:t>PSE</w:t>
      </w:r>
      <w:r>
        <w:t xml:space="preserve"> and </w:t>
      </w:r>
      <w:r w:rsidR="00E12256">
        <w:t xml:space="preserve">opposing parties </w:t>
      </w:r>
      <w:r>
        <w:t xml:space="preserve">are </w:t>
      </w:r>
      <w:r w:rsidR="00E462EF">
        <w:t>(i) </w:t>
      </w:r>
      <w:r>
        <w:t>capital structure</w:t>
      </w:r>
      <w:r w:rsidR="00E462EF">
        <w:t>,</w:t>
      </w:r>
      <w:r>
        <w:t xml:space="preserve"> </w:t>
      </w:r>
      <w:r w:rsidR="00E462EF">
        <w:t>(ii) </w:t>
      </w:r>
      <w:r>
        <w:t>return on equity embedded in the rate of return</w:t>
      </w:r>
      <w:r w:rsidR="00E462EF">
        <w:t>, and (iii) </w:t>
      </w:r>
      <w:r>
        <w:t xml:space="preserve">the other differences highlighted in </w:t>
      </w:r>
      <w:r w:rsidR="00C21A59">
        <w:t>T</w:t>
      </w:r>
      <w:r>
        <w:t>able</w:t>
      </w:r>
      <w:r w:rsidR="00C21A59">
        <w:t> 1 above</w:t>
      </w:r>
      <w:r>
        <w:t>.</w:t>
      </w:r>
      <w:r w:rsidR="000F1FBC">
        <w:t xml:space="preserve"> </w:t>
      </w:r>
      <w:r>
        <w:t xml:space="preserve">The capital structure and return on equity are discussed by </w:t>
      </w:r>
      <w:r>
        <w:lastRenderedPageBreak/>
        <w:t>Mr.</w:t>
      </w:r>
      <w:r w:rsidR="0077523D">
        <w:t> </w:t>
      </w:r>
      <w:r>
        <w:t>Doyle and Dr.</w:t>
      </w:r>
      <w:r w:rsidR="00E462EF">
        <w:t> </w:t>
      </w:r>
      <w:r>
        <w:t xml:space="preserve">Morin in their </w:t>
      </w:r>
      <w:proofErr w:type="spellStart"/>
      <w:r>
        <w:t>prefiled</w:t>
      </w:r>
      <w:proofErr w:type="spellEnd"/>
      <w:r>
        <w:t xml:space="preserve"> rebuttal testimony, Exhibit</w:t>
      </w:r>
      <w:r w:rsidR="00E462EF">
        <w:t> </w:t>
      </w:r>
      <w:r w:rsidR="00E12256">
        <w:t>DAD-</w:t>
      </w:r>
      <w:r>
        <w:t xml:space="preserve">7T and </w:t>
      </w:r>
      <w:r w:rsidR="00CE653F">
        <w:t>Exhibit</w:t>
      </w:r>
      <w:r w:rsidR="00E462EF">
        <w:t> </w:t>
      </w:r>
      <w:r>
        <w:t>RAM-12T,</w:t>
      </w:r>
      <w:r w:rsidRPr="00543AA7">
        <w:t xml:space="preserve"> respectively</w:t>
      </w:r>
      <w:r>
        <w:t>.</w:t>
      </w:r>
      <w:r w:rsidR="000F1FBC">
        <w:t xml:space="preserve"> </w:t>
      </w:r>
      <w:r>
        <w:t xml:space="preserve">The other differences will be discussed in the </w:t>
      </w:r>
      <w:r w:rsidRPr="00B03669">
        <w:t>relevant pro forma</w:t>
      </w:r>
      <w:r>
        <w:t xml:space="preserve"> or restating adjustment discussions</w:t>
      </w:r>
      <w:r w:rsidR="00AD0A2C">
        <w:t>,</w:t>
      </w:r>
      <w:r>
        <w:t xml:space="preserve"> which occur later in my testimony.</w:t>
      </w:r>
    </w:p>
    <w:p w:rsidR="00822FAA" w:rsidRPr="009246C3" w:rsidRDefault="00822FAA" w:rsidP="00021C30">
      <w:pPr>
        <w:pStyle w:val="question"/>
      </w:pPr>
      <w:r w:rsidRPr="009246C3">
        <w:t>Q.</w:t>
      </w:r>
      <w:r w:rsidRPr="009246C3">
        <w:tab/>
        <w:t xml:space="preserve">Are </w:t>
      </w:r>
      <w:r w:rsidRPr="00021C30">
        <w:t>you</w:t>
      </w:r>
      <w:r w:rsidRPr="009246C3">
        <w:t xml:space="preserve"> aware of any changes </w:t>
      </w:r>
      <w:r>
        <w:t>related</w:t>
      </w:r>
      <w:r w:rsidRPr="009246C3">
        <w:t xml:space="preserve"> to the </w:t>
      </w:r>
      <w:r>
        <w:t>electric</w:t>
      </w:r>
      <w:r w:rsidRPr="009246C3">
        <w:t xml:space="preserve"> revenue requirement presentations of Commission Staff</w:t>
      </w:r>
      <w:r>
        <w:t>?</w:t>
      </w:r>
    </w:p>
    <w:p w:rsidR="00822FAA" w:rsidRPr="00D13C2F" w:rsidRDefault="00822FAA" w:rsidP="00021C30">
      <w:pPr>
        <w:pStyle w:val="Answer0"/>
        <w:rPr>
          <w:rFonts w:eastAsia="SimSun"/>
        </w:rPr>
      </w:pPr>
      <w:r>
        <w:t>A.</w:t>
      </w:r>
      <w:r>
        <w:tab/>
        <w:t>Yes.</w:t>
      </w:r>
      <w:r w:rsidR="000F1FBC">
        <w:t xml:space="preserve"> </w:t>
      </w:r>
      <w:r>
        <w:t>During discovery, PSE received Commission Staff</w:t>
      </w:r>
      <w:r w:rsidR="00E462EF">
        <w:t>’</w:t>
      </w:r>
      <w:r>
        <w:t>s Response to PSE Data Request Nos.</w:t>
      </w:r>
      <w:r w:rsidR="00E462EF">
        <w:t> </w:t>
      </w:r>
      <w:r>
        <w:t>27 and 28</w:t>
      </w:r>
      <w:r w:rsidR="00E462EF">
        <w:t>, which reflect</w:t>
      </w:r>
      <w:r>
        <w:t xml:space="preserve"> revisions and corrections to </w:t>
      </w:r>
      <w:r w:rsidR="009A11B5">
        <w:rPr>
          <w:bCs/>
        </w:rPr>
        <w:t xml:space="preserve">Commission </w:t>
      </w:r>
      <w:r>
        <w:t>Staff</w:t>
      </w:r>
      <w:r w:rsidR="00E462EF">
        <w:t>’</w:t>
      </w:r>
      <w:r>
        <w:t xml:space="preserve">s working capital calculation as well as to </w:t>
      </w:r>
      <w:r w:rsidR="009A11B5">
        <w:rPr>
          <w:bCs/>
        </w:rPr>
        <w:t xml:space="preserve">Commission </w:t>
      </w:r>
      <w:r>
        <w:t>Staff</w:t>
      </w:r>
      <w:r w:rsidR="00E462EF">
        <w:t>’</w:t>
      </w:r>
      <w:r>
        <w:t xml:space="preserve">s electric depreciation study adjustment </w:t>
      </w:r>
      <w:r w:rsidR="000E47DB">
        <w:t xml:space="preserve">that </w:t>
      </w:r>
      <w:r w:rsidR="009A11B5">
        <w:t xml:space="preserve">affected </w:t>
      </w:r>
      <w:r w:rsidR="009A11B5">
        <w:rPr>
          <w:bCs/>
        </w:rPr>
        <w:t xml:space="preserve">Commission </w:t>
      </w:r>
      <w:r>
        <w:t>Staff</w:t>
      </w:r>
      <w:r w:rsidR="00E462EF">
        <w:t>’</w:t>
      </w:r>
      <w:r>
        <w:t>s electric revenue requirement filed on June</w:t>
      </w:r>
      <w:r w:rsidR="00E462EF">
        <w:t> </w:t>
      </w:r>
      <w:r>
        <w:t>30, 2017.</w:t>
      </w:r>
      <w:r w:rsidR="000F1FBC">
        <w:t xml:space="preserve"> </w:t>
      </w:r>
      <w:r w:rsidR="009A11B5">
        <w:rPr>
          <w:bCs/>
        </w:rPr>
        <w:t xml:space="preserve">Commission </w:t>
      </w:r>
      <w:r>
        <w:t>Staff</w:t>
      </w:r>
      <w:r w:rsidR="00E462EF">
        <w:t>’</w:t>
      </w:r>
      <w:r>
        <w:t xml:space="preserve">s </w:t>
      </w:r>
      <w:r w:rsidR="00CE653F">
        <w:t>response to PSE</w:t>
      </w:r>
      <w:r w:rsidR="00E462EF">
        <w:t>’</w:t>
      </w:r>
      <w:r w:rsidR="00CE653F">
        <w:t xml:space="preserve">s </w:t>
      </w:r>
      <w:r>
        <w:t xml:space="preserve">data </w:t>
      </w:r>
      <w:r w:rsidR="00CE653F">
        <w:t xml:space="preserve">request </w:t>
      </w:r>
      <w:r>
        <w:t>provided updated work papers for Exhibits</w:t>
      </w:r>
      <w:r w:rsidR="00E462EF">
        <w:t> </w:t>
      </w:r>
      <w:r>
        <w:t>BAE-2 and BAE-3</w:t>
      </w:r>
      <w:r w:rsidR="00E462EF">
        <w:t>,</w:t>
      </w:r>
      <w:r w:rsidR="007B796B">
        <w:t xml:space="preserve"> </w:t>
      </w:r>
      <w:r>
        <w:t>as well as Exhibits</w:t>
      </w:r>
      <w:r w:rsidR="00E462EF">
        <w:t> </w:t>
      </w:r>
      <w:r>
        <w:t>MCC-2</w:t>
      </w:r>
      <w:r w:rsidR="00CE653F">
        <w:t>, MCC-3 and MCC-5</w:t>
      </w:r>
      <w:r>
        <w:t>.</w:t>
      </w:r>
      <w:r w:rsidR="000F1FBC">
        <w:t xml:space="preserve"> </w:t>
      </w:r>
      <w:r>
        <w:t xml:space="preserve">I have provided </w:t>
      </w:r>
      <w:r w:rsidR="007B796B">
        <w:t xml:space="preserve">an </w:t>
      </w:r>
      <w:r>
        <w:t>excerpt</w:t>
      </w:r>
      <w:r w:rsidR="007B796B">
        <w:t xml:space="preserve"> of </w:t>
      </w:r>
      <w:r w:rsidR="009A11B5">
        <w:rPr>
          <w:bCs/>
        </w:rPr>
        <w:t xml:space="preserve">Commission </w:t>
      </w:r>
      <w:r w:rsidR="007B796B">
        <w:t>Staff</w:t>
      </w:r>
      <w:r w:rsidR="00B95CE4">
        <w:t>’</w:t>
      </w:r>
      <w:r w:rsidR="00CE653F">
        <w:t>s response to PSE Data Request No. 27 as Exhibit</w:t>
      </w:r>
      <w:r w:rsidR="00C21A59">
        <w:t> </w:t>
      </w:r>
      <w:r w:rsidR="007B796B">
        <w:t>KJB</w:t>
      </w:r>
      <w:r>
        <w:t>-</w:t>
      </w:r>
      <w:r w:rsidR="00C21A59">
        <w:t>24</w:t>
      </w:r>
      <w:r>
        <w:t>.</w:t>
      </w:r>
      <w:r w:rsidR="000F1FBC">
        <w:t xml:space="preserve"> </w:t>
      </w:r>
      <w:r w:rsidR="007B796B">
        <w:t xml:space="preserve">I have also provided </w:t>
      </w:r>
      <w:r w:rsidR="009A11B5">
        <w:rPr>
          <w:bCs/>
        </w:rPr>
        <w:t xml:space="preserve">Commission </w:t>
      </w:r>
      <w:r w:rsidR="009A11B5">
        <w:t>Staff</w:t>
      </w:r>
      <w:r w:rsidR="00E462EF">
        <w:t>’</w:t>
      </w:r>
      <w:r w:rsidR="007B796B">
        <w:t>s Response to PSE Data Request No.</w:t>
      </w:r>
      <w:r w:rsidR="00E462EF">
        <w:t> </w:t>
      </w:r>
      <w:r w:rsidR="007B796B">
        <w:t>17 in Exhibit</w:t>
      </w:r>
      <w:r w:rsidR="00C21A59">
        <w:t> </w:t>
      </w:r>
      <w:r w:rsidR="007B796B">
        <w:t>KJB-</w:t>
      </w:r>
      <w:r w:rsidR="00C21A59">
        <w:t>25</w:t>
      </w:r>
      <w:r w:rsidR="007B796B">
        <w:t xml:space="preserve">, which provides an explanation for </w:t>
      </w:r>
      <w:r w:rsidR="009A11B5">
        <w:rPr>
          <w:bCs/>
        </w:rPr>
        <w:t xml:space="preserve">Commission </w:t>
      </w:r>
      <w:r w:rsidR="009A11B5">
        <w:t>Staff</w:t>
      </w:r>
      <w:r w:rsidR="00E462EF">
        <w:t>’</w:t>
      </w:r>
      <w:r w:rsidR="007B796B">
        <w:t>s change to their electric depreciation study adjustment.</w:t>
      </w:r>
      <w:r w:rsidR="000F1FBC">
        <w:t xml:space="preserve"> </w:t>
      </w:r>
      <w:r w:rsidR="007B796B">
        <w:t>Ms.</w:t>
      </w:r>
      <w:r w:rsidR="0077523D">
        <w:t> </w:t>
      </w:r>
      <w:r w:rsidR="007B796B">
        <w:t xml:space="preserve">Free discusses and provides an excerpt from </w:t>
      </w:r>
      <w:r w:rsidR="009A11B5">
        <w:rPr>
          <w:bCs/>
        </w:rPr>
        <w:t xml:space="preserve">Commission </w:t>
      </w:r>
      <w:r w:rsidR="009A11B5">
        <w:t>Staff</w:t>
      </w:r>
      <w:r w:rsidR="00E462EF">
        <w:t>’</w:t>
      </w:r>
      <w:r w:rsidR="007B796B">
        <w:t>s Response to PSE</w:t>
      </w:r>
      <w:r w:rsidR="00E462EF">
        <w:t>’</w:t>
      </w:r>
      <w:r w:rsidR="007B796B">
        <w:t>s Data Request No.</w:t>
      </w:r>
      <w:r w:rsidR="002E48EC">
        <w:t> </w:t>
      </w:r>
      <w:r w:rsidR="007B796B">
        <w:t xml:space="preserve">28 which outlines the </w:t>
      </w:r>
      <w:r w:rsidR="009A11B5">
        <w:rPr>
          <w:bCs/>
        </w:rPr>
        <w:t xml:space="preserve">Commission </w:t>
      </w:r>
      <w:r w:rsidR="009A11B5">
        <w:t>Staff</w:t>
      </w:r>
      <w:r w:rsidR="00E462EF">
        <w:t>’</w:t>
      </w:r>
      <w:r w:rsidR="007B796B">
        <w:t>s changes related to the working capital calculation.</w:t>
      </w:r>
      <w:r w:rsidR="000F1FBC">
        <w:t xml:space="preserve"> </w:t>
      </w:r>
      <w:r w:rsidR="007B796B">
        <w:t>PSE is providing these data request responses</w:t>
      </w:r>
      <w:r>
        <w:t xml:space="preserve"> </w:t>
      </w:r>
      <w:r w:rsidR="002E48EC">
        <w:t xml:space="preserve">because </w:t>
      </w:r>
      <w:r>
        <w:t>they illustrate th</w:t>
      </w:r>
      <w:r w:rsidR="00C12DB5">
        <w:t>e</w:t>
      </w:r>
      <w:r>
        <w:t xml:space="preserve"> </w:t>
      </w:r>
      <w:r w:rsidR="007B796B">
        <w:t xml:space="preserve">need for a correction to </w:t>
      </w:r>
      <w:r w:rsidR="009A11B5">
        <w:rPr>
          <w:bCs/>
        </w:rPr>
        <w:t xml:space="preserve">Commission </w:t>
      </w:r>
      <w:r w:rsidR="009A11B5">
        <w:t>Staff</w:t>
      </w:r>
      <w:r w:rsidR="00E462EF">
        <w:t>’</w:t>
      </w:r>
      <w:r w:rsidR="007B796B">
        <w:t xml:space="preserve">s electric depreciation study and to also illustrate that </w:t>
      </w:r>
      <w:r>
        <w:t xml:space="preserve">PSE and </w:t>
      </w:r>
      <w:r w:rsidR="009A11B5">
        <w:rPr>
          <w:bCs/>
        </w:rPr>
        <w:t xml:space="preserve">Commission </w:t>
      </w:r>
      <w:r w:rsidR="009A11B5">
        <w:t>Staff</w:t>
      </w:r>
      <w:r>
        <w:t xml:space="preserve"> have many fewer differences in </w:t>
      </w:r>
      <w:r>
        <w:lastRenderedPageBreak/>
        <w:t>position related to working capital</w:t>
      </w:r>
      <w:r w:rsidR="007B796B">
        <w:t xml:space="preserve"> once </w:t>
      </w:r>
      <w:r w:rsidR="009A11B5">
        <w:rPr>
          <w:bCs/>
        </w:rPr>
        <w:t xml:space="preserve">Commission </w:t>
      </w:r>
      <w:r w:rsidR="009A11B5">
        <w:t>Staff</w:t>
      </w:r>
      <w:r w:rsidR="00E462EF">
        <w:t>’</w:t>
      </w:r>
      <w:r w:rsidR="007B796B">
        <w:t>s Response to PSE Data Request Nos.</w:t>
      </w:r>
      <w:r w:rsidR="002E48EC">
        <w:t> </w:t>
      </w:r>
      <w:r w:rsidR="007B796B">
        <w:t>27 and 28 are taken into account</w:t>
      </w:r>
      <w:r w:rsidR="00C12DB5">
        <w:t xml:space="preserve"> versus what is reflect</w:t>
      </w:r>
      <w:r w:rsidR="00CE653F">
        <w:t>ed</w:t>
      </w:r>
      <w:r w:rsidR="00C12DB5">
        <w:t xml:space="preserve"> in Table</w:t>
      </w:r>
      <w:r w:rsidR="002E48EC">
        <w:t> </w:t>
      </w:r>
      <w:r w:rsidR="00C12DB5">
        <w:t>1 above</w:t>
      </w:r>
      <w:r>
        <w:t>.</w:t>
      </w:r>
    </w:p>
    <w:p w:rsidR="007F588F" w:rsidRDefault="00796F02" w:rsidP="00771706">
      <w:pPr>
        <w:pStyle w:val="Heading1"/>
      </w:pPr>
      <w:bookmarkStart w:id="37" w:name="_Toc490035598"/>
      <w:r w:rsidRPr="009075DC">
        <w:t>I</w:t>
      </w:r>
      <w:r>
        <w:t>II.</w:t>
      </w:r>
      <w:r>
        <w:tab/>
      </w:r>
      <w:r w:rsidR="006315E0" w:rsidRPr="00C12DB5">
        <w:t>MULTI</w:t>
      </w:r>
      <w:r w:rsidR="00523B21">
        <w:t>-</w:t>
      </w:r>
      <w:r w:rsidR="006315E0">
        <w:t>YEAR RATE PLAN</w:t>
      </w:r>
      <w:bookmarkEnd w:id="37"/>
    </w:p>
    <w:p w:rsidR="00E552DC" w:rsidRDefault="00E552DC" w:rsidP="00021C30">
      <w:pPr>
        <w:pStyle w:val="question"/>
      </w:pPr>
      <w:r w:rsidRPr="00263E15">
        <w:t>Q.</w:t>
      </w:r>
      <w:r w:rsidRPr="00263E15">
        <w:tab/>
        <w:t>How do you respond to Public Counsel</w:t>
      </w:r>
      <w:r w:rsidR="00E462EF">
        <w:t>’</w:t>
      </w:r>
      <w:r w:rsidRPr="00263E15">
        <w:t>s testimony regarding PSE</w:t>
      </w:r>
      <w:r w:rsidR="00E462EF">
        <w:t>’</w:t>
      </w:r>
      <w:r w:rsidRPr="00263E15">
        <w:t>s evaluation of growth in expenses</w:t>
      </w:r>
      <w:r>
        <w:t xml:space="preserve"> over the rate-plan period</w:t>
      </w:r>
      <w:r w:rsidRPr="00263E15">
        <w:t>?</w:t>
      </w:r>
    </w:p>
    <w:p w:rsidR="002E48EC" w:rsidRDefault="00E552DC" w:rsidP="00021C30">
      <w:pPr>
        <w:pStyle w:val="Answer0"/>
      </w:pPr>
      <w:r>
        <w:t>A.</w:t>
      </w:r>
      <w:r>
        <w:tab/>
        <w:t>Public Counsel</w:t>
      </w:r>
      <w:r w:rsidRPr="003B339C">
        <w:t xml:space="preserve"> </w:t>
      </w:r>
      <w:r w:rsidR="00AD0A2C">
        <w:t>w</w:t>
      </w:r>
      <w:r w:rsidR="00AD0A2C" w:rsidRPr="003B339C">
        <w:t xml:space="preserve">itness </w:t>
      </w:r>
      <w:proofErr w:type="spellStart"/>
      <w:r w:rsidRPr="003B339C">
        <w:t>Brosch</w:t>
      </w:r>
      <w:proofErr w:type="spellEnd"/>
      <w:r w:rsidRPr="003B339C">
        <w:t xml:space="preserve"> questions the </w:t>
      </w:r>
      <w:r w:rsidR="00E462EF">
        <w:t>“</w:t>
      </w:r>
      <w:r w:rsidRPr="003B339C">
        <w:t>per customer</w:t>
      </w:r>
      <w:r w:rsidR="00E462EF">
        <w:t>”</w:t>
      </w:r>
      <w:r w:rsidRPr="003B339C">
        <w:t xml:space="preserve"> comparison of expenses presented as Tables</w:t>
      </w:r>
      <w:r w:rsidR="002E48EC">
        <w:t> </w:t>
      </w:r>
      <w:r w:rsidRPr="003B339C">
        <w:t>1, 2, and 3 in my</w:t>
      </w:r>
      <w:r w:rsidR="00C12DB5">
        <w:t xml:space="preserve"> </w:t>
      </w:r>
      <w:proofErr w:type="spellStart"/>
      <w:r w:rsidR="00C12DB5">
        <w:t>prefiled</w:t>
      </w:r>
      <w:proofErr w:type="spellEnd"/>
      <w:r w:rsidRPr="003B339C">
        <w:t xml:space="preserve"> direct testimony</w:t>
      </w:r>
      <w:r w:rsidR="00FC7384">
        <w:t xml:space="preserve">, </w:t>
      </w:r>
      <w:r>
        <w:t>Exhibit</w:t>
      </w:r>
      <w:r w:rsidR="00C12DB5">
        <w:t> </w:t>
      </w:r>
      <w:r>
        <w:t>KJB-1T</w:t>
      </w:r>
      <w:r w:rsidR="002E48EC">
        <w:t>,</w:t>
      </w:r>
      <w:r>
        <w:t xml:space="preserve"> </w:t>
      </w:r>
      <w:r w:rsidRPr="003B339C">
        <w:t xml:space="preserve">and opines that the comparison should </w:t>
      </w:r>
      <w:r>
        <w:t xml:space="preserve">have been </w:t>
      </w:r>
      <w:r w:rsidRPr="003B339C">
        <w:t xml:space="preserve">on growth in expenses </w:t>
      </w:r>
      <w:r>
        <w:t>because the</w:t>
      </w:r>
      <w:r w:rsidRPr="003B339C">
        <w:t xml:space="preserve"> us</w:t>
      </w:r>
      <w:r>
        <w:t>e</w:t>
      </w:r>
      <w:r w:rsidRPr="003B339C">
        <w:t xml:space="preserve"> of expense per customer</w:t>
      </w:r>
      <w:r>
        <w:t xml:space="preserve"> </w:t>
      </w:r>
      <w:r w:rsidR="00E462EF">
        <w:t>“</w:t>
      </w:r>
      <w:r w:rsidRPr="003B339C">
        <w:t>dilutes the apparent rate of expense growth</w:t>
      </w:r>
      <w:r w:rsidR="00D3229D">
        <w:t>.</w:t>
      </w:r>
      <w:r w:rsidR="00E462EF">
        <w:t>”</w:t>
      </w:r>
      <w:r w:rsidR="00C12DB5">
        <w:rPr>
          <w:rStyle w:val="FootnoteReference"/>
        </w:rPr>
        <w:footnoteReference w:id="3"/>
      </w:r>
      <w:r w:rsidR="000F1FBC">
        <w:t xml:space="preserve"> </w:t>
      </w:r>
      <w:r w:rsidRPr="003B339C">
        <w:t>His criticism is surprising considering Public Counsel</w:t>
      </w:r>
      <w:r w:rsidR="00720429">
        <w:t xml:space="preserve"> took the opposite view in 2013.</w:t>
      </w:r>
      <w:r w:rsidRPr="003B339C">
        <w:t xml:space="preserve"> </w:t>
      </w:r>
      <w:r w:rsidR="00720429">
        <w:t>In the 2013 decoupling case,</w:t>
      </w:r>
      <w:r w:rsidR="00720429">
        <w:rPr>
          <w:rStyle w:val="FootnoteReference"/>
        </w:rPr>
        <w:footnoteReference w:id="4"/>
      </w:r>
      <w:r w:rsidR="00720429">
        <w:t xml:space="preserve"> Public Counsel </w:t>
      </w:r>
      <w:r w:rsidRPr="003B339C">
        <w:t xml:space="preserve">criticized </w:t>
      </w:r>
      <w:r w:rsidR="002E48EC">
        <w:t xml:space="preserve">the </w:t>
      </w:r>
      <w:r w:rsidRPr="003B339C">
        <w:t xml:space="preserve">use of growth in actual expenses rather than the </w:t>
      </w:r>
      <w:r w:rsidR="00E462EF">
        <w:t>“</w:t>
      </w:r>
      <w:r w:rsidRPr="003B339C">
        <w:t>per customer</w:t>
      </w:r>
      <w:r w:rsidR="00E462EF">
        <w:t>”</w:t>
      </w:r>
      <w:r w:rsidRPr="003B339C">
        <w:t xml:space="preserve"> figures </w:t>
      </w:r>
      <w:r>
        <w:t xml:space="preserve">that </w:t>
      </w:r>
      <w:r w:rsidR="002E48EC">
        <w:t xml:space="preserve">PSE </w:t>
      </w:r>
      <w:r w:rsidRPr="003B339C">
        <w:t xml:space="preserve">had originally used to support the </w:t>
      </w:r>
      <w:r w:rsidR="005F2609">
        <w:t>K</w:t>
      </w:r>
      <w:r w:rsidRPr="003B339C">
        <w:t>-</w:t>
      </w:r>
      <w:r w:rsidR="005F2609">
        <w:t>F</w:t>
      </w:r>
      <w:r w:rsidRPr="003B339C">
        <w:t>actor figures</w:t>
      </w:r>
      <w:r>
        <w:t xml:space="preserve"> that were part of the multi-year rate plan</w:t>
      </w:r>
      <w:r w:rsidR="00021C30">
        <w:t>.</w:t>
      </w:r>
    </w:p>
    <w:p w:rsidR="002E48EC" w:rsidRDefault="00E552DC" w:rsidP="002E48EC">
      <w:pPr>
        <w:pStyle w:val="Answer0"/>
        <w:ind w:firstLine="0"/>
      </w:pPr>
      <w:r w:rsidRPr="003B339C">
        <w:t xml:space="preserve">Regardless, whether comparing total non-production </w:t>
      </w:r>
      <w:r w:rsidR="00720429">
        <w:t>operations and maintenance (</w:t>
      </w:r>
      <w:r w:rsidR="00E462EF">
        <w:t>“</w:t>
      </w:r>
      <w:r w:rsidRPr="003B339C">
        <w:t>O&amp;M</w:t>
      </w:r>
      <w:r w:rsidR="00E462EF">
        <w:t>”</w:t>
      </w:r>
      <w:r w:rsidR="00720429">
        <w:t>)</w:t>
      </w:r>
      <w:r w:rsidRPr="003B339C">
        <w:t xml:space="preserve"> expenses</w:t>
      </w:r>
      <w:r w:rsidR="00FC7384">
        <w:t xml:space="preserve"> in total</w:t>
      </w:r>
      <w:r w:rsidRPr="003B339C">
        <w:t xml:space="preserve"> or on a per customer basis, the tables in my </w:t>
      </w:r>
      <w:proofErr w:type="spellStart"/>
      <w:r w:rsidR="00C12DB5">
        <w:t>prefiled</w:t>
      </w:r>
      <w:proofErr w:type="spellEnd"/>
      <w:r w:rsidR="00C12DB5">
        <w:t xml:space="preserve"> </w:t>
      </w:r>
      <w:r w:rsidRPr="003B339C">
        <w:t xml:space="preserve">direct testimony do demonstrate that the </w:t>
      </w:r>
      <w:r>
        <w:t xml:space="preserve">annual </w:t>
      </w:r>
      <w:r w:rsidRPr="003B339C">
        <w:t>growth rate in expenses during the rate plan period were lower than the historical growth trend</w:t>
      </w:r>
      <w:r w:rsidR="000F1FBC">
        <w:t xml:space="preserve"> </w:t>
      </w:r>
      <w:r w:rsidRPr="003B339C">
        <w:t>in PSE</w:t>
      </w:r>
      <w:r w:rsidR="00E462EF">
        <w:t>’</w:t>
      </w:r>
      <w:r w:rsidRPr="003B339C">
        <w:t>s non-production O&amp;M and are in line with the goals established for the rate plan.</w:t>
      </w:r>
      <w:r w:rsidR="000F1FBC">
        <w:t xml:space="preserve"> </w:t>
      </w:r>
      <w:r w:rsidRPr="003B339C">
        <w:lastRenderedPageBreak/>
        <w:t>Between 2006 and 2011, PSE</w:t>
      </w:r>
      <w:r w:rsidR="00E462EF">
        <w:t>’</w:t>
      </w:r>
      <w:r w:rsidRPr="003B339C">
        <w:t>s growth in approved non-production expense levels</w:t>
      </w:r>
      <w:r w:rsidR="00CE653F" w:rsidRPr="006E7E2E">
        <w:rPr>
          <w:vertAlign w:val="superscript"/>
        </w:rPr>
        <w:footnoteReference w:id="5"/>
      </w:r>
      <w:r w:rsidRPr="003B339C">
        <w:t xml:space="preserve"> (on a per customer basis) was 3.8</w:t>
      </w:r>
      <w:r w:rsidR="002E48EC">
        <w:t xml:space="preserve"> percent </w:t>
      </w:r>
      <w:r w:rsidRPr="003B339C">
        <w:t>on a combined basis (4.7</w:t>
      </w:r>
      <w:r w:rsidR="002E48EC">
        <w:t> percent</w:t>
      </w:r>
      <w:r>
        <w:t xml:space="preserve"> for electric and 2.2</w:t>
      </w:r>
      <w:r w:rsidR="002E48EC">
        <w:t> percent</w:t>
      </w:r>
      <w:r>
        <w:t xml:space="preserve"> for gas)</w:t>
      </w:r>
      <w:r w:rsidRPr="006E7E2E">
        <w:rPr>
          <w:vertAlign w:val="superscript"/>
        </w:rPr>
        <w:footnoteReference w:id="6"/>
      </w:r>
      <w:r w:rsidRPr="003B339C">
        <w:t>.</w:t>
      </w:r>
      <w:r w:rsidR="000F1FBC">
        <w:t xml:space="preserve"> </w:t>
      </w:r>
      <w:r w:rsidRPr="003B339C">
        <w:t>PSE</w:t>
      </w:r>
      <w:r w:rsidR="00E462EF">
        <w:t>’</w:t>
      </w:r>
      <w:r w:rsidRPr="003B339C">
        <w:t xml:space="preserve">s actual non-production O&amp;M </w:t>
      </w:r>
      <w:r>
        <w:t xml:space="preserve">expenses in total </w:t>
      </w:r>
      <w:r w:rsidRPr="003B339C">
        <w:t>were growing at an even faster rate</w:t>
      </w:r>
      <w:r w:rsidR="00FC7384">
        <w:t xml:space="preserve"> </w:t>
      </w:r>
      <w:r w:rsidR="002E48EC">
        <w:t>(</w:t>
      </w:r>
      <w:r w:rsidR="00FC7384">
        <w:t>5.4</w:t>
      </w:r>
      <w:r w:rsidR="002E48EC">
        <w:t> percent)</w:t>
      </w:r>
      <w:r w:rsidRPr="003B339C">
        <w:t xml:space="preserve"> during that period.</w:t>
      </w:r>
      <w:r w:rsidR="000F1FBC">
        <w:t xml:space="preserve"> </w:t>
      </w:r>
      <w:r w:rsidRPr="003B339C">
        <w:t>Therefore</w:t>
      </w:r>
      <w:r w:rsidR="00160013">
        <w:t>, no matter which way you look at it,</w:t>
      </w:r>
      <w:r w:rsidRPr="003B339C">
        <w:t xml:space="preserve"> both the </w:t>
      </w:r>
      <w:r>
        <w:t>1.</w:t>
      </w:r>
      <w:r w:rsidRPr="003B339C">
        <w:t>2</w:t>
      </w:r>
      <w:r w:rsidR="002E48EC">
        <w:t> percent</w:t>
      </w:r>
      <w:r w:rsidRPr="003B339C">
        <w:t xml:space="preserve"> </w:t>
      </w:r>
      <w:r w:rsidR="00160013">
        <w:t xml:space="preserve">growth in cost per customer </w:t>
      </w:r>
      <w:r w:rsidRPr="003B339C">
        <w:t xml:space="preserve">and the </w:t>
      </w:r>
      <w:r>
        <w:t>2.0</w:t>
      </w:r>
      <w:r w:rsidR="002E48EC">
        <w:t> percent</w:t>
      </w:r>
      <w:r w:rsidRPr="003B339C">
        <w:t xml:space="preserve"> </w:t>
      </w:r>
      <w:r w:rsidR="00160013">
        <w:t>growth in total costs reported in Table</w:t>
      </w:r>
      <w:r w:rsidR="002E48EC">
        <w:t> </w:t>
      </w:r>
      <w:r w:rsidR="00160013">
        <w:t xml:space="preserve">1 of my </w:t>
      </w:r>
      <w:proofErr w:type="spellStart"/>
      <w:r w:rsidR="00523B21">
        <w:t>prefiled</w:t>
      </w:r>
      <w:proofErr w:type="spellEnd"/>
      <w:r w:rsidR="00523B21">
        <w:t xml:space="preserve"> direct testimony</w:t>
      </w:r>
      <w:r w:rsidR="00160013">
        <w:t xml:space="preserve"> </w:t>
      </w:r>
      <w:r w:rsidRPr="003B339C">
        <w:t>compare favorably to PSE</w:t>
      </w:r>
      <w:r w:rsidR="00E462EF">
        <w:t>’</w:t>
      </w:r>
      <w:r w:rsidRPr="003B339C">
        <w:t>s historical trend.</w:t>
      </w:r>
    </w:p>
    <w:p w:rsidR="00E552DC" w:rsidRDefault="00C12DB5" w:rsidP="002E48EC">
      <w:pPr>
        <w:pStyle w:val="Answer0"/>
        <w:ind w:firstLine="0"/>
      </w:pPr>
      <w:r>
        <w:t>Additionally, Mr. </w:t>
      </w:r>
      <w:proofErr w:type="spellStart"/>
      <w:r>
        <w:t>Brosch</w:t>
      </w:r>
      <w:proofErr w:type="spellEnd"/>
      <w:r>
        <w:t xml:space="preserve"> makes an</w:t>
      </w:r>
      <w:r w:rsidR="00E552DC">
        <w:t xml:space="preserve"> assessment that PSE</w:t>
      </w:r>
      <w:r w:rsidR="00E462EF">
        <w:t>’</w:t>
      </w:r>
      <w:r w:rsidR="00E552DC">
        <w:t xml:space="preserve">s ability to control costs below the general level of inflation is </w:t>
      </w:r>
      <w:r w:rsidR="00E462EF">
        <w:t>“</w:t>
      </w:r>
      <w:r w:rsidR="00E552DC">
        <w:t>not exemplary</w:t>
      </w:r>
      <w:r>
        <w:t>.</w:t>
      </w:r>
      <w:r w:rsidR="00E462EF">
        <w:t>”</w:t>
      </w:r>
      <w:r>
        <w:rPr>
          <w:rStyle w:val="FootnoteReference"/>
        </w:rPr>
        <w:footnoteReference w:id="7"/>
      </w:r>
      <w:r w:rsidR="000F1FBC">
        <w:t xml:space="preserve"> </w:t>
      </w:r>
      <w:r>
        <w:t xml:space="preserve">He bases his assessment </w:t>
      </w:r>
      <w:r w:rsidR="00E552DC">
        <w:t>on his comparison of PSE</w:t>
      </w:r>
      <w:r w:rsidR="00E462EF">
        <w:t>’</w:t>
      </w:r>
      <w:r w:rsidR="00E552DC">
        <w:t>s annual growth in expenses of 2</w:t>
      </w:r>
      <w:r w:rsidR="002E48EC">
        <w:t> percent</w:t>
      </w:r>
      <w:r w:rsidR="00E552DC">
        <w:t xml:space="preserve"> to the </w:t>
      </w:r>
      <w:r w:rsidR="00E552DC" w:rsidRPr="002E48EC">
        <w:rPr>
          <w:i/>
        </w:rPr>
        <w:t>national</w:t>
      </w:r>
      <w:r w:rsidR="00E552DC">
        <w:t xml:space="preserve"> </w:t>
      </w:r>
      <w:r w:rsidR="002E48EC" w:rsidRPr="002E48EC">
        <w:t>Gross Domestic Product Price Index</w:t>
      </w:r>
      <w:r w:rsidR="002E48EC">
        <w:t xml:space="preserve"> (</w:t>
      </w:r>
      <w:proofErr w:type="spellStart"/>
      <w:r w:rsidR="002E48EC">
        <w:t>GDPPI</w:t>
      </w:r>
      <w:proofErr w:type="spellEnd"/>
      <w:r w:rsidR="002E48EC">
        <w:t>)</w:t>
      </w:r>
      <w:r w:rsidR="00E552DC">
        <w:t xml:space="preserve"> figure of 1.7</w:t>
      </w:r>
      <w:r w:rsidR="002E48EC">
        <w:t> percent</w:t>
      </w:r>
      <w:r>
        <w:t>.</w:t>
      </w:r>
      <w:r w:rsidR="000F1FBC">
        <w:t xml:space="preserve"> </w:t>
      </w:r>
      <w:r>
        <w:t>This comparison is not fully representative.</w:t>
      </w:r>
      <w:r w:rsidR="000F1FBC">
        <w:t xml:space="preserve"> </w:t>
      </w:r>
      <w:r w:rsidR="0077523D">
        <w:t>Mr. </w:t>
      </w:r>
      <w:proofErr w:type="spellStart"/>
      <w:r>
        <w:t>Brosch</w:t>
      </w:r>
      <w:proofErr w:type="spellEnd"/>
      <w:r>
        <w:t xml:space="preserve"> should have considered</w:t>
      </w:r>
      <w:r w:rsidR="00E552DC">
        <w:t xml:space="preserve"> regional information to reflect that PSE</w:t>
      </w:r>
      <w:r w:rsidR="00E462EF">
        <w:t>’</w:t>
      </w:r>
      <w:r w:rsidR="00E552DC">
        <w:t xml:space="preserve">s operations are solely located in </w:t>
      </w:r>
      <w:r w:rsidR="002E48EC">
        <w:t xml:space="preserve">western </w:t>
      </w:r>
      <w:r w:rsidR="00E552DC">
        <w:t>Washington.</w:t>
      </w:r>
      <w:r w:rsidR="000F1FBC">
        <w:t xml:space="preserve"> </w:t>
      </w:r>
      <w:r w:rsidR="00E552DC">
        <w:t xml:space="preserve">As I addressed in my </w:t>
      </w:r>
      <w:proofErr w:type="spellStart"/>
      <w:r w:rsidR="008A3D79">
        <w:t>prefiled</w:t>
      </w:r>
      <w:proofErr w:type="spellEnd"/>
      <w:r w:rsidR="008A3D79">
        <w:t xml:space="preserve"> </w:t>
      </w:r>
      <w:r w:rsidR="00E552DC">
        <w:t>direct testimony, the growth in the Seattle-Tacoma-Bremer</w:t>
      </w:r>
      <w:r w:rsidR="00720429">
        <w:t>t</w:t>
      </w:r>
      <w:r w:rsidR="00E552DC">
        <w:t xml:space="preserve">on </w:t>
      </w:r>
      <w:r w:rsidR="002E48EC">
        <w:t>Consumer Price Index (</w:t>
      </w:r>
      <w:r w:rsidR="00E552DC">
        <w:t>CPI</w:t>
      </w:r>
      <w:r w:rsidR="002E48EC">
        <w:t>)</w:t>
      </w:r>
      <w:r w:rsidR="00E552DC">
        <w:t xml:space="preserve"> has been consistently higher than the national average for the last several years.</w:t>
      </w:r>
      <w:r w:rsidR="00CE653F">
        <w:rPr>
          <w:rStyle w:val="FootnoteReference"/>
        </w:rPr>
        <w:footnoteReference w:id="8"/>
      </w:r>
    </w:p>
    <w:p w:rsidR="00E552DC" w:rsidRPr="00DC2EDA" w:rsidRDefault="00E552DC" w:rsidP="00021C30">
      <w:pPr>
        <w:pStyle w:val="question"/>
      </w:pPr>
      <w:r w:rsidRPr="00DC2EDA">
        <w:lastRenderedPageBreak/>
        <w:t>Q.</w:t>
      </w:r>
      <w:r w:rsidRPr="00DC2EDA">
        <w:tab/>
      </w:r>
      <w:r w:rsidR="0077523D">
        <w:t>Mr. </w:t>
      </w:r>
      <w:proofErr w:type="spellStart"/>
      <w:r w:rsidRPr="00DC2EDA">
        <w:t>Brosch</w:t>
      </w:r>
      <w:proofErr w:type="spellEnd"/>
      <w:r w:rsidRPr="00DC2EDA">
        <w:t xml:space="preserve"> </w:t>
      </w:r>
      <w:r>
        <w:t>refer</w:t>
      </w:r>
      <w:r w:rsidR="002E48EC">
        <w:t xml:space="preserve">s to </w:t>
      </w:r>
      <w:r w:rsidRPr="00DC2EDA">
        <w:t>PSE</w:t>
      </w:r>
      <w:r w:rsidR="00E462EF">
        <w:t>’</w:t>
      </w:r>
      <w:r w:rsidRPr="00DC2EDA">
        <w:t>s proposed increase in base rates of 7.3</w:t>
      </w:r>
      <w:r w:rsidR="002E48EC">
        <w:t> percent</w:t>
      </w:r>
      <w:r w:rsidRPr="00DC2EDA">
        <w:t xml:space="preserve"> for electric and 5.2</w:t>
      </w:r>
      <w:r w:rsidR="002E48EC">
        <w:t> percent</w:t>
      </w:r>
      <w:r w:rsidRPr="00DC2EDA">
        <w:t xml:space="preserve"> for gas operations to suggest that there has not been an improvement in overall cost structure.</w:t>
      </w:r>
      <w:r w:rsidR="008A3D79">
        <w:rPr>
          <w:rStyle w:val="FootnoteReference"/>
        </w:rPr>
        <w:footnoteReference w:id="9"/>
      </w:r>
      <w:r w:rsidR="000F1FBC">
        <w:t xml:space="preserve"> </w:t>
      </w:r>
      <w:r w:rsidRPr="00DC2EDA">
        <w:t>Do you agree?</w:t>
      </w:r>
    </w:p>
    <w:p w:rsidR="00E552DC" w:rsidRDefault="00E552DC" w:rsidP="00021C30">
      <w:pPr>
        <w:pStyle w:val="Answer0"/>
      </w:pPr>
      <w:r>
        <w:t>A.</w:t>
      </w:r>
      <w:r>
        <w:tab/>
        <w:t>No.</w:t>
      </w:r>
      <w:r w:rsidR="000F1FBC">
        <w:t xml:space="preserve"> </w:t>
      </w:r>
      <w:r w:rsidR="0077523D">
        <w:t>Mr. </w:t>
      </w:r>
      <w:proofErr w:type="spellStart"/>
      <w:r w:rsidR="00FD0E40">
        <w:t>Brosch</w:t>
      </w:r>
      <w:proofErr w:type="spellEnd"/>
      <w:r w:rsidR="00FD0E40">
        <w:t xml:space="preserve"> </w:t>
      </w:r>
      <w:r w:rsidR="00CE653F">
        <w:t>is using the wrong numbers.</w:t>
      </w:r>
      <w:r w:rsidR="000F1FBC">
        <w:t xml:space="preserve"> </w:t>
      </w:r>
      <w:r w:rsidR="00CE653F">
        <w:t xml:space="preserve">He disregards the overall rate impact to </w:t>
      </w:r>
      <w:r w:rsidR="002E48EC">
        <w:t>c</w:t>
      </w:r>
      <w:r w:rsidR="00CE653F">
        <w:t xml:space="preserve">ustomers provided in </w:t>
      </w:r>
      <w:r w:rsidR="00FD0E40">
        <w:t xml:space="preserve">the </w:t>
      </w:r>
      <w:proofErr w:type="spellStart"/>
      <w:r w:rsidR="00FD0E40">
        <w:t>Prefiled</w:t>
      </w:r>
      <w:proofErr w:type="spellEnd"/>
      <w:r w:rsidR="00FD0E40">
        <w:t xml:space="preserve"> Supplemental Testimony of Jon A. Piliaris, Exhibit</w:t>
      </w:r>
      <w:r w:rsidR="002E48EC">
        <w:t> </w:t>
      </w:r>
      <w:r w:rsidR="00FD0E40">
        <w:t>JAP-34T</w:t>
      </w:r>
      <w:r w:rsidR="00CE653F">
        <w:t>.</w:t>
      </w:r>
      <w:r w:rsidR="000F1FBC">
        <w:t xml:space="preserve"> </w:t>
      </w:r>
      <w:r>
        <w:t>Public Counsel</w:t>
      </w:r>
      <w:r w:rsidR="00E462EF">
        <w:t>’</w:t>
      </w:r>
      <w:r>
        <w:t xml:space="preserve">s witness has chosen to ignore the decreases in </w:t>
      </w:r>
      <w:r w:rsidR="00D53982">
        <w:t>rates</w:t>
      </w:r>
      <w:r>
        <w:t xml:space="preserve"> that will simultaneously occur at the conclusion of this rate</w:t>
      </w:r>
      <w:r w:rsidR="00DB073B">
        <w:t xml:space="preserve"> </w:t>
      </w:r>
      <w:r>
        <w:t xml:space="preserve">case when several of the rider schedules are set to zero as was discussed at length in </w:t>
      </w:r>
      <w:r w:rsidR="0077523D">
        <w:t>Mr. </w:t>
      </w:r>
      <w:r>
        <w:t>Piliaris</w:t>
      </w:r>
      <w:r w:rsidR="00E462EF">
        <w:t>’</w:t>
      </w:r>
      <w:r>
        <w:t xml:space="preserve"> </w:t>
      </w:r>
      <w:proofErr w:type="spellStart"/>
      <w:r>
        <w:t>prefiled</w:t>
      </w:r>
      <w:proofErr w:type="spellEnd"/>
      <w:r>
        <w:t xml:space="preserve"> direct </w:t>
      </w:r>
      <w:r w:rsidR="008A3D79">
        <w:t>and supplemental testimonies</w:t>
      </w:r>
      <w:r>
        <w:t>.</w:t>
      </w:r>
      <w:r w:rsidR="000F1FBC">
        <w:t xml:space="preserve"> </w:t>
      </w:r>
      <w:r>
        <w:t>The 7.3</w:t>
      </w:r>
      <w:r w:rsidR="002E48EC">
        <w:t> percent</w:t>
      </w:r>
      <w:r>
        <w:t xml:space="preserve"> increase in electric is compared to</w:t>
      </w:r>
      <w:r w:rsidR="00DB073B">
        <w:t xml:space="preserve"> base rates established in the </w:t>
      </w:r>
      <w:r>
        <w:t>2011 general rate case</w:t>
      </w:r>
      <w:r w:rsidR="00C21A59">
        <w:t>. A</w:t>
      </w:r>
      <w:r>
        <w:t>s a result</w:t>
      </w:r>
      <w:r w:rsidR="00C21A59">
        <w:t>, Mr. </w:t>
      </w:r>
      <w:proofErr w:type="spellStart"/>
      <w:r w:rsidR="00C21A59">
        <w:t>Brosch</w:t>
      </w:r>
      <w:proofErr w:type="spellEnd"/>
      <w:r w:rsidR="00C21A59">
        <w:t xml:space="preserve"> </w:t>
      </w:r>
      <w:r>
        <w:t>fails to recognize that a large part of this increase was part of the K-</w:t>
      </w:r>
      <w:r w:rsidR="005F2609">
        <w:t>F</w:t>
      </w:r>
      <w:r>
        <w:t xml:space="preserve">actor revenues that will be </w:t>
      </w:r>
      <w:r w:rsidR="00FD0E40">
        <w:t>discontinued</w:t>
      </w:r>
      <w:r>
        <w:t xml:space="preserve"> now that the rate plan has concluded.</w:t>
      </w:r>
      <w:r w:rsidR="000F1FBC">
        <w:t xml:space="preserve"> </w:t>
      </w:r>
      <w:r>
        <w:t xml:space="preserve">Additionally, </w:t>
      </w:r>
      <w:r w:rsidR="00C21A59">
        <w:t>Mr. </w:t>
      </w:r>
      <w:proofErr w:type="spellStart"/>
      <w:r w:rsidR="00C21A59">
        <w:t>Brosch</w:t>
      </w:r>
      <w:proofErr w:type="spellEnd"/>
      <w:r w:rsidR="00C21A59">
        <w:t xml:space="preserve"> </w:t>
      </w:r>
      <w:r>
        <w:t>is ignoring the impact of the updated depreciation study, which is a significant portion of the requested increase in electric rates.</w:t>
      </w:r>
      <w:r w:rsidR="000F1FBC">
        <w:t xml:space="preserve"> </w:t>
      </w:r>
      <w:r w:rsidR="005F2609">
        <w:t xml:space="preserve">The </w:t>
      </w:r>
      <w:r w:rsidR="00F31A91">
        <w:t>overall</w:t>
      </w:r>
      <w:r w:rsidR="005F2609">
        <w:t xml:space="preserve"> impact </w:t>
      </w:r>
      <w:r w:rsidR="00FD0E40">
        <w:t>of the</w:t>
      </w:r>
      <w:r w:rsidR="008A3D79">
        <w:t xml:space="preserve"> supplemental </w:t>
      </w:r>
      <w:r w:rsidR="005F2609">
        <w:t>filing</w:t>
      </w:r>
      <w:r w:rsidR="00C21A59">
        <w:t>, therefore,</w:t>
      </w:r>
      <w:r w:rsidR="005F2609">
        <w:t xml:space="preserve"> represents a decrease in natural gas rates and a modest increase in electric rates considering the depreciation study.</w:t>
      </w:r>
    </w:p>
    <w:p w:rsidR="00E552DC" w:rsidRPr="006E7E2E" w:rsidRDefault="00E552DC" w:rsidP="00021C30">
      <w:pPr>
        <w:pStyle w:val="question"/>
      </w:pPr>
      <w:r w:rsidRPr="006E7E2E">
        <w:lastRenderedPageBreak/>
        <w:t>Q.</w:t>
      </w:r>
      <w:r w:rsidRPr="006E7E2E">
        <w:tab/>
      </w:r>
      <w:r>
        <w:t xml:space="preserve">How do you respond to </w:t>
      </w:r>
      <w:r w:rsidR="0077523D">
        <w:t>Mr. </w:t>
      </w:r>
      <w:proofErr w:type="spellStart"/>
      <w:r>
        <w:t>Brosch</w:t>
      </w:r>
      <w:r w:rsidR="00E462EF">
        <w:t>’</w:t>
      </w:r>
      <w:r>
        <w:t>s</w:t>
      </w:r>
      <w:proofErr w:type="spellEnd"/>
      <w:r>
        <w:t xml:space="preserve"> criticism that </w:t>
      </w:r>
      <w:r w:rsidR="00DA6161">
        <w:t>PSE</w:t>
      </w:r>
      <w:r w:rsidR="001A6877">
        <w:t xml:space="preserve"> </w:t>
      </w:r>
      <w:r>
        <w:t>did not propose a Multi-</w:t>
      </w:r>
      <w:r w:rsidR="005F2609">
        <w:t>Y</w:t>
      </w:r>
      <w:r>
        <w:t xml:space="preserve">ear Rate </w:t>
      </w:r>
      <w:r w:rsidR="005F2609">
        <w:t>P</w:t>
      </w:r>
      <w:r>
        <w:t>lan or develop a K-</w:t>
      </w:r>
      <w:r w:rsidR="005F2609">
        <w:t>F</w:t>
      </w:r>
      <w:r>
        <w:t>actor or attrition adjustment in its direct case</w:t>
      </w:r>
      <w:r w:rsidR="00C21A59">
        <w:t>?</w:t>
      </w:r>
      <w:r>
        <w:rPr>
          <w:rStyle w:val="FootnoteReference"/>
        </w:rPr>
        <w:footnoteReference w:id="10"/>
      </w:r>
    </w:p>
    <w:p w:rsidR="00A20177" w:rsidRPr="00E552DC" w:rsidRDefault="00E552DC" w:rsidP="00021C30">
      <w:pPr>
        <w:pStyle w:val="answer"/>
        <w:rPr>
          <w:b/>
        </w:rPr>
      </w:pPr>
      <w:r w:rsidRPr="00E552DC">
        <w:t>A.</w:t>
      </w:r>
      <w:r w:rsidRPr="00E552DC">
        <w:tab/>
        <w:t>Once again</w:t>
      </w:r>
      <w:r w:rsidR="00C21A59">
        <w:t>,</w:t>
      </w:r>
      <w:r w:rsidRPr="00E552DC">
        <w:t xml:space="preserve"> it </w:t>
      </w:r>
      <w:r w:rsidR="00C21A59">
        <w:t xml:space="preserve">is </w:t>
      </w:r>
      <w:r w:rsidRPr="00E552DC">
        <w:t>quite surprising to hear this from Public Counsel, particularly since Public Counsel did not support the rate plan or the use of the K-</w:t>
      </w:r>
      <w:r w:rsidR="005F2609">
        <w:t>F</w:t>
      </w:r>
      <w:r w:rsidRPr="00E552DC">
        <w:t>actor</w:t>
      </w:r>
      <w:r w:rsidR="001A6877">
        <w:t xml:space="preserve"> in the 2013 case</w:t>
      </w:r>
      <w:r w:rsidR="00FD0E40">
        <w:t>, nor to my knowledge has Public Counsel</w:t>
      </w:r>
      <w:r w:rsidRPr="00E552DC">
        <w:t xml:space="preserve"> been supportive of attrition adjustments filed by other utilities.</w:t>
      </w:r>
    </w:p>
    <w:p w:rsidR="005344D0" w:rsidRDefault="009F50CE" w:rsidP="00771706">
      <w:pPr>
        <w:pStyle w:val="Heading1"/>
      </w:pPr>
      <w:bookmarkStart w:id="38" w:name="_Toc490035599"/>
      <w:r>
        <w:t>IV.</w:t>
      </w:r>
      <w:r>
        <w:tab/>
      </w:r>
      <w:r w:rsidR="005344D0" w:rsidRPr="00F3275D">
        <w:t>UNCONTESTED ELECTRIC ADJUSTMENTS</w:t>
      </w:r>
      <w:r w:rsidR="00C21A59">
        <w:br/>
      </w:r>
      <w:r w:rsidR="005344D0" w:rsidRPr="00F3275D">
        <w:t xml:space="preserve">BETWEEN </w:t>
      </w:r>
      <w:r w:rsidR="00DA6161">
        <w:t>PSE</w:t>
      </w:r>
      <w:r w:rsidR="005344D0" w:rsidRPr="00F3275D">
        <w:t xml:space="preserve"> </w:t>
      </w:r>
      <w:r w:rsidR="001A6877">
        <w:t xml:space="preserve">AND </w:t>
      </w:r>
      <w:r w:rsidR="005344D0">
        <w:t>PARTIES</w:t>
      </w:r>
      <w:bookmarkEnd w:id="38"/>
    </w:p>
    <w:p w:rsidR="005344D0" w:rsidRPr="008909AC" w:rsidRDefault="005344D0" w:rsidP="00021C30">
      <w:pPr>
        <w:pStyle w:val="question"/>
      </w:pPr>
      <w:r w:rsidRPr="008909AC">
        <w:t>Q.</w:t>
      </w:r>
      <w:r w:rsidRPr="008909AC">
        <w:tab/>
      </w:r>
      <w:r w:rsidRPr="00021C30">
        <w:t>Would</w:t>
      </w:r>
      <w:r w:rsidRPr="008909AC">
        <w:t xml:space="preserve"> you please </w:t>
      </w:r>
      <w:r>
        <w:t>provide a list of all electric and common adjustments that are uncontested between PSE and the parties</w:t>
      </w:r>
      <w:r w:rsidRPr="008909AC">
        <w:t>?</w:t>
      </w:r>
    </w:p>
    <w:p w:rsidR="005344D0" w:rsidRDefault="005344D0" w:rsidP="00021C30">
      <w:pPr>
        <w:pStyle w:val="answer"/>
      </w:pPr>
      <w:r w:rsidRPr="008909AC">
        <w:t>A.</w:t>
      </w:r>
      <w:r w:rsidRPr="008909AC">
        <w:rPr>
          <w:b/>
        </w:rPr>
        <w:tab/>
      </w:r>
      <w:r w:rsidRPr="008909AC">
        <w:t>Yes.</w:t>
      </w:r>
      <w:r w:rsidR="00F26B15">
        <w:t xml:space="preserve"> </w:t>
      </w:r>
      <w:r>
        <w:t xml:space="preserve">The following is a list of adjustments that are uncontested between PSE and the parties. </w:t>
      </w:r>
    </w:p>
    <w:p w:rsidR="00C21A59" w:rsidRDefault="00C21A59" w:rsidP="00C21A59">
      <w:pPr>
        <w:pStyle w:val="center"/>
        <w:keepNext/>
        <w:keepLines w:val="0"/>
        <w:spacing w:before="0" w:after="120" w:line="240" w:lineRule="auto"/>
        <w:ind w:left="720"/>
      </w:pPr>
      <w:r>
        <w:rPr>
          <w:b/>
        </w:rPr>
        <w:t>Table 2. Uncontested Adjustments</w:t>
      </w:r>
    </w:p>
    <w:tbl>
      <w:tblPr>
        <w:tblW w:w="8226" w:type="dxa"/>
        <w:tblInd w:w="720" w:type="dxa"/>
        <w:tblLook w:val="04A0" w:firstRow="1" w:lastRow="0" w:firstColumn="1" w:lastColumn="0" w:noHBand="0" w:noVBand="1"/>
      </w:tblPr>
      <w:tblGrid>
        <w:gridCol w:w="4694"/>
        <w:gridCol w:w="1696"/>
        <w:gridCol w:w="1836"/>
      </w:tblGrid>
      <w:tr w:rsidR="005344D0" w:rsidRPr="00A1322A" w:rsidTr="00CD1B48">
        <w:trPr>
          <w:trHeight w:val="277"/>
          <w:tblHeader/>
        </w:trPr>
        <w:tc>
          <w:tcPr>
            <w:tcW w:w="4694" w:type="dxa"/>
            <w:tcBorders>
              <w:top w:val="single" w:sz="8" w:space="0" w:color="auto"/>
              <w:left w:val="single" w:sz="8" w:space="0" w:color="auto"/>
              <w:bottom w:val="single" w:sz="8" w:space="0" w:color="auto"/>
              <w:right w:val="single" w:sz="8" w:space="0" w:color="auto"/>
            </w:tcBorders>
            <w:shd w:val="clear" w:color="000000" w:fill="D9D9D9"/>
            <w:noWrap/>
            <w:hideMark/>
          </w:tcPr>
          <w:p w:rsidR="005344D0" w:rsidRPr="00A1322A" w:rsidRDefault="005344D0" w:rsidP="00CD1B48">
            <w:pPr>
              <w:spacing w:before="60" w:after="60" w:line="240" w:lineRule="auto"/>
              <w:ind w:firstLine="0"/>
              <w:jc w:val="center"/>
              <w:rPr>
                <w:b/>
                <w:bCs/>
                <w:color w:val="000000"/>
                <w:szCs w:val="24"/>
                <w:lang w:eastAsia="en-US"/>
              </w:rPr>
            </w:pPr>
            <w:r w:rsidRPr="00A1322A">
              <w:rPr>
                <w:b/>
                <w:bCs/>
                <w:color w:val="000000"/>
                <w:szCs w:val="24"/>
                <w:lang w:eastAsia="en-US"/>
              </w:rPr>
              <w:t>Adjustment</w:t>
            </w:r>
          </w:p>
        </w:tc>
        <w:tc>
          <w:tcPr>
            <w:tcW w:w="1696" w:type="dxa"/>
            <w:tcBorders>
              <w:top w:val="single" w:sz="8" w:space="0" w:color="auto"/>
              <w:left w:val="nil"/>
              <w:bottom w:val="single" w:sz="8" w:space="0" w:color="auto"/>
              <w:right w:val="single" w:sz="8" w:space="0" w:color="auto"/>
            </w:tcBorders>
            <w:shd w:val="clear" w:color="000000" w:fill="D9D9D9"/>
            <w:noWrap/>
            <w:hideMark/>
          </w:tcPr>
          <w:p w:rsidR="005344D0" w:rsidRPr="00A1322A" w:rsidRDefault="005344D0" w:rsidP="00CD1B48">
            <w:pPr>
              <w:spacing w:before="60" w:after="60" w:line="240" w:lineRule="auto"/>
              <w:ind w:firstLine="0"/>
              <w:jc w:val="center"/>
              <w:rPr>
                <w:b/>
                <w:bCs/>
                <w:color w:val="000000"/>
                <w:szCs w:val="24"/>
                <w:lang w:eastAsia="en-US"/>
              </w:rPr>
            </w:pPr>
            <w:proofErr w:type="spellStart"/>
            <w:r w:rsidRPr="00A1322A">
              <w:rPr>
                <w:b/>
                <w:bCs/>
                <w:color w:val="000000"/>
                <w:szCs w:val="24"/>
                <w:lang w:eastAsia="en-US"/>
              </w:rPr>
              <w:t>NOI</w:t>
            </w:r>
            <w:proofErr w:type="spellEnd"/>
          </w:p>
        </w:tc>
        <w:tc>
          <w:tcPr>
            <w:tcW w:w="1836" w:type="dxa"/>
            <w:tcBorders>
              <w:top w:val="single" w:sz="8" w:space="0" w:color="auto"/>
              <w:left w:val="nil"/>
              <w:bottom w:val="single" w:sz="8" w:space="0" w:color="auto"/>
              <w:right w:val="single" w:sz="8" w:space="0" w:color="auto"/>
            </w:tcBorders>
            <w:shd w:val="clear" w:color="000000" w:fill="D9D9D9"/>
            <w:noWrap/>
            <w:hideMark/>
          </w:tcPr>
          <w:p w:rsidR="005344D0" w:rsidRPr="00A1322A" w:rsidRDefault="005344D0" w:rsidP="00CD1B48">
            <w:pPr>
              <w:spacing w:before="60" w:after="60" w:line="240" w:lineRule="auto"/>
              <w:ind w:firstLine="0"/>
              <w:jc w:val="center"/>
              <w:rPr>
                <w:b/>
                <w:bCs/>
                <w:color w:val="000000"/>
                <w:szCs w:val="24"/>
                <w:lang w:eastAsia="en-US"/>
              </w:rPr>
            </w:pPr>
            <w:r w:rsidRPr="00A1322A">
              <w:rPr>
                <w:b/>
                <w:bCs/>
                <w:color w:val="000000"/>
                <w:szCs w:val="24"/>
                <w:lang w:eastAsia="en-US"/>
              </w:rPr>
              <w:t>Rate Base</w:t>
            </w: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5344D0" w:rsidP="00CD1B48">
            <w:pPr>
              <w:spacing w:before="60" w:after="60" w:line="240" w:lineRule="auto"/>
              <w:ind w:firstLine="0"/>
              <w:jc w:val="both"/>
              <w:rPr>
                <w:color w:val="000000"/>
                <w:szCs w:val="24"/>
                <w:lang w:eastAsia="en-US"/>
              </w:rPr>
            </w:pPr>
            <w:r w:rsidRPr="009A51F6">
              <w:rPr>
                <w:color w:val="000000"/>
                <w:szCs w:val="24"/>
                <w:lang w:eastAsia="en-US"/>
              </w:rPr>
              <w:t>Actual Results of Operations</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r w:rsidRPr="00A1322A">
              <w:rPr>
                <w:color w:val="000000"/>
                <w:szCs w:val="24"/>
                <w:lang w:eastAsia="en-US"/>
              </w:rPr>
              <w:t>$401,002,972</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r w:rsidRPr="00A1322A">
              <w:rPr>
                <w:color w:val="000000"/>
                <w:szCs w:val="24"/>
                <w:lang w:eastAsia="en-US"/>
              </w:rPr>
              <w:t>$5,153,204,462</w:t>
            </w: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C21A59">
              <w:rPr>
                <w:color w:val="000000"/>
                <w:szCs w:val="24"/>
                <w:lang w:eastAsia="en-US"/>
              </w:rPr>
              <w:t>20</w:t>
            </w:r>
            <w:r w:rsidR="005344D0" w:rsidRPr="009A51F6">
              <w:rPr>
                <w:color w:val="000000"/>
                <w:szCs w:val="24"/>
                <w:lang w:eastAsia="en-US"/>
              </w:rPr>
              <w:t>.01 - Revenues and Expenses</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(29,139,114)</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C21A59">
              <w:rPr>
                <w:color w:val="000000"/>
                <w:szCs w:val="24"/>
                <w:lang w:eastAsia="en-US"/>
              </w:rPr>
              <w:t>20</w:t>
            </w:r>
            <w:r w:rsidR="005344D0" w:rsidRPr="009A51F6">
              <w:rPr>
                <w:color w:val="000000"/>
                <w:szCs w:val="24"/>
                <w:lang w:eastAsia="en-US"/>
              </w:rPr>
              <w:t>.03 - Pass-through Rev and Expenses</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(1,000,540)</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C21A59">
              <w:rPr>
                <w:color w:val="000000"/>
                <w:szCs w:val="24"/>
                <w:lang w:eastAsia="en-US"/>
              </w:rPr>
              <w:t>20</w:t>
            </w:r>
            <w:r w:rsidR="005344D0" w:rsidRPr="009A51F6">
              <w:rPr>
                <w:color w:val="000000"/>
                <w:szCs w:val="24"/>
                <w:lang w:eastAsia="en-US"/>
              </w:rPr>
              <w:t>.04- Federal Income Tax</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(27,023,239)</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C21A59">
              <w:rPr>
                <w:color w:val="000000"/>
                <w:szCs w:val="24"/>
                <w:lang w:eastAsia="en-US"/>
              </w:rPr>
              <w:t>20</w:t>
            </w:r>
            <w:r w:rsidR="005344D0" w:rsidRPr="009A51F6">
              <w:rPr>
                <w:color w:val="000000"/>
                <w:szCs w:val="24"/>
                <w:lang w:eastAsia="en-US"/>
              </w:rPr>
              <w:t xml:space="preserve">.05 - Tax Benefit of </w:t>
            </w:r>
            <w:proofErr w:type="spellStart"/>
            <w:r w:rsidR="005344D0" w:rsidRPr="009A51F6">
              <w:rPr>
                <w:color w:val="000000"/>
                <w:szCs w:val="24"/>
                <w:lang w:eastAsia="en-US"/>
              </w:rPr>
              <w:t>Proforma</w:t>
            </w:r>
            <w:proofErr w:type="spellEnd"/>
            <w:r w:rsidR="005344D0" w:rsidRPr="009A51F6">
              <w:rPr>
                <w:color w:val="000000"/>
                <w:szCs w:val="24"/>
                <w:lang w:eastAsia="en-US"/>
              </w:rPr>
              <w:t xml:space="preserve"> Interest</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5</w:t>
            </w:r>
            <w:r w:rsidR="00320A7F">
              <w:rPr>
                <w:color w:val="000000"/>
                <w:szCs w:val="24"/>
                <w:lang w:eastAsia="en-US"/>
              </w:rPr>
              <w:t>4</w:t>
            </w:r>
            <w:r w:rsidR="005344D0" w:rsidRPr="00A1322A">
              <w:rPr>
                <w:color w:val="000000"/>
                <w:szCs w:val="24"/>
                <w:lang w:eastAsia="en-US"/>
              </w:rPr>
              <w:t>,</w:t>
            </w:r>
            <w:r w:rsidR="00320A7F">
              <w:rPr>
                <w:color w:val="000000"/>
                <w:szCs w:val="24"/>
                <w:lang w:eastAsia="en-US"/>
              </w:rPr>
              <w:t>280</w:t>
            </w:r>
            <w:r w:rsidR="005344D0" w:rsidRPr="00A1322A">
              <w:rPr>
                <w:color w:val="000000"/>
                <w:szCs w:val="24"/>
                <w:lang w:eastAsia="en-US"/>
              </w:rPr>
              <w:t>,</w:t>
            </w:r>
            <w:r w:rsidR="00320A7F">
              <w:rPr>
                <w:color w:val="000000"/>
                <w:szCs w:val="24"/>
                <w:lang w:eastAsia="en-US"/>
              </w:rPr>
              <w:t>587</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C21A59">
              <w:rPr>
                <w:color w:val="000000"/>
                <w:szCs w:val="24"/>
                <w:lang w:eastAsia="en-US"/>
              </w:rPr>
              <w:t>20</w:t>
            </w:r>
            <w:r w:rsidR="005344D0" w:rsidRPr="009A51F6">
              <w:rPr>
                <w:color w:val="000000"/>
                <w:szCs w:val="24"/>
                <w:lang w:eastAsia="en-US"/>
              </w:rPr>
              <w:t xml:space="preserve">.07 - Normalize </w:t>
            </w:r>
            <w:proofErr w:type="spellStart"/>
            <w:r w:rsidR="005344D0" w:rsidRPr="009A51F6">
              <w:rPr>
                <w:color w:val="000000"/>
                <w:szCs w:val="24"/>
                <w:lang w:eastAsia="en-US"/>
              </w:rPr>
              <w:t>Inj</w:t>
            </w:r>
            <w:proofErr w:type="spellEnd"/>
            <w:r w:rsidR="005344D0" w:rsidRPr="009A51F6">
              <w:rPr>
                <w:color w:val="000000"/>
                <w:szCs w:val="24"/>
                <w:lang w:eastAsia="en-US"/>
              </w:rPr>
              <w:t xml:space="preserve"> &amp; Damages</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69,387</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C21A59">
              <w:rPr>
                <w:color w:val="000000"/>
                <w:szCs w:val="24"/>
                <w:lang w:eastAsia="en-US"/>
              </w:rPr>
              <w:t>20.</w:t>
            </w:r>
            <w:r w:rsidR="005344D0" w:rsidRPr="009A51F6">
              <w:rPr>
                <w:color w:val="000000"/>
                <w:szCs w:val="24"/>
                <w:lang w:eastAsia="en-US"/>
              </w:rPr>
              <w:t>08 - Bad Debt</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681,065</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C21A59">
              <w:rPr>
                <w:color w:val="000000"/>
                <w:szCs w:val="24"/>
                <w:lang w:eastAsia="en-US"/>
              </w:rPr>
              <w:t>20</w:t>
            </w:r>
            <w:r w:rsidR="005344D0" w:rsidRPr="009A51F6">
              <w:rPr>
                <w:color w:val="000000"/>
                <w:szCs w:val="24"/>
                <w:lang w:eastAsia="en-US"/>
              </w:rPr>
              <w:t>.09 - Incentive Pay</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(109,903)</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lastRenderedPageBreak/>
              <w:t>KJB-</w:t>
            </w:r>
            <w:r w:rsidR="00C21A59">
              <w:rPr>
                <w:color w:val="000000"/>
                <w:szCs w:val="24"/>
                <w:lang w:eastAsia="en-US"/>
              </w:rPr>
              <w:t>20</w:t>
            </w:r>
            <w:r w:rsidR="005344D0" w:rsidRPr="009A51F6">
              <w:rPr>
                <w:color w:val="000000"/>
                <w:szCs w:val="24"/>
                <w:lang w:eastAsia="en-US"/>
              </w:rPr>
              <w:t xml:space="preserve">.10 - </w:t>
            </w:r>
            <w:proofErr w:type="spellStart"/>
            <w:r w:rsidR="005344D0" w:rsidRPr="009A51F6">
              <w:rPr>
                <w:color w:val="000000"/>
                <w:szCs w:val="24"/>
                <w:lang w:eastAsia="en-US"/>
              </w:rPr>
              <w:t>D&amp;O</w:t>
            </w:r>
            <w:proofErr w:type="spellEnd"/>
            <w:r w:rsidR="005344D0" w:rsidRPr="009A51F6">
              <w:rPr>
                <w:color w:val="000000"/>
                <w:szCs w:val="24"/>
                <w:lang w:eastAsia="en-US"/>
              </w:rPr>
              <w:t xml:space="preserve"> Insurance</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16,141</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20</w:t>
            </w:r>
            <w:r w:rsidR="005344D0" w:rsidRPr="009A51F6">
              <w:rPr>
                <w:color w:val="000000"/>
                <w:szCs w:val="24"/>
                <w:lang w:eastAsia="en-US"/>
              </w:rPr>
              <w:t>.11 - Interest on Customer Deposits</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(176,606)</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20</w:t>
            </w:r>
            <w:r w:rsidR="005344D0" w:rsidRPr="009A51F6">
              <w:rPr>
                <w:color w:val="000000"/>
                <w:szCs w:val="24"/>
                <w:lang w:eastAsia="en-US"/>
              </w:rPr>
              <w:t>.13 - Deferred G/L on Prop Sales</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171,200</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20</w:t>
            </w:r>
            <w:r w:rsidR="005344D0" w:rsidRPr="009A51F6">
              <w:rPr>
                <w:color w:val="000000"/>
                <w:szCs w:val="24"/>
                <w:lang w:eastAsia="en-US"/>
              </w:rPr>
              <w:t>.14 - Property &amp; Liabili</w:t>
            </w:r>
            <w:r w:rsidR="009A51F6">
              <w:rPr>
                <w:color w:val="000000"/>
                <w:szCs w:val="24"/>
                <w:lang w:eastAsia="en-US"/>
              </w:rPr>
              <w:t>t</w:t>
            </w:r>
            <w:r w:rsidR="005344D0" w:rsidRPr="009A51F6">
              <w:rPr>
                <w:color w:val="000000"/>
                <w:szCs w:val="24"/>
                <w:lang w:eastAsia="en-US"/>
              </w:rPr>
              <w:t>y Ins</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66,147</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20</w:t>
            </w:r>
            <w:r w:rsidR="005344D0" w:rsidRPr="009A51F6">
              <w:rPr>
                <w:color w:val="000000"/>
                <w:szCs w:val="24"/>
                <w:lang w:eastAsia="en-US"/>
              </w:rPr>
              <w:t>.16 - Wage Increase</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(1,357,716)</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20</w:t>
            </w:r>
            <w:r w:rsidR="005344D0" w:rsidRPr="009A51F6">
              <w:rPr>
                <w:color w:val="000000"/>
                <w:szCs w:val="24"/>
                <w:lang w:eastAsia="en-US"/>
              </w:rPr>
              <w:t>.17 - Investment Plan</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(96,705)</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20</w:t>
            </w:r>
            <w:r w:rsidR="005344D0" w:rsidRPr="009A51F6">
              <w:rPr>
                <w:color w:val="000000"/>
                <w:szCs w:val="24"/>
                <w:lang w:eastAsia="en-US"/>
              </w:rPr>
              <w:t>.18 - Employee Insurance</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(121,751)</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FA37CF"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tcPr>
          <w:p w:rsidR="00FA37CF"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FA37CF">
              <w:rPr>
                <w:color w:val="000000"/>
                <w:szCs w:val="24"/>
                <w:lang w:eastAsia="en-US"/>
              </w:rPr>
              <w:t>20.20 – Payment Processing Costs</w:t>
            </w:r>
          </w:p>
        </w:tc>
        <w:tc>
          <w:tcPr>
            <w:tcW w:w="1696" w:type="dxa"/>
            <w:tcBorders>
              <w:top w:val="nil"/>
              <w:left w:val="nil"/>
              <w:bottom w:val="single" w:sz="8" w:space="0" w:color="auto"/>
              <w:right w:val="single" w:sz="8" w:space="0" w:color="auto"/>
            </w:tcBorders>
            <w:shd w:val="clear" w:color="auto" w:fill="auto"/>
            <w:noWrap/>
          </w:tcPr>
          <w:p w:rsidR="00FA37CF"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FA37CF" w:rsidRPr="009A597A">
              <w:rPr>
                <w:color w:val="FF0000"/>
                <w:szCs w:val="24"/>
                <w:lang w:eastAsia="en-US"/>
              </w:rPr>
              <w:t>(2,010,221)</w:t>
            </w:r>
          </w:p>
        </w:tc>
        <w:tc>
          <w:tcPr>
            <w:tcW w:w="1836" w:type="dxa"/>
            <w:tcBorders>
              <w:top w:val="nil"/>
              <w:left w:val="nil"/>
              <w:bottom w:val="single" w:sz="8" w:space="0" w:color="auto"/>
              <w:right w:val="single" w:sz="8" w:space="0" w:color="auto"/>
            </w:tcBorders>
            <w:shd w:val="clear" w:color="auto" w:fill="auto"/>
            <w:noWrap/>
          </w:tcPr>
          <w:p w:rsidR="00FA37CF" w:rsidRPr="00A1322A" w:rsidRDefault="00FA37CF"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20</w:t>
            </w:r>
            <w:r w:rsidR="005344D0" w:rsidRPr="009A51F6">
              <w:rPr>
                <w:color w:val="000000"/>
                <w:szCs w:val="24"/>
                <w:lang w:eastAsia="en-US"/>
              </w:rPr>
              <w:t>.21 - South King Service Center</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434,046</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15,</w:t>
            </w:r>
            <w:r w:rsidR="00320A7F">
              <w:rPr>
                <w:color w:val="000000"/>
                <w:szCs w:val="24"/>
                <w:lang w:eastAsia="en-US"/>
              </w:rPr>
              <w:t>915</w:t>
            </w:r>
            <w:r w:rsidR="005344D0" w:rsidRPr="00A1322A">
              <w:rPr>
                <w:color w:val="000000"/>
                <w:szCs w:val="24"/>
                <w:lang w:eastAsia="en-US"/>
              </w:rPr>
              <w:t>,</w:t>
            </w:r>
            <w:r w:rsidR="00320A7F">
              <w:rPr>
                <w:color w:val="000000"/>
                <w:szCs w:val="24"/>
                <w:lang w:eastAsia="en-US"/>
              </w:rPr>
              <w:t>060</w:t>
            </w: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20</w:t>
            </w:r>
            <w:r w:rsidR="005344D0" w:rsidRPr="009A51F6">
              <w:rPr>
                <w:color w:val="000000"/>
                <w:szCs w:val="24"/>
                <w:lang w:eastAsia="en-US"/>
              </w:rPr>
              <w:t>.22 - Excise Tax and UTC Filing Fee</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10,262</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33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21</w:t>
            </w:r>
            <w:r w:rsidR="005344D0" w:rsidRPr="009A51F6">
              <w:rPr>
                <w:color w:val="000000"/>
                <w:szCs w:val="24"/>
                <w:lang w:eastAsia="en-US"/>
              </w:rPr>
              <w:t>.02 - Montana Electric Tax</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8A3D79">
              <w:rPr>
                <w:color w:val="000000"/>
                <w:szCs w:val="24"/>
                <w:lang w:eastAsia="en-US"/>
              </w:rPr>
              <w:t>145</w:t>
            </w:r>
            <w:r w:rsidR="005344D0" w:rsidRPr="00A1322A">
              <w:rPr>
                <w:color w:val="000000"/>
                <w:szCs w:val="24"/>
                <w:lang w:eastAsia="en-US"/>
              </w:rPr>
              <w:t>,</w:t>
            </w:r>
            <w:r w:rsidR="00320A7F">
              <w:rPr>
                <w:color w:val="000000"/>
                <w:szCs w:val="24"/>
                <w:lang w:eastAsia="en-US"/>
              </w:rPr>
              <w:t>305</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27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21</w:t>
            </w:r>
            <w:r w:rsidR="005344D0" w:rsidRPr="009A51F6">
              <w:rPr>
                <w:color w:val="000000"/>
                <w:szCs w:val="24"/>
                <w:lang w:eastAsia="en-US"/>
              </w:rPr>
              <w:t>.03 - Wild Horse Solar</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137,890</w:t>
            </w:r>
          </w:p>
        </w:tc>
        <w:tc>
          <w:tcPr>
            <w:tcW w:w="183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(1,969,341)</w:t>
            </w:r>
          </w:p>
        </w:tc>
      </w:tr>
      <w:tr w:rsidR="005344D0" w:rsidRPr="00A1322A" w:rsidTr="00CD1B48">
        <w:trPr>
          <w:trHeight w:val="27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21</w:t>
            </w:r>
            <w:r w:rsidR="005344D0" w:rsidRPr="009A51F6">
              <w:rPr>
                <w:color w:val="000000"/>
                <w:szCs w:val="24"/>
                <w:lang w:eastAsia="en-US"/>
              </w:rPr>
              <w:t xml:space="preserve">.04- ASC 815 (formerly </w:t>
            </w:r>
            <w:proofErr w:type="spellStart"/>
            <w:r w:rsidR="005344D0" w:rsidRPr="009A51F6">
              <w:rPr>
                <w:color w:val="000000"/>
                <w:szCs w:val="24"/>
                <w:lang w:eastAsia="en-US"/>
              </w:rPr>
              <w:t>SFAS</w:t>
            </w:r>
            <w:proofErr w:type="spellEnd"/>
            <w:r w:rsidR="005344D0" w:rsidRPr="009A51F6">
              <w:rPr>
                <w:color w:val="000000"/>
                <w:szCs w:val="24"/>
                <w:lang w:eastAsia="en-US"/>
              </w:rPr>
              <w:t xml:space="preserve"> 133)</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(41,672,584)</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r>
      <w:tr w:rsidR="005344D0" w:rsidRPr="00A1322A" w:rsidTr="00CD1B48">
        <w:trPr>
          <w:trHeight w:val="27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21</w:t>
            </w:r>
            <w:r w:rsidR="005344D0" w:rsidRPr="009A51F6">
              <w:rPr>
                <w:color w:val="000000"/>
                <w:szCs w:val="24"/>
                <w:lang w:eastAsia="en-US"/>
              </w:rPr>
              <w:t xml:space="preserve">.06 - </w:t>
            </w:r>
            <w:proofErr w:type="spellStart"/>
            <w:r w:rsidR="005344D0" w:rsidRPr="009A51F6">
              <w:rPr>
                <w:color w:val="000000"/>
                <w:szCs w:val="24"/>
                <w:lang w:eastAsia="en-US"/>
              </w:rPr>
              <w:t>Reg</w:t>
            </w:r>
            <w:proofErr w:type="spellEnd"/>
            <w:r w:rsidR="005344D0" w:rsidRPr="009A51F6">
              <w:rPr>
                <w:color w:val="000000"/>
                <w:szCs w:val="24"/>
                <w:lang w:eastAsia="en-US"/>
              </w:rPr>
              <w:t xml:space="preserve"> Assets and Liabilities</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1,736,212</w:t>
            </w:r>
          </w:p>
        </w:tc>
        <w:tc>
          <w:tcPr>
            <w:tcW w:w="183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(44,085,326)</w:t>
            </w:r>
          </w:p>
        </w:tc>
      </w:tr>
      <w:tr w:rsidR="005344D0" w:rsidRPr="00A1322A" w:rsidTr="00CD1B48">
        <w:trPr>
          <w:trHeight w:val="27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21</w:t>
            </w:r>
            <w:r w:rsidR="005344D0" w:rsidRPr="009A51F6">
              <w:rPr>
                <w:color w:val="000000"/>
                <w:szCs w:val="24"/>
                <w:lang w:eastAsia="en-US"/>
              </w:rPr>
              <w:t>.07 - Glacier Battery Storage</w:t>
            </w:r>
          </w:p>
        </w:tc>
        <w:tc>
          <w:tcPr>
            <w:tcW w:w="1696" w:type="dxa"/>
            <w:tcBorders>
              <w:top w:val="nil"/>
              <w:left w:val="nil"/>
              <w:bottom w:val="single" w:sz="8" w:space="0" w:color="auto"/>
              <w:right w:val="single" w:sz="8" w:space="0" w:color="auto"/>
            </w:tcBorders>
            <w:shd w:val="clear" w:color="auto" w:fill="auto"/>
            <w:noWrap/>
            <w:hideMark/>
          </w:tcPr>
          <w:p w:rsidR="005344D0" w:rsidRPr="009A597A" w:rsidRDefault="009A597A" w:rsidP="00CD1B48">
            <w:pPr>
              <w:spacing w:before="60" w:after="60" w:line="240" w:lineRule="auto"/>
              <w:ind w:firstLine="0"/>
              <w:jc w:val="right"/>
              <w:rPr>
                <w:color w:val="FF0000"/>
                <w:szCs w:val="24"/>
                <w:lang w:eastAsia="en-US"/>
              </w:rPr>
            </w:pPr>
            <w:r w:rsidRPr="009A597A">
              <w:rPr>
                <w:color w:val="FF0000"/>
                <w:szCs w:val="24"/>
                <w:lang w:eastAsia="en-US"/>
              </w:rPr>
              <w:t>$</w:t>
            </w:r>
            <w:r w:rsidR="005344D0" w:rsidRPr="009A597A">
              <w:rPr>
                <w:color w:val="FF0000"/>
                <w:szCs w:val="24"/>
                <w:lang w:eastAsia="en-US"/>
              </w:rPr>
              <w:t>(145,490)</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2,842,787</w:t>
            </w:r>
          </w:p>
        </w:tc>
      </w:tr>
      <w:tr w:rsidR="005344D0" w:rsidRPr="00A1322A" w:rsidTr="00CD1B48">
        <w:trPr>
          <w:trHeight w:val="27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21</w:t>
            </w:r>
            <w:r w:rsidR="005344D0" w:rsidRPr="009A51F6">
              <w:rPr>
                <w:color w:val="000000"/>
                <w:szCs w:val="24"/>
                <w:lang w:eastAsia="en-US"/>
              </w:rPr>
              <w:t>.09 - Goldendale Capacity Upgrade</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2,156</w:t>
            </w: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18,140,954</w:t>
            </w:r>
          </w:p>
        </w:tc>
      </w:tr>
      <w:tr w:rsidR="005344D0" w:rsidRPr="00A1322A" w:rsidTr="00CD1B48">
        <w:trPr>
          <w:trHeight w:val="277"/>
        </w:trPr>
        <w:tc>
          <w:tcPr>
            <w:tcW w:w="4694" w:type="dxa"/>
            <w:tcBorders>
              <w:top w:val="nil"/>
              <w:left w:val="single" w:sz="8" w:space="0" w:color="auto"/>
              <w:bottom w:val="single" w:sz="8" w:space="0" w:color="auto"/>
              <w:right w:val="single" w:sz="8" w:space="0" w:color="auto"/>
            </w:tcBorders>
            <w:shd w:val="clear" w:color="auto" w:fill="auto"/>
            <w:noWrap/>
            <w:hideMark/>
          </w:tcPr>
          <w:p w:rsidR="005344D0" w:rsidRPr="009A51F6" w:rsidRDefault="00CD1B48" w:rsidP="00CD1B48">
            <w:pPr>
              <w:spacing w:before="60" w:after="60" w:line="240" w:lineRule="auto"/>
              <w:ind w:firstLine="0"/>
              <w:jc w:val="both"/>
              <w:rPr>
                <w:color w:val="000000"/>
                <w:szCs w:val="24"/>
                <w:lang w:eastAsia="en-US"/>
              </w:rPr>
            </w:pPr>
            <w:r>
              <w:rPr>
                <w:color w:val="000000"/>
                <w:szCs w:val="24"/>
                <w:lang w:eastAsia="en-US"/>
              </w:rPr>
              <w:t>KJB-</w:t>
            </w:r>
            <w:r w:rsidR="009A597A">
              <w:rPr>
                <w:color w:val="000000"/>
                <w:szCs w:val="24"/>
                <w:lang w:eastAsia="en-US"/>
              </w:rPr>
              <w:t>21</w:t>
            </w:r>
            <w:r w:rsidR="005344D0" w:rsidRPr="009A51F6">
              <w:rPr>
                <w:color w:val="000000"/>
                <w:szCs w:val="24"/>
                <w:lang w:eastAsia="en-US"/>
              </w:rPr>
              <w:t>.10 - Mint Farm Capacity Upgrade</w:t>
            </w:r>
          </w:p>
        </w:tc>
        <w:tc>
          <w:tcPr>
            <w:tcW w:w="1696" w:type="dxa"/>
            <w:tcBorders>
              <w:top w:val="nil"/>
              <w:left w:val="nil"/>
              <w:bottom w:val="single" w:sz="8" w:space="0" w:color="auto"/>
              <w:right w:val="single" w:sz="8" w:space="0" w:color="auto"/>
            </w:tcBorders>
            <w:shd w:val="clear" w:color="auto" w:fill="auto"/>
            <w:noWrap/>
            <w:hideMark/>
          </w:tcPr>
          <w:p w:rsidR="005344D0" w:rsidRPr="00A1322A" w:rsidRDefault="005344D0" w:rsidP="00CD1B48">
            <w:pPr>
              <w:spacing w:before="60" w:after="60" w:line="240" w:lineRule="auto"/>
              <w:ind w:firstLine="0"/>
              <w:jc w:val="right"/>
              <w:rPr>
                <w:color w:val="000000"/>
                <w:szCs w:val="24"/>
                <w:lang w:eastAsia="en-US"/>
              </w:rPr>
            </w:pPr>
          </w:p>
        </w:tc>
        <w:tc>
          <w:tcPr>
            <w:tcW w:w="1836" w:type="dxa"/>
            <w:tcBorders>
              <w:top w:val="nil"/>
              <w:left w:val="nil"/>
              <w:bottom w:val="single" w:sz="8" w:space="0" w:color="auto"/>
              <w:right w:val="single" w:sz="8" w:space="0" w:color="auto"/>
            </w:tcBorders>
            <w:shd w:val="clear" w:color="auto" w:fill="auto"/>
            <w:noWrap/>
            <w:hideMark/>
          </w:tcPr>
          <w:p w:rsidR="005344D0" w:rsidRPr="00A1322A" w:rsidRDefault="009A597A" w:rsidP="00CD1B48">
            <w:pPr>
              <w:spacing w:before="60" w:after="60" w:line="240" w:lineRule="auto"/>
              <w:ind w:firstLine="0"/>
              <w:jc w:val="right"/>
              <w:rPr>
                <w:color w:val="000000"/>
                <w:szCs w:val="24"/>
                <w:lang w:eastAsia="en-US"/>
              </w:rPr>
            </w:pPr>
            <w:r>
              <w:rPr>
                <w:color w:val="000000"/>
                <w:szCs w:val="24"/>
                <w:lang w:eastAsia="en-US"/>
              </w:rPr>
              <w:t>$</w:t>
            </w:r>
            <w:r w:rsidR="005344D0" w:rsidRPr="00A1322A">
              <w:rPr>
                <w:color w:val="000000"/>
                <w:szCs w:val="24"/>
                <w:lang w:eastAsia="en-US"/>
              </w:rPr>
              <w:t>19,004,590</w:t>
            </w:r>
          </w:p>
        </w:tc>
      </w:tr>
    </w:tbl>
    <w:p w:rsidR="005F2609" w:rsidRDefault="005F2609" w:rsidP="00C21A59">
      <w:pPr>
        <w:pStyle w:val="question"/>
        <w:spacing w:before="360"/>
      </w:pPr>
      <w:r w:rsidRPr="006326F6">
        <w:t>Q.</w:t>
      </w:r>
      <w:r w:rsidRPr="006326F6">
        <w:tab/>
        <w:t xml:space="preserve">Are there </w:t>
      </w:r>
      <w:r w:rsidR="00C21A59">
        <w:t xml:space="preserve">uncontested </w:t>
      </w:r>
      <w:r w:rsidRPr="006326F6">
        <w:t xml:space="preserve">adjustments </w:t>
      </w:r>
      <w:r w:rsidR="00C21A59">
        <w:t xml:space="preserve">in which </w:t>
      </w:r>
      <w:r w:rsidRPr="006326F6">
        <w:t>PSE and other parties differ?</w:t>
      </w:r>
    </w:p>
    <w:p w:rsidR="005F2609" w:rsidRPr="006326F6" w:rsidRDefault="005F2609" w:rsidP="00021C30">
      <w:pPr>
        <w:pStyle w:val="Answer0"/>
        <w:rPr>
          <w:rFonts w:eastAsia="SimSun"/>
        </w:rPr>
      </w:pPr>
      <w:r>
        <w:rPr>
          <w:rFonts w:eastAsia="SimSun"/>
        </w:rPr>
        <w:t>A.</w:t>
      </w:r>
      <w:r>
        <w:rPr>
          <w:rFonts w:eastAsia="SimSun"/>
        </w:rPr>
        <w:tab/>
        <w:t>Yes.</w:t>
      </w:r>
      <w:r w:rsidR="00F26B15">
        <w:rPr>
          <w:rFonts w:eastAsia="SimSun"/>
        </w:rPr>
        <w:t xml:space="preserve"> </w:t>
      </w:r>
      <w:r>
        <w:rPr>
          <w:rFonts w:eastAsia="SimSun"/>
        </w:rPr>
        <w:t xml:space="preserve">Below is a list of </w:t>
      </w:r>
      <w:r w:rsidR="00C21A59">
        <w:rPr>
          <w:rFonts w:eastAsia="SimSun"/>
        </w:rPr>
        <w:t xml:space="preserve">uncontested </w:t>
      </w:r>
      <w:r w:rsidR="00C21A59" w:rsidRPr="006326F6">
        <w:t xml:space="preserve">adjustments </w:t>
      </w:r>
      <w:r w:rsidR="00C21A59">
        <w:t xml:space="preserve">in which </w:t>
      </w:r>
      <w:r w:rsidR="00C21A59" w:rsidRPr="006326F6">
        <w:t>PSE and other parties differ</w:t>
      </w:r>
      <w:r w:rsidR="00C21A59">
        <w:rPr>
          <w:rFonts w:eastAsia="SimSun"/>
        </w:rPr>
        <w:t xml:space="preserve"> </w:t>
      </w:r>
      <w:r>
        <w:rPr>
          <w:rFonts w:eastAsia="SimSun"/>
        </w:rPr>
        <w:t xml:space="preserve">and </w:t>
      </w:r>
      <w:r w:rsidR="008A3D79">
        <w:rPr>
          <w:rFonts w:eastAsia="SimSun"/>
        </w:rPr>
        <w:t xml:space="preserve">an </w:t>
      </w:r>
      <w:r>
        <w:rPr>
          <w:rFonts w:eastAsia="SimSun"/>
        </w:rPr>
        <w:t>explanation as to why PSE</w:t>
      </w:r>
      <w:r w:rsidR="00E462EF">
        <w:rPr>
          <w:rFonts w:eastAsia="SimSun"/>
        </w:rPr>
        <w:t>’</w:t>
      </w:r>
      <w:r>
        <w:rPr>
          <w:rFonts w:eastAsia="SimSun"/>
        </w:rPr>
        <w:t>s adjustment has changed since its original filing or why the adjustment differs from other parties</w:t>
      </w:r>
      <w:r w:rsidR="00E462EF">
        <w:rPr>
          <w:rFonts w:eastAsia="SimSun"/>
        </w:rPr>
        <w:t>’</w:t>
      </w:r>
      <w:r w:rsidR="001A6877">
        <w:rPr>
          <w:rFonts w:eastAsia="SimSun"/>
        </w:rPr>
        <w:t xml:space="preserve"> adjustments</w:t>
      </w:r>
      <w:r>
        <w:rPr>
          <w:rFonts w:eastAsia="SimSun"/>
        </w:rPr>
        <w:t>.</w:t>
      </w:r>
    </w:p>
    <w:p w:rsidR="005F2609" w:rsidRDefault="005F2609" w:rsidP="00771706">
      <w:pPr>
        <w:pStyle w:val="Heading2"/>
      </w:pPr>
      <w:bookmarkStart w:id="39" w:name="_Toc489168924"/>
      <w:bookmarkStart w:id="40" w:name="_Toc490035600"/>
      <w:r w:rsidRPr="00021C30">
        <w:rPr>
          <w:u w:val="none"/>
        </w:rPr>
        <w:t>A.</w:t>
      </w:r>
      <w:r w:rsidR="00021C30" w:rsidRPr="00021C30">
        <w:rPr>
          <w:u w:val="none"/>
        </w:rPr>
        <w:tab/>
      </w:r>
      <w:r>
        <w:t xml:space="preserve">Tax </w:t>
      </w:r>
      <w:r w:rsidRPr="00021C30">
        <w:t>Benefit</w:t>
      </w:r>
      <w:r>
        <w:t xml:space="preserve"> of </w:t>
      </w:r>
      <w:proofErr w:type="spellStart"/>
      <w:r>
        <w:t>Proforma</w:t>
      </w:r>
      <w:proofErr w:type="spellEnd"/>
      <w:r>
        <w:t xml:space="preserve"> Interest, Adjustment</w:t>
      </w:r>
      <w:r w:rsidR="00CD1B48">
        <w:t>s</w:t>
      </w:r>
      <w:r>
        <w:t xml:space="preserve"> </w:t>
      </w:r>
      <w:r w:rsidR="00CD1B48">
        <w:rPr>
          <w:color w:val="000000"/>
          <w:szCs w:val="24"/>
          <w:lang w:eastAsia="en-US"/>
        </w:rPr>
        <w:t>KJB-</w:t>
      </w:r>
      <w:r w:rsidR="00C21A59">
        <w:t>20</w:t>
      </w:r>
      <w:r>
        <w:t>.05 and</w:t>
      </w:r>
      <w:r w:rsidR="00CD1B48">
        <w:t xml:space="preserve"> SEF-1</w:t>
      </w:r>
      <w:r w:rsidR="008A3D79">
        <w:t>5</w:t>
      </w:r>
      <w:r>
        <w:t>.05</w:t>
      </w:r>
      <w:bookmarkEnd w:id="39"/>
      <w:bookmarkEnd w:id="40"/>
    </w:p>
    <w:p w:rsidR="005F2609" w:rsidRPr="000A2CE8" w:rsidRDefault="005F2609" w:rsidP="000A2CE8">
      <w:pPr>
        <w:pStyle w:val="answer"/>
        <w:ind w:firstLine="0"/>
      </w:pPr>
      <w:r>
        <w:rPr>
          <w:rFonts w:eastAsia="SimSun"/>
        </w:rPr>
        <w:t xml:space="preserve">Parties do not contest the </w:t>
      </w:r>
      <w:r w:rsidR="000A2CE8">
        <w:rPr>
          <w:rFonts w:eastAsia="SimSun"/>
        </w:rPr>
        <w:t xml:space="preserve">manner in which </w:t>
      </w:r>
      <w:r>
        <w:rPr>
          <w:rFonts w:eastAsia="SimSun"/>
        </w:rPr>
        <w:t>the tax benefit of interest is calculated.</w:t>
      </w:r>
      <w:r w:rsidR="00F26B15">
        <w:rPr>
          <w:rFonts w:eastAsia="SimSun"/>
        </w:rPr>
        <w:t xml:space="preserve"> </w:t>
      </w:r>
      <w:r>
        <w:rPr>
          <w:rFonts w:eastAsia="SimSun"/>
        </w:rPr>
        <w:t>However, rate base is a factor in determining the tax benefit of interest</w:t>
      </w:r>
      <w:r w:rsidR="009A597A">
        <w:rPr>
          <w:rFonts w:eastAsia="SimSun"/>
        </w:rPr>
        <w:t>. Therefore</w:t>
      </w:r>
      <w:r>
        <w:rPr>
          <w:rFonts w:eastAsia="SimSun"/>
        </w:rPr>
        <w:t xml:space="preserve">, </w:t>
      </w:r>
      <w:r>
        <w:rPr>
          <w:rFonts w:eastAsia="SimSun"/>
        </w:rPr>
        <w:lastRenderedPageBreak/>
        <w:t>the total amount of this adjustment will differ between PSE and other parties where there are differences associated with rate base items.</w:t>
      </w:r>
    </w:p>
    <w:p w:rsidR="005F2609" w:rsidRDefault="005F2609" w:rsidP="00771706">
      <w:pPr>
        <w:pStyle w:val="Heading2"/>
      </w:pPr>
      <w:bookmarkStart w:id="41" w:name="_Toc489168925"/>
      <w:bookmarkStart w:id="42" w:name="_Toc490035601"/>
      <w:r w:rsidRPr="00021C30">
        <w:rPr>
          <w:u w:val="none"/>
        </w:rPr>
        <w:t>B.</w:t>
      </w:r>
      <w:r w:rsidR="00021C30" w:rsidRPr="00021C30">
        <w:rPr>
          <w:u w:val="none"/>
        </w:rPr>
        <w:tab/>
      </w:r>
      <w:r w:rsidRPr="00021C30">
        <w:t>Payment</w:t>
      </w:r>
      <w:r w:rsidRPr="00326995">
        <w:t xml:space="preserve"> Processing Costs, Adjustment</w:t>
      </w:r>
      <w:r w:rsidR="00CD1B48">
        <w:t>s</w:t>
      </w:r>
      <w:r w:rsidRPr="00326995">
        <w:t xml:space="preserve"> </w:t>
      </w:r>
      <w:r w:rsidR="00CD1B48">
        <w:rPr>
          <w:color w:val="000000"/>
          <w:szCs w:val="24"/>
          <w:lang w:eastAsia="en-US"/>
        </w:rPr>
        <w:t>KJB-</w:t>
      </w:r>
      <w:r w:rsidR="009A597A">
        <w:t>20</w:t>
      </w:r>
      <w:r>
        <w:t>.</w:t>
      </w:r>
      <w:r w:rsidRPr="00326995">
        <w:t xml:space="preserve">20 and </w:t>
      </w:r>
      <w:r w:rsidR="00CD1B48">
        <w:t>SEF-</w:t>
      </w:r>
      <w:r w:rsidR="00857BD0">
        <w:t>1</w:t>
      </w:r>
      <w:r w:rsidR="008A3D79">
        <w:t>5</w:t>
      </w:r>
      <w:r w:rsidRPr="00326995">
        <w:t>.20</w:t>
      </w:r>
      <w:bookmarkEnd w:id="41"/>
      <w:bookmarkEnd w:id="42"/>
    </w:p>
    <w:p w:rsidR="00B42DA0" w:rsidRPr="00B42DA0" w:rsidRDefault="00B42DA0" w:rsidP="000A2CE8">
      <w:pPr>
        <w:pStyle w:val="answer"/>
        <w:ind w:firstLine="0"/>
      </w:pPr>
      <w:r w:rsidRPr="00B42DA0">
        <w:t xml:space="preserve">PSE has accepted the </w:t>
      </w:r>
      <w:r w:rsidR="009A597A">
        <w:t xml:space="preserve">proposals of </w:t>
      </w:r>
      <w:r w:rsidR="009A11B5">
        <w:rPr>
          <w:bCs/>
        </w:rPr>
        <w:t xml:space="preserve">Commission </w:t>
      </w:r>
      <w:r w:rsidR="009A11B5">
        <w:t>Staff</w:t>
      </w:r>
      <w:r w:rsidR="009A597A" w:rsidRPr="00B42DA0">
        <w:t xml:space="preserve"> and Public Counsel </w:t>
      </w:r>
      <w:r w:rsidR="009A597A">
        <w:t>to lengthen</w:t>
      </w:r>
      <w:r w:rsidRPr="00B42DA0">
        <w:t xml:space="preserve"> the Payment Processing Deferral from one year to three years.</w:t>
      </w:r>
      <w:r w:rsidR="008A3D79">
        <w:rPr>
          <w:rStyle w:val="FootnoteReference"/>
        </w:rPr>
        <w:footnoteReference w:id="11"/>
      </w:r>
      <w:r w:rsidR="00F26B15">
        <w:t xml:space="preserve"> </w:t>
      </w:r>
      <w:r w:rsidR="00895F7C">
        <w:t xml:space="preserve">ICNU and </w:t>
      </w:r>
      <w:proofErr w:type="spellStart"/>
      <w:r w:rsidR="00895F7C">
        <w:t>NWIGU</w:t>
      </w:r>
      <w:proofErr w:type="spellEnd"/>
      <w:r w:rsidR="00895F7C">
        <w:t xml:space="preserve"> have indicated they are neutral related to this adjustment.</w:t>
      </w:r>
      <w:r w:rsidR="008A3D79">
        <w:rPr>
          <w:rStyle w:val="FootnoteReference"/>
        </w:rPr>
        <w:footnoteReference w:id="12"/>
      </w:r>
      <w:r w:rsidR="00F26B15">
        <w:t xml:space="preserve"> </w:t>
      </w:r>
      <w:r w:rsidRPr="00B42DA0">
        <w:t>Therefore, this adjustment is no longer contested and the change to net operating income for this adjustment is a decrease of $2,010,221 for electric and $1,449,117 for natural gas operations.</w:t>
      </w:r>
    </w:p>
    <w:p w:rsidR="00B42DA0" w:rsidRPr="00B42DA0" w:rsidRDefault="00B42DA0" w:rsidP="00771706">
      <w:pPr>
        <w:pStyle w:val="Heading2"/>
      </w:pPr>
      <w:bookmarkStart w:id="43" w:name="_Toc490035602"/>
      <w:r w:rsidRPr="00021C30">
        <w:rPr>
          <w:u w:val="none"/>
        </w:rPr>
        <w:t>C.</w:t>
      </w:r>
      <w:r w:rsidR="00021C30" w:rsidRPr="00021C30">
        <w:rPr>
          <w:u w:val="none"/>
        </w:rPr>
        <w:tab/>
      </w:r>
      <w:r w:rsidRPr="00021C30">
        <w:t>Montana</w:t>
      </w:r>
      <w:r w:rsidRPr="00B42DA0">
        <w:t xml:space="preserve"> Electric Energy Tax, Adjustment </w:t>
      </w:r>
      <w:r w:rsidR="00CD1B48">
        <w:rPr>
          <w:color w:val="000000"/>
          <w:szCs w:val="24"/>
          <w:lang w:eastAsia="en-US"/>
        </w:rPr>
        <w:t>KJB-</w:t>
      </w:r>
      <w:r w:rsidR="009A597A">
        <w:t>21</w:t>
      </w:r>
      <w:r w:rsidRPr="00B42DA0">
        <w:t>.02</w:t>
      </w:r>
      <w:bookmarkEnd w:id="43"/>
    </w:p>
    <w:p w:rsidR="00B42DA0" w:rsidRPr="000A2CE8" w:rsidRDefault="006604D2" w:rsidP="000A2CE8">
      <w:pPr>
        <w:pStyle w:val="answer"/>
        <w:ind w:firstLine="0"/>
      </w:pPr>
      <w:r w:rsidRPr="00B42DA0">
        <w:rPr>
          <w:rFonts w:eastAsia="SimSun"/>
        </w:rPr>
        <w:t xml:space="preserve">Adjustment </w:t>
      </w:r>
      <w:r w:rsidR="00CD1B48">
        <w:rPr>
          <w:color w:val="000000"/>
          <w:szCs w:val="24"/>
          <w:lang w:eastAsia="en-US"/>
        </w:rPr>
        <w:t>KJB-</w:t>
      </w:r>
      <w:r>
        <w:rPr>
          <w:rFonts w:eastAsia="SimSun"/>
        </w:rPr>
        <w:t>21</w:t>
      </w:r>
      <w:r w:rsidRPr="00B42DA0">
        <w:rPr>
          <w:rFonts w:eastAsia="SimSun"/>
        </w:rPr>
        <w:t>.02</w:t>
      </w:r>
      <w:r w:rsidR="00B42DA0">
        <w:rPr>
          <w:rFonts w:eastAsia="SimSun"/>
        </w:rPr>
        <w:t xml:space="preserve"> relies on </w:t>
      </w:r>
      <w:r w:rsidR="00B42DA0" w:rsidRPr="00021C30">
        <w:rPr>
          <w:rFonts w:eastAsia="SimSun"/>
        </w:rPr>
        <w:t>the</w:t>
      </w:r>
      <w:r w:rsidR="00B42DA0">
        <w:rPr>
          <w:rFonts w:eastAsia="SimSun"/>
        </w:rPr>
        <w:t xml:space="preserve"> generation produced in the </w:t>
      </w:r>
      <w:r w:rsidR="00FD0E40">
        <w:rPr>
          <w:rFonts w:eastAsia="SimSun"/>
        </w:rPr>
        <w:t xml:space="preserve">AURORA </w:t>
      </w:r>
      <w:r w:rsidR="00B42DA0">
        <w:rPr>
          <w:rFonts w:eastAsia="SimSun"/>
        </w:rPr>
        <w:t>model for the Colstrip facility.</w:t>
      </w:r>
      <w:r w:rsidR="00F26B15">
        <w:rPr>
          <w:rFonts w:eastAsia="SimSun"/>
        </w:rPr>
        <w:t xml:space="preserve"> </w:t>
      </w:r>
      <w:r w:rsidR="001A6877">
        <w:rPr>
          <w:rFonts w:eastAsia="SimSun"/>
        </w:rPr>
        <w:t xml:space="preserve">Parties </w:t>
      </w:r>
      <w:r w:rsidR="00B42DA0">
        <w:rPr>
          <w:rFonts w:eastAsia="SimSun"/>
        </w:rPr>
        <w:t>do not contest the manner in which this adjustment is calculated.</w:t>
      </w:r>
      <w:r w:rsidR="00F26B15">
        <w:rPr>
          <w:rFonts w:eastAsia="SimSun"/>
        </w:rPr>
        <w:t xml:space="preserve"> </w:t>
      </w:r>
      <w:r w:rsidR="00B42DA0">
        <w:rPr>
          <w:rFonts w:eastAsia="SimSun"/>
        </w:rPr>
        <w:t xml:space="preserve">Therefore, </w:t>
      </w:r>
      <w:r w:rsidR="008A3D79">
        <w:rPr>
          <w:rFonts w:eastAsia="SimSun"/>
        </w:rPr>
        <w:t>any</w:t>
      </w:r>
      <w:r w:rsidR="00B42DA0">
        <w:rPr>
          <w:rFonts w:eastAsia="SimSun"/>
        </w:rPr>
        <w:t xml:space="preserve"> differences between PSE and the parties for this adjustment </w:t>
      </w:r>
      <w:r w:rsidR="008A3D79">
        <w:rPr>
          <w:rFonts w:eastAsia="SimSun"/>
        </w:rPr>
        <w:t>would be</w:t>
      </w:r>
      <w:r w:rsidR="00B42DA0">
        <w:rPr>
          <w:rFonts w:eastAsia="SimSun"/>
        </w:rPr>
        <w:t xml:space="preserve"> solely due to changes made to the Power Cost Adjustment, Adjustment</w:t>
      </w:r>
      <w:r>
        <w:rPr>
          <w:rFonts w:eastAsia="SimSun"/>
        </w:rPr>
        <w:t> </w:t>
      </w:r>
      <w:r w:rsidR="00CD1B48">
        <w:rPr>
          <w:color w:val="000000"/>
          <w:szCs w:val="24"/>
          <w:lang w:eastAsia="en-US"/>
        </w:rPr>
        <w:t>KJB-</w:t>
      </w:r>
      <w:r w:rsidR="009A597A">
        <w:rPr>
          <w:rFonts w:eastAsia="SimSun"/>
        </w:rPr>
        <w:t>21</w:t>
      </w:r>
      <w:r w:rsidR="00B42DA0">
        <w:rPr>
          <w:rFonts w:eastAsia="SimSun"/>
        </w:rPr>
        <w:t>.01</w:t>
      </w:r>
      <w:r w:rsidR="00FD0E40">
        <w:rPr>
          <w:rFonts w:eastAsia="SimSun"/>
        </w:rPr>
        <w:t>,</w:t>
      </w:r>
      <w:r w:rsidR="00B42DA0">
        <w:rPr>
          <w:rFonts w:eastAsia="SimSun"/>
        </w:rPr>
        <w:t xml:space="preserve"> and so this adjustment can be considered an uncontested adjustment.</w:t>
      </w:r>
    </w:p>
    <w:p w:rsidR="007F06EF" w:rsidRPr="00AC6912" w:rsidRDefault="00BF3792" w:rsidP="00771706">
      <w:pPr>
        <w:pStyle w:val="Heading2"/>
      </w:pPr>
      <w:bookmarkStart w:id="44" w:name="_Toc490035603"/>
      <w:r w:rsidRPr="00021C30">
        <w:rPr>
          <w:u w:val="none"/>
        </w:rPr>
        <w:lastRenderedPageBreak/>
        <w:t>D</w:t>
      </w:r>
      <w:r w:rsidR="007F06EF" w:rsidRPr="00021C30">
        <w:rPr>
          <w:u w:val="none"/>
        </w:rPr>
        <w:t>.</w:t>
      </w:r>
      <w:r w:rsidR="00021C30" w:rsidRPr="00021C30">
        <w:rPr>
          <w:u w:val="none"/>
        </w:rPr>
        <w:tab/>
      </w:r>
      <w:r w:rsidR="007F06EF" w:rsidRPr="00AC6912">
        <w:t xml:space="preserve">Changes by PSE </w:t>
      </w:r>
      <w:r w:rsidR="00523B21">
        <w:t xml:space="preserve">in </w:t>
      </w:r>
      <w:r w:rsidR="007F06EF" w:rsidRPr="00AC6912">
        <w:t xml:space="preserve">Supplemental </w:t>
      </w:r>
      <w:r w:rsidR="00523B21">
        <w:t>Testimony I</w:t>
      </w:r>
      <w:r w:rsidR="007F06EF" w:rsidRPr="00AC6912">
        <w:t>gnored by ICNU</w:t>
      </w:r>
      <w:bookmarkEnd w:id="44"/>
    </w:p>
    <w:p w:rsidR="007F06EF" w:rsidRPr="00A159EF" w:rsidRDefault="007F06EF" w:rsidP="00021C30">
      <w:pPr>
        <w:pStyle w:val="question"/>
      </w:pPr>
      <w:r>
        <w:t>Q.</w:t>
      </w:r>
      <w:r>
        <w:tab/>
        <w:t xml:space="preserve">Are there other adjustments to electric </w:t>
      </w:r>
      <w:r w:rsidR="000E47DB">
        <w:t>operations</w:t>
      </w:r>
      <w:r>
        <w:t xml:space="preserve"> where ICNU and </w:t>
      </w:r>
      <w:proofErr w:type="spellStart"/>
      <w:r>
        <w:t>NWIGU</w:t>
      </w:r>
      <w:proofErr w:type="spellEnd"/>
      <w:r>
        <w:t xml:space="preserve"> differ from PSE</w:t>
      </w:r>
      <w:r w:rsidR="00F26B15">
        <w:t xml:space="preserve"> </w:t>
      </w:r>
      <w:r>
        <w:t xml:space="preserve">that were not described as differences by </w:t>
      </w:r>
      <w:r w:rsidR="0077523D">
        <w:t>Mr. </w:t>
      </w:r>
      <w:r>
        <w:t>Mullins?</w:t>
      </w:r>
    </w:p>
    <w:p w:rsidR="007F06EF" w:rsidRPr="008909AC" w:rsidRDefault="007F06EF" w:rsidP="00021C30">
      <w:pPr>
        <w:pStyle w:val="Answer0"/>
      </w:pPr>
      <w:r>
        <w:t>A.</w:t>
      </w:r>
      <w:r>
        <w:tab/>
        <w:t>Yes.</w:t>
      </w:r>
      <w:r w:rsidR="00F26B15">
        <w:t xml:space="preserve"> </w:t>
      </w:r>
      <w:r>
        <w:t xml:space="preserve">After reviewing </w:t>
      </w:r>
      <w:r w:rsidR="0077523D">
        <w:t>Mr. </w:t>
      </w:r>
      <w:r>
        <w:t>Mullins</w:t>
      </w:r>
      <w:r w:rsidR="00E462EF">
        <w:t>’</w:t>
      </w:r>
      <w:r>
        <w:t xml:space="preserve"> work papers, it became apparent that </w:t>
      </w:r>
      <w:r w:rsidRPr="00A159EF">
        <w:t xml:space="preserve">there </w:t>
      </w:r>
      <w:r>
        <w:t xml:space="preserve">are </w:t>
      </w:r>
      <w:r w:rsidRPr="00A159EF">
        <w:t xml:space="preserve">other adjustments </w:t>
      </w:r>
      <w:r>
        <w:t xml:space="preserve">to electric operations </w:t>
      </w:r>
      <w:r w:rsidR="006604D2">
        <w:t xml:space="preserve">in which </w:t>
      </w:r>
      <w:r w:rsidRPr="00A159EF">
        <w:t xml:space="preserve">ICNU and </w:t>
      </w:r>
      <w:proofErr w:type="spellStart"/>
      <w:r w:rsidRPr="00A159EF">
        <w:t>NWIGU</w:t>
      </w:r>
      <w:proofErr w:type="spellEnd"/>
      <w:r w:rsidRPr="00A159EF">
        <w:t xml:space="preserve"> differ</w:t>
      </w:r>
      <w:r>
        <w:t xml:space="preserve"> from PSE</w:t>
      </w:r>
      <w:r w:rsidR="000A2CE8">
        <w:t xml:space="preserve"> </w:t>
      </w:r>
      <w:r w:rsidRPr="00A159EF">
        <w:t xml:space="preserve">but not described as differences by </w:t>
      </w:r>
      <w:r w:rsidR="0077523D">
        <w:t>Mr. </w:t>
      </w:r>
      <w:r w:rsidRPr="00A159EF">
        <w:t>Mullins</w:t>
      </w:r>
      <w:r>
        <w:t>.</w:t>
      </w:r>
      <w:r w:rsidR="00F26B15">
        <w:t xml:space="preserve"> </w:t>
      </w:r>
      <w:r>
        <w:t xml:space="preserve">It appears that </w:t>
      </w:r>
      <w:r w:rsidR="0077523D">
        <w:t>Mr. </w:t>
      </w:r>
      <w:r>
        <w:t>Mullins has ignored the updates made by PSE in its supplemental filing and did not specifically accept or reject these updates.</w:t>
      </w:r>
    </w:p>
    <w:p w:rsidR="007F06EF" w:rsidRPr="00F421F5" w:rsidRDefault="007F06EF" w:rsidP="00021C30">
      <w:pPr>
        <w:pStyle w:val="question"/>
      </w:pPr>
      <w:r w:rsidRPr="00F421F5">
        <w:t>Q.</w:t>
      </w:r>
      <w:r w:rsidRPr="00F421F5">
        <w:tab/>
      </w:r>
      <w:r>
        <w:t xml:space="preserve">What adjustments were </w:t>
      </w:r>
      <w:r w:rsidRPr="00021C30">
        <w:t>updated</w:t>
      </w:r>
      <w:r>
        <w:t xml:space="preserve"> at supplemental and ignored by </w:t>
      </w:r>
      <w:r w:rsidR="0077523D">
        <w:t>Mr. </w:t>
      </w:r>
      <w:r>
        <w:t>Mullins?</w:t>
      </w:r>
    </w:p>
    <w:p w:rsidR="007F06EF" w:rsidRDefault="007F06EF" w:rsidP="00021C30">
      <w:pPr>
        <w:pStyle w:val="Answer0"/>
      </w:pPr>
      <w:r w:rsidRPr="008909AC">
        <w:t>A.</w:t>
      </w:r>
      <w:r w:rsidRPr="008909AC">
        <w:tab/>
      </w:r>
      <w:r>
        <w:t>The following electric adjustments were changed in PSE</w:t>
      </w:r>
      <w:r w:rsidR="00E462EF">
        <w:t>’</w:t>
      </w:r>
      <w:r>
        <w:t xml:space="preserve">s </w:t>
      </w:r>
      <w:r w:rsidR="00FD0E40">
        <w:t xml:space="preserve">supplemental filing </w:t>
      </w:r>
      <w:r>
        <w:t>made on April</w:t>
      </w:r>
      <w:r w:rsidR="000A2CE8">
        <w:t> </w:t>
      </w:r>
      <w:r>
        <w:t>3, 2017</w:t>
      </w:r>
      <w:r w:rsidR="000A2CE8">
        <w:t>,</w:t>
      </w:r>
      <w:r>
        <w:t xml:space="preserve"> for the reasons discussed in my </w:t>
      </w:r>
      <w:proofErr w:type="spellStart"/>
      <w:r w:rsidR="00FD0E40">
        <w:t>prefiled</w:t>
      </w:r>
      <w:proofErr w:type="spellEnd"/>
      <w:r w:rsidR="00FD0E40">
        <w:t xml:space="preserve"> supplemental testimony</w:t>
      </w:r>
      <w:r>
        <w:t>, Exhibit KJB-10T:</w:t>
      </w:r>
    </w:p>
    <w:p w:rsidR="007F06EF" w:rsidRDefault="007F06EF" w:rsidP="007F06EF">
      <w:pPr>
        <w:spacing w:line="240" w:lineRule="auto"/>
        <w:ind w:left="720"/>
      </w:pPr>
      <w:r>
        <w:t xml:space="preserve">KJB-13.05 Tax Benefit of </w:t>
      </w:r>
      <w:proofErr w:type="spellStart"/>
      <w:r>
        <w:t>Proforma</w:t>
      </w:r>
      <w:proofErr w:type="spellEnd"/>
      <w:r>
        <w:t xml:space="preserve"> Interest</w:t>
      </w:r>
      <w:r>
        <w:tab/>
        <w:t>(remains uncontested)</w:t>
      </w:r>
    </w:p>
    <w:p w:rsidR="007F06EF" w:rsidRDefault="007F06EF" w:rsidP="007F06EF">
      <w:pPr>
        <w:spacing w:line="240" w:lineRule="auto"/>
        <w:ind w:left="720"/>
      </w:pPr>
      <w:r>
        <w:t>KJB-13.08 Bad Debt Expense (remains uncontested)</w:t>
      </w:r>
    </w:p>
    <w:p w:rsidR="007F06EF" w:rsidRDefault="007F06EF" w:rsidP="007F06EF">
      <w:pPr>
        <w:spacing w:line="240" w:lineRule="auto"/>
        <w:ind w:left="720"/>
      </w:pPr>
      <w:r>
        <w:t>KJB-13.09 Incentive Pay (remains uncontested)</w:t>
      </w:r>
    </w:p>
    <w:p w:rsidR="007F06EF" w:rsidRDefault="007F06EF" w:rsidP="007F06EF">
      <w:pPr>
        <w:spacing w:line="240" w:lineRule="auto"/>
        <w:ind w:left="720"/>
      </w:pPr>
      <w:r>
        <w:t>KJB-13.11 Interest on Customer Deposits (remains uncontested)</w:t>
      </w:r>
    </w:p>
    <w:p w:rsidR="007F06EF" w:rsidRDefault="007F06EF" w:rsidP="007F06EF">
      <w:pPr>
        <w:spacing w:line="240" w:lineRule="auto"/>
        <w:ind w:left="720"/>
      </w:pPr>
      <w:r>
        <w:t>KJB-13.16 Wage Increase (remains uncontested)</w:t>
      </w:r>
    </w:p>
    <w:p w:rsidR="007F06EF" w:rsidRDefault="007F06EF" w:rsidP="007F06EF">
      <w:pPr>
        <w:spacing w:line="240" w:lineRule="auto"/>
        <w:ind w:left="720"/>
      </w:pPr>
      <w:r>
        <w:t>KJB-13.17 Investment Plan (remains uncontested)</w:t>
      </w:r>
    </w:p>
    <w:p w:rsidR="007F06EF" w:rsidRDefault="007F06EF" w:rsidP="007F06EF">
      <w:pPr>
        <w:spacing w:line="240" w:lineRule="auto"/>
        <w:ind w:left="720"/>
      </w:pPr>
      <w:r>
        <w:t>KJB-14.01 Power Costs</w:t>
      </w:r>
    </w:p>
    <w:p w:rsidR="007F06EF" w:rsidRDefault="007F06EF" w:rsidP="007F06EF">
      <w:pPr>
        <w:spacing w:line="240" w:lineRule="auto"/>
        <w:ind w:left="720"/>
      </w:pPr>
      <w:r>
        <w:t>KJB-14.02 Montana Electric Energy Tax (remains uncontested)</w:t>
      </w:r>
    </w:p>
    <w:p w:rsidR="007F06EF" w:rsidRDefault="007F06EF" w:rsidP="007F06EF">
      <w:pPr>
        <w:spacing w:line="240" w:lineRule="auto"/>
        <w:ind w:left="720"/>
      </w:pPr>
      <w:r>
        <w:t>KJB-14.05 Storm Damage</w:t>
      </w:r>
    </w:p>
    <w:p w:rsidR="007F06EF" w:rsidRDefault="007F06EF" w:rsidP="007F06EF">
      <w:pPr>
        <w:spacing w:line="240" w:lineRule="auto"/>
        <w:ind w:left="720"/>
      </w:pPr>
      <w:r>
        <w:t>KJB-14.11 White River</w:t>
      </w:r>
    </w:p>
    <w:p w:rsidR="007F06EF" w:rsidRDefault="007F06EF" w:rsidP="007F06EF">
      <w:pPr>
        <w:spacing w:after="240" w:line="240" w:lineRule="auto"/>
        <w:ind w:left="720"/>
      </w:pPr>
      <w:r>
        <w:t>KJB-14.13 Production Adjustment</w:t>
      </w:r>
    </w:p>
    <w:p w:rsidR="009C467C" w:rsidRPr="00B42DA0" w:rsidRDefault="007F06EF" w:rsidP="007F06EF">
      <w:pPr>
        <w:pStyle w:val="answer"/>
        <w:ind w:firstLine="0"/>
        <w:rPr>
          <w:rFonts w:eastAsia="SimSun"/>
        </w:rPr>
      </w:pPr>
      <w:r>
        <w:t>I have indicated above which of these adjustments are uncontested in this proceeding.</w:t>
      </w:r>
      <w:r w:rsidR="00F26B15">
        <w:t xml:space="preserve"> </w:t>
      </w:r>
      <w:r>
        <w:t xml:space="preserve">For the </w:t>
      </w:r>
      <w:r w:rsidR="008A3D79">
        <w:t xml:space="preserve">remaining </w:t>
      </w:r>
      <w:r>
        <w:t xml:space="preserve">adjustments indicated, no party provided testimony contesting these adjustments, including </w:t>
      </w:r>
      <w:r w:rsidR="0077523D">
        <w:t>Mr. </w:t>
      </w:r>
      <w:r>
        <w:t xml:space="preserve">Mullins for ICNU and </w:t>
      </w:r>
      <w:proofErr w:type="spellStart"/>
      <w:r>
        <w:t>NWIGU</w:t>
      </w:r>
      <w:proofErr w:type="spellEnd"/>
      <w:r>
        <w:t>.</w:t>
      </w:r>
      <w:r w:rsidR="00F26B15">
        <w:t xml:space="preserve"> </w:t>
      </w:r>
      <w:r>
        <w:lastRenderedPageBreak/>
        <w:t xml:space="preserve">Absent testimony directly contesting these adjustments, </w:t>
      </w:r>
      <w:r w:rsidR="000A2CE8">
        <w:t>PSE</w:t>
      </w:r>
      <w:r>
        <w:t xml:space="preserve"> must assume that it was an oversight on the part of </w:t>
      </w:r>
      <w:r w:rsidR="0077523D">
        <w:t>Mr. </w:t>
      </w:r>
      <w:r>
        <w:t>Mullins.</w:t>
      </w:r>
      <w:r w:rsidR="00F26B15">
        <w:t xml:space="preserve"> </w:t>
      </w:r>
      <w:r>
        <w:t xml:space="preserve">Therefore, any differences in the proposed revenue requirement between PSE and ICNU and </w:t>
      </w:r>
      <w:proofErr w:type="spellStart"/>
      <w:r>
        <w:t>NWIGU</w:t>
      </w:r>
      <w:proofErr w:type="spellEnd"/>
      <w:r>
        <w:t xml:space="preserve"> resulting from these adjustments should be rejected and PSE</w:t>
      </w:r>
      <w:r w:rsidR="00E462EF">
        <w:t>’</w:t>
      </w:r>
      <w:r>
        <w:t>s adjustment should be approved</w:t>
      </w:r>
      <w:r w:rsidRPr="008909AC">
        <w:t>.</w:t>
      </w:r>
      <w:r w:rsidR="00F26B15">
        <w:rPr>
          <w:rFonts w:eastAsia="SimSun"/>
        </w:rPr>
        <w:t xml:space="preserve"> </w:t>
      </w:r>
    </w:p>
    <w:p w:rsidR="00FB5708" w:rsidRDefault="00C85070" w:rsidP="00771706">
      <w:pPr>
        <w:pStyle w:val="Heading1"/>
      </w:pPr>
      <w:bookmarkStart w:id="45" w:name="_Toc490035604"/>
      <w:r>
        <w:t>V.</w:t>
      </w:r>
      <w:r>
        <w:tab/>
      </w:r>
      <w:r w:rsidRPr="00F3275D">
        <w:t xml:space="preserve">CONTESTED </w:t>
      </w:r>
      <w:r w:rsidRPr="00021C30">
        <w:t>ELECTRIC</w:t>
      </w:r>
      <w:r w:rsidRPr="00F3275D">
        <w:t xml:space="preserve"> </w:t>
      </w:r>
      <w:r w:rsidR="007F06EF">
        <w:t>AND</w:t>
      </w:r>
      <w:r w:rsidR="00CD1B48">
        <w:br/>
      </w:r>
      <w:r w:rsidR="007F06EF">
        <w:t xml:space="preserve">CERTAIN COMMON </w:t>
      </w:r>
      <w:r w:rsidRPr="00F3275D">
        <w:t>ADJUSTMENTS</w:t>
      </w:r>
      <w:bookmarkEnd w:id="45"/>
    </w:p>
    <w:p w:rsidR="00FB5708" w:rsidRPr="008909AC" w:rsidRDefault="00FB5708" w:rsidP="00FB5708">
      <w:pPr>
        <w:pStyle w:val="question"/>
        <w:spacing w:before="120"/>
      </w:pPr>
      <w:r w:rsidRPr="008909AC">
        <w:t>Q.</w:t>
      </w:r>
      <w:r w:rsidRPr="008909AC">
        <w:tab/>
        <w:t>Would you please describe t</w:t>
      </w:r>
      <w:r w:rsidRPr="00021C30">
        <w:t>h</w:t>
      </w:r>
      <w:r w:rsidRPr="008909AC">
        <w:t xml:space="preserve">e difference between </w:t>
      </w:r>
      <w:r w:rsidR="00DC5696">
        <w:t>PSE</w:t>
      </w:r>
      <w:r w:rsidRPr="008909AC">
        <w:t xml:space="preserve"> and other parties on the contested adjustments?</w:t>
      </w:r>
    </w:p>
    <w:p w:rsidR="0063728F" w:rsidRPr="008909AC" w:rsidRDefault="00FB5708" w:rsidP="00021C30">
      <w:pPr>
        <w:pStyle w:val="answer"/>
      </w:pPr>
      <w:r w:rsidRPr="008909AC">
        <w:t>A.</w:t>
      </w:r>
      <w:r w:rsidRPr="008909AC">
        <w:rPr>
          <w:b/>
        </w:rPr>
        <w:tab/>
      </w:r>
      <w:r w:rsidRPr="008909AC">
        <w:t>Yes.</w:t>
      </w:r>
      <w:r w:rsidR="00F26B15">
        <w:t xml:space="preserve"> </w:t>
      </w:r>
      <w:r w:rsidR="00F20A4E">
        <w:t>Below is a description of electric only and certain common contested adjustments and discussion why the Commission should adopt the adjustments as proposed by PSE.</w:t>
      </w:r>
      <w:r w:rsidR="00F26B15">
        <w:t xml:space="preserve"> </w:t>
      </w:r>
      <w:r w:rsidR="00F20A4E">
        <w:t xml:space="preserve">The gas only and remaining common adjustments are discussed </w:t>
      </w:r>
      <w:r w:rsidR="001A6877">
        <w:t xml:space="preserve">in the </w:t>
      </w:r>
      <w:proofErr w:type="spellStart"/>
      <w:r w:rsidR="001A6877">
        <w:t>Prefiled</w:t>
      </w:r>
      <w:proofErr w:type="spellEnd"/>
      <w:r w:rsidR="001A6877">
        <w:t xml:space="preserve"> Rebuttal Testimony of </w:t>
      </w:r>
      <w:r w:rsidR="00F20A4E">
        <w:t>Susan E. Free, Exhibit</w:t>
      </w:r>
      <w:r w:rsidR="00CD1B48">
        <w:t> </w:t>
      </w:r>
      <w:r w:rsidR="00F20A4E">
        <w:t>SEF-12T.</w:t>
      </w:r>
    </w:p>
    <w:p w:rsidR="00FB5708" w:rsidRPr="00F421F5" w:rsidRDefault="009579ED" w:rsidP="00771706">
      <w:pPr>
        <w:pStyle w:val="Heading2"/>
      </w:pPr>
      <w:bookmarkStart w:id="46" w:name="_Toc314398490"/>
      <w:bookmarkStart w:id="47" w:name="_Toc490035605"/>
      <w:r w:rsidRPr="00021C30">
        <w:rPr>
          <w:u w:val="none"/>
        </w:rPr>
        <w:t>A.</w:t>
      </w:r>
      <w:r w:rsidR="00021C30" w:rsidRPr="00021C30">
        <w:rPr>
          <w:u w:val="none"/>
        </w:rPr>
        <w:tab/>
      </w:r>
      <w:r w:rsidR="00F421F5" w:rsidRPr="00021C30">
        <w:t>Temperature</w:t>
      </w:r>
      <w:r w:rsidR="00F421F5">
        <w:t xml:space="preserve"> Normalization</w:t>
      </w:r>
      <w:r w:rsidR="00FB5708" w:rsidRPr="00F421F5">
        <w:t xml:space="preserve">, Adjustment </w:t>
      </w:r>
      <w:r w:rsidR="00CD1B48">
        <w:rPr>
          <w:color w:val="000000"/>
          <w:szCs w:val="24"/>
          <w:lang w:eastAsia="en-US"/>
        </w:rPr>
        <w:t>KJB-</w:t>
      </w:r>
      <w:r w:rsidR="00CD1B48">
        <w:t>20</w:t>
      </w:r>
      <w:r w:rsidR="00FB5708" w:rsidRPr="00F421F5">
        <w:t>.0</w:t>
      </w:r>
      <w:bookmarkEnd w:id="46"/>
      <w:r w:rsidR="00BB6297">
        <w:t>1</w:t>
      </w:r>
      <w:bookmarkEnd w:id="47"/>
    </w:p>
    <w:p w:rsidR="002367B5" w:rsidRPr="0097689B" w:rsidRDefault="002367B5" w:rsidP="001A6877">
      <w:pPr>
        <w:pStyle w:val="question"/>
      </w:pPr>
      <w:r w:rsidRPr="0097689B">
        <w:t>Q.</w:t>
      </w:r>
      <w:r w:rsidRPr="0097689B">
        <w:tab/>
      </w:r>
      <w:r>
        <w:t xml:space="preserve">Please explain the difference between </w:t>
      </w:r>
      <w:r w:rsidR="00DA6161">
        <w:t>PSE</w:t>
      </w:r>
      <w:r>
        <w:t xml:space="preserve"> and </w:t>
      </w:r>
      <w:r w:rsidR="009A11B5">
        <w:rPr>
          <w:bCs/>
        </w:rPr>
        <w:t xml:space="preserve">Commission </w:t>
      </w:r>
      <w:r w:rsidR="009A11B5">
        <w:t>Staff</w:t>
      </w:r>
      <w:r>
        <w:t xml:space="preserve"> for </w:t>
      </w:r>
      <w:r w:rsidR="003C3D77" w:rsidRPr="00021C30">
        <w:t>Temperature</w:t>
      </w:r>
      <w:r w:rsidR="003C3D77">
        <w:t xml:space="preserve"> Normalization</w:t>
      </w:r>
      <w:r w:rsidR="003C3D77" w:rsidRPr="00F421F5">
        <w:t xml:space="preserve">, Adjustment </w:t>
      </w:r>
      <w:r w:rsidR="003C3D77">
        <w:rPr>
          <w:color w:val="000000"/>
          <w:szCs w:val="24"/>
          <w:lang w:eastAsia="en-US"/>
        </w:rPr>
        <w:t>KJB-</w:t>
      </w:r>
      <w:r w:rsidR="003C3D77">
        <w:t>20</w:t>
      </w:r>
      <w:r w:rsidR="003C3D77" w:rsidRPr="00F421F5">
        <w:t>.0</w:t>
      </w:r>
      <w:r w:rsidR="003C3D77">
        <w:t>1</w:t>
      </w:r>
      <w:r>
        <w:t>.</w:t>
      </w:r>
    </w:p>
    <w:p w:rsidR="002367B5" w:rsidRPr="00803263" w:rsidRDefault="000A2CE8" w:rsidP="00EE7A5D">
      <w:pPr>
        <w:pStyle w:val="answer"/>
      </w:pPr>
      <w:r>
        <w:t>A</w:t>
      </w:r>
      <w:r w:rsidR="002367B5">
        <w:t>.</w:t>
      </w:r>
      <w:r w:rsidR="002367B5">
        <w:tab/>
      </w:r>
      <w:r w:rsidR="009A11B5">
        <w:rPr>
          <w:bCs/>
        </w:rPr>
        <w:t xml:space="preserve">Commission </w:t>
      </w:r>
      <w:r w:rsidR="009A11B5">
        <w:t>Staff</w:t>
      </w:r>
      <w:r w:rsidR="002367B5">
        <w:t xml:space="preserve"> recommends this adjustment be calculated using the s</w:t>
      </w:r>
      <w:r w:rsidR="00A7487B">
        <w:t>chedule</w:t>
      </w:r>
      <w:r w:rsidR="002367B5">
        <w:t xml:space="preserve"> level weather normalization.</w:t>
      </w:r>
      <w:r w:rsidR="00A7487B">
        <w:rPr>
          <w:rStyle w:val="FootnoteReference"/>
        </w:rPr>
        <w:footnoteReference w:id="13"/>
      </w:r>
      <w:r w:rsidR="00F26B15">
        <w:t xml:space="preserve"> </w:t>
      </w:r>
      <w:r w:rsidR="002367B5">
        <w:t xml:space="preserve">Please see the Rebuttal Testimony of Dr. Chun K. Chang, Exhibit </w:t>
      </w:r>
      <w:r w:rsidR="00E0477C">
        <w:t>CKC</w:t>
      </w:r>
      <w:r w:rsidR="002367B5">
        <w:t>-3T</w:t>
      </w:r>
      <w:r w:rsidR="00EE7A5D">
        <w:t>,</w:t>
      </w:r>
      <w:r w:rsidR="002367B5">
        <w:t xml:space="preserve"> for the reasons why the Commission should disregard Commission Staff</w:t>
      </w:r>
      <w:r w:rsidR="00E462EF">
        <w:t>’</w:t>
      </w:r>
      <w:r w:rsidR="002367B5">
        <w:t xml:space="preserve">s recommendation and accept </w:t>
      </w:r>
      <w:r w:rsidR="00DA6161">
        <w:t>PSE</w:t>
      </w:r>
      <w:r w:rsidR="00E462EF">
        <w:t>’</w:t>
      </w:r>
      <w:r w:rsidR="002367B5">
        <w:t>s adjustment as proposed.</w:t>
      </w:r>
      <w:r w:rsidR="00F26B15">
        <w:t xml:space="preserve"> </w:t>
      </w:r>
      <w:r w:rsidR="002367B5">
        <w:lastRenderedPageBreak/>
        <w:t>This adjustment has not been changed since PSE</w:t>
      </w:r>
      <w:r w:rsidR="00E462EF">
        <w:t>’</w:t>
      </w:r>
      <w:r w:rsidR="002367B5">
        <w:t xml:space="preserve">s </w:t>
      </w:r>
      <w:r w:rsidR="00EE7A5D">
        <w:t xml:space="preserve">supplemental </w:t>
      </w:r>
      <w:r w:rsidR="002367B5">
        <w:t xml:space="preserve">filing and increases electric net operating income by </w:t>
      </w:r>
      <w:r w:rsidR="002367B5" w:rsidRPr="002367B5">
        <w:t>$17,527,344</w:t>
      </w:r>
      <w:r w:rsidR="002367B5">
        <w:t>.</w:t>
      </w:r>
      <w:r w:rsidR="00F26B15">
        <w:t xml:space="preserve"> </w:t>
      </w:r>
    </w:p>
    <w:p w:rsidR="00F421F5" w:rsidRPr="00F421F5" w:rsidRDefault="009579ED" w:rsidP="00771706">
      <w:pPr>
        <w:pStyle w:val="Heading2"/>
      </w:pPr>
      <w:bookmarkStart w:id="48" w:name="_Toc490035606"/>
      <w:r w:rsidRPr="00021C30">
        <w:rPr>
          <w:u w:val="none"/>
        </w:rPr>
        <w:t>B.</w:t>
      </w:r>
      <w:r w:rsidR="00021C30" w:rsidRPr="00021C30">
        <w:rPr>
          <w:u w:val="none"/>
        </w:rPr>
        <w:tab/>
      </w:r>
      <w:r w:rsidR="00F421F5">
        <w:t>Depreciation Study</w:t>
      </w:r>
      <w:r w:rsidR="00F421F5" w:rsidRPr="00F421F5">
        <w:t xml:space="preserve">, Adjustment </w:t>
      </w:r>
      <w:r w:rsidR="003C3D77">
        <w:t>KJB-20</w:t>
      </w:r>
      <w:r w:rsidR="00F421F5" w:rsidRPr="00F421F5">
        <w:t>.0</w:t>
      </w:r>
      <w:r w:rsidR="00F421F5">
        <w:t>6</w:t>
      </w:r>
      <w:bookmarkEnd w:id="48"/>
    </w:p>
    <w:p w:rsidR="003203C6" w:rsidRPr="006C1C7E" w:rsidRDefault="003203C6" w:rsidP="003203C6">
      <w:pPr>
        <w:pStyle w:val="question"/>
      </w:pPr>
      <w:r w:rsidRPr="006C1C7E">
        <w:t>Q.</w:t>
      </w:r>
      <w:r w:rsidRPr="006C1C7E">
        <w:tab/>
        <w:t xml:space="preserve">Please explain the differences between the depreciation expense adjustments proposed by </w:t>
      </w:r>
      <w:r w:rsidR="009A11B5">
        <w:rPr>
          <w:bCs/>
        </w:rPr>
        <w:t xml:space="preserve">Commission </w:t>
      </w:r>
      <w:r w:rsidR="009A11B5">
        <w:t>Staff</w:t>
      </w:r>
      <w:r w:rsidRPr="006C1C7E">
        <w:t xml:space="preserve"> witness </w:t>
      </w:r>
      <w:r w:rsidR="0077523D">
        <w:t>Mr. </w:t>
      </w:r>
      <w:r>
        <w:t>McG</w:t>
      </w:r>
      <w:r w:rsidRPr="006C1C7E">
        <w:t xml:space="preserve">uire and </w:t>
      </w:r>
      <w:r w:rsidR="00DA6161">
        <w:t>PSE</w:t>
      </w:r>
      <w:r w:rsidRPr="006C1C7E">
        <w:t>.</w:t>
      </w:r>
    </w:p>
    <w:p w:rsidR="003203C6" w:rsidRPr="00440D30" w:rsidRDefault="000A2CE8" w:rsidP="003203C6">
      <w:pPr>
        <w:pStyle w:val="answer"/>
      </w:pPr>
      <w:r>
        <w:t>A.</w:t>
      </w:r>
      <w:r w:rsidR="003203C6">
        <w:tab/>
      </w:r>
      <w:r w:rsidR="003203C6" w:rsidRPr="00786214">
        <w:t xml:space="preserve">As </w:t>
      </w:r>
      <w:r w:rsidR="003C3D77">
        <w:t xml:space="preserve">explained in the </w:t>
      </w:r>
      <w:proofErr w:type="spellStart"/>
      <w:r w:rsidR="003C3D77">
        <w:t>Prefiled</w:t>
      </w:r>
      <w:proofErr w:type="spellEnd"/>
      <w:r w:rsidR="003C3D77">
        <w:t xml:space="preserve"> Rebuttal Testimony of </w:t>
      </w:r>
      <w:r w:rsidR="0077523D">
        <w:t>Mr. </w:t>
      </w:r>
      <w:r w:rsidR="003C3D77">
        <w:t xml:space="preserve">John J. </w:t>
      </w:r>
      <w:r w:rsidR="003203C6" w:rsidRPr="00786214">
        <w:t>Spanos</w:t>
      </w:r>
      <w:r w:rsidR="003C3D77">
        <w:t xml:space="preserve">, Exhibit JJS-4T, </w:t>
      </w:r>
      <w:r w:rsidR="0077523D">
        <w:t>Mr. </w:t>
      </w:r>
      <w:r w:rsidR="003203C6" w:rsidRPr="00786214">
        <w:t>McGuire has incorrectly applied the undepreciated balance over the entire life of</w:t>
      </w:r>
      <w:r w:rsidR="003203C6">
        <w:t xml:space="preserve"> the plant </w:t>
      </w:r>
      <w:r w:rsidR="003203C6" w:rsidRPr="00786214">
        <w:t>and</w:t>
      </w:r>
      <w:r w:rsidR="003203C6">
        <w:t>,</w:t>
      </w:r>
      <w:r w:rsidR="003203C6" w:rsidRPr="00786214">
        <w:t xml:space="preserve"> </w:t>
      </w:r>
      <w:r w:rsidR="003203C6" w:rsidRPr="00E33413">
        <w:t>as a result</w:t>
      </w:r>
      <w:r w:rsidR="003203C6">
        <w:t>,</w:t>
      </w:r>
      <w:r w:rsidR="003203C6" w:rsidRPr="00E33413">
        <w:t xml:space="preserve"> proposes only a </w:t>
      </w:r>
      <w:r w:rsidR="003203C6">
        <w:t>$</w:t>
      </w:r>
      <w:r w:rsidR="003203C6" w:rsidRPr="00E33413">
        <w:t>1.</w:t>
      </w:r>
      <w:r w:rsidR="00292D68">
        <w:t>4</w:t>
      </w:r>
      <w:r w:rsidR="003C3D77">
        <w:t> </w:t>
      </w:r>
      <w:r w:rsidR="003203C6" w:rsidRPr="00E33413">
        <w:t xml:space="preserve">million increase per year in the depreciation expense associated with </w:t>
      </w:r>
      <w:r w:rsidR="00FD0E40">
        <w:t>Colstrip</w:t>
      </w:r>
      <w:r w:rsidR="002F7034">
        <w:t xml:space="preserve"> Units</w:t>
      </w:r>
      <w:r w:rsidR="0099661A">
        <w:t> </w:t>
      </w:r>
      <w:r w:rsidR="00FD0E40">
        <w:t>1</w:t>
      </w:r>
      <w:r w:rsidR="0099661A">
        <w:t> </w:t>
      </w:r>
      <w:r w:rsidR="007D56A5">
        <w:rPr>
          <w:bCs/>
        </w:rPr>
        <w:t>and</w:t>
      </w:r>
      <w:r w:rsidR="0099661A">
        <w:t> </w:t>
      </w:r>
      <w:r w:rsidR="00FD0E40">
        <w:t>2</w:t>
      </w:r>
      <w:r w:rsidR="003203C6" w:rsidRPr="00E33413">
        <w:t>.</w:t>
      </w:r>
      <w:r w:rsidR="00F26B15">
        <w:t xml:space="preserve"> </w:t>
      </w:r>
      <w:r w:rsidR="0077523D">
        <w:t>Mr. </w:t>
      </w:r>
      <w:r w:rsidR="003203C6" w:rsidRPr="00440D30">
        <w:t>McGuire creates a $127</w:t>
      </w:r>
      <w:r w:rsidR="003C3D77">
        <w:t> </w:t>
      </w:r>
      <w:r w:rsidR="003203C6" w:rsidRPr="00440D30">
        <w:t xml:space="preserve">million reserve imbalance based on a </w:t>
      </w:r>
      <w:r w:rsidR="00E462EF">
        <w:t>“</w:t>
      </w:r>
      <w:r w:rsidR="003203C6" w:rsidRPr="00440D30">
        <w:t>theoretical</w:t>
      </w:r>
      <w:r w:rsidR="00E462EF">
        <w:t>”</w:t>
      </w:r>
      <w:r w:rsidR="003203C6" w:rsidRPr="00440D30">
        <w:t xml:space="preserve"> </w:t>
      </w:r>
      <w:r w:rsidR="003203C6">
        <w:t xml:space="preserve">level of </w:t>
      </w:r>
      <w:r w:rsidR="003203C6" w:rsidRPr="00440D30">
        <w:t>depreciation that he believes should have been collected between 1975</w:t>
      </w:r>
      <w:r w:rsidR="003203C6">
        <w:t>,</w:t>
      </w:r>
      <w:r w:rsidR="003203C6" w:rsidRPr="00440D30">
        <w:t xml:space="preserve"> when the units commenced service</w:t>
      </w:r>
      <w:r w:rsidR="003203C6">
        <w:t>,</w:t>
      </w:r>
      <w:r w:rsidR="003203C6" w:rsidRPr="00440D30">
        <w:t xml:space="preserve"> </w:t>
      </w:r>
      <w:r w:rsidR="003C3D77">
        <w:t>and</w:t>
      </w:r>
      <w:r w:rsidR="003203C6" w:rsidRPr="00440D30">
        <w:t xml:space="preserve"> 2017</w:t>
      </w:r>
      <w:r w:rsidR="003203C6">
        <w:t>,</w:t>
      </w:r>
      <w:r w:rsidR="003203C6" w:rsidRPr="00440D30">
        <w:t xml:space="preserve"> when the new depreciation rates will be effective.</w:t>
      </w:r>
      <w:r w:rsidR="00A7487B">
        <w:rPr>
          <w:rStyle w:val="FootnoteReference"/>
        </w:rPr>
        <w:footnoteReference w:id="14"/>
      </w:r>
      <w:r w:rsidR="00F26B15">
        <w:t xml:space="preserve"> </w:t>
      </w:r>
      <w:r w:rsidR="003203C6" w:rsidRPr="00440D30">
        <w:t xml:space="preserve">His proposal includes amortization of the alleged imbalance (a regulatory asset) over the previously assumed depreciation life, (i.e., until 2035), excluding the regulatory asset from rate base and </w:t>
      </w:r>
      <w:r w:rsidR="00F85A35">
        <w:t>expressly denying</w:t>
      </w:r>
      <w:r w:rsidR="003203C6" w:rsidRPr="00440D30">
        <w:t xml:space="preserve"> any carrying charges.</w:t>
      </w:r>
      <w:r w:rsidR="00F26B15">
        <w:t xml:space="preserve"> </w:t>
      </w:r>
      <w:r w:rsidR="003203C6" w:rsidRPr="00440D30">
        <w:t xml:space="preserve">Although </w:t>
      </w:r>
      <w:r w:rsidR="0077523D">
        <w:t>Mr. </w:t>
      </w:r>
      <w:r w:rsidR="003203C6" w:rsidRPr="00440D30">
        <w:t xml:space="preserve">McGuire states </w:t>
      </w:r>
      <w:r w:rsidR="003C3D77">
        <w:t>t</w:t>
      </w:r>
      <w:r w:rsidR="003203C6" w:rsidRPr="00440D30">
        <w:t xml:space="preserve">his approach is </w:t>
      </w:r>
      <w:r w:rsidR="00E462EF">
        <w:t>“</w:t>
      </w:r>
      <w:r w:rsidR="003203C6" w:rsidRPr="00440D30">
        <w:t>fair</w:t>
      </w:r>
      <w:r w:rsidR="00E462EF">
        <w:t>”</w:t>
      </w:r>
      <w:r w:rsidR="003203C6" w:rsidRPr="00440D30">
        <w:t xml:space="preserve"> for customers,</w:t>
      </w:r>
      <w:r w:rsidR="00A7487B">
        <w:rPr>
          <w:rStyle w:val="FootnoteReference"/>
        </w:rPr>
        <w:footnoteReference w:id="15"/>
      </w:r>
      <w:r w:rsidR="003203C6" w:rsidRPr="00440D30">
        <w:t xml:space="preserve"> </w:t>
      </w:r>
      <w:r w:rsidR="003C3D77">
        <w:t xml:space="preserve">it </w:t>
      </w:r>
      <w:r w:rsidR="003203C6" w:rsidRPr="00440D30">
        <w:t xml:space="preserve">is punitive to </w:t>
      </w:r>
      <w:r w:rsidR="00DA6161">
        <w:t>PSE</w:t>
      </w:r>
      <w:r w:rsidR="003203C6" w:rsidRPr="00440D30">
        <w:t xml:space="preserve"> and its shareholders </w:t>
      </w:r>
      <w:r w:rsidR="003C3D77">
        <w:t xml:space="preserve">because </w:t>
      </w:r>
      <w:r w:rsidR="003203C6" w:rsidRPr="00440D30">
        <w:t xml:space="preserve">his </w:t>
      </w:r>
      <w:r w:rsidR="00523B21">
        <w:t xml:space="preserve">approach </w:t>
      </w:r>
      <w:r w:rsidR="003C3D77">
        <w:t xml:space="preserve">neither includes any carrying charges on the </w:t>
      </w:r>
      <w:r w:rsidR="003203C6" w:rsidRPr="00440D30">
        <w:t xml:space="preserve">regulatory asset </w:t>
      </w:r>
      <w:r w:rsidR="003C3D77">
        <w:t xml:space="preserve">nor includes the </w:t>
      </w:r>
      <w:r w:rsidR="003C3D77" w:rsidRPr="00440D30">
        <w:t xml:space="preserve">regulatory asset </w:t>
      </w:r>
      <w:r w:rsidR="003203C6" w:rsidRPr="00440D30">
        <w:t>in rate base.</w:t>
      </w:r>
      <w:r w:rsidR="00F26B15">
        <w:t xml:space="preserve"> </w:t>
      </w:r>
      <w:r w:rsidR="003203C6" w:rsidRPr="00440D30">
        <w:t xml:space="preserve">Under </w:t>
      </w:r>
      <w:r w:rsidR="0077523D">
        <w:t>Mr. </w:t>
      </w:r>
      <w:r w:rsidR="003203C6" w:rsidRPr="00440D30">
        <w:t>McGuire</w:t>
      </w:r>
      <w:r w:rsidR="00E462EF">
        <w:t>’</w:t>
      </w:r>
      <w:r w:rsidR="003203C6" w:rsidRPr="00440D30">
        <w:t>s approach</w:t>
      </w:r>
      <w:r w:rsidR="00DA6161">
        <w:t>,</w:t>
      </w:r>
      <w:r w:rsidR="003203C6" w:rsidRPr="00440D30">
        <w:t xml:space="preserve"> </w:t>
      </w:r>
      <w:r w:rsidR="00DA6161">
        <w:t>PSE</w:t>
      </w:r>
      <w:r w:rsidR="003203C6" w:rsidRPr="00440D30">
        <w:t xml:space="preserve"> </w:t>
      </w:r>
      <w:r w:rsidR="003203C6">
        <w:t>bears</w:t>
      </w:r>
      <w:r w:rsidR="003203C6" w:rsidRPr="00440D30">
        <w:t xml:space="preserve"> the entire burden associated with the unrecovered plant</w:t>
      </w:r>
      <w:r w:rsidR="00EE7A5D">
        <w:t>.</w:t>
      </w:r>
    </w:p>
    <w:p w:rsidR="003203C6" w:rsidRDefault="003203C6" w:rsidP="003203C6">
      <w:pPr>
        <w:pStyle w:val="question"/>
      </w:pPr>
      <w:r w:rsidRPr="009B4C3F">
        <w:lastRenderedPageBreak/>
        <w:t>Q.</w:t>
      </w:r>
      <w:r w:rsidRPr="009B4C3F">
        <w:tab/>
      </w:r>
      <w:r>
        <w:t>Do</w:t>
      </w:r>
      <w:r w:rsidR="003C3D77">
        <w:t>es PSE</w:t>
      </w:r>
      <w:r>
        <w:t xml:space="preserve"> agree with </w:t>
      </w:r>
      <w:r w:rsidR="0077523D">
        <w:t>Mr. </w:t>
      </w:r>
      <w:r>
        <w:t>McGuire</w:t>
      </w:r>
      <w:r w:rsidR="00E462EF">
        <w:t>’</w:t>
      </w:r>
      <w:r>
        <w:t>s assessment and proposed treatment of the alleged imbalance?</w:t>
      </w:r>
    </w:p>
    <w:p w:rsidR="003203C6" w:rsidRDefault="003203C6" w:rsidP="003203C6">
      <w:pPr>
        <w:pStyle w:val="answer"/>
      </w:pPr>
      <w:r w:rsidRPr="00467387">
        <w:t>A.</w:t>
      </w:r>
      <w:r w:rsidRPr="00467387">
        <w:tab/>
      </w:r>
      <w:r>
        <w:t>No.</w:t>
      </w:r>
      <w:r w:rsidR="00F26B15">
        <w:t xml:space="preserve"> </w:t>
      </w:r>
      <w:r>
        <w:t xml:space="preserve">I am surprised that </w:t>
      </w:r>
      <w:r w:rsidR="0077523D">
        <w:t>Mr. </w:t>
      </w:r>
      <w:r>
        <w:t xml:space="preserve">McGuire would propose this punitive approach on PSE and its shareholders when the alleged depreciation imbalance </w:t>
      </w:r>
      <w:r w:rsidR="003C3D77">
        <w:t xml:space="preserve">to which </w:t>
      </w:r>
      <w:r>
        <w:t>he refers result</w:t>
      </w:r>
      <w:r w:rsidR="003C3D77">
        <w:t>s</w:t>
      </w:r>
      <w:r>
        <w:t xml:space="preserve"> from proposals by </w:t>
      </w:r>
      <w:r w:rsidR="009A11B5">
        <w:rPr>
          <w:bCs/>
        </w:rPr>
        <w:t xml:space="preserve">Commission </w:t>
      </w:r>
      <w:r w:rsidR="009A11B5">
        <w:t>Staff</w:t>
      </w:r>
      <w:r>
        <w:t xml:space="preserve"> and Public Counsel</w:t>
      </w:r>
      <w:r w:rsidR="00F85A35">
        <w:t xml:space="preserve"> in PSE</w:t>
      </w:r>
      <w:r w:rsidR="00E462EF">
        <w:t>’</w:t>
      </w:r>
      <w:r w:rsidR="00F85A35">
        <w:t>s 2007 general rate case</w:t>
      </w:r>
      <w:r>
        <w:t xml:space="preserve"> to extend </w:t>
      </w:r>
      <w:r w:rsidR="00A7487B">
        <w:t xml:space="preserve">the depreciable life of </w:t>
      </w:r>
      <w:r w:rsidR="0099661A">
        <w:t>Colstrip Units 1 </w:t>
      </w:r>
      <w:r w:rsidR="007D56A5">
        <w:rPr>
          <w:bCs/>
        </w:rPr>
        <w:t>and</w:t>
      </w:r>
      <w:r w:rsidR="0099661A">
        <w:t> 2</w:t>
      </w:r>
      <w:r w:rsidR="003C3D77" w:rsidRPr="003C3D77">
        <w:t xml:space="preserve"> </w:t>
      </w:r>
      <w:r w:rsidR="003C3D77">
        <w:t>to 60 years</w:t>
      </w:r>
      <w:r w:rsidR="0099661A">
        <w:t>.</w:t>
      </w:r>
    </w:p>
    <w:p w:rsidR="003203C6" w:rsidRDefault="003203C6" w:rsidP="003203C6">
      <w:pPr>
        <w:pStyle w:val="question"/>
      </w:pPr>
      <w:r>
        <w:t>Q.</w:t>
      </w:r>
      <w:r>
        <w:tab/>
        <w:t xml:space="preserve">Please elaborate on the proposal by </w:t>
      </w:r>
      <w:r w:rsidR="009A11B5">
        <w:rPr>
          <w:bCs/>
        </w:rPr>
        <w:t xml:space="preserve">Commission </w:t>
      </w:r>
      <w:r w:rsidR="009A11B5">
        <w:t>Staff</w:t>
      </w:r>
      <w:r>
        <w:t xml:space="preserve"> and Public Counsel that created the </w:t>
      </w:r>
      <w:r w:rsidR="00F85A35">
        <w:t xml:space="preserve">claimed </w:t>
      </w:r>
      <w:r>
        <w:t>imbalance.</w:t>
      </w:r>
    </w:p>
    <w:p w:rsidR="003203C6" w:rsidRDefault="003203C6" w:rsidP="003203C6">
      <w:pPr>
        <w:pStyle w:val="answer"/>
      </w:pPr>
      <w:r>
        <w:t>A.</w:t>
      </w:r>
      <w:r>
        <w:tab/>
        <w:t>In PSE</w:t>
      </w:r>
      <w:r w:rsidR="00E462EF">
        <w:t>’</w:t>
      </w:r>
      <w:r>
        <w:t xml:space="preserve">s 2007 general rate case, PSE filed a depreciation study that proposed a 44-year service life for </w:t>
      </w:r>
      <w:r w:rsidR="0099661A">
        <w:t xml:space="preserve">Colstrip Unit 1 </w:t>
      </w:r>
      <w:r>
        <w:t>and a 45-year service life for Colstrip Unit</w:t>
      </w:r>
      <w:r w:rsidR="00A7487B">
        <w:t> </w:t>
      </w:r>
      <w:r>
        <w:t>2.</w:t>
      </w:r>
      <w:r w:rsidR="00A7487B">
        <w:rPr>
          <w:rStyle w:val="FootnoteReference"/>
        </w:rPr>
        <w:footnoteReference w:id="16"/>
      </w:r>
      <w:r w:rsidR="00F26B15">
        <w:t xml:space="preserve"> </w:t>
      </w:r>
      <w:r>
        <w:t>Prior to that study, the service life for Colstrip was 40</w:t>
      </w:r>
      <w:r w:rsidR="00B95CE4">
        <w:t> </w:t>
      </w:r>
      <w:r>
        <w:t>years.</w:t>
      </w:r>
      <w:r w:rsidR="00F26B15">
        <w:t xml:space="preserve"> </w:t>
      </w:r>
    </w:p>
    <w:p w:rsidR="00DC5696" w:rsidRDefault="003203C6" w:rsidP="00DC5696">
      <w:pPr>
        <w:pStyle w:val="answer"/>
        <w:ind w:firstLine="0"/>
      </w:pPr>
      <w:r>
        <w:t xml:space="preserve">In response testimony in the 2007 general rate case, Public Counsel recommended a </w:t>
      </w:r>
      <w:r w:rsidR="00717052">
        <w:t>60-</w:t>
      </w:r>
      <w:r>
        <w:t xml:space="preserve">year service life for all Colstrip units, which would result in retirement in 2035 for </w:t>
      </w:r>
      <w:r w:rsidR="0099661A">
        <w:t>Colstrip Units 1 </w:t>
      </w:r>
      <w:r w:rsidR="007D56A5">
        <w:rPr>
          <w:bCs/>
        </w:rPr>
        <w:t>and</w:t>
      </w:r>
      <w:r w:rsidR="0099661A">
        <w:t> 2</w:t>
      </w:r>
      <w:r>
        <w:t>.</w:t>
      </w:r>
      <w:r>
        <w:rPr>
          <w:rStyle w:val="FootnoteReference"/>
        </w:rPr>
        <w:footnoteReference w:id="17"/>
      </w:r>
      <w:r w:rsidR="00F26B15">
        <w:t xml:space="preserve"> </w:t>
      </w:r>
      <w:r>
        <w:t xml:space="preserve">Similarly, </w:t>
      </w:r>
      <w:r w:rsidR="009A11B5">
        <w:rPr>
          <w:bCs/>
        </w:rPr>
        <w:t xml:space="preserve">Commission </w:t>
      </w:r>
      <w:r w:rsidR="009A11B5">
        <w:t>Staff</w:t>
      </w:r>
      <w:r>
        <w:t xml:space="preserve"> witness William </w:t>
      </w:r>
      <w:proofErr w:type="spellStart"/>
      <w:r>
        <w:t>Weinman</w:t>
      </w:r>
      <w:proofErr w:type="spellEnd"/>
      <w:r>
        <w:t xml:space="preserve"> testified that although he generally agreed with the remaining life and life span concepts used by PSE</w:t>
      </w:r>
      <w:r w:rsidR="00E462EF">
        <w:t>’</w:t>
      </w:r>
      <w:r>
        <w:t xml:space="preserve">s depreciation expert to determine depreciation rates for production plant as well as the net salvage estimates, he likewise proposed a </w:t>
      </w:r>
      <w:r w:rsidR="00717052">
        <w:t>60-</w:t>
      </w:r>
      <w:r>
        <w:t>year plant life for the Colstrip units.</w:t>
      </w:r>
      <w:r>
        <w:rPr>
          <w:rStyle w:val="FootnoteReference"/>
        </w:rPr>
        <w:footnoteReference w:id="18"/>
      </w:r>
    </w:p>
    <w:p w:rsidR="00DC5696" w:rsidRDefault="003203C6" w:rsidP="00DC5696">
      <w:pPr>
        <w:pStyle w:val="answer"/>
        <w:ind w:firstLine="0"/>
      </w:pPr>
      <w:r>
        <w:lastRenderedPageBreak/>
        <w:t xml:space="preserve">In rebuttal, PSE continued to support a </w:t>
      </w:r>
      <w:r w:rsidR="00717052">
        <w:t>45-</w:t>
      </w:r>
      <w:r>
        <w:t xml:space="preserve">year service life for </w:t>
      </w:r>
      <w:r w:rsidR="0099661A">
        <w:t xml:space="preserve">the </w:t>
      </w:r>
      <w:r>
        <w:t>Colstrip</w:t>
      </w:r>
      <w:r w:rsidR="0099661A">
        <w:t xml:space="preserve"> units</w:t>
      </w:r>
      <w:r>
        <w:t>.</w:t>
      </w:r>
      <w:r w:rsidR="00F26B15">
        <w:t xml:space="preserve"> </w:t>
      </w:r>
      <w:r>
        <w:t>PSE witness Michael Jones testified that c</w:t>
      </w:r>
      <w:r w:rsidRPr="00BE7020">
        <w:t xml:space="preserve">ompliance </w:t>
      </w:r>
      <w:r>
        <w:t xml:space="preserve">with environmental laws and </w:t>
      </w:r>
      <w:r w:rsidRPr="00BE7020">
        <w:t>regulations</w:t>
      </w:r>
      <w:r w:rsidR="00B95CE4">
        <w:t>,</w:t>
      </w:r>
      <w:r w:rsidRPr="00BE7020">
        <w:t xml:space="preserve"> </w:t>
      </w:r>
      <w:r>
        <w:t>such as the Clean Air Act, EPA</w:t>
      </w:r>
      <w:r w:rsidR="00E462EF">
        <w:t>’</w:t>
      </w:r>
      <w:r>
        <w:t xml:space="preserve">s Clean Air Visibility Rule, </w:t>
      </w:r>
      <w:r w:rsidR="004E05E2">
        <w:t xml:space="preserve">and </w:t>
      </w:r>
      <w:r>
        <w:t>Montana</w:t>
      </w:r>
      <w:r w:rsidR="00E462EF">
        <w:t>’</w:t>
      </w:r>
      <w:r>
        <w:t>s Mercury Emission Control Rule</w:t>
      </w:r>
      <w:r w:rsidR="00B95CE4">
        <w:t>,</w:t>
      </w:r>
      <w:r>
        <w:t xml:space="preserve"> </w:t>
      </w:r>
      <w:r w:rsidRPr="00BE7020">
        <w:t xml:space="preserve">may </w:t>
      </w:r>
      <w:r w:rsidR="00B95CE4">
        <w:t>a</w:t>
      </w:r>
      <w:r w:rsidRPr="00BE7020">
        <w:t>ffect the useful life of coal</w:t>
      </w:r>
      <w:r>
        <w:t>-</w:t>
      </w:r>
      <w:r w:rsidRPr="00BE7020">
        <w:t>fired</w:t>
      </w:r>
      <w:r>
        <w:t xml:space="preserve"> </w:t>
      </w:r>
      <w:r w:rsidRPr="00BE7020">
        <w:t>units such as Colstrip.</w:t>
      </w:r>
      <w:r>
        <w:rPr>
          <w:rStyle w:val="FootnoteReference"/>
        </w:rPr>
        <w:footnoteReference w:id="19"/>
      </w:r>
      <w:r w:rsidRPr="00467387">
        <w:t xml:space="preserve"> </w:t>
      </w:r>
    </w:p>
    <w:p w:rsidR="003203C6" w:rsidRDefault="003203C6" w:rsidP="00DC5696">
      <w:pPr>
        <w:pStyle w:val="answer"/>
        <w:ind w:firstLine="0"/>
      </w:pPr>
      <w:r>
        <w:t>After rebuttal testimony was filed, PSE and parties to the proceeding entered into several settlement agreements addressing various issues raised in the general rate case.</w:t>
      </w:r>
      <w:r w:rsidR="00F26B15">
        <w:t xml:space="preserve"> </w:t>
      </w:r>
      <w:r>
        <w:t xml:space="preserve">As one piece of this compromise, the parties agreed to extend the depreciable lives of the Colstrip units to 60 years, as proposed by </w:t>
      </w:r>
      <w:r w:rsidR="009A11B5">
        <w:rPr>
          <w:bCs/>
        </w:rPr>
        <w:t xml:space="preserve">Commission </w:t>
      </w:r>
      <w:r w:rsidR="009A11B5">
        <w:t>Staff</w:t>
      </w:r>
      <w:r>
        <w:t xml:space="preserve"> and Public Counsel.</w:t>
      </w:r>
      <w:r w:rsidR="00523B21">
        <w:rPr>
          <w:rStyle w:val="FootnoteReference"/>
        </w:rPr>
        <w:footnoteReference w:id="20"/>
      </w:r>
      <w:r w:rsidR="00F26B15">
        <w:t xml:space="preserve"> </w:t>
      </w:r>
      <w:r>
        <w:t xml:space="preserve">It is the extension of the </w:t>
      </w:r>
      <w:r w:rsidR="00B95CE4">
        <w:t xml:space="preserve">depreciable lives for </w:t>
      </w:r>
      <w:r w:rsidR="0099661A">
        <w:t>Colstrip Units 1 </w:t>
      </w:r>
      <w:r w:rsidR="007D56A5">
        <w:rPr>
          <w:bCs/>
        </w:rPr>
        <w:t>and</w:t>
      </w:r>
      <w:r w:rsidR="0099661A">
        <w:t xml:space="preserve"> 2 </w:t>
      </w:r>
      <w:r>
        <w:t>to 2035 that has created the</w:t>
      </w:r>
      <w:r w:rsidR="00A7487B">
        <w:t xml:space="preserve"> claimed</w:t>
      </w:r>
      <w:r>
        <w:t xml:space="preserve"> imbalance that </w:t>
      </w:r>
      <w:r w:rsidR="0077523D">
        <w:t>Mr. </w:t>
      </w:r>
      <w:r>
        <w:t>McGuire tries to correct.</w:t>
      </w:r>
    </w:p>
    <w:p w:rsidR="003203C6" w:rsidRDefault="003203C6" w:rsidP="003203C6">
      <w:pPr>
        <w:pStyle w:val="question"/>
      </w:pPr>
      <w:r>
        <w:t>Q.</w:t>
      </w:r>
      <w:r>
        <w:tab/>
        <w:t xml:space="preserve">Is it appropriate for Commission Staff to punish PSE for agreeing to </w:t>
      </w:r>
      <w:r w:rsidR="007D56A5">
        <w:t>the</w:t>
      </w:r>
      <w:r>
        <w:t xml:space="preserve"> longer Colstrip depreciation proposed by </w:t>
      </w:r>
      <w:r w:rsidR="009A11B5">
        <w:rPr>
          <w:bCs/>
        </w:rPr>
        <w:t xml:space="preserve">Commission </w:t>
      </w:r>
      <w:r w:rsidR="009A11B5">
        <w:t>Staff</w:t>
      </w:r>
      <w:r>
        <w:t xml:space="preserve"> and Public Counsel in the 2007 general rate case</w:t>
      </w:r>
      <w:r w:rsidR="00A7487B">
        <w:t xml:space="preserve"> as part of </w:t>
      </w:r>
      <w:r w:rsidR="00A4310D">
        <w:t>the</w:t>
      </w:r>
      <w:r w:rsidR="00A7487B">
        <w:t xml:space="preserve"> settlement agreement</w:t>
      </w:r>
      <w:r w:rsidR="008B7A42">
        <w:t>?</w:t>
      </w:r>
    </w:p>
    <w:p w:rsidR="003203C6" w:rsidRPr="00171688" w:rsidRDefault="003203C6" w:rsidP="003203C6">
      <w:pPr>
        <w:pStyle w:val="answer"/>
      </w:pPr>
      <w:r>
        <w:t>A.</w:t>
      </w:r>
      <w:r>
        <w:tab/>
        <w:t>No.</w:t>
      </w:r>
      <w:r w:rsidR="00F26B15">
        <w:t xml:space="preserve"> </w:t>
      </w:r>
      <w:r>
        <w:t xml:space="preserve">It is duplicitous for </w:t>
      </w:r>
      <w:r w:rsidR="009A11B5">
        <w:rPr>
          <w:bCs/>
        </w:rPr>
        <w:t xml:space="preserve">Commission </w:t>
      </w:r>
      <w:r w:rsidR="009A11B5">
        <w:t>Staff</w:t>
      </w:r>
      <w:r>
        <w:t xml:space="preserve"> to argue for a longer depreciation schedule in the 2007 general rate case</w:t>
      </w:r>
      <w:r w:rsidR="00D04B40">
        <w:t xml:space="preserve"> (presumably </w:t>
      </w:r>
      <w:r>
        <w:t xml:space="preserve">to lower </w:t>
      </w:r>
      <w:r w:rsidR="00D04B40">
        <w:t xml:space="preserve">rates </w:t>
      </w:r>
      <w:r>
        <w:t>for customers</w:t>
      </w:r>
      <w:r w:rsidR="00D04B40">
        <w:t>)</w:t>
      </w:r>
      <w:r>
        <w:t xml:space="preserve"> and now seek to punish PSE for agreeing in settlement to the proposal made by </w:t>
      </w:r>
      <w:r w:rsidR="009A11B5">
        <w:rPr>
          <w:bCs/>
        </w:rPr>
        <w:t xml:space="preserve">Commission </w:t>
      </w:r>
      <w:r w:rsidR="009A11B5">
        <w:t>Staff</w:t>
      </w:r>
      <w:r>
        <w:t xml:space="preserve"> and Public Counsel.</w:t>
      </w:r>
      <w:r w:rsidR="00F26B15">
        <w:t xml:space="preserve"> </w:t>
      </w:r>
      <w:r>
        <w:t xml:space="preserve">It also would be poor public policy for the </w:t>
      </w:r>
      <w:r>
        <w:lastRenderedPageBreak/>
        <w:t>Commission to allow such behavior, which will have a chilling effect on settlement efforts now and in the future.</w:t>
      </w:r>
    </w:p>
    <w:p w:rsidR="003203C6" w:rsidRPr="009B4C3F" w:rsidRDefault="003203C6" w:rsidP="003203C6">
      <w:pPr>
        <w:pStyle w:val="question"/>
      </w:pPr>
      <w:r w:rsidRPr="009B4C3F">
        <w:t>Q.</w:t>
      </w:r>
      <w:r w:rsidRPr="009B4C3F">
        <w:tab/>
      </w:r>
      <w:r w:rsidR="00717052">
        <w:t xml:space="preserve">Does </w:t>
      </w:r>
      <w:r>
        <w:t>any party directly support PSE</w:t>
      </w:r>
      <w:r w:rsidR="00E462EF">
        <w:t>’</w:t>
      </w:r>
      <w:r>
        <w:t xml:space="preserve">s approach for higher depreciation for </w:t>
      </w:r>
      <w:r w:rsidR="0099661A">
        <w:t>Colstrip Units 1 </w:t>
      </w:r>
      <w:r w:rsidR="007D56A5">
        <w:rPr>
          <w:bCs/>
        </w:rPr>
        <w:t>and</w:t>
      </w:r>
      <w:r w:rsidR="0099661A">
        <w:t> 2</w:t>
      </w:r>
      <w:r>
        <w:t xml:space="preserve"> to recognize that the life is shorter than previously recognized in </w:t>
      </w:r>
      <w:r w:rsidR="00DA6161">
        <w:t>PSE</w:t>
      </w:r>
      <w:r w:rsidR="00E462EF">
        <w:t>’</w:t>
      </w:r>
      <w:r>
        <w:t>s depreciation rates?</w:t>
      </w:r>
    </w:p>
    <w:p w:rsidR="003203C6" w:rsidRDefault="003203C6" w:rsidP="003203C6">
      <w:pPr>
        <w:pStyle w:val="answer"/>
      </w:pPr>
      <w:r>
        <w:t>A.</w:t>
      </w:r>
      <w:r>
        <w:tab/>
        <w:t>Yes.</w:t>
      </w:r>
      <w:r w:rsidR="00F26B15">
        <w:t xml:space="preserve"> </w:t>
      </w:r>
      <w:r>
        <w:t xml:space="preserve">It appears that Public Counsel recognizes the need to recover the undepreciated plant over the remaining life of </w:t>
      </w:r>
      <w:r w:rsidR="0099661A">
        <w:t>Colstrip Units 1 </w:t>
      </w:r>
      <w:r w:rsidR="007D56A5">
        <w:rPr>
          <w:bCs/>
        </w:rPr>
        <w:t>and</w:t>
      </w:r>
      <w:r w:rsidR="0099661A">
        <w:t> 2</w:t>
      </w:r>
      <w:r>
        <w:t>.</w:t>
      </w:r>
      <w:r w:rsidR="00A7487B">
        <w:rPr>
          <w:rStyle w:val="FootnoteReference"/>
        </w:rPr>
        <w:footnoteReference w:id="21"/>
      </w:r>
      <w:r w:rsidR="00F26B15">
        <w:t xml:space="preserve"> </w:t>
      </w:r>
      <w:r>
        <w:t>Although Public Counsel</w:t>
      </w:r>
      <w:r w:rsidR="00E462EF">
        <w:t>’</w:t>
      </w:r>
      <w:r>
        <w:t>s proposed depreciation study has numerous flaws</w:t>
      </w:r>
      <w:r w:rsidR="00D04B40">
        <w:t>,</w:t>
      </w:r>
      <w:r>
        <w:t xml:space="preserve"> as identified in the </w:t>
      </w:r>
      <w:proofErr w:type="spellStart"/>
      <w:r w:rsidR="00D04B40">
        <w:t>Prefiled</w:t>
      </w:r>
      <w:proofErr w:type="spellEnd"/>
      <w:r w:rsidR="00D04B40">
        <w:t xml:space="preserve"> R</w:t>
      </w:r>
      <w:r w:rsidR="004E05E2">
        <w:t xml:space="preserve">ebuttal </w:t>
      </w:r>
      <w:r w:rsidR="00D04B40">
        <w:t>T</w:t>
      </w:r>
      <w:r w:rsidR="004E05E2">
        <w:t xml:space="preserve">estimony </w:t>
      </w:r>
      <w:r>
        <w:t xml:space="preserve">of </w:t>
      </w:r>
      <w:r w:rsidR="0077523D">
        <w:t>Mr. </w:t>
      </w:r>
      <w:r w:rsidR="00D04B40">
        <w:t xml:space="preserve">John J. </w:t>
      </w:r>
      <w:r>
        <w:t xml:space="preserve">Spanos, </w:t>
      </w:r>
      <w:r w:rsidR="00D04B40">
        <w:t xml:space="preserve">Exhibit JJS-4T, </w:t>
      </w:r>
      <w:r>
        <w:t xml:space="preserve">Public Counsel </w:t>
      </w:r>
      <w:r w:rsidR="008B7A42">
        <w:t>accepts PSE</w:t>
      </w:r>
      <w:r w:rsidR="00E462EF">
        <w:t>’</w:t>
      </w:r>
      <w:r w:rsidR="008B7A42">
        <w:t xml:space="preserve">s proposed depreciable life for </w:t>
      </w:r>
      <w:r w:rsidR="0099661A">
        <w:t>Colstrip Units 1 </w:t>
      </w:r>
      <w:r w:rsidR="007D56A5">
        <w:rPr>
          <w:bCs/>
        </w:rPr>
        <w:t>and</w:t>
      </w:r>
      <w:r w:rsidR="0099661A">
        <w:t> 2</w:t>
      </w:r>
      <w:r w:rsidR="008B7A42">
        <w:t xml:space="preserve"> and </w:t>
      </w:r>
      <w:r>
        <w:t xml:space="preserve">appropriately does not include </w:t>
      </w:r>
      <w:r w:rsidR="008B7A42">
        <w:t xml:space="preserve">a </w:t>
      </w:r>
      <w:r>
        <w:t>write-down of the assets</w:t>
      </w:r>
      <w:r w:rsidR="008B7A42">
        <w:t>.</w:t>
      </w:r>
    </w:p>
    <w:p w:rsidR="003203C6" w:rsidRDefault="003203C6" w:rsidP="003203C6">
      <w:pPr>
        <w:pStyle w:val="question"/>
      </w:pPr>
      <w:r>
        <w:t>Q.</w:t>
      </w:r>
      <w:r>
        <w:tab/>
        <w:t>Do</w:t>
      </w:r>
      <w:r w:rsidR="00D04B40">
        <w:t>es</w:t>
      </w:r>
      <w:r>
        <w:t xml:space="preserve"> </w:t>
      </w:r>
      <w:r w:rsidR="00D04B40">
        <w:t xml:space="preserve">PSE </w:t>
      </w:r>
      <w:r>
        <w:t>agree with Sierra Club</w:t>
      </w:r>
      <w:r w:rsidR="00E462EF">
        <w:t>’</w:t>
      </w:r>
      <w:r>
        <w:t xml:space="preserve">s statement that PSE should bear some of the costs associated with its </w:t>
      </w:r>
      <w:r w:rsidR="00E462EF">
        <w:t>“</w:t>
      </w:r>
      <w:r>
        <w:t>poor planning</w:t>
      </w:r>
      <w:r w:rsidR="00E462EF">
        <w:t>”</w:t>
      </w:r>
      <w:r>
        <w:t xml:space="preserve"> for the shutdown of </w:t>
      </w:r>
      <w:r w:rsidR="0099661A">
        <w:t>Colstrip Units 1 </w:t>
      </w:r>
      <w:r w:rsidR="007D56A5">
        <w:rPr>
          <w:bCs/>
        </w:rPr>
        <w:t>and</w:t>
      </w:r>
      <w:r w:rsidR="0099661A">
        <w:t> 2</w:t>
      </w:r>
      <w:r>
        <w:t>?</w:t>
      </w:r>
      <w:r w:rsidR="006C7E78">
        <w:rPr>
          <w:rStyle w:val="FootnoteReference"/>
        </w:rPr>
        <w:footnoteReference w:id="22"/>
      </w:r>
    </w:p>
    <w:p w:rsidR="003203C6" w:rsidRDefault="003203C6" w:rsidP="003203C6">
      <w:pPr>
        <w:pStyle w:val="answer"/>
      </w:pPr>
      <w:r>
        <w:t>A.</w:t>
      </w:r>
      <w:r>
        <w:tab/>
        <w:t>No.</w:t>
      </w:r>
      <w:r w:rsidR="00F26B15">
        <w:t xml:space="preserve"> </w:t>
      </w:r>
      <w:r>
        <w:t xml:space="preserve">As previously stated, PSE proposed to set depreciation rates at a level that is consistent with the actual planned closing of </w:t>
      </w:r>
      <w:r w:rsidR="0099661A">
        <w:t>Colstrip Units 1 </w:t>
      </w:r>
      <w:r w:rsidR="007D56A5">
        <w:rPr>
          <w:bCs/>
        </w:rPr>
        <w:t>and</w:t>
      </w:r>
      <w:r w:rsidR="0099661A">
        <w:t> 2</w:t>
      </w:r>
      <w:r w:rsidR="00D04B40" w:rsidRPr="00D04B40">
        <w:t xml:space="preserve"> </w:t>
      </w:r>
      <w:r w:rsidR="00D04B40">
        <w:t>in the 2007 general rate case</w:t>
      </w:r>
      <w:r>
        <w:t>, but PSE</w:t>
      </w:r>
      <w:r w:rsidR="00E462EF">
        <w:t>’</w:t>
      </w:r>
      <w:r w:rsidR="00D51CAB">
        <w:t>s</w:t>
      </w:r>
      <w:r>
        <w:t xml:space="preserve"> proposed depreciation rates were opposed by </w:t>
      </w:r>
      <w:r w:rsidR="009A11B5">
        <w:rPr>
          <w:bCs/>
        </w:rPr>
        <w:t xml:space="preserve">Commission </w:t>
      </w:r>
      <w:r w:rsidR="009A11B5">
        <w:t>Staff</w:t>
      </w:r>
      <w:r>
        <w:t xml:space="preserve"> and Public Counsel who sought to keep rates lower for customers b</w:t>
      </w:r>
      <w:r w:rsidR="006C7E78">
        <w:t>y extend</w:t>
      </w:r>
      <w:r w:rsidR="007D56A5">
        <w:t>ing</w:t>
      </w:r>
      <w:r w:rsidR="006C7E78">
        <w:t xml:space="preserve"> the service lives of the facilities.</w:t>
      </w:r>
      <w:r w:rsidR="00F26B15">
        <w:t xml:space="preserve"> </w:t>
      </w:r>
      <w:r>
        <w:t>PSE</w:t>
      </w:r>
      <w:r w:rsidR="00E462EF">
        <w:t>’</w:t>
      </w:r>
      <w:r>
        <w:t xml:space="preserve">s decision to enter </w:t>
      </w:r>
      <w:r>
        <w:lastRenderedPageBreak/>
        <w:t xml:space="preserve">into a broad settlement of multiple issues in the 2007 case, which included agreeing to the 60-year depreciation </w:t>
      </w:r>
      <w:r w:rsidR="007D56A5">
        <w:t xml:space="preserve">life </w:t>
      </w:r>
      <w:r>
        <w:t xml:space="preserve">proposed by </w:t>
      </w:r>
      <w:r w:rsidR="009A11B5">
        <w:rPr>
          <w:bCs/>
        </w:rPr>
        <w:t xml:space="preserve">Commission </w:t>
      </w:r>
      <w:r w:rsidR="009A11B5">
        <w:t>Staff</w:t>
      </w:r>
      <w:r>
        <w:t xml:space="preserve"> and Public Counsel, should not be characterized as </w:t>
      </w:r>
      <w:r w:rsidR="00E462EF">
        <w:t>“</w:t>
      </w:r>
      <w:r>
        <w:t>poor planning,</w:t>
      </w:r>
      <w:r w:rsidR="00E462EF">
        <w:t>”</w:t>
      </w:r>
      <w:r>
        <w:t xml:space="preserve"> and PSE should not be punished for its decision to compromise on a contested issue.</w:t>
      </w:r>
    </w:p>
    <w:p w:rsidR="003203C6" w:rsidRDefault="003203C6" w:rsidP="00DC5696">
      <w:pPr>
        <w:pStyle w:val="answer"/>
        <w:ind w:firstLine="0"/>
      </w:pPr>
      <w:r>
        <w:t>Further, Sierra Club acknowledges</w:t>
      </w:r>
      <w:r w:rsidR="00D04B40">
        <w:t xml:space="preserve"> that</w:t>
      </w:r>
      <w:r>
        <w:t xml:space="preserve">, although PSE witness Michael Jones testified accurately about the environmental pressures the Colstrip units were likely to face in the years ahead, he </w:t>
      </w:r>
      <w:r w:rsidR="00E462EF">
        <w:t>“</w:t>
      </w:r>
      <w:r>
        <w:t>could not have anticipated the other economic factors that have compounded the economic distress for coal plants in the decade since the 2007 rate case.</w:t>
      </w:r>
      <w:r w:rsidR="00E462EF">
        <w:t>”</w:t>
      </w:r>
      <w:r>
        <w:rPr>
          <w:rStyle w:val="FootnoteReference"/>
        </w:rPr>
        <w:footnoteReference w:id="23"/>
      </w:r>
      <w:r>
        <w:t xml:space="preserve"> Thus, this is not a case of </w:t>
      </w:r>
      <w:r w:rsidR="00E462EF">
        <w:t>“</w:t>
      </w:r>
      <w:r>
        <w:t>poor pla</w:t>
      </w:r>
      <w:r w:rsidR="004E05E2">
        <w:t>nning</w:t>
      </w:r>
      <w:r w:rsidR="00E462EF">
        <w:t>”</w:t>
      </w:r>
      <w:r w:rsidR="004E05E2">
        <w:t xml:space="preserve"> on the part of</w:t>
      </w:r>
      <w:r w:rsidR="00D04B40">
        <w:t xml:space="preserve"> PSE.</w:t>
      </w:r>
    </w:p>
    <w:p w:rsidR="003203C6" w:rsidRPr="00440D30" w:rsidRDefault="003203C6" w:rsidP="003203C6">
      <w:pPr>
        <w:pStyle w:val="question"/>
        <w:spacing w:before="120"/>
      </w:pPr>
      <w:r w:rsidRPr="00D218F4">
        <w:rPr>
          <w:bCs/>
        </w:rPr>
        <w:t>Q.</w:t>
      </w:r>
      <w:r w:rsidRPr="00D218F4">
        <w:rPr>
          <w:bCs/>
        </w:rPr>
        <w:tab/>
        <w:t>Do</w:t>
      </w:r>
      <w:r w:rsidR="00D04B40">
        <w:rPr>
          <w:bCs/>
        </w:rPr>
        <w:t>es</w:t>
      </w:r>
      <w:r w:rsidRPr="00D218F4">
        <w:rPr>
          <w:bCs/>
        </w:rPr>
        <w:t xml:space="preserve"> </w:t>
      </w:r>
      <w:r w:rsidR="00D04B40">
        <w:rPr>
          <w:bCs/>
        </w:rPr>
        <w:t xml:space="preserve">PSE </w:t>
      </w:r>
      <w:r w:rsidRPr="00D218F4">
        <w:rPr>
          <w:bCs/>
        </w:rPr>
        <w:t xml:space="preserve">agree with </w:t>
      </w:r>
      <w:r w:rsidR="009A11B5">
        <w:rPr>
          <w:bCs/>
        </w:rPr>
        <w:t xml:space="preserve">Commission </w:t>
      </w:r>
      <w:r w:rsidR="009A11B5">
        <w:t>Staff</w:t>
      </w:r>
      <w:r w:rsidR="00E462EF">
        <w:rPr>
          <w:bCs/>
        </w:rPr>
        <w:t>’</w:t>
      </w:r>
      <w:r w:rsidRPr="00D218F4">
        <w:rPr>
          <w:bCs/>
        </w:rPr>
        <w:t xml:space="preserve">s adjustment to the </w:t>
      </w:r>
      <w:r w:rsidR="0099661A">
        <w:t>Colstrip Units 1 </w:t>
      </w:r>
      <w:r w:rsidR="007D56A5">
        <w:rPr>
          <w:bCs/>
        </w:rPr>
        <w:t>and</w:t>
      </w:r>
      <w:r w:rsidR="0099661A">
        <w:t> 2</w:t>
      </w:r>
      <w:r w:rsidRPr="00D218F4">
        <w:rPr>
          <w:bCs/>
        </w:rPr>
        <w:t xml:space="preserve"> depreciation rates?</w:t>
      </w:r>
    </w:p>
    <w:p w:rsidR="003203C6" w:rsidRPr="00440D30" w:rsidRDefault="004E05E2" w:rsidP="003203C6">
      <w:pPr>
        <w:pStyle w:val="answer"/>
      </w:pPr>
      <w:r>
        <w:t>A.</w:t>
      </w:r>
      <w:r>
        <w:tab/>
        <w:t>No.</w:t>
      </w:r>
      <w:r w:rsidR="00F26B15">
        <w:t xml:space="preserve"> </w:t>
      </w:r>
      <w:r w:rsidR="003203C6" w:rsidRPr="00440D30">
        <w:t xml:space="preserve">As discussed in the </w:t>
      </w:r>
      <w:proofErr w:type="spellStart"/>
      <w:r w:rsidR="008B7A42">
        <w:t>Prefiled</w:t>
      </w:r>
      <w:proofErr w:type="spellEnd"/>
      <w:r w:rsidR="008B7A42">
        <w:t xml:space="preserve"> R</w:t>
      </w:r>
      <w:r w:rsidR="003203C6">
        <w:t>ebuttal</w:t>
      </w:r>
      <w:r w:rsidR="003203C6" w:rsidRPr="00440D30">
        <w:t xml:space="preserve"> </w:t>
      </w:r>
      <w:r w:rsidR="008B7A42">
        <w:t>T</w:t>
      </w:r>
      <w:r w:rsidR="002F7034">
        <w:t xml:space="preserve">estimony of John J. Spanos, </w:t>
      </w:r>
      <w:r w:rsidR="00D04B40">
        <w:t xml:space="preserve">Exhibit JJS-4T, </w:t>
      </w:r>
      <w:r w:rsidR="0077523D">
        <w:t>Mr. </w:t>
      </w:r>
      <w:r w:rsidR="003203C6" w:rsidRPr="00440D30">
        <w:t>McGuire</w:t>
      </w:r>
      <w:r w:rsidR="00E462EF">
        <w:t>’</w:t>
      </w:r>
      <w:r w:rsidR="003203C6" w:rsidRPr="00440D30">
        <w:t xml:space="preserve">s methodology for addressing the under-depreciated balance for </w:t>
      </w:r>
      <w:r w:rsidR="00F26B15">
        <w:t>Colstrip Units 1 </w:t>
      </w:r>
      <w:r w:rsidR="007D56A5">
        <w:rPr>
          <w:bCs/>
        </w:rPr>
        <w:t>and</w:t>
      </w:r>
      <w:r w:rsidR="00F26B15">
        <w:t> 2</w:t>
      </w:r>
      <w:r w:rsidR="003203C6" w:rsidRPr="00440D30">
        <w:t xml:space="preserve"> is not consistent with traditional depreciation and should be rejected.</w:t>
      </w:r>
      <w:r w:rsidR="00F26B15">
        <w:t xml:space="preserve"> </w:t>
      </w:r>
      <w:r w:rsidR="00D04B40">
        <w:t xml:space="preserve">PSE has </w:t>
      </w:r>
      <w:r w:rsidR="003203C6" w:rsidRPr="00440D30">
        <w:t xml:space="preserve">left the proposed depreciation expenses associated with the </w:t>
      </w:r>
      <w:r w:rsidR="0099661A">
        <w:t>Colstrip Units 1 </w:t>
      </w:r>
      <w:r w:rsidR="007D56A5">
        <w:rPr>
          <w:bCs/>
        </w:rPr>
        <w:t>and</w:t>
      </w:r>
      <w:r w:rsidR="0099661A">
        <w:t xml:space="preserve"> 2 </w:t>
      </w:r>
      <w:r w:rsidR="003203C6" w:rsidRPr="00440D30">
        <w:t xml:space="preserve">unchanged from </w:t>
      </w:r>
      <w:r w:rsidR="00D04B40">
        <w:t xml:space="preserve">the </w:t>
      </w:r>
      <w:r w:rsidR="003203C6" w:rsidRPr="00440D30">
        <w:t>original proposal.</w:t>
      </w:r>
      <w:r w:rsidR="00F26B15">
        <w:t xml:space="preserve"> </w:t>
      </w:r>
      <w:r w:rsidR="003203C6" w:rsidRPr="00440D30">
        <w:t xml:space="preserve">Adopting the </w:t>
      </w:r>
      <w:r w:rsidR="00766E6C">
        <w:t xml:space="preserve">depreciation study and the resulting rates, including </w:t>
      </w:r>
      <w:r w:rsidR="00D04B40">
        <w:t xml:space="preserve">PSE’s </w:t>
      </w:r>
      <w:r w:rsidR="00766E6C">
        <w:t>adjustment to exclude net salvage</w:t>
      </w:r>
      <w:r w:rsidR="00D04B40">
        <w:t>,</w:t>
      </w:r>
      <w:r w:rsidR="00766E6C">
        <w:t xml:space="preserve"> </w:t>
      </w:r>
      <w:r w:rsidR="004948F3">
        <w:t xml:space="preserve">which </w:t>
      </w:r>
      <w:r w:rsidR="008A1B85">
        <w:t xml:space="preserve">was </w:t>
      </w:r>
      <w:r w:rsidR="004948F3">
        <w:t xml:space="preserve">deemed reasonable </w:t>
      </w:r>
      <w:r w:rsidR="003203C6" w:rsidRPr="00440D30">
        <w:t xml:space="preserve">by </w:t>
      </w:r>
      <w:r w:rsidR="0077523D">
        <w:t>Mr. </w:t>
      </w:r>
      <w:r w:rsidR="003203C6" w:rsidRPr="00440D30">
        <w:t>Spanos</w:t>
      </w:r>
      <w:r w:rsidR="00A77505">
        <w:t>,</w:t>
      </w:r>
      <w:r w:rsidR="003203C6" w:rsidRPr="00440D30">
        <w:t xml:space="preserve"> is fair to customers </w:t>
      </w:r>
      <w:r w:rsidR="00D04B40">
        <w:t xml:space="preserve">because </w:t>
      </w:r>
      <w:r w:rsidR="003203C6" w:rsidRPr="00440D30">
        <w:t xml:space="preserve">these customers are for the most part the same </w:t>
      </w:r>
      <w:r w:rsidR="003203C6" w:rsidRPr="00440D30">
        <w:lastRenderedPageBreak/>
        <w:t xml:space="preserve">customers who have benefited from the lower depreciation expense for the past </w:t>
      </w:r>
      <w:r w:rsidR="00A77505">
        <w:t>nine</w:t>
      </w:r>
      <w:r w:rsidR="00A77505" w:rsidRPr="00440D30">
        <w:t xml:space="preserve"> </w:t>
      </w:r>
      <w:r w:rsidR="003203C6" w:rsidRPr="00440D30">
        <w:t>years.</w:t>
      </w:r>
    </w:p>
    <w:p w:rsidR="003203C6" w:rsidRPr="00342134" w:rsidRDefault="003203C6" w:rsidP="003203C6">
      <w:pPr>
        <w:pStyle w:val="question"/>
        <w:spacing w:before="120"/>
        <w:rPr>
          <w:bCs/>
        </w:rPr>
      </w:pPr>
      <w:r w:rsidRPr="00342134">
        <w:rPr>
          <w:bCs/>
        </w:rPr>
        <w:t>Q.</w:t>
      </w:r>
      <w:r>
        <w:rPr>
          <w:bCs/>
        </w:rPr>
        <w:tab/>
      </w:r>
      <w:r w:rsidRPr="00342134">
        <w:rPr>
          <w:bCs/>
        </w:rPr>
        <w:t>Do</w:t>
      </w:r>
      <w:r w:rsidR="00D04B40">
        <w:rPr>
          <w:bCs/>
        </w:rPr>
        <w:t xml:space="preserve">es PSE </w:t>
      </w:r>
      <w:r w:rsidRPr="00342134">
        <w:rPr>
          <w:bCs/>
        </w:rPr>
        <w:t xml:space="preserve">agree that </w:t>
      </w:r>
      <w:r w:rsidR="0077523D">
        <w:t>Mr. </w:t>
      </w:r>
      <w:r w:rsidRPr="00342134">
        <w:rPr>
          <w:bCs/>
        </w:rPr>
        <w:t>McGuire</w:t>
      </w:r>
      <w:r w:rsidR="00E462EF">
        <w:rPr>
          <w:bCs/>
        </w:rPr>
        <w:t>’</w:t>
      </w:r>
      <w:r w:rsidRPr="00342134">
        <w:rPr>
          <w:bCs/>
        </w:rPr>
        <w:t xml:space="preserve">s Exhibit CRM-3 is </w:t>
      </w:r>
      <w:r w:rsidR="00E462EF">
        <w:rPr>
          <w:bCs/>
        </w:rPr>
        <w:t>“</w:t>
      </w:r>
      <w:r w:rsidRPr="00342134">
        <w:rPr>
          <w:bCs/>
        </w:rPr>
        <w:t>correcting</w:t>
      </w:r>
      <w:r w:rsidR="00E462EF">
        <w:rPr>
          <w:bCs/>
        </w:rPr>
        <w:t>”</w:t>
      </w:r>
      <w:r w:rsidRPr="00342134">
        <w:rPr>
          <w:bCs/>
        </w:rPr>
        <w:t xml:space="preserve"> the depreciation reserve balance?</w:t>
      </w:r>
      <w:r w:rsidR="006C7E78">
        <w:rPr>
          <w:rStyle w:val="FootnoteReference"/>
          <w:bCs/>
        </w:rPr>
        <w:footnoteReference w:id="24"/>
      </w:r>
    </w:p>
    <w:p w:rsidR="003203C6" w:rsidRPr="00342134" w:rsidRDefault="000A2CE8" w:rsidP="003203C6">
      <w:pPr>
        <w:pStyle w:val="answer"/>
      </w:pPr>
      <w:r>
        <w:t>A.</w:t>
      </w:r>
      <w:r w:rsidR="003203C6">
        <w:tab/>
      </w:r>
      <w:r w:rsidR="003203C6" w:rsidRPr="00342134">
        <w:t>No.</w:t>
      </w:r>
      <w:r w:rsidR="00F26B15">
        <w:t xml:space="preserve"> </w:t>
      </w:r>
      <w:r w:rsidR="003203C6" w:rsidRPr="00342134">
        <w:t>Correcting the depreciation reserve balance implies that there was an error in booking the depreciation expense over the past several years, which is not the case.</w:t>
      </w:r>
      <w:r w:rsidR="00F26B15">
        <w:t xml:space="preserve"> </w:t>
      </w:r>
      <w:r w:rsidR="003203C6" w:rsidRPr="00342134">
        <w:t xml:space="preserve">PSE followed the depreciation rate proposed by </w:t>
      </w:r>
      <w:r w:rsidR="009A11B5">
        <w:rPr>
          <w:bCs/>
        </w:rPr>
        <w:t xml:space="preserve">Commission </w:t>
      </w:r>
      <w:r w:rsidR="009A11B5">
        <w:t>Staff</w:t>
      </w:r>
      <w:r w:rsidR="006C7E78">
        <w:t xml:space="preserve"> and Public Counsel</w:t>
      </w:r>
      <w:r w:rsidR="004E05E2">
        <w:t>,</w:t>
      </w:r>
      <w:r w:rsidR="006C7E78">
        <w:t xml:space="preserve"> </w:t>
      </w:r>
      <w:r w:rsidR="003203C6" w:rsidRPr="00342134">
        <w:t>agreed to in settlement</w:t>
      </w:r>
      <w:r w:rsidR="003203C6">
        <w:t>, and approved by the Commission in the 2007 general rate case</w:t>
      </w:r>
      <w:r w:rsidR="003203C6" w:rsidRPr="00342134">
        <w:t>.</w:t>
      </w:r>
      <w:r w:rsidR="00F26B15">
        <w:t xml:space="preserve"> </w:t>
      </w:r>
      <w:r w:rsidR="00D04B40">
        <w:t xml:space="preserve">Although </w:t>
      </w:r>
      <w:r w:rsidR="009A11B5">
        <w:rPr>
          <w:bCs/>
        </w:rPr>
        <w:t xml:space="preserve">Commission </w:t>
      </w:r>
      <w:r w:rsidR="009A11B5">
        <w:t>Staff</w:t>
      </w:r>
      <w:r w:rsidR="003203C6" w:rsidRPr="00342134">
        <w:t xml:space="preserve"> may now </w:t>
      </w:r>
      <w:r w:rsidR="003203C6">
        <w:t>regret its proposal from that case</w:t>
      </w:r>
      <w:r w:rsidR="003203C6" w:rsidRPr="00342134">
        <w:t xml:space="preserve">, </w:t>
      </w:r>
      <w:r w:rsidR="003203C6">
        <w:t>it resulted in the depreciation rates that have since been included in PSE rates.</w:t>
      </w:r>
      <w:r w:rsidR="00F26B15">
        <w:t xml:space="preserve"> </w:t>
      </w:r>
      <w:r w:rsidR="003203C6">
        <w:t xml:space="preserve">PSE </w:t>
      </w:r>
      <w:r w:rsidR="003203C6" w:rsidRPr="00342134">
        <w:t>cannot unilaterally change the depreciation rates</w:t>
      </w:r>
      <w:r w:rsidR="00D04B40">
        <w:t>. T</w:t>
      </w:r>
      <w:r w:rsidR="003203C6" w:rsidRPr="00342134">
        <w:t>herefore</w:t>
      </w:r>
      <w:r w:rsidR="00A77505">
        <w:t>,</w:t>
      </w:r>
      <w:r w:rsidR="003203C6" w:rsidRPr="00342134">
        <w:t xml:space="preserve"> the reserve adjustment as proposed by </w:t>
      </w:r>
      <w:r w:rsidR="0077523D">
        <w:t>Mr. </w:t>
      </w:r>
      <w:r w:rsidR="003203C6" w:rsidRPr="00342134">
        <w:t>McGuire is inappropriate.</w:t>
      </w:r>
      <w:r w:rsidR="00F26B15">
        <w:t xml:space="preserve"> </w:t>
      </w:r>
    </w:p>
    <w:p w:rsidR="003203C6" w:rsidRPr="004B6FD4" w:rsidRDefault="000A2CE8" w:rsidP="003203C6">
      <w:pPr>
        <w:pStyle w:val="question"/>
        <w:spacing w:before="120"/>
        <w:rPr>
          <w:bCs/>
        </w:rPr>
      </w:pPr>
      <w:r w:rsidRPr="00342134">
        <w:rPr>
          <w:bCs/>
        </w:rPr>
        <w:t>Q.</w:t>
      </w:r>
      <w:r w:rsidR="003203C6">
        <w:rPr>
          <w:bCs/>
        </w:rPr>
        <w:tab/>
      </w:r>
      <w:r w:rsidR="0077523D">
        <w:t>Mr. </w:t>
      </w:r>
      <w:r w:rsidR="003203C6" w:rsidRPr="004B6FD4">
        <w:rPr>
          <w:bCs/>
        </w:rPr>
        <w:t xml:space="preserve">McGuire </w:t>
      </w:r>
      <w:r w:rsidR="00A4310D">
        <w:rPr>
          <w:bCs/>
        </w:rPr>
        <w:t>suggests</w:t>
      </w:r>
      <w:r w:rsidR="003203C6" w:rsidRPr="004B6FD4">
        <w:rPr>
          <w:bCs/>
        </w:rPr>
        <w:t xml:space="preserve"> that his approach of </w:t>
      </w:r>
      <w:r w:rsidR="00E462EF">
        <w:rPr>
          <w:bCs/>
        </w:rPr>
        <w:t>“</w:t>
      </w:r>
      <w:r w:rsidR="003203C6" w:rsidRPr="004B6FD4">
        <w:rPr>
          <w:bCs/>
        </w:rPr>
        <w:t xml:space="preserve">correcting the </w:t>
      </w:r>
      <w:r w:rsidR="00A4310D">
        <w:rPr>
          <w:bCs/>
        </w:rPr>
        <w:t xml:space="preserve">plant in </w:t>
      </w:r>
      <w:r w:rsidR="003203C6" w:rsidRPr="004B6FD4">
        <w:rPr>
          <w:bCs/>
        </w:rPr>
        <w:t>service value</w:t>
      </w:r>
      <w:r w:rsidR="00A4310D">
        <w:rPr>
          <w:bCs/>
        </w:rPr>
        <w:t xml:space="preserve"> </w:t>
      </w:r>
      <w:r w:rsidR="007D56A5">
        <w:rPr>
          <w:bCs/>
        </w:rPr>
        <w:t xml:space="preserve">for Colstrip Units 1 and 2” </w:t>
      </w:r>
      <w:r w:rsidR="00A4310D" w:rsidRPr="004B6FD4">
        <w:rPr>
          <w:bCs/>
        </w:rPr>
        <w:t xml:space="preserve">better </w:t>
      </w:r>
      <w:r w:rsidR="003203C6" w:rsidRPr="004B6FD4">
        <w:rPr>
          <w:bCs/>
        </w:rPr>
        <w:t xml:space="preserve">adheres to the principles of </w:t>
      </w:r>
      <w:r w:rsidR="00E462EF">
        <w:rPr>
          <w:bCs/>
        </w:rPr>
        <w:t>“</w:t>
      </w:r>
      <w:r w:rsidR="003203C6" w:rsidRPr="004B6FD4">
        <w:rPr>
          <w:bCs/>
        </w:rPr>
        <w:t>fairness and balance</w:t>
      </w:r>
      <w:r w:rsidR="004E05E2" w:rsidRPr="004B6FD4">
        <w:rPr>
          <w:bCs/>
        </w:rPr>
        <w:t>.</w:t>
      </w:r>
      <w:r w:rsidR="00E462EF">
        <w:rPr>
          <w:bCs/>
        </w:rPr>
        <w:t>”</w:t>
      </w:r>
      <w:r w:rsidR="003203C6">
        <w:rPr>
          <w:rStyle w:val="FootnoteReference"/>
          <w:bCs/>
        </w:rPr>
        <w:footnoteReference w:id="25"/>
      </w:r>
      <w:r w:rsidR="00F26B15">
        <w:rPr>
          <w:bCs/>
        </w:rPr>
        <w:t xml:space="preserve"> </w:t>
      </w:r>
      <w:r w:rsidR="003203C6" w:rsidRPr="004B6FD4">
        <w:rPr>
          <w:bCs/>
        </w:rPr>
        <w:t>Do</w:t>
      </w:r>
      <w:r w:rsidR="00D04B40">
        <w:rPr>
          <w:bCs/>
        </w:rPr>
        <w:t>es</w:t>
      </w:r>
      <w:r w:rsidR="003203C6" w:rsidRPr="004B6FD4">
        <w:rPr>
          <w:bCs/>
        </w:rPr>
        <w:t xml:space="preserve"> </w:t>
      </w:r>
      <w:r w:rsidR="00D04B40">
        <w:rPr>
          <w:bCs/>
        </w:rPr>
        <w:t xml:space="preserve">PSE </w:t>
      </w:r>
      <w:r w:rsidR="003203C6" w:rsidRPr="004B6FD4">
        <w:rPr>
          <w:bCs/>
        </w:rPr>
        <w:t>agree?</w:t>
      </w:r>
    </w:p>
    <w:p w:rsidR="003203C6" w:rsidRDefault="000A2CE8" w:rsidP="003203C6">
      <w:pPr>
        <w:pStyle w:val="answer"/>
      </w:pPr>
      <w:r>
        <w:t>A.</w:t>
      </w:r>
      <w:r w:rsidR="003203C6">
        <w:tab/>
        <w:t>No.</w:t>
      </w:r>
      <w:r w:rsidR="00F26B15">
        <w:t xml:space="preserve"> </w:t>
      </w:r>
      <w:r w:rsidR="00D04B40">
        <w:t>Mr. </w:t>
      </w:r>
      <w:r w:rsidR="00D04B40" w:rsidRPr="004B6FD4">
        <w:rPr>
          <w:bCs/>
        </w:rPr>
        <w:t>McGuire</w:t>
      </w:r>
      <w:r w:rsidR="00D04B40">
        <w:rPr>
          <w:bCs/>
        </w:rPr>
        <w:t>’s</w:t>
      </w:r>
      <w:r w:rsidR="00D04B40" w:rsidRPr="004B6FD4">
        <w:rPr>
          <w:bCs/>
        </w:rPr>
        <w:t xml:space="preserve"> </w:t>
      </w:r>
      <w:r w:rsidR="003203C6">
        <w:t xml:space="preserve">proposal assumes that it is unfair to have current customers pay the unrecovered balance of </w:t>
      </w:r>
      <w:r w:rsidR="0099661A">
        <w:t>Colstrip Units 1 </w:t>
      </w:r>
      <w:r w:rsidR="007D56A5">
        <w:rPr>
          <w:bCs/>
        </w:rPr>
        <w:t>and</w:t>
      </w:r>
      <w:r w:rsidR="0099661A">
        <w:t> 2</w:t>
      </w:r>
      <w:r w:rsidR="003203C6">
        <w:t xml:space="preserve">, but </w:t>
      </w:r>
      <w:r w:rsidR="006C7E78">
        <w:t xml:space="preserve">the majority </w:t>
      </w:r>
      <w:r w:rsidR="003203C6">
        <w:t xml:space="preserve">of these customers received the benefit of lower rates resulting from the longer depreciation schedule over the past </w:t>
      </w:r>
      <w:r w:rsidR="00A77505">
        <w:t xml:space="preserve">nine </w:t>
      </w:r>
      <w:r w:rsidR="003203C6">
        <w:t>years.</w:t>
      </w:r>
      <w:r w:rsidR="00F26B15">
        <w:t xml:space="preserve"> </w:t>
      </w:r>
      <w:r w:rsidR="003203C6">
        <w:t xml:space="preserve">As addressed in </w:t>
      </w:r>
      <w:r w:rsidR="00D04B40">
        <w:t xml:space="preserve">the </w:t>
      </w:r>
      <w:proofErr w:type="spellStart"/>
      <w:r w:rsidR="00D04B40">
        <w:t>Prefiled</w:t>
      </w:r>
      <w:proofErr w:type="spellEnd"/>
      <w:r w:rsidR="00D04B40">
        <w:t xml:space="preserve"> Rebuttal Testimony of </w:t>
      </w:r>
      <w:r w:rsidR="0077523D">
        <w:t>Mr. </w:t>
      </w:r>
      <w:r w:rsidR="00D04B40">
        <w:t xml:space="preserve">John J. </w:t>
      </w:r>
      <w:r w:rsidR="003203C6">
        <w:t>Spanos</w:t>
      </w:r>
      <w:r w:rsidR="00D04B40">
        <w:t xml:space="preserve">, Exhibit JJS-4T, </w:t>
      </w:r>
      <w:r w:rsidR="003203C6">
        <w:t xml:space="preserve">it is </w:t>
      </w:r>
      <w:r w:rsidR="00295035">
        <w:t xml:space="preserve">more </w:t>
      </w:r>
      <w:r w:rsidR="003203C6">
        <w:t xml:space="preserve">appropriate </w:t>
      </w:r>
      <w:r w:rsidR="003203C6">
        <w:lastRenderedPageBreak/>
        <w:t xml:space="preserve">for customers to pay </w:t>
      </w:r>
      <w:r w:rsidR="006C7E78">
        <w:t>modestly</w:t>
      </w:r>
      <w:r w:rsidR="003203C6">
        <w:t xml:space="preserve"> more for the service associated with these assets than to require future customers to pay for assets from</w:t>
      </w:r>
      <w:r w:rsidR="00295035">
        <w:t xml:space="preserve"> which they receive no benefit.</w:t>
      </w:r>
    </w:p>
    <w:p w:rsidR="00295035" w:rsidRDefault="003203C6" w:rsidP="00DC5696">
      <w:pPr>
        <w:pStyle w:val="answer"/>
        <w:ind w:firstLine="0"/>
      </w:pPr>
      <w:r>
        <w:t xml:space="preserve">Further, under </w:t>
      </w:r>
      <w:r w:rsidR="0077523D">
        <w:t>Mr. </w:t>
      </w:r>
      <w:r>
        <w:t>McGuire</w:t>
      </w:r>
      <w:r w:rsidR="00E462EF">
        <w:t>’</w:t>
      </w:r>
      <w:r>
        <w:t xml:space="preserve">s proposal, PSE will not recover the </w:t>
      </w:r>
      <w:r w:rsidR="00E462EF">
        <w:t>“</w:t>
      </w:r>
      <w:r>
        <w:t xml:space="preserve">$127 million of </w:t>
      </w:r>
      <w:r w:rsidR="006C7E78">
        <w:t>reserve imbalance</w:t>
      </w:r>
      <w:r w:rsidR="00E462EF">
        <w:t>”</w:t>
      </w:r>
      <w:r>
        <w:t xml:space="preserve"> for </w:t>
      </w:r>
      <w:r w:rsidR="00295035">
        <w:t>thirteen</w:t>
      </w:r>
      <w:r>
        <w:t xml:space="preserve"> additional years beyond the life of </w:t>
      </w:r>
      <w:r w:rsidR="0099661A">
        <w:t>Colstrip Units 1 </w:t>
      </w:r>
      <w:r w:rsidR="007D56A5">
        <w:rPr>
          <w:bCs/>
        </w:rPr>
        <w:t>and</w:t>
      </w:r>
      <w:r w:rsidR="0099661A">
        <w:t> 2</w:t>
      </w:r>
      <w:r w:rsidR="00295035">
        <w:t xml:space="preserve">. Additionally, Mr. McGuire proposes the use of a </w:t>
      </w:r>
      <w:r>
        <w:t xml:space="preserve">regulatory asset </w:t>
      </w:r>
      <w:r w:rsidR="00295035">
        <w:t xml:space="preserve">but neither includes that asset in </w:t>
      </w:r>
      <w:r>
        <w:t>rate base</w:t>
      </w:r>
      <w:r w:rsidR="00295035">
        <w:t xml:space="preserve"> nor allows PSE to recover </w:t>
      </w:r>
      <w:r>
        <w:t>any carrying charges.</w:t>
      </w:r>
      <w:r w:rsidR="00F26B15">
        <w:t xml:space="preserve"> </w:t>
      </w:r>
      <w:r>
        <w:t xml:space="preserve">This proposal does not meet the principles of </w:t>
      </w:r>
      <w:r w:rsidR="00E462EF">
        <w:t>“</w:t>
      </w:r>
      <w:r>
        <w:t>fairness and balance</w:t>
      </w:r>
      <w:r w:rsidR="00E462EF">
        <w:t>”</w:t>
      </w:r>
      <w:r>
        <w:t xml:space="preserve"> that </w:t>
      </w:r>
      <w:r w:rsidR="0077523D">
        <w:t>Mr. </w:t>
      </w:r>
      <w:r>
        <w:t>McGuire purports to follow.</w:t>
      </w:r>
      <w:r w:rsidR="00F26B15">
        <w:t xml:space="preserve"> </w:t>
      </w:r>
      <w:r>
        <w:t>Essentially</w:t>
      </w:r>
      <w:r w:rsidR="00D20DFA">
        <w:t>,</w:t>
      </w:r>
      <w:r>
        <w:t xml:space="preserve"> </w:t>
      </w:r>
      <w:r w:rsidR="0077523D">
        <w:t>Mr. </w:t>
      </w:r>
      <w:r>
        <w:t xml:space="preserve">McGuire proposes customers receive an interest free loan for </w:t>
      </w:r>
      <w:r w:rsidR="00295035">
        <w:t xml:space="preserve">twelve </w:t>
      </w:r>
      <w:r>
        <w:t>years and PSE receives no compensation for the additional delay in recovery.</w:t>
      </w:r>
      <w:r w:rsidR="006C7E78">
        <w:rPr>
          <w:rStyle w:val="FootnoteReference"/>
        </w:rPr>
        <w:footnoteReference w:id="26"/>
      </w:r>
      <w:r w:rsidR="00F26B15">
        <w:t xml:space="preserve"> </w:t>
      </w:r>
      <w:r>
        <w:t xml:space="preserve">This seems particularly punitive to </w:t>
      </w:r>
      <w:r w:rsidR="00DA6161">
        <w:t>PSE</w:t>
      </w:r>
      <w:r w:rsidR="002F440B">
        <w:t xml:space="preserve"> </w:t>
      </w:r>
      <w:r>
        <w:t xml:space="preserve">when </w:t>
      </w:r>
      <w:r w:rsidR="0077523D">
        <w:t>Mr. </w:t>
      </w:r>
      <w:r>
        <w:t>McGuire recognizes that the existing rates were not wrong based on the information known at the time</w:t>
      </w:r>
      <w:r w:rsidR="00295035">
        <w:t xml:space="preserve"> </w:t>
      </w:r>
      <w:r>
        <w:t>and</w:t>
      </w:r>
      <w:r w:rsidR="00295035">
        <w:t>,</w:t>
      </w:r>
      <w:r>
        <w:t xml:space="preserve"> in fact</w:t>
      </w:r>
      <w:r w:rsidR="00295035">
        <w:t>,</w:t>
      </w:r>
      <w:r>
        <w:t xml:space="preserve"> were extended based on </w:t>
      </w:r>
      <w:r w:rsidR="009A11B5">
        <w:rPr>
          <w:bCs/>
        </w:rPr>
        <w:t xml:space="preserve">Commission </w:t>
      </w:r>
      <w:r w:rsidR="009A11B5">
        <w:t>Staff</w:t>
      </w:r>
      <w:r w:rsidR="00E462EF">
        <w:t>’</w:t>
      </w:r>
      <w:r>
        <w:t>s proposal</w:t>
      </w:r>
      <w:r w:rsidR="00D20DFA">
        <w:t>.</w:t>
      </w:r>
      <w:r>
        <w:rPr>
          <w:rStyle w:val="FootnoteReference"/>
        </w:rPr>
        <w:footnoteReference w:id="27"/>
      </w:r>
    </w:p>
    <w:p w:rsidR="003203C6" w:rsidRDefault="003203C6" w:rsidP="00DC5696">
      <w:pPr>
        <w:pStyle w:val="answer"/>
        <w:ind w:firstLine="0"/>
      </w:pPr>
      <w:r>
        <w:t xml:space="preserve">It is unclear why </w:t>
      </w:r>
      <w:r w:rsidR="00DA6161">
        <w:t>PSE</w:t>
      </w:r>
      <w:r w:rsidR="00E462EF">
        <w:t>’</w:t>
      </w:r>
      <w:r>
        <w:t>s investors should be punished by extended recovery further into the future with no carrying costs or inclusion in rate base.</w:t>
      </w:r>
      <w:r w:rsidR="00F26B15">
        <w:t xml:space="preserve"> </w:t>
      </w:r>
      <w:r>
        <w:t xml:space="preserve">It is also surprising that </w:t>
      </w:r>
      <w:r w:rsidR="00295035">
        <w:t xml:space="preserve">Mr. McGuire </w:t>
      </w:r>
      <w:r>
        <w:t>chooses to remove the investment now, while the units are still in service and providing customers benefits.</w:t>
      </w:r>
      <w:r w:rsidR="00F26B15">
        <w:t xml:space="preserve"> </w:t>
      </w:r>
      <w:r>
        <w:t xml:space="preserve">If the regulatory asset as proposed by </w:t>
      </w:r>
      <w:r w:rsidR="0077523D">
        <w:t>Mr. </w:t>
      </w:r>
      <w:r>
        <w:t xml:space="preserve">McGuire </w:t>
      </w:r>
      <w:r w:rsidR="00295035">
        <w:t xml:space="preserve">were </w:t>
      </w:r>
      <w:r>
        <w:t xml:space="preserve">included in rate base, at least PSE would have </w:t>
      </w:r>
      <w:r>
        <w:lastRenderedPageBreak/>
        <w:t>the opportunity to earn a return on the investment.</w:t>
      </w:r>
      <w:r w:rsidR="00F26B15">
        <w:t xml:space="preserve"> </w:t>
      </w:r>
      <w:r w:rsidR="0077523D">
        <w:t>Mr. </w:t>
      </w:r>
      <w:r>
        <w:t>McGuire</w:t>
      </w:r>
      <w:r w:rsidR="00E462EF">
        <w:t>’</w:t>
      </w:r>
      <w:r>
        <w:t>s approach</w:t>
      </w:r>
      <w:r w:rsidR="00295035">
        <w:t xml:space="preserve"> would require </w:t>
      </w:r>
      <w:r w:rsidR="00DA6161">
        <w:t xml:space="preserve">PSE </w:t>
      </w:r>
      <w:r>
        <w:t xml:space="preserve">to take a further write down as discussed </w:t>
      </w:r>
      <w:r w:rsidR="00295035">
        <w:t xml:space="preserve">in the </w:t>
      </w:r>
      <w:proofErr w:type="spellStart"/>
      <w:r w:rsidR="00295035">
        <w:t>Prefiled</w:t>
      </w:r>
      <w:proofErr w:type="spellEnd"/>
      <w:r w:rsidR="00295035">
        <w:t xml:space="preserve"> Rebuttal Testimony of </w:t>
      </w:r>
      <w:r w:rsidR="0077523D">
        <w:t>Mr. </w:t>
      </w:r>
      <w:r w:rsidR="00295035">
        <w:t xml:space="preserve">Daniel A. </w:t>
      </w:r>
      <w:r>
        <w:t>Doyle</w:t>
      </w:r>
      <w:r w:rsidR="00295035">
        <w:t>, Exhibit DAD-7T</w:t>
      </w:r>
      <w:r>
        <w:t>.</w:t>
      </w:r>
      <w:r w:rsidR="00F26B15">
        <w:t xml:space="preserve"> </w:t>
      </w:r>
    </w:p>
    <w:p w:rsidR="003203C6" w:rsidRDefault="000A2CE8" w:rsidP="003203C6">
      <w:pPr>
        <w:pStyle w:val="question"/>
      </w:pPr>
      <w:r w:rsidRPr="00342134">
        <w:rPr>
          <w:bCs/>
        </w:rPr>
        <w:t>Q.</w:t>
      </w:r>
      <w:r w:rsidR="003203C6">
        <w:tab/>
      </w:r>
      <w:r w:rsidR="0077523D">
        <w:t>Mr. </w:t>
      </w:r>
      <w:r w:rsidR="003203C6">
        <w:t xml:space="preserve">McGuire supports his proposal because of the </w:t>
      </w:r>
      <w:r w:rsidR="00E462EF">
        <w:t>“</w:t>
      </w:r>
      <w:r w:rsidR="003203C6">
        <w:t>sudden decline in service value</w:t>
      </w:r>
      <w:r w:rsidR="00E462EF">
        <w:t>”</w:t>
      </w:r>
      <w:r w:rsidR="003203C6">
        <w:t xml:space="preserve"> due to the decision to close </w:t>
      </w:r>
      <w:r w:rsidR="0099661A">
        <w:t>Colstrip Units 1 </w:t>
      </w:r>
      <w:r w:rsidR="007D56A5">
        <w:rPr>
          <w:bCs/>
        </w:rPr>
        <w:t>and</w:t>
      </w:r>
      <w:r w:rsidR="0099661A">
        <w:t xml:space="preserve"> 2 </w:t>
      </w:r>
      <w:r w:rsidR="00E462EF">
        <w:t>“</w:t>
      </w:r>
      <w:r w:rsidR="003203C6">
        <w:t>early</w:t>
      </w:r>
      <w:r w:rsidR="006C7E78">
        <w:t>.</w:t>
      </w:r>
      <w:r w:rsidR="00E462EF">
        <w:t>”</w:t>
      </w:r>
      <w:r w:rsidR="006C7E78">
        <w:rPr>
          <w:rStyle w:val="FootnoteReference"/>
        </w:rPr>
        <w:footnoteReference w:id="28"/>
      </w:r>
      <w:r w:rsidR="00F26B15">
        <w:t xml:space="preserve"> </w:t>
      </w:r>
      <w:r w:rsidR="003203C6">
        <w:t>Do</w:t>
      </w:r>
      <w:r w:rsidR="00EE779D">
        <w:t>es</w:t>
      </w:r>
      <w:r w:rsidR="003203C6">
        <w:t xml:space="preserve"> </w:t>
      </w:r>
      <w:r w:rsidR="00EE779D">
        <w:t>PSE</w:t>
      </w:r>
      <w:r w:rsidR="003203C6">
        <w:t xml:space="preserve"> agree?</w:t>
      </w:r>
    </w:p>
    <w:p w:rsidR="003203C6" w:rsidRDefault="000A2CE8" w:rsidP="003203C6">
      <w:pPr>
        <w:pStyle w:val="answer"/>
      </w:pPr>
      <w:r>
        <w:t>A.</w:t>
      </w:r>
      <w:r w:rsidR="003203C6">
        <w:tab/>
        <w:t>No</w:t>
      </w:r>
      <w:r w:rsidR="00EE779D">
        <w:t>.</w:t>
      </w:r>
      <w:r w:rsidR="003203C6">
        <w:t xml:space="preserve"> </w:t>
      </w:r>
      <w:r w:rsidR="00EE779D">
        <w:t>A</w:t>
      </w:r>
      <w:r w:rsidR="003203C6">
        <w:t xml:space="preserve">s discussed in the </w:t>
      </w:r>
      <w:proofErr w:type="spellStart"/>
      <w:r w:rsidR="002F440B">
        <w:t>Prefiled</w:t>
      </w:r>
      <w:proofErr w:type="spellEnd"/>
      <w:r w:rsidR="002F440B">
        <w:t xml:space="preserve"> Rebuttal Testimony </w:t>
      </w:r>
      <w:r w:rsidR="003203C6">
        <w:t xml:space="preserve">of </w:t>
      </w:r>
      <w:r w:rsidR="00EE779D">
        <w:t>Mr. </w:t>
      </w:r>
      <w:r w:rsidR="003203C6">
        <w:t>Ron</w:t>
      </w:r>
      <w:r w:rsidR="001C588C">
        <w:t xml:space="preserve">ald J. </w:t>
      </w:r>
      <w:r w:rsidR="003203C6">
        <w:t xml:space="preserve">Roberts, </w:t>
      </w:r>
      <w:r w:rsidR="002F440B">
        <w:t xml:space="preserve">Exhibit RJR-30T, </w:t>
      </w:r>
      <w:r w:rsidR="003203C6">
        <w:t xml:space="preserve">the notion that the plants are closing </w:t>
      </w:r>
      <w:r w:rsidR="00E462EF">
        <w:t>“</w:t>
      </w:r>
      <w:r w:rsidR="003203C6">
        <w:t>early</w:t>
      </w:r>
      <w:r w:rsidR="00E462EF">
        <w:t>”</w:t>
      </w:r>
      <w:r w:rsidR="003203C6">
        <w:t xml:space="preserve"> is based solely on the estimated life from the last depreciation study, which was part of a negotiated settlement.</w:t>
      </w:r>
      <w:r w:rsidR="00F26B15">
        <w:t xml:space="preserve"> </w:t>
      </w:r>
      <w:r w:rsidR="003203C6">
        <w:t xml:space="preserve">This issue is also further discussed in the </w:t>
      </w:r>
      <w:proofErr w:type="spellStart"/>
      <w:r w:rsidR="002F440B">
        <w:t>Prefiled</w:t>
      </w:r>
      <w:proofErr w:type="spellEnd"/>
      <w:r w:rsidR="002F440B">
        <w:t xml:space="preserve"> Rebuttal Testimony </w:t>
      </w:r>
      <w:r w:rsidR="003203C6">
        <w:t xml:space="preserve">of Matthew </w:t>
      </w:r>
      <w:r w:rsidR="002F440B">
        <w:t xml:space="preserve">R. </w:t>
      </w:r>
      <w:r w:rsidR="003203C6">
        <w:t>Marcelia</w:t>
      </w:r>
      <w:r w:rsidR="002F440B">
        <w:t>, Exhibit MRM-1T</w:t>
      </w:r>
      <w:r w:rsidR="004E05E2">
        <w:t>.</w:t>
      </w:r>
      <w:r w:rsidR="00F26B15">
        <w:t xml:space="preserve"> </w:t>
      </w:r>
    </w:p>
    <w:p w:rsidR="003203C6" w:rsidRPr="005C5F6F" w:rsidRDefault="000A2CE8" w:rsidP="003203C6">
      <w:pPr>
        <w:pStyle w:val="question"/>
      </w:pPr>
      <w:r w:rsidRPr="00342134">
        <w:rPr>
          <w:bCs/>
        </w:rPr>
        <w:t>Q.</w:t>
      </w:r>
      <w:r w:rsidR="003203C6">
        <w:tab/>
        <w:t>Do</w:t>
      </w:r>
      <w:r w:rsidR="003203C6" w:rsidRPr="005C5F6F">
        <w:t xml:space="preserve"> the abandonment accounting entries </w:t>
      </w:r>
      <w:r w:rsidR="003203C6">
        <w:t>PSE</w:t>
      </w:r>
      <w:r w:rsidR="003203C6" w:rsidRPr="005C5F6F">
        <w:t xml:space="preserve"> booked support </w:t>
      </w:r>
      <w:r w:rsidR="0077523D">
        <w:t>Mr. </w:t>
      </w:r>
      <w:r w:rsidR="003203C6" w:rsidRPr="005C5F6F">
        <w:t>McGuire</w:t>
      </w:r>
      <w:r w:rsidR="00E462EF">
        <w:t>’</w:t>
      </w:r>
      <w:r w:rsidR="003203C6" w:rsidRPr="005C5F6F">
        <w:t>s assumptions</w:t>
      </w:r>
      <w:r w:rsidR="003203C6">
        <w:t>?</w:t>
      </w:r>
    </w:p>
    <w:p w:rsidR="003203C6" w:rsidRDefault="003203C6" w:rsidP="003203C6">
      <w:pPr>
        <w:pStyle w:val="answer"/>
      </w:pPr>
      <w:r>
        <w:t>A.</w:t>
      </w:r>
      <w:r>
        <w:tab/>
        <w:t>No.</w:t>
      </w:r>
      <w:r w:rsidR="00F26B15">
        <w:t xml:space="preserve"> </w:t>
      </w:r>
      <w:r>
        <w:t xml:space="preserve">As explained </w:t>
      </w:r>
      <w:r w:rsidR="00EE779D">
        <w:t xml:space="preserve">in the </w:t>
      </w:r>
      <w:proofErr w:type="spellStart"/>
      <w:r w:rsidR="00EE779D">
        <w:t>Prefiled</w:t>
      </w:r>
      <w:proofErr w:type="spellEnd"/>
      <w:r w:rsidR="00EE779D">
        <w:t xml:space="preserve"> Rebuttal Testimony of Mr. Matthew R. Marcelia, Exhibit MRM-1T, </w:t>
      </w:r>
      <w:r>
        <w:t xml:space="preserve">the abandonment accounting entries were recorded for </w:t>
      </w:r>
      <w:r w:rsidR="001B634B">
        <w:t>Generally Accepted Accounting Principles (</w:t>
      </w:r>
      <w:r w:rsidR="00E462EF">
        <w:t>“</w:t>
      </w:r>
      <w:r>
        <w:t>GAAP</w:t>
      </w:r>
      <w:r w:rsidR="00E462EF">
        <w:t>”</w:t>
      </w:r>
      <w:r w:rsidR="001B634B">
        <w:t>)</w:t>
      </w:r>
      <w:r>
        <w:t xml:space="preserve"> purposes only.</w:t>
      </w:r>
      <w:r w:rsidR="00F26B15">
        <w:t xml:space="preserve"> </w:t>
      </w:r>
      <w:r>
        <w:t xml:space="preserve">From a regulatory accounting standpoint, these entries </w:t>
      </w:r>
      <w:r w:rsidRPr="00EE779D">
        <w:rPr>
          <w:i/>
        </w:rPr>
        <w:t>did not</w:t>
      </w:r>
      <w:r>
        <w:t xml:space="preserve"> impact plant in service </w:t>
      </w:r>
      <w:r w:rsidR="00EE779D">
        <w:lastRenderedPageBreak/>
        <w:t xml:space="preserve">because </w:t>
      </w:r>
      <w:r>
        <w:t xml:space="preserve">they were </w:t>
      </w:r>
      <w:r w:rsidR="00D20DFA">
        <w:t xml:space="preserve">directly offsetting and </w:t>
      </w:r>
      <w:r>
        <w:t xml:space="preserve">all booked to FERC </w:t>
      </w:r>
      <w:r w:rsidR="00EE779D">
        <w:t>Account </w:t>
      </w:r>
      <w:r>
        <w:t>101.</w:t>
      </w:r>
      <w:r w:rsidR="001C588C">
        <w:rPr>
          <w:rStyle w:val="FootnoteReference"/>
        </w:rPr>
        <w:footnoteReference w:id="29"/>
      </w:r>
      <w:r w:rsidR="00F26B15">
        <w:t xml:space="preserve"> </w:t>
      </w:r>
      <w:r w:rsidR="0077523D">
        <w:t>Mr. </w:t>
      </w:r>
      <w:r>
        <w:t xml:space="preserve">Marcelia explains in detail why </w:t>
      </w:r>
      <w:r w:rsidR="0077523D">
        <w:t>Mr. </w:t>
      </w:r>
      <w:r>
        <w:t>McGuire</w:t>
      </w:r>
      <w:r w:rsidR="00E462EF">
        <w:t>’</w:t>
      </w:r>
      <w:r>
        <w:t>s assumption is erroneous.</w:t>
      </w:r>
    </w:p>
    <w:p w:rsidR="003203C6" w:rsidRPr="00A0273C" w:rsidRDefault="000A2CE8" w:rsidP="003203C6">
      <w:pPr>
        <w:pStyle w:val="question"/>
      </w:pPr>
      <w:r w:rsidRPr="00342134">
        <w:rPr>
          <w:bCs/>
        </w:rPr>
        <w:t>Q.</w:t>
      </w:r>
      <w:r w:rsidR="003203C6">
        <w:tab/>
        <w:t>Do</w:t>
      </w:r>
      <w:r w:rsidR="003203C6" w:rsidRPr="00A0273C">
        <w:t xml:space="preserve"> the </w:t>
      </w:r>
      <w:r w:rsidR="00B82AC0">
        <w:t>legal authorities</w:t>
      </w:r>
      <w:r w:rsidR="00B82AC0" w:rsidRPr="00A0273C">
        <w:t xml:space="preserve"> </w:t>
      </w:r>
      <w:r w:rsidR="003203C6" w:rsidRPr="00A0273C">
        <w:t xml:space="preserve">cited by </w:t>
      </w:r>
      <w:r w:rsidR="0077523D">
        <w:t>Mr. </w:t>
      </w:r>
      <w:r w:rsidR="003203C6" w:rsidRPr="00A0273C">
        <w:t>McGuire</w:t>
      </w:r>
      <w:r w:rsidR="003203C6">
        <w:t xml:space="preserve"> support his write down of the </w:t>
      </w:r>
      <w:r w:rsidR="0099661A">
        <w:t>Colstrip Units 1 </w:t>
      </w:r>
      <w:r w:rsidR="007D56A5">
        <w:rPr>
          <w:bCs/>
        </w:rPr>
        <w:t>and</w:t>
      </w:r>
      <w:r w:rsidR="0099661A">
        <w:t xml:space="preserve"> 2 </w:t>
      </w:r>
      <w:r w:rsidR="003203C6">
        <w:t>plant?</w:t>
      </w:r>
    </w:p>
    <w:p w:rsidR="003203C6" w:rsidRPr="00F121F1" w:rsidRDefault="000A2CE8" w:rsidP="003203C6">
      <w:pPr>
        <w:pStyle w:val="answer"/>
      </w:pPr>
      <w:r>
        <w:t>A.</w:t>
      </w:r>
      <w:r w:rsidR="003203C6">
        <w:tab/>
        <w:t>No.</w:t>
      </w:r>
      <w:r w:rsidR="00F26B15">
        <w:t xml:space="preserve"> </w:t>
      </w:r>
      <w:r w:rsidR="0077523D">
        <w:t>Mr. </w:t>
      </w:r>
      <w:r w:rsidR="003203C6">
        <w:t>McGuire references RCW 80.04.250(2)</w:t>
      </w:r>
      <w:r w:rsidR="00EE779D">
        <w:t>,</w:t>
      </w:r>
      <w:r w:rsidR="006C7E78">
        <w:rPr>
          <w:rStyle w:val="FootnoteReference"/>
        </w:rPr>
        <w:footnoteReference w:id="30"/>
      </w:r>
      <w:r w:rsidR="003203C6">
        <w:t xml:space="preserve"> which provides the Commission the power to make revaluations of the property of any public service company from time to time.</w:t>
      </w:r>
      <w:r w:rsidR="00F26B15">
        <w:t xml:space="preserve"> </w:t>
      </w:r>
      <w:r w:rsidR="003203C6">
        <w:t xml:space="preserve">However, neither case </w:t>
      </w:r>
      <w:r w:rsidR="00B82AC0">
        <w:t>he cites that refer</w:t>
      </w:r>
      <w:r w:rsidR="00EE779D">
        <w:t xml:space="preserve"> to </w:t>
      </w:r>
      <w:r w:rsidR="00B82AC0">
        <w:t>this statute are</w:t>
      </w:r>
      <w:r w:rsidR="00F26B15">
        <w:t xml:space="preserve"> </w:t>
      </w:r>
      <w:r w:rsidR="003203C6">
        <w:t xml:space="preserve">relevant </w:t>
      </w:r>
      <w:r w:rsidR="00B82AC0">
        <w:t>to</w:t>
      </w:r>
      <w:r w:rsidR="003203C6">
        <w:t xml:space="preserve"> Colstrip.</w:t>
      </w:r>
      <w:r w:rsidR="00F26B15">
        <w:t xml:space="preserve"> </w:t>
      </w:r>
      <w:r w:rsidR="00E73F8D">
        <w:t>In t</w:t>
      </w:r>
      <w:r w:rsidR="00E91311" w:rsidRPr="006E71D9">
        <w:t>he 1927 case</w:t>
      </w:r>
      <w:r w:rsidR="00C301B5">
        <w:t xml:space="preserve"> </w:t>
      </w:r>
      <w:r w:rsidR="00EE779D">
        <w:t xml:space="preserve">to which </w:t>
      </w:r>
      <w:r w:rsidR="0077523D">
        <w:t>Mr. </w:t>
      </w:r>
      <w:r w:rsidR="00E91311" w:rsidRPr="006E71D9">
        <w:t>McGuire</w:t>
      </w:r>
      <w:r w:rsidR="00EE779D">
        <w:t xml:space="preserve"> referred</w:t>
      </w:r>
      <w:r w:rsidR="001215EF">
        <w:t>,</w:t>
      </w:r>
      <w:r w:rsidR="00C301B5" w:rsidRPr="006E71D9">
        <w:rPr>
          <w:rStyle w:val="FootnoteReference"/>
        </w:rPr>
        <w:footnoteReference w:id="31"/>
      </w:r>
      <w:r w:rsidR="00F26B15">
        <w:t xml:space="preserve"> </w:t>
      </w:r>
      <w:r w:rsidR="00E91311">
        <w:t xml:space="preserve">although the Supreme Court recognized the statute allows for revaluation based on changing condition, </w:t>
      </w:r>
      <w:r w:rsidR="00E91311" w:rsidRPr="006E71D9">
        <w:t xml:space="preserve">the Supreme Court </w:t>
      </w:r>
      <w:r w:rsidR="00E91311">
        <w:t xml:space="preserve">also </w:t>
      </w:r>
      <w:r w:rsidR="00E91311" w:rsidRPr="006E71D9">
        <w:t xml:space="preserve">recognized that </w:t>
      </w:r>
      <w:r w:rsidR="00E91311">
        <w:t>particular statute did not apply in that case</w:t>
      </w:r>
      <w:r w:rsidR="001215EF">
        <w:t xml:space="preserve"> as can be seen by r</w:t>
      </w:r>
      <w:r w:rsidR="00E91311">
        <w:t xml:space="preserve">eading a little further in </w:t>
      </w:r>
      <w:r w:rsidR="0077523D">
        <w:t>Mr. </w:t>
      </w:r>
      <w:r w:rsidR="00E91311">
        <w:t>McGuire</w:t>
      </w:r>
      <w:r w:rsidR="00E462EF">
        <w:t>’</w:t>
      </w:r>
      <w:r w:rsidR="00E91311">
        <w:t>s citation</w:t>
      </w:r>
      <w:r w:rsidR="001215EF">
        <w:t xml:space="preserve"> which</w:t>
      </w:r>
      <w:r w:rsidR="00E91311">
        <w:t xml:space="preserve"> provides that </w:t>
      </w:r>
      <w:r w:rsidR="00E462EF">
        <w:t>“</w:t>
      </w:r>
      <w:r w:rsidR="00E91311">
        <w:t>the question under what conditions the necessity may arise is not presented here and we do not decide it</w:t>
      </w:r>
      <w:r w:rsidR="00B82AC0">
        <w:t>.</w:t>
      </w:r>
      <w:r w:rsidR="00E462EF">
        <w:t>”</w:t>
      </w:r>
      <w:r w:rsidR="00D10057">
        <w:rPr>
          <w:rStyle w:val="FootnoteReference"/>
        </w:rPr>
        <w:footnoteReference w:id="32"/>
      </w:r>
      <w:r w:rsidR="00F26B15">
        <w:t xml:space="preserve"> </w:t>
      </w:r>
      <w:r w:rsidR="003203C6">
        <w:t xml:space="preserve">There is only </w:t>
      </w:r>
      <w:r w:rsidR="003203C6" w:rsidRPr="00EE779D">
        <w:rPr>
          <w:i/>
        </w:rPr>
        <w:t>one</w:t>
      </w:r>
      <w:r w:rsidR="003203C6">
        <w:t xml:space="preserve"> instance </w:t>
      </w:r>
      <w:r w:rsidR="00EE779D">
        <w:t xml:space="preserve">in which </w:t>
      </w:r>
      <w:r w:rsidR="003203C6">
        <w:t xml:space="preserve">the Commission required an adjustment to correct a reserve imbalance and that was in Docket U-86-02, </w:t>
      </w:r>
      <w:r w:rsidR="00EE779D">
        <w:t xml:space="preserve">in which </w:t>
      </w:r>
      <w:r w:rsidR="003203C6">
        <w:t>depreciation expense had been booked inconsistently with GAAP.</w:t>
      </w:r>
      <w:r w:rsidR="001215EF">
        <w:rPr>
          <w:rStyle w:val="FootnoteReference"/>
        </w:rPr>
        <w:footnoteReference w:id="33"/>
      </w:r>
      <w:r w:rsidR="00F26B15">
        <w:t xml:space="preserve"> </w:t>
      </w:r>
      <w:r w:rsidR="003203C6">
        <w:t>In that case, Pacific Power</w:t>
      </w:r>
      <w:r w:rsidR="00EE779D">
        <w:t xml:space="preserve"> &amp; Light</w:t>
      </w:r>
      <w:r w:rsidR="003203C6">
        <w:t xml:space="preserve"> had accrued accumulated depreciation only based on what it was collecting in </w:t>
      </w:r>
      <w:r w:rsidR="003203C6">
        <w:lastRenderedPageBreak/>
        <w:t>rates rather than utilizing the approved depreciation rates; this created the inconsistency with GAAP.</w:t>
      </w:r>
      <w:r w:rsidR="00F26B15">
        <w:t xml:space="preserve"> </w:t>
      </w:r>
      <w:r w:rsidR="003203C6">
        <w:t xml:space="preserve">In contrast to the </w:t>
      </w:r>
      <w:r w:rsidR="00EE779D">
        <w:t xml:space="preserve">Pacific Power &amp; Light </w:t>
      </w:r>
      <w:r w:rsidR="003203C6">
        <w:t>case, PSE booked its depreciation expense consistent with the depreciation rates approved by the Commission in 200</w:t>
      </w:r>
      <w:r w:rsidR="001215EF">
        <w:t>8</w:t>
      </w:r>
      <w:r w:rsidR="003203C6">
        <w:t xml:space="preserve">, and </w:t>
      </w:r>
      <w:r w:rsidR="0077523D">
        <w:t>Mr. </w:t>
      </w:r>
      <w:r w:rsidR="003203C6">
        <w:t>McGuire does not provide any evidence to the contrary.</w:t>
      </w:r>
    </w:p>
    <w:p w:rsidR="003203C6" w:rsidRPr="00A0273C" w:rsidRDefault="000A2CE8" w:rsidP="003203C6">
      <w:pPr>
        <w:pStyle w:val="question"/>
      </w:pPr>
      <w:r w:rsidRPr="00342134">
        <w:rPr>
          <w:bCs/>
        </w:rPr>
        <w:t>Q.</w:t>
      </w:r>
      <w:r w:rsidR="003203C6">
        <w:tab/>
        <w:t xml:space="preserve">What is the proposal of </w:t>
      </w:r>
      <w:r w:rsidR="003203C6" w:rsidRPr="00A0273C">
        <w:t xml:space="preserve">ICNU witness </w:t>
      </w:r>
      <w:r w:rsidR="0077523D">
        <w:t>Mr. </w:t>
      </w:r>
      <w:r w:rsidR="003203C6" w:rsidRPr="00A0273C">
        <w:t>Mullins</w:t>
      </w:r>
      <w:r w:rsidR="001215EF">
        <w:t xml:space="preserve"> </w:t>
      </w:r>
      <w:r w:rsidR="004E05E2">
        <w:t xml:space="preserve">in </w:t>
      </w:r>
      <w:r w:rsidR="001215EF">
        <w:t>Adjustment IN-1</w:t>
      </w:r>
      <w:r w:rsidR="003203C6" w:rsidRPr="00A0273C">
        <w:t xml:space="preserve">, </w:t>
      </w:r>
      <w:r w:rsidR="003203C6">
        <w:t xml:space="preserve">with respect </w:t>
      </w:r>
      <w:r w:rsidR="003203C6" w:rsidRPr="00A0273C">
        <w:t>to depreciation rates?</w:t>
      </w:r>
    </w:p>
    <w:p w:rsidR="003203C6" w:rsidRPr="00501BC8" w:rsidRDefault="000A2CE8" w:rsidP="003203C6">
      <w:pPr>
        <w:pStyle w:val="answer"/>
        <w:rPr>
          <w:bCs/>
        </w:rPr>
      </w:pPr>
      <w:r>
        <w:t>A.</w:t>
      </w:r>
      <w:r w:rsidR="003203C6">
        <w:rPr>
          <w:bCs/>
        </w:rPr>
        <w:tab/>
      </w:r>
      <w:r w:rsidR="0077523D">
        <w:t>Mr. </w:t>
      </w:r>
      <w:r w:rsidR="003203C6" w:rsidRPr="00501BC8">
        <w:rPr>
          <w:bCs/>
        </w:rPr>
        <w:t xml:space="preserve">Mullins proposes leaving the current depreciation rates for </w:t>
      </w:r>
      <w:r w:rsidR="0099661A">
        <w:t>Colstrip Units 1 </w:t>
      </w:r>
      <w:r w:rsidR="007D56A5">
        <w:rPr>
          <w:bCs/>
        </w:rPr>
        <w:t>and</w:t>
      </w:r>
      <w:r w:rsidR="0099661A">
        <w:t> 2</w:t>
      </w:r>
      <w:r w:rsidR="003203C6" w:rsidRPr="00501BC8">
        <w:rPr>
          <w:bCs/>
        </w:rPr>
        <w:t xml:space="preserve"> in place and</w:t>
      </w:r>
      <w:r w:rsidR="00B82AC0">
        <w:rPr>
          <w:bCs/>
        </w:rPr>
        <w:t>,</w:t>
      </w:r>
      <w:r w:rsidR="003203C6" w:rsidRPr="00501BC8">
        <w:rPr>
          <w:bCs/>
        </w:rPr>
        <w:t xml:space="preserve"> at the end of the life, </w:t>
      </w:r>
      <w:r w:rsidR="003203C6">
        <w:rPr>
          <w:bCs/>
        </w:rPr>
        <w:t>converting</w:t>
      </w:r>
      <w:r w:rsidR="003203C6" w:rsidRPr="00501BC8">
        <w:rPr>
          <w:bCs/>
        </w:rPr>
        <w:t xml:space="preserve"> the remaining balance into a regulatory asset </w:t>
      </w:r>
      <w:r w:rsidR="003203C6">
        <w:rPr>
          <w:bCs/>
        </w:rPr>
        <w:t xml:space="preserve">that </w:t>
      </w:r>
      <w:r w:rsidR="003203C6" w:rsidRPr="00501BC8">
        <w:rPr>
          <w:bCs/>
        </w:rPr>
        <w:t xml:space="preserve">would be recovered through a separate </w:t>
      </w:r>
      <w:r w:rsidR="001215EF">
        <w:rPr>
          <w:bCs/>
        </w:rPr>
        <w:t>surcharge,</w:t>
      </w:r>
      <w:r w:rsidR="004E05E2">
        <w:rPr>
          <w:rStyle w:val="FootnoteReference"/>
          <w:bCs/>
        </w:rPr>
        <w:footnoteReference w:id="34"/>
      </w:r>
      <w:r w:rsidR="001215EF">
        <w:rPr>
          <w:bCs/>
        </w:rPr>
        <w:t xml:space="preserve"> which is actually a </w:t>
      </w:r>
      <w:r w:rsidR="003203C6" w:rsidRPr="00501BC8">
        <w:rPr>
          <w:bCs/>
        </w:rPr>
        <w:t>tracker.</w:t>
      </w:r>
      <w:r w:rsidR="00F26B15">
        <w:rPr>
          <w:bCs/>
        </w:rPr>
        <w:t xml:space="preserve"> </w:t>
      </w:r>
      <w:r w:rsidR="0077523D">
        <w:t>Mr. </w:t>
      </w:r>
      <w:r w:rsidR="003203C6">
        <w:rPr>
          <w:bCs/>
        </w:rPr>
        <w:t xml:space="preserve">Spanos and </w:t>
      </w:r>
      <w:r w:rsidR="0077523D">
        <w:t>Mr. </w:t>
      </w:r>
      <w:r w:rsidR="003203C6">
        <w:rPr>
          <w:bCs/>
        </w:rPr>
        <w:t xml:space="preserve">Marcelia address why </w:t>
      </w:r>
      <w:r w:rsidR="0077523D">
        <w:t>Mr. </w:t>
      </w:r>
      <w:r w:rsidR="003203C6">
        <w:rPr>
          <w:bCs/>
        </w:rPr>
        <w:t>Mullins approach is not reasonable.</w:t>
      </w:r>
    </w:p>
    <w:p w:rsidR="003203C6" w:rsidRPr="00A0273C" w:rsidRDefault="000A2CE8" w:rsidP="000A2CE8">
      <w:pPr>
        <w:pStyle w:val="question"/>
      </w:pPr>
      <w:r w:rsidRPr="00342134">
        <w:rPr>
          <w:bCs/>
        </w:rPr>
        <w:t>Q.</w:t>
      </w:r>
      <w:r w:rsidR="003203C6">
        <w:tab/>
      </w:r>
      <w:r w:rsidR="003203C6" w:rsidRPr="00A0273C">
        <w:t>On what basis does</w:t>
      </w:r>
      <w:r w:rsidR="003203C6">
        <w:t xml:space="preserve"> </w:t>
      </w:r>
      <w:r w:rsidR="0077523D">
        <w:t>Mr. </w:t>
      </w:r>
      <w:r w:rsidR="003203C6">
        <w:t xml:space="preserve">Mullins support his tracker </w:t>
      </w:r>
      <w:r w:rsidR="003203C6" w:rsidRPr="00A0273C">
        <w:t>proposal</w:t>
      </w:r>
      <w:r w:rsidR="003203C6">
        <w:t>?</w:t>
      </w:r>
    </w:p>
    <w:p w:rsidR="003203C6" w:rsidRDefault="000A2CE8" w:rsidP="007E7301">
      <w:pPr>
        <w:pStyle w:val="answer"/>
      </w:pPr>
      <w:r>
        <w:t>A.</w:t>
      </w:r>
      <w:r w:rsidR="003203C6">
        <w:tab/>
        <w:t xml:space="preserve">Similar to </w:t>
      </w:r>
      <w:r w:rsidR="0077523D">
        <w:t>Mr. </w:t>
      </w:r>
      <w:r w:rsidR="003203C6">
        <w:t xml:space="preserve">McGuire and others, </w:t>
      </w:r>
      <w:r w:rsidR="0077523D">
        <w:t>Mr. </w:t>
      </w:r>
      <w:r w:rsidR="003203C6">
        <w:t>Mullins has incorrectly assumed that the 2022 retirement date represents an early retirement.</w:t>
      </w:r>
      <w:r w:rsidR="00F26B15">
        <w:t xml:space="preserve"> </w:t>
      </w:r>
      <w:r w:rsidR="003203C6">
        <w:t>Therefore, he applies an approach similar to that used by the Oregon Public Utility Commission when addressing the early closure of the Trojan Nuclear Facility.</w:t>
      </w:r>
      <w:r w:rsidR="007E7301">
        <w:t xml:space="preserve"> </w:t>
      </w:r>
      <w:r w:rsidR="0077523D">
        <w:t>Mr. </w:t>
      </w:r>
      <w:r w:rsidR="003203C6">
        <w:t xml:space="preserve">Mullins recommends that the Commission follow a similar approach and allow for the stranded costs to be recovered through a regulatory asset that would be collected separately through a tracker and would accrue carrying costs based on long-term </w:t>
      </w:r>
      <w:r w:rsidR="003203C6">
        <w:lastRenderedPageBreak/>
        <w:t xml:space="preserve">cost of debt rather than </w:t>
      </w:r>
      <w:r w:rsidR="00DA6161">
        <w:t>PSE</w:t>
      </w:r>
      <w:r w:rsidR="00E462EF">
        <w:t>’</w:t>
      </w:r>
      <w:r w:rsidR="001215EF">
        <w:t xml:space="preserve">s full rate of return </w:t>
      </w:r>
      <w:r w:rsidR="003203C6">
        <w:t xml:space="preserve">once </w:t>
      </w:r>
      <w:r w:rsidR="0099661A">
        <w:t>Colstrip Units 1 </w:t>
      </w:r>
      <w:r w:rsidR="007D56A5">
        <w:rPr>
          <w:bCs/>
        </w:rPr>
        <w:t>and</w:t>
      </w:r>
      <w:r w:rsidR="0099661A">
        <w:t xml:space="preserve"> 2 </w:t>
      </w:r>
      <w:r w:rsidR="003203C6">
        <w:t>are no longer in service.</w:t>
      </w:r>
    </w:p>
    <w:p w:rsidR="00437D34" w:rsidRPr="0097155D" w:rsidRDefault="00437D34" w:rsidP="00437D34">
      <w:pPr>
        <w:pStyle w:val="question"/>
      </w:pPr>
      <w:r w:rsidRPr="00342134">
        <w:rPr>
          <w:bCs/>
        </w:rPr>
        <w:t>Q.</w:t>
      </w:r>
      <w:r>
        <w:tab/>
      </w:r>
      <w:r w:rsidRPr="0097155D">
        <w:t>Do</w:t>
      </w:r>
      <w:r>
        <w:t>es</w:t>
      </w:r>
      <w:r w:rsidRPr="0097155D">
        <w:t xml:space="preserve"> </w:t>
      </w:r>
      <w:r>
        <w:t>Sierra Club make a similar argument?</w:t>
      </w:r>
    </w:p>
    <w:p w:rsidR="00437D34" w:rsidRDefault="00437D34" w:rsidP="00437D34">
      <w:pPr>
        <w:pStyle w:val="answer"/>
      </w:pPr>
      <w:r>
        <w:t>A.</w:t>
      </w:r>
      <w:r>
        <w:tab/>
        <w:t>Yes. Sierra Club makes a similar argument but cites a decision involving Humboldt Bay Unit</w:t>
      </w:r>
      <w:r w:rsidR="00A33803">
        <w:t> </w:t>
      </w:r>
      <w:r>
        <w:t>3</w:t>
      </w:r>
      <w:r w:rsidR="00A33803">
        <w:t>, in which the California Public Utilities Commission stated as follows:</w:t>
      </w:r>
    </w:p>
    <w:p w:rsidR="00437D34" w:rsidRDefault="00437D34" w:rsidP="00A33803">
      <w:pPr>
        <w:pStyle w:val="Quote"/>
        <w:spacing w:before="0" w:after="280"/>
        <w:jc w:val="both"/>
      </w:pPr>
      <w:r w:rsidRPr="00437D34">
        <w:rPr>
          <w:i/>
        </w:rPr>
        <w:t>While Unit 3 did operate for 13 years</w:t>
      </w:r>
      <w:r>
        <w:t>, it will never operate again and can no longer be considered</w:t>
      </w:r>
      <w:r w:rsidR="00381306">
        <w:t xml:space="preserve"> </w:t>
      </w:r>
      <w:r>
        <w:t xml:space="preserve">“useful” utility plant. Unit 3 was </w:t>
      </w:r>
      <w:r w:rsidRPr="00437D34">
        <w:rPr>
          <w:i/>
        </w:rPr>
        <w:t>entered into rate base under the assumption that it would serve customers for 30 years</w:t>
      </w:r>
      <w:r>
        <w:t>. Shareholders were entitled to a return and ratepayers were liable for the full ownership cost as long as Unit 3 operated as expected.</w:t>
      </w:r>
      <w:r>
        <w:rPr>
          <w:rStyle w:val="FootnoteReference"/>
        </w:rPr>
        <w:footnoteReference w:id="35"/>
      </w:r>
    </w:p>
    <w:p w:rsidR="003203C6" w:rsidRPr="0097155D" w:rsidRDefault="000A2CE8" w:rsidP="003203C6">
      <w:pPr>
        <w:pStyle w:val="question"/>
      </w:pPr>
      <w:r w:rsidRPr="00342134">
        <w:rPr>
          <w:bCs/>
        </w:rPr>
        <w:t>Q.</w:t>
      </w:r>
      <w:r w:rsidR="003203C6">
        <w:tab/>
      </w:r>
      <w:r w:rsidR="003203C6" w:rsidRPr="0097155D">
        <w:t>Do</w:t>
      </w:r>
      <w:r w:rsidR="007E7301">
        <w:t>es</w:t>
      </w:r>
      <w:r w:rsidR="003203C6" w:rsidRPr="0097155D">
        <w:t xml:space="preserve"> </w:t>
      </w:r>
      <w:r w:rsidR="007E7301">
        <w:t xml:space="preserve">PSE </w:t>
      </w:r>
      <w:r w:rsidR="003203C6" w:rsidRPr="0097155D">
        <w:t xml:space="preserve">agree that the Trojan </w:t>
      </w:r>
      <w:r w:rsidR="007E7301">
        <w:t xml:space="preserve">Nuclear Facility </w:t>
      </w:r>
      <w:r w:rsidR="00A33803">
        <w:t>and Humboldt Bay Unit 3</w:t>
      </w:r>
      <w:r w:rsidR="007630E5">
        <w:t xml:space="preserve"> </w:t>
      </w:r>
      <w:r w:rsidR="003203C6" w:rsidRPr="0097155D">
        <w:t>shutdown</w:t>
      </w:r>
      <w:r w:rsidR="00A33803">
        <w:t>s</w:t>
      </w:r>
      <w:r w:rsidR="003203C6" w:rsidRPr="0097155D">
        <w:t xml:space="preserve"> </w:t>
      </w:r>
      <w:r w:rsidR="00A33803">
        <w:t xml:space="preserve">are </w:t>
      </w:r>
      <w:r w:rsidR="003203C6" w:rsidRPr="0097155D">
        <w:t xml:space="preserve">comparable to the shutdown of </w:t>
      </w:r>
      <w:r w:rsidR="0099661A">
        <w:t>Colstrip Units 1 </w:t>
      </w:r>
      <w:r w:rsidR="007D56A5">
        <w:rPr>
          <w:bCs/>
        </w:rPr>
        <w:t>and</w:t>
      </w:r>
      <w:r w:rsidR="0099661A">
        <w:t> 2</w:t>
      </w:r>
      <w:r w:rsidR="003203C6" w:rsidRPr="0097155D">
        <w:t>?</w:t>
      </w:r>
    </w:p>
    <w:p w:rsidR="00A33803" w:rsidRDefault="000A2CE8" w:rsidP="003203C6">
      <w:pPr>
        <w:pStyle w:val="answer"/>
      </w:pPr>
      <w:r>
        <w:t>A.</w:t>
      </w:r>
      <w:r w:rsidR="003203C6">
        <w:tab/>
        <w:t>No</w:t>
      </w:r>
      <w:r w:rsidR="007E7301">
        <w:t>. T</w:t>
      </w:r>
      <w:r w:rsidR="003203C6">
        <w:t>here are some notable differences between the two facilities and their</w:t>
      </w:r>
      <w:r w:rsidR="00E73F8D">
        <w:t xml:space="preserve"> assumed life span</w:t>
      </w:r>
      <w:r w:rsidR="007E7301">
        <w:t>s</w:t>
      </w:r>
      <w:r w:rsidR="00E73F8D">
        <w:t>.</w:t>
      </w:r>
      <w:r w:rsidR="00F26B15">
        <w:t xml:space="preserve"> </w:t>
      </w:r>
      <w:r w:rsidR="0077523D">
        <w:t>Mr. </w:t>
      </w:r>
      <w:r w:rsidR="00E73F8D">
        <w:t>Mullin</w:t>
      </w:r>
      <w:r w:rsidR="003203C6">
        <w:t xml:space="preserve">s claims that the Trojan Nuclear Facility shutdown is </w:t>
      </w:r>
      <w:r w:rsidR="00E462EF">
        <w:t>“</w:t>
      </w:r>
      <w:r w:rsidR="003203C6">
        <w:t>probably the best example of an early retirement of a generation plant</w:t>
      </w:r>
      <w:r w:rsidR="00B82AC0">
        <w:t>.</w:t>
      </w:r>
      <w:r w:rsidR="00E462EF">
        <w:t>”</w:t>
      </w:r>
      <w:r w:rsidR="00B82AC0">
        <w:rPr>
          <w:rStyle w:val="FootnoteReference"/>
        </w:rPr>
        <w:footnoteReference w:id="36"/>
      </w:r>
      <w:r w:rsidR="00F26B15">
        <w:t xml:space="preserve"> </w:t>
      </w:r>
      <w:r w:rsidR="003203C6">
        <w:t xml:space="preserve">He provides the history of the Trojan plant, relying on the fact that the Trojan facility closed </w:t>
      </w:r>
      <w:r w:rsidR="007E7301">
        <w:t>seventeen</w:t>
      </w:r>
      <w:r w:rsidR="003203C6">
        <w:t xml:space="preserve"> years earlier than originally anticipated.</w:t>
      </w:r>
      <w:r w:rsidR="00F26B15">
        <w:t xml:space="preserve"> </w:t>
      </w:r>
      <w:r w:rsidR="003203C6">
        <w:t xml:space="preserve">What </w:t>
      </w:r>
      <w:r w:rsidR="0077523D">
        <w:t>Mr. </w:t>
      </w:r>
      <w:r w:rsidR="003203C6">
        <w:t xml:space="preserve">Mullins </w:t>
      </w:r>
      <w:r w:rsidR="00A33803">
        <w:t>and Dr. </w:t>
      </w:r>
      <w:proofErr w:type="spellStart"/>
      <w:r w:rsidR="00A33803">
        <w:t>Hausman</w:t>
      </w:r>
      <w:proofErr w:type="spellEnd"/>
      <w:r w:rsidR="00A33803">
        <w:t xml:space="preserve"> fail</w:t>
      </w:r>
      <w:r w:rsidR="003203C6">
        <w:t xml:space="preserve"> to recognize is that </w:t>
      </w:r>
      <w:r w:rsidR="0099661A">
        <w:t>Colstrip Units 1 </w:t>
      </w:r>
      <w:r w:rsidR="007D56A5">
        <w:rPr>
          <w:bCs/>
        </w:rPr>
        <w:t>and</w:t>
      </w:r>
      <w:r w:rsidR="0099661A">
        <w:t> 2</w:t>
      </w:r>
      <w:r w:rsidR="003203C6">
        <w:t xml:space="preserve">, whether they close tomorrow </w:t>
      </w:r>
      <w:r w:rsidR="007E7301">
        <w:t>or close as anticipated in mid-</w:t>
      </w:r>
      <w:r w:rsidR="003203C6">
        <w:t>2022, will have been in service for longer than originally anticipated when the plants were placed in service.</w:t>
      </w:r>
      <w:r w:rsidR="00A33803">
        <w:t xml:space="preserve"> </w:t>
      </w:r>
      <w:r w:rsidR="003203C6">
        <w:t xml:space="preserve">As discussed in </w:t>
      </w:r>
      <w:r w:rsidR="007E7301">
        <w:lastRenderedPageBreak/>
        <w:t xml:space="preserve">the </w:t>
      </w:r>
      <w:proofErr w:type="spellStart"/>
      <w:r w:rsidR="007E7301">
        <w:t>Prefiled</w:t>
      </w:r>
      <w:proofErr w:type="spellEnd"/>
      <w:r w:rsidR="007E7301">
        <w:t xml:space="preserve"> Rebuttal Testimony of Mr. Ronald J. Roberts, Exhibit RJR-30T</w:t>
      </w:r>
      <w:r w:rsidR="003203C6">
        <w:t xml:space="preserve">, </w:t>
      </w:r>
      <w:r w:rsidR="007E7301">
        <w:t xml:space="preserve">the original anticipated life of </w:t>
      </w:r>
      <w:r w:rsidR="0099661A">
        <w:t>Colstrip Units 1 </w:t>
      </w:r>
      <w:r w:rsidR="007D56A5">
        <w:rPr>
          <w:bCs/>
        </w:rPr>
        <w:t>and</w:t>
      </w:r>
      <w:r w:rsidR="0099661A">
        <w:t xml:space="preserve"> 2 </w:t>
      </w:r>
      <w:r w:rsidR="007E7301" w:rsidRPr="007E7301">
        <w:t>was 25-30 years</w:t>
      </w:r>
      <w:r w:rsidR="003203C6">
        <w:t>.</w:t>
      </w:r>
      <w:r w:rsidR="00F26B15">
        <w:t xml:space="preserve"> </w:t>
      </w:r>
      <w:r w:rsidR="003203C6">
        <w:t xml:space="preserve">As discussed earlier in my testimony, the </w:t>
      </w:r>
      <w:r w:rsidR="00E462EF">
        <w:t>“</w:t>
      </w:r>
      <w:r w:rsidR="003203C6">
        <w:t>early shut down</w:t>
      </w:r>
      <w:r w:rsidR="00E462EF">
        <w:t>”</w:t>
      </w:r>
      <w:r w:rsidR="003203C6">
        <w:t xml:space="preserve"> referenced by the other parties</w:t>
      </w:r>
      <w:r w:rsidR="00A33803">
        <w:t xml:space="preserve"> </w:t>
      </w:r>
      <w:r w:rsidR="003203C6">
        <w:t>is based solely on the 2007 settlement</w:t>
      </w:r>
      <w:r w:rsidR="001A716F">
        <w:t xml:space="preserve"> that</w:t>
      </w:r>
      <w:r w:rsidR="003203C6">
        <w:t xml:space="preserve"> actually extended the </w:t>
      </w:r>
      <w:r w:rsidR="001215EF">
        <w:t xml:space="preserve">depreciable </w:t>
      </w:r>
      <w:r w:rsidR="003203C6">
        <w:t>life of the plant to 60 years compared to the previously approved depreciable life.</w:t>
      </w:r>
      <w:r w:rsidR="00F26B15">
        <w:t xml:space="preserve"> </w:t>
      </w:r>
      <w:r w:rsidR="0099661A">
        <w:t>Colstrip Units 1 </w:t>
      </w:r>
      <w:r w:rsidR="007D56A5">
        <w:rPr>
          <w:bCs/>
        </w:rPr>
        <w:t>and</w:t>
      </w:r>
      <w:r w:rsidR="0099661A">
        <w:t xml:space="preserve"> 2 </w:t>
      </w:r>
      <w:r w:rsidR="003203C6">
        <w:t xml:space="preserve">will have been in operation for </w:t>
      </w:r>
      <w:r w:rsidR="007E7301">
        <w:t xml:space="preserve">over 40 </w:t>
      </w:r>
      <w:r w:rsidR="003203C6">
        <w:t>years a</w:t>
      </w:r>
      <w:r w:rsidR="0001368A">
        <w:t xml:space="preserve">t the time </w:t>
      </w:r>
      <w:r w:rsidR="003203C6">
        <w:t xml:space="preserve">the new depreciation rates take effect in 2018 and by </w:t>
      </w:r>
      <w:r w:rsidR="001A716F">
        <w:t xml:space="preserve">the </w:t>
      </w:r>
      <w:r w:rsidR="003203C6">
        <w:t xml:space="preserve">retirement date in 2022 will have been in service for more than </w:t>
      </w:r>
      <w:r w:rsidR="007E7301">
        <w:t>45</w:t>
      </w:r>
      <w:r w:rsidR="003203C6">
        <w:t xml:space="preserve"> years.</w:t>
      </w:r>
      <w:r w:rsidR="00F26B15">
        <w:t xml:space="preserve"> </w:t>
      </w:r>
      <w:r w:rsidR="003203C6">
        <w:t xml:space="preserve">This is not comparable to </w:t>
      </w:r>
      <w:r w:rsidR="00A33803">
        <w:t>either</w:t>
      </w:r>
    </w:p>
    <w:p w:rsidR="00A33803" w:rsidRDefault="00A33803" w:rsidP="00A33803">
      <w:pPr>
        <w:pStyle w:val="answer"/>
        <w:spacing w:before="0" w:after="280" w:line="240" w:lineRule="auto"/>
        <w:ind w:left="2160" w:right="720"/>
      </w:pPr>
      <w:r>
        <w:t>(i)</w:t>
      </w:r>
      <w:r>
        <w:tab/>
      </w:r>
      <w:r w:rsidR="003203C6">
        <w:t>the Trojan Nuclear facility</w:t>
      </w:r>
      <w:r w:rsidR="007E7301">
        <w:t xml:space="preserve">, which </w:t>
      </w:r>
      <w:r w:rsidR="003203C6">
        <w:t>was originally estimated to have a 36</w:t>
      </w:r>
      <w:r w:rsidR="007E7301">
        <w:t>-</w:t>
      </w:r>
      <w:r w:rsidR="003203C6">
        <w:t>year life (1975 to 2011) but was only in service until 1993</w:t>
      </w:r>
      <w:r w:rsidR="007E7301">
        <w:t xml:space="preserve"> (i.e., </w:t>
      </w:r>
      <w:r w:rsidR="003203C6">
        <w:t>less than 20 years</w:t>
      </w:r>
      <w:r w:rsidR="007E7301">
        <w:t>)</w:t>
      </w:r>
      <w:r w:rsidR="001215EF">
        <w:t xml:space="preserve">, which is acknowledged by </w:t>
      </w:r>
      <w:r w:rsidR="0077523D">
        <w:t>Mr. </w:t>
      </w:r>
      <w:r w:rsidR="001215EF">
        <w:t xml:space="preserve">Mullins in </w:t>
      </w:r>
      <w:proofErr w:type="spellStart"/>
      <w:r w:rsidR="001215EF">
        <w:t>ICNU</w:t>
      </w:r>
      <w:r w:rsidR="00E462EF">
        <w:t>’</w:t>
      </w:r>
      <w:r w:rsidR="001215EF">
        <w:t>s</w:t>
      </w:r>
      <w:proofErr w:type="spellEnd"/>
      <w:r w:rsidR="001215EF">
        <w:t xml:space="preserve"> Response to PSE Data Request No. 6</w:t>
      </w:r>
      <w:r w:rsidR="007E7301">
        <w:t xml:space="preserve"> </w:t>
      </w:r>
      <w:r w:rsidR="001215EF">
        <w:t>included as Exhibit KJB-</w:t>
      </w:r>
      <w:r w:rsidR="00277BED">
        <w:t>39</w:t>
      </w:r>
      <w:r>
        <w:t>; or</w:t>
      </w:r>
    </w:p>
    <w:p w:rsidR="00A33803" w:rsidRDefault="00A33803" w:rsidP="00A33803">
      <w:pPr>
        <w:pStyle w:val="answer"/>
        <w:spacing w:before="0" w:after="280" w:line="240" w:lineRule="auto"/>
        <w:ind w:left="2160" w:right="720"/>
      </w:pPr>
      <w:r>
        <w:t>(ii)</w:t>
      </w:r>
      <w:r>
        <w:tab/>
        <w:t>Humboldt Bay Unit 3, which was originally estimated to have a 30-year life (1963 to 1993) but was only in service until 19</w:t>
      </w:r>
      <w:r w:rsidR="00277BED">
        <w:t>76</w:t>
      </w:r>
      <w:r>
        <w:t xml:space="preserve"> (i.e., </w:t>
      </w:r>
      <w:r w:rsidR="00277BED">
        <w:t>only 13 </w:t>
      </w:r>
      <w:r>
        <w:t>years).</w:t>
      </w:r>
    </w:p>
    <w:p w:rsidR="003203C6" w:rsidRPr="00C901D7" w:rsidRDefault="000A2CE8" w:rsidP="003203C6">
      <w:pPr>
        <w:pStyle w:val="question"/>
      </w:pPr>
      <w:r w:rsidRPr="00342134">
        <w:rPr>
          <w:bCs/>
        </w:rPr>
        <w:t>Q.</w:t>
      </w:r>
      <w:r w:rsidR="003203C6">
        <w:tab/>
      </w:r>
      <w:r w:rsidR="0077523D">
        <w:t>Mr. </w:t>
      </w:r>
      <w:r w:rsidR="003203C6" w:rsidRPr="00C901D7">
        <w:t xml:space="preserve">Mullins also provides an example about Deer Creek Mine and believes it is similar to </w:t>
      </w:r>
      <w:r w:rsidR="0099661A">
        <w:t>Colstrip Units 1 </w:t>
      </w:r>
      <w:r w:rsidR="007D56A5">
        <w:rPr>
          <w:bCs/>
        </w:rPr>
        <w:t>and</w:t>
      </w:r>
      <w:r w:rsidR="0099661A">
        <w:t> 2</w:t>
      </w:r>
      <w:r w:rsidR="003203C6" w:rsidRPr="00C901D7">
        <w:t>.</w:t>
      </w:r>
      <w:r w:rsidR="00F26B15">
        <w:t xml:space="preserve"> </w:t>
      </w:r>
      <w:r w:rsidR="003203C6" w:rsidRPr="00C901D7">
        <w:t>Do</w:t>
      </w:r>
      <w:r w:rsidR="007E7301">
        <w:t>es</w:t>
      </w:r>
      <w:r w:rsidR="003203C6" w:rsidRPr="00C901D7">
        <w:t xml:space="preserve"> </w:t>
      </w:r>
      <w:r w:rsidR="007E7301">
        <w:t xml:space="preserve">PSE </w:t>
      </w:r>
      <w:r w:rsidR="003203C6" w:rsidRPr="00C901D7">
        <w:t>agree?</w:t>
      </w:r>
      <w:r w:rsidR="001215EF">
        <w:rPr>
          <w:rStyle w:val="FootnoteReference"/>
        </w:rPr>
        <w:footnoteReference w:id="37"/>
      </w:r>
    </w:p>
    <w:p w:rsidR="003203C6" w:rsidRDefault="000A2CE8" w:rsidP="003203C6">
      <w:pPr>
        <w:pStyle w:val="answer"/>
      </w:pPr>
      <w:r>
        <w:t>A.</w:t>
      </w:r>
      <w:r w:rsidR="003203C6">
        <w:tab/>
        <w:t>No.</w:t>
      </w:r>
      <w:r w:rsidR="00F26B15">
        <w:t xml:space="preserve"> </w:t>
      </w:r>
      <w:r w:rsidR="003203C6">
        <w:t>The Deer Creek Mine involved a sale of mining facilities</w:t>
      </w:r>
      <w:r w:rsidR="006036B7">
        <w:t>. Th</w:t>
      </w:r>
      <w:r w:rsidR="003203C6">
        <w:t>erefore</w:t>
      </w:r>
      <w:r w:rsidR="006036B7">
        <w:t>,</w:t>
      </w:r>
      <w:r w:rsidR="003203C6">
        <w:t xml:space="preserve"> the Deer Creek Mine example is more comparable to PSE</w:t>
      </w:r>
      <w:r w:rsidR="00E462EF">
        <w:t>’</w:t>
      </w:r>
      <w:r w:rsidR="003203C6">
        <w:t>s sale of the Electron Hydro</w:t>
      </w:r>
      <w:r w:rsidR="0001368A">
        <w:t xml:space="preserve"> project</w:t>
      </w:r>
      <w:r w:rsidR="006036B7">
        <w:t xml:space="preserve"> in that </w:t>
      </w:r>
      <w:r w:rsidR="003203C6">
        <w:t>there were unrecovered costs for those facilities after application of sale proceeds.</w:t>
      </w:r>
      <w:r w:rsidR="00F26B15">
        <w:t xml:space="preserve"> </w:t>
      </w:r>
      <w:r w:rsidR="003203C6">
        <w:t xml:space="preserve">In Electron, </w:t>
      </w:r>
      <w:r w:rsidR="00DA6161">
        <w:t>PSE</w:t>
      </w:r>
      <w:r w:rsidR="003203C6">
        <w:t xml:space="preserve"> had unrecovered costs</w:t>
      </w:r>
      <w:r w:rsidR="006036B7">
        <w:t>,</w:t>
      </w:r>
      <w:r w:rsidR="003203C6">
        <w:t xml:space="preserve"> and the Commission </w:t>
      </w:r>
      <w:r w:rsidR="003203C6">
        <w:lastRenderedPageBreak/>
        <w:t xml:space="preserve">allowed recovery of the regulatory asset over a </w:t>
      </w:r>
      <w:r w:rsidR="001A716F">
        <w:t>four-</w:t>
      </w:r>
      <w:r w:rsidR="003203C6">
        <w:t>year period.</w:t>
      </w:r>
      <w:r w:rsidR="001215EF">
        <w:rPr>
          <w:rStyle w:val="FootnoteReference"/>
        </w:rPr>
        <w:footnoteReference w:id="38"/>
      </w:r>
      <w:r w:rsidR="00F26B15">
        <w:t xml:space="preserve"> </w:t>
      </w:r>
      <w:r w:rsidR="003203C6">
        <w:t xml:space="preserve">Similar to other regulatory assets, the </w:t>
      </w:r>
      <w:r w:rsidR="001A716F">
        <w:t xml:space="preserve">Electron </w:t>
      </w:r>
      <w:r w:rsidR="003203C6">
        <w:t xml:space="preserve">regulatory asset did not include direct carrying charges but </w:t>
      </w:r>
      <w:r w:rsidR="001A716F">
        <w:t xml:space="preserve">is </w:t>
      </w:r>
      <w:r w:rsidR="003203C6">
        <w:t xml:space="preserve">included in </w:t>
      </w:r>
      <w:r w:rsidR="00DA6161">
        <w:t>PSE</w:t>
      </w:r>
      <w:r w:rsidR="00E462EF">
        <w:t>’</w:t>
      </w:r>
      <w:r w:rsidR="003203C6">
        <w:t>s rate base for ratemaking purposes.</w:t>
      </w:r>
      <w:r w:rsidR="00F26B15">
        <w:t xml:space="preserve"> </w:t>
      </w:r>
    </w:p>
    <w:p w:rsidR="00E140EF" w:rsidRDefault="00E140EF" w:rsidP="003203C6">
      <w:pPr>
        <w:pStyle w:val="question"/>
      </w:pPr>
      <w:r>
        <w:t>Q.</w:t>
      </w:r>
      <w:r>
        <w:tab/>
        <w:t xml:space="preserve">Does </w:t>
      </w:r>
      <w:r w:rsidR="0077523D">
        <w:t>Mr. </w:t>
      </w:r>
      <w:r>
        <w:t>Mullins calculate his adjustment IN-1 correctly?</w:t>
      </w:r>
    </w:p>
    <w:p w:rsidR="00E140EF" w:rsidRPr="00E140EF" w:rsidRDefault="00E140EF" w:rsidP="00E140EF">
      <w:pPr>
        <w:pStyle w:val="answer"/>
      </w:pPr>
      <w:r>
        <w:t>A.</w:t>
      </w:r>
      <w:r>
        <w:tab/>
        <w:t>No.</w:t>
      </w:r>
      <w:r w:rsidR="00F26B15">
        <w:t xml:space="preserve"> </w:t>
      </w:r>
      <w:r w:rsidR="0077523D">
        <w:t>Mr. </w:t>
      </w:r>
      <w:r w:rsidRPr="00E140EF">
        <w:t>Mullins provides a calculation of his proposed regulatory asset with carrying charges in his Exhibit</w:t>
      </w:r>
      <w:r w:rsidR="006036B7">
        <w:t> </w:t>
      </w:r>
      <w:r w:rsidRPr="00E140EF">
        <w:t>BGM-6.</w:t>
      </w:r>
      <w:r w:rsidR="00F26B15">
        <w:t xml:space="preserve"> </w:t>
      </w:r>
      <w:r w:rsidR="0077523D">
        <w:t>Mr. </w:t>
      </w:r>
      <w:r w:rsidRPr="00E140EF">
        <w:t>Mullins</w:t>
      </w:r>
      <w:r w:rsidR="00E462EF">
        <w:t>’</w:t>
      </w:r>
      <w:r w:rsidRPr="00E140EF">
        <w:t xml:space="preserve"> exhibit contains a calculation error</w:t>
      </w:r>
      <w:r w:rsidR="006036B7">
        <w:t xml:space="preserve"> in that </w:t>
      </w:r>
      <w:r w:rsidRPr="00E140EF">
        <w:t>he only provides one-half of the carrying charges he recommends.</w:t>
      </w:r>
      <w:r w:rsidR="00F26B15">
        <w:t xml:space="preserve"> </w:t>
      </w:r>
      <w:r w:rsidRPr="00E140EF">
        <w:t>I have included Exhibit</w:t>
      </w:r>
      <w:r w:rsidR="006036B7">
        <w:t> </w:t>
      </w:r>
      <w:r w:rsidRPr="00E140EF">
        <w:t>KJB-40</w:t>
      </w:r>
      <w:r w:rsidR="006036B7">
        <w:t>,</w:t>
      </w:r>
      <w:r w:rsidRPr="00E140EF">
        <w:t xml:space="preserve"> which shows the required correction to page</w:t>
      </w:r>
      <w:r w:rsidR="006036B7">
        <w:t> </w:t>
      </w:r>
      <w:r w:rsidRPr="00E140EF">
        <w:t xml:space="preserve">1 of </w:t>
      </w:r>
      <w:r w:rsidR="006036B7">
        <w:t>Exhibit </w:t>
      </w:r>
      <w:r w:rsidRPr="00E140EF">
        <w:t xml:space="preserve">BGM-6 that would be required if the Commission were to accept </w:t>
      </w:r>
      <w:r w:rsidR="0077523D">
        <w:t>Mr. </w:t>
      </w:r>
      <w:r w:rsidRPr="00E140EF">
        <w:t>Mullins</w:t>
      </w:r>
      <w:r w:rsidR="00E462EF">
        <w:t>’</w:t>
      </w:r>
      <w:r w:rsidRPr="00E140EF">
        <w:t xml:space="preserve"> position, which PSE oppose</w:t>
      </w:r>
      <w:r w:rsidR="006036B7">
        <w:t>s</w:t>
      </w:r>
      <w:r w:rsidRPr="00E140EF">
        <w:t>.</w:t>
      </w:r>
    </w:p>
    <w:p w:rsidR="003203C6" w:rsidRPr="00C901D7" w:rsidRDefault="000A2CE8" w:rsidP="003203C6">
      <w:pPr>
        <w:pStyle w:val="question"/>
      </w:pPr>
      <w:r w:rsidRPr="00342134">
        <w:rPr>
          <w:bCs/>
        </w:rPr>
        <w:t>Q.</w:t>
      </w:r>
      <w:r w:rsidR="003203C6">
        <w:tab/>
        <w:t xml:space="preserve">Is </w:t>
      </w:r>
      <w:r w:rsidR="0077523D">
        <w:t>Mr. </w:t>
      </w:r>
      <w:r w:rsidR="003203C6">
        <w:t>Mullin</w:t>
      </w:r>
      <w:r w:rsidR="0001368A">
        <w:t>s</w:t>
      </w:r>
      <w:r w:rsidR="00E462EF">
        <w:t>’</w:t>
      </w:r>
      <w:r w:rsidR="003203C6">
        <w:t xml:space="preserve"> proposal to </w:t>
      </w:r>
      <w:r w:rsidR="003203C6" w:rsidRPr="00C901D7">
        <w:t>include those costs in a separate tracker</w:t>
      </w:r>
      <w:r w:rsidR="003203C6">
        <w:t xml:space="preserve"> necessary</w:t>
      </w:r>
      <w:r w:rsidR="003203C6" w:rsidRPr="00C901D7">
        <w:t>?</w:t>
      </w:r>
    </w:p>
    <w:p w:rsidR="003203C6" w:rsidRDefault="000A2CE8" w:rsidP="003203C6">
      <w:pPr>
        <w:pStyle w:val="answer"/>
      </w:pPr>
      <w:r>
        <w:t>A.</w:t>
      </w:r>
      <w:r w:rsidR="003203C6">
        <w:tab/>
      </w:r>
      <w:r w:rsidR="006036B7">
        <w:t xml:space="preserve">No. </w:t>
      </w:r>
      <w:r w:rsidR="003203C6">
        <w:t xml:space="preserve">Although the idea of a tracker may hold some appeal because the recovery of the unrecovered plant would </w:t>
      </w:r>
      <w:r w:rsidR="006F1665">
        <w:t>more closely track</w:t>
      </w:r>
      <w:r w:rsidR="003203C6">
        <w:t xml:space="preserve"> </w:t>
      </w:r>
      <w:r w:rsidR="00DA6161">
        <w:t>PSE</w:t>
      </w:r>
      <w:r w:rsidR="00E462EF">
        <w:t>’</w:t>
      </w:r>
      <w:r w:rsidR="003203C6">
        <w:t xml:space="preserve">s costs, it is curious that ICNU would propose a tracker </w:t>
      </w:r>
      <w:r w:rsidR="00BC263B">
        <w:t xml:space="preserve">considering </w:t>
      </w:r>
      <w:r w:rsidR="001A716F">
        <w:t xml:space="preserve">it </w:t>
      </w:r>
      <w:r w:rsidR="00BC263B">
        <w:t xml:space="preserve">currently </w:t>
      </w:r>
      <w:r w:rsidR="00BA4618">
        <w:t>opposes</w:t>
      </w:r>
      <w:r w:rsidR="00BC263B">
        <w:t xml:space="preserve"> the </w:t>
      </w:r>
      <w:proofErr w:type="spellStart"/>
      <w:r w:rsidR="00BC263B">
        <w:t>ECRM</w:t>
      </w:r>
      <w:proofErr w:type="spellEnd"/>
      <w:r w:rsidR="00BC263B">
        <w:t xml:space="preserve"> because it is a tracking mechanism.</w:t>
      </w:r>
      <w:r w:rsidR="00F26B15">
        <w:t xml:space="preserve"> </w:t>
      </w:r>
    </w:p>
    <w:p w:rsidR="003203C6" w:rsidRPr="00C901D7" w:rsidRDefault="000A2CE8" w:rsidP="003203C6">
      <w:pPr>
        <w:pStyle w:val="question"/>
      </w:pPr>
      <w:r w:rsidRPr="00342134">
        <w:rPr>
          <w:bCs/>
        </w:rPr>
        <w:lastRenderedPageBreak/>
        <w:t>Q.</w:t>
      </w:r>
      <w:r w:rsidR="003203C6">
        <w:tab/>
        <w:t>H</w:t>
      </w:r>
      <w:r w:rsidR="0001368A">
        <w:t xml:space="preserve">ow do you respond to </w:t>
      </w:r>
      <w:r w:rsidR="0077523D">
        <w:t>Mr. </w:t>
      </w:r>
      <w:r w:rsidR="0001368A">
        <w:t>Mullin</w:t>
      </w:r>
      <w:r w:rsidR="003203C6">
        <w:t>s</w:t>
      </w:r>
      <w:r w:rsidR="00E462EF">
        <w:t>’</w:t>
      </w:r>
      <w:r w:rsidR="003203C6">
        <w:t xml:space="preserve"> proposal to require that any capital expenditures to plant aside from those included in the test year be included in the separate tracker </w:t>
      </w:r>
      <w:r w:rsidR="00E168D4">
        <w:t xml:space="preserve">with </w:t>
      </w:r>
      <w:r w:rsidR="003203C6">
        <w:t xml:space="preserve">a prudency determination </w:t>
      </w:r>
      <w:r w:rsidR="00E168D4">
        <w:t>required for</w:t>
      </w:r>
      <w:r w:rsidR="003203C6">
        <w:t xml:space="preserve"> every asset</w:t>
      </w:r>
      <w:r w:rsidR="003203C6" w:rsidRPr="00C901D7">
        <w:t>?</w:t>
      </w:r>
      <w:r w:rsidR="001215EF">
        <w:rPr>
          <w:rStyle w:val="FootnoteReference"/>
        </w:rPr>
        <w:footnoteReference w:id="39"/>
      </w:r>
    </w:p>
    <w:p w:rsidR="003203C6" w:rsidRDefault="000A2CE8" w:rsidP="003203C6">
      <w:pPr>
        <w:pStyle w:val="answer"/>
      </w:pPr>
      <w:r>
        <w:t>A.</w:t>
      </w:r>
      <w:r w:rsidR="003203C6">
        <w:tab/>
      </w:r>
      <w:r w:rsidR="006036B7">
        <w:t>I</w:t>
      </w:r>
      <w:r w:rsidR="003203C6">
        <w:t xml:space="preserve">t is </w:t>
      </w:r>
      <w:r w:rsidR="006036B7">
        <w:t>un</w:t>
      </w:r>
      <w:r w:rsidR="003203C6">
        <w:t xml:space="preserve">necessary to have a separate tracker to conduct the review of capital expenditures at </w:t>
      </w:r>
      <w:r w:rsidR="0099661A">
        <w:t>Colstrip Units 1 </w:t>
      </w:r>
      <w:r w:rsidR="007D56A5">
        <w:rPr>
          <w:bCs/>
        </w:rPr>
        <w:t>and</w:t>
      </w:r>
      <w:r w:rsidR="0099661A">
        <w:t> 2</w:t>
      </w:r>
      <w:r w:rsidR="003203C6">
        <w:t>.</w:t>
      </w:r>
      <w:r w:rsidR="00F26B15">
        <w:t xml:space="preserve"> </w:t>
      </w:r>
      <w:r w:rsidR="003203C6">
        <w:t>Plant related to Colstrip is tracked through PSE</w:t>
      </w:r>
      <w:r w:rsidR="00E462EF">
        <w:t>’</w:t>
      </w:r>
      <w:r w:rsidR="003203C6">
        <w:t>s property accounting system and the information can be reviewed irrespective of those assets being placed in a tracker.</w:t>
      </w:r>
      <w:r w:rsidR="00F26B15">
        <w:t xml:space="preserve"> </w:t>
      </w:r>
      <w:r w:rsidR="003203C6">
        <w:t>Similarly, the establishment of retirement account</w:t>
      </w:r>
      <w:r w:rsidR="00BA4618">
        <w:t>s</w:t>
      </w:r>
      <w:r w:rsidR="003203C6">
        <w:t xml:space="preserve"> for Colstrip, where the existing </w:t>
      </w:r>
      <w:r w:rsidR="00E168D4">
        <w:t xml:space="preserve">Treasury </w:t>
      </w:r>
      <w:r w:rsidR="007630E5">
        <w:t>G</w:t>
      </w:r>
      <w:r w:rsidR="003203C6">
        <w:t xml:space="preserve">rants and future proceeds from </w:t>
      </w:r>
      <w:r w:rsidR="00195345">
        <w:t>Production Tax Credits (</w:t>
      </w:r>
      <w:r w:rsidR="00E462EF">
        <w:t>“</w:t>
      </w:r>
      <w:r w:rsidR="003203C6">
        <w:t>PTCs</w:t>
      </w:r>
      <w:r w:rsidR="00E462EF">
        <w:t>”</w:t>
      </w:r>
      <w:r w:rsidR="00195345">
        <w:t>)</w:t>
      </w:r>
      <w:r w:rsidR="003203C6">
        <w:t xml:space="preserve"> will be transferred</w:t>
      </w:r>
      <w:r w:rsidR="0001368A">
        <w:t xml:space="preserve"> if </w:t>
      </w:r>
      <w:r w:rsidR="00DA6161">
        <w:t>PSE</w:t>
      </w:r>
      <w:r w:rsidR="00E462EF">
        <w:t>’</w:t>
      </w:r>
      <w:r w:rsidR="00E168D4">
        <w:t xml:space="preserve">s </w:t>
      </w:r>
      <w:r w:rsidR="0001368A">
        <w:t>proposal is accepted</w:t>
      </w:r>
      <w:r w:rsidR="00E168D4">
        <w:t>,</w:t>
      </w:r>
      <w:r w:rsidR="003203C6">
        <w:t xml:space="preserve"> will allow for the transparency that </w:t>
      </w:r>
      <w:r w:rsidR="0077523D">
        <w:t>Mr. </w:t>
      </w:r>
      <w:r w:rsidR="003203C6">
        <w:t>Mullins is requesting.</w:t>
      </w:r>
      <w:r w:rsidR="00F26B15">
        <w:t xml:space="preserve"> </w:t>
      </w:r>
    </w:p>
    <w:p w:rsidR="003203C6" w:rsidRPr="00A0273C" w:rsidRDefault="000A2CE8" w:rsidP="003203C6">
      <w:pPr>
        <w:pStyle w:val="question"/>
      </w:pPr>
      <w:r w:rsidRPr="00342134">
        <w:rPr>
          <w:bCs/>
        </w:rPr>
        <w:t>Q.</w:t>
      </w:r>
      <w:r w:rsidR="003203C6">
        <w:tab/>
        <w:t>What is Sierra Club</w:t>
      </w:r>
      <w:r w:rsidR="00E462EF">
        <w:t>’</w:t>
      </w:r>
      <w:r w:rsidR="003203C6">
        <w:t>s position regarding the appropriate depreciation rates for the Colstrip assets?</w:t>
      </w:r>
    </w:p>
    <w:p w:rsidR="003203C6" w:rsidRDefault="000A2CE8" w:rsidP="003203C6">
      <w:pPr>
        <w:pStyle w:val="answer"/>
        <w:rPr>
          <w:bCs/>
        </w:rPr>
      </w:pPr>
      <w:r>
        <w:t>A.</w:t>
      </w:r>
      <w:r w:rsidR="003203C6">
        <w:rPr>
          <w:bCs/>
        </w:rPr>
        <w:tab/>
        <w:t xml:space="preserve">Sierra Club witness </w:t>
      </w:r>
      <w:r w:rsidR="00CB70CB">
        <w:t>D</w:t>
      </w:r>
      <w:r w:rsidR="0077523D">
        <w:t>r. </w:t>
      </w:r>
      <w:r w:rsidR="006F1665">
        <w:rPr>
          <w:bCs/>
        </w:rPr>
        <w:t xml:space="preserve">Ezra D. </w:t>
      </w:r>
      <w:proofErr w:type="spellStart"/>
      <w:r w:rsidR="003203C6">
        <w:rPr>
          <w:bCs/>
        </w:rPr>
        <w:t>Hausman</w:t>
      </w:r>
      <w:proofErr w:type="spellEnd"/>
      <w:r w:rsidR="006F1665">
        <w:rPr>
          <w:bCs/>
        </w:rPr>
        <w:t>, Ph.D.</w:t>
      </w:r>
      <w:r w:rsidR="003203C6">
        <w:rPr>
          <w:bCs/>
        </w:rPr>
        <w:t xml:space="preserve"> has </w:t>
      </w:r>
      <w:r w:rsidR="00CB70CB">
        <w:rPr>
          <w:bCs/>
        </w:rPr>
        <w:t xml:space="preserve">neither </w:t>
      </w:r>
      <w:r w:rsidR="003203C6">
        <w:rPr>
          <w:bCs/>
        </w:rPr>
        <w:t xml:space="preserve">prepared a revenue requirement analysis nor proposed </w:t>
      </w:r>
      <w:r w:rsidR="00F76D62">
        <w:rPr>
          <w:bCs/>
        </w:rPr>
        <w:t xml:space="preserve">a </w:t>
      </w:r>
      <w:r w:rsidR="003203C6">
        <w:rPr>
          <w:bCs/>
        </w:rPr>
        <w:t xml:space="preserve">specific adjustment to </w:t>
      </w:r>
      <w:r w:rsidR="00CB70CB">
        <w:rPr>
          <w:bCs/>
        </w:rPr>
        <w:t xml:space="preserve">PSE’s </w:t>
      </w:r>
      <w:r w:rsidR="003203C6">
        <w:rPr>
          <w:bCs/>
        </w:rPr>
        <w:t>revenue requirement calculations</w:t>
      </w:r>
      <w:r w:rsidR="00CB70CB">
        <w:rPr>
          <w:bCs/>
        </w:rPr>
        <w:t xml:space="preserve">. Therefore, </w:t>
      </w:r>
      <w:r w:rsidR="0001368A">
        <w:rPr>
          <w:bCs/>
        </w:rPr>
        <w:t xml:space="preserve">it is unclear what </w:t>
      </w:r>
      <w:r w:rsidR="00CB70CB">
        <w:rPr>
          <w:bCs/>
        </w:rPr>
        <w:t xml:space="preserve">Sierra Club </w:t>
      </w:r>
      <w:r w:rsidR="003203C6">
        <w:rPr>
          <w:bCs/>
        </w:rPr>
        <w:t>specific</w:t>
      </w:r>
      <w:r w:rsidR="00E140EF">
        <w:rPr>
          <w:bCs/>
        </w:rPr>
        <w:t>ally proposes</w:t>
      </w:r>
      <w:r w:rsidR="003203C6">
        <w:rPr>
          <w:bCs/>
        </w:rPr>
        <w:t xml:space="preserve"> regarding </w:t>
      </w:r>
      <w:r w:rsidR="00F26B15">
        <w:t>Colstrip Units 1 </w:t>
      </w:r>
      <w:r w:rsidR="007D56A5">
        <w:rPr>
          <w:bCs/>
        </w:rPr>
        <w:t>and</w:t>
      </w:r>
      <w:r w:rsidR="00F26B15">
        <w:t> 2</w:t>
      </w:r>
      <w:r w:rsidR="003203C6">
        <w:rPr>
          <w:bCs/>
        </w:rPr>
        <w:t>.</w:t>
      </w:r>
      <w:r w:rsidR="00F26B15">
        <w:rPr>
          <w:bCs/>
        </w:rPr>
        <w:t xml:space="preserve"> </w:t>
      </w:r>
      <w:r w:rsidR="003203C6">
        <w:rPr>
          <w:bCs/>
        </w:rPr>
        <w:t xml:space="preserve">Despite the lack of clarity regarding </w:t>
      </w:r>
      <w:r w:rsidR="0001368A">
        <w:rPr>
          <w:bCs/>
        </w:rPr>
        <w:t>Sierra Club</w:t>
      </w:r>
      <w:r w:rsidR="00E462EF">
        <w:rPr>
          <w:bCs/>
        </w:rPr>
        <w:t>’</w:t>
      </w:r>
      <w:r w:rsidR="0001368A">
        <w:rPr>
          <w:bCs/>
        </w:rPr>
        <w:t>s</w:t>
      </w:r>
      <w:r w:rsidR="003203C6">
        <w:rPr>
          <w:bCs/>
        </w:rPr>
        <w:t xml:space="preserve"> proposal for </w:t>
      </w:r>
      <w:r w:rsidR="00F26B15">
        <w:t>Colstrip Units 1 </w:t>
      </w:r>
      <w:r w:rsidR="007D56A5">
        <w:rPr>
          <w:bCs/>
        </w:rPr>
        <w:t>and</w:t>
      </w:r>
      <w:r w:rsidR="00F26B15">
        <w:t> 2</w:t>
      </w:r>
      <w:r w:rsidR="003203C6">
        <w:rPr>
          <w:bCs/>
        </w:rPr>
        <w:t xml:space="preserve">, it is clear they are advocating for a shorter life for </w:t>
      </w:r>
      <w:r w:rsidR="00F26B15">
        <w:t>Colstrip Units 3 </w:t>
      </w:r>
      <w:r w:rsidR="007D56A5">
        <w:rPr>
          <w:bCs/>
        </w:rPr>
        <w:t>and</w:t>
      </w:r>
      <w:r w:rsidR="00F26B15">
        <w:t> 4</w:t>
      </w:r>
      <w:r w:rsidR="00CB70CB">
        <w:t>.</w:t>
      </w:r>
      <w:r w:rsidR="00F26B15">
        <w:t xml:space="preserve"> </w:t>
      </w:r>
      <w:r w:rsidR="00CB70CB">
        <w:rPr>
          <w:bCs/>
        </w:rPr>
        <w:t>I</w:t>
      </w:r>
      <w:r w:rsidR="003203C6">
        <w:rPr>
          <w:bCs/>
        </w:rPr>
        <w:t xml:space="preserve">f the life for </w:t>
      </w:r>
      <w:r w:rsidR="00F26B15">
        <w:t>Colstrip Units 3 </w:t>
      </w:r>
      <w:r w:rsidR="007D56A5">
        <w:rPr>
          <w:bCs/>
        </w:rPr>
        <w:t>and</w:t>
      </w:r>
      <w:r w:rsidR="00F26B15">
        <w:t xml:space="preserve"> 4 </w:t>
      </w:r>
      <w:r w:rsidR="003203C6">
        <w:rPr>
          <w:bCs/>
        </w:rPr>
        <w:lastRenderedPageBreak/>
        <w:t>were shortened to 2025</w:t>
      </w:r>
      <w:r w:rsidR="00CB70CB">
        <w:rPr>
          <w:bCs/>
        </w:rPr>
        <w:t>, as suggested by Sierra Club</w:t>
      </w:r>
      <w:r w:rsidR="003203C6">
        <w:rPr>
          <w:bCs/>
        </w:rPr>
        <w:t xml:space="preserve">, the impact to revenue requirement would be </w:t>
      </w:r>
      <w:r w:rsidR="0001368A">
        <w:rPr>
          <w:bCs/>
        </w:rPr>
        <w:t xml:space="preserve">approximately </w:t>
      </w:r>
      <w:r w:rsidR="003203C6">
        <w:rPr>
          <w:bCs/>
        </w:rPr>
        <w:t>$16 mill</w:t>
      </w:r>
      <w:r w:rsidR="0001368A">
        <w:rPr>
          <w:bCs/>
        </w:rPr>
        <w:t>i</w:t>
      </w:r>
      <w:r w:rsidR="003203C6">
        <w:rPr>
          <w:bCs/>
        </w:rPr>
        <w:t>on</w:t>
      </w:r>
      <w:r w:rsidR="00E168D4">
        <w:rPr>
          <w:bCs/>
        </w:rPr>
        <w:t>.</w:t>
      </w:r>
      <w:r w:rsidR="003203C6">
        <w:rPr>
          <w:rStyle w:val="FootnoteReference"/>
          <w:bCs/>
        </w:rPr>
        <w:footnoteReference w:id="40"/>
      </w:r>
    </w:p>
    <w:p w:rsidR="003203C6" w:rsidRPr="00A0273C" w:rsidRDefault="000A2CE8" w:rsidP="003203C6">
      <w:pPr>
        <w:pStyle w:val="question"/>
      </w:pPr>
      <w:r w:rsidRPr="00342134">
        <w:rPr>
          <w:bCs/>
        </w:rPr>
        <w:t>Q.</w:t>
      </w:r>
      <w:r w:rsidR="003203C6">
        <w:tab/>
      </w:r>
      <w:r w:rsidR="004D007B">
        <w:t xml:space="preserve">Please explain the lack of clarity in </w:t>
      </w:r>
      <w:r w:rsidR="003203C6">
        <w:t>Sierra Club</w:t>
      </w:r>
      <w:r w:rsidR="00E462EF">
        <w:t>’</w:t>
      </w:r>
      <w:r w:rsidR="003203C6">
        <w:t>s</w:t>
      </w:r>
      <w:r w:rsidR="004D007B">
        <w:t xml:space="preserve"> testimony regarding depreciation rates for </w:t>
      </w:r>
      <w:r w:rsidR="00F26B15">
        <w:t>Colstrip Units 1 </w:t>
      </w:r>
      <w:r w:rsidR="007D56A5">
        <w:rPr>
          <w:bCs/>
        </w:rPr>
        <w:t>and</w:t>
      </w:r>
      <w:r w:rsidR="00F26B15">
        <w:t> 2</w:t>
      </w:r>
      <w:r w:rsidR="00E140EF">
        <w:t>.</w:t>
      </w:r>
    </w:p>
    <w:p w:rsidR="004D007B" w:rsidRDefault="000A2CE8" w:rsidP="00C406BD">
      <w:pPr>
        <w:pStyle w:val="answer"/>
      </w:pPr>
      <w:r>
        <w:t>A.</w:t>
      </w:r>
      <w:r w:rsidR="003203C6">
        <w:rPr>
          <w:bCs/>
        </w:rPr>
        <w:tab/>
      </w:r>
      <w:r w:rsidR="00CB70CB">
        <w:t>D</w:t>
      </w:r>
      <w:r w:rsidR="0077523D">
        <w:t>r. </w:t>
      </w:r>
      <w:proofErr w:type="spellStart"/>
      <w:r w:rsidR="004D007B">
        <w:rPr>
          <w:bCs/>
        </w:rPr>
        <w:t>Hausman</w:t>
      </w:r>
      <w:proofErr w:type="spellEnd"/>
      <w:r w:rsidR="004D007B">
        <w:rPr>
          <w:bCs/>
        </w:rPr>
        <w:t xml:space="preserve"> </w:t>
      </w:r>
      <w:r w:rsidR="00CB70CB">
        <w:rPr>
          <w:bCs/>
        </w:rPr>
        <w:t xml:space="preserve">neither </w:t>
      </w:r>
      <w:r w:rsidR="004D007B">
        <w:rPr>
          <w:bCs/>
        </w:rPr>
        <w:t>question</w:t>
      </w:r>
      <w:r w:rsidR="00CB70CB">
        <w:rPr>
          <w:bCs/>
        </w:rPr>
        <w:t>s</w:t>
      </w:r>
      <w:r w:rsidR="004D007B">
        <w:rPr>
          <w:bCs/>
        </w:rPr>
        <w:t xml:space="preserve"> the proposed depreciation life for </w:t>
      </w:r>
      <w:r w:rsidR="00F26B15">
        <w:t>Colstrip Units 1 </w:t>
      </w:r>
      <w:r w:rsidR="007D56A5">
        <w:rPr>
          <w:bCs/>
        </w:rPr>
        <w:t>and</w:t>
      </w:r>
      <w:r w:rsidR="00F26B15">
        <w:t xml:space="preserve"> 2 </w:t>
      </w:r>
      <w:r w:rsidR="00CB70CB">
        <w:rPr>
          <w:bCs/>
        </w:rPr>
        <w:t xml:space="preserve">nor </w:t>
      </w:r>
      <w:r w:rsidR="004D007B">
        <w:rPr>
          <w:bCs/>
        </w:rPr>
        <w:t>challenge</w:t>
      </w:r>
      <w:r w:rsidR="00CB70CB">
        <w:rPr>
          <w:bCs/>
        </w:rPr>
        <w:t>s</w:t>
      </w:r>
      <w:r w:rsidR="004D007B">
        <w:rPr>
          <w:bCs/>
        </w:rPr>
        <w:t xml:space="preserve"> </w:t>
      </w:r>
      <w:r w:rsidR="00DA6161">
        <w:t>PSE</w:t>
      </w:r>
      <w:r w:rsidR="00E462EF">
        <w:rPr>
          <w:bCs/>
        </w:rPr>
        <w:t>’</w:t>
      </w:r>
      <w:r w:rsidR="00E168D4">
        <w:rPr>
          <w:bCs/>
        </w:rPr>
        <w:t xml:space="preserve">s </w:t>
      </w:r>
      <w:r w:rsidR="004D007B">
        <w:rPr>
          <w:bCs/>
        </w:rPr>
        <w:t>proposed depreciation study adjustment</w:t>
      </w:r>
      <w:r w:rsidR="00CB70CB" w:rsidRPr="00CB70CB">
        <w:rPr>
          <w:bCs/>
        </w:rPr>
        <w:t xml:space="preserve"> </w:t>
      </w:r>
      <w:r w:rsidR="00CB70CB">
        <w:rPr>
          <w:bCs/>
        </w:rPr>
        <w:t>directly</w:t>
      </w:r>
      <w:r w:rsidR="004D007B">
        <w:rPr>
          <w:bCs/>
        </w:rPr>
        <w:t>.</w:t>
      </w:r>
      <w:r w:rsidR="00F26B15">
        <w:rPr>
          <w:bCs/>
        </w:rPr>
        <w:t xml:space="preserve"> </w:t>
      </w:r>
      <w:r w:rsidR="0001368A">
        <w:rPr>
          <w:bCs/>
        </w:rPr>
        <w:t xml:space="preserve">However, </w:t>
      </w:r>
      <w:r w:rsidR="00CB70CB">
        <w:t>Dr. </w:t>
      </w:r>
      <w:proofErr w:type="spellStart"/>
      <w:r w:rsidR="00CB70CB">
        <w:rPr>
          <w:bCs/>
        </w:rPr>
        <w:t>Hausman’s</w:t>
      </w:r>
      <w:proofErr w:type="spellEnd"/>
      <w:r w:rsidR="00CB70CB">
        <w:rPr>
          <w:bCs/>
        </w:rPr>
        <w:t xml:space="preserve"> </w:t>
      </w:r>
      <w:r w:rsidR="003203C6">
        <w:rPr>
          <w:bCs/>
        </w:rPr>
        <w:t>reference to the GAAP regulatory asset</w:t>
      </w:r>
      <w:r w:rsidR="004D007B">
        <w:rPr>
          <w:bCs/>
        </w:rPr>
        <w:t xml:space="preserve"> and the </w:t>
      </w:r>
      <w:r w:rsidR="00E462EF">
        <w:rPr>
          <w:bCs/>
        </w:rPr>
        <w:t>“</w:t>
      </w:r>
      <w:r w:rsidR="00CB70CB" w:rsidRPr="00CB70CB">
        <w:rPr>
          <w:bCs/>
        </w:rPr>
        <w:t>$176.8 million undepreciated balance</w:t>
      </w:r>
      <w:r w:rsidR="00CB70CB">
        <w:rPr>
          <w:bCs/>
        </w:rPr>
        <w:t>”</w:t>
      </w:r>
      <w:r w:rsidR="00CB70CB">
        <w:rPr>
          <w:rStyle w:val="FootnoteReference"/>
          <w:bCs/>
        </w:rPr>
        <w:footnoteReference w:id="41"/>
      </w:r>
      <w:r w:rsidR="00CB70CB">
        <w:rPr>
          <w:bCs/>
        </w:rPr>
        <w:t xml:space="preserve"> </w:t>
      </w:r>
      <w:r w:rsidR="004D007B">
        <w:rPr>
          <w:bCs/>
        </w:rPr>
        <w:t xml:space="preserve">implies that there would be </w:t>
      </w:r>
      <w:r w:rsidR="00CB70CB">
        <w:rPr>
          <w:bCs/>
        </w:rPr>
        <w:t xml:space="preserve">no </w:t>
      </w:r>
      <w:r w:rsidR="004D007B">
        <w:rPr>
          <w:bCs/>
        </w:rPr>
        <w:t xml:space="preserve">change to the depreciation rates for </w:t>
      </w:r>
      <w:r w:rsidR="0099661A">
        <w:t>Colstrip Units 1 </w:t>
      </w:r>
      <w:r w:rsidR="007D56A5">
        <w:rPr>
          <w:bCs/>
        </w:rPr>
        <w:t>and</w:t>
      </w:r>
      <w:r w:rsidR="0099661A">
        <w:t> 2</w:t>
      </w:r>
      <w:r w:rsidR="004D007B">
        <w:rPr>
          <w:bCs/>
        </w:rPr>
        <w:t>.</w:t>
      </w:r>
      <w:r w:rsidR="00F26B15">
        <w:rPr>
          <w:bCs/>
        </w:rPr>
        <w:t xml:space="preserve"> </w:t>
      </w:r>
      <w:r w:rsidR="00C406BD">
        <w:rPr>
          <w:bCs/>
        </w:rPr>
        <w:t xml:space="preserve">As discussed in the </w:t>
      </w:r>
      <w:proofErr w:type="spellStart"/>
      <w:r w:rsidR="006F1665">
        <w:rPr>
          <w:bCs/>
        </w:rPr>
        <w:t>P</w:t>
      </w:r>
      <w:r w:rsidR="00C406BD">
        <w:rPr>
          <w:bCs/>
        </w:rPr>
        <w:t>refiled</w:t>
      </w:r>
      <w:proofErr w:type="spellEnd"/>
      <w:r w:rsidR="00C406BD">
        <w:rPr>
          <w:bCs/>
        </w:rPr>
        <w:t xml:space="preserve"> </w:t>
      </w:r>
      <w:r w:rsidR="006F1665">
        <w:rPr>
          <w:bCs/>
        </w:rPr>
        <w:t>R</w:t>
      </w:r>
      <w:r w:rsidR="00C406BD">
        <w:rPr>
          <w:bCs/>
        </w:rPr>
        <w:t xml:space="preserve">ebuttal </w:t>
      </w:r>
      <w:r w:rsidR="00E168D4">
        <w:rPr>
          <w:bCs/>
        </w:rPr>
        <w:t xml:space="preserve">Testimony </w:t>
      </w:r>
      <w:r w:rsidR="00C406BD">
        <w:rPr>
          <w:bCs/>
        </w:rPr>
        <w:t xml:space="preserve">of Matthew </w:t>
      </w:r>
      <w:r w:rsidR="00277BED">
        <w:rPr>
          <w:bCs/>
        </w:rPr>
        <w:t xml:space="preserve">R. </w:t>
      </w:r>
      <w:r w:rsidR="00C406BD">
        <w:rPr>
          <w:bCs/>
        </w:rPr>
        <w:t xml:space="preserve">Marcelia, </w:t>
      </w:r>
      <w:r w:rsidR="00E168D4">
        <w:rPr>
          <w:bCs/>
        </w:rPr>
        <w:t>Exhibit MRM-1T,</w:t>
      </w:r>
      <w:r w:rsidR="00CB70CB">
        <w:rPr>
          <w:rStyle w:val="FootnoteReference"/>
          <w:bCs/>
        </w:rPr>
        <w:footnoteReference w:id="42"/>
      </w:r>
      <w:r w:rsidR="00E168D4">
        <w:rPr>
          <w:bCs/>
        </w:rPr>
        <w:t xml:space="preserve"> </w:t>
      </w:r>
      <w:r w:rsidR="00C406BD">
        <w:rPr>
          <w:bCs/>
        </w:rPr>
        <w:t>the $176</w:t>
      </w:r>
      <w:r w:rsidR="00CB70CB">
        <w:rPr>
          <w:bCs/>
        </w:rPr>
        <w:t> </w:t>
      </w:r>
      <w:r w:rsidR="00C406BD">
        <w:rPr>
          <w:bCs/>
        </w:rPr>
        <w:t xml:space="preserve">million GAAP entry </w:t>
      </w:r>
      <w:r w:rsidR="00CB70CB">
        <w:rPr>
          <w:bCs/>
        </w:rPr>
        <w:t xml:space="preserve">to which </w:t>
      </w:r>
      <w:r w:rsidR="0077523D">
        <w:t>Mr. </w:t>
      </w:r>
      <w:proofErr w:type="spellStart"/>
      <w:r w:rsidR="00C406BD">
        <w:rPr>
          <w:bCs/>
        </w:rPr>
        <w:t>Hausman</w:t>
      </w:r>
      <w:proofErr w:type="spellEnd"/>
      <w:r w:rsidR="00C406BD">
        <w:rPr>
          <w:bCs/>
        </w:rPr>
        <w:t xml:space="preserve"> </w:t>
      </w:r>
      <w:r w:rsidR="00CB70CB">
        <w:rPr>
          <w:bCs/>
        </w:rPr>
        <w:t xml:space="preserve">refers </w:t>
      </w:r>
      <w:r w:rsidR="00C406BD">
        <w:rPr>
          <w:bCs/>
        </w:rPr>
        <w:t xml:space="preserve">is based on the assumption that the depreciation rates for </w:t>
      </w:r>
      <w:r w:rsidR="0099661A">
        <w:t>Colstrip Units 1 </w:t>
      </w:r>
      <w:r w:rsidR="007D56A5">
        <w:rPr>
          <w:bCs/>
        </w:rPr>
        <w:t>and</w:t>
      </w:r>
      <w:r w:rsidR="0099661A">
        <w:t xml:space="preserve"> 2 </w:t>
      </w:r>
      <w:r w:rsidR="00C406BD">
        <w:rPr>
          <w:bCs/>
        </w:rPr>
        <w:t>do not change from the current level.</w:t>
      </w:r>
      <w:r w:rsidR="00F26B15">
        <w:rPr>
          <w:bCs/>
        </w:rPr>
        <w:t xml:space="preserve"> </w:t>
      </w:r>
      <w:r w:rsidR="00C406BD">
        <w:rPr>
          <w:bCs/>
        </w:rPr>
        <w:t xml:space="preserve">It is unclear if </w:t>
      </w:r>
      <w:r w:rsidR="0077523D">
        <w:t>Mr. </w:t>
      </w:r>
      <w:proofErr w:type="spellStart"/>
      <w:r w:rsidR="00C406BD">
        <w:rPr>
          <w:bCs/>
        </w:rPr>
        <w:t>Hausman</w:t>
      </w:r>
      <w:proofErr w:type="spellEnd"/>
      <w:r w:rsidR="00C406BD">
        <w:rPr>
          <w:bCs/>
        </w:rPr>
        <w:t xml:space="preserve"> is making such a proposal, however, it seem</w:t>
      </w:r>
      <w:r w:rsidR="00E140EF">
        <w:rPr>
          <w:bCs/>
        </w:rPr>
        <w:t>s</w:t>
      </w:r>
      <w:r w:rsidR="00C406BD">
        <w:rPr>
          <w:bCs/>
        </w:rPr>
        <w:t xml:space="preserve"> disingenuous to </w:t>
      </w:r>
      <w:r w:rsidR="00E140EF">
        <w:rPr>
          <w:bCs/>
        </w:rPr>
        <w:t>advocate</w:t>
      </w:r>
      <w:r w:rsidR="00C406BD">
        <w:rPr>
          <w:bCs/>
        </w:rPr>
        <w:t xml:space="preserve"> for a shorter life for </w:t>
      </w:r>
      <w:r w:rsidR="00F26B15">
        <w:rPr>
          <w:bCs/>
        </w:rPr>
        <w:t xml:space="preserve">Colstrip </w:t>
      </w:r>
      <w:r w:rsidR="00C406BD">
        <w:rPr>
          <w:bCs/>
        </w:rPr>
        <w:t>Units</w:t>
      </w:r>
      <w:r w:rsidR="00F26B15">
        <w:rPr>
          <w:bCs/>
        </w:rPr>
        <w:t> </w:t>
      </w:r>
      <w:r w:rsidR="00C406BD">
        <w:rPr>
          <w:bCs/>
        </w:rPr>
        <w:t>3</w:t>
      </w:r>
      <w:r w:rsidR="00F26B15">
        <w:rPr>
          <w:bCs/>
        </w:rPr>
        <w:t> </w:t>
      </w:r>
      <w:r w:rsidR="007D56A5">
        <w:rPr>
          <w:bCs/>
        </w:rPr>
        <w:t>and</w:t>
      </w:r>
      <w:r w:rsidR="00F26B15">
        <w:rPr>
          <w:bCs/>
        </w:rPr>
        <w:t> </w:t>
      </w:r>
      <w:r w:rsidR="00C406BD">
        <w:rPr>
          <w:bCs/>
        </w:rPr>
        <w:t xml:space="preserve">4 and recognize the revenue requirement impact of such a change </w:t>
      </w:r>
      <w:r w:rsidR="00E140EF">
        <w:rPr>
          <w:bCs/>
        </w:rPr>
        <w:t>while ignoring</w:t>
      </w:r>
      <w:r w:rsidR="00C406BD">
        <w:rPr>
          <w:bCs/>
        </w:rPr>
        <w:t xml:space="preserve"> the requested change in depreciation lives for </w:t>
      </w:r>
      <w:r w:rsidR="00F26B15">
        <w:rPr>
          <w:bCs/>
        </w:rPr>
        <w:t xml:space="preserve">Colstrip </w:t>
      </w:r>
      <w:r w:rsidR="00C406BD">
        <w:rPr>
          <w:bCs/>
        </w:rPr>
        <w:t>Uni</w:t>
      </w:r>
      <w:r w:rsidR="00E140EF">
        <w:rPr>
          <w:bCs/>
        </w:rPr>
        <w:t>ts</w:t>
      </w:r>
      <w:r w:rsidR="00F26B15">
        <w:rPr>
          <w:bCs/>
        </w:rPr>
        <w:t> </w:t>
      </w:r>
      <w:r w:rsidR="00E140EF">
        <w:rPr>
          <w:bCs/>
        </w:rPr>
        <w:t>1</w:t>
      </w:r>
      <w:r w:rsidR="00F26B15">
        <w:rPr>
          <w:bCs/>
        </w:rPr>
        <w:t> </w:t>
      </w:r>
      <w:r w:rsidR="007D56A5">
        <w:rPr>
          <w:bCs/>
        </w:rPr>
        <w:t>and</w:t>
      </w:r>
      <w:r w:rsidR="00F26B15">
        <w:rPr>
          <w:bCs/>
        </w:rPr>
        <w:t> </w:t>
      </w:r>
      <w:r w:rsidR="00C406BD">
        <w:rPr>
          <w:bCs/>
        </w:rPr>
        <w:t>2</w:t>
      </w:r>
      <w:r w:rsidR="004D007B">
        <w:t>.</w:t>
      </w:r>
    </w:p>
    <w:p w:rsidR="004D007B" w:rsidRPr="007B2508" w:rsidRDefault="00C406BD" w:rsidP="00CB70CB">
      <w:pPr>
        <w:pStyle w:val="question"/>
      </w:pPr>
      <w:r>
        <w:lastRenderedPageBreak/>
        <w:t>Q</w:t>
      </w:r>
      <w:r w:rsidR="004D007B" w:rsidRPr="007B2508">
        <w:t>.</w:t>
      </w:r>
      <w:r w:rsidR="004D007B" w:rsidRPr="007B2508">
        <w:tab/>
        <w:t xml:space="preserve">If the Commission </w:t>
      </w:r>
      <w:r w:rsidR="00CB70CB">
        <w:t>were to adopt</w:t>
      </w:r>
      <w:r w:rsidR="004D007B" w:rsidRPr="007B2508">
        <w:t xml:space="preserve"> </w:t>
      </w:r>
      <w:r w:rsidR="00DA6161" w:rsidRPr="00DA6161">
        <w:t>PSE</w:t>
      </w:r>
      <w:r w:rsidR="00E462EF">
        <w:t>’</w:t>
      </w:r>
      <w:r w:rsidR="00E168D4" w:rsidRPr="007B2508">
        <w:t xml:space="preserve">s </w:t>
      </w:r>
      <w:r w:rsidR="004D007B" w:rsidRPr="007B2508">
        <w:t xml:space="preserve">proposed depreciation rates, </w:t>
      </w:r>
      <w:r w:rsidR="00CB70CB">
        <w:t xml:space="preserve">would </w:t>
      </w:r>
      <w:r w:rsidR="00F26B15" w:rsidRPr="00F26B15">
        <w:t>Colstrip Units 1 </w:t>
      </w:r>
      <w:r w:rsidR="007D56A5">
        <w:rPr>
          <w:bCs/>
        </w:rPr>
        <w:t>and</w:t>
      </w:r>
      <w:r w:rsidR="00F26B15" w:rsidRPr="00F26B15">
        <w:t> 2</w:t>
      </w:r>
      <w:r w:rsidR="00F26B15">
        <w:t xml:space="preserve"> </w:t>
      </w:r>
      <w:r w:rsidR="004D007B" w:rsidRPr="007B2508">
        <w:t>be fully depreciated by the</w:t>
      </w:r>
      <w:r w:rsidR="00CB70CB">
        <w:t xml:space="preserve"> </w:t>
      </w:r>
      <w:r w:rsidR="004D007B" w:rsidRPr="007B2508">
        <w:t>closure date</w:t>
      </w:r>
      <w:r w:rsidR="00CB70CB">
        <w:t xml:space="preserve"> of </w:t>
      </w:r>
      <w:r w:rsidR="00CB70CB" w:rsidRPr="007B2508">
        <w:t>July 1, 2022</w:t>
      </w:r>
      <w:r w:rsidR="004D007B" w:rsidRPr="007B2508">
        <w:t>?</w:t>
      </w:r>
    </w:p>
    <w:p w:rsidR="008552BC" w:rsidRDefault="004D007B" w:rsidP="008552BC">
      <w:pPr>
        <w:pStyle w:val="answer"/>
        <w:rPr>
          <w:bCs/>
        </w:rPr>
      </w:pPr>
      <w:r>
        <w:t>A.</w:t>
      </w:r>
      <w:r>
        <w:tab/>
        <w:t>No.</w:t>
      </w:r>
      <w:r w:rsidR="00F26B15">
        <w:t xml:space="preserve"> </w:t>
      </w:r>
      <w:r>
        <w:t xml:space="preserve">It is unlikely that </w:t>
      </w:r>
      <w:r w:rsidR="00F26B15">
        <w:t>Colstrip Units 1 </w:t>
      </w:r>
      <w:r w:rsidR="007D56A5">
        <w:rPr>
          <w:bCs/>
        </w:rPr>
        <w:t>and</w:t>
      </w:r>
      <w:r w:rsidR="00F26B15">
        <w:t xml:space="preserve"> 2 </w:t>
      </w:r>
      <w:r>
        <w:t>will be completely depreciated by the closure date</w:t>
      </w:r>
      <w:r w:rsidR="00C406BD">
        <w:t xml:space="preserve"> </w:t>
      </w:r>
      <w:r w:rsidR="00CB70CB">
        <w:t xml:space="preserve">of July 1, 2022, </w:t>
      </w:r>
      <w:r w:rsidR="00C406BD">
        <w:t xml:space="preserve">even if </w:t>
      </w:r>
      <w:r w:rsidR="00CB70CB">
        <w:t xml:space="preserve">the Commission were to adopt </w:t>
      </w:r>
      <w:r w:rsidR="00E168D4">
        <w:t>PSE</w:t>
      </w:r>
      <w:r w:rsidR="00E462EF">
        <w:t>’</w:t>
      </w:r>
      <w:r w:rsidR="00E168D4">
        <w:t>s</w:t>
      </w:r>
      <w:r w:rsidR="00C406BD">
        <w:t xml:space="preserve"> proposed depreciation rates.</w:t>
      </w:r>
      <w:r w:rsidR="00F26B15">
        <w:t xml:space="preserve"> </w:t>
      </w:r>
      <w:r w:rsidR="00C406BD">
        <w:t>However,</w:t>
      </w:r>
      <w:r>
        <w:t xml:space="preserve"> the net book value at that time will certainly be much lower than under </w:t>
      </w:r>
      <w:r w:rsidR="009A11B5">
        <w:rPr>
          <w:bCs/>
        </w:rPr>
        <w:t xml:space="preserve">Commission </w:t>
      </w:r>
      <w:r w:rsidR="009A11B5">
        <w:t>Staff</w:t>
      </w:r>
      <w:r w:rsidR="00E462EF">
        <w:t>’</w:t>
      </w:r>
      <w:r w:rsidR="00C406BD">
        <w:t xml:space="preserve">s, </w:t>
      </w:r>
      <w:proofErr w:type="spellStart"/>
      <w:r>
        <w:t>ICNU</w:t>
      </w:r>
      <w:r w:rsidR="00E462EF">
        <w:t>’</w:t>
      </w:r>
      <w:r>
        <w:t>s</w:t>
      </w:r>
      <w:proofErr w:type="spellEnd"/>
      <w:r>
        <w:t xml:space="preserve"> </w:t>
      </w:r>
      <w:r w:rsidR="00C406BD">
        <w:t>and possibly Sierra Club</w:t>
      </w:r>
      <w:r w:rsidR="00E462EF">
        <w:t>’</w:t>
      </w:r>
      <w:r w:rsidR="00C406BD">
        <w:t xml:space="preserve">s </w:t>
      </w:r>
      <w:r>
        <w:t>proposals.</w:t>
      </w:r>
      <w:r w:rsidR="00F26B15">
        <w:t xml:space="preserve"> </w:t>
      </w:r>
      <w:r>
        <w:t xml:space="preserve">As addressed in my </w:t>
      </w:r>
      <w:proofErr w:type="spellStart"/>
      <w:r w:rsidR="00E140EF">
        <w:t>prefiled</w:t>
      </w:r>
      <w:proofErr w:type="spellEnd"/>
      <w:r w:rsidR="00E140EF">
        <w:t xml:space="preserve"> direct testimony</w:t>
      </w:r>
      <w:r>
        <w:t xml:space="preserve">, </w:t>
      </w:r>
      <w:r w:rsidR="00B86397">
        <w:t>the</w:t>
      </w:r>
      <w:r w:rsidR="00C406BD">
        <w:t xml:space="preserve"> removal of</w:t>
      </w:r>
      <w:r>
        <w:t xml:space="preserve"> the negative salvage associated with </w:t>
      </w:r>
      <w:r w:rsidR="00F26B15">
        <w:t>Colstrip Units 1 </w:t>
      </w:r>
      <w:r w:rsidR="007D56A5">
        <w:rPr>
          <w:bCs/>
        </w:rPr>
        <w:t>and</w:t>
      </w:r>
      <w:r w:rsidR="00F26B15">
        <w:t xml:space="preserve"> 2 </w:t>
      </w:r>
      <w:r w:rsidR="00B86397">
        <w:t>from the proposed depreciation rates</w:t>
      </w:r>
      <w:r w:rsidR="00C406BD">
        <w:rPr>
          <w:rStyle w:val="FootnoteReference"/>
        </w:rPr>
        <w:footnoteReference w:id="43"/>
      </w:r>
      <w:r>
        <w:t xml:space="preserve"> ignore</w:t>
      </w:r>
      <w:r w:rsidR="00C406BD">
        <w:t>s</w:t>
      </w:r>
      <w:r>
        <w:t xml:space="preserve"> any interim salvage that may be necessary.</w:t>
      </w:r>
      <w:r w:rsidR="00F26B15">
        <w:t xml:space="preserve"> </w:t>
      </w:r>
      <w:r>
        <w:t>Additionally, since the proposed depreciation rates will</w:t>
      </w:r>
      <w:r w:rsidR="00F26B15">
        <w:t xml:space="preserve"> </w:t>
      </w:r>
      <w:r>
        <w:t>not take effect until the conclusion of this case, there will be differences</w:t>
      </w:r>
      <w:r w:rsidR="00C406BD">
        <w:t xml:space="preserve"> </w:t>
      </w:r>
      <w:r>
        <w:t xml:space="preserve">because of the </w:t>
      </w:r>
      <w:r w:rsidR="00C406BD">
        <w:t>addit</w:t>
      </w:r>
      <w:r w:rsidR="008552BC">
        <w:t>ional year of depreciation at the lower rate during the pendency of this proceeding.</w:t>
      </w:r>
      <w:r w:rsidR="00F26B15">
        <w:t xml:space="preserve"> </w:t>
      </w:r>
      <w:r w:rsidR="008552BC">
        <w:t xml:space="preserve">I address this now, not because I believe the </w:t>
      </w:r>
      <w:r>
        <w:t>proposed depreciation rates are incorrect, but merely</w:t>
      </w:r>
      <w:r w:rsidR="008552BC">
        <w:t xml:space="preserve"> to recognize that </w:t>
      </w:r>
      <w:r>
        <w:t xml:space="preserve">depreciation studies are an approximation and </w:t>
      </w:r>
      <w:r w:rsidR="008552BC">
        <w:t>there will always be differences at the end of an asset</w:t>
      </w:r>
      <w:r w:rsidR="00E462EF">
        <w:t>’</w:t>
      </w:r>
      <w:r w:rsidR="008552BC">
        <w:t>s life.</w:t>
      </w:r>
      <w:r w:rsidR="00F26B15">
        <w:t xml:space="preserve"> </w:t>
      </w:r>
      <w:r w:rsidR="008552BC">
        <w:t>The goal is to be close, but they will never be perfect.</w:t>
      </w:r>
      <w:r w:rsidR="00F26B15">
        <w:t xml:space="preserve"> </w:t>
      </w:r>
      <w:r w:rsidR="001B634B">
        <w:t xml:space="preserve">This is why PSE proposes to use the PTCs and </w:t>
      </w:r>
      <w:r w:rsidR="00637B19">
        <w:t>h</w:t>
      </w:r>
      <w:r w:rsidR="001B634B">
        <w:t>ydro</w:t>
      </w:r>
      <w:r w:rsidR="00637B19">
        <w:t>-related</w:t>
      </w:r>
      <w:r w:rsidR="001B634B">
        <w:t xml:space="preserve"> Treasury Grants to </w:t>
      </w:r>
      <w:r w:rsidR="00687122">
        <w:t>address</w:t>
      </w:r>
      <w:r w:rsidR="001B634B">
        <w:t xml:space="preserve"> the unrecovered plant and decommissioning and remediation of </w:t>
      </w:r>
      <w:r w:rsidR="0099661A">
        <w:t>Colstrip Units 1 </w:t>
      </w:r>
      <w:r w:rsidR="007D56A5">
        <w:rPr>
          <w:bCs/>
        </w:rPr>
        <w:t>and</w:t>
      </w:r>
      <w:r w:rsidR="0099661A">
        <w:t> 2</w:t>
      </w:r>
      <w:r w:rsidR="001B634B">
        <w:t>.</w:t>
      </w:r>
    </w:p>
    <w:p w:rsidR="008552BC" w:rsidRPr="00A0273C" w:rsidRDefault="000A2CE8" w:rsidP="008552BC">
      <w:pPr>
        <w:pStyle w:val="question"/>
      </w:pPr>
      <w:r w:rsidRPr="00342134">
        <w:rPr>
          <w:bCs/>
        </w:rPr>
        <w:lastRenderedPageBreak/>
        <w:t>Q.</w:t>
      </w:r>
      <w:r w:rsidR="0001368A">
        <w:tab/>
        <w:t>Sierra Club</w:t>
      </w:r>
      <w:r w:rsidR="008552BC">
        <w:t xml:space="preserve"> advocates</w:t>
      </w:r>
      <w:r w:rsidR="008552BC" w:rsidRPr="008552BC">
        <w:t xml:space="preserve"> </w:t>
      </w:r>
      <w:r w:rsidR="008552BC" w:rsidRPr="008552BC">
        <w:rPr>
          <w:rFonts w:ascii="Times New Roman" w:eastAsia="Times New Roman" w:hAnsi="Times New Roman"/>
        </w:rPr>
        <w:t xml:space="preserve">that the regulatory liabilities should not be utilized </w:t>
      </w:r>
      <w:r w:rsidR="008552BC">
        <w:rPr>
          <w:rFonts w:ascii="Times New Roman" w:eastAsia="Times New Roman" w:hAnsi="Times New Roman"/>
        </w:rPr>
        <w:t xml:space="preserve">to address undepreciated plant for </w:t>
      </w:r>
      <w:r w:rsidR="0099661A">
        <w:t>Colstrip Units 1 </w:t>
      </w:r>
      <w:r w:rsidR="007D56A5">
        <w:rPr>
          <w:bCs/>
        </w:rPr>
        <w:t>and</w:t>
      </w:r>
      <w:r w:rsidR="0099661A">
        <w:t> 2</w:t>
      </w:r>
      <w:r w:rsidR="008552BC">
        <w:t>.</w:t>
      </w:r>
      <w:r w:rsidR="00373495">
        <w:rPr>
          <w:rStyle w:val="FootnoteReference"/>
        </w:rPr>
        <w:footnoteReference w:id="44"/>
      </w:r>
      <w:r w:rsidR="00F26B15">
        <w:t xml:space="preserve"> </w:t>
      </w:r>
      <w:r w:rsidR="008552BC">
        <w:t>Do</w:t>
      </w:r>
      <w:r w:rsidR="00D4067A">
        <w:t>es</w:t>
      </w:r>
      <w:r w:rsidR="008552BC">
        <w:t xml:space="preserve"> </w:t>
      </w:r>
      <w:r w:rsidR="00D4067A">
        <w:t xml:space="preserve">PSE </w:t>
      </w:r>
      <w:r w:rsidR="008552BC">
        <w:t>agree?</w:t>
      </w:r>
    </w:p>
    <w:p w:rsidR="003203C6" w:rsidRDefault="000A2CE8" w:rsidP="008552BC">
      <w:pPr>
        <w:pStyle w:val="answer"/>
        <w:rPr>
          <w:b/>
        </w:rPr>
      </w:pPr>
      <w:r>
        <w:t>A.</w:t>
      </w:r>
      <w:r w:rsidR="008552BC">
        <w:rPr>
          <w:bCs/>
        </w:rPr>
        <w:tab/>
        <w:t xml:space="preserve">No. </w:t>
      </w:r>
      <w:r w:rsidR="008552BC">
        <w:t xml:space="preserve">The application of the PTCs to </w:t>
      </w:r>
      <w:r w:rsidR="00687122">
        <w:t xml:space="preserve">address </w:t>
      </w:r>
      <w:r w:rsidR="008552BC">
        <w:t>any remaining book bala</w:t>
      </w:r>
      <w:r w:rsidR="00687122">
        <w:t>nce at the end of the units</w:t>
      </w:r>
      <w:r w:rsidR="00E462EF">
        <w:t>’</w:t>
      </w:r>
      <w:r w:rsidR="00687122">
        <w:t xml:space="preserve"> liv</w:t>
      </w:r>
      <w:r w:rsidR="008552BC">
        <w:t>e</w:t>
      </w:r>
      <w:r w:rsidR="00687122">
        <w:t>s</w:t>
      </w:r>
      <w:r w:rsidR="008552BC">
        <w:t xml:space="preserve"> is a very reasonable utilization of the PTCs once they are monetized.</w:t>
      </w:r>
      <w:r w:rsidR="00F26B15">
        <w:t xml:space="preserve"> </w:t>
      </w:r>
      <w:r w:rsidR="0093256C">
        <w:t xml:space="preserve">As discussed in more detail later in </w:t>
      </w:r>
      <w:r w:rsidR="00D4067A">
        <w:t xml:space="preserve">this rebuttal </w:t>
      </w:r>
      <w:r w:rsidR="0093256C">
        <w:t>testimony,</w:t>
      </w:r>
      <w:r w:rsidR="008A1B85">
        <w:t xml:space="preserve"> t</w:t>
      </w:r>
      <w:r w:rsidR="008552BC">
        <w:t xml:space="preserve">he PTCs were generated during the </w:t>
      </w:r>
      <w:r w:rsidR="0093256C">
        <w:t xml:space="preserve">2009 </w:t>
      </w:r>
      <w:r w:rsidR="008552BC">
        <w:t xml:space="preserve">through 2017 period, which is the same time period </w:t>
      </w:r>
      <w:r w:rsidR="001B634B">
        <w:t xml:space="preserve">the recent depreciation rates </w:t>
      </w:r>
      <w:r w:rsidR="007630E5">
        <w:t xml:space="preserve">that assumed </w:t>
      </w:r>
      <w:r w:rsidR="001B634B">
        <w:t>a 2035 life were in effect</w:t>
      </w:r>
      <w:r w:rsidR="00D4067A">
        <w:t>. F</w:t>
      </w:r>
      <w:r w:rsidR="008552BC">
        <w:t>rom a generational standpoint</w:t>
      </w:r>
      <w:r w:rsidR="005A711C">
        <w:t>,</w:t>
      </w:r>
      <w:r w:rsidR="001B634B">
        <w:t xml:space="preserve"> </w:t>
      </w:r>
      <w:r w:rsidR="0012312D">
        <w:t>a reasonable matching of expense and benefits would be accomplished</w:t>
      </w:r>
      <w:r w:rsidR="008552BC">
        <w:t>.</w:t>
      </w:r>
      <w:r w:rsidR="00F26B15">
        <w:t xml:space="preserve"> </w:t>
      </w:r>
    </w:p>
    <w:p w:rsidR="003203C6" w:rsidRPr="00371E18" w:rsidRDefault="003203C6" w:rsidP="00373495">
      <w:pPr>
        <w:pStyle w:val="question"/>
      </w:pPr>
      <w:r w:rsidRPr="00371E18">
        <w:t>Q.</w:t>
      </w:r>
      <w:r w:rsidRPr="00371E18">
        <w:tab/>
        <w:t xml:space="preserve">Has any </w:t>
      </w:r>
      <w:r w:rsidR="00C406BD">
        <w:t xml:space="preserve">other </w:t>
      </w:r>
      <w:r w:rsidRPr="00371E18">
        <w:t>party challenged the depreciable lives of any generation facilities?</w:t>
      </w:r>
    </w:p>
    <w:p w:rsidR="003203C6" w:rsidRDefault="003203C6" w:rsidP="00DC5696">
      <w:pPr>
        <w:pStyle w:val="Answer0"/>
      </w:pPr>
      <w:r w:rsidRPr="00C3307F">
        <w:t>A.</w:t>
      </w:r>
      <w:r w:rsidRPr="00C3307F">
        <w:tab/>
      </w:r>
      <w:r w:rsidR="00C406BD">
        <w:t>No</w:t>
      </w:r>
      <w:r w:rsidR="001C6503">
        <w:t>.</w:t>
      </w:r>
      <w:r w:rsidR="00F26B15">
        <w:t xml:space="preserve"> </w:t>
      </w:r>
      <w:r w:rsidR="00C406BD">
        <w:t xml:space="preserve">Only the </w:t>
      </w:r>
      <w:r w:rsidRPr="00C3307F">
        <w:t xml:space="preserve">Sierra Club has challenged the proposed </w:t>
      </w:r>
      <w:r>
        <w:t>depreciable life</w:t>
      </w:r>
      <w:r w:rsidR="00687122">
        <w:t xml:space="preserve"> for Colstrip Units</w:t>
      </w:r>
      <w:r w:rsidR="0099661A">
        <w:t> </w:t>
      </w:r>
      <w:r w:rsidR="00687122">
        <w:t>3</w:t>
      </w:r>
      <w:r w:rsidR="0099661A">
        <w:t> </w:t>
      </w:r>
      <w:r w:rsidR="007D56A5">
        <w:rPr>
          <w:bCs/>
        </w:rPr>
        <w:t>and</w:t>
      </w:r>
      <w:r w:rsidR="0099661A">
        <w:t> </w:t>
      </w:r>
      <w:r w:rsidRPr="00C3307F">
        <w:t>4</w:t>
      </w:r>
      <w:r w:rsidR="00A1562D">
        <w:t>.</w:t>
      </w:r>
      <w:r w:rsidR="00373495">
        <w:rPr>
          <w:rStyle w:val="FootnoteReference"/>
          <w:b/>
        </w:rPr>
        <w:footnoteReference w:id="45"/>
      </w:r>
    </w:p>
    <w:p w:rsidR="003203C6" w:rsidRPr="00836D6E" w:rsidRDefault="003203C6" w:rsidP="003203C6">
      <w:pPr>
        <w:pStyle w:val="question"/>
      </w:pPr>
      <w:r>
        <w:t>Q.</w:t>
      </w:r>
      <w:r>
        <w:tab/>
        <w:t>Do</w:t>
      </w:r>
      <w:r w:rsidR="00D4067A">
        <w:t>es</w:t>
      </w:r>
      <w:r>
        <w:t xml:space="preserve"> </w:t>
      </w:r>
      <w:r w:rsidR="00D4067A">
        <w:t xml:space="preserve">PSE </w:t>
      </w:r>
      <w:r>
        <w:t>agree with Sierra Club</w:t>
      </w:r>
      <w:r w:rsidR="00E462EF">
        <w:t>’</w:t>
      </w:r>
      <w:r>
        <w:t>s recommendation</w:t>
      </w:r>
      <w:r w:rsidRPr="00836D6E">
        <w:t>?</w:t>
      </w:r>
      <w:r w:rsidR="00F26B15">
        <w:t xml:space="preserve"> </w:t>
      </w:r>
    </w:p>
    <w:p w:rsidR="003203C6" w:rsidRDefault="00687122" w:rsidP="003203C6">
      <w:pPr>
        <w:pStyle w:val="answer"/>
      </w:pPr>
      <w:r>
        <w:t>A.</w:t>
      </w:r>
      <w:r>
        <w:tab/>
        <w:t>Not entirely.</w:t>
      </w:r>
      <w:r w:rsidR="00F26B15">
        <w:t xml:space="preserve"> </w:t>
      </w:r>
      <w:r w:rsidR="008552BC">
        <w:t xml:space="preserve">As discussed in </w:t>
      </w:r>
      <w:r w:rsidR="00D4067A">
        <w:t xml:space="preserve">the </w:t>
      </w:r>
      <w:proofErr w:type="spellStart"/>
      <w:r w:rsidR="00D4067A">
        <w:t>Prefiled</w:t>
      </w:r>
      <w:proofErr w:type="spellEnd"/>
      <w:r w:rsidR="00D4067A">
        <w:t xml:space="preserve"> Rebuttal Testimony of </w:t>
      </w:r>
      <w:r w:rsidR="0077523D">
        <w:t>Mr. </w:t>
      </w:r>
      <w:r w:rsidR="00D4067A">
        <w:t xml:space="preserve">Ronald J. </w:t>
      </w:r>
      <w:r w:rsidR="008552BC">
        <w:t>Roberts</w:t>
      </w:r>
      <w:r w:rsidR="00D4067A">
        <w:t xml:space="preserve">, Exhibit RJR-30T, it may not be </w:t>
      </w:r>
      <w:r w:rsidR="003203C6">
        <w:t xml:space="preserve">reasonable </w:t>
      </w:r>
      <w:r w:rsidR="00D4067A">
        <w:t xml:space="preserve">to </w:t>
      </w:r>
      <w:r w:rsidR="003203C6">
        <w:t xml:space="preserve">retire </w:t>
      </w:r>
      <w:r w:rsidR="00F26B15">
        <w:t>Colstrip Units </w:t>
      </w:r>
      <w:r w:rsidR="003203C6">
        <w:t>3</w:t>
      </w:r>
      <w:r w:rsidR="00F26B15">
        <w:t> </w:t>
      </w:r>
      <w:r w:rsidR="007D56A5">
        <w:rPr>
          <w:bCs/>
        </w:rPr>
        <w:t>and</w:t>
      </w:r>
      <w:r w:rsidR="00F26B15">
        <w:t> </w:t>
      </w:r>
      <w:r w:rsidR="003203C6">
        <w:t>4</w:t>
      </w:r>
      <w:r w:rsidR="00D4067A" w:rsidRPr="00D4067A">
        <w:t xml:space="preserve"> </w:t>
      </w:r>
      <w:r w:rsidR="00D4067A">
        <w:t>by 2025 based on current information</w:t>
      </w:r>
      <w:r w:rsidR="003203C6">
        <w:t>.</w:t>
      </w:r>
      <w:r w:rsidR="00F26B15">
        <w:t xml:space="preserve"> </w:t>
      </w:r>
      <w:r w:rsidR="003203C6">
        <w:t xml:space="preserve">However, there certainly are a number of issues that, as they continue to evolve, could </w:t>
      </w:r>
      <w:r w:rsidR="00373495">
        <w:t xml:space="preserve">impact Colstrip </w:t>
      </w:r>
      <w:r w:rsidR="003203C6">
        <w:t>for depreciation study purposes.</w:t>
      </w:r>
      <w:r w:rsidR="00F26B15">
        <w:t xml:space="preserve"> </w:t>
      </w:r>
      <w:r w:rsidR="003203C6">
        <w:t>For example, the Oregon law</w:t>
      </w:r>
      <w:r w:rsidR="00D4067A">
        <w:t xml:space="preserve"> to which </w:t>
      </w:r>
      <w:r w:rsidR="003203C6">
        <w:t>Sierra Club</w:t>
      </w:r>
      <w:r w:rsidR="00D4067A">
        <w:t xml:space="preserve"> </w:t>
      </w:r>
      <w:r w:rsidR="00D4067A">
        <w:lastRenderedPageBreak/>
        <w:t>refers</w:t>
      </w:r>
      <w:r w:rsidR="00D34790">
        <w:rPr>
          <w:rStyle w:val="FootnoteReference"/>
        </w:rPr>
        <w:footnoteReference w:id="46"/>
      </w:r>
      <w:r w:rsidR="003203C6">
        <w:t xml:space="preserve"> requires Oregon utilities </w:t>
      </w:r>
      <w:r w:rsidR="00D4067A">
        <w:t xml:space="preserve">to </w:t>
      </w:r>
      <w:r w:rsidR="003203C6">
        <w:t>have no coal in their portfolio by 2030.</w:t>
      </w:r>
      <w:r w:rsidR="00F26B15">
        <w:t xml:space="preserve"> </w:t>
      </w:r>
      <w:r w:rsidR="00D4067A">
        <w:t>Two of the five co-owners of Colstrip Units 3 </w:t>
      </w:r>
      <w:r w:rsidR="007D56A5">
        <w:rPr>
          <w:bCs/>
        </w:rPr>
        <w:t>and</w:t>
      </w:r>
      <w:r w:rsidR="00D4067A">
        <w:t xml:space="preserve"> 4 </w:t>
      </w:r>
      <w:r w:rsidR="003203C6">
        <w:t xml:space="preserve">provide electric service in </w:t>
      </w:r>
      <w:r w:rsidR="008552BC">
        <w:t>Oregon</w:t>
      </w:r>
      <w:r w:rsidR="00C4262F">
        <w:t>,</w:t>
      </w:r>
      <w:r w:rsidR="00D4067A">
        <w:t xml:space="preserve"> and PSE does not know if, or how, the Oregon law could affect the operations of these co-owners. It is possible that the Oregon law could </w:t>
      </w:r>
      <w:r w:rsidR="00D34790">
        <w:t>result in</w:t>
      </w:r>
      <w:r w:rsidR="00D4067A">
        <w:t xml:space="preserve"> </w:t>
      </w:r>
      <w:r w:rsidR="003203C6">
        <w:t xml:space="preserve">a shorter life </w:t>
      </w:r>
      <w:r w:rsidR="00C4262F">
        <w:t>for Colstrip Units</w:t>
      </w:r>
      <w:r w:rsidR="0099661A">
        <w:t> </w:t>
      </w:r>
      <w:r>
        <w:t>3</w:t>
      </w:r>
      <w:r w:rsidR="0099661A">
        <w:t> </w:t>
      </w:r>
      <w:r w:rsidR="007D56A5">
        <w:rPr>
          <w:bCs/>
        </w:rPr>
        <w:t>and</w:t>
      </w:r>
      <w:r w:rsidR="0099661A">
        <w:t> </w:t>
      </w:r>
      <w:r w:rsidR="00C4262F">
        <w:t xml:space="preserve">4 </w:t>
      </w:r>
      <w:r w:rsidR="003203C6">
        <w:t>than currently reflected in the proposed depreciation study.</w:t>
      </w:r>
      <w:r w:rsidR="00F26B15">
        <w:t xml:space="preserve"> </w:t>
      </w:r>
      <w:r w:rsidR="003203C6">
        <w:t>Additionally, other unknowns, such as the impact of a carbon tax at either the federal or the state level (in Montana or Washington)</w:t>
      </w:r>
      <w:r w:rsidR="008552BC">
        <w:t xml:space="preserve"> and the continuation of low gas prices</w:t>
      </w:r>
      <w:r w:rsidR="003203C6">
        <w:t xml:space="preserve"> </w:t>
      </w:r>
      <w:r w:rsidR="00D4067A">
        <w:t>c</w:t>
      </w:r>
      <w:r w:rsidR="003203C6">
        <w:t xml:space="preserve">ould likely affect the economics of </w:t>
      </w:r>
      <w:r w:rsidR="00D4067A">
        <w:t>Colstrip Units 3 </w:t>
      </w:r>
      <w:r w:rsidR="007D56A5">
        <w:rPr>
          <w:bCs/>
        </w:rPr>
        <w:t>and</w:t>
      </w:r>
      <w:r w:rsidR="00D4067A">
        <w:t xml:space="preserve"> 4 for </w:t>
      </w:r>
      <w:r w:rsidR="003203C6">
        <w:t>all owners and could lead t</w:t>
      </w:r>
      <w:r w:rsidR="00373495">
        <w:t>o</w:t>
      </w:r>
      <w:r w:rsidR="00D4067A">
        <w:t xml:space="preserve"> an earlier retirement as well.</w:t>
      </w:r>
    </w:p>
    <w:p w:rsidR="003203C6" w:rsidRDefault="003203C6" w:rsidP="00A1562D">
      <w:pPr>
        <w:pStyle w:val="answer"/>
        <w:ind w:firstLine="0"/>
      </w:pPr>
      <w:r>
        <w:t>Due to this uncertainty</w:t>
      </w:r>
      <w:r w:rsidR="00687122">
        <w:t>,</w:t>
      </w:r>
      <w:r>
        <w:t xml:space="preserve"> PSE requested that </w:t>
      </w:r>
      <w:r w:rsidR="0077523D">
        <w:t>Mr. </w:t>
      </w:r>
      <w:r>
        <w:t xml:space="preserve">Spanos provide two alternate depreciation schedules for </w:t>
      </w:r>
      <w:r w:rsidR="00F26B15">
        <w:t>Colstrip Units 3 </w:t>
      </w:r>
      <w:r w:rsidR="007D56A5">
        <w:rPr>
          <w:bCs/>
        </w:rPr>
        <w:t>and</w:t>
      </w:r>
      <w:r w:rsidR="00F26B15">
        <w:t> 4</w:t>
      </w:r>
      <w:r w:rsidR="00D4067A">
        <w:t>—</w:t>
      </w:r>
      <w:r>
        <w:t xml:space="preserve">one based on a closure date </w:t>
      </w:r>
      <w:r w:rsidR="00D4067A">
        <w:t xml:space="preserve">of December 31, 2025 </w:t>
      </w:r>
      <w:r w:rsidR="00373495">
        <w:t>(</w:t>
      </w:r>
      <w:r w:rsidR="00D4067A">
        <w:t xml:space="preserve">i.e., </w:t>
      </w:r>
      <w:r w:rsidR="00373495">
        <w:t xml:space="preserve">similar to the date requested by Sierra Club) </w:t>
      </w:r>
      <w:r>
        <w:t xml:space="preserve">and the other based on a </w:t>
      </w:r>
      <w:r w:rsidR="00D4067A">
        <w:t xml:space="preserve">closure date of </w:t>
      </w:r>
      <w:r>
        <w:t>December</w:t>
      </w:r>
      <w:r w:rsidR="00D4067A">
        <w:t> </w:t>
      </w:r>
      <w:r>
        <w:t xml:space="preserve">31, 2029 </w:t>
      </w:r>
      <w:r w:rsidR="00373495">
        <w:t>(</w:t>
      </w:r>
      <w:r w:rsidR="00D4067A">
        <w:t xml:space="preserve">i.e., </w:t>
      </w:r>
      <w:r w:rsidR="00373495">
        <w:t>the date the Oregon law goes into effect)</w:t>
      </w:r>
      <w:r>
        <w:t>.</w:t>
      </w:r>
      <w:r w:rsidR="00F26B15">
        <w:t xml:space="preserve"> </w:t>
      </w:r>
      <w:r>
        <w:t>Exhibit KJB-</w:t>
      </w:r>
      <w:r w:rsidR="00D4067A">
        <w:t>26</w:t>
      </w:r>
      <w:r>
        <w:t xml:space="preserve"> provides side</w:t>
      </w:r>
      <w:r w:rsidR="002D7729">
        <w:t>-</w:t>
      </w:r>
      <w:r>
        <w:t>by</w:t>
      </w:r>
      <w:r w:rsidR="002D7729">
        <w:t>-</w:t>
      </w:r>
      <w:r>
        <w:t>side comparison</w:t>
      </w:r>
      <w:r w:rsidR="001B634B">
        <w:t>s</w:t>
      </w:r>
      <w:r>
        <w:t xml:space="preserve"> of </w:t>
      </w:r>
      <w:r w:rsidR="008552BC">
        <w:t xml:space="preserve">the depreciation </w:t>
      </w:r>
      <w:r>
        <w:t>adjustment under all three scenarios</w:t>
      </w:r>
      <w:r w:rsidR="00A1562D">
        <w:t xml:space="preserve"> and the impact on revenue requirement of the Sierra Club </w:t>
      </w:r>
      <w:r w:rsidR="00C4262F">
        <w:t>proposal</w:t>
      </w:r>
      <w:r>
        <w:t>.</w:t>
      </w:r>
      <w:r w:rsidR="00F26B15">
        <w:t xml:space="preserve"> </w:t>
      </w:r>
      <w:r w:rsidR="00A1562D">
        <w:t>As reflected on line</w:t>
      </w:r>
      <w:r w:rsidR="002D7729">
        <w:t> </w:t>
      </w:r>
      <w:r w:rsidR="00A1562D">
        <w:t xml:space="preserve">41 of the exhibit, shortening the life to 2030 would increase </w:t>
      </w:r>
      <w:r w:rsidR="00DA6161">
        <w:t>PSE</w:t>
      </w:r>
      <w:r w:rsidR="00E462EF">
        <w:t>’</w:t>
      </w:r>
      <w:r w:rsidR="00C4262F">
        <w:t xml:space="preserve">s </w:t>
      </w:r>
      <w:r w:rsidR="001C6503">
        <w:t xml:space="preserve">revenue </w:t>
      </w:r>
      <w:r w:rsidR="00A1562D">
        <w:t xml:space="preserve">requirement an additional $5,477,968 compared to the depreciation life of 2025 which would increase </w:t>
      </w:r>
      <w:r w:rsidR="00DA6161">
        <w:t>PSE</w:t>
      </w:r>
      <w:r w:rsidR="00E462EF">
        <w:t>’</w:t>
      </w:r>
      <w:r w:rsidR="00A1562D">
        <w:t xml:space="preserve">s </w:t>
      </w:r>
      <w:r w:rsidR="001C6503">
        <w:t xml:space="preserve">revenue </w:t>
      </w:r>
      <w:r w:rsidR="00A1562D">
        <w:t>requirement by an additional $13,956,847.</w:t>
      </w:r>
    </w:p>
    <w:p w:rsidR="003203C6" w:rsidRPr="00836D6E" w:rsidRDefault="000A2CE8" w:rsidP="00C4262F">
      <w:pPr>
        <w:pStyle w:val="question"/>
      </w:pPr>
      <w:r w:rsidRPr="00342134">
        <w:rPr>
          <w:bCs/>
        </w:rPr>
        <w:lastRenderedPageBreak/>
        <w:t>Q.</w:t>
      </w:r>
      <w:r w:rsidR="003203C6" w:rsidRPr="00836D6E">
        <w:tab/>
        <w:t xml:space="preserve">Does this mean that </w:t>
      </w:r>
      <w:r w:rsidR="003203C6">
        <w:t>PSE</w:t>
      </w:r>
      <w:r w:rsidR="00687122">
        <w:t xml:space="preserve"> is proposing to close </w:t>
      </w:r>
      <w:r w:rsidR="00F26B15">
        <w:t xml:space="preserve">Colstrip </w:t>
      </w:r>
      <w:r w:rsidR="00687122">
        <w:t>Units</w:t>
      </w:r>
      <w:r w:rsidR="00F26B15">
        <w:t> </w:t>
      </w:r>
      <w:r w:rsidR="00687122">
        <w:t>3</w:t>
      </w:r>
      <w:r w:rsidR="00F26B15">
        <w:t> </w:t>
      </w:r>
      <w:r w:rsidR="007D56A5">
        <w:rPr>
          <w:bCs/>
        </w:rPr>
        <w:t>and</w:t>
      </w:r>
      <w:r w:rsidR="00F26B15">
        <w:t> </w:t>
      </w:r>
      <w:r w:rsidR="003203C6">
        <w:t>4 earlier than 2035</w:t>
      </w:r>
      <w:r w:rsidR="003203C6" w:rsidRPr="00836D6E">
        <w:t>?</w:t>
      </w:r>
    </w:p>
    <w:p w:rsidR="003203C6" w:rsidRDefault="003203C6" w:rsidP="003203C6">
      <w:pPr>
        <w:pStyle w:val="answer"/>
      </w:pPr>
      <w:r>
        <w:t>A.</w:t>
      </w:r>
      <w:r>
        <w:tab/>
      </w:r>
      <w:r w:rsidR="00B86397">
        <w:t>No.</w:t>
      </w:r>
      <w:r w:rsidR="00F26B15">
        <w:t xml:space="preserve"> </w:t>
      </w:r>
      <w:r>
        <w:t xml:space="preserve">As discussed in both </w:t>
      </w:r>
      <w:r w:rsidR="0077523D">
        <w:t>Mr. </w:t>
      </w:r>
      <w:r>
        <w:t>Roberts</w:t>
      </w:r>
      <w:r w:rsidR="002D7729">
        <w:t>’</w:t>
      </w:r>
      <w:r>
        <w:t xml:space="preserve"> </w:t>
      </w:r>
      <w:proofErr w:type="spellStart"/>
      <w:r w:rsidR="00C4262F">
        <w:t>prefiled</w:t>
      </w:r>
      <w:proofErr w:type="spellEnd"/>
      <w:r w:rsidR="00C4262F">
        <w:t xml:space="preserve"> direct </w:t>
      </w:r>
      <w:r>
        <w:t xml:space="preserve">and </w:t>
      </w:r>
      <w:r w:rsidR="00C4262F">
        <w:t>rebuttal testimonies</w:t>
      </w:r>
      <w:r>
        <w:t xml:space="preserve">, there are </w:t>
      </w:r>
      <w:r w:rsidR="00687122">
        <w:t xml:space="preserve">other co-owners of </w:t>
      </w:r>
      <w:r w:rsidR="00F26B15">
        <w:t xml:space="preserve">Colstrip </w:t>
      </w:r>
      <w:r w:rsidR="00687122">
        <w:t>Units</w:t>
      </w:r>
      <w:r w:rsidR="00F26B15">
        <w:t> </w:t>
      </w:r>
      <w:r w:rsidR="00687122">
        <w:t>3</w:t>
      </w:r>
      <w:r w:rsidR="00F26B15">
        <w:t> </w:t>
      </w:r>
      <w:r w:rsidR="007D56A5">
        <w:rPr>
          <w:bCs/>
        </w:rPr>
        <w:t>and</w:t>
      </w:r>
      <w:r w:rsidR="00F26B15">
        <w:t> </w:t>
      </w:r>
      <w:r>
        <w:t>4</w:t>
      </w:r>
      <w:r w:rsidR="00687122">
        <w:t>.</w:t>
      </w:r>
      <w:r w:rsidR="00F26B15">
        <w:t xml:space="preserve"> </w:t>
      </w:r>
      <w:r w:rsidR="00687122">
        <w:t>PSE</w:t>
      </w:r>
      <w:r>
        <w:t xml:space="preserve"> cannot unilaterally choose to close those units.</w:t>
      </w:r>
      <w:r w:rsidR="00F26B15">
        <w:t xml:space="preserve"> </w:t>
      </w:r>
      <w:r>
        <w:t xml:space="preserve">Additionally, a depreciation study </w:t>
      </w:r>
      <w:r w:rsidRPr="002D7729">
        <w:rPr>
          <w:i/>
        </w:rPr>
        <w:t>does not</w:t>
      </w:r>
      <w:r>
        <w:t xml:space="preserve"> dictate the actual closure of any plant or facility; it is merely used for estimating the </w:t>
      </w:r>
      <w:r w:rsidR="00E462EF">
        <w:t>“</w:t>
      </w:r>
      <w:r>
        <w:t>economic life</w:t>
      </w:r>
      <w:r w:rsidR="00E462EF">
        <w:t>”</w:t>
      </w:r>
      <w:r>
        <w:t xml:space="preserve"> of the plant.</w:t>
      </w:r>
      <w:r w:rsidR="00F26B15">
        <w:t xml:space="preserve"> </w:t>
      </w:r>
    </w:p>
    <w:p w:rsidR="003203C6" w:rsidRPr="00836D6E" w:rsidRDefault="000A2CE8" w:rsidP="00373495">
      <w:pPr>
        <w:pStyle w:val="question"/>
      </w:pPr>
      <w:r w:rsidRPr="00342134">
        <w:rPr>
          <w:bCs/>
        </w:rPr>
        <w:t>Q.</w:t>
      </w:r>
      <w:r w:rsidR="003203C6" w:rsidRPr="00836D6E">
        <w:tab/>
      </w:r>
      <w:r w:rsidR="003203C6">
        <w:t>Are there benefits to customers of considering a shorter depreciation life</w:t>
      </w:r>
      <w:r w:rsidR="00687122" w:rsidRPr="00836D6E">
        <w:t xml:space="preserve"> </w:t>
      </w:r>
      <w:r w:rsidR="00687122">
        <w:t>than 2035</w:t>
      </w:r>
      <w:r w:rsidR="003203C6">
        <w:t xml:space="preserve"> for </w:t>
      </w:r>
      <w:r w:rsidR="00F26B15">
        <w:t>Colstrip Units 3 </w:t>
      </w:r>
      <w:r w:rsidR="007D56A5">
        <w:rPr>
          <w:bCs/>
        </w:rPr>
        <w:t>and</w:t>
      </w:r>
      <w:r w:rsidR="00F26B15">
        <w:t> 4</w:t>
      </w:r>
      <w:r w:rsidR="003203C6" w:rsidRPr="00836D6E">
        <w:t>?</w:t>
      </w:r>
    </w:p>
    <w:p w:rsidR="0012312D" w:rsidRDefault="003203C6" w:rsidP="00687122">
      <w:pPr>
        <w:pStyle w:val="answer"/>
      </w:pPr>
      <w:r>
        <w:t>A.</w:t>
      </w:r>
      <w:r>
        <w:tab/>
        <w:t>Yes, particularly with the uncertainty of a possible carbon tax</w:t>
      </w:r>
      <w:r w:rsidR="00373495">
        <w:t xml:space="preserve"> or cap and trade mechanism</w:t>
      </w:r>
      <w:r w:rsidR="002D7729">
        <w:t xml:space="preserve"> in Washington and the Western U.S</w:t>
      </w:r>
      <w:r>
        <w:t>.</w:t>
      </w:r>
      <w:r w:rsidR="00F26B15">
        <w:t xml:space="preserve"> </w:t>
      </w:r>
      <w:r>
        <w:t>The primary benefit of adopting a shorter depreciation life is there is less risk of under recovery of the asset during the asset</w:t>
      </w:r>
      <w:r w:rsidR="00E462EF">
        <w:t>’</w:t>
      </w:r>
      <w:r>
        <w:t>s service life, relieving future customers from paying for an asset from which they received no benefits.</w:t>
      </w:r>
      <w:r w:rsidR="00F26B15">
        <w:t xml:space="preserve"> </w:t>
      </w:r>
      <w:r w:rsidR="00A973C5">
        <w:t>If</w:t>
      </w:r>
      <w:r>
        <w:t xml:space="preserve"> the Commission</w:t>
      </w:r>
      <w:r w:rsidR="00373495">
        <w:t xml:space="preserve"> </w:t>
      </w:r>
      <w:r w:rsidR="002D7729">
        <w:t xml:space="preserve">were to </w:t>
      </w:r>
      <w:r>
        <w:t>utilize the shorter life (</w:t>
      </w:r>
      <w:r w:rsidR="002D7729">
        <w:t xml:space="preserve">i.e., a closure date of </w:t>
      </w:r>
      <w:r>
        <w:t xml:space="preserve">2025) for </w:t>
      </w:r>
      <w:r w:rsidR="00F26B15">
        <w:t>Colstrip Units 3 </w:t>
      </w:r>
      <w:r w:rsidR="007D56A5">
        <w:rPr>
          <w:bCs/>
        </w:rPr>
        <w:t>and</w:t>
      </w:r>
      <w:r w:rsidR="00F26B15">
        <w:t> 4</w:t>
      </w:r>
      <w:r>
        <w:t>, there is far less risk of unrecovered plant than under the current depreciation study</w:t>
      </w:r>
      <w:r w:rsidR="00E462EF">
        <w:t>’</w:t>
      </w:r>
      <w:r w:rsidR="00687122">
        <w:t>s</w:t>
      </w:r>
      <w:r>
        <w:t xml:space="preserve"> 2035 </w:t>
      </w:r>
      <w:r w:rsidR="00687122">
        <w:t>life,</w:t>
      </w:r>
      <w:r>
        <w:t xml:space="preserve"> or even the next best estimate of </w:t>
      </w:r>
      <w:r w:rsidR="007B33B7">
        <w:t>December</w:t>
      </w:r>
      <w:r w:rsidR="002D7729">
        <w:t xml:space="preserve"> 31, </w:t>
      </w:r>
      <w:r w:rsidR="007B33B7">
        <w:t>2029</w:t>
      </w:r>
      <w:r w:rsidR="00A973C5">
        <w:t xml:space="preserve">. </w:t>
      </w:r>
    </w:p>
    <w:p w:rsidR="00A1562D" w:rsidRDefault="00373495" w:rsidP="0012312D">
      <w:pPr>
        <w:pStyle w:val="answer"/>
        <w:ind w:firstLine="0"/>
      </w:pPr>
      <w:r>
        <w:t>A</w:t>
      </w:r>
      <w:r w:rsidR="008D0A55">
        <w:t xml:space="preserve"> </w:t>
      </w:r>
      <w:r w:rsidR="003203C6">
        <w:t xml:space="preserve">benefit of utilizing the </w:t>
      </w:r>
      <w:r w:rsidR="007B33B7">
        <w:t xml:space="preserve">December 2029 </w:t>
      </w:r>
      <w:r w:rsidR="003203C6">
        <w:t>scenario is that PSE</w:t>
      </w:r>
      <w:r w:rsidR="00E462EF">
        <w:t>’</w:t>
      </w:r>
      <w:r w:rsidR="003203C6">
        <w:t>s depreciation rates w</w:t>
      </w:r>
      <w:r w:rsidR="0012312D">
        <w:t>ould</w:t>
      </w:r>
      <w:r w:rsidR="003203C6">
        <w:t xml:space="preserve"> be more closely aligned with the </w:t>
      </w:r>
      <w:r w:rsidR="00CC177D">
        <w:t xml:space="preserve">2032 </w:t>
      </w:r>
      <w:r w:rsidR="003203C6">
        <w:t xml:space="preserve">economic life </w:t>
      </w:r>
      <w:r w:rsidR="00CC177D">
        <w:t>for Colstrip Units</w:t>
      </w:r>
      <w:r w:rsidR="0099661A">
        <w:t> </w:t>
      </w:r>
      <w:r w:rsidR="00CC177D">
        <w:t>3</w:t>
      </w:r>
      <w:r w:rsidR="0099661A">
        <w:t> </w:t>
      </w:r>
      <w:r w:rsidR="007D56A5">
        <w:rPr>
          <w:bCs/>
        </w:rPr>
        <w:t>and</w:t>
      </w:r>
      <w:r w:rsidR="0099661A">
        <w:t> </w:t>
      </w:r>
      <w:r w:rsidR="00CC177D">
        <w:t xml:space="preserve">4 that </w:t>
      </w:r>
      <w:r w:rsidR="003203C6">
        <w:t xml:space="preserve">the Commission approved for PacifiCorp in Docket UE-152253 and </w:t>
      </w:r>
      <w:r w:rsidR="00A973C5">
        <w:t xml:space="preserve">would be </w:t>
      </w:r>
      <w:r w:rsidR="003203C6">
        <w:t xml:space="preserve">aligned with the Oregon legislation </w:t>
      </w:r>
      <w:r w:rsidR="00687122">
        <w:t>mandating</w:t>
      </w:r>
      <w:r w:rsidR="003203C6">
        <w:t xml:space="preserve"> no coal in Oregon by 2030.</w:t>
      </w:r>
    </w:p>
    <w:p w:rsidR="0012312D" w:rsidRPr="00836D6E" w:rsidRDefault="000A2CE8" w:rsidP="00021C30">
      <w:pPr>
        <w:pStyle w:val="question"/>
      </w:pPr>
      <w:r w:rsidRPr="00342134">
        <w:rPr>
          <w:bCs/>
        </w:rPr>
        <w:lastRenderedPageBreak/>
        <w:t>Q.</w:t>
      </w:r>
      <w:r w:rsidR="0012312D" w:rsidRPr="00836D6E">
        <w:tab/>
      </w:r>
      <w:r w:rsidR="000D0BE1">
        <w:t xml:space="preserve">Is </w:t>
      </w:r>
      <w:r w:rsidR="00DC5696">
        <w:t xml:space="preserve">PSE </w:t>
      </w:r>
      <w:r w:rsidR="000D0BE1">
        <w:t xml:space="preserve">changing its position regarding the depreciation life for </w:t>
      </w:r>
      <w:r w:rsidR="00F26B15">
        <w:t>Colstrip Units 3 </w:t>
      </w:r>
      <w:r w:rsidR="007D56A5">
        <w:rPr>
          <w:bCs/>
        </w:rPr>
        <w:t>and</w:t>
      </w:r>
      <w:r w:rsidR="00F26B15">
        <w:t> 4</w:t>
      </w:r>
      <w:r w:rsidR="0012312D" w:rsidRPr="00836D6E">
        <w:t>?</w:t>
      </w:r>
    </w:p>
    <w:p w:rsidR="00CC177D" w:rsidRDefault="0012312D" w:rsidP="009A6D11">
      <w:pPr>
        <w:pStyle w:val="answer"/>
      </w:pPr>
      <w:r>
        <w:t>A.</w:t>
      </w:r>
      <w:r>
        <w:tab/>
      </w:r>
      <w:r w:rsidR="000D0BE1">
        <w:t>No.</w:t>
      </w:r>
      <w:r w:rsidR="00F26B15">
        <w:t xml:space="preserve"> </w:t>
      </w:r>
      <w:r w:rsidR="00CC177D">
        <w:t>PSE</w:t>
      </w:r>
      <w:r w:rsidR="000D0BE1">
        <w:t xml:space="preserve"> provides this analysis to recognize that there </w:t>
      </w:r>
      <w:r w:rsidR="001C6503">
        <w:t>is</w:t>
      </w:r>
      <w:r w:rsidR="000D0BE1">
        <w:t xml:space="preserve"> significant uncertainty surrounding the remaining life of Colstrip </w:t>
      </w:r>
      <w:r w:rsidR="00CC177D">
        <w:t>Units</w:t>
      </w:r>
      <w:r w:rsidR="0099661A">
        <w:t> </w:t>
      </w:r>
      <w:r w:rsidR="000D0BE1">
        <w:t>3</w:t>
      </w:r>
      <w:r w:rsidR="0099661A">
        <w:t> </w:t>
      </w:r>
      <w:r w:rsidR="007D56A5">
        <w:rPr>
          <w:bCs/>
        </w:rPr>
        <w:t>and</w:t>
      </w:r>
      <w:r w:rsidR="0099661A">
        <w:t> </w:t>
      </w:r>
      <w:r w:rsidR="000D0BE1">
        <w:t>4.</w:t>
      </w:r>
      <w:r w:rsidR="00F26B15">
        <w:t xml:space="preserve"> </w:t>
      </w:r>
      <w:r w:rsidR="000D0BE1">
        <w:t>Utilizing a shorter depreciation life reduces the risk of under recovery of those assets during the life of the facility.</w:t>
      </w:r>
      <w:r w:rsidR="00F26B15">
        <w:t xml:space="preserve"> </w:t>
      </w:r>
      <w:r w:rsidR="000D0BE1">
        <w:t xml:space="preserve">However, as mentioned in regard to </w:t>
      </w:r>
      <w:r w:rsidR="00F26B15">
        <w:t>Colstrip Units 1 </w:t>
      </w:r>
      <w:r w:rsidR="007D56A5">
        <w:rPr>
          <w:bCs/>
        </w:rPr>
        <w:t>and</w:t>
      </w:r>
      <w:r w:rsidR="00F26B15">
        <w:t> 2</w:t>
      </w:r>
      <w:r w:rsidR="000D0BE1">
        <w:t xml:space="preserve">, even if the depreciation life </w:t>
      </w:r>
      <w:r w:rsidR="009A6D11">
        <w:t xml:space="preserve">is </w:t>
      </w:r>
      <w:r w:rsidR="00373495">
        <w:t xml:space="preserve">reset to the </w:t>
      </w:r>
      <w:r w:rsidR="000D0BE1">
        <w:t xml:space="preserve">end of 2025, there will likely be some level of </w:t>
      </w:r>
      <w:r w:rsidR="009A6D11">
        <w:t xml:space="preserve">unrecovered plant </w:t>
      </w:r>
      <w:r w:rsidR="000D0BE1">
        <w:t xml:space="preserve">associated with these facilities if the plants were to close </w:t>
      </w:r>
      <w:r w:rsidR="009A6D11">
        <w:t xml:space="preserve">at the end of </w:t>
      </w:r>
      <w:r w:rsidR="000D0BE1">
        <w:t>2025.</w:t>
      </w:r>
    </w:p>
    <w:p w:rsidR="00CC177D" w:rsidRDefault="00CC177D" w:rsidP="00CC177D">
      <w:pPr>
        <w:pStyle w:val="question"/>
      </w:pPr>
      <w:r>
        <w:t>Q.</w:t>
      </w:r>
      <w:r>
        <w:tab/>
        <w:t xml:space="preserve">Does </w:t>
      </w:r>
      <w:r w:rsidR="00DC5696">
        <w:t xml:space="preserve">PSE </w:t>
      </w:r>
      <w:r>
        <w:t>have suggestions as to how to address the unrecovered plant that is likely to remain?</w:t>
      </w:r>
    </w:p>
    <w:p w:rsidR="00973C5B" w:rsidRDefault="00CC177D" w:rsidP="009A6D11">
      <w:pPr>
        <w:pStyle w:val="answer"/>
      </w:pPr>
      <w:r>
        <w:t>A.</w:t>
      </w:r>
      <w:r>
        <w:tab/>
        <w:t>Yes</w:t>
      </w:r>
      <w:r w:rsidR="002D7729">
        <w:t>. P</w:t>
      </w:r>
      <w:r w:rsidR="009A6D11">
        <w:t xml:space="preserve">lacing the </w:t>
      </w:r>
      <w:r w:rsidR="002D7729">
        <w:t>PTC</w:t>
      </w:r>
      <w:r w:rsidR="009A6D11">
        <w:t xml:space="preserve">s in a </w:t>
      </w:r>
      <w:r w:rsidR="00687122">
        <w:t xml:space="preserve">separate </w:t>
      </w:r>
      <w:r w:rsidR="009A6D11">
        <w:t>retirement account</w:t>
      </w:r>
      <w:r w:rsidR="002D7729" w:rsidRPr="002D7729">
        <w:t xml:space="preserve"> </w:t>
      </w:r>
      <w:r w:rsidR="002D7729">
        <w:t>as they are monetized</w:t>
      </w:r>
      <w:r w:rsidR="001C6503">
        <w:t>, as opposed to pas</w:t>
      </w:r>
      <w:r w:rsidR="00687122">
        <w:t>sing them back through Schedule </w:t>
      </w:r>
      <w:r w:rsidR="001C6503">
        <w:t xml:space="preserve">95A, </w:t>
      </w:r>
      <w:r w:rsidR="009A6D11">
        <w:t>is the best solution for addressing the uncertainties associated with the Colstrip units.</w:t>
      </w:r>
      <w:r w:rsidR="00F26B15">
        <w:t xml:space="preserve"> </w:t>
      </w:r>
      <w:r w:rsidR="009A6D11">
        <w:t>A</w:t>
      </w:r>
      <w:r w:rsidR="000D0BE1">
        <w:t xml:space="preserve">llowing the entire balance of </w:t>
      </w:r>
      <w:r w:rsidR="00373495">
        <w:t xml:space="preserve">monetized </w:t>
      </w:r>
      <w:r w:rsidR="000D0BE1">
        <w:t xml:space="preserve">PTCs to be booked </w:t>
      </w:r>
      <w:r w:rsidR="009A6D11">
        <w:t xml:space="preserve">to </w:t>
      </w:r>
      <w:r w:rsidR="000D0BE1">
        <w:t>a Colstrip retirement account</w:t>
      </w:r>
      <w:r w:rsidR="001C6503">
        <w:t xml:space="preserve"> and reflecting the retirement account as a reduction to rate</w:t>
      </w:r>
      <w:r w:rsidR="00195345">
        <w:t xml:space="preserve"> </w:t>
      </w:r>
      <w:r w:rsidR="001C6503">
        <w:t xml:space="preserve">base </w:t>
      </w:r>
      <w:r w:rsidR="000D0BE1">
        <w:t xml:space="preserve">provides the added benefit of not directly impacting customers rates, while still addressing the under depreciation that occurred between </w:t>
      </w:r>
      <w:r w:rsidR="001E2694">
        <w:t xml:space="preserve">2009 </w:t>
      </w:r>
      <w:r w:rsidR="000D0BE1">
        <w:t>and 2017</w:t>
      </w:r>
      <w:r w:rsidR="009A6D11">
        <w:t xml:space="preserve"> and that could occur if the economics of </w:t>
      </w:r>
      <w:r w:rsidR="00F26B15">
        <w:t>Colstrip Units 3 </w:t>
      </w:r>
      <w:r w:rsidR="007D56A5">
        <w:rPr>
          <w:bCs/>
        </w:rPr>
        <w:t>and</w:t>
      </w:r>
      <w:r w:rsidR="00F26B15">
        <w:t> 4</w:t>
      </w:r>
      <w:r w:rsidR="009A6D11">
        <w:t xml:space="preserve"> change such that the actual depreciation life ends up being shorter than the 2035 life currently estimated in the depreciation study</w:t>
      </w:r>
      <w:r w:rsidR="000D0BE1">
        <w:t>.</w:t>
      </w:r>
    </w:p>
    <w:p w:rsidR="00973C5B" w:rsidRPr="00A0273C" w:rsidRDefault="000A2CE8" w:rsidP="00973C5B">
      <w:pPr>
        <w:pStyle w:val="question"/>
      </w:pPr>
      <w:r w:rsidRPr="00342134">
        <w:rPr>
          <w:bCs/>
        </w:rPr>
        <w:lastRenderedPageBreak/>
        <w:t>Q.</w:t>
      </w:r>
      <w:r w:rsidR="00973C5B">
        <w:tab/>
        <w:t xml:space="preserve">Please summarize the testimony of </w:t>
      </w:r>
      <w:proofErr w:type="spellStart"/>
      <w:r w:rsidR="00973C5B">
        <w:t>NWEC</w:t>
      </w:r>
      <w:proofErr w:type="spellEnd"/>
      <w:r w:rsidR="00973C5B">
        <w:t xml:space="preserve"> witness </w:t>
      </w:r>
      <w:r w:rsidR="00195345">
        <w:t xml:space="preserve">Thomas Michael </w:t>
      </w:r>
      <w:r w:rsidR="00973C5B">
        <w:t xml:space="preserve">Power and his characterization of </w:t>
      </w:r>
      <w:r w:rsidR="00DA6161">
        <w:t>PSE</w:t>
      </w:r>
      <w:r w:rsidR="00E462EF">
        <w:t>’</w:t>
      </w:r>
      <w:r w:rsidR="00CC177D">
        <w:t xml:space="preserve">s </w:t>
      </w:r>
      <w:r w:rsidR="00973C5B">
        <w:t>depreciation adjustment?</w:t>
      </w:r>
    </w:p>
    <w:p w:rsidR="000D0BE1" w:rsidRDefault="000A2CE8" w:rsidP="00973C5B">
      <w:pPr>
        <w:pStyle w:val="answer"/>
      </w:pPr>
      <w:r>
        <w:t>A.</w:t>
      </w:r>
      <w:r w:rsidR="00973C5B">
        <w:tab/>
      </w:r>
      <w:r w:rsidR="0077523D">
        <w:t>Mr. </w:t>
      </w:r>
      <w:r w:rsidR="00973C5B">
        <w:t>Power</w:t>
      </w:r>
      <w:r w:rsidR="00E462EF">
        <w:t>’</w:t>
      </w:r>
      <w:r w:rsidR="00973C5B">
        <w:t xml:space="preserve">s testimony includes technical errors </w:t>
      </w:r>
      <w:r w:rsidR="001A5B5F">
        <w:t xml:space="preserve">and broad generalizations </w:t>
      </w:r>
      <w:r w:rsidR="00973C5B">
        <w:t>that cloud an already complicated issue</w:t>
      </w:r>
      <w:r w:rsidR="0009510E">
        <w:t xml:space="preserve">, although in the end he does not oppose </w:t>
      </w:r>
      <w:r w:rsidR="00DA6161">
        <w:t>PSE</w:t>
      </w:r>
      <w:r w:rsidR="00E462EF">
        <w:t>’</w:t>
      </w:r>
      <w:r w:rsidR="00CC177D">
        <w:t xml:space="preserve">s </w:t>
      </w:r>
      <w:r w:rsidR="0009510E">
        <w:t xml:space="preserve">proposed use of </w:t>
      </w:r>
      <w:r w:rsidR="00637B19">
        <w:t xml:space="preserve">hydro-related </w:t>
      </w:r>
      <w:r w:rsidR="0009510E">
        <w:t xml:space="preserve">Treasury </w:t>
      </w:r>
      <w:r w:rsidR="00195345">
        <w:t xml:space="preserve">Grants </w:t>
      </w:r>
      <w:r w:rsidR="0009510E">
        <w:t xml:space="preserve">or Production Tax Credits to address unrecovered costs associated with </w:t>
      </w:r>
      <w:r w:rsidR="00DA6161">
        <w:rPr>
          <w:rFonts w:eastAsia="SimSun"/>
        </w:rPr>
        <w:t>Colstrip Units 1 </w:t>
      </w:r>
      <w:r w:rsidR="007D56A5">
        <w:rPr>
          <w:bCs/>
        </w:rPr>
        <w:t>and</w:t>
      </w:r>
      <w:r w:rsidR="00DA6161">
        <w:rPr>
          <w:rFonts w:eastAsia="SimSun"/>
        </w:rPr>
        <w:t> 2</w:t>
      </w:r>
      <w:r w:rsidR="00373495">
        <w:t>.</w:t>
      </w:r>
      <w:r w:rsidR="0009510E">
        <w:rPr>
          <w:rStyle w:val="FootnoteReference"/>
        </w:rPr>
        <w:footnoteReference w:id="47"/>
      </w:r>
      <w:r w:rsidR="00F26B15">
        <w:t xml:space="preserve"> </w:t>
      </w:r>
      <w:r w:rsidR="0077523D">
        <w:t>Mr. </w:t>
      </w:r>
      <w:r w:rsidR="00037021">
        <w:t xml:space="preserve">Power claims that </w:t>
      </w:r>
      <w:r w:rsidR="00DA6161">
        <w:t>PSE</w:t>
      </w:r>
      <w:r w:rsidR="00BF5129">
        <w:t xml:space="preserve"> </w:t>
      </w:r>
      <w:r w:rsidR="00973C5B">
        <w:t xml:space="preserve">has proposed to </w:t>
      </w:r>
      <w:r w:rsidR="00E462EF">
        <w:t>“</w:t>
      </w:r>
      <w:r w:rsidR="00973C5B">
        <w:t xml:space="preserve">zero out the </w:t>
      </w:r>
      <w:r w:rsidR="00CE653F">
        <w:t>Colstrip 1 and 2</w:t>
      </w:r>
      <w:r w:rsidR="00973C5B">
        <w:t xml:space="preserve"> depreciation account</w:t>
      </w:r>
      <w:r w:rsidR="00E462EF">
        <w:t>”</w:t>
      </w:r>
      <w:r w:rsidR="00973C5B">
        <w:rPr>
          <w:rStyle w:val="FootnoteReference"/>
        </w:rPr>
        <w:footnoteReference w:id="48"/>
      </w:r>
      <w:r w:rsidR="001A5B5F">
        <w:t xml:space="preserve">; he </w:t>
      </w:r>
      <w:r w:rsidR="0009510E">
        <w:t xml:space="preserve">insinuates that </w:t>
      </w:r>
      <w:r w:rsidR="001A5B5F">
        <w:t>PSE</w:t>
      </w:r>
      <w:r w:rsidR="00E462EF">
        <w:t>’</w:t>
      </w:r>
      <w:r w:rsidR="001A5B5F">
        <w:t xml:space="preserve">s </w:t>
      </w:r>
      <w:r w:rsidR="0009510E">
        <w:t xml:space="preserve">existing </w:t>
      </w:r>
      <w:r w:rsidR="001A5B5F">
        <w:t>depreciation rates did not include any costs for decommissioning and remediation</w:t>
      </w:r>
      <w:r w:rsidR="0009510E">
        <w:rPr>
          <w:rStyle w:val="FootnoteReference"/>
        </w:rPr>
        <w:footnoteReference w:id="49"/>
      </w:r>
      <w:r w:rsidR="0009510E">
        <w:t xml:space="preserve"> all to reach his conclusion that it was</w:t>
      </w:r>
      <w:r w:rsidR="001A5B5F">
        <w:t xml:space="preserve"> a </w:t>
      </w:r>
      <w:r w:rsidR="00E462EF">
        <w:t>“</w:t>
      </w:r>
      <w:r w:rsidR="001A5B5F">
        <w:t>lack of planning and preparation</w:t>
      </w:r>
      <w:r w:rsidR="00E462EF">
        <w:t>”</w:t>
      </w:r>
      <w:r w:rsidR="001A5B5F">
        <w:t xml:space="preserve"> that has created the situation with </w:t>
      </w:r>
      <w:r w:rsidR="00F26B15">
        <w:t>Colstrip Units 1 </w:t>
      </w:r>
      <w:r w:rsidR="007D56A5">
        <w:rPr>
          <w:bCs/>
        </w:rPr>
        <w:t>and</w:t>
      </w:r>
      <w:r w:rsidR="00F26B15">
        <w:t xml:space="preserve"> 2 </w:t>
      </w:r>
      <w:r w:rsidR="00037021">
        <w:t xml:space="preserve">and that these lessons should be instructive for </w:t>
      </w:r>
      <w:r w:rsidR="00F26B15">
        <w:t>Colstrip Units 3 </w:t>
      </w:r>
      <w:r w:rsidR="007D56A5">
        <w:rPr>
          <w:bCs/>
        </w:rPr>
        <w:t>and</w:t>
      </w:r>
      <w:r w:rsidR="00F26B15">
        <w:t> 4</w:t>
      </w:r>
      <w:r w:rsidR="00037021">
        <w:t>.</w:t>
      </w:r>
      <w:r w:rsidR="00367286">
        <w:rPr>
          <w:rStyle w:val="FootnoteReference"/>
        </w:rPr>
        <w:footnoteReference w:id="50"/>
      </w:r>
    </w:p>
    <w:p w:rsidR="00037021" w:rsidRPr="00A0273C" w:rsidRDefault="000A2CE8" w:rsidP="00037021">
      <w:pPr>
        <w:pStyle w:val="question"/>
      </w:pPr>
      <w:r w:rsidRPr="00342134">
        <w:rPr>
          <w:bCs/>
        </w:rPr>
        <w:t>Q.</w:t>
      </w:r>
      <w:r w:rsidR="00037021">
        <w:tab/>
        <w:t xml:space="preserve">Please explain why </w:t>
      </w:r>
      <w:r w:rsidR="0077523D">
        <w:t>Mr. </w:t>
      </w:r>
      <w:r w:rsidR="00037021">
        <w:t>Power</w:t>
      </w:r>
      <w:r w:rsidR="00E462EF">
        <w:t>’</w:t>
      </w:r>
      <w:r w:rsidR="00037021">
        <w:t xml:space="preserve">s statement about PSE setting the depreciation rate for </w:t>
      </w:r>
      <w:r w:rsidR="00F26B15">
        <w:t>Colstrip Units </w:t>
      </w:r>
      <w:r w:rsidR="00037021">
        <w:t>1</w:t>
      </w:r>
      <w:r w:rsidR="00F26B15">
        <w:t> </w:t>
      </w:r>
      <w:r w:rsidR="007D56A5">
        <w:rPr>
          <w:bCs/>
        </w:rPr>
        <w:t>and</w:t>
      </w:r>
      <w:r w:rsidR="00F26B15">
        <w:t> </w:t>
      </w:r>
      <w:r w:rsidR="00037021">
        <w:t>2 to zero is incorrect?</w:t>
      </w:r>
    </w:p>
    <w:p w:rsidR="00195345" w:rsidRDefault="000A2CE8" w:rsidP="00037021">
      <w:pPr>
        <w:pStyle w:val="answer"/>
      </w:pPr>
      <w:r>
        <w:t>A.</w:t>
      </w:r>
      <w:r w:rsidR="00037021">
        <w:tab/>
      </w:r>
      <w:r w:rsidR="0077523D">
        <w:t>Mr. </w:t>
      </w:r>
      <w:r w:rsidR="00037021">
        <w:t xml:space="preserve">Power has misquoted my testimony where I </w:t>
      </w:r>
      <w:r w:rsidR="003D1CD3">
        <w:t xml:space="preserve">refer to </w:t>
      </w:r>
      <w:r w:rsidR="00037021">
        <w:t xml:space="preserve">removing the negative net salvage amount from the depreciation rates and instead </w:t>
      </w:r>
      <w:r w:rsidR="00346812">
        <w:t xml:space="preserve">he </w:t>
      </w:r>
      <w:r w:rsidR="00037021">
        <w:t xml:space="preserve">claims the proposed depreciation rate for the </w:t>
      </w:r>
      <w:r w:rsidR="00F26B15">
        <w:t>Colstrip Units 1 </w:t>
      </w:r>
      <w:r w:rsidR="007D56A5">
        <w:rPr>
          <w:bCs/>
        </w:rPr>
        <w:t>and</w:t>
      </w:r>
      <w:r w:rsidR="00F26B15">
        <w:t xml:space="preserve"> 2 </w:t>
      </w:r>
      <w:r w:rsidR="00037021">
        <w:t>are zero</w:t>
      </w:r>
      <w:r w:rsidR="00346812">
        <w:t xml:space="preserve">; this is simply not </w:t>
      </w:r>
      <w:r w:rsidR="00037021">
        <w:t>true. Additionally, he claims that the existing depreciation rates included zero costs for decommissioning and re</w:t>
      </w:r>
      <w:r w:rsidR="001E2694">
        <w:t>mediation</w:t>
      </w:r>
      <w:r w:rsidR="00037021">
        <w:t>, which is also untrue.</w:t>
      </w:r>
      <w:r w:rsidR="00F26B15">
        <w:t xml:space="preserve"> </w:t>
      </w:r>
      <w:r w:rsidR="0077523D">
        <w:t>Mr. </w:t>
      </w:r>
      <w:r w:rsidR="00037021">
        <w:t xml:space="preserve">Power has managed </w:t>
      </w:r>
      <w:r w:rsidR="00037021">
        <w:lastRenderedPageBreak/>
        <w:t xml:space="preserve">to gloss over the fact </w:t>
      </w:r>
      <w:r w:rsidR="00BF5129">
        <w:t xml:space="preserve">that </w:t>
      </w:r>
      <w:r w:rsidR="00346812">
        <w:t xml:space="preserve">current depreciation rates were collecting some </w:t>
      </w:r>
      <w:r w:rsidR="00037021">
        <w:t>level of net salvage</w:t>
      </w:r>
      <w:r w:rsidR="00346812">
        <w:t xml:space="preserve">, albeit clearly too little in light of the </w:t>
      </w:r>
      <w:r w:rsidR="00037021">
        <w:t xml:space="preserve">changing regulations associated with the </w:t>
      </w:r>
      <w:r w:rsidR="00195345">
        <w:t>Coal Combustion Residuals (</w:t>
      </w:r>
      <w:r w:rsidR="00E462EF">
        <w:t>“</w:t>
      </w:r>
      <w:proofErr w:type="spellStart"/>
      <w:r w:rsidR="00037021">
        <w:t>CCR</w:t>
      </w:r>
      <w:proofErr w:type="spellEnd"/>
      <w:r w:rsidR="00E462EF">
        <w:t>”</w:t>
      </w:r>
      <w:r w:rsidR="00195345">
        <w:t>)</w:t>
      </w:r>
      <w:r w:rsidR="00037021">
        <w:t xml:space="preserve"> rules.</w:t>
      </w:r>
      <w:r w:rsidR="00F26B15">
        <w:t xml:space="preserve"> </w:t>
      </w:r>
      <w:r w:rsidR="00037021">
        <w:t xml:space="preserve">He is correct that PSE did recognize some level of pond remediation would be necessary as reflected in the </w:t>
      </w:r>
      <w:r w:rsidR="00195345">
        <w:t>Asset Retirement Obligation (</w:t>
      </w:r>
      <w:r w:rsidR="00E462EF">
        <w:t>“</w:t>
      </w:r>
      <w:proofErr w:type="spellStart"/>
      <w:r w:rsidR="00037021">
        <w:t>ARO</w:t>
      </w:r>
      <w:proofErr w:type="spellEnd"/>
      <w:r w:rsidR="00E462EF">
        <w:t>”</w:t>
      </w:r>
      <w:r w:rsidR="00195345">
        <w:t>)</w:t>
      </w:r>
      <w:r w:rsidR="00037021">
        <w:t xml:space="preserve"> discussion</w:t>
      </w:r>
      <w:r w:rsidR="006768FF">
        <w:t xml:space="preserve">; </w:t>
      </w:r>
      <w:r w:rsidR="00037021">
        <w:t>however</w:t>
      </w:r>
      <w:r w:rsidR="00346812">
        <w:t>,</w:t>
      </w:r>
      <w:r w:rsidR="00037021">
        <w:t xml:space="preserve"> the </w:t>
      </w:r>
      <w:proofErr w:type="spellStart"/>
      <w:r w:rsidR="00037021">
        <w:t>CCR</w:t>
      </w:r>
      <w:proofErr w:type="spellEnd"/>
      <w:r w:rsidR="00037021">
        <w:t xml:space="preserve"> rules became law in 2015</w:t>
      </w:r>
      <w:r w:rsidR="006768FF">
        <w:t>,</w:t>
      </w:r>
      <w:r w:rsidR="00037021">
        <w:t xml:space="preserve"> which changed the landscape and resulted in far more prescriptive rules as addressed in the </w:t>
      </w:r>
      <w:proofErr w:type="spellStart"/>
      <w:r w:rsidR="00195345">
        <w:t>Prefiled</w:t>
      </w:r>
      <w:proofErr w:type="spellEnd"/>
      <w:r w:rsidR="00195345">
        <w:t xml:space="preserve"> Direct T</w:t>
      </w:r>
      <w:r w:rsidR="00037021">
        <w:t xml:space="preserve">estimony of </w:t>
      </w:r>
      <w:r w:rsidR="0077523D">
        <w:t>Mr. </w:t>
      </w:r>
      <w:r w:rsidR="003D1CD3">
        <w:t xml:space="preserve">Ronald J. </w:t>
      </w:r>
      <w:r w:rsidR="00037021">
        <w:t>Roberts</w:t>
      </w:r>
      <w:r w:rsidR="003D1CD3">
        <w:t>, Exhibit RJR-1CT</w:t>
      </w:r>
      <w:r w:rsidR="00037021">
        <w:t>.</w:t>
      </w:r>
      <w:r w:rsidR="00F26B15">
        <w:t xml:space="preserve"> </w:t>
      </w:r>
      <w:r w:rsidR="00037021">
        <w:t>To utilize these changing circumstances to imply it was poor planning is not an accurate assessment of the situation surrounding the Colstrip units.</w:t>
      </w:r>
    </w:p>
    <w:p w:rsidR="00F757BB" w:rsidRPr="00F757BB" w:rsidRDefault="00F757BB" w:rsidP="00021C30">
      <w:pPr>
        <w:pStyle w:val="question"/>
      </w:pPr>
      <w:r w:rsidRPr="00F757BB">
        <w:t>Q.</w:t>
      </w:r>
      <w:r w:rsidRPr="00F757BB">
        <w:tab/>
        <w:t>Do other parties contest areas of the depreciation study that are not related to Colstrip?</w:t>
      </w:r>
    </w:p>
    <w:p w:rsidR="00F757BB" w:rsidRDefault="00F757BB" w:rsidP="00F757BB">
      <w:pPr>
        <w:pStyle w:val="answer"/>
      </w:pPr>
      <w:r>
        <w:t>A.</w:t>
      </w:r>
      <w:r>
        <w:tab/>
        <w:t>Yes.</w:t>
      </w:r>
      <w:r w:rsidR="00F26B15">
        <w:t xml:space="preserve"> </w:t>
      </w:r>
      <w:r w:rsidR="0041787C">
        <w:t xml:space="preserve">As stated </w:t>
      </w:r>
      <w:r w:rsidR="00373495">
        <w:t xml:space="preserve">in </w:t>
      </w:r>
      <w:r w:rsidR="0041787C">
        <w:t>Section</w:t>
      </w:r>
      <w:r w:rsidR="003D1CD3">
        <w:t> </w:t>
      </w:r>
      <w:r w:rsidR="0041787C">
        <w:t xml:space="preserve">II above, even though </w:t>
      </w:r>
      <w:r>
        <w:t xml:space="preserve">Commission </w:t>
      </w:r>
      <w:r w:rsidR="00687122">
        <w:t>Staff claimed to only contest</w:t>
      </w:r>
      <w:r>
        <w:t xml:space="preserve"> </w:t>
      </w:r>
      <w:r w:rsidR="00DA6161">
        <w:rPr>
          <w:rFonts w:eastAsia="SimSun"/>
        </w:rPr>
        <w:t>Colstrip Units 1 </w:t>
      </w:r>
      <w:r w:rsidR="007D56A5">
        <w:rPr>
          <w:bCs/>
        </w:rPr>
        <w:t>and</w:t>
      </w:r>
      <w:r w:rsidR="00DA6161">
        <w:rPr>
          <w:rFonts w:eastAsia="SimSun"/>
        </w:rPr>
        <w:t> 2</w:t>
      </w:r>
      <w:r>
        <w:t xml:space="preserve">, </w:t>
      </w:r>
      <w:r w:rsidR="0041787C">
        <w:t xml:space="preserve">the depreciation adjustment </w:t>
      </w:r>
      <w:r w:rsidR="009A11B5">
        <w:t xml:space="preserve">that </w:t>
      </w:r>
      <w:r w:rsidR="009A11B5">
        <w:rPr>
          <w:bCs/>
        </w:rPr>
        <w:t xml:space="preserve">Commission </w:t>
      </w:r>
      <w:r w:rsidR="009A11B5">
        <w:t>Staff</w:t>
      </w:r>
      <w:r w:rsidR="00687122">
        <w:t xml:space="preserve"> </w:t>
      </w:r>
      <w:r w:rsidR="0041787C">
        <w:t>filed on June</w:t>
      </w:r>
      <w:r w:rsidR="003D1CD3">
        <w:t> </w:t>
      </w:r>
      <w:r w:rsidR="0041787C">
        <w:t>30, 2017</w:t>
      </w:r>
      <w:r w:rsidR="003D1CD3">
        <w:t>,</w:t>
      </w:r>
      <w:r>
        <w:t xml:space="preserve"> differed from PSE on amounts related to </w:t>
      </w:r>
      <w:r w:rsidR="00F26B15">
        <w:t>Colstrip Units 3 </w:t>
      </w:r>
      <w:r w:rsidR="007D56A5">
        <w:rPr>
          <w:bCs/>
        </w:rPr>
        <w:t>and</w:t>
      </w:r>
      <w:r w:rsidR="00F26B15">
        <w:t> 4</w:t>
      </w:r>
      <w:r>
        <w:t>.</w:t>
      </w:r>
      <w:r w:rsidR="00F26B15">
        <w:t xml:space="preserve"> </w:t>
      </w:r>
      <w:r>
        <w:t xml:space="preserve">During discovery, Commission Staff identified that inadvertent changes had been made to </w:t>
      </w:r>
      <w:r w:rsidR="00687122">
        <w:t>its</w:t>
      </w:r>
      <w:r>
        <w:t xml:space="preserve"> depreciation study work papers for </w:t>
      </w:r>
      <w:r w:rsidR="00F26B15">
        <w:t>Colstrip Units 3 </w:t>
      </w:r>
      <w:r w:rsidR="007D56A5">
        <w:rPr>
          <w:bCs/>
        </w:rPr>
        <w:t>and</w:t>
      </w:r>
      <w:r w:rsidR="00F26B15">
        <w:t> 4</w:t>
      </w:r>
      <w:r>
        <w:t>.</w:t>
      </w:r>
      <w:r w:rsidR="00F26B15">
        <w:t xml:space="preserve"> </w:t>
      </w:r>
      <w:r w:rsidR="0041787C">
        <w:t>Exhibits KJB-</w:t>
      </w:r>
      <w:r w:rsidR="003D1CD3">
        <w:t>24</w:t>
      </w:r>
      <w:r w:rsidR="0041787C">
        <w:t xml:space="preserve"> and KJB-</w:t>
      </w:r>
      <w:r w:rsidR="003D1CD3">
        <w:t>25</w:t>
      </w:r>
      <w:r w:rsidR="0041787C">
        <w:t xml:space="preserve"> contain Commission Staff</w:t>
      </w:r>
      <w:r w:rsidR="00E462EF">
        <w:t>’</w:t>
      </w:r>
      <w:r w:rsidR="0041787C">
        <w:t>s explanation of the error and the recalculation of the depreciation study adjustment and the affected revenue requirement exhibits.</w:t>
      </w:r>
      <w:r w:rsidR="00F26B15">
        <w:t xml:space="preserve"> </w:t>
      </w:r>
      <w:r>
        <w:t xml:space="preserve">If </w:t>
      </w:r>
      <w:r w:rsidR="009A11B5">
        <w:rPr>
          <w:bCs/>
        </w:rPr>
        <w:t xml:space="preserve">Commission </w:t>
      </w:r>
      <w:r w:rsidR="009A11B5">
        <w:t>Staff</w:t>
      </w:r>
      <w:r w:rsidR="00E462EF">
        <w:t>’</w:t>
      </w:r>
      <w:r w:rsidR="00017FA6">
        <w:t>s recommended</w:t>
      </w:r>
      <w:r>
        <w:t xml:space="preserve"> change is</w:t>
      </w:r>
      <w:r w:rsidR="0041787C">
        <w:t xml:space="preserve"> considered</w:t>
      </w:r>
      <w:r>
        <w:t xml:space="preserve">, then Public Counsel will be the only party </w:t>
      </w:r>
      <w:r>
        <w:lastRenderedPageBreak/>
        <w:t xml:space="preserve">who contested </w:t>
      </w:r>
      <w:r w:rsidR="00017FA6">
        <w:t xml:space="preserve">and had differing </w:t>
      </w:r>
      <w:r>
        <w:t>items within PSE</w:t>
      </w:r>
      <w:r w:rsidR="00E462EF">
        <w:t>’</w:t>
      </w:r>
      <w:r>
        <w:t>s proposed depreciation study that are related</w:t>
      </w:r>
      <w:r w:rsidR="00D34790">
        <w:t xml:space="preserve"> to issues other than </w:t>
      </w:r>
      <w:r w:rsidR="00D34790">
        <w:rPr>
          <w:rFonts w:eastAsia="SimSun"/>
        </w:rPr>
        <w:t>Colstrip Units 1 </w:t>
      </w:r>
      <w:r w:rsidR="00D34790">
        <w:rPr>
          <w:bCs/>
        </w:rPr>
        <w:t>and</w:t>
      </w:r>
      <w:r w:rsidR="00D34790">
        <w:rPr>
          <w:rFonts w:eastAsia="SimSun"/>
        </w:rPr>
        <w:t> 2</w:t>
      </w:r>
      <w:r>
        <w:t>.</w:t>
      </w:r>
    </w:p>
    <w:p w:rsidR="004D007B" w:rsidRPr="00A0273C" w:rsidRDefault="000A2CE8" w:rsidP="004D007B">
      <w:pPr>
        <w:pStyle w:val="question"/>
      </w:pPr>
      <w:r w:rsidRPr="00342134">
        <w:rPr>
          <w:bCs/>
        </w:rPr>
        <w:t>Q.</w:t>
      </w:r>
      <w:r w:rsidR="004D007B">
        <w:tab/>
      </w:r>
      <w:r w:rsidR="004D007B" w:rsidRPr="00A0273C">
        <w:t>Do</w:t>
      </w:r>
      <w:r w:rsidR="003D1CD3">
        <w:t>es</w:t>
      </w:r>
      <w:r w:rsidR="004D007B" w:rsidRPr="00A0273C">
        <w:t xml:space="preserve"> </w:t>
      </w:r>
      <w:r w:rsidR="003D1CD3">
        <w:t>PSE</w:t>
      </w:r>
      <w:r w:rsidR="004D007B" w:rsidRPr="00A0273C">
        <w:t xml:space="preserve"> agree with the</w:t>
      </w:r>
      <w:r w:rsidR="004D007B">
        <w:t xml:space="preserve"> modifications to the depreciation</w:t>
      </w:r>
      <w:r w:rsidR="004D007B" w:rsidRPr="00A0273C">
        <w:t xml:space="preserve"> adjustment proposed by Public Counsel?</w:t>
      </w:r>
    </w:p>
    <w:p w:rsidR="004D007B" w:rsidRDefault="000A2CE8" w:rsidP="004D007B">
      <w:pPr>
        <w:pStyle w:val="answer"/>
      </w:pPr>
      <w:r>
        <w:t>A.</w:t>
      </w:r>
      <w:r w:rsidR="004D007B">
        <w:tab/>
        <w:t>No.</w:t>
      </w:r>
      <w:r w:rsidR="00F26B15">
        <w:t xml:space="preserve"> </w:t>
      </w:r>
      <w:r w:rsidR="004D007B">
        <w:t xml:space="preserve">Not only are the depreciation rates proposed by </w:t>
      </w:r>
      <w:r w:rsidR="0077523D">
        <w:t>Ms. </w:t>
      </w:r>
      <w:proofErr w:type="spellStart"/>
      <w:r w:rsidR="004D007B">
        <w:t>McCullar</w:t>
      </w:r>
      <w:proofErr w:type="spellEnd"/>
      <w:r w:rsidR="004D007B">
        <w:t xml:space="preserve"> i</w:t>
      </w:r>
      <w:r w:rsidR="00195345">
        <w:t xml:space="preserve">nadequate, as addressed in the </w:t>
      </w:r>
      <w:proofErr w:type="spellStart"/>
      <w:r w:rsidR="003D1CD3">
        <w:t>P</w:t>
      </w:r>
      <w:r w:rsidR="00687122">
        <w:t>refiled</w:t>
      </w:r>
      <w:proofErr w:type="spellEnd"/>
      <w:r w:rsidR="00687122">
        <w:t xml:space="preserve"> </w:t>
      </w:r>
      <w:r w:rsidR="003D1CD3">
        <w:t>R</w:t>
      </w:r>
      <w:r w:rsidR="00687122">
        <w:t xml:space="preserve">ebuttal </w:t>
      </w:r>
      <w:r w:rsidR="003D1CD3">
        <w:t>T</w:t>
      </w:r>
      <w:r w:rsidR="00687122">
        <w:t xml:space="preserve">estimony </w:t>
      </w:r>
      <w:r w:rsidR="004D007B">
        <w:t xml:space="preserve">of </w:t>
      </w:r>
      <w:r w:rsidR="0077523D">
        <w:t>Mr. </w:t>
      </w:r>
      <w:r w:rsidR="003D1CD3">
        <w:t xml:space="preserve">John J. </w:t>
      </w:r>
      <w:r w:rsidR="004D007B">
        <w:t xml:space="preserve">Spanos, </w:t>
      </w:r>
      <w:r w:rsidR="003D1CD3">
        <w:t xml:space="preserve">Exhibit JJS-4T, </w:t>
      </w:r>
      <w:r w:rsidR="0077523D">
        <w:t>Mr. </w:t>
      </w:r>
      <w:r w:rsidR="004D007B">
        <w:t>Smith</w:t>
      </w:r>
      <w:r w:rsidR="00E462EF">
        <w:t>’</w:t>
      </w:r>
      <w:r w:rsidR="004D007B">
        <w:t>s depreciation adjustment shown on</w:t>
      </w:r>
      <w:r w:rsidR="00687122">
        <w:t xml:space="preserve"> Exhibits</w:t>
      </w:r>
      <w:r w:rsidR="004D007B">
        <w:t xml:space="preserve"> RCS-3</w:t>
      </w:r>
      <w:r w:rsidR="00A973C5">
        <w:t xml:space="preserve"> and RCS-4</w:t>
      </w:r>
      <w:r w:rsidR="004D007B">
        <w:t>, Schedule C-12 appears to have several errors and therefore should be rejected.</w:t>
      </w:r>
      <w:r w:rsidR="00F26B15">
        <w:t xml:space="preserve"> </w:t>
      </w:r>
    </w:p>
    <w:p w:rsidR="004D007B" w:rsidRPr="00A0273C" w:rsidRDefault="000A2CE8" w:rsidP="004D007B">
      <w:pPr>
        <w:pStyle w:val="question"/>
      </w:pPr>
      <w:r w:rsidRPr="00342134">
        <w:rPr>
          <w:bCs/>
        </w:rPr>
        <w:t>Q.</w:t>
      </w:r>
      <w:r w:rsidR="004D007B">
        <w:tab/>
        <w:t xml:space="preserve">Please describe </w:t>
      </w:r>
      <w:r w:rsidR="003D1CD3">
        <w:t xml:space="preserve">PSE’s </w:t>
      </w:r>
      <w:r w:rsidR="004D007B">
        <w:t xml:space="preserve">concerns with </w:t>
      </w:r>
      <w:r w:rsidR="0077523D">
        <w:t>Mr. </w:t>
      </w:r>
      <w:r w:rsidR="004D007B">
        <w:t>Smith</w:t>
      </w:r>
      <w:r w:rsidR="00E462EF">
        <w:t>’</w:t>
      </w:r>
      <w:r w:rsidR="004D007B">
        <w:t>s Schedule C-12</w:t>
      </w:r>
      <w:r w:rsidR="004D007B" w:rsidRPr="00A0273C">
        <w:t>?</w:t>
      </w:r>
    </w:p>
    <w:p w:rsidR="003D1CD3" w:rsidRDefault="000A2CE8" w:rsidP="001A0070">
      <w:pPr>
        <w:pStyle w:val="answer"/>
      </w:pPr>
      <w:r>
        <w:t>A.</w:t>
      </w:r>
      <w:r w:rsidR="004D007B">
        <w:tab/>
        <w:t xml:space="preserve">According to </w:t>
      </w:r>
      <w:r w:rsidR="0077523D">
        <w:t>Mr. </w:t>
      </w:r>
      <w:r w:rsidR="004D007B">
        <w:t>Smith</w:t>
      </w:r>
      <w:r w:rsidR="00E462EF">
        <w:t>’</w:t>
      </w:r>
      <w:r w:rsidR="004D007B">
        <w:t>s testimony</w:t>
      </w:r>
      <w:r w:rsidR="001A0070">
        <w:t>,</w:t>
      </w:r>
      <w:r w:rsidR="004D007B">
        <w:rPr>
          <w:rStyle w:val="FootnoteReference"/>
        </w:rPr>
        <w:footnoteReference w:id="51"/>
      </w:r>
      <w:r w:rsidR="004D007B">
        <w:t xml:space="preserve"> his depreciation adjustment is based on the new depreciation rates being recommende</w:t>
      </w:r>
      <w:r w:rsidR="00017FA6">
        <w:t xml:space="preserve">d by </w:t>
      </w:r>
      <w:r w:rsidR="0077523D">
        <w:t>Ms. </w:t>
      </w:r>
      <w:proofErr w:type="spellStart"/>
      <w:r w:rsidR="00017FA6">
        <w:t>McCullar</w:t>
      </w:r>
      <w:proofErr w:type="spellEnd"/>
      <w:r w:rsidR="00017FA6">
        <w:t xml:space="preserve">; however, </w:t>
      </w:r>
      <w:r w:rsidR="0077523D">
        <w:t>Mr. </w:t>
      </w:r>
      <w:r w:rsidR="004D007B">
        <w:t>Smith</w:t>
      </w:r>
      <w:r w:rsidR="00E462EF">
        <w:t>’</w:t>
      </w:r>
      <w:r w:rsidR="004D007B">
        <w:t>s work</w:t>
      </w:r>
      <w:r w:rsidR="009D439C">
        <w:t xml:space="preserve"> </w:t>
      </w:r>
      <w:r w:rsidR="004D007B">
        <w:t xml:space="preserve">papers </w:t>
      </w:r>
      <w:r w:rsidR="00F757BB">
        <w:t xml:space="preserve">and the amounts included in his proposed revenue requirement </w:t>
      </w:r>
      <w:r w:rsidR="004D007B">
        <w:t>do not appear to support th</w:t>
      </w:r>
      <w:r w:rsidR="00017FA6">
        <w:t>at statement.</w:t>
      </w:r>
      <w:r w:rsidR="00F26B15">
        <w:t xml:space="preserve"> </w:t>
      </w:r>
      <w:r w:rsidR="00017FA6">
        <w:t xml:space="preserve">For example, </w:t>
      </w:r>
      <w:r w:rsidR="0077523D">
        <w:t>Ms. </w:t>
      </w:r>
      <w:proofErr w:type="spellStart"/>
      <w:r w:rsidR="004D007B">
        <w:t>McCullar</w:t>
      </w:r>
      <w:r w:rsidR="00E462EF">
        <w:t>’</w:t>
      </w:r>
      <w:r w:rsidR="004D007B">
        <w:t>s</w:t>
      </w:r>
      <w:proofErr w:type="spellEnd"/>
      <w:r w:rsidR="004D007B">
        <w:t xml:space="preserve"> testimony states that she has accepted </w:t>
      </w:r>
      <w:r w:rsidR="0077523D">
        <w:t>Mr. </w:t>
      </w:r>
      <w:r w:rsidR="004D007B">
        <w:t>Spanos</w:t>
      </w:r>
      <w:r w:rsidR="00E462EF">
        <w:t>’</w:t>
      </w:r>
      <w:r w:rsidR="004D007B">
        <w:t xml:space="preserve"> proposed depreciation rates for </w:t>
      </w:r>
      <w:r w:rsidR="001A0070">
        <w:t xml:space="preserve">common </w:t>
      </w:r>
      <w:r w:rsidR="004D007B">
        <w:t>equipment</w:t>
      </w:r>
      <w:r w:rsidR="001A0070">
        <w:t>;</w:t>
      </w:r>
      <w:r w:rsidR="00017FA6">
        <w:rPr>
          <w:rStyle w:val="FootnoteReference"/>
        </w:rPr>
        <w:footnoteReference w:id="52"/>
      </w:r>
      <w:r w:rsidR="001A0070">
        <w:t xml:space="preserve"> </w:t>
      </w:r>
      <w:r w:rsidR="00017FA6">
        <w:t xml:space="preserve">therefore, one would expect </w:t>
      </w:r>
      <w:r w:rsidR="0077523D">
        <w:t>Mr. </w:t>
      </w:r>
      <w:r w:rsidR="004D007B">
        <w:t>Smith</w:t>
      </w:r>
      <w:r w:rsidR="00E462EF">
        <w:t>’</w:t>
      </w:r>
      <w:r w:rsidR="004D007B">
        <w:t xml:space="preserve">s adjustment to be the same as that proposed by </w:t>
      </w:r>
      <w:r w:rsidR="00DA6161">
        <w:t>PSE</w:t>
      </w:r>
      <w:r w:rsidR="004D007B">
        <w:t>.</w:t>
      </w:r>
      <w:r w:rsidR="00F26B15">
        <w:t xml:space="preserve"> </w:t>
      </w:r>
      <w:r w:rsidR="004D007B">
        <w:t xml:space="preserve">However, that is not the case when reviewing his Schedule C-12 </w:t>
      </w:r>
      <w:r w:rsidR="003D1CD3">
        <w:t xml:space="preserve">because </w:t>
      </w:r>
      <w:r w:rsidR="004D007B">
        <w:t xml:space="preserve">he removes $3,353,841 ($2,253,110 </w:t>
      </w:r>
      <w:r w:rsidR="003D1CD3">
        <w:t xml:space="preserve">for </w:t>
      </w:r>
      <w:r w:rsidR="004D007B">
        <w:t xml:space="preserve">electric and $1,100,730 </w:t>
      </w:r>
      <w:r w:rsidR="003D1CD3">
        <w:t xml:space="preserve">for </w:t>
      </w:r>
      <w:r w:rsidR="004D007B">
        <w:t>gas) of test period depreciation e</w:t>
      </w:r>
      <w:r w:rsidR="00017FA6">
        <w:t>xpense without any explanation in his testimony.</w:t>
      </w:r>
      <w:r w:rsidR="00F26B15">
        <w:t xml:space="preserve"> </w:t>
      </w:r>
      <w:r w:rsidR="004D007B">
        <w:t>Based on Public Counsel</w:t>
      </w:r>
      <w:r w:rsidR="00E462EF">
        <w:t>’</w:t>
      </w:r>
      <w:r w:rsidR="004D007B">
        <w:t xml:space="preserve">s </w:t>
      </w:r>
      <w:r w:rsidR="001A0070">
        <w:t xml:space="preserve">Response </w:t>
      </w:r>
      <w:r w:rsidR="004D007B">
        <w:t xml:space="preserve">to PSE </w:t>
      </w:r>
      <w:r w:rsidR="00017FA6">
        <w:t xml:space="preserve">Data Request </w:t>
      </w:r>
      <w:r w:rsidR="00017FA6">
        <w:lastRenderedPageBreak/>
        <w:t>No. </w:t>
      </w:r>
      <w:r w:rsidR="008E24DE">
        <w:t>12</w:t>
      </w:r>
      <w:r w:rsidR="004D007B">
        <w:t>,</w:t>
      </w:r>
      <w:r w:rsidR="008E24DE">
        <w:rPr>
          <w:rStyle w:val="FootnoteReference"/>
        </w:rPr>
        <w:footnoteReference w:id="53"/>
      </w:r>
      <w:r w:rsidR="004D007B">
        <w:t xml:space="preserve"> it appears that </w:t>
      </w:r>
      <w:r w:rsidR="0077523D">
        <w:t>Mr. </w:t>
      </w:r>
      <w:r w:rsidR="004D007B">
        <w:t xml:space="preserve">Smith does not understand that the depreciation adjustment performed by </w:t>
      </w:r>
      <w:r w:rsidR="00DA6161">
        <w:t>PSE</w:t>
      </w:r>
      <w:r w:rsidR="004D007B">
        <w:t xml:space="preserve"> is a </w:t>
      </w:r>
      <w:r w:rsidR="004D007B" w:rsidRPr="003D1CD3">
        <w:rPr>
          <w:i/>
        </w:rPr>
        <w:t>restating</w:t>
      </w:r>
      <w:r w:rsidR="004D007B">
        <w:t xml:space="preserve"> adjustment not a </w:t>
      </w:r>
      <w:r w:rsidR="004D007B" w:rsidRPr="003D1CD3">
        <w:rPr>
          <w:i/>
        </w:rPr>
        <w:t>pro forma</w:t>
      </w:r>
      <w:r w:rsidR="004D007B">
        <w:t xml:space="preserve"> adjustment.</w:t>
      </w:r>
      <w:r w:rsidR="00F26B15">
        <w:t xml:space="preserve"> </w:t>
      </w:r>
      <w:r w:rsidR="00DA6161">
        <w:t>PSE</w:t>
      </w:r>
      <w:r w:rsidR="00E462EF">
        <w:t>’</w:t>
      </w:r>
      <w:r w:rsidR="001A0070">
        <w:t xml:space="preserve">s </w:t>
      </w:r>
      <w:r w:rsidR="004D007B">
        <w:t xml:space="preserve">depreciation adjustment </w:t>
      </w:r>
      <w:r w:rsidR="004D007B" w:rsidRPr="00CC59ED">
        <w:rPr>
          <w:i/>
        </w:rPr>
        <w:t>restates</w:t>
      </w:r>
      <w:r w:rsidR="004D007B">
        <w:t xml:space="preserve"> the actual test period depreciation expense as if the new rates had been in place as opposed to a </w:t>
      </w:r>
      <w:r w:rsidR="004D007B" w:rsidRPr="003D1CD3">
        <w:rPr>
          <w:i/>
        </w:rPr>
        <w:t>pro forma</w:t>
      </w:r>
      <w:r w:rsidR="00D34790">
        <w:t xml:space="preserve"> a</w:t>
      </w:r>
      <w:r w:rsidR="004D007B" w:rsidRPr="00AB511C">
        <w:t>djustment that wou</w:t>
      </w:r>
      <w:r w:rsidR="004D007B">
        <w:t>ld apply the new depreciation rates to the September</w:t>
      </w:r>
      <w:r w:rsidR="003D1CD3">
        <w:t> </w:t>
      </w:r>
      <w:r w:rsidR="004D007B">
        <w:t>30</w:t>
      </w:r>
      <w:r w:rsidR="00DD2A43">
        <w:t>, 2016</w:t>
      </w:r>
      <w:r w:rsidR="003D1CD3">
        <w:t>,</w:t>
      </w:r>
      <w:r w:rsidR="004D007B">
        <w:t xml:space="preserve"> end of period plant balances.</w:t>
      </w:r>
    </w:p>
    <w:p w:rsidR="003D1CD3" w:rsidRDefault="0077523D" w:rsidP="003D1CD3">
      <w:pPr>
        <w:pStyle w:val="answer"/>
        <w:ind w:firstLine="0"/>
      </w:pPr>
      <w:r>
        <w:t>Mr. </w:t>
      </w:r>
      <w:r w:rsidR="004D007B">
        <w:t>Smith</w:t>
      </w:r>
      <w:r w:rsidR="00E462EF">
        <w:t>’</w:t>
      </w:r>
      <w:r w:rsidR="004D007B">
        <w:t>s adjustment to common, which he did not discuss in testimony or explain in his work</w:t>
      </w:r>
      <w:r w:rsidR="009D439C">
        <w:t xml:space="preserve"> </w:t>
      </w:r>
      <w:r w:rsidR="004D007B">
        <w:t xml:space="preserve">papers, removes the test period depreciation expense associated with </w:t>
      </w:r>
      <w:r w:rsidR="00A973C5">
        <w:t>only a</w:t>
      </w:r>
      <w:r w:rsidR="004D007B">
        <w:t xml:space="preserve"> portion of </w:t>
      </w:r>
      <w:r w:rsidR="00A973C5">
        <w:t xml:space="preserve">the common </w:t>
      </w:r>
      <w:r w:rsidR="004D007B">
        <w:t xml:space="preserve">FERC </w:t>
      </w:r>
      <w:r w:rsidR="003D1CD3">
        <w:t xml:space="preserve">Account </w:t>
      </w:r>
      <w:r w:rsidR="004D007B">
        <w:t xml:space="preserve">397, Communication Equipment, on the basis that since that portion of the account is fully amortized there will not be </w:t>
      </w:r>
      <w:r w:rsidR="00A973C5">
        <w:t>amortization (depreciation)</w:t>
      </w:r>
      <w:r w:rsidR="004D007B">
        <w:t xml:space="preserve"> expense in the rate year, rather than leaving the test year amount unchanged.</w:t>
      </w:r>
      <w:r w:rsidR="00F26B15">
        <w:t xml:space="preserve"> </w:t>
      </w:r>
      <w:r w:rsidR="004D007B">
        <w:t xml:space="preserve">By doing so, he has chosen to pro form one single FERC account (and only a portion of FERC </w:t>
      </w:r>
      <w:r w:rsidR="003D1CD3">
        <w:t xml:space="preserve">Account </w:t>
      </w:r>
      <w:r w:rsidR="004D007B">
        <w:t>397) to recognize that in 2018 those particular assets will no longer have amortization expense.</w:t>
      </w:r>
      <w:r w:rsidR="00F26B15">
        <w:t xml:space="preserve"> </w:t>
      </w:r>
      <w:r w:rsidR="00A973C5">
        <w:t xml:space="preserve">However, by doing this </w:t>
      </w:r>
      <w:r w:rsidR="004D007B">
        <w:t xml:space="preserve">he </w:t>
      </w:r>
      <w:r w:rsidR="00A973C5">
        <w:t>has ignored the other portion of the account where the test year included only a partial year of amortization expense.</w:t>
      </w:r>
      <w:r w:rsidR="00F26B15">
        <w:t xml:space="preserve"> </w:t>
      </w:r>
      <w:r w:rsidR="00A973C5">
        <w:t xml:space="preserve">This can be seen by reviewing the total amortization expense for Common FERC </w:t>
      </w:r>
      <w:r w:rsidR="003D1CD3">
        <w:t xml:space="preserve">Account </w:t>
      </w:r>
      <w:r w:rsidR="00A973C5">
        <w:t xml:space="preserve">397 resulting from </w:t>
      </w:r>
      <w:r>
        <w:t>Mr. </w:t>
      </w:r>
      <w:r w:rsidR="00A973C5">
        <w:t>Smith</w:t>
      </w:r>
      <w:r w:rsidR="00E462EF">
        <w:t>’</w:t>
      </w:r>
      <w:r w:rsidR="00A973C5">
        <w:t>s adjustment.</w:t>
      </w:r>
      <w:r w:rsidR="00F26B15">
        <w:t xml:space="preserve"> </w:t>
      </w:r>
      <w:r w:rsidR="005A77AF">
        <w:t>H</w:t>
      </w:r>
      <w:r w:rsidR="004D007B">
        <w:t xml:space="preserve">is </w:t>
      </w:r>
      <w:r w:rsidR="004D007B">
        <w:lastRenderedPageBreak/>
        <w:t xml:space="preserve">adjustment only reflects </w:t>
      </w:r>
      <w:r w:rsidR="00B249EE">
        <w:t>0.77</w:t>
      </w:r>
      <w:r w:rsidR="003D1CD3">
        <w:t> percent</w:t>
      </w:r>
      <w:r w:rsidR="00B249EE">
        <w:rPr>
          <w:rStyle w:val="FootnoteReference"/>
        </w:rPr>
        <w:footnoteReference w:id="54"/>
      </w:r>
      <w:r w:rsidR="004D007B">
        <w:t xml:space="preserve"> for FERC </w:t>
      </w:r>
      <w:r w:rsidR="003D1CD3">
        <w:t>Account </w:t>
      </w:r>
      <w:r w:rsidR="004D007B">
        <w:t>397 rather than the 6.67</w:t>
      </w:r>
      <w:r w:rsidR="003D1CD3">
        <w:t> percent</w:t>
      </w:r>
      <w:r w:rsidR="004D007B">
        <w:t xml:space="preserve"> proposed in the depreciation study</w:t>
      </w:r>
      <w:r w:rsidR="005A77AF">
        <w:t>.</w:t>
      </w:r>
    </w:p>
    <w:p w:rsidR="004D007B" w:rsidRDefault="005A77AF" w:rsidP="003D1CD3">
      <w:pPr>
        <w:pStyle w:val="answer"/>
        <w:ind w:firstLine="0"/>
      </w:pPr>
      <w:r>
        <w:t>Similar errors exist in the Electric and Gas pages as documented in Exhibit KJB-</w:t>
      </w:r>
      <w:r w:rsidR="003D1CD3">
        <w:t>28</w:t>
      </w:r>
      <w:r>
        <w:t>.</w:t>
      </w:r>
      <w:r w:rsidR="00F26B15">
        <w:t xml:space="preserve"> </w:t>
      </w:r>
      <w:r w:rsidR="004D007B">
        <w:t xml:space="preserve">If a complete pro forma adjustment were to be performed, </w:t>
      </w:r>
      <w:r>
        <w:t xml:space="preserve">the </w:t>
      </w:r>
      <w:r w:rsidR="004D007B">
        <w:t>new depreciation</w:t>
      </w:r>
      <w:r>
        <w:t xml:space="preserve"> </w:t>
      </w:r>
      <w:r w:rsidR="004D007B">
        <w:t xml:space="preserve">rates </w:t>
      </w:r>
      <w:r>
        <w:t xml:space="preserve">would be </w:t>
      </w:r>
      <w:r w:rsidR="004D007B">
        <w:t>applied to the September 30, 2016</w:t>
      </w:r>
      <w:r w:rsidR="003D1CD3">
        <w:t>,</w:t>
      </w:r>
      <w:r w:rsidR="004D007B">
        <w:t xml:space="preserve"> end of period balances to reflect the full pro forma adjustment, rather than just a p</w:t>
      </w:r>
      <w:r>
        <w:t xml:space="preserve">ortion of select </w:t>
      </w:r>
      <w:r w:rsidR="004D007B">
        <w:t>FERC account</w:t>
      </w:r>
      <w:r>
        <w:t>s</w:t>
      </w:r>
      <w:r w:rsidR="003D1CD3">
        <w:t>. T</w:t>
      </w:r>
      <w:r w:rsidR="004D007B">
        <w:t xml:space="preserve">he resulting adjustment would certainly be higher than that proposed by </w:t>
      </w:r>
      <w:r w:rsidR="00DA6161">
        <w:t>PSE</w:t>
      </w:r>
      <w:r w:rsidR="004D007B">
        <w:t>.</w:t>
      </w:r>
      <w:r w:rsidR="00F26B15">
        <w:t xml:space="preserve"> </w:t>
      </w:r>
      <w:r w:rsidR="003D1CD3">
        <w:t xml:space="preserve">In short, </w:t>
      </w:r>
      <w:r w:rsidR="0077523D">
        <w:t>Mr. </w:t>
      </w:r>
      <w:r w:rsidR="004D007B">
        <w:t>Smith</w:t>
      </w:r>
      <w:r w:rsidR="00E462EF">
        <w:t>’</w:t>
      </w:r>
      <w:r w:rsidR="004D007B">
        <w:t>s pro forma adjustment is incomplete, inappro</w:t>
      </w:r>
      <w:r w:rsidR="003D1CD3">
        <w:t>priate, and should be rejected.</w:t>
      </w:r>
    </w:p>
    <w:p w:rsidR="00F421F5" w:rsidRDefault="00021C30" w:rsidP="00771706">
      <w:pPr>
        <w:pStyle w:val="Heading2"/>
      </w:pPr>
      <w:bookmarkStart w:id="49" w:name="_Toc490035607"/>
      <w:r w:rsidRPr="00021C30">
        <w:rPr>
          <w:u w:val="none"/>
        </w:rPr>
        <w:t>C.</w:t>
      </w:r>
      <w:r w:rsidRPr="00021C30">
        <w:rPr>
          <w:u w:val="none"/>
        </w:rPr>
        <w:tab/>
      </w:r>
      <w:r w:rsidR="00F421F5">
        <w:t>Rate Case Expenses</w:t>
      </w:r>
      <w:r w:rsidR="00F421F5" w:rsidRPr="00F421F5">
        <w:t xml:space="preserve">, Adjustment </w:t>
      </w:r>
      <w:r w:rsidR="00334F66">
        <w:t>KJB-20</w:t>
      </w:r>
      <w:r w:rsidR="00F421F5" w:rsidRPr="00F421F5">
        <w:t>.</w:t>
      </w:r>
      <w:r w:rsidR="009579ED">
        <w:t>12</w:t>
      </w:r>
      <w:bookmarkEnd w:id="49"/>
    </w:p>
    <w:p w:rsidR="002B0DFC" w:rsidRDefault="002B0DFC" w:rsidP="002B0DFC">
      <w:pPr>
        <w:pStyle w:val="question"/>
      </w:pPr>
      <w:r>
        <w:t>Q.</w:t>
      </w:r>
      <w:r>
        <w:tab/>
        <w:t>Does your testimony respond to Commission Staff</w:t>
      </w:r>
      <w:r w:rsidR="00E462EF">
        <w:t>’</w:t>
      </w:r>
      <w:r>
        <w:t>s adjustment of rate case expenses?</w:t>
      </w:r>
    </w:p>
    <w:p w:rsidR="002B0DFC" w:rsidRDefault="002B0DFC" w:rsidP="002B0DFC">
      <w:pPr>
        <w:pStyle w:val="answer"/>
      </w:pPr>
      <w:r>
        <w:t>A.</w:t>
      </w:r>
      <w:r>
        <w:tab/>
        <w:t>No.</w:t>
      </w:r>
      <w:r w:rsidR="00F26B15">
        <w:t xml:space="preserve"> </w:t>
      </w:r>
      <w:r w:rsidR="0077523D">
        <w:t>Ms. </w:t>
      </w:r>
      <w:r>
        <w:t xml:space="preserve">Susan Free discusses the difference in the position of </w:t>
      </w:r>
      <w:r w:rsidR="00DA6161">
        <w:t>PSE</w:t>
      </w:r>
      <w:r>
        <w:t xml:space="preserve"> and Commi</w:t>
      </w:r>
      <w:r w:rsidR="003F1703">
        <w:t xml:space="preserve">ssion Staff for this adjustment in her </w:t>
      </w:r>
      <w:proofErr w:type="spellStart"/>
      <w:r w:rsidR="003F1703">
        <w:t>prefiled</w:t>
      </w:r>
      <w:proofErr w:type="spellEnd"/>
      <w:r w:rsidR="003F1703">
        <w:t xml:space="preserve"> rebuttal testimony</w:t>
      </w:r>
      <w:r>
        <w:t>.</w:t>
      </w:r>
      <w:r w:rsidR="00F26B15">
        <w:t xml:space="preserve"> </w:t>
      </w:r>
    </w:p>
    <w:p w:rsidR="00F421F5" w:rsidRPr="00F421F5" w:rsidRDefault="002367B5" w:rsidP="00771706">
      <w:pPr>
        <w:pStyle w:val="Heading2"/>
      </w:pPr>
      <w:bookmarkStart w:id="50" w:name="_Toc490035608"/>
      <w:r w:rsidRPr="00021C30">
        <w:rPr>
          <w:u w:val="none"/>
        </w:rPr>
        <w:t>D.</w:t>
      </w:r>
      <w:r w:rsidR="00021C30" w:rsidRPr="00021C30">
        <w:rPr>
          <w:u w:val="none"/>
        </w:rPr>
        <w:tab/>
      </w:r>
      <w:r w:rsidR="009E2A77">
        <w:t xml:space="preserve">Pension Plan Expense, Adjustment </w:t>
      </w:r>
      <w:r w:rsidR="00334F66">
        <w:t>KJB-20</w:t>
      </w:r>
      <w:r w:rsidR="009E2A77">
        <w:t>.15</w:t>
      </w:r>
      <w:bookmarkEnd w:id="50"/>
    </w:p>
    <w:p w:rsidR="00366087" w:rsidRPr="0082145C" w:rsidRDefault="00366087" w:rsidP="00021C30">
      <w:pPr>
        <w:pStyle w:val="question"/>
      </w:pPr>
      <w:r w:rsidRPr="0082145C">
        <w:t>Q.</w:t>
      </w:r>
      <w:r w:rsidRPr="0082145C">
        <w:tab/>
      </w:r>
      <w:r>
        <w:t xml:space="preserve">Please discuss </w:t>
      </w:r>
      <w:r w:rsidR="00334F66">
        <w:t xml:space="preserve">the positions of </w:t>
      </w:r>
      <w:r>
        <w:t>Public Counsel, ICNU</w:t>
      </w:r>
      <w:r w:rsidR="00334F66">
        <w:t>,</w:t>
      </w:r>
      <w:r>
        <w:t xml:space="preserve"> and </w:t>
      </w:r>
      <w:proofErr w:type="spellStart"/>
      <w:r>
        <w:t>NWIGU</w:t>
      </w:r>
      <w:proofErr w:type="spellEnd"/>
      <w:r>
        <w:t xml:space="preserve"> regarding the pension adjustment. </w:t>
      </w:r>
    </w:p>
    <w:p w:rsidR="00334F66" w:rsidRDefault="000A2CE8" w:rsidP="00021C30">
      <w:pPr>
        <w:pStyle w:val="Answer0"/>
      </w:pPr>
      <w:r>
        <w:t>A.</w:t>
      </w:r>
      <w:r w:rsidR="00366087">
        <w:tab/>
      </w:r>
      <w:r w:rsidR="0077523D">
        <w:t>Mr. </w:t>
      </w:r>
      <w:r w:rsidR="00366087">
        <w:t>Ralph C. Smith</w:t>
      </w:r>
      <w:r w:rsidR="00334F66">
        <w:t>, witness</w:t>
      </w:r>
      <w:r w:rsidR="00366087">
        <w:t xml:space="preserve"> for Public Counsel</w:t>
      </w:r>
      <w:r w:rsidR="00334F66">
        <w:t>,</w:t>
      </w:r>
      <w:r w:rsidR="00366087">
        <w:t xml:space="preserve"> disagrees with PSE</w:t>
      </w:r>
      <w:r w:rsidR="00E462EF">
        <w:t>’</w:t>
      </w:r>
      <w:r w:rsidR="00366087">
        <w:t xml:space="preserve">s long held regulatory treatment of using a four-year average of cash contributions for setting </w:t>
      </w:r>
      <w:r w:rsidR="00366087">
        <w:lastRenderedPageBreak/>
        <w:t>rates.</w:t>
      </w:r>
      <w:r w:rsidR="00F26B15">
        <w:t xml:space="preserve"> </w:t>
      </w:r>
      <w:r w:rsidR="00366087">
        <w:t>He believes a more fully developed record exists in the current proceeding to support his contention that a four-year average of PSE</w:t>
      </w:r>
      <w:r w:rsidR="00E462EF">
        <w:t>’</w:t>
      </w:r>
      <w:r w:rsidR="00366087">
        <w:t>s pension expense, reported as required by the Financial Accounting Standards Board (</w:t>
      </w:r>
      <w:r w:rsidR="00E462EF">
        <w:t>“</w:t>
      </w:r>
      <w:r w:rsidR="00366087">
        <w:t>FASB</w:t>
      </w:r>
      <w:r w:rsidR="00E462EF">
        <w:t>”</w:t>
      </w:r>
      <w:r w:rsidR="00366087">
        <w:t>) under Accounting Standard Codification 715 Compensation – Retirement Benefits, formerly FAS 87, should be used.</w:t>
      </w:r>
      <w:r w:rsidR="008045DC">
        <w:rPr>
          <w:rStyle w:val="FootnoteReference"/>
        </w:rPr>
        <w:footnoteReference w:id="55"/>
      </w:r>
      <w:r w:rsidR="00F26B15">
        <w:t xml:space="preserve"> </w:t>
      </w:r>
      <w:r w:rsidR="00366087">
        <w:t>Because other parties refer to pension expense as FAS 87, I will do the same to avoid confusion.</w:t>
      </w:r>
    </w:p>
    <w:p w:rsidR="00366087" w:rsidRDefault="0077523D" w:rsidP="00334F66">
      <w:pPr>
        <w:pStyle w:val="Answer0"/>
        <w:ind w:firstLine="0"/>
      </w:pPr>
      <w:r>
        <w:t>Mr. </w:t>
      </w:r>
      <w:r w:rsidR="00366087">
        <w:t>Bradley G. Mullins</w:t>
      </w:r>
      <w:r w:rsidR="00334F66">
        <w:t>, witness</w:t>
      </w:r>
      <w:r w:rsidR="00366087">
        <w:t xml:space="preserve"> for ICNU and </w:t>
      </w:r>
      <w:proofErr w:type="spellStart"/>
      <w:r w:rsidR="00366087">
        <w:t>NWIGU</w:t>
      </w:r>
      <w:proofErr w:type="spellEnd"/>
      <w:r w:rsidR="00334F66">
        <w:t>,</w:t>
      </w:r>
      <w:r w:rsidR="00366087">
        <w:t xml:space="preserve"> refer</w:t>
      </w:r>
      <w:r w:rsidR="00334F66">
        <w:t>s to</w:t>
      </w:r>
      <w:r w:rsidR="00366087">
        <w:t xml:space="preserve"> the final Order in PSE</w:t>
      </w:r>
      <w:r w:rsidR="00E462EF">
        <w:t>’</w:t>
      </w:r>
      <w:r w:rsidR="00366087">
        <w:t xml:space="preserve">s 2009 </w:t>
      </w:r>
      <w:r w:rsidR="00334F66">
        <w:t xml:space="preserve">general rate case </w:t>
      </w:r>
      <w:r w:rsidR="00366087">
        <w:t xml:space="preserve">and incorrectly states that the Commission required PSE to </w:t>
      </w:r>
      <w:r w:rsidR="00E462EF">
        <w:t>“</w:t>
      </w:r>
      <w:r w:rsidR="00366087">
        <w:t>use four years of expense, rather than four years of contributions.</w:t>
      </w:r>
      <w:r w:rsidR="00E462EF">
        <w:t>”</w:t>
      </w:r>
      <w:r w:rsidR="00366087">
        <w:rPr>
          <w:rStyle w:val="FootnoteReference"/>
        </w:rPr>
        <w:footnoteReference w:id="56"/>
      </w:r>
      <w:r w:rsidR="00F26B15">
        <w:t xml:space="preserve"> </w:t>
      </w:r>
      <w:r>
        <w:t>Mr. </w:t>
      </w:r>
      <w:r w:rsidR="00366087">
        <w:t xml:space="preserve">Mullins proposes PSE use the </w:t>
      </w:r>
      <w:r w:rsidR="00366087" w:rsidRPr="00A42EE7">
        <w:rPr>
          <w:i/>
        </w:rPr>
        <w:t>expected</w:t>
      </w:r>
      <w:r w:rsidR="00366087">
        <w:t xml:space="preserve"> 2017 pension expense </w:t>
      </w:r>
      <w:r w:rsidR="00687122">
        <w:t xml:space="preserve">noted in </w:t>
      </w:r>
      <w:r w:rsidR="00DA6161">
        <w:t>PSE</w:t>
      </w:r>
      <w:r w:rsidR="00E462EF">
        <w:t>’</w:t>
      </w:r>
      <w:r w:rsidR="00687122">
        <w:t xml:space="preserve">s </w:t>
      </w:r>
      <w:r w:rsidR="003F1703">
        <w:t xml:space="preserve">Form </w:t>
      </w:r>
      <w:r w:rsidR="00366087">
        <w:t>10</w:t>
      </w:r>
      <w:r w:rsidR="00334F66">
        <w:t>-</w:t>
      </w:r>
      <w:r w:rsidR="00366087">
        <w:t>K</w:t>
      </w:r>
      <w:r w:rsidR="003F1703">
        <w:t xml:space="preserve"> filing</w:t>
      </w:r>
      <w:r w:rsidR="00334F66">
        <w:t xml:space="preserve"> for calendar year 2016.</w:t>
      </w:r>
    </w:p>
    <w:p w:rsidR="00366087" w:rsidRPr="0082145C" w:rsidRDefault="00366087" w:rsidP="00021C30">
      <w:pPr>
        <w:pStyle w:val="question"/>
      </w:pPr>
      <w:r w:rsidRPr="0082145C">
        <w:t>Q.</w:t>
      </w:r>
      <w:r w:rsidRPr="0082145C">
        <w:tab/>
      </w:r>
      <w:r>
        <w:t>Do</w:t>
      </w:r>
      <w:r w:rsidR="00334F66">
        <w:t>es</w:t>
      </w:r>
      <w:r>
        <w:t xml:space="preserve"> </w:t>
      </w:r>
      <w:r w:rsidR="00334F66">
        <w:t xml:space="preserve">PSE </w:t>
      </w:r>
      <w:r>
        <w:t xml:space="preserve">agree that FAS 87 expense should be used as </w:t>
      </w:r>
      <w:r w:rsidR="00334F66">
        <w:t>the basis for revenue recovery?</w:t>
      </w:r>
    </w:p>
    <w:p w:rsidR="00366087" w:rsidRDefault="000A2CE8" w:rsidP="00021C30">
      <w:pPr>
        <w:pStyle w:val="Answer0"/>
      </w:pPr>
      <w:r>
        <w:t>A.</w:t>
      </w:r>
      <w:r w:rsidR="00366087">
        <w:tab/>
        <w:t>No.</w:t>
      </w:r>
      <w:r w:rsidR="00F26B15">
        <w:t xml:space="preserve"> </w:t>
      </w:r>
      <w:r w:rsidR="00366087">
        <w:t>FAS 87 is a GAAP requirement established to provide guidance in reporting net periodic pension costs for financial accounting reporting purposes.</w:t>
      </w:r>
      <w:r w:rsidR="00F26B15">
        <w:t xml:space="preserve"> </w:t>
      </w:r>
      <w:r w:rsidR="00366087">
        <w:t>Computations used to report FAS 87</w:t>
      </w:r>
      <w:r w:rsidR="00366087" w:rsidRPr="005D2EC5">
        <w:t xml:space="preserve"> are performed by actuaries using assumptions regarding current and future demographics, life expectancy, investment returns, levels of contributions or taxation, and payouts to </w:t>
      </w:r>
      <w:r w:rsidR="00366087" w:rsidRPr="005D2EC5">
        <w:lastRenderedPageBreak/>
        <w:t>beneficiaries, among other variables.</w:t>
      </w:r>
      <w:r w:rsidR="00F26B15">
        <w:t xml:space="preserve"> </w:t>
      </w:r>
      <w:r w:rsidR="00366087">
        <w:t>Each of these measures is based on estimates and are not actually known until a payout is made to the beneficiary, which could be decades away.</w:t>
      </w:r>
      <w:r w:rsidR="00F26B15">
        <w:t xml:space="preserve"> </w:t>
      </w:r>
      <w:r w:rsidR="00366087">
        <w:t xml:space="preserve">Most notably, the discount rate applied in calculating pension interest expense and the </w:t>
      </w:r>
      <w:r w:rsidR="00366087" w:rsidRPr="00C404BE">
        <w:t>expected return rate</w:t>
      </w:r>
      <w:r w:rsidR="003F1703">
        <w:t xml:space="preserve"> applied to the plan assets</w:t>
      </w:r>
      <w:r w:rsidR="00366087">
        <w:t xml:space="preserve"> are major components of the pension expense required to be reported by companies under FAS 87, yet these rates have been a point of debate and federal policy changes throughout the last three decades.</w:t>
      </w:r>
      <w:r w:rsidR="00F26B15">
        <w:t xml:space="preserve"> </w:t>
      </w:r>
    </w:p>
    <w:p w:rsidR="00366087" w:rsidRPr="0082145C" w:rsidRDefault="00366087" w:rsidP="00021C30">
      <w:pPr>
        <w:pStyle w:val="question"/>
      </w:pPr>
      <w:r>
        <w:t>Q</w:t>
      </w:r>
      <w:r w:rsidRPr="0082145C">
        <w:t>.</w:t>
      </w:r>
      <w:r w:rsidRPr="0082145C">
        <w:tab/>
      </w:r>
      <w:r>
        <w:t xml:space="preserve">Does it make sense to accept FAS 87 as the best indicator of what PSE incurs as pension costs? </w:t>
      </w:r>
    </w:p>
    <w:p w:rsidR="00366087" w:rsidRDefault="000A2CE8" w:rsidP="00021C30">
      <w:pPr>
        <w:pStyle w:val="Answer0"/>
      </w:pPr>
      <w:r>
        <w:t>A.</w:t>
      </w:r>
      <w:r w:rsidR="00366087">
        <w:tab/>
        <w:t>No.</w:t>
      </w:r>
      <w:r w:rsidR="00F26B15">
        <w:t xml:space="preserve"> </w:t>
      </w:r>
      <w:r w:rsidR="00366087">
        <w:t xml:space="preserve">Very similar to </w:t>
      </w:r>
      <w:r w:rsidR="00DA6161">
        <w:t>PSE</w:t>
      </w:r>
      <w:r w:rsidR="00E462EF">
        <w:t>’</w:t>
      </w:r>
      <w:r w:rsidR="00366087">
        <w:t xml:space="preserve">s regulatory treatment of ASC 815 Derivative and Hedging (formerly FAS 133) transactions, expenses born out of adhering to a unified accounting code for GAAP purposes </w:t>
      </w:r>
      <w:r w:rsidR="003F1703">
        <w:t>i</w:t>
      </w:r>
      <w:r w:rsidR="00366087">
        <w:t>s</w:t>
      </w:r>
      <w:r w:rsidR="003F1703">
        <w:t xml:space="preserve"> not</w:t>
      </w:r>
      <w:r w:rsidR="00366087">
        <w:t xml:space="preserve"> necessarily representative of costs that should be included for ratemaking purposes.</w:t>
      </w:r>
      <w:r w:rsidR="00F26B15">
        <w:t xml:space="preserve"> </w:t>
      </w:r>
      <w:r w:rsidR="00366087">
        <w:t>Just as PSE eliminates the impact of FAS 133</w:t>
      </w:r>
      <w:r w:rsidR="00366087">
        <w:rPr>
          <w:rStyle w:val="FootnoteReference"/>
        </w:rPr>
        <w:footnoteReference w:id="57"/>
      </w:r>
      <w:r w:rsidR="00366087">
        <w:t xml:space="preserve"> in rate setting, it should also continue to remove the expenses associated with FAS 87 and base its pension expense on actual contributions.</w:t>
      </w:r>
      <w:r w:rsidR="00F26B15">
        <w:t xml:space="preserve"> </w:t>
      </w:r>
      <w:r w:rsidR="00366087">
        <w:t xml:space="preserve">Even </w:t>
      </w:r>
      <w:r w:rsidR="0077523D">
        <w:t>Mr. </w:t>
      </w:r>
      <w:r w:rsidR="00366087">
        <w:t>Smith recognizes that FAS 87 does not dictate a particular ratemaking treatment.</w:t>
      </w:r>
      <w:r w:rsidR="00366087">
        <w:rPr>
          <w:rStyle w:val="FootnoteReference"/>
        </w:rPr>
        <w:footnoteReference w:id="58"/>
      </w:r>
    </w:p>
    <w:p w:rsidR="00366087" w:rsidRPr="00CB617A" w:rsidRDefault="00366087" w:rsidP="00021C30">
      <w:pPr>
        <w:pStyle w:val="question"/>
      </w:pPr>
      <w:r w:rsidRPr="00CB617A">
        <w:lastRenderedPageBreak/>
        <w:t>Q</w:t>
      </w:r>
      <w:r w:rsidRPr="00CB617A">
        <w:tab/>
        <w:t>Can you provide an example of how FAS 87 expense is similar to FAS 133 from a ratemaking perspective?</w:t>
      </w:r>
    </w:p>
    <w:p w:rsidR="002A50A8" w:rsidRDefault="00366087" w:rsidP="003F1703">
      <w:pPr>
        <w:pStyle w:val="Answer0"/>
      </w:pPr>
      <w:r>
        <w:t>A.</w:t>
      </w:r>
      <w:r>
        <w:tab/>
      </w:r>
      <w:r w:rsidR="003F1703">
        <w:t>FAS 87 is s</w:t>
      </w:r>
      <w:r w:rsidR="00557D6B">
        <w:t xml:space="preserve">imilar </w:t>
      </w:r>
      <w:r w:rsidR="003F1703">
        <w:t>to</w:t>
      </w:r>
      <w:r w:rsidR="00557D6B">
        <w:t xml:space="preserve"> FAS 133</w:t>
      </w:r>
      <w:r w:rsidR="003F1703">
        <w:t xml:space="preserve"> in that</w:t>
      </w:r>
      <w:r w:rsidR="00557D6B">
        <w:t xml:space="preserve"> assumption</w:t>
      </w:r>
      <w:r w:rsidR="003F1703">
        <w:t>s</w:t>
      </w:r>
      <w:r w:rsidR="00557D6B">
        <w:t xml:space="preserve"> are made today for transactions in the future</w:t>
      </w:r>
      <w:r w:rsidR="003F1703">
        <w:t>;</w:t>
      </w:r>
      <w:r w:rsidR="00557D6B">
        <w:t xml:space="preserve"> thus</w:t>
      </w:r>
      <w:r w:rsidR="003F1703">
        <w:t>,</w:t>
      </w:r>
      <w:r w:rsidR="00557D6B">
        <w:t xml:space="preserve"> until the event happens th</w:t>
      </w:r>
      <w:r w:rsidR="00D34790">
        <w:t>e</w:t>
      </w:r>
      <w:r w:rsidR="00557D6B">
        <w:t xml:space="preserve"> true cost is not known.</w:t>
      </w:r>
      <w:r w:rsidR="00F26B15">
        <w:t xml:space="preserve"> </w:t>
      </w:r>
      <w:r w:rsidR="003F1703">
        <w:t>For example, the</w:t>
      </w:r>
      <w:r w:rsidR="00557D6B">
        <w:t xml:space="preserve"> FAS 87 calculation assumes that employees will be with </w:t>
      </w:r>
      <w:r w:rsidR="00DA6161">
        <w:t>PSE</w:t>
      </w:r>
      <w:r w:rsidR="00557D6B">
        <w:t xml:space="preserve"> until their retirement age of 65</w:t>
      </w:r>
      <w:r w:rsidR="00D34790">
        <w:t>,</w:t>
      </w:r>
      <w:r w:rsidR="00557D6B">
        <w:t xml:space="preserve"> and their salary on average will increase over time at a rate of 4.5</w:t>
      </w:r>
      <w:r w:rsidR="00334F66">
        <w:t> percent</w:t>
      </w:r>
      <w:r w:rsidR="00557D6B">
        <w:t>.</w:t>
      </w:r>
      <w:r w:rsidR="00F26B15">
        <w:t xml:space="preserve"> </w:t>
      </w:r>
      <w:r w:rsidR="00557D6B">
        <w:t xml:space="preserve">In addition, </w:t>
      </w:r>
      <w:r w:rsidR="003F1703">
        <w:t xml:space="preserve">for FAS 87, </w:t>
      </w:r>
      <w:r w:rsidR="00557D6B">
        <w:t xml:space="preserve">the return on pension asset is set by </w:t>
      </w:r>
      <w:r w:rsidR="0077523D">
        <w:t>PSE</w:t>
      </w:r>
      <w:r w:rsidR="00557D6B">
        <w:t xml:space="preserve"> based on what it believes the pension assets will earn.</w:t>
      </w:r>
      <w:r w:rsidR="00F26B15">
        <w:t xml:space="preserve"> </w:t>
      </w:r>
      <w:r w:rsidR="00557D6B">
        <w:t xml:space="preserve">The discount rate used in the calculation is based on a bond model in which </w:t>
      </w:r>
      <w:r w:rsidR="0077523D">
        <w:t>PSE</w:t>
      </w:r>
      <w:r w:rsidR="00557D6B">
        <w:t xml:space="preserve"> chooses the length of bond and the rate to use. As a result, </w:t>
      </w:r>
      <w:r w:rsidR="0077523D">
        <w:t>PSE</w:t>
      </w:r>
      <w:r w:rsidR="00557D6B">
        <w:t xml:space="preserve"> is making </w:t>
      </w:r>
      <w:r w:rsidR="00017FA6">
        <w:t xml:space="preserve">a multitude </w:t>
      </w:r>
      <w:r w:rsidR="00557D6B">
        <w:t>of assumption</w:t>
      </w:r>
      <w:r w:rsidR="00017FA6">
        <w:t>s</w:t>
      </w:r>
      <w:r w:rsidR="00557D6B">
        <w:t xml:space="preserve"> regarding the pension plan that are not known until the future happens.</w:t>
      </w:r>
      <w:r w:rsidR="00F26B15">
        <w:t xml:space="preserve"> </w:t>
      </w:r>
    </w:p>
    <w:p w:rsidR="00366087" w:rsidRPr="0082145C" w:rsidRDefault="00366087" w:rsidP="00021C30">
      <w:pPr>
        <w:pStyle w:val="question"/>
      </w:pPr>
      <w:r w:rsidRPr="002A50A8">
        <w:t>Q.</w:t>
      </w:r>
      <w:r w:rsidRPr="002A50A8">
        <w:tab/>
      </w:r>
      <w:r>
        <w:t xml:space="preserve">Why </w:t>
      </w:r>
      <w:r w:rsidR="00334F66">
        <w:t xml:space="preserve">do </w:t>
      </w:r>
      <w:r>
        <w:t>you conclude that the cash contributions are a better indicator of PSE</w:t>
      </w:r>
      <w:r w:rsidR="00E462EF">
        <w:t>’</w:t>
      </w:r>
      <w:r>
        <w:t xml:space="preserve">s true pension costs? </w:t>
      </w:r>
    </w:p>
    <w:p w:rsidR="00366087" w:rsidRDefault="000A2CE8" w:rsidP="00021C30">
      <w:pPr>
        <w:pStyle w:val="Answer0"/>
      </w:pPr>
      <w:r>
        <w:t>A.</w:t>
      </w:r>
      <w:r w:rsidR="00366087">
        <w:tab/>
        <w:t>Although quarterly cash contributions are based upon PSE</w:t>
      </w:r>
      <w:r w:rsidR="00E462EF">
        <w:t>’</w:t>
      </w:r>
      <w:r w:rsidR="00366087">
        <w:t>s review of the same plan asset and Projected Benefit Obligation balances used to record FAS</w:t>
      </w:r>
      <w:r w:rsidR="00334F66">
        <w:t> </w:t>
      </w:r>
      <w:r w:rsidR="00366087">
        <w:t>87 pension expenses</w:t>
      </w:r>
      <w:r w:rsidR="003F1703">
        <w:t>,</w:t>
      </w:r>
      <w:r w:rsidR="00366087">
        <w:rPr>
          <w:rStyle w:val="FootnoteReference"/>
        </w:rPr>
        <w:footnoteReference w:id="59"/>
      </w:r>
      <w:r w:rsidR="003F1703">
        <w:t xml:space="preserve"> there is</w:t>
      </w:r>
      <w:r w:rsidR="00366087">
        <w:t xml:space="preserve"> an important difference</w:t>
      </w:r>
      <w:r w:rsidR="00334F66">
        <w:t>—c</w:t>
      </w:r>
      <w:r w:rsidR="00366087">
        <w:t xml:space="preserve">ash paid by </w:t>
      </w:r>
      <w:r w:rsidR="0077523D">
        <w:t>PSE</w:t>
      </w:r>
      <w:r w:rsidR="00366087">
        <w:t xml:space="preserve"> goes directly to the pension trust</w:t>
      </w:r>
      <w:r w:rsidR="00334F66">
        <w:t>,</w:t>
      </w:r>
      <w:r w:rsidR="00366087">
        <w:t xml:space="preserve"> and</w:t>
      </w:r>
      <w:r w:rsidR="00334F66">
        <w:t>,</w:t>
      </w:r>
      <w:r w:rsidR="00366087">
        <w:t xml:space="preserve"> once paid, </w:t>
      </w:r>
      <w:r w:rsidR="003F1703">
        <w:t xml:space="preserve">it </w:t>
      </w:r>
      <w:r w:rsidR="00366087">
        <w:t>can never be taken back.</w:t>
      </w:r>
      <w:r w:rsidR="00F26B15">
        <w:t xml:space="preserve"> </w:t>
      </w:r>
      <w:r w:rsidR="00366087">
        <w:t>The contributions represent actual dollars coming out of PSE</w:t>
      </w:r>
      <w:r w:rsidR="00E462EF">
        <w:t>’</w:t>
      </w:r>
      <w:r w:rsidR="00366087">
        <w:t xml:space="preserve">s cash account that are </w:t>
      </w:r>
      <w:r w:rsidR="008C2399">
        <w:t>paid int</w:t>
      </w:r>
      <w:r w:rsidR="00366087">
        <w:t>o the Pension Trust where they will reside permanently in the trust until a participant begins receiving his or her benefits.</w:t>
      </w:r>
      <w:r w:rsidR="00F26B15">
        <w:t xml:space="preserve"> </w:t>
      </w:r>
      <w:r w:rsidR="00366087">
        <w:t xml:space="preserve">PSE believes the contribution </w:t>
      </w:r>
      <w:r w:rsidR="00366087">
        <w:lastRenderedPageBreak/>
        <w:t>approach aligns closely with this Commission</w:t>
      </w:r>
      <w:r w:rsidR="00E462EF">
        <w:t>’</w:t>
      </w:r>
      <w:r w:rsidR="00366087">
        <w:t>s position on the relevance of cash versus accrual accounting in rate setting.</w:t>
      </w:r>
      <w:r w:rsidR="00F26B15">
        <w:t xml:space="preserve"> </w:t>
      </w:r>
      <w:r w:rsidR="00366087">
        <w:t>The recent authorization of PSE</w:t>
      </w:r>
      <w:r w:rsidR="00E462EF">
        <w:t>’</w:t>
      </w:r>
      <w:r w:rsidR="00366087">
        <w:t xml:space="preserve">s property tax tracker ordered by the Commission </w:t>
      </w:r>
      <w:r w:rsidR="00017FA6">
        <w:t>in its Expedited Rate Filing (</w:t>
      </w:r>
      <w:r w:rsidR="00E462EF">
        <w:t>“</w:t>
      </w:r>
      <w:r w:rsidR="00366087">
        <w:t>ERF</w:t>
      </w:r>
      <w:r w:rsidR="00E462EF">
        <w:t>”</w:t>
      </w:r>
      <w:r w:rsidR="00366087">
        <w:t>) in Docket</w:t>
      </w:r>
      <w:r w:rsidR="003F1703">
        <w:t>s</w:t>
      </w:r>
      <w:r w:rsidR="00366087">
        <w:t xml:space="preserve"> UE-130137 and UG</w:t>
      </w:r>
      <w:r w:rsidR="00334F66">
        <w:t>-</w:t>
      </w:r>
      <w:r w:rsidR="00366087">
        <w:t>130138 is an example of the Commission</w:t>
      </w:r>
      <w:r w:rsidR="00E462EF">
        <w:t>’</w:t>
      </w:r>
      <w:r w:rsidR="00366087">
        <w:t>s preference for known and measurable amounts</w:t>
      </w:r>
      <w:r w:rsidR="003F1703">
        <w:t>.</w:t>
      </w:r>
      <w:r w:rsidR="00F26B15">
        <w:t xml:space="preserve"> </w:t>
      </w:r>
      <w:r w:rsidR="003F1703">
        <w:t>In that case, the Commission</w:t>
      </w:r>
      <w:r w:rsidR="00366087">
        <w:t xml:space="preserve"> agreed that rather than using accounting estimates of property tax expense for rate setting purposes, it was more appropriate to set rates in a tracker based on the known and measurable cash payments made by PSE.</w:t>
      </w:r>
    </w:p>
    <w:p w:rsidR="00366087" w:rsidRPr="0082145C" w:rsidRDefault="00366087" w:rsidP="00021C30">
      <w:pPr>
        <w:pStyle w:val="question"/>
      </w:pPr>
      <w:r>
        <w:t>Q.</w:t>
      </w:r>
      <w:r>
        <w:tab/>
      </w:r>
      <w:r w:rsidR="003F1703">
        <w:t>Has</w:t>
      </w:r>
      <w:r>
        <w:t xml:space="preserve"> a fully developed record been </w:t>
      </w:r>
      <w:r w:rsidR="003F1703">
        <w:t xml:space="preserve">developed </w:t>
      </w:r>
      <w:r>
        <w:t>to support changing the Commission</w:t>
      </w:r>
      <w:r w:rsidR="00E462EF">
        <w:t>’</w:t>
      </w:r>
      <w:r>
        <w:t xml:space="preserve">s historic treatment of PSE pension recovery? </w:t>
      </w:r>
    </w:p>
    <w:p w:rsidR="00D940EB" w:rsidRDefault="000A2CE8" w:rsidP="00021C30">
      <w:pPr>
        <w:pStyle w:val="Answer0"/>
      </w:pPr>
      <w:r>
        <w:t>A.</w:t>
      </w:r>
      <w:r w:rsidR="00366087">
        <w:tab/>
        <w:t>No.</w:t>
      </w:r>
      <w:r w:rsidR="00F26B15">
        <w:t xml:space="preserve"> </w:t>
      </w:r>
      <w:r w:rsidR="0077523D">
        <w:t>Mr. </w:t>
      </w:r>
      <w:r w:rsidR="00366087">
        <w:t>Smith provides a thorough overview of the categories of FAS</w:t>
      </w:r>
      <w:r w:rsidR="00D940EB">
        <w:t> </w:t>
      </w:r>
      <w:r w:rsidR="00366087">
        <w:t>87 expense and discusses</w:t>
      </w:r>
      <w:r w:rsidR="00D940EB">
        <w:t>,</w:t>
      </w:r>
      <w:r w:rsidR="00366087">
        <w:t xml:space="preserve"> at length, the funding standards established by the Employee Retirement Income Security Act (</w:t>
      </w:r>
      <w:r w:rsidR="00E462EF">
        <w:t>“</w:t>
      </w:r>
      <w:r w:rsidR="00366087">
        <w:t>ERISA</w:t>
      </w:r>
      <w:r w:rsidR="00E462EF">
        <w:t>”</w:t>
      </w:r>
      <w:r w:rsidR="00366087">
        <w:t>), the Pensi</w:t>
      </w:r>
      <w:r w:rsidR="00D940EB">
        <w:t>on Benefit Guaranty Corporation</w:t>
      </w:r>
      <w:r w:rsidR="00366087">
        <w:t>,</w:t>
      </w:r>
      <w:r w:rsidR="00D940EB">
        <w:t xml:space="preserve"> and the Pension Protection Act</w:t>
      </w:r>
      <w:r w:rsidR="00366087">
        <w:t xml:space="preserve"> of 2006</w:t>
      </w:r>
      <w:r w:rsidR="00017FA6">
        <w:t>.</w:t>
      </w:r>
      <w:r w:rsidR="00F26B15">
        <w:t xml:space="preserve"> </w:t>
      </w:r>
      <w:r w:rsidR="00017FA6">
        <w:t>H</w:t>
      </w:r>
      <w:r w:rsidR="00366087">
        <w:t>owever</w:t>
      </w:r>
      <w:r w:rsidR="00017FA6">
        <w:t>,</w:t>
      </w:r>
      <w:r w:rsidR="00366087">
        <w:t xml:space="preserve"> none of this supports why FAS 87 is a more appropriate metric to use for ratemaking purposes than the</w:t>
      </w:r>
      <w:r w:rsidR="00F26B15">
        <w:t xml:space="preserve"> </w:t>
      </w:r>
      <w:r w:rsidR="00366087">
        <w:t>Commission</w:t>
      </w:r>
      <w:r w:rsidR="00E462EF">
        <w:t>’</w:t>
      </w:r>
      <w:r w:rsidR="00366087">
        <w:t xml:space="preserve">s long standing practice of </w:t>
      </w:r>
      <w:r w:rsidR="003F1703">
        <w:t>using</w:t>
      </w:r>
      <w:r w:rsidR="00366087">
        <w:t xml:space="preserve"> normalized cash contribution</w:t>
      </w:r>
      <w:r w:rsidR="005E1581">
        <w:t>s for ratemaking purposes.</w:t>
      </w:r>
    </w:p>
    <w:p w:rsidR="00366087" w:rsidRDefault="0077523D" w:rsidP="00D940EB">
      <w:pPr>
        <w:pStyle w:val="Answer0"/>
        <w:ind w:firstLine="0"/>
      </w:pPr>
      <w:r>
        <w:t>Mr. </w:t>
      </w:r>
      <w:r w:rsidR="00366087">
        <w:t>Smith</w:t>
      </w:r>
      <w:r w:rsidR="00E462EF">
        <w:t>’</w:t>
      </w:r>
      <w:r w:rsidR="00366087">
        <w:t xml:space="preserve">s only support for making the change from normalized cash contributions to FAS 87 is his belief that using the normalized contributions </w:t>
      </w:r>
      <w:r w:rsidR="00E462EF">
        <w:t>“</w:t>
      </w:r>
      <w:r w:rsidR="00366087">
        <w:t>would significantly overstate the 2018 rate year pension expense</w:t>
      </w:r>
      <w:r w:rsidR="005E1581">
        <w:t>,</w:t>
      </w:r>
      <w:r w:rsidR="00E462EF">
        <w:t>”</w:t>
      </w:r>
      <w:r w:rsidR="00366087">
        <w:rPr>
          <w:rStyle w:val="FootnoteReference"/>
        </w:rPr>
        <w:footnoteReference w:id="60"/>
      </w:r>
      <w:r w:rsidR="005E1581">
        <w:t xml:space="preserve"> but only in </w:t>
      </w:r>
      <w:r w:rsidR="005E1581">
        <w:lastRenderedPageBreak/>
        <w:t>relation to FAS 87 expense for which he provides no substantive evidence proving it is the more appropriate measure for ratemaking.</w:t>
      </w:r>
      <w:r w:rsidR="00F26B15">
        <w:t xml:space="preserve"> </w:t>
      </w:r>
      <w:r w:rsidR="00366087">
        <w:t xml:space="preserve">His support relies on the 2016 actuarial study to reach his conclusion that </w:t>
      </w:r>
      <w:r w:rsidR="005E1581" w:rsidRPr="00D940EB">
        <w:rPr>
          <w:i/>
        </w:rPr>
        <w:t xml:space="preserve">estimated </w:t>
      </w:r>
      <w:r w:rsidR="00366087" w:rsidRPr="00D940EB">
        <w:rPr>
          <w:i/>
        </w:rPr>
        <w:t>future</w:t>
      </w:r>
      <w:r w:rsidR="00366087">
        <w:t xml:space="preserve"> contributions will be less than the 2013 to 2016 four-year average of </w:t>
      </w:r>
      <w:r w:rsidR="00366087" w:rsidRPr="00D940EB">
        <w:rPr>
          <w:i/>
        </w:rPr>
        <w:t>actual</w:t>
      </w:r>
      <w:r w:rsidR="00366087" w:rsidRPr="00624302">
        <w:rPr>
          <w:u w:val="single"/>
        </w:rPr>
        <w:t xml:space="preserve"> </w:t>
      </w:r>
      <w:r w:rsidR="00366087">
        <w:t>contribut</w:t>
      </w:r>
      <w:r w:rsidR="005E1581">
        <w:t xml:space="preserve">ions </w:t>
      </w:r>
      <w:r w:rsidR="008C2399">
        <w:t>paid</w:t>
      </w:r>
      <w:r w:rsidR="005E1581">
        <w:t xml:space="preserve"> by </w:t>
      </w:r>
      <w:r>
        <w:t>PSE</w:t>
      </w:r>
      <w:r w:rsidR="005E1581">
        <w:t>.</w:t>
      </w:r>
      <w:r w:rsidR="00F26B15">
        <w:t xml:space="preserve"> </w:t>
      </w:r>
      <w:r w:rsidR="00366087">
        <w:t xml:space="preserve">He also points to the </w:t>
      </w:r>
      <w:r w:rsidR="00E462EF">
        <w:t>“</w:t>
      </w:r>
      <w:r w:rsidR="003F1703">
        <w:t>fact</w:t>
      </w:r>
      <w:r w:rsidR="00E462EF">
        <w:t>”</w:t>
      </w:r>
      <w:r w:rsidR="00366087">
        <w:t xml:space="preserve"> that his </w:t>
      </w:r>
      <w:r w:rsidR="00E462EF">
        <w:t>“</w:t>
      </w:r>
      <w:r w:rsidR="00366087">
        <w:t>recommended use of a four-year average of net periodic pension cost is generally in line with the Company</w:t>
      </w:r>
      <w:r w:rsidR="00E462EF">
        <w:t>’</w:t>
      </w:r>
      <w:r w:rsidR="00366087">
        <w:t xml:space="preserve">s </w:t>
      </w:r>
      <w:r w:rsidR="00366087" w:rsidRPr="006C746A">
        <w:rPr>
          <w:u w:val="single"/>
        </w:rPr>
        <w:t>projected</w:t>
      </w:r>
      <w:r w:rsidR="00366087">
        <w:t xml:space="preserve"> cash contributions</w:t>
      </w:r>
      <w:r w:rsidR="00E462EF">
        <w:t>”</w:t>
      </w:r>
      <w:r w:rsidR="00366087">
        <w:rPr>
          <w:rStyle w:val="FootnoteReference"/>
        </w:rPr>
        <w:footnoteReference w:id="61"/>
      </w:r>
      <w:r w:rsidR="00366087">
        <w:t xml:space="preserve"> when he looks at the proje</w:t>
      </w:r>
      <w:r w:rsidR="005E1581">
        <w:t>cted 2017 through 2025 period.</w:t>
      </w:r>
      <w:r w:rsidR="00F26B15">
        <w:t xml:space="preserve"> </w:t>
      </w:r>
      <w:r w:rsidR="00366087">
        <w:t>None of these reasons support why FAS 87 expense is a more appropriate metric to use for rate setting purposes other than it provides a lower level of expense.</w:t>
      </w:r>
      <w:r w:rsidR="00366087" w:rsidRPr="00B23365">
        <w:rPr>
          <w:rStyle w:val="FootnoteReference"/>
        </w:rPr>
        <w:t xml:space="preserve"> </w:t>
      </w:r>
      <w:r w:rsidR="00366087">
        <w:rPr>
          <w:rStyle w:val="FootnoteReference"/>
        </w:rPr>
        <w:footnoteReference w:id="62"/>
      </w:r>
      <w:r w:rsidR="00F26B15">
        <w:t xml:space="preserve"> </w:t>
      </w:r>
      <w:r>
        <w:t>Mr. </w:t>
      </w:r>
      <w:r w:rsidR="00366087">
        <w:t>Smith merely concludes that PSE</w:t>
      </w:r>
      <w:r w:rsidR="00E462EF">
        <w:t>’</w:t>
      </w:r>
      <w:r w:rsidR="00366087">
        <w:t>s projected pension contributions are higher than its projected FAS 87 expense and</w:t>
      </w:r>
      <w:r w:rsidR="003F1703">
        <w:t>,</w:t>
      </w:r>
      <w:r w:rsidR="00366087">
        <w:t xml:space="preserve"> therefore</w:t>
      </w:r>
      <w:r w:rsidR="003F1703">
        <w:t>,</w:t>
      </w:r>
      <w:r w:rsidR="00366087">
        <w:t xml:space="preserve"> moving to the FAS 87 expense should be accepted.</w:t>
      </w:r>
      <w:r w:rsidR="00F26B15">
        <w:t xml:space="preserve"> </w:t>
      </w:r>
    </w:p>
    <w:p w:rsidR="00366087" w:rsidRPr="0082145C" w:rsidRDefault="00366087" w:rsidP="00777E1F">
      <w:pPr>
        <w:pStyle w:val="question"/>
      </w:pPr>
      <w:r>
        <w:t>Q</w:t>
      </w:r>
      <w:r w:rsidRPr="0082145C">
        <w:t>.</w:t>
      </w:r>
      <w:r w:rsidRPr="0082145C">
        <w:tab/>
      </w:r>
      <w:r>
        <w:t>Do</w:t>
      </w:r>
      <w:r w:rsidR="00D940EB">
        <w:t>es</w:t>
      </w:r>
      <w:r>
        <w:t xml:space="preserve"> </w:t>
      </w:r>
      <w:r w:rsidR="00D940EB">
        <w:t xml:space="preserve">PSE </w:t>
      </w:r>
      <w:r>
        <w:t xml:space="preserve">agree with </w:t>
      </w:r>
      <w:r w:rsidR="0077523D">
        <w:t>Mr. </w:t>
      </w:r>
      <w:r>
        <w:t>Smith</w:t>
      </w:r>
      <w:r w:rsidR="00E462EF">
        <w:t>’</w:t>
      </w:r>
      <w:r>
        <w:t xml:space="preserve">s statement that management has a wide range of discretion as to how much to contribute each year? </w:t>
      </w:r>
    </w:p>
    <w:p w:rsidR="00366087" w:rsidRDefault="000A2CE8" w:rsidP="00777E1F">
      <w:pPr>
        <w:pStyle w:val="Answer0"/>
      </w:pPr>
      <w:r>
        <w:t>A.</w:t>
      </w:r>
      <w:r w:rsidR="00366087">
        <w:tab/>
        <w:t>No. Perhaps one of the strongest arguments for continuing to use actual cash contributions in setting rates is the existence of the natural checks and balances occurring in today</w:t>
      </w:r>
      <w:r w:rsidR="00E462EF">
        <w:t>’</w:t>
      </w:r>
      <w:r w:rsidR="00366087">
        <w:t>s heavily scrutinized pension environment.</w:t>
      </w:r>
      <w:r w:rsidR="00F26B15">
        <w:t xml:space="preserve"> </w:t>
      </w:r>
      <w:r w:rsidR="00366087">
        <w:t>PSE</w:t>
      </w:r>
      <w:r w:rsidR="00E462EF">
        <w:t>’</w:t>
      </w:r>
      <w:r w:rsidR="00366087">
        <w:t xml:space="preserve">s management must continually maintain a balance to comply with strict guidelines set forth by the </w:t>
      </w:r>
      <w:r w:rsidR="00D940EB">
        <w:t xml:space="preserve">Pension Benefit Guaranty Corporation </w:t>
      </w:r>
      <w:r w:rsidR="00366087">
        <w:t xml:space="preserve">to manage or avoid costly premiums, </w:t>
      </w:r>
      <w:r w:rsidR="00366087">
        <w:lastRenderedPageBreak/>
        <w:t>while justifying cash outlays to its board of directors.</w:t>
      </w:r>
      <w:r w:rsidR="00F26B15">
        <w:t xml:space="preserve"> </w:t>
      </w:r>
      <w:r w:rsidR="0077523D">
        <w:t>Mr. </w:t>
      </w:r>
      <w:r w:rsidR="00366087">
        <w:t>Smith</w:t>
      </w:r>
      <w:r w:rsidR="00E462EF">
        <w:t>’</w:t>
      </w:r>
      <w:r w:rsidR="00366087">
        <w:t>s testimony alludes to management</w:t>
      </w:r>
      <w:r w:rsidR="00E462EF">
        <w:t>’</w:t>
      </w:r>
      <w:r w:rsidR="00366087">
        <w:t>s discretion in how much to contribute each year,</w:t>
      </w:r>
      <w:r w:rsidR="008045DC">
        <w:rPr>
          <w:rStyle w:val="FootnoteReference"/>
        </w:rPr>
        <w:footnoteReference w:id="63"/>
      </w:r>
      <w:r w:rsidR="00366087">
        <w:t xml:space="preserve"> however, </w:t>
      </w:r>
      <w:r w:rsidR="0077523D">
        <w:t>PSE</w:t>
      </w:r>
      <w:r w:rsidR="00366087">
        <w:t xml:space="preserve"> is never incentivized to be either overfunded or underfunded in its pension plan and </w:t>
      </w:r>
      <w:r w:rsidR="0077523D">
        <w:t>Mr. </w:t>
      </w:r>
      <w:r w:rsidR="00366087">
        <w:t>Smith has not provided any documentation to suggest otherwise.</w:t>
      </w:r>
      <w:r w:rsidR="00F26B15">
        <w:t xml:space="preserve"> </w:t>
      </w:r>
      <w:r w:rsidR="00366087">
        <w:t xml:space="preserve">Therefore, using normalized actual cash contributions is not unreasonable and does not incentivize </w:t>
      </w:r>
      <w:r w:rsidR="0077523D">
        <w:t>PSE</w:t>
      </w:r>
      <w:r w:rsidR="00366087">
        <w:t xml:space="preserve"> to over-contribute.</w:t>
      </w:r>
      <w:r w:rsidR="00F26B15">
        <w:t xml:space="preserve"> </w:t>
      </w:r>
    </w:p>
    <w:p w:rsidR="00366087" w:rsidRPr="0082145C" w:rsidRDefault="00366087" w:rsidP="00777E1F">
      <w:pPr>
        <w:pStyle w:val="question"/>
      </w:pPr>
      <w:r>
        <w:t>Q</w:t>
      </w:r>
      <w:r w:rsidRPr="0082145C">
        <w:t>.</w:t>
      </w:r>
      <w:r w:rsidRPr="0082145C">
        <w:tab/>
      </w:r>
      <w:r>
        <w:t xml:space="preserve">What guidelines does PSE </w:t>
      </w:r>
      <w:r w:rsidR="003F1703">
        <w:t xml:space="preserve">follow to </w:t>
      </w:r>
      <w:r>
        <w:t xml:space="preserve">ensure the cash contributions are appropriate? </w:t>
      </w:r>
    </w:p>
    <w:p w:rsidR="00366087" w:rsidRDefault="000A2CE8" w:rsidP="00777E1F">
      <w:pPr>
        <w:pStyle w:val="Answer0"/>
      </w:pPr>
      <w:r>
        <w:t>A.</w:t>
      </w:r>
      <w:r w:rsidR="00366087">
        <w:tab/>
      </w:r>
      <w:r w:rsidR="00D34790">
        <w:t xml:space="preserve">PSE determines its contribution levels each year in accordance with its own Retirement Funding Guidelines, which adhere to </w:t>
      </w:r>
      <w:r w:rsidR="00366087">
        <w:t xml:space="preserve">ERISA, the </w:t>
      </w:r>
      <w:r w:rsidR="00D940EB">
        <w:t>Pension Benefit Guaranty Corporation</w:t>
      </w:r>
      <w:r w:rsidR="00366087">
        <w:t xml:space="preserve">, and the </w:t>
      </w:r>
      <w:r w:rsidR="00D940EB">
        <w:t>Pension Protection Act</w:t>
      </w:r>
      <w:r w:rsidR="00366087">
        <w:t xml:space="preserve"> of 2006</w:t>
      </w:r>
      <w:r w:rsidR="00D34790">
        <w:t xml:space="preserve"> cited by Mr. Smith. PSE’s Retirement Funding Guidelines </w:t>
      </w:r>
      <w:r w:rsidR="00366087">
        <w:t xml:space="preserve">were approved by </w:t>
      </w:r>
      <w:r w:rsidR="0077523D">
        <w:t>PSE</w:t>
      </w:r>
      <w:r w:rsidR="00E462EF">
        <w:t>’</w:t>
      </w:r>
      <w:r w:rsidR="00366087">
        <w:t>s Board of Directors in November 2009.</w:t>
      </w:r>
      <w:r w:rsidR="00F26B15">
        <w:t xml:space="preserve"> </w:t>
      </w:r>
      <w:r w:rsidR="00366087">
        <w:t xml:space="preserve">I have </w:t>
      </w:r>
      <w:r w:rsidR="005E1581">
        <w:t>included</w:t>
      </w:r>
      <w:r w:rsidR="00366087">
        <w:t xml:space="preserve"> PSE</w:t>
      </w:r>
      <w:r w:rsidR="00E462EF">
        <w:t>’</w:t>
      </w:r>
      <w:r w:rsidR="00366087">
        <w:t>s Response to ICNU Data Request No.</w:t>
      </w:r>
      <w:r w:rsidR="00D34790">
        <w:t> </w:t>
      </w:r>
      <w:r w:rsidR="00366087">
        <w:t xml:space="preserve">58 as </w:t>
      </w:r>
      <w:r w:rsidR="007F06EF">
        <w:t>Exhibit KJB-</w:t>
      </w:r>
      <w:r w:rsidR="00D940EB">
        <w:t xml:space="preserve">29, </w:t>
      </w:r>
      <w:r w:rsidR="00366087">
        <w:t>which provides an example of the funding guidelines calculation for 2016.</w:t>
      </w:r>
      <w:r w:rsidR="00F26B15">
        <w:t xml:space="preserve"> </w:t>
      </w:r>
    </w:p>
    <w:p w:rsidR="00366087" w:rsidRPr="0082145C" w:rsidRDefault="00366087" w:rsidP="00777E1F">
      <w:pPr>
        <w:pStyle w:val="question"/>
      </w:pPr>
      <w:r>
        <w:t>Q</w:t>
      </w:r>
      <w:r w:rsidRPr="0082145C">
        <w:t>.</w:t>
      </w:r>
      <w:r w:rsidRPr="0082145C">
        <w:tab/>
      </w:r>
      <w:r>
        <w:t xml:space="preserve">Why would PSE avoid being excessively </w:t>
      </w:r>
      <w:r w:rsidRPr="004B52A7">
        <w:rPr>
          <w:i/>
        </w:rPr>
        <w:t>over</w:t>
      </w:r>
      <w:r>
        <w:t xml:space="preserve">funded? </w:t>
      </w:r>
    </w:p>
    <w:p w:rsidR="003F1703" w:rsidRDefault="000A2CE8" w:rsidP="00BE5DDC">
      <w:pPr>
        <w:pStyle w:val="answer"/>
      </w:pPr>
      <w:r>
        <w:t>A.</w:t>
      </w:r>
      <w:r w:rsidR="00366087">
        <w:tab/>
        <w:t>PSE does not have unlimited cash flow and carefully manages its pension contributions based on its Retirement Funding Guidelines and applicable pension enactments so that it can optimize its available cash to fund operating activities.</w:t>
      </w:r>
      <w:r w:rsidR="00F26B15">
        <w:t xml:space="preserve"> </w:t>
      </w:r>
      <w:r w:rsidR="00366087">
        <w:t>Once funds are contributed to the pension plan, they may not be removed</w:t>
      </w:r>
      <w:r w:rsidR="00D940EB">
        <w:t xml:space="preserve">. </w:t>
      </w:r>
      <w:r w:rsidR="00D940EB">
        <w:lastRenderedPageBreak/>
        <w:t>Therefore</w:t>
      </w:r>
      <w:r w:rsidR="003F1703">
        <w:t>,</w:t>
      </w:r>
      <w:r w:rsidR="00366087">
        <w:t xml:space="preserve"> PSE has no incentive to excessively fund the pension plan</w:t>
      </w:r>
      <w:r w:rsidR="00D940EB">
        <w:t>,</w:t>
      </w:r>
      <w:r w:rsidR="00366087">
        <w:t xml:space="preserve"> and </w:t>
      </w:r>
      <w:r w:rsidR="0077523D">
        <w:t>Mr. </w:t>
      </w:r>
      <w:r w:rsidR="00366087">
        <w:t>Smith has not provided any support to demonstrate otherwise.</w:t>
      </w:r>
    </w:p>
    <w:p w:rsidR="003F1703" w:rsidRDefault="003F1703" w:rsidP="003F1703">
      <w:pPr>
        <w:pStyle w:val="question"/>
      </w:pPr>
      <w:r>
        <w:t>Q.</w:t>
      </w:r>
      <w:r>
        <w:tab/>
        <w:t>How have PSE</w:t>
      </w:r>
      <w:r w:rsidR="00E462EF">
        <w:t>’</w:t>
      </w:r>
      <w:r>
        <w:t>s pension obligations compared to PSE</w:t>
      </w:r>
      <w:r w:rsidR="00E462EF">
        <w:t>’</w:t>
      </w:r>
      <w:r>
        <w:t>s plan assets?</w:t>
      </w:r>
    </w:p>
    <w:p w:rsidR="00366087" w:rsidRDefault="003F1703" w:rsidP="00BE5DDC">
      <w:pPr>
        <w:pStyle w:val="answer"/>
      </w:pPr>
      <w:r>
        <w:t>A.</w:t>
      </w:r>
      <w:r>
        <w:tab/>
        <w:t>A</w:t>
      </w:r>
      <w:r w:rsidR="00366087">
        <w:t>s provided in Exhibit TMH-6C, PSE</w:t>
      </w:r>
      <w:r w:rsidR="00E462EF">
        <w:t>’</w:t>
      </w:r>
      <w:r w:rsidR="00366087">
        <w:t xml:space="preserve">s </w:t>
      </w:r>
      <w:r w:rsidR="00D940EB">
        <w:t>Projected Benefit Obligation balances</w:t>
      </w:r>
      <w:r w:rsidR="00366087">
        <w:t xml:space="preserve"> ha</w:t>
      </w:r>
      <w:r w:rsidR="00D940EB">
        <w:t>ve</w:t>
      </w:r>
      <w:r w:rsidR="00366087">
        <w:t xml:space="preserve"> been consistently higher than the plan assets for the past several years.</w:t>
      </w:r>
      <w:r w:rsidR="00F26B15">
        <w:t xml:space="preserve"> </w:t>
      </w:r>
      <w:r w:rsidR="00366087">
        <w:t>In fact, as indicated in PSE</w:t>
      </w:r>
      <w:r w:rsidR="00E462EF">
        <w:t>’</w:t>
      </w:r>
      <w:r w:rsidR="00366087">
        <w:t xml:space="preserve">s </w:t>
      </w:r>
      <w:r w:rsidR="00D940EB">
        <w:t>R</w:t>
      </w:r>
      <w:r w:rsidR="00366087">
        <w:t xml:space="preserve">esponse to </w:t>
      </w:r>
      <w:r w:rsidR="009A11B5">
        <w:rPr>
          <w:bCs/>
        </w:rPr>
        <w:t xml:space="preserve">Commission </w:t>
      </w:r>
      <w:r w:rsidR="009A11B5">
        <w:t>Staff</w:t>
      </w:r>
      <w:r w:rsidR="00366087">
        <w:t xml:space="preserve"> Data Request 134</w:t>
      </w:r>
      <w:r>
        <w:t>,</w:t>
      </w:r>
      <w:r w:rsidR="00366087">
        <w:t xml:space="preserve"> whi</w:t>
      </w:r>
      <w:r w:rsidR="005E1581">
        <w:t>ch is included as Exhibit KJB-</w:t>
      </w:r>
      <w:r w:rsidR="00D940EB">
        <w:t>30</w:t>
      </w:r>
      <w:r w:rsidR="00366087">
        <w:t xml:space="preserve">, </w:t>
      </w:r>
      <w:r w:rsidR="0077523D">
        <w:t>PSE</w:t>
      </w:r>
      <w:r w:rsidR="00366087">
        <w:t xml:space="preserve"> needed to make an additional contribution in </w:t>
      </w:r>
      <w:r>
        <w:t xml:space="preserve">2016 in </w:t>
      </w:r>
      <w:r w:rsidR="00366087">
        <w:t xml:space="preserve">order to meet the minimum funding to avoid unnecessary premiums dictated by the </w:t>
      </w:r>
      <w:r w:rsidR="00D940EB">
        <w:t xml:space="preserve">Pension Benefit Guaranty Corporation </w:t>
      </w:r>
      <w:r w:rsidR="00366087">
        <w:t>for plans that are underfunded.</w:t>
      </w:r>
      <w:r w:rsidR="00F26B15">
        <w:t xml:space="preserve"> </w:t>
      </w:r>
    </w:p>
    <w:p w:rsidR="00366087" w:rsidRDefault="00366087" w:rsidP="00777E1F">
      <w:pPr>
        <w:pStyle w:val="question"/>
      </w:pPr>
      <w:r>
        <w:t>Q</w:t>
      </w:r>
      <w:r w:rsidRPr="0082145C">
        <w:t>.</w:t>
      </w:r>
      <w:r w:rsidRPr="0082145C">
        <w:tab/>
      </w:r>
      <w:r>
        <w:t xml:space="preserve">If the Commission were to adopt </w:t>
      </w:r>
      <w:r w:rsidR="0077523D">
        <w:t>Mr. </w:t>
      </w:r>
      <w:r>
        <w:t>Smith</w:t>
      </w:r>
      <w:r w:rsidR="00E462EF">
        <w:t>’</w:t>
      </w:r>
      <w:r>
        <w:t>s recommendation and utilize FAS 87 pension expense, are there accounts on the balance sheet that would also need to be included in rate case proceedings?</w:t>
      </w:r>
    </w:p>
    <w:p w:rsidR="00366087" w:rsidRPr="009C2EE5" w:rsidRDefault="00366087" w:rsidP="00777E1F">
      <w:pPr>
        <w:pStyle w:val="Answer0"/>
      </w:pPr>
      <w:r w:rsidRPr="009C2EE5">
        <w:t>A.</w:t>
      </w:r>
      <w:r w:rsidRPr="009C2EE5">
        <w:tab/>
      </w:r>
      <w:r>
        <w:t>Yes</w:t>
      </w:r>
      <w:r w:rsidRPr="009C2EE5">
        <w:t>.</w:t>
      </w:r>
      <w:r w:rsidR="00F26B15">
        <w:t xml:space="preserve"> </w:t>
      </w:r>
      <w:r>
        <w:t>Because PSE is allowed the four</w:t>
      </w:r>
      <w:r w:rsidR="003F1703">
        <w:t>-</w:t>
      </w:r>
      <w:r>
        <w:t>year average of contributions for rate recovery, its balance sheet accounts associated with FAS 87 accounting are currently included in non-operating investment for working capital purposes.</w:t>
      </w:r>
      <w:r w:rsidR="00F26B15">
        <w:t xml:space="preserve"> </w:t>
      </w:r>
      <w:r>
        <w:t xml:space="preserve">If the Commission were to adopt </w:t>
      </w:r>
      <w:r w:rsidR="0077523D">
        <w:t>Mr. </w:t>
      </w:r>
      <w:r>
        <w:t>Smith</w:t>
      </w:r>
      <w:r w:rsidR="00E462EF">
        <w:t>’</w:t>
      </w:r>
      <w:r>
        <w:t>s recommendation</w:t>
      </w:r>
      <w:r w:rsidR="003F1703">
        <w:t>,</w:t>
      </w:r>
      <w:r>
        <w:t xml:space="preserve"> then these balance </w:t>
      </w:r>
      <w:r w:rsidR="003F1703">
        <w:t xml:space="preserve">sheet accounts </w:t>
      </w:r>
      <w:r>
        <w:t>would need to be moved from non-operating investment to working capital.</w:t>
      </w:r>
      <w:r w:rsidR="00F26B15">
        <w:t xml:space="preserve"> </w:t>
      </w:r>
    </w:p>
    <w:p w:rsidR="00366087" w:rsidRPr="0082145C" w:rsidRDefault="00366087" w:rsidP="00777E1F">
      <w:pPr>
        <w:pStyle w:val="question"/>
      </w:pPr>
      <w:r>
        <w:lastRenderedPageBreak/>
        <w:t>Q</w:t>
      </w:r>
      <w:r w:rsidRPr="0082145C">
        <w:t>.</w:t>
      </w:r>
      <w:r w:rsidRPr="0082145C">
        <w:tab/>
      </w:r>
      <w:r>
        <w:t xml:space="preserve">Why does </w:t>
      </w:r>
      <w:r w:rsidR="0077523D">
        <w:t>Mr. </w:t>
      </w:r>
      <w:r>
        <w:t>Mullins refer</w:t>
      </w:r>
      <w:r w:rsidR="00D940EB">
        <w:t xml:space="preserve"> to </w:t>
      </w:r>
      <w:r>
        <w:t xml:space="preserve">Docket UE-140762 </w:t>
      </w:r>
      <w:r w:rsidR="00D940EB">
        <w:t xml:space="preserve">in </w:t>
      </w:r>
      <w:r>
        <w:t>claim</w:t>
      </w:r>
      <w:r w:rsidR="00D940EB">
        <w:t>ing</w:t>
      </w:r>
      <w:r>
        <w:t xml:space="preserve"> that the Commission has been moving away from historical contributions?</w:t>
      </w:r>
      <w:r>
        <w:rPr>
          <w:rStyle w:val="FootnoteReference"/>
          <w:b w:val="0"/>
        </w:rPr>
        <w:footnoteReference w:id="64"/>
      </w:r>
    </w:p>
    <w:p w:rsidR="00955A06" w:rsidRDefault="000A2CE8" w:rsidP="00777E1F">
      <w:pPr>
        <w:pStyle w:val="Answer0"/>
      </w:pPr>
      <w:r>
        <w:t>A.</w:t>
      </w:r>
      <w:r w:rsidR="00366087">
        <w:tab/>
      </w:r>
      <w:r w:rsidR="0077523D">
        <w:t>Mr. </w:t>
      </w:r>
      <w:r w:rsidR="00366087">
        <w:t xml:space="preserve">Mullins provides no support for why Docket UE-140762 </w:t>
      </w:r>
      <w:r w:rsidR="00D940EB">
        <w:t xml:space="preserve">involving PacifiCorp </w:t>
      </w:r>
      <w:r w:rsidR="00366087">
        <w:t>is relevant in determining whether FAS 87 or cash contributions is the appropriate ratemaking treatment of PSE</w:t>
      </w:r>
      <w:r w:rsidR="00E462EF">
        <w:t>’</w:t>
      </w:r>
      <w:r w:rsidR="00366087">
        <w:t>s pension expense.</w:t>
      </w:r>
      <w:r w:rsidR="00F26B15">
        <w:t xml:space="preserve"> </w:t>
      </w:r>
      <w:r w:rsidR="00366087">
        <w:t xml:space="preserve">The Public </w:t>
      </w:r>
      <w:r w:rsidR="006D0B59">
        <w:t xml:space="preserve">Counsel witness </w:t>
      </w:r>
      <w:r w:rsidR="00955A06">
        <w:t xml:space="preserve">to </w:t>
      </w:r>
      <w:r w:rsidR="006D0B59">
        <w:t>who</w:t>
      </w:r>
      <w:r w:rsidR="00955A06">
        <w:t>m</w:t>
      </w:r>
      <w:r w:rsidR="006D0B59">
        <w:t xml:space="preserve"> </w:t>
      </w:r>
      <w:r w:rsidR="0077523D">
        <w:t>Mr. </w:t>
      </w:r>
      <w:r w:rsidR="006D0B59">
        <w:t>Mullins</w:t>
      </w:r>
      <w:r w:rsidR="00955A06">
        <w:t xml:space="preserve"> </w:t>
      </w:r>
      <w:r w:rsidR="006D0B59">
        <w:t xml:space="preserve">refers addressed the issue of whether the </w:t>
      </w:r>
      <w:r w:rsidR="008C2399">
        <w:t xml:space="preserve">pre- or post-test year </w:t>
      </w:r>
      <w:r w:rsidR="006D0B59">
        <w:t xml:space="preserve">pension actuarial report </w:t>
      </w:r>
      <w:r w:rsidR="00366087">
        <w:t>should be used for the FAS 87 expense to be included in the revenue requirement, not whether cash contributions or FAS 87 expense is appropriate for ratemaking purposes.</w:t>
      </w:r>
      <w:r w:rsidR="00F26B15">
        <w:t xml:space="preserve"> </w:t>
      </w:r>
      <w:r w:rsidR="00366087">
        <w:t xml:space="preserve">In fact, </w:t>
      </w:r>
      <w:r w:rsidR="0077523D">
        <w:t>Mr. </w:t>
      </w:r>
      <w:r w:rsidR="00366087">
        <w:t>Mullin</w:t>
      </w:r>
      <w:r w:rsidR="0099661A">
        <w:t>s</w:t>
      </w:r>
      <w:r w:rsidR="00E462EF">
        <w:t>’</w:t>
      </w:r>
      <w:r w:rsidR="00366087">
        <w:t xml:space="preserve"> testimony documents that the use of average contributions over a four year period has been in place for PSE </w:t>
      </w:r>
      <w:r w:rsidR="00E462EF">
        <w:t>“</w:t>
      </w:r>
      <w:r w:rsidR="00366087">
        <w:t>at least as far back as Docket UE-920433</w:t>
      </w:r>
      <w:r w:rsidR="00CB1780">
        <w:t>.</w:t>
      </w:r>
      <w:r w:rsidR="00E462EF">
        <w:t>”</w:t>
      </w:r>
      <w:r w:rsidR="00366087">
        <w:rPr>
          <w:rStyle w:val="FootnoteReference"/>
        </w:rPr>
        <w:footnoteReference w:id="65"/>
      </w:r>
    </w:p>
    <w:p w:rsidR="00366087" w:rsidRDefault="00955A06" w:rsidP="00955A06">
      <w:pPr>
        <w:pStyle w:val="Answer0"/>
        <w:ind w:firstLine="0"/>
      </w:pPr>
      <w:r>
        <w:t xml:space="preserve">In sum, </w:t>
      </w:r>
      <w:r w:rsidR="0077523D">
        <w:t>Mr. </w:t>
      </w:r>
      <w:r w:rsidR="0099661A">
        <w:t>Mullins</w:t>
      </w:r>
      <w:r w:rsidR="00366087">
        <w:t xml:space="preserve"> has incorrectly interpreted the </w:t>
      </w:r>
      <w:r>
        <w:t xml:space="preserve">Commission’s order in PSE’s </w:t>
      </w:r>
      <w:r w:rsidR="00366087">
        <w:t xml:space="preserve">2009 </w:t>
      </w:r>
      <w:r>
        <w:t xml:space="preserve">general rate case </w:t>
      </w:r>
      <w:r w:rsidR="00366087">
        <w:t>as changing the approved methodology from average contributions to FAS 87 expense and questions the use of the four</w:t>
      </w:r>
      <w:r w:rsidR="006D0B59">
        <w:t>-</w:t>
      </w:r>
      <w:r w:rsidR="00366087">
        <w:t xml:space="preserve">year average in the 2011 </w:t>
      </w:r>
      <w:r>
        <w:t xml:space="preserve">general rate </w:t>
      </w:r>
      <w:r w:rsidR="00366087">
        <w:t>case</w:t>
      </w:r>
      <w:r w:rsidR="006D0B59">
        <w:t>,</w:t>
      </w:r>
      <w:r w:rsidR="00366087">
        <w:t xml:space="preserve"> which was uncontested</w:t>
      </w:r>
      <w:r w:rsidR="006D0B59">
        <w:t xml:space="preserve"> in that case</w:t>
      </w:r>
      <w:r w:rsidR="00366087">
        <w:t>.</w:t>
      </w:r>
      <w:r w:rsidR="00F26B15">
        <w:t xml:space="preserve"> </w:t>
      </w:r>
      <w:r w:rsidR="0077523D">
        <w:t>Mr. </w:t>
      </w:r>
      <w:r w:rsidR="0099661A">
        <w:t>Mullins</w:t>
      </w:r>
      <w:r w:rsidR="00366087">
        <w:t xml:space="preserve"> has provided no support for a change from the current methodology and</w:t>
      </w:r>
      <w:r w:rsidR="006D0B59">
        <w:t>,</w:t>
      </w:r>
      <w:r w:rsidR="00366087">
        <w:t xml:space="preserve"> therefore</w:t>
      </w:r>
      <w:r w:rsidR="006D0B59">
        <w:t>,</w:t>
      </w:r>
      <w:r w:rsidR="00366087">
        <w:t xml:space="preserve"> his pension expense adjustment should be rejected. </w:t>
      </w:r>
    </w:p>
    <w:p w:rsidR="00BE5DDC" w:rsidRDefault="00BE5DDC" w:rsidP="00777E1F">
      <w:pPr>
        <w:pStyle w:val="question"/>
      </w:pPr>
      <w:r>
        <w:lastRenderedPageBreak/>
        <w:t>Q.</w:t>
      </w:r>
      <w:r>
        <w:tab/>
      </w:r>
      <w:r w:rsidR="0077523D">
        <w:t>Mr. </w:t>
      </w:r>
      <w:r>
        <w:t>Mullins advocates using an estimated amount of FAS 87 expense for a single year, for setting rates.</w:t>
      </w:r>
      <w:r>
        <w:rPr>
          <w:rStyle w:val="FootnoteReference"/>
        </w:rPr>
        <w:footnoteReference w:id="66"/>
      </w:r>
      <w:r w:rsidR="00F26B15">
        <w:t xml:space="preserve"> </w:t>
      </w:r>
      <w:r>
        <w:t>Do</w:t>
      </w:r>
      <w:r w:rsidR="00955A06">
        <w:t xml:space="preserve">es PSE </w:t>
      </w:r>
      <w:r>
        <w:t>agree with this approach?</w:t>
      </w:r>
    </w:p>
    <w:p w:rsidR="00BE5DDC" w:rsidRPr="00BE5DDC" w:rsidRDefault="00BE5DDC" w:rsidP="00BE5DDC">
      <w:pPr>
        <w:pStyle w:val="answer"/>
      </w:pPr>
      <w:r>
        <w:t>A.</w:t>
      </w:r>
      <w:r>
        <w:tab/>
        <w:t>No.</w:t>
      </w:r>
      <w:r w:rsidR="00F26B15">
        <w:t xml:space="preserve"> </w:t>
      </w:r>
      <w:r>
        <w:t>PSE</w:t>
      </w:r>
      <w:r w:rsidR="00E462EF">
        <w:t>’</w:t>
      </w:r>
      <w:r>
        <w:t xml:space="preserve">s 2017 FAS 87 expense is even more </w:t>
      </w:r>
      <w:proofErr w:type="spellStart"/>
      <w:r>
        <w:t>unmeasureable</w:t>
      </w:r>
      <w:proofErr w:type="spellEnd"/>
      <w:r>
        <w:t xml:space="preserve"> than </w:t>
      </w:r>
      <w:r w:rsidR="006D0B59">
        <w:t>the</w:t>
      </w:r>
      <w:r>
        <w:t xml:space="preserve"> four-year average </w:t>
      </w:r>
      <w:r w:rsidR="006D0B59">
        <w:t xml:space="preserve">that </w:t>
      </w:r>
      <w:r>
        <w:t>Public Counsel</w:t>
      </w:r>
      <w:r w:rsidR="006D0B59">
        <w:t xml:space="preserve"> proposes</w:t>
      </w:r>
      <w:r>
        <w:t>.</w:t>
      </w:r>
      <w:r w:rsidR="00F26B15">
        <w:t xml:space="preserve"> </w:t>
      </w:r>
      <w:r>
        <w:t>Furthermore, use of a single year does not adequately recognize the varying nature of pension history.</w:t>
      </w:r>
    </w:p>
    <w:p w:rsidR="00366087" w:rsidRPr="0082145C" w:rsidRDefault="00366087" w:rsidP="00777E1F">
      <w:pPr>
        <w:pStyle w:val="question"/>
      </w:pPr>
      <w:r>
        <w:t>Q</w:t>
      </w:r>
      <w:r w:rsidRPr="0082145C">
        <w:t>.</w:t>
      </w:r>
      <w:r w:rsidRPr="0082145C">
        <w:tab/>
      </w:r>
      <w:r>
        <w:t>Please</w:t>
      </w:r>
      <w:r w:rsidR="00955A06">
        <w:t xml:space="preserve"> summarize PSE’s recommendation.</w:t>
      </w:r>
    </w:p>
    <w:p w:rsidR="00955A06" w:rsidRDefault="000A2CE8" w:rsidP="00777E1F">
      <w:pPr>
        <w:pStyle w:val="answer"/>
      </w:pPr>
      <w:r>
        <w:t>A.</w:t>
      </w:r>
      <w:r w:rsidR="00366087">
        <w:tab/>
        <w:t xml:space="preserve">The </w:t>
      </w:r>
      <w:r w:rsidR="00955A06">
        <w:t>C</w:t>
      </w:r>
      <w:r w:rsidR="00366087">
        <w:t>ommission should approve PSE</w:t>
      </w:r>
      <w:r w:rsidR="00E462EF">
        <w:t>’</w:t>
      </w:r>
      <w:r w:rsidR="00366087">
        <w:t>s proposed pension adjustment.</w:t>
      </w:r>
      <w:r w:rsidR="00F26B15">
        <w:t xml:space="preserve"> </w:t>
      </w:r>
      <w:r w:rsidR="00366087">
        <w:t>The current regulatory treatment for PSE</w:t>
      </w:r>
      <w:r w:rsidR="00E462EF">
        <w:t>’</w:t>
      </w:r>
      <w:r w:rsidR="00366087">
        <w:t>s pension expenses</w:t>
      </w:r>
      <w:r w:rsidR="006D0B59">
        <w:t>, using the four-year average of cash contributions,</w:t>
      </w:r>
      <w:r w:rsidR="00366087">
        <w:t xml:space="preserve"> has been effective, straightforward</w:t>
      </w:r>
      <w:r w:rsidR="00955A06">
        <w:t>,</w:t>
      </w:r>
      <w:r w:rsidR="00366087">
        <w:t xml:space="preserve"> and aligns recovery with the actual cash contributions that are invested in the pension trust to ensure payment of the retirement benefits earned by PSE employees working on behalf of customers.</w:t>
      </w:r>
      <w:r w:rsidR="00F26B15">
        <w:t xml:space="preserve"> </w:t>
      </w:r>
      <w:r w:rsidR="00366087">
        <w:t xml:space="preserve">The cash contributions are known and measurable and made under adherence to applicable enactments and </w:t>
      </w:r>
      <w:r w:rsidR="00955A06">
        <w:t>PSE</w:t>
      </w:r>
      <w:r w:rsidR="00366087">
        <w:t xml:space="preserve"> policy, as opposed to FAS 87 expense</w:t>
      </w:r>
      <w:r w:rsidR="00955A06">
        <w:t>,</w:t>
      </w:r>
      <w:r w:rsidR="00366087">
        <w:t xml:space="preserve"> which is based on complex actuarial estimates.</w:t>
      </w:r>
    </w:p>
    <w:p w:rsidR="00366087" w:rsidRPr="00803263" w:rsidRDefault="00366087" w:rsidP="00955A06">
      <w:pPr>
        <w:pStyle w:val="answer"/>
        <w:ind w:firstLine="0"/>
      </w:pPr>
      <w:r>
        <w:t>Consistency is important.</w:t>
      </w:r>
      <w:r w:rsidR="00F26B15">
        <w:t xml:space="preserve"> </w:t>
      </w:r>
      <w:r>
        <w:t>Changing methods from a cash basis to an accrual basis may cause periods of time that customers may pay more or less than they should related to these benefits.</w:t>
      </w:r>
      <w:r w:rsidR="00F26B15">
        <w:t xml:space="preserve"> </w:t>
      </w:r>
      <w:r>
        <w:t>The consistent use of a cash basis methodology (</w:t>
      </w:r>
      <w:r w:rsidR="000E47DB">
        <w:t>i.e.</w:t>
      </w:r>
      <w:r w:rsidR="006D0B59">
        <w:t>,</w:t>
      </w:r>
      <w:r w:rsidR="00955A06">
        <w:t> </w:t>
      </w:r>
      <w:r>
        <w:t>cash contributions) ensures that customers only pay for costs that have been incurred by PSE due to averaging the previous four years contributions of the pension plan.</w:t>
      </w:r>
      <w:r w:rsidR="00F26B15">
        <w:t xml:space="preserve"> </w:t>
      </w:r>
    </w:p>
    <w:p w:rsidR="00F421F5" w:rsidRPr="00F421F5" w:rsidRDefault="002367B5" w:rsidP="00771706">
      <w:pPr>
        <w:pStyle w:val="Heading2"/>
      </w:pPr>
      <w:bookmarkStart w:id="51" w:name="_Toc490035609"/>
      <w:r w:rsidRPr="00777E1F">
        <w:rPr>
          <w:u w:val="none"/>
        </w:rPr>
        <w:lastRenderedPageBreak/>
        <w:t>E.</w:t>
      </w:r>
      <w:r w:rsidR="00777E1F" w:rsidRPr="00777E1F">
        <w:rPr>
          <w:u w:val="none"/>
        </w:rPr>
        <w:tab/>
      </w:r>
      <w:r w:rsidR="00F421F5">
        <w:t>Environmental Remediation</w:t>
      </w:r>
      <w:r w:rsidR="00F421F5" w:rsidRPr="00F421F5">
        <w:t xml:space="preserve">, Adjustment </w:t>
      </w:r>
      <w:r w:rsidR="00955A06">
        <w:t>KJB-20</w:t>
      </w:r>
      <w:r w:rsidR="00F421F5" w:rsidRPr="00F421F5">
        <w:t>.</w:t>
      </w:r>
      <w:r w:rsidR="00F421F5">
        <w:t>19</w:t>
      </w:r>
      <w:bookmarkEnd w:id="51"/>
    </w:p>
    <w:p w:rsidR="00D34790" w:rsidRDefault="00D34790" w:rsidP="00D34790">
      <w:pPr>
        <w:pStyle w:val="question"/>
      </w:pPr>
      <w:r>
        <w:t>Q.</w:t>
      </w:r>
      <w:r>
        <w:tab/>
        <w:t xml:space="preserve">Does your testimony address the environmental remediation adjustment, </w:t>
      </w:r>
      <w:r w:rsidRPr="00F421F5">
        <w:t xml:space="preserve">Adjustment </w:t>
      </w:r>
      <w:r>
        <w:t>KJB-20</w:t>
      </w:r>
      <w:r w:rsidRPr="00F421F5">
        <w:t>.</w:t>
      </w:r>
      <w:r>
        <w:t>19?</w:t>
      </w:r>
    </w:p>
    <w:p w:rsidR="00F67109" w:rsidRPr="008909AC" w:rsidRDefault="00D34790" w:rsidP="00D34790">
      <w:pPr>
        <w:pStyle w:val="Answer0"/>
      </w:pPr>
      <w:r>
        <w:t>A.</w:t>
      </w:r>
      <w:r>
        <w:tab/>
        <w:t xml:space="preserve">No. </w:t>
      </w:r>
      <w:r w:rsidR="0077523D">
        <w:t>Ms. </w:t>
      </w:r>
      <w:r w:rsidR="00F67109">
        <w:t xml:space="preserve">Susan Free discusses the difference in the position of </w:t>
      </w:r>
      <w:r w:rsidR="0077523D">
        <w:t>PSE</w:t>
      </w:r>
      <w:r w:rsidR="000A6AC1">
        <w:t xml:space="preserve"> and </w:t>
      </w:r>
      <w:r w:rsidR="00BE5DDC">
        <w:t xml:space="preserve">other parties </w:t>
      </w:r>
      <w:r w:rsidR="00F67109">
        <w:t xml:space="preserve">for </w:t>
      </w:r>
      <w:r>
        <w:t xml:space="preserve">the environmental remediation adjustment, </w:t>
      </w:r>
      <w:r w:rsidRPr="00F421F5">
        <w:t xml:space="preserve">Adjustment </w:t>
      </w:r>
      <w:r>
        <w:t>KJB-20</w:t>
      </w:r>
      <w:r w:rsidRPr="00F421F5">
        <w:t>.</w:t>
      </w:r>
      <w:r>
        <w:t>19</w:t>
      </w:r>
      <w:r w:rsidR="00F67109">
        <w:t>.</w:t>
      </w:r>
      <w:r w:rsidR="00CB1780">
        <w:rPr>
          <w:rStyle w:val="FootnoteReference"/>
        </w:rPr>
        <w:footnoteReference w:id="67"/>
      </w:r>
    </w:p>
    <w:p w:rsidR="00987389" w:rsidRDefault="002367B5" w:rsidP="00771706">
      <w:pPr>
        <w:pStyle w:val="Heading2"/>
      </w:pPr>
      <w:bookmarkStart w:id="52" w:name="_Toc490035610"/>
      <w:r w:rsidRPr="00777E1F">
        <w:rPr>
          <w:u w:val="none"/>
        </w:rPr>
        <w:t>F.</w:t>
      </w:r>
      <w:r w:rsidR="00777E1F" w:rsidRPr="00777E1F">
        <w:rPr>
          <w:u w:val="none"/>
        </w:rPr>
        <w:tab/>
      </w:r>
      <w:r w:rsidR="00987389">
        <w:t xml:space="preserve">Working Capital, Adjustment </w:t>
      </w:r>
      <w:r w:rsidR="00955A06">
        <w:t>KJB-20</w:t>
      </w:r>
      <w:r w:rsidR="00987389">
        <w:t>.23</w:t>
      </w:r>
      <w:bookmarkEnd w:id="52"/>
    </w:p>
    <w:p w:rsidR="00D34790" w:rsidRDefault="00D34790" w:rsidP="00D34790">
      <w:pPr>
        <w:pStyle w:val="question"/>
      </w:pPr>
      <w:r>
        <w:t>Q.</w:t>
      </w:r>
      <w:r>
        <w:tab/>
        <w:t xml:space="preserve">Does your testimony address the working capital adjustment, </w:t>
      </w:r>
      <w:r w:rsidRPr="00F421F5">
        <w:t xml:space="preserve">Adjustment </w:t>
      </w:r>
      <w:r>
        <w:t>KJB-20</w:t>
      </w:r>
      <w:r w:rsidRPr="00F421F5">
        <w:t>.</w:t>
      </w:r>
      <w:r>
        <w:t>23?</w:t>
      </w:r>
    </w:p>
    <w:p w:rsidR="00987389" w:rsidRPr="00987389" w:rsidRDefault="00D34790" w:rsidP="00D34790">
      <w:pPr>
        <w:pStyle w:val="Answer0"/>
      </w:pPr>
      <w:r>
        <w:t>A.</w:t>
      </w:r>
      <w:r>
        <w:tab/>
        <w:t xml:space="preserve">No. </w:t>
      </w:r>
      <w:r w:rsidR="0077523D">
        <w:t>Ms. </w:t>
      </w:r>
      <w:r w:rsidR="00987389">
        <w:t xml:space="preserve">Susan Free discusses the difference in the position of </w:t>
      </w:r>
      <w:r w:rsidR="0077523D">
        <w:t>PSE</w:t>
      </w:r>
      <w:r w:rsidR="00987389">
        <w:t xml:space="preserve">, </w:t>
      </w:r>
      <w:r w:rsidR="00B42DA0">
        <w:t xml:space="preserve">and </w:t>
      </w:r>
      <w:r w:rsidR="00987389">
        <w:t>Commission Staff</w:t>
      </w:r>
      <w:r w:rsidR="00B42DA0">
        <w:t xml:space="preserve"> </w:t>
      </w:r>
      <w:r w:rsidR="00987389">
        <w:t xml:space="preserve">for </w:t>
      </w:r>
      <w:r>
        <w:t xml:space="preserve">the working capital adjustment, </w:t>
      </w:r>
      <w:r w:rsidRPr="00F421F5">
        <w:t xml:space="preserve">Adjustment </w:t>
      </w:r>
      <w:r>
        <w:t>KJB-20</w:t>
      </w:r>
      <w:r w:rsidRPr="00F421F5">
        <w:t>.</w:t>
      </w:r>
      <w:r>
        <w:t>23</w:t>
      </w:r>
      <w:r w:rsidR="00987389">
        <w:t>.</w:t>
      </w:r>
      <w:r w:rsidR="00CB1780">
        <w:rPr>
          <w:rStyle w:val="FootnoteReference"/>
        </w:rPr>
        <w:footnoteReference w:id="68"/>
      </w:r>
      <w:r w:rsidR="00CB1780">
        <w:t xml:space="preserve"> </w:t>
      </w:r>
    </w:p>
    <w:p w:rsidR="00F421F5" w:rsidRPr="00F421F5" w:rsidRDefault="002367B5" w:rsidP="00771706">
      <w:pPr>
        <w:pStyle w:val="Heading2"/>
      </w:pPr>
      <w:bookmarkStart w:id="53" w:name="_Toc490035611"/>
      <w:r w:rsidRPr="00777E1F">
        <w:rPr>
          <w:u w:val="none"/>
        </w:rPr>
        <w:t>G.</w:t>
      </w:r>
      <w:r w:rsidR="00777E1F" w:rsidRPr="00777E1F">
        <w:rPr>
          <w:u w:val="none"/>
        </w:rPr>
        <w:tab/>
      </w:r>
      <w:r w:rsidR="0089433E">
        <w:t>Power Costs and Production O&amp;M</w:t>
      </w:r>
      <w:r w:rsidR="00F421F5" w:rsidRPr="00F421F5">
        <w:t xml:space="preserve">, Adjustment </w:t>
      </w:r>
      <w:r w:rsidR="00955A06">
        <w:t>KJB-21</w:t>
      </w:r>
      <w:r w:rsidR="00F421F5" w:rsidRPr="00F421F5">
        <w:t>.0</w:t>
      </w:r>
      <w:r w:rsidR="0089433E">
        <w:t>1</w:t>
      </w:r>
      <w:bookmarkEnd w:id="53"/>
    </w:p>
    <w:p w:rsidR="00D66B96" w:rsidRDefault="00A100C2" w:rsidP="00777E1F">
      <w:pPr>
        <w:pStyle w:val="question"/>
      </w:pPr>
      <w:r w:rsidRPr="00F421F5">
        <w:t>Q.</w:t>
      </w:r>
      <w:r w:rsidRPr="00F421F5">
        <w:tab/>
      </w:r>
      <w:r>
        <w:t>What changes have been made to the power cost adjustment since the supplemental filing?</w:t>
      </w:r>
    </w:p>
    <w:p w:rsidR="0060472D" w:rsidRDefault="00A100C2" w:rsidP="00D66B96">
      <w:pPr>
        <w:pStyle w:val="answer"/>
      </w:pPr>
      <w:r>
        <w:t>A.</w:t>
      </w:r>
      <w:r>
        <w:tab/>
      </w:r>
      <w:r w:rsidR="002B0DFC">
        <w:t>The</w:t>
      </w:r>
      <w:r>
        <w:t xml:space="preserve"> </w:t>
      </w:r>
      <w:proofErr w:type="spellStart"/>
      <w:r>
        <w:t>Prefiled</w:t>
      </w:r>
      <w:proofErr w:type="spellEnd"/>
      <w:r>
        <w:t xml:space="preserve"> Rebuttal T</w:t>
      </w:r>
      <w:r w:rsidR="0060472D">
        <w:t xml:space="preserve">estimony </w:t>
      </w:r>
      <w:r w:rsidR="002B0DFC">
        <w:t>of Paul K. Wetherbee, Exhibit PKW-</w:t>
      </w:r>
      <w:r w:rsidR="00D66B96">
        <w:t>15</w:t>
      </w:r>
      <w:r w:rsidR="006D0B59">
        <w:t>C</w:t>
      </w:r>
      <w:r w:rsidR="00D66B96">
        <w:t xml:space="preserve">T, </w:t>
      </w:r>
      <w:r w:rsidR="0060472D">
        <w:t xml:space="preserve">describes the differences between </w:t>
      </w:r>
      <w:r w:rsidR="0077523D">
        <w:t>PSE</w:t>
      </w:r>
      <w:r w:rsidR="00E462EF">
        <w:t>’</w:t>
      </w:r>
      <w:r w:rsidR="0060472D">
        <w:t>s power costs and the power costs proposed by Commission Staff and ICNU witnesses.</w:t>
      </w:r>
      <w:r w:rsidR="00F26B15">
        <w:t xml:space="preserve"> </w:t>
      </w:r>
      <w:r w:rsidR="00D66B96">
        <w:t>The</w:t>
      </w:r>
      <w:r w:rsidR="0060472D">
        <w:t xml:space="preserve"> </w:t>
      </w:r>
      <w:proofErr w:type="spellStart"/>
      <w:r>
        <w:t>P</w:t>
      </w:r>
      <w:r w:rsidR="0060472D">
        <w:t>refiled</w:t>
      </w:r>
      <w:proofErr w:type="spellEnd"/>
      <w:r w:rsidR="0060472D">
        <w:t xml:space="preserve"> </w:t>
      </w:r>
      <w:r>
        <w:t>Rebuttal T</w:t>
      </w:r>
      <w:r w:rsidR="0060472D">
        <w:t xml:space="preserve">estimony </w:t>
      </w:r>
      <w:r w:rsidR="00D66B96">
        <w:t>of Ronald J. Roberts, Exhibit RJR-</w:t>
      </w:r>
      <w:r w:rsidR="0071570C">
        <w:t>30T</w:t>
      </w:r>
      <w:r w:rsidR="00D66B96">
        <w:t xml:space="preserve">, </w:t>
      </w:r>
      <w:r w:rsidR="0060472D">
        <w:t xml:space="preserve">addresses </w:t>
      </w:r>
      <w:r w:rsidR="00955A06">
        <w:t>(i) </w:t>
      </w:r>
      <w:r w:rsidR="0060472D">
        <w:t>PSE</w:t>
      </w:r>
      <w:r w:rsidR="00E462EF">
        <w:t>’</w:t>
      </w:r>
      <w:r w:rsidR="0060472D">
        <w:t>s concession of Commission Staff</w:t>
      </w:r>
      <w:r w:rsidR="00E462EF">
        <w:t>’</w:t>
      </w:r>
      <w:r w:rsidR="0060472D">
        <w:t>s proposal</w:t>
      </w:r>
      <w:r w:rsidR="0060472D" w:rsidRPr="00680A50">
        <w:t xml:space="preserve"> to reduce PSE</w:t>
      </w:r>
      <w:r w:rsidR="00E462EF">
        <w:t>’</w:t>
      </w:r>
      <w:r w:rsidR="0060472D" w:rsidRPr="00680A50">
        <w:t>s rate year costs for its li</w:t>
      </w:r>
      <w:r w:rsidR="0060472D">
        <w:t xml:space="preserve">censing </w:t>
      </w:r>
      <w:r w:rsidR="0060472D">
        <w:lastRenderedPageBreak/>
        <w:t>activities relating to</w:t>
      </w:r>
      <w:r w:rsidR="0060472D" w:rsidRPr="00680A50">
        <w:t xml:space="preserve"> Snoqualmie and Baker Hydroelectric projects to reflect test year levels</w:t>
      </w:r>
      <w:r w:rsidR="00955A06">
        <w:t xml:space="preserve"> and (ii) </w:t>
      </w:r>
      <w:r w:rsidR="0060472D">
        <w:t xml:space="preserve">updates for major maintenance on </w:t>
      </w:r>
      <w:r w:rsidR="00DA6161">
        <w:rPr>
          <w:rFonts w:eastAsia="SimSun"/>
        </w:rPr>
        <w:t>Colstrip Units 1 </w:t>
      </w:r>
      <w:r w:rsidR="007D56A5">
        <w:rPr>
          <w:bCs/>
        </w:rPr>
        <w:t>and</w:t>
      </w:r>
      <w:r w:rsidR="00DA6161">
        <w:rPr>
          <w:rFonts w:eastAsia="SimSun"/>
        </w:rPr>
        <w:t> 2</w:t>
      </w:r>
      <w:r w:rsidR="0060472D">
        <w:t>.</w:t>
      </w:r>
    </w:p>
    <w:p w:rsidR="0060472D" w:rsidRPr="00F421F5" w:rsidRDefault="0060472D" w:rsidP="00D66B96">
      <w:pPr>
        <w:pStyle w:val="question"/>
      </w:pPr>
      <w:r w:rsidRPr="00F421F5">
        <w:t>Q.</w:t>
      </w:r>
      <w:r w:rsidRPr="00F421F5">
        <w:tab/>
      </w:r>
      <w:r>
        <w:t xml:space="preserve">Are there any updates to the </w:t>
      </w:r>
      <w:r w:rsidR="00955A06">
        <w:t>Open Access Transmission Tariff (“</w:t>
      </w:r>
      <w:r>
        <w:t>OATT</w:t>
      </w:r>
      <w:r w:rsidR="00955A06">
        <w:t>”)</w:t>
      </w:r>
      <w:r>
        <w:t xml:space="preserve"> revenues since the supplemental filing?</w:t>
      </w:r>
    </w:p>
    <w:p w:rsidR="0060472D" w:rsidRPr="008909AC" w:rsidRDefault="0060472D" w:rsidP="00D66B96">
      <w:pPr>
        <w:pStyle w:val="answer"/>
      </w:pPr>
      <w:r w:rsidRPr="008909AC">
        <w:t>A.</w:t>
      </w:r>
      <w:r w:rsidRPr="008909AC">
        <w:tab/>
      </w:r>
      <w:r>
        <w:t>Yes.</w:t>
      </w:r>
      <w:r w:rsidR="00F26B15">
        <w:t xml:space="preserve"> </w:t>
      </w:r>
      <w:r>
        <w:t xml:space="preserve">As mentioned in my </w:t>
      </w:r>
      <w:proofErr w:type="spellStart"/>
      <w:r>
        <w:t>prefiled</w:t>
      </w:r>
      <w:proofErr w:type="spellEnd"/>
      <w:r>
        <w:t xml:space="preserve"> direct testimony, the current OATT formula rates were finalized and became effective June 1, 2017</w:t>
      </w:r>
      <w:r w:rsidR="00955A06">
        <w:t>,</w:t>
      </w:r>
      <w:r>
        <w:t xml:space="preserve"> and the increased revenue from the higher rates has been reflected in this rebuttal filing.</w:t>
      </w:r>
    </w:p>
    <w:p w:rsidR="0060472D" w:rsidRPr="00F421F5" w:rsidRDefault="0060472D" w:rsidP="00D66B96">
      <w:pPr>
        <w:pStyle w:val="question"/>
      </w:pPr>
      <w:r w:rsidRPr="00F421F5">
        <w:t>Q.</w:t>
      </w:r>
      <w:r w:rsidRPr="00F421F5">
        <w:tab/>
      </w:r>
      <w:r>
        <w:t>Are there any other issues you need to discuss related to power costs?</w:t>
      </w:r>
    </w:p>
    <w:p w:rsidR="0060472D" w:rsidRDefault="0060472D" w:rsidP="00D66B96">
      <w:pPr>
        <w:pStyle w:val="answer"/>
      </w:pPr>
      <w:r w:rsidRPr="008909AC">
        <w:t>A.</w:t>
      </w:r>
      <w:r w:rsidRPr="008909AC">
        <w:tab/>
      </w:r>
      <w:r>
        <w:t>Yes.</w:t>
      </w:r>
      <w:r w:rsidR="00F26B15">
        <w:t xml:space="preserve"> </w:t>
      </w:r>
      <w:r>
        <w:t xml:space="preserve">As a result of </w:t>
      </w:r>
      <w:r w:rsidR="0077523D">
        <w:t>PSE</w:t>
      </w:r>
      <w:r w:rsidR="00E462EF">
        <w:t>’</w:t>
      </w:r>
      <w:r>
        <w:t xml:space="preserve">s acceptance of Commission Staff </w:t>
      </w:r>
      <w:r w:rsidR="00D66B96">
        <w:t xml:space="preserve">witness </w:t>
      </w:r>
      <w:r>
        <w:t>Jin</w:t>
      </w:r>
      <w:r w:rsidR="00366087">
        <w:t>g</w:t>
      </w:r>
      <w:r>
        <w:t xml:space="preserve"> Liu</w:t>
      </w:r>
      <w:r w:rsidR="00E462EF">
        <w:t>’</w:t>
      </w:r>
      <w:r>
        <w:t>s recommendation to remove the fixed cost production factor</w:t>
      </w:r>
      <w:r w:rsidR="00D66B96">
        <w:t>,</w:t>
      </w:r>
      <w:r w:rsidR="00BE5DDC">
        <w:rPr>
          <w:rStyle w:val="FootnoteReference"/>
        </w:rPr>
        <w:footnoteReference w:id="69"/>
      </w:r>
      <w:r>
        <w:t xml:space="preserve"> as I discuss later, adjustments which are defined as fixed</w:t>
      </w:r>
      <w:r w:rsidR="00AD212A">
        <w:t xml:space="preserve"> production costs</w:t>
      </w:r>
      <w:r w:rsidR="00AD212A">
        <w:rPr>
          <w:rStyle w:val="FootnoteReference"/>
        </w:rPr>
        <w:footnoteReference w:id="70"/>
      </w:r>
      <w:r w:rsidR="00AD212A">
        <w:t xml:space="preserve"> and that are being requested for inclusion in the </w:t>
      </w:r>
      <w:r w:rsidR="00955A06">
        <w:t>d</w:t>
      </w:r>
      <w:r w:rsidR="00AD212A">
        <w:t>ecoupling mechanism no longer have the fixed production factor applied.</w:t>
      </w:r>
      <w:r w:rsidR="00F26B15">
        <w:t xml:space="preserve"> </w:t>
      </w:r>
      <w:r w:rsidR="00AD212A">
        <w:t xml:space="preserve">This results in the costs included in the revenue requirement being </w:t>
      </w:r>
      <w:r>
        <w:t>2.535</w:t>
      </w:r>
      <w:r w:rsidR="00955A06">
        <w:t> </w:t>
      </w:r>
      <w:r>
        <w:t xml:space="preserve">percent </w:t>
      </w:r>
      <w:r w:rsidR="00AD212A">
        <w:t xml:space="preserve">higher than if the production factor had been </w:t>
      </w:r>
      <w:r>
        <w:t>applied</w:t>
      </w:r>
      <w:r w:rsidR="00955A06">
        <w:t>.</w:t>
      </w:r>
      <w:r w:rsidR="00F26B15">
        <w:t xml:space="preserve"> </w:t>
      </w:r>
      <w:r w:rsidR="00AD212A">
        <w:t>This change is being made as these costs would no longer be subject to growth in customers between the test year and the rate year</w:t>
      </w:r>
      <w:r>
        <w:t>.</w:t>
      </w:r>
      <w:r w:rsidR="00F26B15">
        <w:t xml:space="preserve"> </w:t>
      </w:r>
    </w:p>
    <w:p w:rsidR="0060472D" w:rsidRDefault="00AD212A" w:rsidP="00DC5696">
      <w:pPr>
        <w:pStyle w:val="answer"/>
        <w:ind w:firstLine="0"/>
      </w:pPr>
      <w:r>
        <w:t>Overall</w:t>
      </w:r>
      <w:r w:rsidR="0060472D" w:rsidRPr="00041EB4">
        <w:t xml:space="preserve">, including the changes </w:t>
      </w:r>
      <w:r w:rsidR="0060472D">
        <w:t xml:space="preserve">for </w:t>
      </w:r>
      <w:r w:rsidR="006D0B59">
        <w:t>(i) </w:t>
      </w:r>
      <w:r w:rsidR="0060472D">
        <w:t xml:space="preserve">removing the fixed production factor, </w:t>
      </w:r>
      <w:r w:rsidR="006D0B59">
        <w:t>(ii) </w:t>
      </w:r>
      <w:r w:rsidR="0060472D">
        <w:t xml:space="preserve">the update for increased OATT revenues, and </w:t>
      </w:r>
      <w:r w:rsidR="006D0B59">
        <w:t>(iii) </w:t>
      </w:r>
      <w:r w:rsidR="0060472D">
        <w:t>the changes</w:t>
      </w:r>
      <w:r w:rsidR="0060472D" w:rsidRPr="00041EB4">
        <w:t xml:space="preserve"> discussed by </w:t>
      </w:r>
      <w:r w:rsidR="0077523D">
        <w:t>Mr. </w:t>
      </w:r>
      <w:r w:rsidR="0060472D">
        <w:t xml:space="preserve">Paul Wetherbee and </w:t>
      </w:r>
      <w:r w:rsidR="0077523D">
        <w:t>Mr. </w:t>
      </w:r>
      <w:r w:rsidR="0060472D">
        <w:t>Roberts</w:t>
      </w:r>
      <w:r w:rsidR="00461A28">
        <w:t xml:space="preserve"> in their rebuttal testimonies</w:t>
      </w:r>
      <w:r w:rsidR="0060472D" w:rsidRPr="00041EB4">
        <w:t xml:space="preserve">, the impact on </w:t>
      </w:r>
      <w:r w:rsidR="0060472D" w:rsidRPr="00041EB4">
        <w:lastRenderedPageBreak/>
        <w:t xml:space="preserve">net operating income for this adjustment is now </w:t>
      </w:r>
      <w:r w:rsidR="0060472D">
        <w:t>a decrease</w:t>
      </w:r>
      <w:r w:rsidR="0060472D" w:rsidRPr="00041EB4">
        <w:t xml:space="preserve"> of $</w:t>
      </w:r>
      <w:r>
        <w:t>682,861</w:t>
      </w:r>
      <w:r w:rsidR="0060472D" w:rsidRPr="00041EB4">
        <w:t xml:space="preserve"> compared to the $</w:t>
      </w:r>
      <w:r w:rsidR="0060472D">
        <w:t>14,772,510</w:t>
      </w:r>
      <w:r w:rsidR="0060472D" w:rsidRPr="00041EB4">
        <w:t xml:space="preserve"> </w:t>
      </w:r>
      <w:r w:rsidR="00ED1CFE">
        <w:t xml:space="preserve">decrease </w:t>
      </w:r>
      <w:r w:rsidR="0060472D" w:rsidRPr="00041EB4">
        <w:t>included in the supplemental filing.</w:t>
      </w:r>
    </w:p>
    <w:p w:rsidR="00F421F5" w:rsidRPr="00F421F5" w:rsidRDefault="002367B5" w:rsidP="00771706">
      <w:pPr>
        <w:pStyle w:val="Heading2"/>
      </w:pPr>
      <w:bookmarkStart w:id="54" w:name="_Toc490035612"/>
      <w:r w:rsidRPr="00777E1F">
        <w:rPr>
          <w:u w:val="none"/>
        </w:rPr>
        <w:t>H.</w:t>
      </w:r>
      <w:r w:rsidR="00777E1F" w:rsidRPr="00777E1F">
        <w:rPr>
          <w:u w:val="none"/>
        </w:rPr>
        <w:tab/>
      </w:r>
      <w:r w:rsidR="00A17F87">
        <w:t>Storm</w:t>
      </w:r>
      <w:r w:rsidR="00F421F5" w:rsidRPr="00F421F5">
        <w:t>, Adjustment</w:t>
      </w:r>
      <w:r w:rsidR="00955A06">
        <w:t xml:space="preserve"> KJB-21</w:t>
      </w:r>
      <w:r w:rsidR="00F421F5" w:rsidRPr="00F421F5">
        <w:t>.0</w:t>
      </w:r>
      <w:r w:rsidR="00A17F87">
        <w:t>5</w:t>
      </w:r>
      <w:bookmarkEnd w:id="54"/>
    </w:p>
    <w:p w:rsidR="00E14ECB" w:rsidRPr="00E14ECB" w:rsidRDefault="00E14ECB" w:rsidP="00461A28">
      <w:pPr>
        <w:pStyle w:val="question"/>
      </w:pPr>
      <w:r w:rsidRPr="00E14ECB">
        <w:t>Q</w:t>
      </w:r>
      <w:r w:rsidR="00777CEF">
        <w:t>.</w:t>
      </w:r>
      <w:r w:rsidRPr="00E14ECB">
        <w:tab/>
        <w:t>Please explain the differences between PSE and the parties for this adjustment.</w:t>
      </w:r>
    </w:p>
    <w:p w:rsidR="000B5806" w:rsidRDefault="00E14ECB" w:rsidP="00E14ECB">
      <w:pPr>
        <w:pStyle w:val="answer"/>
      </w:pPr>
      <w:r>
        <w:t>A.</w:t>
      </w:r>
      <w:r>
        <w:tab/>
        <w:t xml:space="preserve">Commission </w:t>
      </w:r>
      <w:r w:rsidR="00D70205">
        <w:t xml:space="preserve">Staff </w:t>
      </w:r>
      <w:r w:rsidR="00010154">
        <w:t>w</w:t>
      </w:r>
      <w:r w:rsidR="00D70205">
        <w:t xml:space="preserve">itness Schooley proposes that the </w:t>
      </w:r>
      <w:r w:rsidR="000B5806">
        <w:t>C</w:t>
      </w:r>
      <w:r w:rsidR="00D70205">
        <w:t xml:space="preserve">ommission rescind the storm </w:t>
      </w:r>
      <w:r w:rsidR="00461A28">
        <w:t xml:space="preserve">deferral </w:t>
      </w:r>
      <w:r w:rsidR="00D70205">
        <w:t>mechanism</w:t>
      </w:r>
      <w:r w:rsidR="00461A28">
        <w:t>,</w:t>
      </w:r>
      <w:r w:rsidR="00D70205">
        <w:t xml:space="preserve"> and </w:t>
      </w:r>
      <w:r w:rsidR="00461A28">
        <w:t xml:space="preserve">he </w:t>
      </w:r>
      <w:r w:rsidR="00D70205">
        <w:t xml:space="preserve">prepares his storm damage adjustment </w:t>
      </w:r>
      <w:r w:rsidR="00461A28">
        <w:t xml:space="preserve">retroactively, </w:t>
      </w:r>
      <w:r w:rsidR="00D70205">
        <w:t xml:space="preserve">assuming that his methodology was approved by the </w:t>
      </w:r>
      <w:r w:rsidR="000B5806">
        <w:t>C</w:t>
      </w:r>
      <w:r w:rsidR="00D70205">
        <w:t xml:space="preserve">ommission in the 2011 </w:t>
      </w:r>
      <w:r>
        <w:t xml:space="preserve">general rate </w:t>
      </w:r>
      <w:r w:rsidR="00D70205">
        <w:t>case.</w:t>
      </w:r>
      <w:r w:rsidR="00BE5DDC">
        <w:rPr>
          <w:rStyle w:val="FootnoteReference"/>
        </w:rPr>
        <w:footnoteReference w:id="71"/>
      </w:r>
      <w:r w:rsidR="00D70205">
        <w:t xml:space="preserve"> </w:t>
      </w:r>
      <w:r w:rsidR="00796F02">
        <w:t xml:space="preserve">Kroger Witness Higgins recommends that the remaining costs associated with the </w:t>
      </w:r>
      <w:r w:rsidR="00F00D55">
        <w:t>2006 storm event</w:t>
      </w:r>
      <w:r w:rsidR="00EA1825">
        <w:t>, frequently</w:t>
      </w:r>
      <w:r w:rsidR="00F00D55">
        <w:t xml:space="preserve"> referred to as the </w:t>
      </w:r>
      <w:r w:rsidR="00E462EF">
        <w:t>“</w:t>
      </w:r>
      <w:r w:rsidR="00796F02">
        <w:t>Hanukkah Eve</w:t>
      </w:r>
      <w:r w:rsidR="00E462EF">
        <w:t>”</w:t>
      </w:r>
      <w:r w:rsidR="00796F02">
        <w:t xml:space="preserve"> storm</w:t>
      </w:r>
      <w:r w:rsidR="00EA1825">
        <w:t>,</w:t>
      </w:r>
      <w:r w:rsidR="00796F02">
        <w:t xml:space="preserve"> be moved to a separate rider and recommends that the </w:t>
      </w:r>
      <w:r w:rsidR="00A325DB">
        <w:t>post-</w:t>
      </w:r>
      <w:r w:rsidR="00796F02">
        <w:t xml:space="preserve">test year qualifying events </w:t>
      </w:r>
      <w:r w:rsidR="00796F02">
        <w:rPr>
          <w:rFonts w:eastAsia="SimSun"/>
        </w:rPr>
        <w:t xml:space="preserve">only be included in rates if they are above the </w:t>
      </w:r>
      <w:r w:rsidR="00A325DB">
        <w:rPr>
          <w:rFonts w:eastAsia="SimSun"/>
        </w:rPr>
        <w:t>$</w:t>
      </w:r>
      <w:r w:rsidR="00796F02">
        <w:rPr>
          <w:rFonts w:eastAsia="SimSun"/>
        </w:rPr>
        <w:t>10.6</w:t>
      </w:r>
      <w:r w:rsidR="00E432EB">
        <w:rPr>
          <w:rFonts w:eastAsia="SimSun"/>
        </w:rPr>
        <w:t> </w:t>
      </w:r>
      <w:r w:rsidR="00A325DB">
        <w:rPr>
          <w:rFonts w:eastAsia="SimSun"/>
        </w:rPr>
        <w:t>million</w:t>
      </w:r>
      <w:r w:rsidR="00796F02">
        <w:rPr>
          <w:rFonts w:eastAsia="SimSun"/>
        </w:rPr>
        <w:t xml:space="preserve"> included in </w:t>
      </w:r>
      <w:r w:rsidR="00E462EF">
        <w:rPr>
          <w:rFonts w:eastAsia="SimSun"/>
        </w:rPr>
        <w:t>“</w:t>
      </w:r>
      <w:r w:rsidR="00796F02">
        <w:rPr>
          <w:rFonts w:eastAsia="SimSun"/>
        </w:rPr>
        <w:t>normal rates</w:t>
      </w:r>
      <w:r w:rsidR="00BE5DDC">
        <w:rPr>
          <w:rFonts w:eastAsia="SimSun"/>
        </w:rPr>
        <w:t>.</w:t>
      </w:r>
      <w:r w:rsidR="00E462EF">
        <w:rPr>
          <w:rFonts w:eastAsia="SimSun"/>
        </w:rPr>
        <w:t>”</w:t>
      </w:r>
      <w:r w:rsidR="00BE5DDC">
        <w:rPr>
          <w:rStyle w:val="FootnoteReference"/>
          <w:rFonts w:eastAsia="SimSun"/>
        </w:rPr>
        <w:footnoteReference w:id="72"/>
      </w:r>
      <w:r w:rsidR="00F26B15">
        <w:rPr>
          <w:rFonts w:eastAsia="SimSun"/>
        </w:rPr>
        <w:t xml:space="preserve"> </w:t>
      </w:r>
      <w:r w:rsidR="000B5806">
        <w:rPr>
          <w:rFonts w:eastAsia="SimSun"/>
        </w:rPr>
        <w:t>Public Counsel witness Smith</w:t>
      </w:r>
      <w:r w:rsidR="00D70205">
        <w:rPr>
          <w:rFonts w:eastAsia="SimSun"/>
        </w:rPr>
        <w:t xml:space="preserve"> proposes that the 2012 </w:t>
      </w:r>
      <w:r w:rsidR="00F00D55">
        <w:rPr>
          <w:rFonts w:eastAsia="SimSun"/>
        </w:rPr>
        <w:t xml:space="preserve">storm event, frequently referred to as </w:t>
      </w:r>
      <w:r w:rsidR="00E462EF">
        <w:rPr>
          <w:rFonts w:eastAsia="SimSun"/>
        </w:rPr>
        <w:t>“</w:t>
      </w:r>
      <w:proofErr w:type="spellStart"/>
      <w:r w:rsidR="00796F02">
        <w:rPr>
          <w:rFonts w:eastAsia="SimSun"/>
        </w:rPr>
        <w:t>Snowmaged</w:t>
      </w:r>
      <w:r w:rsidR="001F4654">
        <w:rPr>
          <w:rFonts w:eastAsia="SimSun"/>
        </w:rPr>
        <w:t>do</w:t>
      </w:r>
      <w:r w:rsidR="00796F02">
        <w:rPr>
          <w:rFonts w:eastAsia="SimSun"/>
        </w:rPr>
        <w:t>n</w:t>
      </w:r>
      <w:proofErr w:type="spellEnd"/>
      <w:r w:rsidR="00E462EF">
        <w:rPr>
          <w:rFonts w:eastAsia="SimSun"/>
        </w:rPr>
        <w:t>”</w:t>
      </w:r>
      <w:r w:rsidR="00D70205">
        <w:rPr>
          <w:rFonts w:eastAsia="SimSun"/>
        </w:rPr>
        <w:t xml:space="preserve"> event</w:t>
      </w:r>
      <w:r w:rsidR="00010154">
        <w:rPr>
          <w:rFonts w:eastAsia="SimSun"/>
        </w:rPr>
        <w:t>,</w:t>
      </w:r>
      <w:r w:rsidR="00D70205">
        <w:rPr>
          <w:rFonts w:eastAsia="SimSun"/>
        </w:rPr>
        <w:t xml:space="preserve"> be amortized over a </w:t>
      </w:r>
      <w:r w:rsidR="00F00D55">
        <w:rPr>
          <w:rFonts w:eastAsia="SimSun"/>
        </w:rPr>
        <w:t>ten-</w:t>
      </w:r>
      <w:r w:rsidR="00D70205">
        <w:rPr>
          <w:rFonts w:eastAsia="SimSun"/>
        </w:rPr>
        <w:t xml:space="preserve">year period similar to the Hanukkah </w:t>
      </w:r>
      <w:r w:rsidR="00CD56C6">
        <w:rPr>
          <w:rFonts w:eastAsia="SimSun"/>
        </w:rPr>
        <w:t>E</w:t>
      </w:r>
      <w:r w:rsidR="00D70205">
        <w:rPr>
          <w:rFonts w:eastAsia="SimSun"/>
        </w:rPr>
        <w:t>ve storm</w:t>
      </w:r>
      <w:r w:rsidR="000B5806">
        <w:rPr>
          <w:rFonts w:eastAsia="SimSun"/>
        </w:rPr>
        <w:t>.</w:t>
      </w:r>
      <w:r w:rsidR="00BE5DDC">
        <w:rPr>
          <w:rStyle w:val="FootnoteReference"/>
          <w:rFonts w:eastAsia="SimSun"/>
        </w:rPr>
        <w:footnoteReference w:id="73"/>
      </w:r>
    </w:p>
    <w:p w:rsidR="00D56473" w:rsidRPr="009579ED" w:rsidRDefault="00D56473" w:rsidP="00777E1F">
      <w:pPr>
        <w:pStyle w:val="question"/>
      </w:pPr>
      <w:r w:rsidRPr="009579ED">
        <w:t>Q.</w:t>
      </w:r>
      <w:r w:rsidRPr="009579ED">
        <w:tab/>
        <w:t xml:space="preserve">What is your overall response to the modifications proposed by </w:t>
      </w:r>
      <w:r w:rsidR="00461A28">
        <w:t xml:space="preserve">Commission </w:t>
      </w:r>
      <w:r w:rsidRPr="009579ED">
        <w:t xml:space="preserve">Staff </w:t>
      </w:r>
      <w:r w:rsidR="00461A28">
        <w:t>w</w:t>
      </w:r>
      <w:r w:rsidR="00461A28" w:rsidRPr="009579ED">
        <w:t xml:space="preserve">itness </w:t>
      </w:r>
      <w:r w:rsidRPr="009579ED">
        <w:t xml:space="preserve">Schooley to the </w:t>
      </w:r>
      <w:r w:rsidR="00461A28">
        <w:t>s</w:t>
      </w:r>
      <w:r w:rsidR="00461A28" w:rsidRPr="009579ED">
        <w:t xml:space="preserve">torm </w:t>
      </w:r>
      <w:r w:rsidR="00461A28">
        <w:t>deferral</w:t>
      </w:r>
      <w:r w:rsidR="00461A28" w:rsidRPr="009579ED">
        <w:t xml:space="preserve"> </w:t>
      </w:r>
      <w:r w:rsidRPr="009579ED">
        <w:t>mechanism?</w:t>
      </w:r>
    </w:p>
    <w:p w:rsidR="00D56473" w:rsidRDefault="00D56473" w:rsidP="00D56473">
      <w:pPr>
        <w:pStyle w:val="answer"/>
        <w:rPr>
          <w:rFonts w:eastAsia="SimSun"/>
        </w:rPr>
      </w:pPr>
      <w:r w:rsidRPr="009075DC">
        <w:rPr>
          <w:rFonts w:eastAsia="SimSun"/>
        </w:rPr>
        <w:t>A.</w:t>
      </w:r>
      <w:r w:rsidRPr="009075DC">
        <w:rPr>
          <w:rFonts w:eastAsia="SimSun"/>
        </w:rPr>
        <w:tab/>
      </w:r>
      <w:r w:rsidR="00A325DB">
        <w:rPr>
          <w:rFonts w:eastAsia="SimSun"/>
        </w:rPr>
        <w:t xml:space="preserve">Commission </w:t>
      </w:r>
      <w:r>
        <w:rPr>
          <w:rFonts w:eastAsia="SimSun"/>
        </w:rPr>
        <w:t>Staff is utilizing recycled arguments that the Commission has rejected, as recently as PSE</w:t>
      </w:r>
      <w:r w:rsidR="00E462EF">
        <w:rPr>
          <w:rFonts w:eastAsia="SimSun"/>
        </w:rPr>
        <w:t>’</w:t>
      </w:r>
      <w:r>
        <w:rPr>
          <w:rFonts w:eastAsia="SimSun"/>
        </w:rPr>
        <w:t xml:space="preserve">s last general rate case, to eliminate the storm deferral </w:t>
      </w:r>
      <w:r>
        <w:rPr>
          <w:rFonts w:eastAsia="SimSun"/>
        </w:rPr>
        <w:lastRenderedPageBreak/>
        <w:t xml:space="preserve">mechanism that has worked well and benefited both customers and </w:t>
      </w:r>
      <w:r w:rsidR="0077523D">
        <w:t>PSE</w:t>
      </w:r>
      <w:r w:rsidR="00461A28">
        <w:rPr>
          <w:rFonts w:eastAsia="SimSun"/>
        </w:rPr>
        <w:t xml:space="preserve"> </w:t>
      </w:r>
      <w:r>
        <w:rPr>
          <w:rFonts w:eastAsia="SimSun"/>
        </w:rPr>
        <w:t>for more than a decade.</w:t>
      </w:r>
      <w:r w:rsidR="00F26B15">
        <w:rPr>
          <w:rFonts w:eastAsia="SimSun"/>
        </w:rPr>
        <w:t xml:space="preserve"> </w:t>
      </w:r>
      <w:r>
        <w:rPr>
          <w:rFonts w:eastAsia="SimSun"/>
        </w:rPr>
        <w:t xml:space="preserve">Not only does </w:t>
      </w:r>
      <w:r w:rsidR="009A11B5">
        <w:rPr>
          <w:bCs/>
        </w:rPr>
        <w:t xml:space="preserve">Commission </w:t>
      </w:r>
      <w:r w:rsidR="009A11B5">
        <w:t>Staff</w:t>
      </w:r>
      <w:r w:rsidR="00E462EF">
        <w:rPr>
          <w:rFonts w:eastAsia="SimSun"/>
        </w:rPr>
        <w:t>’</w:t>
      </w:r>
      <w:r>
        <w:rPr>
          <w:rFonts w:eastAsia="SimSun"/>
        </w:rPr>
        <w:t xml:space="preserve">s proposal eliminate the existing storm deferral mechanism on a going forward basis, the adjustment as proposed by </w:t>
      </w:r>
      <w:r w:rsidR="0077523D">
        <w:t>Mr. </w:t>
      </w:r>
      <w:r>
        <w:rPr>
          <w:rFonts w:eastAsia="SimSun"/>
        </w:rPr>
        <w:t xml:space="preserve">Schooley attempts to retroactively </w:t>
      </w:r>
      <w:r w:rsidR="000B5806">
        <w:rPr>
          <w:rFonts w:eastAsia="SimSun"/>
        </w:rPr>
        <w:t xml:space="preserve">implement his proposal </w:t>
      </w:r>
      <w:r>
        <w:rPr>
          <w:rFonts w:eastAsia="SimSun"/>
        </w:rPr>
        <w:t>by disallowing recovery of the more than $</w:t>
      </w:r>
      <w:r w:rsidRPr="000B5806">
        <w:rPr>
          <w:rFonts w:eastAsia="SimSun"/>
        </w:rPr>
        <w:t>60</w:t>
      </w:r>
      <w:r w:rsidR="00E432EB">
        <w:rPr>
          <w:rFonts w:eastAsia="SimSun"/>
        </w:rPr>
        <w:t> </w:t>
      </w:r>
      <w:r w:rsidRPr="000B5806">
        <w:rPr>
          <w:rFonts w:eastAsia="SimSun"/>
        </w:rPr>
        <w:t>million</w:t>
      </w:r>
      <w:r>
        <w:rPr>
          <w:rFonts w:eastAsia="SimSun"/>
        </w:rPr>
        <w:t xml:space="preserve"> of previously deferred storm costs</w:t>
      </w:r>
      <w:r w:rsidR="00E14ABA">
        <w:rPr>
          <w:rFonts w:eastAsia="SimSun"/>
        </w:rPr>
        <w:t xml:space="preserve"> that were properly deferred under the existing mechanism</w:t>
      </w:r>
      <w:r>
        <w:rPr>
          <w:rFonts w:eastAsia="SimSun"/>
        </w:rPr>
        <w:t>.</w:t>
      </w:r>
      <w:r w:rsidR="00F26B15">
        <w:rPr>
          <w:rFonts w:eastAsia="SimSun"/>
        </w:rPr>
        <w:t xml:space="preserve"> </w:t>
      </w:r>
      <w:r>
        <w:rPr>
          <w:rFonts w:eastAsia="SimSun"/>
        </w:rPr>
        <w:t xml:space="preserve">The Commission should reject </w:t>
      </w:r>
      <w:r w:rsidR="00E432EB">
        <w:rPr>
          <w:rFonts w:eastAsia="SimSun"/>
        </w:rPr>
        <w:t xml:space="preserve">Commission </w:t>
      </w:r>
      <w:r w:rsidR="00BB6297">
        <w:rPr>
          <w:rFonts w:eastAsia="SimSun"/>
        </w:rPr>
        <w:t>S</w:t>
      </w:r>
      <w:r>
        <w:rPr>
          <w:rFonts w:eastAsia="SimSun"/>
        </w:rPr>
        <w:t>taff</w:t>
      </w:r>
      <w:r w:rsidR="00E462EF">
        <w:rPr>
          <w:rFonts w:eastAsia="SimSun"/>
        </w:rPr>
        <w:t>’</w:t>
      </w:r>
      <w:r>
        <w:rPr>
          <w:rFonts w:eastAsia="SimSun"/>
        </w:rPr>
        <w:t>s proposal</w:t>
      </w:r>
      <w:r w:rsidR="00E14ABA">
        <w:rPr>
          <w:rFonts w:eastAsia="SimSun"/>
        </w:rPr>
        <w:t>,</w:t>
      </w:r>
      <w:r>
        <w:rPr>
          <w:rFonts w:eastAsia="SimSun"/>
        </w:rPr>
        <w:t xml:space="preserve"> allow the storm </w:t>
      </w:r>
      <w:r w:rsidR="00461A28">
        <w:rPr>
          <w:rFonts w:eastAsia="SimSun"/>
        </w:rPr>
        <w:t xml:space="preserve">deferral </w:t>
      </w:r>
      <w:r>
        <w:rPr>
          <w:rFonts w:eastAsia="SimSun"/>
        </w:rPr>
        <w:t>mechanism to continue</w:t>
      </w:r>
      <w:r w:rsidR="00E14ABA">
        <w:rPr>
          <w:rFonts w:eastAsia="SimSun"/>
        </w:rPr>
        <w:t>,</w:t>
      </w:r>
      <w:r w:rsidR="00BB6297">
        <w:rPr>
          <w:rFonts w:eastAsia="SimSun"/>
        </w:rPr>
        <w:t xml:space="preserve"> </w:t>
      </w:r>
      <w:r>
        <w:rPr>
          <w:rFonts w:eastAsia="SimSun"/>
        </w:rPr>
        <w:t xml:space="preserve">and approve the proposed amortization of the costs associated with the 2012 through 2017 qualifying events as reflected in </w:t>
      </w:r>
      <w:r w:rsidR="00454E08">
        <w:rPr>
          <w:rFonts w:eastAsia="SimSun"/>
        </w:rPr>
        <w:t>A</w:t>
      </w:r>
      <w:r w:rsidRPr="00074D20">
        <w:rPr>
          <w:rFonts w:eastAsia="SimSun"/>
        </w:rPr>
        <w:t xml:space="preserve">djustment </w:t>
      </w:r>
      <w:r w:rsidR="00454E08">
        <w:rPr>
          <w:rFonts w:eastAsia="SimSun"/>
        </w:rPr>
        <w:t>KJB-</w:t>
      </w:r>
      <w:r w:rsidR="00E432EB">
        <w:rPr>
          <w:rFonts w:eastAsia="SimSun"/>
        </w:rPr>
        <w:t>21</w:t>
      </w:r>
      <w:r w:rsidR="00074D20">
        <w:rPr>
          <w:rFonts w:eastAsia="SimSun"/>
        </w:rPr>
        <w:t>.05.</w:t>
      </w:r>
    </w:p>
    <w:p w:rsidR="00D56473" w:rsidRPr="008909AC" w:rsidRDefault="00D56473" w:rsidP="00777E1F">
      <w:pPr>
        <w:pStyle w:val="question"/>
      </w:pPr>
      <w:r w:rsidRPr="008909AC">
        <w:t>Q.</w:t>
      </w:r>
      <w:r w:rsidRPr="008909AC">
        <w:tab/>
      </w:r>
      <w:r>
        <w:t>Can you provide a brief history of PSE</w:t>
      </w:r>
      <w:r w:rsidR="00E462EF">
        <w:t>’</w:t>
      </w:r>
      <w:r>
        <w:t xml:space="preserve">s </w:t>
      </w:r>
      <w:r w:rsidR="003D0C16">
        <w:t>s</w:t>
      </w:r>
      <w:r>
        <w:t xml:space="preserve">torm </w:t>
      </w:r>
      <w:r w:rsidR="00461A28">
        <w:t xml:space="preserve">deferral </w:t>
      </w:r>
      <w:r>
        <w:t>mechanism</w:t>
      </w:r>
      <w:r w:rsidRPr="008909AC">
        <w:t>?</w:t>
      </w:r>
    </w:p>
    <w:p w:rsidR="00D56473" w:rsidRPr="008909AC" w:rsidRDefault="00D56473" w:rsidP="00777E1F">
      <w:pPr>
        <w:pStyle w:val="Answer0"/>
      </w:pPr>
      <w:r>
        <w:t>A</w:t>
      </w:r>
      <w:r w:rsidRPr="008909AC">
        <w:t>.</w:t>
      </w:r>
      <w:r w:rsidRPr="008909AC">
        <w:tab/>
        <w:t>Prior to Docket UE-921262 storm damage was recovered using an accounting reserve in a manner similar to insurance.</w:t>
      </w:r>
      <w:r w:rsidR="00F26B15">
        <w:t xml:space="preserve"> </w:t>
      </w:r>
      <w:r w:rsidRPr="008909AC">
        <w:t>All storm damage was deferred by charging a reserve and the amount allowed in rates was credited to that reserve and charged to storm damage expense.</w:t>
      </w:r>
      <w:r w:rsidR="00F26B15">
        <w:t xml:space="preserve"> </w:t>
      </w:r>
      <w:r>
        <w:t xml:space="preserve">In Docket UE-921262, </w:t>
      </w:r>
      <w:r w:rsidRPr="008909AC">
        <w:t>Commission Staff</w:t>
      </w:r>
      <w:r>
        <w:rPr>
          <w:rStyle w:val="FootnoteReference"/>
        </w:rPr>
        <w:footnoteReference w:id="74"/>
      </w:r>
      <w:r>
        <w:t xml:space="preserve"> </w:t>
      </w:r>
      <w:r w:rsidRPr="008909AC">
        <w:t>proposed normalizing storm damage costs over a six</w:t>
      </w:r>
      <w:r w:rsidR="00E432EB">
        <w:t>-</w:t>
      </w:r>
      <w:r w:rsidRPr="008909AC">
        <w:t>year period, and that extraordinary property damage be amortized over a six-year period.</w:t>
      </w:r>
      <w:r w:rsidR="00F26B15">
        <w:t xml:space="preserve"> </w:t>
      </w:r>
      <w:r>
        <w:t xml:space="preserve">In that docket, </w:t>
      </w:r>
      <w:r w:rsidR="00E432EB">
        <w:t xml:space="preserve">Commission </w:t>
      </w:r>
      <w:r>
        <w:t xml:space="preserve">Staff </w:t>
      </w:r>
      <w:r w:rsidRPr="008909AC">
        <w:t xml:space="preserve">proposed to define </w:t>
      </w:r>
      <w:r w:rsidR="00E462EF">
        <w:t>“</w:t>
      </w:r>
      <w:r w:rsidRPr="008909AC">
        <w:t>catastrophic event</w:t>
      </w:r>
      <w:r w:rsidR="00E462EF">
        <w:t>”</w:t>
      </w:r>
      <w:r w:rsidRPr="008909AC">
        <w:t xml:space="preserve"> as one affecting 25</w:t>
      </w:r>
      <w:r w:rsidR="00E432EB">
        <w:t> percent</w:t>
      </w:r>
      <w:r w:rsidRPr="008909AC">
        <w:t xml:space="preserve"> or more </w:t>
      </w:r>
      <w:r w:rsidR="00A325DB">
        <w:t xml:space="preserve">of </w:t>
      </w:r>
      <w:r w:rsidR="0077523D">
        <w:t>PSE</w:t>
      </w:r>
      <w:r w:rsidR="00E462EF">
        <w:t>’</w:t>
      </w:r>
      <w:r w:rsidR="00A325DB">
        <w:t>s</w:t>
      </w:r>
      <w:r w:rsidRPr="008909AC">
        <w:t xml:space="preserve"> customers, occurring infrequently, and affecting a wide geographic area.</w:t>
      </w:r>
      <w:r w:rsidR="00F26B15">
        <w:t xml:space="preserve"> </w:t>
      </w:r>
      <w:r w:rsidR="0077523D">
        <w:t>Mr. </w:t>
      </w:r>
      <w:proofErr w:type="spellStart"/>
      <w:r w:rsidR="00A325DB">
        <w:t>Schooley</w:t>
      </w:r>
      <w:r w:rsidR="00E462EF">
        <w:t>’</w:t>
      </w:r>
      <w:r w:rsidR="00A325DB">
        <w:t>s</w:t>
      </w:r>
      <w:proofErr w:type="spellEnd"/>
      <w:r w:rsidR="00A325DB" w:rsidRPr="008909AC">
        <w:t xml:space="preserve"> </w:t>
      </w:r>
      <w:r w:rsidRPr="008909AC">
        <w:t xml:space="preserve">proposal </w:t>
      </w:r>
      <w:r w:rsidR="00A325DB">
        <w:t xml:space="preserve">in that case </w:t>
      </w:r>
      <w:r w:rsidRPr="008909AC">
        <w:t>was approved by the Commission and th</w:t>
      </w:r>
      <w:r>
        <w:t>at</w:t>
      </w:r>
      <w:r w:rsidRPr="008909AC">
        <w:t xml:space="preserve"> definition of catastrophic storm was used until 2004.</w:t>
      </w:r>
      <w:r w:rsidR="00F26B15">
        <w:t xml:space="preserve"> </w:t>
      </w:r>
      <w:r>
        <w:t xml:space="preserve">In Docket UE-040641, </w:t>
      </w:r>
      <w:r w:rsidR="004862E7">
        <w:t>in response to PSE</w:t>
      </w:r>
      <w:r w:rsidR="00E462EF">
        <w:t>’</w:t>
      </w:r>
      <w:r w:rsidR="004862E7">
        <w:t xml:space="preserve">s proposal to define a </w:t>
      </w:r>
      <w:r w:rsidR="004862E7">
        <w:lastRenderedPageBreak/>
        <w:t>qualifying event as greater than $2</w:t>
      </w:r>
      <w:r w:rsidR="00E432EB">
        <w:t> </w:t>
      </w:r>
      <w:r w:rsidR="004862E7">
        <w:t xml:space="preserve">million, </w:t>
      </w:r>
      <w:r w:rsidR="009A11B5">
        <w:rPr>
          <w:bCs/>
        </w:rPr>
        <w:t xml:space="preserve">Commission </w:t>
      </w:r>
      <w:r w:rsidR="009A11B5">
        <w:t>Staff</w:t>
      </w:r>
      <w:r w:rsidR="004862E7">
        <w:t xml:space="preserve"> </w:t>
      </w:r>
      <w:r w:rsidR="00FF02F2">
        <w:t xml:space="preserve">witnesses </w:t>
      </w:r>
      <w:r w:rsidR="0077523D">
        <w:t>Mr. </w:t>
      </w:r>
      <w:r w:rsidR="004862E7">
        <w:t xml:space="preserve">Douglas E. Kilpatrick and </w:t>
      </w:r>
      <w:r w:rsidR="0077523D">
        <w:t>Mr. </w:t>
      </w:r>
      <w:r w:rsidR="004862E7">
        <w:t>James M. Russell</w:t>
      </w:r>
      <w:r>
        <w:t xml:space="preserve"> proposed the current methodology of using the </w:t>
      </w:r>
      <w:r w:rsidR="00A325DB">
        <w:rPr>
          <w:color w:val="000000"/>
        </w:rPr>
        <w:t>Institute of Electrical and Electronic Engineers (IEEE) standard 1366-</w:t>
      </w:r>
      <w:r w:rsidR="00647710">
        <w:rPr>
          <w:color w:val="000000"/>
        </w:rPr>
        <w:t xml:space="preserve">2003 </w:t>
      </w:r>
      <w:r w:rsidR="00EB7B25">
        <w:rPr>
          <w:color w:val="000000"/>
        </w:rPr>
        <w:t>using the 2.5 Beta Methodology</w:t>
      </w:r>
      <w:r w:rsidR="00A325DB">
        <w:rPr>
          <w:color w:val="000000"/>
        </w:rPr>
        <w:t xml:space="preserve">, modified to shorten the duration of a sustained interruption from </w:t>
      </w:r>
      <w:r w:rsidR="00FF02F2">
        <w:rPr>
          <w:color w:val="000000"/>
        </w:rPr>
        <w:t xml:space="preserve">five </w:t>
      </w:r>
      <w:r w:rsidR="00A325DB">
        <w:rPr>
          <w:color w:val="000000"/>
        </w:rPr>
        <w:t xml:space="preserve">minutes to </w:t>
      </w:r>
      <w:r w:rsidR="00FF02F2">
        <w:rPr>
          <w:color w:val="000000"/>
        </w:rPr>
        <w:t xml:space="preserve">one </w:t>
      </w:r>
      <w:r w:rsidR="00A325DB">
        <w:rPr>
          <w:color w:val="000000"/>
        </w:rPr>
        <w:t>minute</w:t>
      </w:r>
      <w:r>
        <w:t xml:space="preserve"> </w:t>
      </w:r>
      <w:r w:rsidR="00EB7B25">
        <w:t>(</w:t>
      </w:r>
      <w:r w:rsidR="00E462EF">
        <w:t>“</w:t>
      </w:r>
      <w:r w:rsidR="00EB7B25">
        <w:t>IEEE Standard</w:t>
      </w:r>
      <w:r w:rsidR="00E462EF">
        <w:t>”</w:t>
      </w:r>
      <w:r w:rsidR="00EB7B25">
        <w:t xml:space="preserve"> or </w:t>
      </w:r>
      <w:r w:rsidR="00E462EF">
        <w:t>“</w:t>
      </w:r>
      <w:r w:rsidR="00EB7B25">
        <w:t>2.5 Beta Method</w:t>
      </w:r>
      <w:r w:rsidR="00E462EF">
        <w:t>”</w:t>
      </w:r>
      <w:r w:rsidR="00EB7B25">
        <w:t xml:space="preserve">) </w:t>
      </w:r>
      <w:r w:rsidR="00A325DB">
        <w:t xml:space="preserve">to define a </w:t>
      </w:r>
      <w:r w:rsidR="00E462EF">
        <w:t>“</w:t>
      </w:r>
      <w:r>
        <w:t>major event</w:t>
      </w:r>
      <w:r w:rsidR="00E462EF">
        <w:t>”</w:t>
      </w:r>
      <w:r>
        <w:t xml:space="preserve"> and including a threshold of </w:t>
      </w:r>
      <w:r w:rsidR="00E462EF">
        <w:t>“</w:t>
      </w:r>
      <w:r>
        <w:t>normal</w:t>
      </w:r>
      <w:r w:rsidR="00E462EF">
        <w:t>”</w:t>
      </w:r>
      <w:r>
        <w:t xml:space="preserve"> storm costs to replace the </w:t>
      </w:r>
      <w:r w:rsidR="00E462EF">
        <w:t>“</w:t>
      </w:r>
      <w:r>
        <w:t>catastrophic event</w:t>
      </w:r>
      <w:r w:rsidR="00E462EF">
        <w:t>”</w:t>
      </w:r>
      <w:r>
        <w:t xml:space="preserve"> standard of </w:t>
      </w:r>
      <w:r w:rsidR="00A325DB">
        <w:t xml:space="preserve">25% </w:t>
      </w:r>
      <w:r>
        <w:t>of customers without power previously approved by the Commission.</w:t>
      </w:r>
      <w:r w:rsidR="00F26B15">
        <w:t xml:space="preserve"> </w:t>
      </w:r>
      <w:r>
        <w:t>PSE did not object to using the IEEE standard as a trigger for deferring storm damage, and th</w:t>
      </w:r>
      <w:r w:rsidRPr="008909AC">
        <w:t xml:space="preserve">e Commission approved the current definition for </w:t>
      </w:r>
      <w:r>
        <w:t xml:space="preserve">qualifying </w:t>
      </w:r>
      <w:r w:rsidRPr="008909AC">
        <w:t>storms using the IEEE Standard</w:t>
      </w:r>
      <w:r>
        <w:t>.</w:t>
      </w:r>
      <w:r w:rsidR="00F26B15">
        <w:t xml:space="preserve"> </w:t>
      </w:r>
      <w:r w:rsidRPr="008909AC">
        <w:t>This definition</w:t>
      </w:r>
      <w:r>
        <w:t xml:space="preserve"> and benefits associated with using the IEEE </w:t>
      </w:r>
      <w:r w:rsidR="00647710">
        <w:t xml:space="preserve">Standard </w:t>
      </w:r>
      <w:r w:rsidRPr="008909AC">
        <w:t xml:space="preserve">is explained in more detail in the </w:t>
      </w:r>
      <w:proofErr w:type="spellStart"/>
      <w:r w:rsidR="004862E7">
        <w:t>P</w:t>
      </w:r>
      <w:r w:rsidR="004862E7" w:rsidRPr="008909AC">
        <w:t>re</w:t>
      </w:r>
      <w:r w:rsidRPr="008909AC">
        <w:t>filed</w:t>
      </w:r>
      <w:proofErr w:type="spellEnd"/>
      <w:r w:rsidRPr="008909AC">
        <w:t xml:space="preserve"> </w:t>
      </w:r>
      <w:r w:rsidR="004862E7">
        <w:t>R</w:t>
      </w:r>
      <w:r w:rsidRPr="008909AC">
        <w:t xml:space="preserve">ebuttal </w:t>
      </w:r>
      <w:r w:rsidR="004862E7">
        <w:t>T</w:t>
      </w:r>
      <w:r w:rsidRPr="008909AC">
        <w:t xml:space="preserve">estimony of </w:t>
      </w:r>
      <w:r>
        <w:t>Catherine A. Koch</w:t>
      </w:r>
      <w:r w:rsidRPr="008909AC">
        <w:t xml:space="preserve">, </w:t>
      </w:r>
      <w:proofErr w:type="spellStart"/>
      <w:r w:rsidRPr="008909AC">
        <w:t>Exh</w:t>
      </w:r>
      <w:proofErr w:type="spellEnd"/>
      <w:r w:rsidR="006604D2">
        <w:t>. </w:t>
      </w:r>
      <w:r w:rsidRPr="00481450">
        <w:t>CAK-4T.</w:t>
      </w:r>
      <w:r w:rsidRPr="008909AC">
        <w:t xml:space="preserve"> </w:t>
      </w:r>
    </w:p>
    <w:p w:rsidR="00D56473" w:rsidRPr="008909AC" w:rsidRDefault="00D56473" w:rsidP="00777E1F">
      <w:pPr>
        <w:pStyle w:val="question"/>
      </w:pPr>
      <w:r w:rsidRPr="008909AC">
        <w:t>Q.</w:t>
      </w:r>
      <w:r w:rsidRPr="008909AC">
        <w:tab/>
        <w:t xml:space="preserve">Are there other types of storm events for which PSE incurs costs other than </w:t>
      </w:r>
      <w:r>
        <w:t xml:space="preserve">those meeting the IEEE </w:t>
      </w:r>
      <w:r w:rsidR="00647710">
        <w:t xml:space="preserve">Standard </w:t>
      </w:r>
      <w:r>
        <w:t xml:space="preserve">for a qualifying event? </w:t>
      </w:r>
    </w:p>
    <w:p w:rsidR="00D56473" w:rsidRPr="008909AC" w:rsidRDefault="00D56473" w:rsidP="00777E1F">
      <w:pPr>
        <w:pStyle w:val="Answer0"/>
      </w:pPr>
      <w:r w:rsidRPr="008909AC">
        <w:t>A.</w:t>
      </w:r>
      <w:r w:rsidRPr="008909AC">
        <w:tab/>
        <w:t>Yes.</w:t>
      </w:r>
      <w:r w:rsidR="00F26B15">
        <w:t xml:space="preserve"> </w:t>
      </w:r>
      <w:r>
        <w:t>T</w:t>
      </w:r>
      <w:r w:rsidRPr="008909AC">
        <w:t>here are costs incurred for other storm events that d</w:t>
      </w:r>
      <w:r>
        <w:t xml:space="preserve">o not meet the IEEE </w:t>
      </w:r>
      <w:r w:rsidR="00647710">
        <w:t xml:space="preserve">Standard </w:t>
      </w:r>
      <w:r>
        <w:t>and th</w:t>
      </w:r>
      <w:r w:rsidRPr="008909AC">
        <w:t xml:space="preserve">ose costs are referred to as normal </w:t>
      </w:r>
      <w:r>
        <w:t xml:space="preserve">or </w:t>
      </w:r>
      <w:r w:rsidR="00E462EF">
        <w:t>“</w:t>
      </w:r>
      <w:r>
        <w:t>non-qualifying</w:t>
      </w:r>
      <w:r w:rsidR="00E462EF">
        <w:t>”</w:t>
      </w:r>
      <w:r>
        <w:t xml:space="preserve"> </w:t>
      </w:r>
      <w:r w:rsidRPr="008909AC">
        <w:t>storm costs.</w:t>
      </w:r>
      <w:r w:rsidR="00F26B15">
        <w:t xml:space="preserve"> </w:t>
      </w:r>
    </w:p>
    <w:p w:rsidR="00D56473" w:rsidRPr="008909AC" w:rsidRDefault="00D56473" w:rsidP="00777E1F">
      <w:pPr>
        <w:pStyle w:val="question"/>
      </w:pPr>
      <w:r w:rsidRPr="008909AC">
        <w:t>Q.</w:t>
      </w:r>
      <w:r w:rsidRPr="008909AC">
        <w:tab/>
        <w:t xml:space="preserve">Is PSE allowed to defer any </w:t>
      </w:r>
      <w:r w:rsidR="00E462EF">
        <w:t>“</w:t>
      </w:r>
      <w:r w:rsidRPr="008909AC">
        <w:t>normal</w:t>
      </w:r>
      <w:r w:rsidR="00E462EF">
        <w:t>”</w:t>
      </w:r>
      <w:r w:rsidRPr="008909AC">
        <w:t xml:space="preserve"> storm costs?</w:t>
      </w:r>
    </w:p>
    <w:p w:rsidR="00031551" w:rsidRDefault="00D56473" w:rsidP="00777E1F">
      <w:pPr>
        <w:pStyle w:val="Answer0"/>
      </w:pPr>
      <w:r w:rsidRPr="008909AC">
        <w:t>A.</w:t>
      </w:r>
      <w:r w:rsidRPr="008909AC">
        <w:tab/>
        <w:t>No.</w:t>
      </w:r>
      <w:r w:rsidR="00F26B15">
        <w:t xml:space="preserve"> </w:t>
      </w:r>
      <w:r w:rsidRPr="008909AC">
        <w:t xml:space="preserve">PSE is not allowed to defer any costs for storms that do not meet the IEEE </w:t>
      </w:r>
      <w:r w:rsidR="00481450">
        <w:t xml:space="preserve">major event </w:t>
      </w:r>
      <w:r w:rsidRPr="008909AC">
        <w:t>standard</w:t>
      </w:r>
      <w:r>
        <w:t xml:space="preserve"> approved in </w:t>
      </w:r>
      <w:r w:rsidR="00A25C65">
        <w:t xml:space="preserve">Docket </w:t>
      </w:r>
      <w:r>
        <w:t>UE-040641</w:t>
      </w:r>
      <w:r w:rsidRPr="008909AC">
        <w:t>.</w:t>
      </w:r>
      <w:r w:rsidR="00F26B15">
        <w:t xml:space="preserve"> </w:t>
      </w:r>
      <w:r w:rsidRPr="008909AC">
        <w:t>These normal storm costs are part of the normalization calculation which uses a six-year average.</w:t>
      </w:r>
      <w:r w:rsidR="00F26B15">
        <w:t xml:space="preserve"> </w:t>
      </w:r>
      <w:r>
        <w:t xml:space="preserve">As </w:t>
      </w:r>
      <w:r>
        <w:lastRenderedPageBreak/>
        <w:t xml:space="preserve">discussed by </w:t>
      </w:r>
      <w:r w:rsidR="0077523D">
        <w:t>Mr. </w:t>
      </w:r>
      <w:r w:rsidR="00A25C65">
        <w:t xml:space="preserve">Kilpatrick </w:t>
      </w:r>
      <w:r>
        <w:t xml:space="preserve">in </w:t>
      </w:r>
      <w:r w:rsidR="00A25C65">
        <w:t xml:space="preserve">Docket </w:t>
      </w:r>
      <w:r>
        <w:t xml:space="preserve">UE-040641, the IEEE </w:t>
      </w:r>
      <w:r w:rsidRPr="00792EF4">
        <w:t xml:space="preserve">major event day concept is used to establish a threshold value for </w:t>
      </w:r>
      <w:r w:rsidR="004862E7">
        <w:t xml:space="preserve">a </w:t>
      </w:r>
      <w:r w:rsidRPr="00792EF4">
        <w:t>compan</w:t>
      </w:r>
      <w:r>
        <w:t>y</w:t>
      </w:r>
      <w:r w:rsidR="00E462EF">
        <w:t>’</w:t>
      </w:r>
      <w:r w:rsidRPr="00792EF4">
        <w:t>s normal daily reliability as express</w:t>
      </w:r>
      <w:r w:rsidR="004862E7">
        <w:t>ed</w:t>
      </w:r>
      <w:r w:rsidRPr="00792EF4">
        <w:t xml:space="preserve"> in a daily value for </w:t>
      </w:r>
      <w:proofErr w:type="spellStart"/>
      <w:r w:rsidRPr="00792EF4">
        <w:t>SAIDI</w:t>
      </w:r>
      <w:proofErr w:type="spellEnd"/>
      <w:r w:rsidR="00031551">
        <w:t>:</w:t>
      </w:r>
    </w:p>
    <w:p w:rsidR="00D56473" w:rsidRPr="008909AC" w:rsidRDefault="00D56473" w:rsidP="00031551">
      <w:pPr>
        <w:pStyle w:val="Answer0"/>
        <w:spacing w:before="0" w:after="280" w:line="240" w:lineRule="auto"/>
        <w:ind w:left="1440" w:right="720" w:firstLine="0"/>
        <w:jc w:val="both"/>
      </w:pPr>
      <w:r w:rsidRPr="00792EF4">
        <w:t xml:space="preserve">Any days with a daily </w:t>
      </w:r>
      <w:proofErr w:type="spellStart"/>
      <w:r w:rsidRPr="00792EF4">
        <w:t>SAIDI</w:t>
      </w:r>
      <w:proofErr w:type="spellEnd"/>
      <w:r w:rsidRPr="00792EF4">
        <w:t xml:space="preserve"> value greater than this threshold are considered as those days where the electrical system experienced above-normal stresses, such as during severe weather.</w:t>
      </w:r>
      <w:r w:rsidR="00F26B15">
        <w:t xml:space="preserve"> </w:t>
      </w:r>
      <w:r>
        <w:t>The system</w:t>
      </w:r>
      <w:r w:rsidR="00E462EF">
        <w:t>’</w:t>
      </w:r>
      <w:r>
        <w:t>s performance during these major event days is evaluated separately from day-to-day operation so that measurement of the underlying reliability of the electric system is not overshadowed by these significant events.</w:t>
      </w:r>
      <w:r w:rsidR="004862E7">
        <w:rPr>
          <w:rStyle w:val="FootnoteReference"/>
        </w:rPr>
        <w:footnoteReference w:id="75"/>
      </w:r>
    </w:p>
    <w:p w:rsidR="00D56473" w:rsidRPr="008909AC" w:rsidRDefault="00D56473" w:rsidP="00647710">
      <w:pPr>
        <w:pStyle w:val="question"/>
      </w:pPr>
      <w:r w:rsidRPr="008909AC">
        <w:t>Q.</w:t>
      </w:r>
      <w:r w:rsidRPr="008909AC">
        <w:tab/>
        <w:t>What storm costs are allowed to be deferred?</w:t>
      </w:r>
    </w:p>
    <w:p w:rsidR="00D56473" w:rsidRDefault="00D56473" w:rsidP="00647710">
      <w:pPr>
        <w:pStyle w:val="answer"/>
      </w:pPr>
      <w:r w:rsidRPr="008909AC">
        <w:t>A.</w:t>
      </w:r>
      <w:r w:rsidRPr="008909AC">
        <w:tab/>
        <w:t>PSE is only allowed to defer costs associated with qualifying IEEE storm events that exceed an annual</w:t>
      </w:r>
      <w:r>
        <w:t xml:space="preserve"> dollar </w:t>
      </w:r>
      <w:r w:rsidRPr="008909AC">
        <w:t>threshold.</w:t>
      </w:r>
      <w:r w:rsidR="00F26B15">
        <w:t xml:space="preserve"> </w:t>
      </w:r>
      <w:r w:rsidRPr="008909AC">
        <w:t>This annual threshold is determined and approved in a general rate case.</w:t>
      </w:r>
      <w:r w:rsidR="00F26B15">
        <w:t xml:space="preserve"> </w:t>
      </w:r>
      <w:r w:rsidRPr="008909AC">
        <w:t xml:space="preserve">The annual threshold </w:t>
      </w:r>
      <w:r>
        <w:t>was</w:t>
      </w:r>
      <w:r w:rsidRPr="008909AC">
        <w:t xml:space="preserve"> based on the </w:t>
      </w:r>
      <w:r w:rsidR="00A25C65">
        <w:t>six-</w:t>
      </w:r>
      <w:r w:rsidRPr="008909AC">
        <w:t xml:space="preserve">year </w:t>
      </w:r>
      <w:r>
        <w:t>average</w:t>
      </w:r>
      <w:r w:rsidRPr="008909AC">
        <w:t xml:space="preserve"> normal storm expense </w:t>
      </w:r>
      <w:r>
        <w:t>and is currently set at $8</w:t>
      </w:r>
      <w:r w:rsidR="00031551">
        <w:t> </w:t>
      </w:r>
      <w:r>
        <w:t>million</w:t>
      </w:r>
      <w:r w:rsidRPr="008909AC">
        <w:t>.</w:t>
      </w:r>
      <w:r w:rsidR="00F26B15">
        <w:t xml:space="preserve"> </w:t>
      </w:r>
      <w:r w:rsidRPr="008909AC">
        <w:t>Only when IEEE</w:t>
      </w:r>
      <w:r w:rsidR="00BB6297">
        <w:t xml:space="preserve"> qualifying</w:t>
      </w:r>
      <w:r w:rsidRPr="008909AC">
        <w:t xml:space="preserve"> storm expenses exceed the $8</w:t>
      </w:r>
      <w:r w:rsidR="00031551">
        <w:t> </w:t>
      </w:r>
      <w:r w:rsidRPr="008909AC">
        <w:t>million threshold are they allowed to be deferred.</w:t>
      </w:r>
      <w:r w:rsidR="00F26B15">
        <w:t xml:space="preserve"> </w:t>
      </w:r>
      <w:r w:rsidR="00031551">
        <w:t xml:space="preserve">The </w:t>
      </w:r>
      <w:proofErr w:type="spellStart"/>
      <w:r w:rsidR="00031551">
        <w:t>P</w:t>
      </w:r>
      <w:r w:rsidR="00031551" w:rsidRPr="008909AC">
        <w:t>refiled</w:t>
      </w:r>
      <w:proofErr w:type="spellEnd"/>
      <w:r w:rsidR="00031551" w:rsidRPr="008909AC">
        <w:t xml:space="preserve"> </w:t>
      </w:r>
      <w:r w:rsidR="00031551">
        <w:t>R</w:t>
      </w:r>
      <w:r w:rsidR="00031551" w:rsidRPr="008909AC">
        <w:t xml:space="preserve">ebuttal </w:t>
      </w:r>
      <w:r w:rsidR="00031551">
        <w:t>T</w:t>
      </w:r>
      <w:r w:rsidR="00031551" w:rsidRPr="008909AC">
        <w:t>estimony</w:t>
      </w:r>
      <w:r w:rsidR="00031551">
        <w:t xml:space="preserve"> of Catherine A. Koch</w:t>
      </w:r>
      <w:r w:rsidR="00031551" w:rsidRPr="008909AC">
        <w:t xml:space="preserve">, Exhibit </w:t>
      </w:r>
      <w:r w:rsidR="00031551">
        <w:t>CAK</w:t>
      </w:r>
      <w:r w:rsidR="00031551" w:rsidRPr="008909AC">
        <w:t>-</w:t>
      </w:r>
      <w:r w:rsidR="00031551">
        <w:t>4</w:t>
      </w:r>
      <w:r w:rsidR="00031551" w:rsidRPr="008909AC">
        <w:t>T</w:t>
      </w:r>
      <w:r w:rsidR="00031551">
        <w:t xml:space="preserve">, </w:t>
      </w:r>
      <w:r w:rsidRPr="008909AC">
        <w:t>describes other costs that are related to IEEE-qualifying storms that are not deferred.</w:t>
      </w:r>
    </w:p>
    <w:p w:rsidR="00D56473" w:rsidRPr="008909AC" w:rsidRDefault="00D56473" w:rsidP="00647710">
      <w:pPr>
        <w:pStyle w:val="question"/>
      </w:pPr>
      <w:r w:rsidRPr="008909AC">
        <w:t>Q.</w:t>
      </w:r>
      <w:r w:rsidRPr="008909AC">
        <w:tab/>
        <w:t>Can you please summarize PSE</w:t>
      </w:r>
      <w:r w:rsidR="00E462EF">
        <w:t>’</w:t>
      </w:r>
      <w:r w:rsidRPr="008909AC">
        <w:t>s cost treatment and deferral capabilities under its storm mechanism?</w:t>
      </w:r>
    </w:p>
    <w:p w:rsidR="00D56473" w:rsidRDefault="00D56473" w:rsidP="00647710">
      <w:pPr>
        <w:pStyle w:val="answer"/>
      </w:pPr>
      <w:r w:rsidRPr="008909AC">
        <w:t>A.</w:t>
      </w:r>
      <w:r w:rsidRPr="008909AC">
        <w:tab/>
        <w:t>Yes. The following chart provides a simple snapshot of PSE</w:t>
      </w:r>
      <w:r w:rsidR="00E462EF">
        <w:t>’</w:t>
      </w:r>
      <w:r w:rsidRPr="008909AC">
        <w:t xml:space="preserve">s </w:t>
      </w:r>
      <w:r>
        <w:t xml:space="preserve">existing </w:t>
      </w:r>
      <w:r w:rsidRPr="008909AC">
        <w:t>storm deferral mechanism.</w:t>
      </w:r>
    </w:p>
    <w:p w:rsidR="00010154" w:rsidRDefault="00010154" w:rsidP="00010154">
      <w:pPr>
        <w:pStyle w:val="center"/>
        <w:keepNext/>
        <w:keepLines w:val="0"/>
        <w:spacing w:before="0" w:after="60" w:line="240" w:lineRule="auto"/>
        <w:ind w:left="720"/>
      </w:pPr>
      <w:r>
        <w:rPr>
          <w:b/>
        </w:rPr>
        <w:lastRenderedPageBreak/>
        <w:t>Table 3. Types of Storm Expense and Treatment</w:t>
      </w:r>
    </w:p>
    <w:p w:rsidR="00D56473" w:rsidRPr="008909AC" w:rsidRDefault="00D56473" w:rsidP="00010154">
      <w:pPr>
        <w:spacing w:after="240" w:line="480" w:lineRule="auto"/>
        <w:ind w:left="720" w:firstLine="0"/>
        <w:jc w:val="center"/>
      </w:pPr>
      <w:r>
        <w:rPr>
          <w:noProof/>
          <w:lang w:eastAsia="en-US"/>
        </w:rPr>
        <w:drawing>
          <wp:inline distT="0" distB="0" distL="0" distR="0" wp14:anchorId="64EE01E2" wp14:editId="19CB329D">
            <wp:extent cx="4300855" cy="383603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0855" cy="3836035"/>
                    </a:xfrm>
                    <a:prstGeom prst="rect">
                      <a:avLst/>
                    </a:prstGeom>
                    <a:noFill/>
                    <a:ln>
                      <a:noFill/>
                    </a:ln>
                  </pic:spPr>
                </pic:pic>
              </a:graphicData>
            </a:graphic>
          </wp:inline>
        </w:drawing>
      </w:r>
    </w:p>
    <w:p w:rsidR="00D56473" w:rsidRPr="008909AC" w:rsidRDefault="00D56473" w:rsidP="00BA2852">
      <w:pPr>
        <w:pStyle w:val="question"/>
      </w:pPr>
      <w:r w:rsidRPr="008909AC">
        <w:t>Q.</w:t>
      </w:r>
      <w:r w:rsidRPr="008909AC">
        <w:tab/>
        <w:t xml:space="preserve">Does </w:t>
      </w:r>
      <w:r w:rsidR="0077523D">
        <w:t>Mr. </w:t>
      </w:r>
      <w:r>
        <w:t xml:space="preserve">Schooley </w:t>
      </w:r>
      <w:r w:rsidRPr="008909AC">
        <w:t xml:space="preserve">propose a new definition </w:t>
      </w:r>
      <w:r>
        <w:t xml:space="preserve">for qualifying events? </w:t>
      </w:r>
    </w:p>
    <w:p w:rsidR="00D56473" w:rsidRDefault="00D56473" w:rsidP="00BA2852">
      <w:pPr>
        <w:pStyle w:val="answer"/>
      </w:pPr>
      <w:r w:rsidRPr="008909AC">
        <w:t>A.</w:t>
      </w:r>
      <w:r w:rsidRPr="008909AC">
        <w:tab/>
        <w:t>No.</w:t>
      </w:r>
      <w:r w:rsidR="00F26B15">
        <w:t xml:space="preserve"> </w:t>
      </w:r>
      <w:r w:rsidR="00777CEF">
        <w:t xml:space="preserve">In </w:t>
      </w:r>
      <w:r w:rsidR="00031551">
        <w:t>Commission Staff’s R</w:t>
      </w:r>
      <w:r w:rsidR="00777CEF">
        <w:t>esponse to PSE Data Request No.</w:t>
      </w:r>
      <w:r w:rsidR="00031551">
        <w:t> </w:t>
      </w:r>
      <w:r w:rsidR="00777CEF">
        <w:t>02</w:t>
      </w:r>
      <w:r w:rsidR="00031551">
        <w:t>,</w:t>
      </w:r>
      <w:r w:rsidR="00777CEF">
        <w:t xml:space="preserve"> which I have included as Exhibit</w:t>
      </w:r>
      <w:r w:rsidR="00031551">
        <w:t> </w:t>
      </w:r>
      <w:r w:rsidR="00777CEF">
        <w:t>KJB-</w:t>
      </w:r>
      <w:r w:rsidR="00031551">
        <w:t>31</w:t>
      </w:r>
      <w:r w:rsidR="00777CEF">
        <w:t xml:space="preserve">, </w:t>
      </w:r>
      <w:r w:rsidR="0077523D">
        <w:t>Mr. </w:t>
      </w:r>
      <w:r w:rsidR="00796F02">
        <w:t xml:space="preserve">Schooley </w:t>
      </w:r>
      <w:r w:rsidR="00796F02" w:rsidRPr="008909AC">
        <w:t xml:space="preserve">recommends </w:t>
      </w:r>
      <w:r w:rsidR="00796F02">
        <w:t xml:space="preserve">the Commission rescind the current mechanism in its entirety and instead proposes that </w:t>
      </w:r>
      <w:r w:rsidR="0077523D">
        <w:t>PSE</w:t>
      </w:r>
      <w:r w:rsidR="00796F02">
        <w:t xml:space="preserve"> file a deferred accounting petition to request deferral should an event reach the magnitude of the 2012 </w:t>
      </w:r>
      <w:proofErr w:type="spellStart"/>
      <w:r w:rsidR="00796F02">
        <w:t>Snowmaged</w:t>
      </w:r>
      <w:r w:rsidR="00B36ED5">
        <w:t>do</w:t>
      </w:r>
      <w:r w:rsidR="00796F02">
        <w:t>n</w:t>
      </w:r>
      <w:proofErr w:type="spellEnd"/>
      <w:r w:rsidR="00796F02">
        <w:t xml:space="preserve"> and </w:t>
      </w:r>
      <w:r w:rsidR="004862E7">
        <w:t xml:space="preserve">2006 </w:t>
      </w:r>
      <w:r w:rsidR="00796F02">
        <w:t>Hanukkah Eve storms.</w:t>
      </w:r>
      <w:r w:rsidR="00F26B15">
        <w:t xml:space="preserve"> </w:t>
      </w:r>
      <w:r>
        <w:t>Additionally, his proposal retroactively applies the rescission</w:t>
      </w:r>
      <w:r w:rsidR="00E72224">
        <w:t xml:space="preserve"> of the deferral mechanism back</w:t>
      </w:r>
      <w:r>
        <w:t xml:space="preserve"> to 2011 by rejecting the amortization of the deferrals associated</w:t>
      </w:r>
      <w:r w:rsidR="00E72224">
        <w:t xml:space="preserve"> </w:t>
      </w:r>
      <w:r w:rsidR="00607643">
        <w:t xml:space="preserve">with </w:t>
      </w:r>
      <w:r w:rsidR="00E72224">
        <w:t>costs for</w:t>
      </w:r>
      <w:r>
        <w:t xml:space="preserve"> qualifying </w:t>
      </w:r>
      <w:r>
        <w:lastRenderedPageBreak/>
        <w:t>events</w:t>
      </w:r>
      <w:r w:rsidR="00E72224">
        <w:t xml:space="preserve"> that have been deferred</w:t>
      </w:r>
      <w:r>
        <w:t xml:space="preserve"> since the last case</w:t>
      </w:r>
      <w:r w:rsidR="00EB7B25">
        <w:t xml:space="preserve"> as well as removing the deferrals from the working capital calculation</w:t>
      </w:r>
      <w:r>
        <w:t>.</w:t>
      </w:r>
      <w:r w:rsidR="00D510C9">
        <w:rPr>
          <w:rStyle w:val="FootnoteReference"/>
        </w:rPr>
        <w:footnoteReference w:id="76"/>
      </w:r>
    </w:p>
    <w:p w:rsidR="00D56473" w:rsidRDefault="000A2CE8" w:rsidP="00647710">
      <w:pPr>
        <w:pStyle w:val="question"/>
      </w:pPr>
      <w:r w:rsidRPr="00342134">
        <w:rPr>
          <w:bCs/>
        </w:rPr>
        <w:t>Q.</w:t>
      </w:r>
      <w:r w:rsidR="00D56473" w:rsidRPr="00EE02E3">
        <w:tab/>
      </w:r>
      <w:r w:rsidR="00D56473">
        <w:t>On</w:t>
      </w:r>
      <w:r w:rsidR="00D56473" w:rsidRPr="00EE02E3">
        <w:t xml:space="preserve"> what basis does </w:t>
      </w:r>
      <w:r w:rsidR="00031551">
        <w:t xml:space="preserve">Commission </w:t>
      </w:r>
      <w:r w:rsidR="00D56473">
        <w:t>Staff</w:t>
      </w:r>
      <w:r w:rsidR="00D56473" w:rsidRPr="00EE02E3">
        <w:t xml:space="preserve"> exclude the amortization of the deferred</w:t>
      </w:r>
      <w:r w:rsidR="00D56473">
        <w:t xml:space="preserve"> storm</w:t>
      </w:r>
      <w:r w:rsidR="00D56473" w:rsidRPr="00EE02E3">
        <w:t xml:space="preserve"> costs?</w:t>
      </w:r>
    </w:p>
    <w:p w:rsidR="00D56473" w:rsidRDefault="00D56473" w:rsidP="00BA2852">
      <w:pPr>
        <w:pStyle w:val="answer"/>
      </w:pPr>
      <w:r>
        <w:rPr>
          <w:rFonts w:eastAsia="SimSun"/>
        </w:rPr>
        <w:t>A.</w:t>
      </w:r>
      <w:r>
        <w:rPr>
          <w:rFonts w:eastAsia="SimSun"/>
        </w:rPr>
        <w:tab/>
      </w:r>
      <w:r w:rsidR="0077523D">
        <w:t>Mr. </w:t>
      </w:r>
      <w:proofErr w:type="spellStart"/>
      <w:r>
        <w:rPr>
          <w:rFonts w:eastAsia="SimSun"/>
        </w:rPr>
        <w:t>Schooley</w:t>
      </w:r>
      <w:r w:rsidR="00E462EF">
        <w:rPr>
          <w:rFonts w:eastAsia="SimSun"/>
        </w:rPr>
        <w:t>’</w:t>
      </w:r>
      <w:r>
        <w:rPr>
          <w:rFonts w:eastAsia="SimSun"/>
        </w:rPr>
        <w:t>s</w:t>
      </w:r>
      <w:proofErr w:type="spellEnd"/>
      <w:r>
        <w:rPr>
          <w:rFonts w:eastAsia="SimSun"/>
        </w:rPr>
        <w:t xml:space="preserve"> entire premise for </w:t>
      </w:r>
      <w:r w:rsidR="00E462EF">
        <w:rPr>
          <w:rFonts w:eastAsia="SimSun"/>
        </w:rPr>
        <w:t>“</w:t>
      </w:r>
      <w:r>
        <w:rPr>
          <w:rFonts w:eastAsia="SimSun"/>
        </w:rPr>
        <w:t>un-deferring</w:t>
      </w:r>
      <w:r w:rsidR="00E462EF">
        <w:rPr>
          <w:rFonts w:eastAsia="SimSun"/>
        </w:rPr>
        <w:t>”</w:t>
      </w:r>
      <w:r>
        <w:rPr>
          <w:rFonts w:eastAsia="SimSun"/>
        </w:rPr>
        <w:t xml:space="preserve"> the 2012 through 2017</w:t>
      </w:r>
      <w:r>
        <w:rPr>
          <w:rStyle w:val="FootnoteReference"/>
          <w:rFonts w:eastAsia="SimSun"/>
        </w:rPr>
        <w:footnoteReference w:id="77"/>
      </w:r>
      <w:r>
        <w:rPr>
          <w:rFonts w:eastAsia="SimSun"/>
        </w:rPr>
        <w:t xml:space="preserve"> events, except for the </w:t>
      </w:r>
      <w:proofErr w:type="spellStart"/>
      <w:r>
        <w:rPr>
          <w:rFonts w:eastAsia="SimSun"/>
        </w:rPr>
        <w:t>Snowmag</w:t>
      </w:r>
      <w:r w:rsidR="00796F02">
        <w:rPr>
          <w:rFonts w:eastAsia="SimSun"/>
        </w:rPr>
        <w:t>e</w:t>
      </w:r>
      <w:r>
        <w:rPr>
          <w:rFonts w:eastAsia="SimSun"/>
        </w:rPr>
        <w:t>d</w:t>
      </w:r>
      <w:r w:rsidR="001F4654">
        <w:rPr>
          <w:rFonts w:eastAsia="SimSun"/>
        </w:rPr>
        <w:t>do</w:t>
      </w:r>
      <w:r>
        <w:rPr>
          <w:rFonts w:eastAsia="SimSun"/>
        </w:rPr>
        <w:t>n</w:t>
      </w:r>
      <w:proofErr w:type="spellEnd"/>
      <w:r>
        <w:rPr>
          <w:rFonts w:eastAsia="SimSun"/>
        </w:rPr>
        <w:t xml:space="preserve"> storm, is that</w:t>
      </w:r>
      <w:r w:rsidR="00CD56C6">
        <w:rPr>
          <w:rFonts w:eastAsia="SimSun"/>
        </w:rPr>
        <w:t>,</w:t>
      </w:r>
      <w:r>
        <w:rPr>
          <w:rFonts w:eastAsia="SimSun"/>
        </w:rPr>
        <w:t xml:space="preserve"> in his view</w:t>
      </w:r>
      <w:r w:rsidR="00CD56C6">
        <w:rPr>
          <w:rFonts w:eastAsia="SimSun"/>
        </w:rPr>
        <w:t>,</w:t>
      </w:r>
      <w:r>
        <w:rPr>
          <w:rFonts w:eastAsia="SimSun"/>
        </w:rPr>
        <w:t xml:space="preserve"> these events were not truly </w:t>
      </w:r>
      <w:r w:rsidR="00E462EF">
        <w:rPr>
          <w:rFonts w:eastAsia="SimSun"/>
        </w:rPr>
        <w:t>“</w:t>
      </w:r>
      <w:r>
        <w:rPr>
          <w:rFonts w:eastAsia="SimSun"/>
        </w:rPr>
        <w:t>catastrophic</w:t>
      </w:r>
      <w:r w:rsidR="00E462EF">
        <w:rPr>
          <w:rFonts w:eastAsia="SimSun"/>
        </w:rPr>
        <w:t>”</w:t>
      </w:r>
      <w:r>
        <w:rPr>
          <w:rFonts w:eastAsia="SimSun"/>
        </w:rPr>
        <w:t xml:space="preserve"> events.</w:t>
      </w:r>
      <w:r w:rsidR="006450C5">
        <w:rPr>
          <w:rStyle w:val="FootnoteReference"/>
          <w:rFonts w:eastAsia="SimSun"/>
        </w:rPr>
        <w:footnoteReference w:id="78"/>
      </w:r>
      <w:r w:rsidR="00F26B15">
        <w:rPr>
          <w:rFonts w:eastAsia="SimSun"/>
        </w:rPr>
        <w:t xml:space="preserve"> </w:t>
      </w:r>
      <w:r>
        <w:rPr>
          <w:rFonts w:eastAsia="SimSun"/>
        </w:rPr>
        <w:t xml:space="preserve">He believes </w:t>
      </w:r>
      <w:r w:rsidR="00031551">
        <w:rPr>
          <w:rFonts w:eastAsia="SimSun"/>
        </w:rPr>
        <w:t xml:space="preserve">that </w:t>
      </w:r>
      <w:r>
        <w:rPr>
          <w:rFonts w:eastAsia="SimSun"/>
        </w:rPr>
        <w:t xml:space="preserve">the IEEE threshold </w:t>
      </w:r>
      <w:r w:rsidR="00010154">
        <w:rPr>
          <w:rFonts w:eastAsia="SimSun"/>
        </w:rPr>
        <w:t xml:space="preserve">that the Commission authorized was </w:t>
      </w:r>
      <w:r>
        <w:rPr>
          <w:rFonts w:eastAsia="SimSun"/>
        </w:rPr>
        <w:t xml:space="preserve">too easily met and </w:t>
      </w:r>
      <w:r w:rsidR="00031551">
        <w:rPr>
          <w:rFonts w:eastAsia="SimSun"/>
        </w:rPr>
        <w:t xml:space="preserve">that </w:t>
      </w:r>
      <w:r>
        <w:rPr>
          <w:rFonts w:eastAsia="SimSun"/>
        </w:rPr>
        <w:t>the $8</w:t>
      </w:r>
      <w:r w:rsidR="00031551">
        <w:rPr>
          <w:rFonts w:eastAsia="SimSun"/>
        </w:rPr>
        <w:t> </w:t>
      </w:r>
      <w:r>
        <w:rPr>
          <w:rFonts w:eastAsia="SimSun"/>
        </w:rPr>
        <w:t xml:space="preserve">million threshold before deferrals </w:t>
      </w:r>
      <w:r w:rsidR="00010154">
        <w:rPr>
          <w:rFonts w:eastAsia="SimSun"/>
        </w:rPr>
        <w:t xml:space="preserve">could </w:t>
      </w:r>
      <w:r>
        <w:rPr>
          <w:rFonts w:eastAsia="SimSun"/>
        </w:rPr>
        <w:t xml:space="preserve">begin </w:t>
      </w:r>
      <w:r w:rsidR="00010154">
        <w:rPr>
          <w:rFonts w:eastAsia="SimSun"/>
        </w:rPr>
        <w:t xml:space="preserve">was too low of </w:t>
      </w:r>
      <w:r>
        <w:rPr>
          <w:rFonts w:eastAsia="SimSun"/>
        </w:rPr>
        <w:t>a hurdle</w:t>
      </w:r>
      <w:r w:rsidR="00031551">
        <w:rPr>
          <w:rFonts w:eastAsia="SimSun"/>
        </w:rPr>
        <w:t>.</w:t>
      </w:r>
      <w:r>
        <w:rPr>
          <w:rStyle w:val="FootnoteReference"/>
          <w:rFonts w:eastAsia="SimSun"/>
        </w:rPr>
        <w:footnoteReference w:id="79"/>
      </w:r>
      <w:r w:rsidR="00F26B15">
        <w:rPr>
          <w:rFonts w:eastAsia="SimSun"/>
        </w:rPr>
        <w:t xml:space="preserve"> </w:t>
      </w:r>
      <w:r>
        <w:rPr>
          <w:rFonts w:eastAsia="SimSun"/>
        </w:rPr>
        <w:t>In essence</w:t>
      </w:r>
      <w:r w:rsidR="00031551">
        <w:rPr>
          <w:rFonts w:eastAsia="SimSun"/>
        </w:rPr>
        <w:t>,</w:t>
      </w:r>
      <w:r>
        <w:rPr>
          <w:rFonts w:eastAsia="SimSun"/>
        </w:rPr>
        <w:t xml:space="preserve"> he is asking the Commission to pretend </w:t>
      </w:r>
      <w:r w:rsidR="00031551">
        <w:rPr>
          <w:rFonts w:eastAsia="SimSun"/>
        </w:rPr>
        <w:t xml:space="preserve">that it </w:t>
      </w:r>
      <w:r>
        <w:rPr>
          <w:rFonts w:eastAsia="SimSun"/>
        </w:rPr>
        <w:t xml:space="preserve">accepted </w:t>
      </w:r>
      <w:r w:rsidR="00031551">
        <w:rPr>
          <w:rFonts w:eastAsia="SimSun"/>
        </w:rPr>
        <w:t xml:space="preserve">Commission </w:t>
      </w:r>
      <w:r>
        <w:rPr>
          <w:rFonts w:eastAsia="SimSun"/>
        </w:rPr>
        <w:t>Staff</w:t>
      </w:r>
      <w:r w:rsidR="00E462EF">
        <w:rPr>
          <w:rFonts w:eastAsia="SimSun"/>
        </w:rPr>
        <w:t>’</w:t>
      </w:r>
      <w:r>
        <w:rPr>
          <w:rFonts w:eastAsia="SimSun"/>
        </w:rPr>
        <w:t xml:space="preserve">s proposal in the 2011 </w:t>
      </w:r>
      <w:r w:rsidR="00BA2852">
        <w:rPr>
          <w:rFonts w:eastAsia="SimSun"/>
        </w:rPr>
        <w:t xml:space="preserve">general rate case </w:t>
      </w:r>
      <w:r>
        <w:rPr>
          <w:rFonts w:eastAsia="SimSun"/>
        </w:rPr>
        <w:t>by rejecting the amortization of the deferred storm costs reflected on lines</w:t>
      </w:r>
      <w:r w:rsidR="00031551">
        <w:rPr>
          <w:rFonts w:eastAsia="SimSun"/>
        </w:rPr>
        <w:t> </w:t>
      </w:r>
      <w:r>
        <w:rPr>
          <w:rFonts w:eastAsia="SimSun"/>
        </w:rPr>
        <w:t>24 through</w:t>
      </w:r>
      <w:r w:rsidR="00031551">
        <w:rPr>
          <w:rFonts w:eastAsia="SimSun"/>
        </w:rPr>
        <w:t> </w:t>
      </w:r>
      <w:r>
        <w:rPr>
          <w:rFonts w:eastAsia="SimSun"/>
        </w:rPr>
        <w:t>26b of Exhibit KJB-</w:t>
      </w:r>
      <w:r w:rsidR="00031551">
        <w:rPr>
          <w:rFonts w:eastAsia="SimSun"/>
        </w:rPr>
        <w:t>21</w:t>
      </w:r>
      <w:r>
        <w:rPr>
          <w:rFonts w:eastAsia="SimSun"/>
        </w:rPr>
        <w:t>.05</w:t>
      </w:r>
      <w:r>
        <w:t>.</w:t>
      </w:r>
      <w:r w:rsidR="00F26B15">
        <w:t xml:space="preserve"> </w:t>
      </w:r>
    </w:p>
    <w:p w:rsidR="00D56473" w:rsidRPr="0003546B" w:rsidRDefault="00D56473" w:rsidP="00BA2852">
      <w:pPr>
        <w:pStyle w:val="question"/>
      </w:pPr>
      <w:r w:rsidRPr="0003546B">
        <w:t>Q.</w:t>
      </w:r>
      <w:r w:rsidRPr="0003546B">
        <w:tab/>
      </w:r>
      <w:r w:rsidR="0077523D">
        <w:t>Mr. </w:t>
      </w:r>
      <w:r w:rsidR="00BA2852">
        <w:t>Schooley</w:t>
      </w:r>
      <w:r w:rsidR="00BA2852" w:rsidRPr="0003546B">
        <w:t xml:space="preserve"> </w:t>
      </w:r>
      <w:r w:rsidRPr="0003546B">
        <w:t xml:space="preserve">claims that </w:t>
      </w:r>
      <w:r w:rsidR="00BA2852">
        <w:t>he has</w:t>
      </w:r>
      <w:r w:rsidRPr="0003546B">
        <w:t xml:space="preserve"> </w:t>
      </w:r>
      <w:r w:rsidR="00CF4153">
        <w:t xml:space="preserve">properly accommodated </w:t>
      </w:r>
      <w:r>
        <w:t xml:space="preserve">the costs </w:t>
      </w:r>
      <w:r w:rsidR="00CF4153">
        <w:t xml:space="preserve">he is </w:t>
      </w:r>
      <w:r w:rsidR="00E462EF">
        <w:t>“</w:t>
      </w:r>
      <w:r w:rsidR="00CF4153">
        <w:t>un-deferring</w:t>
      </w:r>
      <w:r w:rsidR="00E462EF">
        <w:t>”</w:t>
      </w:r>
      <w:r w:rsidR="00CF4153">
        <w:t xml:space="preserve"> </w:t>
      </w:r>
      <w:r w:rsidRPr="0003546B">
        <w:t xml:space="preserve">by including them in the </w:t>
      </w:r>
      <w:r w:rsidR="00A25C65">
        <w:t>six-</w:t>
      </w:r>
      <w:r w:rsidRPr="0003546B">
        <w:t>year average</w:t>
      </w:r>
      <w:r>
        <w:t>.</w:t>
      </w:r>
      <w:r w:rsidR="00F26B15">
        <w:t xml:space="preserve"> </w:t>
      </w:r>
      <w:r>
        <w:t>Do</w:t>
      </w:r>
      <w:r w:rsidR="00031551">
        <w:t>es</w:t>
      </w:r>
      <w:r>
        <w:t xml:space="preserve"> </w:t>
      </w:r>
      <w:r w:rsidR="00031551">
        <w:t xml:space="preserve">PSE </w:t>
      </w:r>
      <w:r>
        <w:t>agree</w:t>
      </w:r>
      <w:r w:rsidRPr="0003546B">
        <w:t>?</w:t>
      </w:r>
    </w:p>
    <w:p w:rsidR="00D56473" w:rsidRDefault="00D56473" w:rsidP="00D56473">
      <w:pPr>
        <w:pStyle w:val="answer"/>
        <w:rPr>
          <w:rFonts w:eastAsia="SimSun"/>
        </w:rPr>
      </w:pPr>
      <w:r>
        <w:rPr>
          <w:rFonts w:eastAsia="SimSun"/>
        </w:rPr>
        <w:t>A.</w:t>
      </w:r>
      <w:r>
        <w:rPr>
          <w:rFonts w:eastAsia="SimSun"/>
        </w:rPr>
        <w:tab/>
      </w:r>
      <w:r w:rsidR="00031551">
        <w:rPr>
          <w:rFonts w:eastAsia="SimSun"/>
        </w:rPr>
        <w:t>N</w:t>
      </w:r>
      <w:r>
        <w:rPr>
          <w:rFonts w:eastAsia="SimSun"/>
        </w:rPr>
        <w:t>o</w:t>
      </w:r>
      <w:r w:rsidR="00E72224">
        <w:rPr>
          <w:rFonts w:eastAsia="SimSun"/>
        </w:rPr>
        <w:t>.</w:t>
      </w:r>
      <w:r w:rsidR="00F26B15">
        <w:rPr>
          <w:rFonts w:eastAsia="SimSun"/>
        </w:rPr>
        <w:t xml:space="preserve"> </w:t>
      </w:r>
      <w:r w:rsidR="00031551">
        <w:rPr>
          <w:rFonts w:eastAsia="SimSun"/>
        </w:rPr>
        <w:t xml:space="preserve">Commission </w:t>
      </w:r>
      <w:r>
        <w:rPr>
          <w:rFonts w:eastAsia="SimSun"/>
        </w:rPr>
        <w:t xml:space="preserve">Staff implies that the deferred costs do not need to be recovered because they are included in the calculation of the </w:t>
      </w:r>
      <w:r w:rsidR="00A25C65">
        <w:rPr>
          <w:rFonts w:eastAsia="SimSun"/>
        </w:rPr>
        <w:t>six-</w:t>
      </w:r>
      <w:r>
        <w:rPr>
          <w:rFonts w:eastAsia="SimSun"/>
        </w:rPr>
        <w:t xml:space="preserve">year average that would be used to </w:t>
      </w:r>
      <w:r w:rsidR="00E462EF">
        <w:rPr>
          <w:rFonts w:eastAsia="SimSun"/>
        </w:rPr>
        <w:t>“</w:t>
      </w:r>
      <w:r>
        <w:rPr>
          <w:rFonts w:eastAsia="SimSun"/>
        </w:rPr>
        <w:t xml:space="preserve">set a reasonable level of </w:t>
      </w:r>
      <w:r w:rsidRPr="0066301F">
        <w:rPr>
          <w:rFonts w:eastAsia="SimSun"/>
          <w:u w:val="single"/>
        </w:rPr>
        <w:t>ongoing</w:t>
      </w:r>
      <w:r>
        <w:rPr>
          <w:rFonts w:eastAsia="SimSun"/>
        </w:rPr>
        <w:t xml:space="preserve"> cost recovery</w:t>
      </w:r>
      <w:r w:rsidR="00010154">
        <w:rPr>
          <w:rFonts w:eastAsia="SimSun"/>
        </w:rPr>
        <w:t>.</w:t>
      </w:r>
      <w:r w:rsidR="00E462EF">
        <w:rPr>
          <w:rFonts w:eastAsia="SimSun"/>
        </w:rPr>
        <w:t>”</w:t>
      </w:r>
      <w:r>
        <w:rPr>
          <w:rStyle w:val="FootnoteReference"/>
          <w:rFonts w:eastAsia="SimSun"/>
        </w:rPr>
        <w:footnoteReference w:id="80"/>
      </w:r>
      <w:r w:rsidR="00F26B15">
        <w:rPr>
          <w:rFonts w:eastAsia="SimSun"/>
        </w:rPr>
        <w:t xml:space="preserve"> </w:t>
      </w:r>
      <w:r>
        <w:rPr>
          <w:rFonts w:eastAsia="SimSun"/>
        </w:rPr>
        <w:t xml:space="preserve">However </w:t>
      </w:r>
      <w:r w:rsidR="0077523D">
        <w:lastRenderedPageBreak/>
        <w:t>Mr. </w:t>
      </w:r>
      <w:proofErr w:type="spellStart"/>
      <w:r>
        <w:rPr>
          <w:rFonts w:eastAsia="SimSun"/>
        </w:rPr>
        <w:t>Schooley</w:t>
      </w:r>
      <w:r w:rsidR="00E462EF">
        <w:rPr>
          <w:rFonts w:eastAsia="SimSun"/>
        </w:rPr>
        <w:t>’</w:t>
      </w:r>
      <w:r>
        <w:rPr>
          <w:rFonts w:eastAsia="SimSun"/>
        </w:rPr>
        <w:t>s</w:t>
      </w:r>
      <w:proofErr w:type="spellEnd"/>
      <w:r>
        <w:rPr>
          <w:rFonts w:eastAsia="SimSun"/>
        </w:rPr>
        <w:t xml:space="preserve"> adjustment to the </w:t>
      </w:r>
      <w:r w:rsidR="00A25C65">
        <w:rPr>
          <w:rFonts w:eastAsia="SimSun"/>
        </w:rPr>
        <w:t>six-</w:t>
      </w:r>
      <w:r>
        <w:rPr>
          <w:rFonts w:eastAsia="SimSun"/>
        </w:rPr>
        <w:t>year average merely addresses the average level of storm costs to be included in the rate year for inclusion in base rates, which would be necessary if the current storm deferral mechanism was to be eliminated on a going</w:t>
      </w:r>
      <w:r w:rsidR="00031551">
        <w:rPr>
          <w:rFonts w:eastAsia="SimSun"/>
        </w:rPr>
        <w:t>-</w:t>
      </w:r>
      <w:r>
        <w:rPr>
          <w:rFonts w:eastAsia="SimSun"/>
        </w:rPr>
        <w:t>forward basis.</w:t>
      </w:r>
      <w:r w:rsidR="00F26B15">
        <w:rPr>
          <w:rFonts w:eastAsia="SimSun"/>
        </w:rPr>
        <w:t xml:space="preserve"> </w:t>
      </w:r>
      <w:r>
        <w:rPr>
          <w:rFonts w:eastAsia="SimSun"/>
        </w:rPr>
        <w:t>His adjustment has done nothing to address the costs that were deferred over the past six years consistent with PSE</w:t>
      </w:r>
      <w:r w:rsidR="00E462EF">
        <w:rPr>
          <w:rFonts w:eastAsia="SimSun"/>
        </w:rPr>
        <w:t>’</w:t>
      </w:r>
      <w:r>
        <w:rPr>
          <w:rFonts w:eastAsia="SimSun"/>
        </w:rPr>
        <w:t>s approved storm defe</w:t>
      </w:r>
      <w:r w:rsidR="00D969C7">
        <w:rPr>
          <w:rFonts w:eastAsia="SimSun"/>
        </w:rPr>
        <w:t>rral mechanism—</w:t>
      </w:r>
      <w:r>
        <w:rPr>
          <w:rFonts w:eastAsia="SimSun"/>
        </w:rPr>
        <w:t>the mechanism that the Commission considered and approved continuation of in PSE</w:t>
      </w:r>
      <w:r w:rsidR="00E462EF">
        <w:rPr>
          <w:rFonts w:eastAsia="SimSun"/>
        </w:rPr>
        <w:t>’</w:t>
      </w:r>
      <w:r>
        <w:rPr>
          <w:rFonts w:eastAsia="SimSun"/>
        </w:rPr>
        <w:t>s last general rate case.</w:t>
      </w:r>
      <w:r w:rsidR="00F26B15">
        <w:rPr>
          <w:rFonts w:eastAsia="SimSun"/>
        </w:rPr>
        <w:t xml:space="preserve"> </w:t>
      </w:r>
      <w:r w:rsidR="00D969C7">
        <w:rPr>
          <w:rFonts w:eastAsia="SimSun"/>
        </w:rPr>
        <w:t xml:space="preserve">Commission </w:t>
      </w:r>
      <w:r>
        <w:rPr>
          <w:rFonts w:eastAsia="SimSun"/>
        </w:rPr>
        <w:t xml:space="preserve">Staff is requesting that the Commission retroactively rescind its decision from the 2011 case by requiring PSE to </w:t>
      </w:r>
      <w:r w:rsidR="00E462EF">
        <w:rPr>
          <w:rFonts w:eastAsia="SimSun"/>
        </w:rPr>
        <w:t>“</w:t>
      </w:r>
      <w:r>
        <w:rPr>
          <w:rFonts w:eastAsia="SimSun"/>
        </w:rPr>
        <w:t>un-defer</w:t>
      </w:r>
      <w:r w:rsidR="00E462EF">
        <w:rPr>
          <w:rFonts w:eastAsia="SimSun"/>
        </w:rPr>
        <w:t>”‘</w:t>
      </w:r>
      <w:r>
        <w:rPr>
          <w:rFonts w:eastAsia="SimSun"/>
        </w:rPr>
        <w:t xml:space="preserve"> those expenses, which would result in a write-off of more than $</w:t>
      </w:r>
      <w:r w:rsidR="00A25C65">
        <w:rPr>
          <w:rFonts w:eastAsia="SimSun"/>
        </w:rPr>
        <w:t>60</w:t>
      </w:r>
      <w:r w:rsidR="00D969C7">
        <w:rPr>
          <w:rFonts w:eastAsia="SimSun"/>
        </w:rPr>
        <w:t> </w:t>
      </w:r>
      <w:r w:rsidR="00A25C65">
        <w:rPr>
          <w:rFonts w:eastAsia="SimSun"/>
        </w:rPr>
        <w:t xml:space="preserve">million </w:t>
      </w:r>
      <w:r>
        <w:rPr>
          <w:rFonts w:eastAsia="SimSun"/>
        </w:rPr>
        <w:t xml:space="preserve">of prudently </w:t>
      </w:r>
      <w:r w:rsidR="00E72224">
        <w:rPr>
          <w:rFonts w:eastAsia="SimSun"/>
        </w:rPr>
        <w:t xml:space="preserve">deferred </w:t>
      </w:r>
      <w:r>
        <w:rPr>
          <w:rFonts w:eastAsia="SimSun"/>
        </w:rPr>
        <w:t>qualifying event costs.</w:t>
      </w:r>
      <w:r w:rsidR="00F26B15">
        <w:rPr>
          <w:rFonts w:eastAsia="SimSun"/>
        </w:rPr>
        <w:t xml:space="preserve"> </w:t>
      </w:r>
    </w:p>
    <w:p w:rsidR="00D56473" w:rsidRPr="002461F8" w:rsidRDefault="00D56473" w:rsidP="00777E1F">
      <w:pPr>
        <w:pStyle w:val="question"/>
      </w:pPr>
      <w:r w:rsidRPr="002461F8">
        <w:t>Q.</w:t>
      </w:r>
      <w:r w:rsidRPr="002461F8">
        <w:tab/>
      </w:r>
      <w:r>
        <w:t>D</w:t>
      </w:r>
      <w:r w:rsidR="00D969C7">
        <w:t xml:space="preserve">oes PSE </w:t>
      </w:r>
      <w:r w:rsidRPr="002461F8">
        <w:t xml:space="preserve">believe </w:t>
      </w:r>
      <w:r w:rsidR="00D969C7">
        <w:t>adoption of Commission</w:t>
      </w:r>
      <w:r>
        <w:t xml:space="preserve"> Staff</w:t>
      </w:r>
      <w:r w:rsidR="00E462EF">
        <w:t>’</w:t>
      </w:r>
      <w:r>
        <w:t xml:space="preserve">s adjustment </w:t>
      </w:r>
      <w:r w:rsidR="00D969C7">
        <w:t xml:space="preserve">would be </w:t>
      </w:r>
      <w:r>
        <w:t xml:space="preserve">equivalent to </w:t>
      </w:r>
      <w:r w:rsidRPr="002461F8">
        <w:t>retroactive ratemaking?</w:t>
      </w:r>
    </w:p>
    <w:p w:rsidR="00D56473" w:rsidRDefault="00D56473" w:rsidP="00D56473">
      <w:pPr>
        <w:pStyle w:val="answer"/>
      </w:pPr>
      <w:r>
        <w:rPr>
          <w:rFonts w:eastAsia="SimSun"/>
        </w:rPr>
        <w:t>A.</w:t>
      </w:r>
      <w:r>
        <w:rPr>
          <w:rFonts w:eastAsia="SimSun"/>
        </w:rPr>
        <w:tab/>
      </w:r>
      <w:r w:rsidR="00D969C7">
        <w:rPr>
          <w:rFonts w:eastAsia="SimSun"/>
        </w:rPr>
        <w:t>Yes</w:t>
      </w:r>
      <w:r>
        <w:rPr>
          <w:rFonts w:eastAsia="SimSun"/>
        </w:rPr>
        <w:t>.</w:t>
      </w:r>
      <w:r w:rsidR="00F26B15">
        <w:rPr>
          <w:rFonts w:eastAsia="SimSun"/>
        </w:rPr>
        <w:t xml:space="preserve"> </w:t>
      </w:r>
      <w:r>
        <w:rPr>
          <w:rFonts w:eastAsia="SimSun"/>
        </w:rPr>
        <w:t xml:space="preserve">As mentioned earlier, </w:t>
      </w:r>
      <w:r w:rsidR="00D969C7">
        <w:rPr>
          <w:rFonts w:eastAsia="SimSun"/>
        </w:rPr>
        <w:t xml:space="preserve">Commission </w:t>
      </w:r>
      <w:r>
        <w:rPr>
          <w:rFonts w:eastAsia="SimSun"/>
        </w:rPr>
        <w:t>Staff proposed a similar elimination of the storm deferral mechanism in PSE</w:t>
      </w:r>
      <w:r w:rsidR="00E462EF">
        <w:rPr>
          <w:rFonts w:eastAsia="SimSun"/>
        </w:rPr>
        <w:t>’</w:t>
      </w:r>
      <w:r>
        <w:rPr>
          <w:rFonts w:eastAsia="SimSun"/>
        </w:rPr>
        <w:t>s last general rate</w:t>
      </w:r>
      <w:r w:rsidR="00A25C65">
        <w:rPr>
          <w:rFonts w:eastAsia="SimSun"/>
        </w:rPr>
        <w:t xml:space="preserve"> </w:t>
      </w:r>
      <w:r>
        <w:rPr>
          <w:rFonts w:eastAsia="SimSun"/>
        </w:rPr>
        <w:t>case, which the Commission rejected</w:t>
      </w:r>
      <w:r w:rsidR="00D969C7">
        <w:rPr>
          <w:rFonts w:eastAsia="SimSun"/>
        </w:rPr>
        <w:t xml:space="preserve">. In rejecting Commission Staff’s proposal, the Commission </w:t>
      </w:r>
      <w:r>
        <w:rPr>
          <w:rFonts w:eastAsia="SimSun"/>
        </w:rPr>
        <w:t xml:space="preserve">authorized </w:t>
      </w:r>
      <w:r w:rsidR="0077523D">
        <w:t>PSE</w:t>
      </w:r>
      <w:r>
        <w:rPr>
          <w:rFonts w:eastAsia="SimSun"/>
        </w:rPr>
        <w:t xml:space="preserve"> to</w:t>
      </w:r>
      <w:r w:rsidR="008507D1">
        <w:rPr>
          <w:rFonts w:eastAsia="SimSun"/>
        </w:rPr>
        <w:t xml:space="preserve"> </w:t>
      </w:r>
      <w:r w:rsidR="00E462EF">
        <w:rPr>
          <w:rFonts w:eastAsia="SimSun"/>
        </w:rPr>
        <w:t>“</w:t>
      </w:r>
      <w:r w:rsidR="008507D1">
        <w:rPr>
          <w:rFonts w:eastAsia="SimSun"/>
        </w:rPr>
        <w:t>retain the current Commission-</w:t>
      </w:r>
      <w:r>
        <w:rPr>
          <w:rFonts w:eastAsia="SimSun"/>
        </w:rPr>
        <w:t>approved mechanism for storm damage recovery</w:t>
      </w:r>
      <w:r w:rsidR="00BA2852">
        <w:rPr>
          <w:rFonts w:eastAsia="SimSun"/>
        </w:rPr>
        <w:t>.</w:t>
      </w:r>
      <w:r w:rsidR="00E462EF">
        <w:rPr>
          <w:rFonts w:eastAsia="SimSun"/>
        </w:rPr>
        <w:t>”</w:t>
      </w:r>
      <w:r w:rsidRPr="00157AFF">
        <w:rPr>
          <w:rStyle w:val="FootnoteReference"/>
          <w:rFonts w:eastAsia="SimSun"/>
        </w:rPr>
        <w:t xml:space="preserve"> </w:t>
      </w:r>
      <w:r>
        <w:rPr>
          <w:rStyle w:val="FootnoteReference"/>
          <w:rFonts w:eastAsia="SimSun"/>
        </w:rPr>
        <w:footnoteReference w:id="81"/>
      </w:r>
      <w:r w:rsidR="00F26B15">
        <w:rPr>
          <w:rFonts w:eastAsia="SimSun"/>
        </w:rPr>
        <w:t xml:space="preserve"> </w:t>
      </w:r>
      <w:r>
        <w:rPr>
          <w:rFonts w:eastAsia="SimSun"/>
        </w:rPr>
        <w:t xml:space="preserve">However, </w:t>
      </w:r>
      <w:r w:rsidR="0077523D">
        <w:t>Mr. </w:t>
      </w:r>
      <w:proofErr w:type="spellStart"/>
      <w:r>
        <w:rPr>
          <w:rFonts w:eastAsia="SimSun"/>
        </w:rPr>
        <w:t>Schooley</w:t>
      </w:r>
      <w:r w:rsidR="00E462EF">
        <w:rPr>
          <w:rFonts w:eastAsia="SimSun"/>
        </w:rPr>
        <w:t>’</w:t>
      </w:r>
      <w:r>
        <w:rPr>
          <w:rFonts w:eastAsia="SimSun"/>
        </w:rPr>
        <w:t>s</w:t>
      </w:r>
      <w:proofErr w:type="spellEnd"/>
      <w:r>
        <w:rPr>
          <w:rFonts w:eastAsia="SimSun"/>
        </w:rPr>
        <w:t xml:space="preserve"> testimony refer</w:t>
      </w:r>
      <w:r w:rsidR="00D969C7">
        <w:rPr>
          <w:rFonts w:eastAsia="SimSun"/>
        </w:rPr>
        <w:t>s to</w:t>
      </w:r>
      <w:r>
        <w:rPr>
          <w:rFonts w:eastAsia="SimSun"/>
        </w:rPr>
        <w:t xml:space="preserve"> </w:t>
      </w:r>
      <w:r w:rsidR="00E462EF">
        <w:rPr>
          <w:rFonts w:eastAsia="SimSun"/>
        </w:rPr>
        <w:t>“</w:t>
      </w:r>
      <w:r>
        <w:rPr>
          <w:rFonts w:eastAsia="SimSun"/>
        </w:rPr>
        <w:t>un-deferring</w:t>
      </w:r>
      <w:r w:rsidR="00E462EF">
        <w:rPr>
          <w:rFonts w:eastAsia="SimSun"/>
        </w:rPr>
        <w:t>”</w:t>
      </w:r>
      <w:r>
        <w:rPr>
          <w:rFonts w:eastAsia="SimSun"/>
        </w:rPr>
        <w:t xml:space="preserve"> the costs associated with qualifying storm costs that occurred since </w:t>
      </w:r>
      <w:r w:rsidR="00F00D55">
        <w:rPr>
          <w:rFonts w:eastAsia="SimSun"/>
        </w:rPr>
        <w:t>PSE</w:t>
      </w:r>
      <w:r w:rsidR="00E462EF">
        <w:rPr>
          <w:rFonts w:eastAsia="SimSun"/>
        </w:rPr>
        <w:t>’</w:t>
      </w:r>
      <w:r w:rsidR="00F00D55">
        <w:rPr>
          <w:rFonts w:eastAsia="SimSun"/>
        </w:rPr>
        <w:t>s</w:t>
      </w:r>
      <w:r>
        <w:rPr>
          <w:rFonts w:eastAsia="SimSun"/>
        </w:rPr>
        <w:t xml:space="preserve"> last general rate</w:t>
      </w:r>
      <w:r w:rsidR="00A25C65">
        <w:rPr>
          <w:rFonts w:eastAsia="SimSun"/>
        </w:rPr>
        <w:t xml:space="preserve"> </w:t>
      </w:r>
      <w:r>
        <w:rPr>
          <w:rFonts w:eastAsia="SimSun"/>
        </w:rPr>
        <w:t>case.</w:t>
      </w:r>
      <w:r w:rsidR="00F26B15">
        <w:rPr>
          <w:rFonts w:eastAsia="SimSun"/>
        </w:rPr>
        <w:t xml:space="preserve"> </w:t>
      </w:r>
      <w:r>
        <w:rPr>
          <w:rFonts w:eastAsia="SimSun"/>
        </w:rPr>
        <w:t xml:space="preserve">The only reason </w:t>
      </w:r>
      <w:r w:rsidR="00D969C7">
        <w:rPr>
          <w:rFonts w:eastAsia="SimSun"/>
        </w:rPr>
        <w:t xml:space="preserve">for </w:t>
      </w:r>
      <w:r w:rsidR="00E462EF">
        <w:rPr>
          <w:rFonts w:eastAsia="SimSun"/>
        </w:rPr>
        <w:t>“</w:t>
      </w:r>
      <w:r>
        <w:rPr>
          <w:rFonts w:eastAsia="SimSun"/>
        </w:rPr>
        <w:t>un-deferr</w:t>
      </w:r>
      <w:r w:rsidR="00D969C7">
        <w:rPr>
          <w:rFonts w:eastAsia="SimSun"/>
        </w:rPr>
        <w:t>ing</w:t>
      </w:r>
      <w:r w:rsidR="00E462EF">
        <w:rPr>
          <w:rFonts w:eastAsia="SimSun"/>
        </w:rPr>
        <w:t>”</w:t>
      </w:r>
      <w:r>
        <w:rPr>
          <w:rFonts w:eastAsia="SimSun"/>
        </w:rPr>
        <w:t xml:space="preserve"> </w:t>
      </w:r>
      <w:r w:rsidR="00D969C7">
        <w:rPr>
          <w:rFonts w:eastAsia="SimSun"/>
        </w:rPr>
        <w:t xml:space="preserve">these costs </w:t>
      </w:r>
      <w:r>
        <w:rPr>
          <w:rFonts w:eastAsia="SimSun"/>
        </w:rPr>
        <w:t xml:space="preserve">would be if they were found imprudent or if </w:t>
      </w:r>
      <w:r w:rsidR="00F00D55">
        <w:rPr>
          <w:rFonts w:eastAsia="SimSun"/>
        </w:rPr>
        <w:t>PSE</w:t>
      </w:r>
      <w:r>
        <w:rPr>
          <w:rFonts w:eastAsia="SimSun"/>
        </w:rPr>
        <w:t xml:space="preserve"> had inappropriately deferred them.</w:t>
      </w:r>
      <w:r w:rsidR="00F26B15">
        <w:rPr>
          <w:rFonts w:eastAsia="SimSun"/>
        </w:rPr>
        <w:t xml:space="preserve"> </w:t>
      </w:r>
      <w:r>
        <w:rPr>
          <w:rFonts w:eastAsia="SimSun"/>
        </w:rPr>
        <w:t xml:space="preserve">That is clearly </w:t>
      </w:r>
      <w:r>
        <w:rPr>
          <w:rFonts w:eastAsia="SimSun"/>
        </w:rPr>
        <w:lastRenderedPageBreak/>
        <w:t>not the case</w:t>
      </w:r>
      <w:r w:rsidR="00D969C7">
        <w:rPr>
          <w:rFonts w:eastAsia="SimSun"/>
        </w:rPr>
        <w:t xml:space="preserve">. Commission Staff’s Response to </w:t>
      </w:r>
      <w:r>
        <w:rPr>
          <w:rFonts w:eastAsia="SimSun"/>
        </w:rPr>
        <w:t xml:space="preserve">PSE Data Request No. </w:t>
      </w:r>
      <w:r w:rsidR="00857BD0">
        <w:rPr>
          <w:rFonts w:eastAsia="SimSun"/>
        </w:rPr>
        <w:t>0</w:t>
      </w:r>
      <w:r>
        <w:rPr>
          <w:rFonts w:eastAsia="SimSun"/>
        </w:rPr>
        <w:t>9</w:t>
      </w:r>
      <w:r>
        <w:rPr>
          <w:rStyle w:val="FootnoteReference"/>
          <w:rFonts w:eastAsia="SimSun"/>
        </w:rPr>
        <w:footnoteReference w:id="82"/>
      </w:r>
      <w:r>
        <w:rPr>
          <w:rFonts w:eastAsia="SimSun"/>
        </w:rPr>
        <w:t xml:space="preserve"> </w:t>
      </w:r>
      <w:r w:rsidR="00D969C7">
        <w:rPr>
          <w:rFonts w:eastAsia="SimSun"/>
        </w:rPr>
        <w:t xml:space="preserve">admits that Mr. Schooley neither </w:t>
      </w:r>
      <w:r>
        <w:rPr>
          <w:rFonts w:eastAsia="SimSun"/>
        </w:rPr>
        <w:t>question</w:t>
      </w:r>
      <w:r w:rsidR="00D969C7">
        <w:rPr>
          <w:rFonts w:eastAsia="SimSun"/>
        </w:rPr>
        <w:t>s</w:t>
      </w:r>
      <w:r>
        <w:rPr>
          <w:rFonts w:eastAsia="SimSun"/>
        </w:rPr>
        <w:t xml:space="preserve"> the prudency </w:t>
      </w:r>
      <w:r w:rsidR="00D969C7">
        <w:rPr>
          <w:rFonts w:eastAsia="SimSun"/>
        </w:rPr>
        <w:t xml:space="preserve">of nor asserts that </w:t>
      </w:r>
      <w:r w:rsidR="009B7DD4">
        <w:rPr>
          <w:rFonts w:eastAsia="SimSun"/>
        </w:rPr>
        <w:t>that PSE</w:t>
      </w:r>
      <w:r>
        <w:rPr>
          <w:rFonts w:eastAsia="SimSun"/>
        </w:rPr>
        <w:t xml:space="preserve"> inappropriately deferred these storm costs.</w:t>
      </w:r>
      <w:r w:rsidR="00F26B15">
        <w:rPr>
          <w:rFonts w:eastAsia="SimSun"/>
        </w:rPr>
        <w:t xml:space="preserve"> </w:t>
      </w:r>
      <w:r>
        <w:rPr>
          <w:rFonts w:eastAsia="SimSun"/>
        </w:rPr>
        <w:t xml:space="preserve">His </w:t>
      </w:r>
      <w:r w:rsidR="00E32B44">
        <w:rPr>
          <w:rFonts w:eastAsia="SimSun"/>
        </w:rPr>
        <w:t>testimony</w:t>
      </w:r>
      <w:r w:rsidR="009B7DD4">
        <w:rPr>
          <w:rFonts w:eastAsia="SimSun"/>
        </w:rPr>
        <w:t>,</w:t>
      </w:r>
      <w:r w:rsidR="00E32B44">
        <w:rPr>
          <w:rFonts w:eastAsia="SimSun"/>
        </w:rPr>
        <w:t xml:space="preserve"> which </w:t>
      </w:r>
      <w:r w:rsidR="003034DF">
        <w:rPr>
          <w:rFonts w:eastAsia="SimSun"/>
        </w:rPr>
        <w:t>falsely indicates</w:t>
      </w:r>
      <w:r>
        <w:rPr>
          <w:rFonts w:eastAsia="SimSun"/>
        </w:rPr>
        <w:t xml:space="preserve"> that the cost recovery of these deferred storms has been addressed by their inclusion in his calculated </w:t>
      </w:r>
      <w:r w:rsidR="009B7DD4">
        <w:rPr>
          <w:rFonts w:eastAsia="SimSun"/>
        </w:rPr>
        <w:t>six-</w:t>
      </w:r>
      <w:r>
        <w:rPr>
          <w:rFonts w:eastAsia="SimSun"/>
        </w:rPr>
        <w:t>year average</w:t>
      </w:r>
      <w:r w:rsidR="009B7DD4">
        <w:rPr>
          <w:rFonts w:eastAsia="SimSun"/>
        </w:rPr>
        <w:t>,</w:t>
      </w:r>
      <w:r>
        <w:rPr>
          <w:rFonts w:eastAsia="SimSun"/>
        </w:rPr>
        <w:t xml:space="preserve"> seems disingenuous</w:t>
      </w:r>
      <w:r w:rsidR="009B7DD4">
        <w:rPr>
          <w:rFonts w:eastAsia="SimSun"/>
        </w:rPr>
        <w:t>.</w:t>
      </w:r>
      <w:r w:rsidR="00F26B15">
        <w:rPr>
          <w:rFonts w:eastAsia="SimSun"/>
        </w:rPr>
        <w:t xml:space="preserve"> </w:t>
      </w:r>
      <w:r w:rsidR="009B7DD4">
        <w:rPr>
          <w:rFonts w:eastAsia="SimSun"/>
        </w:rPr>
        <w:t xml:space="preserve">This is </w:t>
      </w:r>
      <w:r>
        <w:rPr>
          <w:rFonts w:eastAsia="SimSun"/>
        </w:rPr>
        <w:t xml:space="preserve">especially </w:t>
      </w:r>
      <w:r w:rsidR="009B7DD4">
        <w:rPr>
          <w:rFonts w:eastAsia="SimSun"/>
        </w:rPr>
        <w:t xml:space="preserve">evident </w:t>
      </w:r>
      <w:r>
        <w:rPr>
          <w:rFonts w:eastAsia="SimSun"/>
        </w:rPr>
        <w:t>when considering that he makes a restating adjustment to the test period Investor Supplied Working Capital to recognize the impact of the write-off</w:t>
      </w:r>
      <w:r w:rsidR="00F26B15">
        <w:rPr>
          <w:rFonts w:eastAsia="SimSun"/>
        </w:rPr>
        <w:t xml:space="preserve"> </w:t>
      </w:r>
      <w:r>
        <w:rPr>
          <w:rFonts w:eastAsia="SimSun"/>
        </w:rPr>
        <w:t>should</w:t>
      </w:r>
      <w:r w:rsidR="00F26B15">
        <w:rPr>
          <w:rFonts w:eastAsia="SimSun"/>
        </w:rPr>
        <w:t xml:space="preserve"> </w:t>
      </w:r>
      <w:r>
        <w:rPr>
          <w:rFonts w:eastAsia="SimSun"/>
        </w:rPr>
        <w:t xml:space="preserve">the </w:t>
      </w:r>
      <w:r w:rsidR="00E32B44">
        <w:rPr>
          <w:rFonts w:eastAsia="SimSun"/>
        </w:rPr>
        <w:t>C</w:t>
      </w:r>
      <w:r>
        <w:rPr>
          <w:rFonts w:eastAsia="SimSun"/>
        </w:rPr>
        <w:t xml:space="preserve">ommission accept his proposal and not allow amortization of the deferred storm costs as of the end of the test year. </w:t>
      </w:r>
    </w:p>
    <w:p w:rsidR="00D56473" w:rsidRDefault="000A2CE8" w:rsidP="00EA1825">
      <w:pPr>
        <w:pStyle w:val="question"/>
      </w:pPr>
      <w:r w:rsidRPr="00342134">
        <w:rPr>
          <w:bCs/>
        </w:rPr>
        <w:t>Q.</w:t>
      </w:r>
      <w:r w:rsidR="00D56473">
        <w:tab/>
      </w:r>
      <w:r w:rsidR="00E32B44">
        <w:t>Are</w:t>
      </w:r>
      <w:r w:rsidR="00D56473" w:rsidRPr="008B2A77">
        <w:t xml:space="preserve"> there benefit</w:t>
      </w:r>
      <w:r w:rsidR="00E32B44">
        <w:t>s to customer</w:t>
      </w:r>
      <w:r w:rsidR="00D56473" w:rsidRPr="008B2A77">
        <w:t>s from maintaining the current mechanism</w:t>
      </w:r>
      <w:r w:rsidR="0082555B">
        <w:t>, which</w:t>
      </w:r>
      <w:r w:rsidR="00D56473" w:rsidRPr="008B2A77">
        <w:t xml:space="preserve"> </w:t>
      </w:r>
      <w:r w:rsidR="0077523D">
        <w:t>Mr. </w:t>
      </w:r>
      <w:r w:rsidR="00D56473" w:rsidRPr="008B2A77">
        <w:t xml:space="preserve">Schooley </w:t>
      </w:r>
      <w:r w:rsidR="0082555B">
        <w:t>ignores</w:t>
      </w:r>
      <w:r w:rsidR="00D56473" w:rsidRPr="008B2A77">
        <w:t>?</w:t>
      </w:r>
    </w:p>
    <w:p w:rsidR="008110A5" w:rsidRDefault="00D56473" w:rsidP="003034DF">
      <w:pPr>
        <w:pStyle w:val="answer"/>
      </w:pPr>
      <w:r>
        <w:t>A.</w:t>
      </w:r>
      <w:r>
        <w:tab/>
        <w:t>Yes, there are several.</w:t>
      </w:r>
      <w:r w:rsidR="00F26B15">
        <w:t xml:space="preserve"> </w:t>
      </w:r>
      <w:r w:rsidR="00E32B44">
        <w:t xml:space="preserve">First, with the existing mechanism, during a storm event, </w:t>
      </w:r>
      <w:r w:rsidR="00F00D55">
        <w:t>PSE</w:t>
      </w:r>
      <w:r w:rsidR="00E32B44">
        <w:t xml:space="preserve"> can focus on restoring power for its customers rather than worrying about filing an accounting petition to request deferral of the associated costs.</w:t>
      </w:r>
      <w:r w:rsidR="00F26B15">
        <w:t xml:space="preserve"> </w:t>
      </w:r>
      <w:r w:rsidR="0017710A">
        <w:t xml:space="preserve">Without a storm deferral mechanism in place, PSE cannot defer any costs until an accounting petition is filed and any costs incurred before the filing of the accounting petition cannot be </w:t>
      </w:r>
      <w:r w:rsidR="0082555B">
        <w:t>deferred and amortized</w:t>
      </w:r>
      <w:r w:rsidR="0017710A">
        <w:t>.</w:t>
      </w:r>
      <w:r w:rsidR="00F26B15">
        <w:t xml:space="preserve"> </w:t>
      </w:r>
      <w:r w:rsidR="00E32B44">
        <w:t xml:space="preserve">Under the existing mechanism, </w:t>
      </w:r>
      <w:r w:rsidR="0077523D">
        <w:t>PSE</w:t>
      </w:r>
      <w:r w:rsidR="00E32B44">
        <w:t xml:space="preserve"> has 30 days to notify the </w:t>
      </w:r>
      <w:r w:rsidR="00D82B01">
        <w:t xml:space="preserve">Commission </w:t>
      </w:r>
      <w:r w:rsidR="00E32B44">
        <w:t>of a qualifying event and that deferral of storm costs may occu</w:t>
      </w:r>
      <w:r w:rsidR="00857BD0">
        <w:t>r.</w:t>
      </w:r>
      <w:r w:rsidR="00F26B15">
        <w:t xml:space="preserve"> </w:t>
      </w:r>
      <w:r w:rsidR="00857BD0">
        <w:t>Second,</w:t>
      </w:r>
      <w:r w:rsidR="00E32B44">
        <w:t xml:space="preserve"> </w:t>
      </w:r>
      <w:r w:rsidR="0077523D">
        <w:t>Mr. </w:t>
      </w:r>
      <w:proofErr w:type="spellStart"/>
      <w:r>
        <w:t>Schooley</w:t>
      </w:r>
      <w:r w:rsidR="00E462EF">
        <w:t>’</w:t>
      </w:r>
      <w:r>
        <w:t>s</w:t>
      </w:r>
      <w:proofErr w:type="spellEnd"/>
      <w:r>
        <w:t xml:space="preserve"> approach raises the </w:t>
      </w:r>
      <w:r w:rsidR="009B7DD4">
        <w:t>six-year</w:t>
      </w:r>
      <w:r w:rsidR="00E32B44">
        <w:t xml:space="preserve"> </w:t>
      </w:r>
      <w:r>
        <w:t>average</w:t>
      </w:r>
      <w:r w:rsidR="009B7DD4">
        <w:t>,</w:t>
      </w:r>
      <w:r>
        <w:t xml:space="preserve"> increas</w:t>
      </w:r>
      <w:r w:rsidR="00E32B44">
        <w:t xml:space="preserve">ing </w:t>
      </w:r>
      <w:r>
        <w:t>the costs to customers for events which may not happen.</w:t>
      </w:r>
    </w:p>
    <w:p w:rsidR="008110A5" w:rsidRDefault="00D56473" w:rsidP="008110A5">
      <w:pPr>
        <w:pStyle w:val="answer"/>
        <w:ind w:firstLine="0"/>
      </w:pPr>
      <w:r>
        <w:lastRenderedPageBreak/>
        <w:t>Under the storm deferral mechanism customers only pay for the qualifying events that actually occur above the $</w:t>
      </w:r>
      <w:r w:rsidR="009B7DD4">
        <w:t>8</w:t>
      </w:r>
      <w:r w:rsidR="00D969C7">
        <w:t> </w:t>
      </w:r>
      <w:r w:rsidR="009B7DD4">
        <w:t xml:space="preserve">million </w:t>
      </w:r>
      <w:r w:rsidR="004F1270">
        <w:t xml:space="preserve">annual </w:t>
      </w:r>
      <w:r>
        <w:t xml:space="preserve">threshold allowing for the range of </w:t>
      </w:r>
      <w:r w:rsidR="00E462EF">
        <w:t>“</w:t>
      </w:r>
      <w:r>
        <w:t>normal</w:t>
      </w:r>
      <w:r w:rsidR="00E462EF">
        <w:t>”</w:t>
      </w:r>
      <w:r>
        <w:t xml:space="preserve"> costs included in the </w:t>
      </w:r>
      <w:r w:rsidR="009B7DD4">
        <w:t>six-</w:t>
      </w:r>
      <w:r>
        <w:t>year average to be relatively consistent.</w:t>
      </w:r>
      <w:r w:rsidR="00F26B15">
        <w:t xml:space="preserve"> </w:t>
      </w:r>
      <w:r>
        <w:t>Exhibit</w:t>
      </w:r>
      <w:r w:rsidR="008110A5">
        <w:t> </w:t>
      </w:r>
      <w:r>
        <w:t>KJB-</w:t>
      </w:r>
      <w:r w:rsidR="00D969C7">
        <w:t>33</w:t>
      </w:r>
      <w:r>
        <w:t xml:space="preserve"> demonstrates this difference by comparing the </w:t>
      </w:r>
      <w:r w:rsidR="009B7DD4">
        <w:t>six-</w:t>
      </w:r>
      <w:r>
        <w:t xml:space="preserve">year average normal storm costs reflected in </w:t>
      </w:r>
      <w:r w:rsidR="00D067AE">
        <w:t>A</w:t>
      </w:r>
      <w:r>
        <w:t>djustment KJB-</w:t>
      </w:r>
      <w:r w:rsidR="00D969C7">
        <w:t>21</w:t>
      </w:r>
      <w:r>
        <w:t xml:space="preserve">.05 to that reflected </w:t>
      </w:r>
      <w:r w:rsidR="001F4654">
        <w:t xml:space="preserve">on page 35 of </w:t>
      </w:r>
      <w:r w:rsidR="0077523D">
        <w:t>Ms. </w:t>
      </w:r>
      <w:proofErr w:type="spellStart"/>
      <w:r w:rsidR="001F4654">
        <w:t>Cheesman</w:t>
      </w:r>
      <w:r w:rsidR="00E462EF">
        <w:t>’</w:t>
      </w:r>
      <w:r w:rsidR="004F7B92">
        <w:t>s</w:t>
      </w:r>
      <w:proofErr w:type="spellEnd"/>
      <w:r w:rsidR="004F7B92">
        <w:t xml:space="preserve"> Exhibit</w:t>
      </w:r>
      <w:r w:rsidR="00D969C7">
        <w:t> </w:t>
      </w:r>
      <w:r w:rsidR="001F4654">
        <w:t>MCC-2</w:t>
      </w:r>
      <w:r w:rsidR="00D969C7">
        <w:t>.</w:t>
      </w:r>
      <w:r w:rsidR="001F4654">
        <w:rPr>
          <w:rStyle w:val="FootnoteReference"/>
        </w:rPr>
        <w:footnoteReference w:id="83"/>
      </w:r>
      <w:r w:rsidR="00F26B15">
        <w:t xml:space="preserve"> </w:t>
      </w:r>
      <w:r>
        <w:t xml:space="preserve">In </w:t>
      </w:r>
      <w:r w:rsidR="009A11B5">
        <w:rPr>
          <w:bCs/>
        </w:rPr>
        <w:t xml:space="preserve">Commission </w:t>
      </w:r>
      <w:r w:rsidR="009A11B5">
        <w:t>Staff</w:t>
      </w:r>
      <w:r w:rsidR="00E462EF">
        <w:t>’</w:t>
      </w:r>
      <w:r>
        <w:t>s adjustment</w:t>
      </w:r>
      <w:r w:rsidRPr="008909AC">
        <w:t>, the amount of normal storm damage expense that would be built into rates in this proceeding would be approximately $</w:t>
      </w:r>
      <w:r>
        <w:t>18.8</w:t>
      </w:r>
      <w:r w:rsidR="00D969C7">
        <w:t> </w:t>
      </w:r>
      <w:r w:rsidRPr="008909AC">
        <w:t>million</w:t>
      </w:r>
      <w:r>
        <w:t>, which is nearly double the $10.6</w:t>
      </w:r>
      <w:r w:rsidR="00D969C7">
        <w:t> </w:t>
      </w:r>
      <w:r>
        <w:t xml:space="preserve">million included in the level of normal storms calculated in </w:t>
      </w:r>
      <w:r w:rsidR="0077523D">
        <w:t>PSE</w:t>
      </w:r>
      <w:r w:rsidR="00E462EF">
        <w:t>’</w:t>
      </w:r>
      <w:r w:rsidR="00F00D55">
        <w:t xml:space="preserve">s </w:t>
      </w:r>
      <w:r>
        <w:t>adjustment.</w:t>
      </w:r>
    </w:p>
    <w:p w:rsidR="004309AF" w:rsidRDefault="00AA5546" w:rsidP="008110A5">
      <w:pPr>
        <w:pStyle w:val="answer"/>
        <w:ind w:firstLine="0"/>
      </w:pPr>
      <w:r>
        <w:t>Additionally, u</w:t>
      </w:r>
      <w:r w:rsidR="00D56473">
        <w:t xml:space="preserve">nder </w:t>
      </w:r>
      <w:r w:rsidR="009A11B5">
        <w:rPr>
          <w:bCs/>
        </w:rPr>
        <w:t xml:space="preserve">Commission </w:t>
      </w:r>
      <w:r w:rsidR="009A11B5">
        <w:t>Staff</w:t>
      </w:r>
      <w:r w:rsidR="00E462EF">
        <w:t>’</w:t>
      </w:r>
      <w:r w:rsidR="00D56473">
        <w:t xml:space="preserve">s proposal, the annual </w:t>
      </w:r>
      <w:r w:rsidR="00E462EF">
        <w:t>“</w:t>
      </w:r>
      <w:r w:rsidR="00D56473">
        <w:t>normal</w:t>
      </w:r>
      <w:r w:rsidR="00E462EF">
        <w:t>”</w:t>
      </w:r>
      <w:r w:rsidR="00D56473">
        <w:t xml:space="preserve"> storm costs vary from a low of $6.</w:t>
      </w:r>
      <w:r w:rsidR="009B7DD4">
        <w:t>7</w:t>
      </w:r>
      <w:r w:rsidR="00D969C7">
        <w:t> </w:t>
      </w:r>
      <w:r w:rsidR="009B7DD4">
        <w:t xml:space="preserve">million </w:t>
      </w:r>
      <w:r w:rsidR="00D56473">
        <w:t xml:space="preserve">for the </w:t>
      </w:r>
      <w:r w:rsidR="00D969C7">
        <w:t>twelve </w:t>
      </w:r>
      <w:r w:rsidR="00D56473">
        <w:t xml:space="preserve">months ending </w:t>
      </w:r>
      <w:r w:rsidR="00D969C7">
        <w:t xml:space="preserve">September 30, 2013, </w:t>
      </w:r>
      <w:r w:rsidR="00D56473">
        <w:t>to a high of $36.</w:t>
      </w:r>
      <w:r w:rsidR="009B7DD4">
        <w:t>8</w:t>
      </w:r>
      <w:r w:rsidR="00D969C7">
        <w:t> </w:t>
      </w:r>
      <w:r w:rsidR="009B7DD4">
        <w:t xml:space="preserve">million </w:t>
      </w:r>
      <w:r w:rsidR="00D56473">
        <w:t xml:space="preserve">for the </w:t>
      </w:r>
      <w:r w:rsidR="00D969C7">
        <w:t xml:space="preserve">twelve </w:t>
      </w:r>
      <w:r w:rsidR="00D56473">
        <w:t xml:space="preserve">months ending </w:t>
      </w:r>
      <w:r w:rsidR="00D969C7">
        <w:t xml:space="preserve">September 30, </w:t>
      </w:r>
      <w:r w:rsidR="00D56473">
        <w:t>2015</w:t>
      </w:r>
      <w:r w:rsidR="00D969C7">
        <w:t>—</w:t>
      </w:r>
      <w:r>
        <w:t xml:space="preserve">a </w:t>
      </w:r>
      <w:r w:rsidR="00D969C7">
        <w:t xml:space="preserve">variance of </w:t>
      </w:r>
      <w:r w:rsidR="004309AF">
        <w:t>$</w:t>
      </w:r>
      <w:r w:rsidR="009B7DD4">
        <w:t>30 million</w:t>
      </w:r>
      <w:r w:rsidR="00D56473">
        <w:t>.</w:t>
      </w:r>
      <w:r w:rsidR="00F26B15">
        <w:t xml:space="preserve"> </w:t>
      </w:r>
      <w:r>
        <w:t xml:space="preserve">This compares to </w:t>
      </w:r>
      <w:r w:rsidR="00876DA2">
        <w:t>PSE</w:t>
      </w:r>
      <w:r w:rsidR="00E462EF">
        <w:t>’</w:t>
      </w:r>
      <w:r w:rsidR="00876DA2">
        <w:t>s</w:t>
      </w:r>
      <w:r>
        <w:t xml:space="preserve"> adjustment where the variance </w:t>
      </w:r>
      <w:r w:rsidR="004309AF">
        <w:t>between the high and low is only a $7</w:t>
      </w:r>
      <w:r w:rsidR="00D969C7">
        <w:t> </w:t>
      </w:r>
      <w:r w:rsidR="00876DA2">
        <w:t>million</w:t>
      </w:r>
      <w:r w:rsidR="004309AF">
        <w:t xml:space="preserve"> variance ($</w:t>
      </w:r>
      <w:r>
        <w:t>6.</w:t>
      </w:r>
      <w:r w:rsidR="0082555B">
        <w:t>7</w:t>
      </w:r>
      <w:r w:rsidR="00D969C7">
        <w:t> </w:t>
      </w:r>
      <w:r w:rsidR="0082555B">
        <w:t xml:space="preserve">million </w:t>
      </w:r>
      <w:r>
        <w:t xml:space="preserve">to a high of </w:t>
      </w:r>
      <w:r w:rsidR="004309AF">
        <w:t>$</w:t>
      </w:r>
      <w:r>
        <w:t>13.</w:t>
      </w:r>
      <w:r w:rsidR="00A23B45">
        <w:t>1</w:t>
      </w:r>
      <w:r w:rsidR="00D969C7">
        <w:t> </w:t>
      </w:r>
      <w:r w:rsidR="0082555B">
        <w:t>million</w:t>
      </w:r>
      <w:r w:rsidR="004309AF">
        <w:t>).</w:t>
      </w:r>
      <w:r w:rsidR="00F26B15">
        <w:t xml:space="preserve"> </w:t>
      </w:r>
      <w:r w:rsidR="004309AF">
        <w:t>U</w:t>
      </w:r>
      <w:r w:rsidR="00D56473">
        <w:t xml:space="preserve">nder </w:t>
      </w:r>
      <w:r w:rsidR="009A11B5">
        <w:rPr>
          <w:bCs/>
        </w:rPr>
        <w:t xml:space="preserve">Commission </w:t>
      </w:r>
      <w:r w:rsidR="009A11B5">
        <w:t>Staff</w:t>
      </w:r>
      <w:r w:rsidR="00E462EF">
        <w:t>’</w:t>
      </w:r>
      <w:r w:rsidR="00D56473">
        <w:t xml:space="preserve">s proposal </w:t>
      </w:r>
      <w:r w:rsidR="004309AF">
        <w:t xml:space="preserve">with </w:t>
      </w:r>
      <w:r w:rsidR="00E462EF">
        <w:t>“</w:t>
      </w:r>
      <w:r w:rsidR="00D56473">
        <w:t>normal storm costs</w:t>
      </w:r>
      <w:r w:rsidR="00E462EF">
        <w:t>”</w:t>
      </w:r>
      <w:r w:rsidR="00D56473">
        <w:t xml:space="preserve"> </w:t>
      </w:r>
      <w:r w:rsidR="004309AF">
        <w:t>the</w:t>
      </w:r>
      <w:r w:rsidR="00D56473">
        <w:t xml:space="preserve"> $18.</w:t>
      </w:r>
      <w:r w:rsidR="0082555B">
        <w:t>8</w:t>
      </w:r>
      <w:r w:rsidR="008110A5">
        <w:t> </w:t>
      </w:r>
      <w:r w:rsidR="0082555B">
        <w:t xml:space="preserve">million </w:t>
      </w:r>
      <w:r w:rsidR="00D56473">
        <w:t xml:space="preserve">would have been higher than necessary in </w:t>
      </w:r>
      <w:r w:rsidR="00876DA2">
        <w:t xml:space="preserve">four </w:t>
      </w:r>
      <w:r w:rsidR="00D56473">
        <w:t xml:space="preserve">out of </w:t>
      </w:r>
      <w:r w:rsidR="00876DA2">
        <w:t xml:space="preserve">six </w:t>
      </w:r>
      <w:r w:rsidR="00D56473">
        <w:t xml:space="preserve">years </w:t>
      </w:r>
      <w:r w:rsidR="00D56473" w:rsidRPr="00A36626">
        <w:rPr>
          <w:i/>
        </w:rPr>
        <w:t>had</w:t>
      </w:r>
      <w:r w:rsidR="00D56473">
        <w:t xml:space="preserve"> it been in place</w:t>
      </w:r>
      <w:r w:rsidR="004309AF">
        <w:t>.</w:t>
      </w:r>
      <w:r w:rsidR="00F26B15">
        <w:t xml:space="preserve"> </w:t>
      </w:r>
      <w:r w:rsidR="004309AF">
        <w:t xml:space="preserve">This compares to </w:t>
      </w:r>
      <w:r w:rsidR="00D56473">
        <w:t xml:space="preserve">only </w:t>
      </w:r>
      <w:r w:rsidR="00876DA2">
        <w:t xml:space="preserve">two </w:t>
      </w:r>
      <w:r w:rsidR="00D56473">
        <w:t xml:space="preserve">years </w:t>
      </w:r>
      <w:r w:rsidR="004309AF">
        <w:t xml:space="preserve">out of </w:t>
      </w:r>
      <w:r w:rsidR="00876DA2">
        <w:t xml:space="preserve">six </w:t>
      </w:r>
      <w:r w:rsidR="00D56473">
        <w:t xml:space="preserve">under </w:t>
      </w:r>
      <w:r w:rsidR="0077523D">
        <w:t>PSE</w:t>
      </w:r>
      <w:r w:rsidR="00E462EF">
        <w:t>’</w:t>
      </w:r>
      <w:r w:rsidR="00D56473">
        <w:t xml:space="preserve">s </w:t>
      </w:r>
      <w:r w:rsidR="00876DA2">
        <w:t>six-</w:t>
      </w:r>
      <w:r w:rsidR="00D56473">
        <w:t>year average calculation</w:t>
      </w:r>
      <w:r w:rsidR="004309AF">
        <w:t xml:space="preserve"> of $10.6</w:t>
      </w:r>
      <w:r w:rsidR="008110A5">
        <w:t> </w:t>
      </w:r>
      <w:r w:rsidR="00876DA2">
        <w:t>million</w:t>
      </w:r>
      <w:r>
        <w:t xml:space="preserve">. </w:t>
      </w:r>
      <w:r w:rsidR="00796F02">
        <w:rPr>
          <w:i/>
        </w:rPr>
        <w:t xml:space="preserve">See </w:t>
      </w:r>
      <w:r w:rsidR="001F4654">
        <w:t xml:space="preserve">Adjustment </w:t>
      </w:r>
      <w:r w:rsidR="00796F02">
        <w:t>KJB-</w:t>
      </w:r>
      <w:r w:rsidR="008110A5">
        <w:t>21</w:t>
      </w:r>
      <w:r w:rsidR="001F4654">
        <w:t>.05.</w:t>
      </w:r>
      <w:r w:rsidR="00796F02">
        <w:t xml:space="preserve"> If only storms the magnitude of </w:t>
      </w:r>
      <w:proofErr w:type="spellStart"/>
      <w:r w:rsidR="00796F02">
        <w:t>Snowmaged</w:t>
      </w:r>
      <w:r w:rsidR="001F4654">
        <w:t>do</w:t>
      </w:r>
      <w:r w:rsidR="00796F02">
        <w:t>n</w:t>
      </w:r>
      <w:proofErr w:type="spellEnd"/>
      <w:r w:rsidR="00796F02">
        <w:t xml:space="preserve"> or Hanukkah Eve could be considered for deferral, this range of </w:t>
      </w:r>
      <w:r w:rsidR="00E462EF">
        <w:t>“</w:t>
      </w:r>
      <w:r w:rsidR="00796F02">
        <w:t>normal storm costs</w:t>
      </w:r>
      <w:r w:rsidR="00E462EF">
        <w:t>”</w:t>
      </w:r>
      <w:r w:rsidR="00796F02">
        <w:t xml:space="preserve"> could be even wider in the future </w:t>
      </w:r>
      <w:r w:rsidR="00796F02">
        <w:lastRenderedPageBreak/>
        <w:t xml:space="preserve">and could have a substantial impact on the </w:t>
      </w:r>
      <w:r w:rsidR="003034DF">
        <w:t xml:space="preserve">range </w:t>
      </w:r>
      <w:r w:rsidR="00865CB6">
        <w:t xml:space="preserve">of costs that are treated as normal and on </w:t>
      </w:r>
      <w:r w:rsidR="003034DF">
        <w:t xml:space="preserve">the </w:t>
      </w:r>
      <w:r w:rsidR="00796F02">
        <w:t>six-year average over time.</w:t>
      </w:r>
    </w:p>
    <w:p w:rsidR="00D56473" w:rsidRPr="008909AC" w:rsidRDefault="00D56473" w:rsidP="00EA1825">
      <w:pPr>
        <w:pStyle w:val="question"/>
      </w:pPr>
      <w:r w:rsidRPr="008909AC">
        <w:t>Q.</w:t>
      </w:r>
      <w:r w:rsidRPr="008909AC">
        <w:tab/>
      </w:r>
      <w:r>
        <w:t>How do</w:t>
      </w:r>
      <w:r w:rsidR="008110A5">
        <w:t>es</w:t>
      </w:r>
      <w:r>
        <w:t xml:space="preserve"> </w:t>
      </w:r>
      <w:r w:rsidR="008110A5">
        <w:t xml:space="preserve">PSE </w:t>
      </w:r>
      <w:r>
        <w:t xml:space="preserve">address </w:t>
      </w:r>
      <w:r w:rsidR="0077523D">
        <w:t>Mr. </w:t>
      </w:r>
      <w:proofErr w:type="spellStart"/>
      <w:r>
        <w:t>Schooley</w:t>
      </w:r>
      <w:r w:rsidR="00E462EF">
        <w:t>’</w:t>
      </w:r>
      <w:r>
        <w:t>s</w:t>
      </w:r>
      <w:proofErr w:type="spellEnd"/>
      <w:r>
        <w:t xml:space="preserve"> concern that there are </w:t>
      </w:r>
      <w:r w:rsidR="00E462EF">
        <w:t>‘</w:t>
      </w:r>
      <w:r>
        <w:t>too many</w:t>
      </w:r>
      <w:r w:rsidR="00E462EF">
        <w:t>”</w:t>
      </w:r>
      <w:r>
        <w:t xml:space="preserve"> qualifying storms and they are not truly </w:t>
      </w:r>
      <w:r w:rsidR="00E462EF">
        <w:t>“</w:t>
      </w:r>
      <w:r>
        <w:t>ca</w:t>
      </w:r>
      <w:r w:rsidR="004309AF">
        <w:t>tastrophic</w:t>
      </w:r>
      <w:r w:rsidR="00E462EF">
        <w:t>”</w:t>
      </w:r>
      <w:r>
        <w:t>?</w:t>
      </w:r>
    </w:p>
    <w:p w:rsidR="00D56473" w:rsidRDefault="00D56473" w:rsidP="00EA1825">
      <w:pPr>
        <w:pStyle w:val="answer"/>
      </w:pPr>
      <w:r w:rsidRPr="008909AC">
        <w:t>A.</w:t>
      </w:r>
      <w:r w:rsidRPr="008909AC">
        <w:tab/>
      </w:r>
      <w:r>
        <w:t xml:space="preserve">The IEEE Standard adopted for purposes of the storm mechanism was defined as </w:t>
      </w:r>
      <w:r w:rsidR="00E462EF">
        <w:t>“</w:t>
      </w:r>
      <w:r>
        <w:t>a major event</w:t>
      </w:r>
      <w:r w:rsidR="00E462EF">
        <w:t>”</w:t>
      </w:r>
      <w:r>
        <w:t xml:space="preserve"> and </w:t>
      </w:r>
      <w:r w:rsidR="000E695E">
        <w:t xml:space="preserve">that </w:t>
      </w:r>
      <w:r w:rsidR="004309AF">
        <w:t>is</w:t>
      </w:r>
      <w:r>
        <w:t xml:space="preserve"> why there is </w:t>
      </w:r>
      <w:r w:rsidR="004309AF">
        <w:t>a</w:t>
      </w:r>
      <w:r w:rsidR="00AF052B">
        <w:t>n</w:t>
      </w:r>
      <w:r>
        <w:t xml:space="preserve"> $8</w:t>
      </w:r>
      <w:r w:rsidR="008110A5">
        <w:t> </w:t>
      </w:r>
      <w:r w:rsidR="00876DA2">
        <w:t>million</w:t>
      </w:r>
      <w:r>
        <w:t xml:space="preserve"> annual threshold that must be met before costs associated with qualifying events can be deferred.</w:t>
      </w:r>
      <w:r w:rsidR="00F26B15">
        <w:t xml:space="preserve"> </w:t>
      </w:r>
      <w:r w:rsidR="008A1B85">
        <w:t>For</w:t>
      </w:r>
      <w:r w:rsidR="00F26B15">
        <w:t xml:space="preserve"> </w:t>
      </w:r>
      <w:r>
        <w:t>years where there were</w:t>
      </w:r>
      <w:r w:rsidR="008A1B85">
        <w:t xml:space="preserve"> qualifying storm</w:t>
      </w:r>
      <w:r>
        <w:t xml:space="preserve"> deferr</w:t>
      </w:r>
      <w:r w:rsidR="008A1B85">
        <w:t>als</w:t>
      </w:r>
      <w:r>
        <w:t xml:space="preserve">, </w:t>
      </w:r>
      <w:r w:rsidR="0077523D">
        <w:t>PSE</w:t>
      </w:r>
      <w:r>
        <w:t xml:space="preserve"> will have always exceeded the </w:t>
      </w:r>
      <w:r w:rsidR="00876DA2">
        <w:t>six-</w:t>
      </w:r>
      <w:r>
        <w:t>year average storm cost that had been established in rates.</w:t>
      </w:r>
      <w:r w:rsidR="00F26B15">
        <w:t xml:space="preserve"> </w:t>
      </w:r>
      <w:r>
        <w:t xml:space="preserve">For example, the </w:t>
      </w:r>
      <w:r w:rsidR="00876DA2">
        <w:t>six-</w:t>
      </w:r>
      <w:r>
        <w:t xml:space="preserve">year average storm costs established in the 2011 </w:t>
      </w:r>
      <w:r w:rsidR="00EA1825">
        <w:t xml:space="preserve">general rate case </w:t>
      </w:r>
      <w:r w:rsidRPr="00074D20">
        <w:t>was $</w:t>
      </w:r>
      <w:r w:rsidR="004309AF" w:rsidRPr="00074D20">
        <w:t>8.8</w:t>
      </w:r>
      <w:r w:rsidR="008110A5">
        <w:t> </w:t>
      </w:r>
      <w:r w:rsidR="00876DA2">
        <w:t>million</w:t>
      </w:r>
      <w:r w:rsidR="004309AF">
        <w:t>.</w:t>
      </w:r>
      <w:r w:rsidR="00F26B15">
        <w:t xml:space="preserve"> </w:t>
      </w:r>
      <w:r w:rsidR="004309AF">
        <w:t xml:space="preserve">As can be seen </w:t>
      </w:r>
      <w:r>
        <w:t xml:space="preserve">in </w:t>
      </w:r>
      <w:r w:rsidR="00D067AE">
        <w:t>A</w:t>
      </w:r>
      <w:r>
        <w:t>djustment</w:t>
      </w:r>
      <w:r w:rsidR="00865CB6">
        <w:t xml:space="preserve"> KJB-</w:t>
      </w:r>
      <w:r w:rsidR="008110A5">
        <w:t>21</w:t>
      </w:r>
      <w:r>
        <w:t xml:space="preserve">.05, </w:t>
      </w:r>
      <w:r w:rsidR="008A1B85">
        <w:t xml:space="preserve">in 2012, 2014 and 2015, </w:t>
      </w:r>
      <w:r>
        <w:t xml:space="preserve">the years where there are outstanding deferrals for qualifying storms, the </w:t>
      </w:r>
      <w:r w:rsidR="004309AF">
        <w:t xml:space="preserve">normal storm costs </w:t>
      </w:r>
      <w:r w:rsidR="0077523D">
        <w:t>PSE</w:t>
      </w:r>
      <w:r w:rsidR="00EA1825">
        <w:t xml:space="preserve"> </w:t>
      </w:r>
      <w:r>
        <w:t>i</w:t>
      </w:r>
      <w:r w:rsidR="004309AF">
        <w:t>ncurred and expensed exceeded the $8.</w:t>
      </w:r>
      <w:r w:rsidR="00876DA2">
        <w:t>8</w:t>
      </w:r>
      <w:r w:rsidR="008110A5">
        <w:t> </w:t>
      </w:r>
      <w:r w:rsidR="00876DA2">
        <w:t xml:space="preserve">million </w:t>
      </w:r>
      <w:r w:rsidR="004309AF">
        <w:t>currently established in rates.</w:t>
      </w:r>
      <w:r w:rsidR="00F26B15">
        <w:t xml:space="preserve"> </w:t>
      </w:r>
    </w:p>
    <w:p w:rsidR="00D56473" w:rsidRPr="00726AB9" w:rsidRDefault="00D56473" w:rsidP="00EA1825">
      <w:pPr>
        <w:pStyle w:val="question"/>
      </w:pPr>
      <w:r>
        <w:t>Q.</w:t>
      </w:r>
      <w:r>
        <w:tab/>
        <w:t>Are the number of qualifying events significantly different from the levels seen in 2006 through 2010, the period reviewed in PSE</w:t>
      </w:r>
      <w:r w:rsidR="00E462EF">
        <w:t>’</w:t>
      </w:r>
      <w:r>
        <w:t xml:space="preserve">s last </w:t>
      </w:r>
      <w:r w:rsidR="007D38C7">
        <w:t xml:space="preserve">general </w:t>
      </w:r>
      <w:r>
        <w:t>rate case?</w:t>
      </w:r>
    </w:p>
    <w:p w:rsidR="00D56473" w:rsidRDefault="00D56473" w:rsidP="00EA1825">
      <w:pPr>
        <w:pStyle w:val="answer"/>
      </w:pPr>
      <w:r w:rsidRPr="00726AB9">
        <w:t>A.</w:t>
      </w:r>
      <w:r w:rsidRPr="00726AB9">
        <w:tab/>
        <w:t>No</w:t>
      </w:r>
      <w:r>
        <w:t>.</w:t>
      </w:r>
      <w:r w:rsidR="00F26B15">
        <w:t xml:space="preserve"> </w:t>
      </w:r>
      <w:r>
        <w:t>During the 2006 through 2010 time period, there were 32 qualifying events, 11 qualifying events in 2006 alone.</w:t>
      </w:r>
      <w:r>
        <w:rPr>
          <w:rStyle w:val="FootnoteReference"/>
        </w:rPr>
        <w:footnoteReference w:id="84"/>
      </w:r>
      <w:r w:rsidR="00F26B15">
        <w:t xml:space="preserve"> </w:t>
      </w:r>
      <w:r>
        <w:t>This compares to the 23 qualifying events during the 2011 through 2016 period</w:t>
      </w:r>
      <w:r w:rsidR="007D38C7">
        <w:t xml:space="preserve"> </w:t>
      </w:r>
      <w:r w:rsidR="008110A5">
        <w:t xml:space="preserve">to which </w:t>
      </w:r>
      <w:r w:rsidR="0077523D">
        <w:t>Mr. </w:t>
      </w:r>
      <w:r>
        <w:t>Schooley refers.</w:t>
      </w:r>
      <w:r w:rsidR="00F26B15">
        <w:t xml:space="preserve"> </w:t>
      </w:r>
      <w:r>
        <w:t xml:space="preserve">None of the </w:t>
      </w:r>
      <w:r>
        <w:lastRenderedPageBreak/>
        <w:t>years had as many events as 2006</w:t>
      </w:r>
      <w:r w:rsidR="00EA1825">
        <w:t xml:space="preserve">; </w:t>
      </w:r>
      <w:r>
        <w:t>however</w:t>
      </w:r>
      <w:r w:rsidR="007D38C7">
        <w:t>,</w:t>
      </w:r>
      <w:r>
        <w:t xml:space="preserve"> both calendar 2014 and 2015 had </w:t>
      </w:r>
      <w:r w:rsidR="00876DA2">
        <w:t xml:space="preserve">seven </w:t>
      </w:r>
      <w:r>
        <w:t>qualifying events</w:t>
      </w:r>
      <w:r w:rsidR="007D38C7">
        <w:t>.</w:t>
      </w:r>
    </w:p>
    <w:p w:rsidR="00D56473" w:rsidRPr="00C26188" w:rsidRDefault="000A2CE8" w:rsidP="00777E1F">
      <w:pPr>
        <w:pStyle w:val="question"/>
      </w:pPr>
      <w:r w:rsidRPr="00342134">
        <w:rPr>
          <w:bCs/>
        </w:rPr>
        <w:t>Q.</w:t>
      </w:r>
      <w:r w:rsidR="00D56473" w:rsidRPr="00C26188">
        <w:tab/>
      </w:r>
      <w:r w:rsidR="0077523D">
        <w:t>Mr. </w:t>
      </w:r>
      <w:r w:rsidR="00D56473" w:rsidRPr="00C26188">
        <w:t xml:space="preserve">Schooley states that the current mechanism is biased toward </w:t>
      </w:r>
      <w:r w:rsidR="0077523D">
        <w:t>PSE,</w:t>
      </w:r>
      <w:r w:rsidR="00D56473">
        <w:rPr>
          <w:rStyle w:val="FootnoteReference"/>
          <w:b w:val="0"/>
        </w:rPr>
        <w:footnoteReference w:id="85"/>
      </w:r>
      <w:r w:rsidR="00D56473" w:rsidRPr="00C26188">
        <w:t xml:space="preserve"> do</w:t>
      </w:r>
      <w:r w:rsidR="008110A5">
        <w:t>es</w:t>
      </w:r>
      <w:r w:rsidR="00D56473" w:rsidRPr="00C26188">
        <w:t xml:space="preserve"> </w:t>
      </w:r>
      <w:r w:rsidR="008110A5">
        <w:t xml:space="preserve">PSE </w:t>
      </w:r>
      <w:r w:rsidR="00D56473" w:rsidRPr="00C26188">
        <w:t xml:space="preserve">agree? </w:t>
      </w:r>
    </w:p>
    <w:p w:rsidR="00D56473" w:rsidRDefault="000A2CE8" w:rsidP="00777E1F">
      <w:pPr>
        <w:pStyle w:val="Answer0"/>
      </w:pPr>
      <w:r>
        <w:t>A.</w:t>
      </w:r>
      <w:r w:rsidR="00D56473">
        <w:tab/>
      </w:r>
      <w:r w:rsidR="00D56473" w:rsidRPr="00C26188">
        <w:t>No.</w:t>
      </w:r>
      <w:r w:rsidR="00F26B15">
        <w:t xml:space="preserve"> </w:t>
      </w:r>
      <w:r w:rsidR="0077523D">
        <w:t>Mr. </w:t>
      </w:r>
      <w:r w:rsidR="00D56473" w:rsidRPr="00C26188">
        <w:t xml:space="preserve">Schooley makes this statement </w:t>
      </w:r>
      <w:r w:rsidR="00876DA2">
        <w:t>but</w:t>
      </w:r>
      <w:r w:rsidR="00876DA2" w:rsidRPr="00C26188">
        <w:t xml:space="preserve"> </w:t>
      </w:r>
      <w:r w:rsidR="00D56473" w:rsidRPr="00C26188">
        <w:t>provides no concr</w:t>
      </w:r>
      <w:r w:rsidR="00D56473">
        <w:t xml:space="preserve">ete evidence to support his claim that </w:t>
      </w:r>
      <w:r w:rsidR="00876DA2">
        <w:t xml:space="preserve">the current mechanism </w:t>
      </w:r>
      <w:r w:rsidR="00D56473">
        <w:t>is biased and unfair to customers.</w:t>
      </w:r>
      <w:r w:rsidR="00F26B15">
        <w:t xml:space="preserve"> </w:t>
      </w:r>
      <w:r w:rsidR="00D56473">
        <w:t>The existing mechanism requires two thresholds to be met</w:t>
      </w:r>
      <w:r w:rsidR="00876DA2">
        <w:t>: (i)</w:t>
      </w:r>
      <w:r w:rsidR="008110A5">
        <w:t> </w:t>
      </w:r>
      <w:r w:rsidR="00D56473">
        <w:t xml:space="preserve">the IEEE standard of </w:t>
      </w:r>
      <w:r w:rsidR="00E462EF">
        <w:t>“</w:t>
      </w:r>
      <w:r w:rsidR="00D56473">
        <w:t>major event</w:t>
      </w:r>
      <w:r w:rsidR="00E462EF">
        <w:t>”</w:t>
      </w:r>
      <w:r w:rsidR="00D56473">
        <w:t xml:space="preserve"> </w:t>
      </w:r>
      <w:r w:rsidR="00876DA2">
        <w:t xml:space="preserve">must be met; </w:t>
      </w:r>
      <w:r w:rsidR="00D56473">
        <w:t xml:space="preserve">and </w:t>
      </w:r>
      <w:r w:rsidR="00876DA2">
        <w:t>(ii)</w:t>
      </w:r>
      <w:r w:rsidR="008110A5">
        <w:t> </w:t>
      </w:r>
      <w:r w:rsidR="00D56473">
        <w:t>the first $</w:t>
      </w:r>
      <w:r w:rsidR="00876DA2">
        <w:t>8</w:t>
      </w:r>
      <w:r w:rsidR="008110A5">
        <w:t> </w:t>
      </w:r>
      <w:r w:rsidR="00876DA2">
        <w:t xml:space="preserve">million </w:t>
      </w:r>
      <w:r w:rsidR="00D56473">
        <w:t xml:space="preserve">in </w:t>
      </w:r>
      <w:r w:rsidR="007D38C7">
        <w:t xml:space="preserve">annual </w:t>
      </w:r>
      <w:r w:rsidR="00D56473">
        <w:t xml:space="preserve">qualifying </w:t>
      </w:r>
      <w:r w:rsidR="007D38C7">
        <w:t xml:space="preserve">event </w:t>
      </w:r>
      <w:r w:rsidR="00D56473">
        <w:t xml:space="preserve">costs </w:t>
      </w:r>
      <w:r w:rsidR="007D38C7">
        <w:t xml:space="preserve">must be </w:t>
      </w:r>
      <w:r w:rsidR="00D56473">
        <w:t xml:space="preserve">absorbed by </w:t>
      </w:r>
      <w:r w:rsidR="0077523D">
        <w:t>PSE</w:t>
      </w:r>
      <w:r w:rsidR="00876DA2">
        <w:t>.</w:t>
      </w:r>
      <w:r w:rsidR="00F26B15">
        <w:t xml:space="preserve"> </w:t>
      </w:r>
      <w:r w:rsidR="00876DA2">
        <w:t xml:space="preserve">Only </w:t>
      </w:r>
      <w:r w:rsidR="007D38C7">
        <w:t>then is deferral of qualifying storm costs possible</w:t>
      </w:r>
      <w:r w:rsidR="00D56473">
        <w:t>.</w:t>
      </w:r>
      <w:r w:rsidR="00F26B15">
        <w:t xml:space="preserve"> </w:t>
      </w:r>
      <w:r w:rsidR="00D56473">
        <w:t xml:space="preserve">Together those two criteria </w:t>
      </w:r>
      <w:r w:rsidR="007D38C7">
        <w:t>en</w:t>
      </w:r>
      <w:r w:rsidR="00D56473">
        <w:t xml:space="preserve">sure that the </w:t>
      </w:r>
      <w:r w:rsidR="00D56473" w:rsidRPr="00C26188">
        <w:t xml:space="preserve">only years where storm costs </w:t>
      </w:r>
      <w:r w:rsidR="00D56473">
        <w:t>a</w:t>
      </w:r>
      <w:r w:rsidR="00D56473" w:rsidRPr="00C26188">
        <w:t xml:space="preserve">re actually deferred </w:t>
      </w:r>
      <w:r w:rsidR="00D56473">
        <w:t xml:space="preserve">are those years </w:t>
      </w:r>
      <w:r w:rsidR="00D56473" w:rsidRPr="00C26188">
        <w:t xml:space="preserve">when </w:t>
      </w:r>
      <w:r w:rsidR="0077523D">
        <w:t>PSE</w:t>
      </w:r>
      <w:r w:rsidR="00E462EF">
        <w:t>’</w:t>
      </w:r>
      <w:r w:rsidR="00EA1825" w:rsidRPr="00C26188">
        <w:t xml:space="preserve">s </w:t>
      </w:r>
      <w:r w:rsidR="00D56473">
        <w:t xml:space="preserve">actual </w:t>
      </w:r>
      <w:r w:rsidR="00D56473" w:rsidRPr="00C26188">
        <w:t xml:space="preserve">storm costs </w:t>
      </w:r>
      <w:r w:rsidR="00D56473">
        <w:t xml:space="preserve">will exceed the amount </w:t>
      </w:r>
      <w:r w:rsidR="00EA1825">
        <w:t xml:space="preserve">built </w:t>
      </w:r>
      <w:r w:rsidR="00D56473">
        <w:t>into rates.</w:t>
      </w:r>
      <w:r w:rsidR="00F26B15">
        <w:t xml:space="preserve"> </w:t>
      </w:r>
    </w:p>
    <w:p w:rsidR="00D56473" w:rsidRDefault="000A2CE8" w:rsidP="007754FB">
      <w:pPr>
        <w:pStyle w:val="question"/>
      </w:pPr>
      <w:r w:rsidRPr="00342134">
        <w:rPr>
          <w:bCs/>
        </w:rPr>
        <w:t>Q.</w:t>
      </w:r>
      <w:r w:rsidR="007D38C7">
        <w:tab/>
      </w:r>
      <w:r w:rsidR="00D56473">
        <w:t>Do</w:t>
      </w:r>
      <w:r w:rsidR="008110A5">
        <w:t>es</w:t>
      </w:r>
      <w:r w:rsidR="00D56473">
        <w:t xml:space="preserve"> </w:t>
      </w:r>
      <w:r w:rsidR="008110A5">
        <w:t xml:space="preserve">PSE </w:t>
      </w:r>
      <w:r w:rsidR="00D56473">
        <w:t xml:space="preserve">agree with </w:t>
      </w:r>
      <w:r w:rsidR="008110A5">
        <w:t xml:space="preserve">Commission </w:t>
      </w:r>
      <w:r w:rsidR="00D56473">
        <w:t xml:space="preserve">Staff that </w:t>
      </w:r>
      <w:r w:rsidR="00D56473" w:rsidRPr="004A1309">
        <w:t xml:space="preserve">there </w:t>
      </w:r>
      <w:r w:rsidR="00594AD8">
        <w:t xml:space="preserve">are </w:t>
      </w:r>
      <w:r w:rsidR="00D56473" w:rsidRPr="004A1309">
        <w:t>no substantive losses to changing the mechanism?</w:t>
      </w:r>
      <w:r w:rsidR="00C86A84">
        <w:rPr>
          <w:rStyle w:val="FootnoteReference"/>
        </w:rPr>
        <w:footnoteReference w:id="86"/>
      </w:r>
    </w:p>
    <w:p w:rsidR="007F4487" w:rsidRPr="007F4487" w:rsidRDefault="007F4487" w:rsidP="007754FB">
      <w:pPr>
        <w:pStyle w:val="answer"/>
      </w:pPr>
      <w:r w:rsidRPr="007F4487">
        <w:t>A.</w:t>
      </w:r>
      <w:r w:rsidRPr="007F4487">
        <w:tab/>
      </w:r>
      <w:r w:rsidRPr="00700ABC">
        <w:t xml:space="preserve">No. </w:t>
      </w:r>
      <w:r w:rsidR="008110A5">
        <w:t xml:space="preserve">Commission </w:t>
      </w:r>
      <w:r w:rsidRPr="00700ABC">
        <w:t>Staff</w:t>
      </w:r>
      <w:r w:rsidR="00E462EF">
        <w:t>’</w:t>
      </w:r>
      <w:r w:rsidRPr="00700ABC">
        <w:t xml:space="preserve">s </w:t>
      </w:r>
      <w:r>
        <w:t xml:space="preserve">adjustment as proposed </w:t>
      </w:r>
      <w:r w:rsidRPr="00700ABC">
        <w:t xml:space="preserve">will result in </w:t>
      </w:r>
      <w:r w:rsidR="0077523D">
        <w:t>PSE</w:t>
      </w:r>
      <w:r w:rsidR="00EA1825">
        <w:t xml:space="preserve"> </w:t>
      </w:r>
      <w:r>
        <w:t>writing off m</w:t>
      </w:r>
      <w:r w:rsidRPr="00700ABC">
        <w:t>ore than $60</w:t>
      </w:r>
      <w:r w:rsidR="008110A5">
        <w:t> </w:t>
      </w:r>
      <w:r>
        <w:t>million</w:t>
      </w:r>
      <w:r w:rsidRPr="00700ABC">
        <w:t xml:space="preserve"> of prudently incurred </w:t>
      </w:r>
      <w:r w:rsidR="00C86A84">
        <w:t xml:space="preserve">and deferred </w:t>
      </w:r>
      <w:r w:rsidRPr="00700ABC">
        <w:t>qualifying storm costs</w:t>
      </w:r>
      <w:r w:rsidR="008110A5">
        <w:t>,</w:t>
      </w:r>
      <w:r>
        <w:t xml:space="preserve"> which represents a </w:t>
      </w:r>
      <w:r w:rsidRPr="00700ABC">
        <w:t>$39.6</w:t>
      </w:r>
      <w:r w:rsidR="008110A5">
        <w:t> </w:t>
      </w:r>
      <w:r>
        <w:t>million</w:t>
      </w:r>
      <w:r w:rsidRPr="00700ABC">
        <w:t xml:space="preserve"> decrease in after tax net income (</w:t>
      </w:r>
      <w:r w:rsidR="008110A5">
        <w:t>$</w:t>
      </w:r>
      <w:r w:rsidRPr="00700ABC">
        <w:t>60.</w:t>
      </w:r>
      <w:r w:rsidR="00052224" w:rsidRPr="00700ABC">
        <w:t>9</w:t>
      </w:r>
      <w:r w:rsidR="008110A5">
        <w:t> </w:t>
      </w:r>
      <w:r w:rsidR="00052224">
        <w:t>million</w:t>
      </w:r>
      <w:r w:rsidR="008110A5">
        <w:t xml:space="preserve"> × </w:t>
      </w:r>
      <w:r w:rsidR="00AF052B">
        <w:t>(1</w:t>
      </w:r>
      <w:r w:rsidR="008110A5">
        <w:t> – 0</w:t>
      </w:r>
      <w:r w:rsidR="00AF052B">
        <w:t>.35)</w:t>
      </w:r>
      <w:r w:rsidRPr="00700ABC">
        <w:t>)</w:t>
      </w:r>
      <w:r>
        <w:t>.</w:t>
      </w:r>
      <w:r w:rsidR="00F26B15">
        <w:t xml:space="preserve"> </w:t>
      </w:r>
      <w:r>
        <w:t xml:space="preserve">Considering that </w:t>
      </w:r>
      <w:r w:rsidRPr="00700ABC">
        <w:t xml:space="preserve">in </w:t>
      </w:r>
      <w:r w:rsidR="00052224">
        <w:t xml:space="preserve">her testimony, </w:t>
      </w:r>
      <w:r w:rsidR="0077523D">
        <w:t>Ms. </w:t>
      </w:r>
      <w:proofErr w:type="spellStart"/>
      <w:r w:rsidRPr="00700ABC">
        <w:t>Cheesman</w:t>
      </w:r>
      <w:proofErr w:type="spellEnd"/>
      <w:r w:rsidR="00052224">
        <w:t xml:space="preserve"> </w:t>
      </w:r>
      <w:r>
        <w:t xml:space="preserve">views a change of </w:t>
      </w:r>
      <w:r>
        <w:lastRenderedPageBreak/>
        <w:t>one basis point of earnings to be material,</w:t>
      </w:r>
      <w:r w:rsidR="00052224" w:rsidRPr="00700ABC">
        <w:rPr>
          <w:rStyle w:val="FootnoteReference"/>
        </w:rPr>
        <w:footnoteReference w:id="87"/>
      </w:r>
      <w:r w:rsidRPr="00700ABC">
        <w:t xml:space="preserve"> </w:t>
      </w:r>
      <w:r>
        <w:t>a decrease of nearly 75 basis points</w:t>
      </w:r>
      <w:r w:rsidR="00C86A84">
        <w:rPr>
          <w:rStyle w:val="FootnoteReference"/>
        </w:rPr>
        <w:footnoteReference w:id="88"/>
      </w:r>
      <w:r>
        <w:t xml:space="preserve"> </w:t>
      </w:r>
      <w:r w:rsidR="00CF4153">
        <w:t xml:space="preserve">is obviously </w:t>
      </w:r>
      <w:r>
        <w:t>substantial.</w:t>
      </w:r>
      <w:r w:rsidR="00F26B15">
        <w:t xml:space="preserve"> </w:t>
      </w:r>
    </w:p>
    <w:p w:rsidR="00463111" w:rsidRPr="00700ABC" w:rsidRDefault="008110A5" w:rsidP="00DC5696">
      <w:pPr>
        <w:pStyle w:val="answer"/>
        <w:ind w:firstLine="0"/>
      </w:pPr>
      <w:r>
        <w:t xml:space="preserve">Commission </w:t>
      </w:r>
      <w:r w:rsidR="0080382F">
        <w:t xml:space="preserve">Staff </w:t>
      </w:r>
      <w:r w:rsidR="00052224">
        <w:t xml:space="preserve">contends </w:t>
      </w:r>
      <w:r w:rsidR="0080382F">
        <w:t xml:space="preserve">that with decoupling there is stable recovery of storm costs because </w:t>
      </w:r>
      <w:r w:rsidR="009C6D50">
        <w:t xml:space="preserve">the </w:t>
      </w:r>
      <w:r w:rsidR="007F4487">
        <w:t>six</w:t>
      </w:r>
      <w:r w:rsidR="0080382F">
        <w:t xml:space="preserve">-year average is part of the allowed revenue per customer </w:t>
      </w:r>
      <w:r w:rsidR="009C6D50">
        <w:t xml:space="preserve">and therefore </w:t>
      </w:r>
      <w:r w:rsidR="0077523D">
        <w:t>PSE</w:t>
      </w:r>
      <w:r w:rsidR="00052224">
        <w:t xml:space="preserve"> </w:t>
      </w:r>
      <w:r w:rsidR="0080382F">
        <w:t>will recover its costs.</w:t>
      </w:r>
      <w:r w:rsidR="00CF4153">
        <w:rPr>
          <w:rStyle w:val="FootnoteReference"/>
        </w:rPr>
        <w:footnoteReference w:id="89"/>
      </w:r>
      <w:r w:rsidR="00F26B15">
        <w:t xml:space="preserve"> </w:t>
      </w:r>
      <w:r w:rsidR="0080382F">
        <w:t xml:space="preserve">Unfortunately, </w:t>
      </w:r>
      <w:r>
        <w:t xml:space="preserve">Commission </w:t>
      </w:r>
      <w:r w:rsidR="0080382F">
        <w:t>Staff has missed the point that</w:t>
      </w:r>
      <w:r>
        <w:t>,</w:t>
      </w:r>
      <w:r w:rsidR="0080382F">
        <w:t xml:space="preserve"> under </w:t>
      </w:r>
      <w:r>
        <w:t xml:space="preserve">Commission Staff’s </w:t>
      </w:r>
      <w:r w:rsidR="0080382F">
        <w:t>proposal</w:t>
      </w:r>
      <w:r>
        <w:t xml:space="preserve"> (i) </w:t>
      </w:r>
      <w:r w:rsidR="0080382F">
        <w:t>the only costs that will be recovered because of decoupling is the average costs</w:t>
      </w:r>
      <w:r>
        <w:t xml:space="preserve"> </w:t>
      </w:r>
      <w:r w:rsidR="0080382F">
        <w:t xml:space="preserve">and </w:t>
      </w:r>
      <w:r>
        <w:t>(ii) </w:t>
      </w:r>
      <w:r w:rsidR="0080382F">
        <w:t xml:space="preserve">there is considerably more variability in the definition of </w:t>
      </w:r>
      <w:r w:rsidR="00E462EF">
        <w:t>“</w:t>
      </w:r>
      <w:r w:rsidR="0080382F">
        <w:t>normal</w:t>
      </w:r>
      <w:r w:rsidR="00E462EF">
        <w:t>”</w:t>
      </w:r>
      <w:r w:rsidR="0080382F">
        <w:t xml:space="preserve"> costs</w:t>
      </w:r>
      <w:r w:rsidR="00052224">
        <w:t>,</w:t>
      </w:r>
      <w:r w:rsidR="0080382F">
        <w:t xml:space="preserve"> which harms customers by setting the average higher than it would otherwise need to be if the mechanism was left unchanged.</w:t>
      </w:r>
    </w:p>
    <w:p w:rsidR="00D56473" w:rsidRPr="00CB5240" w:rsidRDefault="000A2CE8" w:rsidP="007754FB">
      <w:pPr>
        <w:pStyle w:val="question"/>
      </w:pPr>
      <w:r w:rsidRPr="00342134">
        <w:rPr>
          <w:bCs/>
        </w:rPr>
        <w:t>Q.</w:t>
      </w:r>
      <w:r w:rsidR="003908A0">
        <w:tab/>
      </w:r>
      <w:r w:rsidR="00D56473" w:rsidRPr="00CB5240">
        <w:t xml:space="preserve">Has any other party proposed a change to the storm </w:t>
      </w:r>
      <w:r w:rsidR="008B3609">
        <w:t xml:space="preserve">deferral </w:t>
      </w:r>
      <w:r w:rsidR="00D56473" w:rsidRPr="00CB5240">
        <w:t>mechanism?</w:t>
      </w:r>
      <w:r w:rsidR="00F26B15">
        <w:t xml:space="preserve"> </w:t>
      </w:r>
    </w:p>
    <w:p w:rsidR="00802407" w:rsidRDefault="000A2CE8" w:rsidP="007754FB">
      <w:pPr>
        <w:pStyle w:val="answer"/>
      </w:pPr>
      <w:r>
        <w:t>A.</w:t>
      </w:r>
      <w:r w:rsidR="003908A0">
        <w:tab/>
      </w:r>
      <w:r w:rsidR="00D56473">
        <w:t>No.</w:t>
      </w:r>
      <w:r w:rsidR="00F26B15">
        <w:t xml:space="preserve"> </w:t>
      </w:r>
      <w:r w:rsidR="00FD6113">
        <w:t xml:space="preserve">Only </w:t>
      </w:r>
      <w:r w:rsidR="009D6245">
        <w:t xml:space="preserve">Commission </w:t>
      </w:r>
      <w:r w:rsidR="00FD6113">
        <w:t xml:space="preserve">Staff has proposed changes to the storm </w:t>
      </w:r>
      <w:r w:rsidR="008B3609">
        <w:t>deferral</w:t>
      </w:r>
      <w:r w:rsidR="009A38A4">
        <w:t xml:space="preserve"> </w:t>
      </w:r>
      <w:r w:rsidR="00FD6113">
        <w:t>mechanism.</w:t>
      </w:r>
    </w:p>
    <w:p w:rsidR="00D56473" w:rsidRPr="00802407" w:rsidRDefault="000A2CE8" w:rsidP="007754FB">
      <w:pPr>
        <w:pStyle w:val="question"/>
      </w:pPr>
      <w:r w:rsidRPr="00342134">
        <w:rPr>
          <w:bCs/>
        </w:rPr>
        <w:t>Q.</w:t>
      </w:r>
      <w:r w:rsidR="003908A0">
        <w:tab/>
      </w:r>
      <w:r w:rsidR="00D56473">
        <w:t xml:space="preserve">If the </w:t>
      </w:r>
      <w:r w:rsidR="00BD0C04">
        <w:t xml:space="preserve">Commission </w:t>
      </w:r>
      <w:r w:rsidR="00F95977">
        <w:t xml:space="preserve">were to </w:t>
      </w:r>
      <w:r w:rsidR="00D56473">
        <w:t xml:space="preserve">accept </w:t>
      </w:r>
      <w:r w:rsidR="0077523D">
        <w:t>Mr. </w:t>
      </w:r>
      <w:proofErr w:type="spellStart"/>
      <w:r w:rsidR="00D56473">
        <w:t>Schooley</w:t>
      </w:r>
      <w:r w:rsidR="00E462EF">
        <w:t>’</w:t>
      </w:r>
      <w:r w:rsidR="00D56473">
        <w:t>s</w:t>
      </w:r>
      <w:proofErr w:type="spellEnd"/>
      <w:r w:rsidR="00D56473">
        <w:t xml:space="preserve"> p</w:t>
      </w:r>
      <w:r w:rsidR="00463111">
        <w:t>roposal</w:t>
      </w:r>
      <w:r w:rsidR="00D56473">
        <w:t>, do</w:t>
      </w:r>
      <w:r w:rsidR="009D6245">
        <w:t>es</w:t>
      </w:r>
      <w:r w:rsidR="00D56473">
        <w:t xml:space="preserve"> </w:t>
      </w:r>
      <w:r w:rsidR="009D6245">
        <w:t xml:space="preserve">PSE </w:t>
      </w:r>
      <w:r w:rsidR="00D56473">
        <w:t>believe his adjustment has been calculated correctly?</w:t>
      </w:r>
    </w:p>
    <w:p w:rsidR="00D56473" w:rsidRDefault="000A2CE8" w:rsidP="007754FB">
      <w:pPr>
        <w:pStyle w:val="answer"/>
      </w:pPr>
      <w:r>
        <w:t>A.</w:t>
      </w:r>
      <w:r w:rsidR="003908A0">
        <w:tab/>
      </w:r>
      <w:r w:rsidR="00D56473">
        <w:t>No</w:t>
      </w:r>
      <w:r w:rsidR="00F95977">
        <w:t>t entirely.</w:t>
      </w:r>
      <w:r w:rsidR="00F26B15">
        <w:t xml:space="preserve"> </w:t>
      </w:r>
      <w:r w:rsidR="009D6245">
        <w:t xml:space="preserve">PSE </w:t>
      </w:r>
      <w:r w:rsidR="00D56473">
        <w:t xml:space="preserve">can agree </w:t>
      </w:r>
      <w:r w:rsidR="00802407">
        <w:t xml:space="preserve">with </w:t>
      </w:r>
      <w:r w:rsidR="0077523D">
        <w:t>Mr. </w:t>
      </w:r>
      <w:proofErr w:type="spellStart"/>
      <w:r w:rsidR="00D56473">
        <w:t>Schooley</w:t>
      </w:r>
      <w:r w:rsidR="00E462EF">
        <w:t>’</w:t>
      </w:r>
      <w:r w:rsidR="00D56473">
        <w:t>s</w:t>
      </w:r>
      <w:proofErr w:type="spellEnd"/>
      <w:r w:rsidR="00D56473">
        <w:t xml:space="preserve"> </w:t>
      </w:r>
      <w:r w:rsidR="00802407">
        <w:t xml:space="preserve">calculation of the </w:t>
      </w:r>
      <w:r w:rsidR="003908A0">
        <w:t>six</w:t>
      </w:r>
      <w:r w:rsidR="00802407">
        <w:t>-y</w:t>
      </w:r>
      <w:r w:rsidR="00D56473">
        <w:t xml:space="preserve">ear average </w:t>
      </w:r>
      <w:r w:rsidR="00A27461">
        <w:t>as</w:t>
      </w:r>
      <w:r w:rsidR="00D56473">
        <w:t xml:space="preserve"> $18.</w:t>
      </w:r>
      <w:r w:rsidR="004F1270">
        <w:t>8</w:t>
      </w:r>
      <w:r w:rsidR="009D6245">
        <w:t> </w:t>
      </w:r>
      <w:r w:rsidR="003E196B">
        <w:t>million,</w:t>
      </w:r>
      <w:r w:rsidR="00D56473">
        <w:t xml:space="preserve"> which is consistent with the figure reflected on line</w:t>
      </w:r>
      <w:r w:rsidR="009D6245">
        <w:t> </w:t>
      </w:r>
      <w:r w:rsidR="00D56473">
        <w:t>11 of Exhibit</w:t>
      </w:r>
      <w:r w:rsidR="009D6245">
        <w:t> </w:t>
      </w:r>
      <w:r w:rsidR="00D56473">
        <w:t>MCC-2 Adjustment 13.09.</w:t>
      </w:r>
      <w:r w:rsidR="00F26B15">
        <w:t xml:space="preserve"> </w:t>
      </w:r>
      <w:r w:rsidR="00D56473">
        <w:t xml:space="preserve">However, </w:t>
      </w:r>
      <w:r w:rsidR="00802407">
        <w:t>a</w:t>
      </w:r>
      <w:r w:rsidR="00D56473">
        <w:t xml:space="preserve">ny modification to the storm </w:t>
      </w:r>
      <w:r w:rsidR="00D56473">
        <w:lastRenderedPageBreak/>
        <w:t xml:space="preserve">mechanism </w:t>
      </w:r>
      <w:r w:rsidR="00802407">
        <w:t xml:space="preserve">must be done on a </w:t>
      </w:r>
      <w:r w:rsidR="009D6245">
        <w:t xml:space="preserve">prospective </w:t>
      </w:r>
      <w:r w:rsidR="00D56473">
        <w:t>basis</w:t>
      </w:r>
      <w:r w:rsidR="009D6245">
        <w:t>,</w:t>
      </w:r>
      <w:r w:rsidR="00D56473">
        <w:t xml:space="preserve"> and </w:t>
      </w:r>
      <w:r w:rsidR="00802407">
        <w:t xml:space="preserve">the </w:t>
      </w:r>
      <w:r w:rsidR="001F7F02">
        <w:t>deferred storm costs that</w:t>
      </w:r>
      <w:r w:rsidR="00D56473">
        <w:t xml:space="preserve"> were booked </w:t>
      </w:r>
      <w:r w:rsidR="001F7F02">
        <w:t xml:space="preserve">would need to </w:t>
      </w:r>
      <w:r w:rsidR="00D56473">
        <w:t>be amortize</w:t>
      </w:r>
      <w:r w:rsidR="001F7F02">
        <w:t xml:space="preserve">d as reflected in </w:t>
      </w:r>
      <w:r w:rsidR="0077523D">
        <w:t>PSE</w:t>
      </w:r>
      <w:r w:rsidR="00E462EF">
        <w:t>’</w:t>
      </w:r>
      <w:r w:rsidR="008B3609">
        <w:t xml:space="preserve">s </w:t>
      </w:r>
      <w:r w:rsidR="001F7F02">
        <w:t>adjustment</w:t>
      </w:r>
      <w:r w:rsidR="00D56473">
        <w:t>.</w:t>
      </w:r>
      <w:r w:rsidR="00F26B15">
        <w:t xml:space="preserve"> </w:t>
      </w:r>
      <w:r w:rsidR="00D56473">
        <w:t xml:space="preserve">Any change that does not address the outstanding deferrals will result in a significant </w:t>
      </w:r>
      <w:r w:rsidR="00F561E5">
        <w:t xml:space="preserve">retroactive </w:t>
      </w:r>
      <w:r w:rsidR="00D56473">
        <w:t xml:space="preserve">write-off of prudently incurred </w:t>
      </w:r>
      <w:r w:rsidR="00CF4153">
        <w:t xml:space="preserve">and deferred </w:t>
      </w:r>
      <w:r w:rsidR="00D56473">
        <w:t xml:space="preserve">storm cost and is certainly unfair to </w:t>
      </w:r>
      <w:r w:rsidR="0077523D">
        <w:t>PSE</w:t>
      </w:r>
      <w:r w:rsidR="00D56473">
        <w:t>.</w:t>
      </w:r>
    </w:p>
    <w:p w:rsidR="00D56473" w:rsidRPr="00CE4D94" w:rsidRDefault="000A2CE8" w:rsidP="007754FB">
      <w:pPr>
        <w:pStyle w:val="question"/>
      </w:pPr>
      <w:r w:rsidRPr="00342134">
        <w:rPr>
          <w:bCs/>
        </w:rPr>
        <w:t>Q.</w:t>
      </w:r>
      <w:r w:rsidR="003908A0">
        <w:tab/>
      </w:r>
      <w:r w:rsidR="00FD6113">
        <w:t>Is</w:t>
      </w:r>
      <w:r w:rsidR="00D56473" w:rsidRPr="00CE4D94">
        <w:t xml:space="preserve"> </w:t>
      </w:r>
      <w:r w:rsidR="0077523D">
        <w:t>Mr. </w:t>
      </w:r>
      <w:proofErr w:type="spellStart"/>
      <w:r w:rsidR="00FD6113">
        <w:t>Schooley</w:t>
      </w:r>
      <w:r w:rsidR="00E462EF">
        <w:t>’</w:t>
      </w:r>
      <w:r w:rsidR="00FD6113">
        <w:t>s</w:t>
      </w:r>
      <w:proofErr w:type="spellEnd"/>
      <w:r w:rsidR="00FD6113">
        <w:t xml:space="preserve"> </w:t>
      </w:r>
      <w:r w:rsidR="001F7F02">
        <w:t xml:space="preserve">adjustment to </w:t>
      </w:r>
      <w:r w:rsidR="00FD6113">
        <w:t>investor supplied working capital necessary if the storm mechanism is changed on a going forward basis?</w:t>
      </w:r>
    </w:p>
    <w:p w:rsidR="00D56473" w:rsidRDefault="000A2CE8" w:rsidP="007754FB">
      <w:pPr>
        <w:pStyle w:val="answer"/>
      </w:pPr>
      <w:r>
        <w:t>A.</w:t>
      </w:r>
      <w:r w:rsidR="00A27461">
        <w:tab/>
      </w:r>
      <w:r w:rsidR="00D56473">
        <w:t>No</w:t>
      </w:r>
      <w:r w:rsidR="00FD6113">
        <w:t>.</w:t>
      </w:r>
      <w:r w:rsidR="00F26B15">
        <w:t xml:space="preserve"> </w:t>
      </w:r>
      <w:r w:rsidR="00FD6113">
        <w:t xml:space="preserve">As discussed earlier, the adjustment to investor supplied working capital is directly related to </w:t>
      </w:r>
      <w:r w:rsidR="0077523D">
        <w:t>Mr. </w:t>
      </w:r>
      <w:proofErr w:type="spellStart"/>
      <w:r w:rsidR="00FD6113">
        <w:t>Schooley</w:t>
      </w:r>
      <w:r w:rsidR="00E462EF">
        <w:t>’</w:t>
      </w:r>
      <w:r w:rsidR="00FD6113">
        <w:t>s</w:t>
      </w:r>
      <w:proofErr w:type="spellEnd"/>
      <w:r w:rsidR="00FD6113">
        <w:t xml:space="preserve"> proposal to </w:t>
      </w:r>
      <w:r w:rsidR="00E462EF">
        <w:t>“</w:t>
      </w:r>
      <w:r w:rsidR="00FD6113">
        <w:t>un-defer</w:t>
      </w:r>
      <w:r w:rsidR="00E462EF">
        <w:t>”</w:t>
      </w:r>
      <w:r w:rsidR="00FD6113">
        <w:t xml:space="preserve"> previously recorded deferred storm costs balances.</w:t>
      </w:r>
      <w:r w:rsidR="00F26B15">
        <w:t xml:space="preserve"> </w:t>
      </w:r>
      <w:r w:rsidR="006D0B59">
        <w:t>Additionally, h</w:t>
      </w:r>
      <w:r w:rsidR="00BB3655">
        <w:t>is adjustment removes the September</w:t>
      </w:r>
      <w:r w:rsidR="009D6245">
        <w:t> </w:t>
      </w:r>
      <w:r w:rsidR="00BB3655">
        <w:t>30, 2016 end of period</w:t>
      </w:r>
      <w:r w:rsidR="00BB3655">
        <w:rPr>
          <w:rStyle w:val="FootnoteReference"/>
        </w:rPr>
        <w:footnoteReference w:id="90"/>
      </w:r>
      <w:r w:rsidR="00BB3655">
        <w:t xml:space="preserve"> balance for the storms that he would </w:t>
      </w:r>
      <w:r w:rsidR="00E462EF">
        <w:t>“</w:t>
      </w:r>
      <w:r w:rsidR="00BB3655">
        <w:t>un-defer</w:t>
      </w:r>
      <w:r w:rsidR="006D0B59">
        <w:t>,</w:t>
      </w:r>
      <w:r w:rsidR="00E462EF">
        <w:t>”</w:t>
      </w:r>
      <w:r w:rsidR="00BB3655">
        <w:t xml:space="preserve"> </w:t>
      </w:r>
      <w:r w:rsidR="00D56473">
        <w:t>decreas</w:t>
      </w:r>
      <w:r w:rsidR="00BB3655">
        <w:t>ing</w:t>
      </w:r>
      <w:r w:rsidR="00D56473">
        <w:t xml:space="preserve"> </w:t>
      </w:r>
      <w:r w:rsidR="006D0B59">
        <w:t>rather than utilizing the test year AMA balances that were included in the working capital calculation</w:t>
      </w:r>
      <w:r w:rsidR="00D56473">
        <w:t>.</w:t>
      </w:r>
    </w:p>
    <w:p w:rsidR="00D56473" w:rsidRPr="009A1E7E" w:rsidRDefault="000A2CE8" w:rsidP="007754FB">
      <w:pPr>
        <w:pStyle w:val="question"/>
      </w:pPr>
      <w:r w:rsidRPr="00342134">
        <w:rPr>
          <w:bCs/>
        </w:rPr>
        <w:t>Q.</w:t>
      </w:r>
      <w:r w:rsidR="000C55F3">
        <w:tab/>
      </w:r>
      <w:r w:rsidR="00F95977">
        <w:t xml:space="preserve">Are there any other elements to </w:t>
      </w:r>
      <w:r w:rsidR="009D6245">
        <w:t xml:space="preserve">Commission </w:t>
      </w:r>
      <w:r w:rsidR="00F95977">
        <w:t>Staff</w:t>
      </w:r>
      <w:r w:rsidR="00E462EF">
        <w:t>’</w:t>
      </w:r>
      <w:r w:rsidR="00F95977">
        <w:t>s proposed changes to the storm mechanism that you would like to address</w:t>
      </w:r>
      <w:r w:rsidR="00D56473" w:rsidRPr="009A1E7E">
        <w:t>?</w:t>
      </w:r>
    </w:p>
    <w:p w:rsidR="00843E53" w:rsidRDefault="000A2CE8" w:rsidP="007754FB">
      <w:pPr>
        <w:pStyle w:val="answer"/>
      </w:pPr>
      <w:r>
        <w:t>A.</w:t>
      </w:r>
      <w:r w:rsidR="000C55F3">
        <w:tab/>
      </w:r>
      <w:r w:rsidR="00F95977">
        <w:t>Yes.</w:t>
      </w:r>
      <w:r w:rsidR="00F26B15">
        <w:t xml:space="preserve"> </w:t>
      </w:r>
      <w:r w:rsidR="00F95977">
        <w:t xml:space="preserve">First, </w:t>
      </w:r>
      <w:r w:rsidR="009D6245">
        <w:t xml:space="preserve">Commission </w:t>
      </w:r>
      <w:r w:rsidR="00F95977" w:rsidRPr="00F95977">
        <w:t xml:space="preserve">Staff proposes that catastrophic storm deferrals begin </w:t>
      </w:r>
      <w:r w:rsidR="000E4B23">
        <w:t>amortizing in the month when the repair work is completed</w:t>
      </w:r>
      <w:r w:rsidR="00843E53">
        <w:t>,</w:t>
      </w:r>
      <w:r w:rsidR="000E4B23">
        <w:t xml:space="preserve"> </w:t>
      </w:r>
      <w:r w:rsidR="008E1C03">
        <w:t xml:space="preserve">claiming that the deferred costs are similar to plant costs which begin depreciating once placed in </w:t>
      </w:r>
      <w:r w:rsidR="008E1C03">
        <w:lastRenderedPageBreak/>
        <w:t>service.</w:t>
      </w:r>
      <w:r w:rsidR="00CF4153">
        <w:rPr>
          <w:rStyle w:val="FootnoteReference"/>
        </w:rPr>
        <w:footnoteReference w:id="91"/>
      </w:r>
      <w:r w:rsidR="00F26B15">
        <w:t xml:space="preserve"> </w:t>
      </w:r>
      <w:r w:rsidR="009D6245">
        <w:t xml:space="preserve">Commission </w:t>
      </w:r>
      <w:r w:rsidR="00A3393C">
        <w:t>Staff</w:t>
      </w:r>
      <w:r w:rsidR="00E462EF">
        <w:t>’</w:t>
      </w:r>
      <w:r w:rsidR="00A3393C">
        <w:t>s proposal would result in the amortization of the catastrophic storm costs before they were included in rates</w:t>
      </w:r>
      <w:r w:rsidR="00843E53">
        <w:t>,</w:t>
      </w:r>
      <w:r w:rsidR="00A3393C">
        <w:t xml:space="preserve"> which would typically occur in the next general rate case or possibly an expedited rate filing.</w:t>
      </w:r>
      <w:r w:rsidR="00F26B15">
        <w:t xml:space="preserve"> </w:t>
      </w:r>
      <w:r w:rsidR="00A3393C">
        <w:t>His assumption that deferred storm costs are the same as the capitalized plant which is placed in service and begins depreciation is simply not true because the plant has a far longer life than the amortizations associated with storm costs.</w:t>
      </w:r>
      <w:r w:rsidR="00F26B15">
        <w:t xml:space="preserve"> </w:t>
      </w:r>
      <w:r w:rsidR="000C55F3">
        <w:t>Storm cost</w:t>
      </w:r>
      <w:r w:rsidR="00594AD8">
        <w:t>s</w:t>
      </w:r>
      <w:r w:rsidR="000C55F3">
        <w:t xml:space="preserve"> have typically been amortized over a four-year period, and t</w:t>
      </w:r>
      <w:r w:rsidR="00A3393C">
        <w:t xml:space="preserve">he longest amortization period used for storm costs has been the </w:t>
      </w:r>
      <w:r w:rsidR="000C55F3">
        <w:t>ten-</w:t>
      </w:r>
      <w:r w:rsidR="00A3393C">
        <w:t xml:space="preserve">year amortization used for the Hanukah Eve storm compared to the depreciation lives of 30 to 50 years for distribution and transmission assets. Thus, under </w:t>
      </w:r>
      <w:r w:rsidR="0077523D">
        <w:t>Mr. </w:t>
      </w:r>
      <w:proofErr w:type="spellStart"/>
      <w:r w:rsidR="00A3393C">
        <w:t>Schooley</w:t>
      </w:r>
      <w:r w:rsidR="00E462EF">
        <w:t>’</w:t>
      </w:r>
      <w:r w:rsidR="00A3393C">
        <w:t>s</w:t>
      </w:r>
      <w:proofErr w:type="spellEnd"/>
      <w:r w:rsidR="00A3393C">
        <w:t xml:space="preserve"> proposal, PSE would not be able to recover much of the costs it incurs </w:t>
      </w:r>
      <w:r w:rsidR="00F561E5">
        <w:t xml:space="preserve">especially </w:t>
      </w:r>
      <w:r w:rsidR="00A3393C">
        <w:t>for the limited number of storms that would be catastrophic storms</w:t>
      </w:r>
      <w:r w:rsidR="00F561E5">
        <w:t xml:space="preserve"> under his proposal</w:t>
      </w:r>
      <w:r w:rsidR="00A3393C">
        <w:t xml:space="preserve">, since they would be partially </w:t>
      </w:r>
      <w:r w:rsidR="00F561E5">
        <w:t xml:space="preserve">or fully </w:t>
      </w:r>
      <w:r w:rsidR="00A3393C">
        <w:t xml:space="preserve">amortized before they could be recovered in rates. </w:t>
      </w:r>
    </w:p>
    <w:p w:rsidR="00DC5696" w:rsidRDefault="00A942AD" w:rsidP="007754FB">
      <w:pPr>
        <w:pStyle w:val="answer"/>
        <w:ind w:firstLine="0"/>
      </w:pPr>
      <w:r>
        <w:t>Additionally</w:t>
      </w:r>
      <w:r w:rsidR="00843E53">
        <w:t xml:space="preserve">, from an administrative perspective, </w:t>
      </w:r>
      <w:r w:rsidR="009D6245">
        <w:t xml:space="preserve">Commission </w:t>
      </w:r>
      <w:r w:rsidR="003A30E3">
        <w:t>Staff</w:t>
      </w:r>
      <w:r w:rsidR="00E462EF">
        <w:t>’</w:t>
      </w:r>
      <w:r w:rsidR="003A30E3">
        <w:t>s</w:t>
      </w:r>
      <w:r w:rsidR="00A3393C">
        <w:t xml:space="preserve"> proposal </w:t>
      </w:r>
      <w:r w:rsidR="00BB154B">
        <w:t xml:space="preserve">is </w:t>
      </w:r>
      <w:r w:rsidR="00A3393C">
        <w:t>not realistic</w:t>
      </w:r>
      <w:r w:rsidR="00BB154B">
        <w:t>.</w:t>
      </w:r>
      <w:r w:rsidR="00F26B15">
        <w:t xml:space="preserve"> </w:t>
      </w:r>
      <w:r w:rsidR="003A30E3">
        <w:t>PSE</w:t>
      </w:r>
      <w:r w:rsidR="00BB154B">
        <w:t xml:space="preserve"> would be required to </w:t>
      </w:r>
      <w:r w:rsidR="00DE424E">
        <w:t>file a</w:t>
      </w:r>
      <w:r w:rsidR="00F95977">
        <w:t xml:space="preserve">n accounting </w:t>
      </w:r>
      <w:r w:rsidR="00DE424E">
        <w:t>petition to request deferred accounting</w:t>
      </w:r>
      <w:r w:rsidR="00BB154B">
        <w:t xml:space="preserve"> for the costs associated with the storm event, which should be first approved before an amortization would begin.</w:t>
      </w:r>
    </w:p>
    <w:p w:rsidR="00D56473" w:rsidRDefault="00061AF4" w:rsidP="007754FB">
      <w:pPr>
        <w:pStyle w:val="answer"/>
        <w:ind w:firstLine="0"/>
      </w:pPr>
      <w:r>
        <w:t xml:space="preserve">The final element to be addressed is </w:t>
      </w:r>
      <w:r w:rsidR="0077523D">
        <w:t>Mr. </w:t>
      </w:r>
      <w:proofErr w:type="spellStart"/>
      <w:r w:rsidR="003A30E3">
        <w:t>Schooley</w:t>
      </w:r>
      <w:r w:rsidR="00E462EF">
        <w:t>’</w:t>
      </w:r>
      <w:r w:rsidR="003A30E3">
        <w:t>s</w:t>
      </w:r>
      <w:proofErr w:type="spellEnd"/>
      <w:r w:rsidR="003A30E3">
        <w:t xml:space="preserve"> </w:t>
      </w:r>
      <w:r>
        <w:t xml:space="preserve">proposal that the </w:t>
      </w:r>
      <w:r w:rsidR="000C55F3">
        <w:t>six-</w:t>
      </w:r>
      <w:r>
        <w:t xml:space="preserve">year average storm normalization adjustment be included in the Commission </w:t>
      </w:r>
      <w:r w:rsidR="000C55F3">
        <w:t xml:space="preserve">Basis </w:t>
      </w:r>
      <w:r w:rsidR="000C55F3">
        <w:lastRenderedPageBreak/>
        <w:t xml:space="preserve">Report </w:t>
      </w:r>
      <w:r>
        <w:t>or in the expedited rate filing process.</w:t>
      </w:r>
      <w:r w:rsidR="00CF4153">
        <w:rPr>
          <w:rStyle w:val="FootnoteReference"/>
        </w:rPr>
        <w:footnoteReference w:id="92"/>
      </w:r>
      <w:r w:rsidR="00F26B15">
        <w:t xml:space="preserve"> </w:t>
      </w:r>
      <w:r w:rsidR="009D6245">
        <w:t>PSE</w:t>
      </w:r>
      <w:r>
        <w:t xml:space="preserve"> can agree that including the </w:t>
      </w:r>
      <w:r w:rsidR="000C55F3">
        <w:t>six-</w:t>
      </w:r>
      <w:r>
        <w:t xml:space="preserve">year average in an expedited rate filing or the Commission Basis </w:t>
      </w:r>
      <w:r w:rsidR="000C55F3">
        <w:t xml:space="preserve">Report </w:t>
      </w:r>
      <w:r>
        <w:t>would be appropriate</w:t>
      </w:r>
      <w:r w:rsidR="00082D7D">
        <w:t>, provided that</w:t>
      </w:r>
      <w:r w:rsidR="009D6245">
        <w:t xml:space="preserve"> </w:t>
      </w:r>
      <w:r>
        <w:t>this adjustment not be included for purposes of the earnings</w:t>
      </w:r>
      <w:r w:rsidR="00A942AD">
        <w:t xml:space="preserve"> </w:t>
      </w:r>
      <w:r>
        <w:t>test.</w:t>
      </w:r>
    </w:p>
    <w:p w:rsidR="00061AF4" w:rsidRPr="009A1E7E" w:rsidRDefault="000A2CE8" w:rsidP="007754FB">
      <w:pPr>
        <w:pStyle w:val="question"/>
      </w:pPr>
      <w:r w:rsidRPr="00342134">
        <w:rPr>
          <w:bCs/>
        </w:rPr>
        <w:t>Q.</w:t>
      </w:r>
      <w:r w:rsidR="00082D7D">
        <w:tab/>
      </w:r>
      <w:r w:rsidR="00061AF4" w:rsidRPr="009A1E7E">
        <w:t>Wh</w:t>
      </w:r>
      <w:r w:rsidR="00061AF4">
        <w:t xml:space="preserve">y should the storm normalizing adjustment not be included for earnings sharing purposes? </w:t>
      </w:r>
    </w:p>
    <w:p w:rsidR="009D6245" w:rsidRDefault="000A2CE8" w:rsidP="001355ED">
      <w:pPr>
        <w:pStyle w:val="answer"/>
      </w:pPr>
      <w:r>
        <w:t>A.</w:t>
      </w:r>
      <w:r w:rsidR="00082D7D">
        <w:tab/>
      </w:r>
      <w:r w:rsidR="001B3541">
        <w:t>As</w:t>
      </w:r>
      <w:r w:rsidR="00061AF4">
        <w:t xml:space="preserve"> </w:t>
      </w:r>
      <w:r w:rsidR="009D6245">
        <w:t xml:space="preserve">addressed in the </w:t>
      </w:r>
      <w:proofErr w:type="spellStart"/>
      <w:r w:rsidR="009D6245">
        <w:t>Prefiled</w:t>
      </w:r>
      <w:proofErr w:type="spellEnd"/>
      <w:r w:rsidR="009D6245">
        <w:t xml:space="preserve"> Rebuttal Testimony of Daniel A. Doyle, </w:t>
      </w:r>
      <w:r w:rsidR="00F561E5">
        <w:t>Exhibit DAD-7T,</w:t>
      </w:r>
      <w:r w:rsidR="001B3541">
        <w:t xml:space="preserve"> </w:t>
      </w:r>
      <w:r w:rsidR="009D6245">
        <w:t xml:space="preserve">the inclusion of </w:t>
      </w:r>
      <w:r w:rsidR="001B3541">
        <w:t>normalization adjustments in the earnings test create</w:t>
      </w:r>
      <w:r w:rsidR="009A3CFC">
        <w:t>s</w:t>
      </w:r>
      <w:r w:rsidR="001B3541">
        <w:t xml:space="preserve"> phantom earnings</w:t>
      </w:r>
      <w:r w:rsidR="00F561E5">
        <w:t xml:space="preserve"> or reduces actual earnings</w:t>
      </w:r>
      <w:r w:rsidR="001B3541">
        <w:t xml:space="preserve"> when used in the earnings sharing calculation.</w:t>
      </w:r>
      <w:r w:rsidR="00F26B15">
        <w:t xml:space="preserve"> </w:t>
      </w:r>
      <w:r w:rsidR="001B3541">
        <w:t>By removing actual period expenses and replacing them with an average</w:t>
      </w:r>
      <w:r w:rsidR="00661220">
        <w:t>,</w:t>
      </w:r>
      <w:r w:rsidR="001B3541">
        <w:t xml:space="preserve"> the actual impact on </w:t>
      </w:r>
      <w:r w:rsidR="0077523D">
        <w:t>PSE</w:t>
      </w:r>
      <w:r w:rsidR="00E462EF">
        <w:t>’</w:t>
      </w:r>
      <w:r w:rsidR="00751275">
        <w:t xml:space="preserve">s </w:t>
      </w:r>
      <w:r w:rsidR="001B3541">
        <w:t>operations for the year</w:t>
      </w:r>
      <w:r w:rsidR="0035042F">
        <w:t xml:space="preserve"> </w:t>
      </w:r>
      <w:r w:rsidR="00661220">
        <w:t>is removed</w:t>
      </w:r>
      <w:r w:rsidR="001B3541">
        <w:t>.</w:t>
      </w:r>
      <w:r w:rsidR="00F26B15">
        <w:t xml:space="preserve"> </w:t>
      </w:r>
      <w:r w:rsidR="001B3541">
        <w:t xml:space="preserve">The inclusion of normalization adjustments for ratemaking and Commission Basis Reporting is completely reasonable as both </w:t>
      </w:r>
      <w:r w:rsidR="009A3CFC">
        <w:t>instances are</w:t>
      </w:r>
      <w:r w:rsidR="001B3541">
        <w:t xml:space="preserve"> intended for assessing </w:t>
      </w:r>
      <w:r w:rsidR="0077523D">
        <w:t>PSE</w:t>
      </w:r>
      <w:r w:rsidR="00E462EF">
        <w:t>’</w:t>
      </w:r>
      <w:r w:rsidR="001B3541">
        <w:t>s income under normal conditions.</w:t>
      </w:r>
      <w:r w:rsidR="00F26B15">
        <w:t xml:space="preserve"> </w:t>
      </w:r>
      <w:r w:rsidR="001B3541">
        <w:t>However</w:t>
      </w:r>
      <w:r w:rsidR="0035042F">
        <w:t>,</w:t>
      </w:r>
      <w:r w:rsidR="001B3541">
        <w:t xml:space="preserve"> </w:t>
      </w:r>
      <w:r w:rsidR="009A3CFC">
        <w:t xml:space="preserve">the earnings sharing test is intended to review whether </w:t>
      </w:r>
      <w:r w:rsidR="0077523D">
        <w:t>PSE</w:t>
      </w:r>
      <w:r w:rsidR="009A3CFC">
        <w:t xml:space="preserve"> earned above its authorized rate of return and whether there </w:t>
      </w:r>
      <w:r w:rsidR="00A942AD">
        <w:t xml:space="preserve">are </w:t>
      </w:r>
      <w:r w:rsidR="009A3CFC">
        <w:t>excess earnings to share with customers.</w:t>
      </w:r>
      <w:r w:rsidR="00F26B15">
        <w:t xml:space="preserve"> </w:t>
      </w:r>
      <w:r w:rsidR="009A3CFC">
        <w:t xml:space="preserve">Therefore, </w:t>
      </w:r>
      <w:r w:rsidR="001B3541">
        <w:t xml:space="preserve">it is not appropriate </w:t>
      </w:r>
      <w:r w:rsidR="009A3CFC">
        <w:t xml:space="preserve">to include normalization adjustments </w:t>
      </w:r>
      <w:r w:rsidR="001B3541">
        <w:t xml:space="preserve">for earnings sharing </w:t>
      </w:r>
      <w:r w:rsidR="009A3CFC">
        <w:t xml:space="preserve">purposes where these adjustments are actually distorting the </w:t>
      </w:r>
      <w:r w:rsidR="001B3541">
        <w:t xml:space="preserve">earnings of </w:t>
      </w:r>
      <w:r w:rsidR="0077523D">
        <w:t>PSE</w:t>
      </w:r>
      <w:r w:rsidR="009A38A4">
        <w:t xml:space="preserve"> </w:t>
      </w:r>
      <w:r w:rsidR="001B3541">
        <w:t xml:space="preserve">for the </w:t>
      </w:r>
      <w:r w:rsidR="009A3CFC">
        <w:t>reporting period by pretending that normal conditions occurred</w:t>
      </w:r>
      <w:r w:rsidR="001B3541">
        <w:t>.</w:t>
      </w:r>
    </w:p>
    <w:p w:rsidR="00F41ADA" w:rsidRDefault="00061AF4" w:rsidP="009D6245">
      <w:pPr>
        <w:pStyle w:val="answer"/>
        <w:ind w:firstLine="0"/>
      </w:pPr>
      <w:r>
        <w:lastRenderedPageBreak/>
        <w:t>Exhibit KJB-</w:t>
      </w:r>
      <w:r w:rsidR="009D6245">
        <w:t>3</w:t>
      </w:r>
      <w:r w:rsidR="004F1270">
        <w:t>5</w:t>
      </w:r>
      <w:r>
        <w:t xml:space="preserve">, provides </w:t>
      </w:r>
      <w:r w:rsidR="0035042F">
        <w:t xml:space="preserve">a </w:t>
      </w:r>
      <w:r w:rsidR="009A3CFC">
        <w:t>comparison of the impact</w:t>
      </w:r>
      <w:r w:rsidR="00F41ADA">
        <w:t>s</w:t>
      </w:r>
      <w:r w:rsidR="009A3CFC">
        <w:t xml:space="preserve"> on </w:t>
      </w:r>
      <w:r w:rsidR="00F41ADA">
        <w:t xml:space="preserve">reported earnings if </w:t>
      </w:r>
      <w:r w:rsidR="0035042F">
        <w:t xml:space="preserve">the </w:t>
      </w:r>
      <w:r>
        <w:t>storm normalization adjustment</w:t>
      </w:r>
      <w:r w:rsidR="0035042F">
        <w:t xml:space="preserve"> had</w:t>
      </w:r>
      <w:r>
        <w:t xml:space="preserve"> been included in </w:t>
      </w:r>
      <w:r w:rsidR="005D1F7C">
        <w:t>the c</w:t>
      </w:r>
      <w:r>
        <w:t xml:space="preserve">alendar </w:t>
      </w:r>
      <w:r w:rsidR="009A3CFC">
        <w:t xml:space="preserve">year </w:t>
      </w:r>
      <w:r w:rsidR="00F41ADA">
        <w:t xml:space="preserve">2015 earnings sharing calculation </w:t>
      </w:r>
      <w:r w:rsidR="000C6F31">
        <w:t>under both the existing</w:t>
      </w:r>
      <w:r w:rsidR="009A3CFC">
        <w:t xml:space="preserve"> storm mechanism</w:t>
      </w:r>
      <w:r w:rsidR="000C6F31">
        <w:t xml:space="preserve"> and the impacts under </w:t>
      </w:r>
      <w:r w:rsidR="009D6245">
        <w:t xml:space="preserve">Commission </w:t>
      </w:r>
      <w:r w:rsidR="000C6F31">
        <w:t>Staff</w:t>
      </w:r>
      <w:r w:rsidR="00E462EF">
        <w:t>’</w:t>
      </w:r>
      <w:r w:rsidR="000C6F31">
        <w:t>s proposal</w:t>
      </w:r>
      <w:r w:rsidR="009A3CFC">
        <w:t xml:space="preserve"> where the mechanism would be retroactively eliminated</w:t>
      </w:r>
      <w:r>
        <w:t>.</w:t>
      </w:r>
      <w:r w:rsidR="00F26B15">
        <w:t xml:space="preserve"> </w:t>
      </w:r>
      <w:r w:rsidR="00E95C49">
        <w:t>Line</w:t>
      </w:r>
      <w:r w:rsidR="009D6245">
        <w:t> </w:t>
      </w:r>
      <w:r w:rsidR="00E95C49">
        <w:t>1</w:t>
      </w:r>
      <w:r w:rsidR="00F41ADA">
        <w:t xml:space="preserve"> </w:t>
      </w:r>
      <w:r w:rsidR="005D1F7C">
        <w:t xml:space="preserve">of </w:t>
      </w:r>
      <w:r w:rsidR="009A38A4">
        <w:t>Exhibit</w:t>
      </w:r>
      <w:r w:rsidR="009D6245">
        <w:t> </w:t>
      </w:r>
      <w:r w:rsidR="005D1F7C">
        <w:t>KJB-</w:t>
      </w:r>
      <w:bookmarkStart w:id="55" w:name="xxx"/>
      <w:bookmarkStart w:id="56" w:name="ElecAdj_Storm_ErngsShrg"/>
      <w:r w:rsidR="005D1F7C">
        <w:t>3</w:t>
      </w:r>
      <w:bookmarkEnd w:id="55"/>
      <w:bookmarkEnd w:id="56"/>
      <w:r w:rsidR="004F1270">
        <w:t>5</w:t>
      </w:r>
      <w:r w:rsidR="005D1F7C">
        <w:t xml:space="preserve"> </w:t>
      </w:r>
      <w:r w:rsidR="00F41ADA">
        <w:t xml:space="preserve">shows that including the </w:t>
      </w:r>
      <w:r w:rsidR="00082D7D">
        <w:t>six-</w:t>
      </w:r>
      <w:r w:rsidR="00F41ADA">
        <w:t>year average storm normalization rather than the actual expenses incurred during the reporting period would have created an addition</w:t>
      </w:r>
      <w:r w:rsidR="00E95C49">
        <w:t>al $</w:t>
      </w:r>
      <w:r w:rsidR="00AD3516">
        <w:t>1,024,621</w:t>
      </w:r>
      <w:r w:rsidR="00E95C49">
        <w:t xml:space="preserve"> or</w:t>
      </w:r>
      <w:r w:rsidR="00F41ADA">
        <w:t xml:space="preserve"> </w:t>
      </w:r>
      <w:r w:rsidR="00082D7D">
        <w:t>two basis points</w:t>
      </w:r>
      <w:r w:rsidR="00F41ADA">
        <w:t xml:space="preserve"> of </w:t>
      </w:r>
      <w:r w:rsidR="00E462EF">
        <w:t>“</w:t>
      </w:r>
      <w:r w:rsidR="00F41ADA">
        <w:t>earnings</w:t>
      </w:r>
      <w:r w:rsidR="00E462EF">
        <w:t>”</w:t>
      </w:r>
      <w:r w:rsidR="00F41ADA">
        <w:t xml:space="preserve"> that </w:t>
      </w:r>
      <w:r w:rsidR="009A38A4">
        <w:t xml:space="preserve">PSE </w:t>
      </w:r>
      <w:r w:rsidR="00F41ADA">
        <w:t>actually did not earn during that period.</w:t>
      </w:r>
      <w:r w:rsidR="00F26B15">
        <w:t xml:space="preserve"> </w:t>
      </w:r>
      <w:r w:rsidR="00E95C49">
        <w:t xml:space="preserve">The exhibit also provides </w:t>
      </w:r>
      <w:r w:rsidR="00F41ADA">
        <w:t>comparisons assuming that the highest level (</w:t>
      </w:r>
      <w:r w:rsidR="00E95C49">
        <w:t>line</w:t>
      </w:r>
      <w:r w:rsidR="00F41ADA">
        <w:t xml:space="preserve"> 2) and lowest level (</w:t>
      </w:r>
      <w:r w:rsidR="00E95C49">
        <w:t>line</w:t>
      </w:r>
      <w:r w:rsidR="00F41ADA">
        <w:t xml:space="preserve"> 3) </w:t>
      </w:r>
      <w:r w:rsidR="00E95C49">
        <w:t xml:space="preserve">of storm expenses </w:t>
      </w:r>
      <w:r w:rsidR="00F41ADA">
        <w:t xml:space="preserve">had been incurred during the test period to demonstrate the range of volatility in </w:t>
      </w:r>
      <w:r w:rsidR="005D1F7C">
        <w:t xml:space="preserve">calculated </w:t>
      </w:r>
      <w:r w:rsidR="00F41ADA">
        <w:t>earnings that would occur if the normalization adjustment w</w:t>
      </w:r>
      <w:r w:rsidR="00E95C49">
        <w:t>ere</w:t>
      </w:r>
      <w:r w:rsidR="00F41ADA">
        <w:t xml:space="preserve"> to be include</w:t>
      </w:r>
      <w:r w:rsidR="0022196B">
        <w:t>d for earnings sharing purposes</w:t>
      </w:r>
      <w:r w:rsidR="009A38A4">
        <w:t>.</w:t>
      </w:r>
      <w:r w:rsidR="00F26B15">
        <w:t xml:space="preserve"> </w:t>
      </w:r>
      <w:r w:rsidR="009A38A4">
        <w:t>The range of volatility is</w:t>
      </w:r>
      <w:r w:rsidR="00E95C49">
        <w:t xml:space="preserve"> $</w:t>
      </w:r>
      <w:r w:rsidR="00AD3516">
        <w:t>4.7</w:t>
      </w:r>
      <w:r w:rsidR="009D6245">
        <w:t> </w:t>
      </w:r>
      <w:r w:rsidR="00082D7D">
        <w:t xml:space="preserve">million </w:t>
      </w:r>
      <w:r w:rsidR="00E95C49">
        <w:t xml:space="preserve">or </w:t>
      </w:r>
      <w:r w:rsidR="00AD3516">
        <w:t>9</w:t>
      </w:r>
      <w:r w:rsidR="009D6245">
        <w:t> </w:t>
      </w:r>
      <w:r w:rsidR="00FF43A0">
        <w:t xml:space="preserve">basis </w:t>
      </w:r>
      <w:r w:rsidR="00796F02">
        <w:t>points</w:t>
      </w:r>
      <w:r w:rsidR="00E95C49">
        <w:t>.</w:t>
      </w:r>
      <w:r w:rsidR="00F26B15">
        <w:t xml:space="preserve"> </w:t>
      </w:r>
    </w:p>
    <w:p w:rsidR="001355ED" w:rsidRPr="009D6245" w:rsidRDefault="00F41ADA" w:rsidP="0035042F">
      <w:pPr>
        <w:pStyle w:val="answer"/>
        <w:ind w:firstLine="0"/>
      </w:pPr>
      <w:r>
        <w:t xml:space="preserve">The disparity would be even greater if the Commission were to make modifications to the existing storm </w:t>
      </w:r>
      <w:r w:rsidR="009A38A4">
        <w:t xml:space="preserve">deferral </w:t>
      </w:r>
      <w:r>
        <w:t>mechanism</w:t>
      </w:r>
      <w:r w:rsidR="0022196B">
        <w:t xml:space="preserve"> proposed by </w:t>
      </w:r>
      <w:r w:rsidR="009A11B5">
        <w:rPr>
          <w:bCs/>
        </w:rPr>
        <w:t xml:space="preserve">Commission </w:t>
      </w:r>
      <w:r w:rsidR="009A11B5">
        <w:t>Staff</w:t>
      </w:r>
      <w:r>
        <w:t>.</w:t>
      </w:r>
      <w:r w:rsidR="00F26B15">
        <w:t xml:space="preserve"> </w:t>
      </w:r>
      <w:r w:rsidR="00E95C49">
        <w:t>Lines</w:t>
      </w:r>
      <w:r w:rsidR="009D6245">
        <w:t> </w:t>
      </w:r>
      <w:r w:rsidR="00E95C49">
        <w:t xml:space="preserve">4 and 5 </w:t>
      </w:r>
      <w:r w:rsidR="0022196B">
        <w:t xml:space="preserve">reflect the 2015 normalization adjustment, </w:t>
      </w:r>
      <w:r w:rsidR="00061AF4">
        <w:t xml:space="preserve">under </w:t>
      </w:r>
      <w:r w:rsidR="009A11B5">
        <w:rPr>
          <w:bCs/>
        </w:rPr>
        <w:t xml:space="preserve">Commission </w:t>
      </w:r>
      <w:r w:rsidR="009A11B5">
        <w:t>Staff</w:t>
      </w:r>
      <w:r w:rsidR="00E462EF">
        <w:t>’</w:t>
      </w:r>
      <w:r w:rsidR="00061AF4">
        <w:t>s propos</w:t>
      </w:r>
      <w:r w:rsidR="00E95C49">
        <w:t xml:space="preserve">ed approach </w:t>
      </w:r>
      <w:r w:rsidR="009A38A4">
        <w:t xml:space="preserve">in which </w:t>
      </w:r>
      <w:r w:rsidR="0022196B">
        <w:t>no storms would have been deferred</w:t>
      </w:r>
      <w:r w:rsidR="00E95C49">
        <w:t xml:space="preserve"> in calendar 2015, resulting in </w:t>
      </w:r>
      <w:r w:rsidR="0022196B">
        <w:t>$</w:t>
      </w:r>
      <w:r w:rsidR="00FF43A0">
        <w:t>35</w:t>
      </w:r>
      <w:r w:rsidR="009D6245">
        <w:t> </w:t>
      </w:r>
      <w:r w:rsidR="00FF43A0">
        <w:t xml:space="preserve">million </w:t>
      </w:r>
      <w:r w:rsidR="0022196B">
        <w:t xml:space="preserve">of actual storm expenses </w:t>
      </w:r>
      <w:r w:rsidR="003C1E14">
        <w:t>during that period.</w:t>
      </w:r>
      <w:r w:rsidR="00F26B15">
        <w:t xml:space="preserve"> </w:t>
      </w:r>
      <w:r w:rsidR="0022196B">
        <w:t xml:space="preserve">Through </w:t>
      </w:r>
      <w:r w:rsidR="00061AF4">
        <w:t xml:space="preserve">the normalization process, </w:t>
      </w:r>
      <w:r w:rsidR="00036AD6">
        <w:t xml:space="preserve">the actual expenses </w:t>
      </w:r>
      <w:r w:rsidR="00061AF4">
        <w:t xml:space="preserve">would </w:t>
      </w:r>
      <w:r w:rsidR="00036AD6">
        <w:t xml:space="preserve">be </w:t>
      </w:r>
      <w:r w:rsidR="00061AF4">
        <w:t>replace</w:t>
      </w:r>
      <w:r w:rsidR="00036AD6">
        <w:t>d</w:t>
      </w:r>
      <w:r w:rsidR="00061AF4">
        <w:t xml:space="preserve"> </w:t>
      </w:r>
      <w:r w:rsidR="009A3CFC">
        <w:t xml:space="preserve">with </w:t>
      </w:r>
      <w:r w:rsidR="00061AF4">
        <w:t xml:space="preserve">the </w:t>
      </w:r>
      <w:r w:rsidR="00FF43A0">
        <w:t>six-</w:t>
      </w:r>
      <w:r w:rsidR="00061AF4">
        <w:t>year average</w:t>
      </w:r>
      <w:r w:rsidR="009A3CFC">
        <w:t>, eliminating approximately $</w:t>
      </w:r>
      <w:r w:rsidR="00FF43A0">
        <w:t>16</w:t>
      </w:r>
      <w:r w:rsidR="009D6245">
        <w:t> </w:t>
      </w:r>
      <w:r w:rsidR="00FF43A0">
        <w:t xml:space="preserve">million </w:t>
      </w:r>
      <w:r w:rsidR="009A3CFC">
        <w:t xml:space="preserve">of </w:t>
      </w:r>
      <w:r w:rsidR="009A3CFC" w:rsidRPr="009D6245">
        <w:rPr>
          <w:i/>
        </w:rPr>
        <w:t>actual</w:t>
      </w:r>
      <w:r w:rsidR="009A3CFC">
        <w:t xml:space="preserve"> expenses incurred by </w:t>
      </w:r>
      <w:r w:rsidR="0077523D">
        <w:t>PSE</w:t>
      </w:r>
      <w:r w:rsidR="009A38A4">
        <w:t xml:space="preserve"> </w:t>
      </w:r>
      <w:r w:rsidR="0022196B">
        <w:t>during the reporting period increasing the reported net operating income by $10.4</w:t>
      </w:r>
      <w:r w:rsidR="009D6245">
        <w:t> </w:t>
      </w:r>
      <w:r w:rsidR="00FF43A0">
        <w:t>million</w:t>
      </w:r>
      <w:r w:rsidR="009D6245">
        <w:t>,</w:t>
      </w:r>
      <w:r w:rsidR="00FF43A0">
        <w:t xml:space="preserve"> </w:t>
      </w:r>
      <w:r w:rsidR="0022196B">
        <w:t xml:space="preserve">or a </w:t>
      </w:r>
      <w:r w:rsidR="00FF43A0">
        <w:t>20</w:t>
      </w:r>
      <w:r w:rsidR="009D6245">
        <w:t> </w:t>
      </w:r>
      <w:r w:rsidR="00FF43A0">
        <w:t xml:space="preserve">basis point </w:t>
      </w:r>
      <w:r w:rsidR="0022196B">
        <w:t>difference</w:t>
      </w:r>
      <w:r w:rsidR="00061AF4">
        <w:t>.</w:t>
      </w:r>
      <w:r w:rsidR="00F26B15">
        <w:t xml:space="preserve"> </w:t>
      </w:r>
      <w:r w:rsidR="00061AF4">
        <w:t>The same would be true if actual storm expenses had only been $</w:t>
      </w:r>
      <w:r w:rsidR="00C70068">
        <w:t>4.4</w:t>
      </w:r>
      <w:r w:rsidR="009D6245">
        <w:t> </w:t>
      </w:r>
      <w:r w:rsidR="00061AF4">
        <w:t>million, the</w:t>
      </w:r>
      <w:r w:rsidR="00C70068">
        <w:t xml:space="preserve"> lowest year </w:t>
      </w:r>
      <w:r w:rsidR="00C70068">
        <w:lastRenderedPageBreak/>
        <w:t xml:space="preserve">in the </w:t>
      </w:r>
      <w:r w:rsidR="00FF43A0">
        <w:t>six-</w:t>
      </w:r>
      <w:r w:rsidR="00061AF4">
        <w:t>year average</w:t>
      </w:r>
      <w:r w:rsidR="001355ED">
        <w:t>.</w:t>
      </w:r>
      <w:r w:rsidR="00F26B15">
        <w:t xml:space="preserve"> </w:t>
      </w:r>
      <w:r w:rsidR="001355ED">
        <w:t xml:space="preserve">In a year when </w:t>
      </w:r>
      <w:r w:rsidR="009A38A4">
        <w:t>PSE</w:t>
      </w:r>
      <w:r w:rsidR="001355ED">
        <w:t xml:space="preserve"> would have significantly less actual storm expenses, </w:t>
      </w:r>
      <w:r w:rsidR="0077523D">
        <w:t>PSE</w:t>
      </w:r>
      <w:r w:rsidR="009A38A4">
        <w:t xml:space="preserve"> </w:t>
      </w:r>
      <w:r w:rsidR="001355ED">
        <w:t xml:space="preserve">would </w:t>
      </w:r>
      <w:r w:rsidR="00061AF4">
        <w:t xml:space="preserve">replace the actual </w:t>
      </w:r>
      <w:r w:rsidR="00871BA3">
        <w:t>cost</w:t>
      </w:r>
      <w:r w:rsidR="00061AF4">
        <w:t xml:space="preserve"> </w:t>
      </w:r>
      <w:r w:rsidR="001355ED">
        <w:t>of $4.4</w:t>
      </w:r>
      <w:r w:rsidR="009D6245">
        <w:t> </w:t>
      </w:r>
      <w:r w:rsidR="001355ED">
        <w:t>million</w:t>
      </w:r>
      <w:r w:rsidR="009D6245">
        <w:t>,</w:t>
      </w:r>
      <w:r w:rsidR="001355ED">
        <w:t xml:space="preserve"> with additional expense</w:t>
      </w:r>
      <w:r w:rsidR="0017285E">
        <w:t>s</w:t>
      </w:r>
      <w:r w:rsidR="001355ED">
        <w:t xml:space="preserve"> of </w:t>
      </w:r>
      <w:r w:rsidR="00FF43A0">
        <w:t>$</w:t>
      </w:r>
      <w:r w:rsidR="001355ED">
        <w:t>14.8</w:t>
      </w:r>
      <w:r w:rsidR="009D6245">
        <w:t> </w:t>
      </w:r>
      <w:r w:rsidR="00FF43A0">
        <w:t>million</w:t>
      </w:r>
      <w:r w:rsidR="001355ED">
        <w:t xml:space="preserve"> through the normalization </w:t>
      </w:r>
      <w:r w:rsidR="003C1E14">
        <w:t xml:space="preserve">process </w:t>
      </w:r>
      <w:r w:rsidR="001355ED">
        <w:t>eliminat</w:t>
      </w:r>
      <w:r w:rsidR="0017285E">
        <w:t>ing $9.</w:t>
      </w:r>
      <w:r w:rsidR="00FF43A0">
        <w:t>6</w:t>
      </w:r>
      <w:r w:rsidR="009D6245">
        <w:t> </w:t>
      </w:r>
      <w:r w:rsidR="00FF43A0">
        <w:t xml:space="preserve">million </w:t>
      </w:r>
      <w:r w:rsidR="0017285E">
        <w:t>of earnings</w:t>
      </w:r>
      <w:r w:rsidR="009D6245">
        <w:t>,</w:t>
      </w:r>
      <w:r w:rsidR="0017285E">
        <w:t xml:space="preserve"> or 18</w:t>
      </w:r>
      <w:r w:rsidR="009D6245">
        <w:t> </w:t>
      </w:r>
      <w:r w:rsidR="00FF43A0">
        <w:t>basis points</w:t>
      </w:r>
      <w:r w:rsidR="009D6245">
        <w:t>,</w:t>
      </w:r>
      <w:r w:rsidR="00FF43A0">
        <w:t xml:space="preserve"> </w:t>
      </w:r>
      <w:r w:rsidR="0017285E">
        <w:t xml:space="preserve">that would have otherwise been </w:t>
      </w:r>
      <w:r w:rsidR="001355ED">
        <w:t>shared with customers</w:t>
      </w:r>
      <w:r w:rsidR="0017285E">
        <w:t>.</w:t>
      </w:r>
      <w:r w:rsidR="009D6245">
        <w:t xml:space="preserve"> Commission </w:t>
      </w:r>
      <w:r w:rsidR="001355ED">
        <w:t>Staff</w:t>
      </w:r>
      <w:r w:rsidR="00E462EF">
        <w:t>’</w:t>
      </w:r>
      <w:r w:rsidR="001355ED">
        <w:t>s proposal adds</w:t>
      </w:r>
      <w:r w:rsidR="0035042F">
        <w:t xml:space="preserve"> $</w:t>
      </w:r>
      <w:r w:rsidR="00FF43A0">
        <w:t xml:space="preserve">20 million </w:t>
      </w:r>
      <w:r w:rsidR="0035042F">
        <w:t xml:space="preserve">of added after tax volatility to </w:t>
      </w:r>
      <w:r w:rsidR="009A38A4">
        <w:t>PSE</w:t>
      </w:r>
      <w:r w:rsidR="00E462EF">
        <w:t>’</w:t>
      </w:r>
      <w:r w:rsidR="009A38A4">
        <w:t>s</w:t>
      </w:r>
      <w:r w:rsidR="0035042F">
        <w:t xml:space="preserve"> earnings that </w:t>
      </w:r>
      <w:r w:rsidR="009A11B5">
        <w:rPr>
          <w:bCs/>
        </w:rPr>
        <w:t xml:space="preserve">Commission </w:t>
      </w:r>
      <w:r w:rsidR="009A11B5">
        <w:t>Staff</w:t>
      </w:r>
      <w:r w:rsidR="0035042F">
        <w:t xml:space="preserve"> proposes be ignored in the calculation of the earnings test. </w:t>
      </w:r>
    </w:p>
    <w:p w:rsidR="004A0BBD" w:rsidRPr="003C1E14" w:rsidRDefault="003C1E14" w:rsidP="003C1E14">
      <w:pPr>
        <w:spacing w:line="480" w:lineRule="auto"/>
        <w:ind w:left="720" w:firstLine="0"/>
        <w:rPr>
          <w:rFonts w:eastAsia="SimSun"/>
        </w:rPr>
      </w:pPr>
      <w:r>
        <w:t xml:space="preserve">Regardless of </w:t>
      </w:r>
      <w:r w:rsidR="00661220">
        <w:t xml:space="preserve">whether </w:t>
      </w:r>
      <w:r>
        <w:t>the Commission</w:t>
      </w:r>
      <w:r w:rsidR="00661220">
        <w:t xml:space="preserve"> chooses to </w:t>
      </w:r>
      <w:r>
        <w:t>modif</w:t>
      </w:r>
      <w:r w:rsidR="00661220">
        <w:t xml:space="preserve">y </w:t>
      </w:r>
      <w:r>
        <w:t xml:space="preserve">the storm </w:t>
      </w:r>
      <w:r w:rsidR="000E47DB">
        <w:t>deferral mechanism</w:t>
      </w:r>
      <w:r>
        <w:t>, the C</w:t>
      </w:r>
      <w:r w:rsidR="0035042F">
        <w:t xml:space="preserve">ommission should reject </w:t>
      </w:r>
      <w:r w:rsidR="009D6245">
        <w:t xml:space="preserve">Commission </w:t>
      </w:r>
      <w:r w:rsidR="0035042F">
        <w:t>Staff</w:t>
      </w:r>
      <w:r w:rsidR="00E462EF">
        <w:t>’</w:t>
      </w:r>
      <w:r w:rsidR="0035042F">
        <w:t xml:space="preserve">s proposal </w:t>
      </w:r>
      <w:r>
        <w:t>to include the s</w:t>
      </w:r>
      <w:r w:rsidR="0035042F">
        <w:t xml:space="preserve">torm normalization adjustment </w:t>
      </w:r>
      <w:r>
        <w:t>for earnings sharing purposes.</w:t>
      </w:r>
    </w:p>
    <w:p w:rsidR="00F73D9F" w:rsidRPr="0003546B" w:rsidRDefault="00F73D9F" w:rsidP="00777E1F">
      <w:pPr>
        <w:pStyle w:val="question"/>
      </w:pPr>
      <w:r w:rsidRPr="0003546B">
        <w:t>Q.</w:t>
      </w:r>
      <w:r w:rsidRPr="0003546B">
        <w:tab/>
      </w:r>
      <w:r w:rsidR="0044779C">
        <w:t xml:space="preserve">Please explain the modifications to </w:t>
      </w:r>
      <w:r w:rsidR="0077523D">
        <w:t>PSE</w:t>
      </w:r>
      <w:r w:rsidR="00E462EF">
        <w:t>’</w:t>
      </w:r>
      <w:r w:rsidR="009A38A4">
        <w:t xml:space="preserve">s </w:t>
      </w:r>
      <w:r w:rsidR="0044779C">
        <w:t xml:space="preserve">storm normalization adjustment proposed by Kroger witness, </w:t>
      </w:r>
      <w:r w:rsidR="0077523D">
        <w:t>Mr. </w:t>
      </w:r>
      <w:r w:rsidR="0044779C">
        <w:t>Higgins</w:t>
      </w:r>
      <w:r>
        <w:t>?</w:t>
      </w:r>
      <w:r w:rsidRPr="0003546B">
        <w:t xml:space="preserve"> </w:t>
      </w:r>
    </w:p>
    <w:p w:rsidR="00F73D9F" w:rsidRDefault="00F73D9F" w:rsidP="0044779C">
      <w:pPr>
        <w:pStyle w:val="answer"/>
        <w:rPr>
          <w:rFonts w:eastAsia="SimSun"/>
        </w:rPr>
      </w:pPr>
      <w:r>
        <w:rPr>
          <w:rFonts w:eastAsia="SimSun"/>
        </w:rPr>
        <w:t>A.</w:t>
      </w:r>
      <w:r>
        <w:rPr>
          <w:rFonts w:eastAsia="SimSun"/>
        </w:rPr>
        <w:tab/>
      </w:r>
      <w:r w:rsidR="0077523D">
        <w:t>Mr. </w:t>
      </w:r>
      <w:r>
        <w:rPr>
          <w:rFonts w:eastAsia="SimSun"/>
        </w:rPr>
        <w:t xml:space="preserve">Higgins recommends that the remaining costs from </w:t>
      </w:r>
      <w:r w:rsidR="001E4C54">
        <w:rPr>
          <w:rFonts w:eastAsia="SimSun"/>
        </w:rPr>
        <w:t xml:space="preserve">the </w:t>
      </w:r>
      <w:r>
        <w:rPr>
          <w:rFonts w:eastAsia="SimSun"/>
        </w:rPr>
        <w:t xml:space="preserve">Hanukkah Eve </w:t>
      </w:r>
      <w:r w:rsidR="001E4C54">
        <w:rPr>
          <w:rFonts w:eastAsia="SimSun"/>
        </w:rPr>
        <w:t xml:space="preserve">storm </w:t>
      </w:r>
      <w:r>
        <w:rPr>
          <w:rFonts w:eastAsia="SimSun"/>
        </w:rPr>
        <w:t>be moved to a separate rider and recommends that the post</w:t>
      </w:r>
      <w:r w:rsidR="005D1F7C">
        <w:rPr>
          <w:rFonts w:eastAsia="SimSun"/>
        </w:rPr>
        <w:t>-</w:t>
      </w:r>
      <w:r>
        <w:rPr>
          <w:rFonts w:eastAsia="SimSun"/>
        </w:rPr>
        <w:t xml:space="preserve">test year events only be included in rates if they are above the </w:t>
      </w:r>
      <w:r w:rsidR="00FF43A0">
        <w:rPr>
          <w:rFonts w:eastAsia="SimSun"/>
        </w:rPr>
        <w:t>$</w:t>
      </w:r>
      <w:r>
        <w:rPr>
          <w:rFonts w:eastAsia="SimSun"/>
        </w:rPr>
        <w:t>10.6</w:t>
      </w:r>
      <w:r w:rsidR="009D6245">
        <w:rPr>
          <w:rFonts w:eastAsia="SimSun"/>
        </w:rPr>
        <w:t> </w:t>
      </w:r>
      <w:r w:rsidR="00FF43A0">
        <w:rPr>
          <w:rFonts w:eastAsia="SimSun"/>
        </w:rPr>
        <w:t>million</w:t>
      </w:r>
      <w:r>
        <w:rPr>
          <w:rFonts w:eastAsia="SimSun"/>
        </w:rPr>
        <w:t xml:space="preserve"> included in </w:t>
      </w:r>
      <w:r w:rsidR="00010154">
        <w:rPr>
          <w:rFonts w:eastAsia="SimSun"/>
        </w:rPr>
        <w:t>“</w:t>
      </w:r>
      <w:r>
        <w:rPr>
          <w:rFonts w:eastAsia="SimSun"/>
        </w:rPr>
        <w:t>normal rates</w:t>
      </w:r>
      <w:r w:rsidR="00010154">
        <w:rPr>
          <w:rFonts w:eastAsia="SimSun"/>
        </w:rPr>
        <w:t>.</w:t>
      </w:r>
      <w:r w:rsidR="00E462EF">
        <w:rPr>
          <w:rFonts w:eastAsia="SimSun"/>
        </w:rPr>
        <w:t>”</w:t>
      </w:r>
      <w:r w:rsidR="006450C5">
        <w:rPr>
          <w:rStyle w:val="FootnoteReference"/>
          <w:rFonts w:eastAsia="SimSun"/>
        </w:rPr>
        <w:footnoteReference w:id="93"/>
      </w:r>
    </w:p>
    <w:p w:rsidR="00F73D9F" w:rsidRPr="00A271A0" w:rsidRDefault="00F73D9F" w:rsidP="00777E1F">
      <w:pPr>
        <w:pStyle w:val="question"/>
      </w:pPr>
      <w:r w:rsidRPr="00A271A0">
        <w:t>Q.</w:t>
      </w:r>
      <w:r w:rsidRPr="00A271A0">
        <w:tab/>
        <w:t>Do</w:t>
      </w:r>
      <w:r w:rsidR="009D6245">
        <w:t>es</w:t>
      </w:r>
      <w:r w:rsidRPr="00A271A0">
        <w:t xml:space="preserve"> </w:t>
      </w:r>
      <w:r w:rsidR="009D6245">
        <w:t>PSE</w:t>
      </w:r>
      <w:r w:rsidRPr="00A271A0">
        <w:t xml:space="preserve"> agree with </w:t>
      </w:r>
      <w:r w:rsidR="0077523D">
        <w:t>Mr. </w:t>
      </w:r>
      <w:r w:rsidRPr="00A271A0">
        <w:t>Higgins</w:t>
      </w:r>
      <w:r w:rsidR="00010154">
        <w:t>’</w:t>
      </w:r>
      <w:r w:rsidRPr="00A271A0">
        <w:t xml:space="preserve"> proposal</w:t>
      </w:r>
      <w:r w:rsidR="004A0BBD">
        <w:t xml:space="preserve"> regarding a separ</w:t>
      </w:r>
      <w:r>
        <w:t>ate tracker for the remaining Hanukkah Eve balance</w:t>
      </w:r>
      <w:r w:rsidRPr="00A271A0">
        <w:t>?</w:t>
      </w:r>
    </w:p>
    <w:p w:rsidR="00F73D9F" w:rsidRPr="00C05AD2" w:rsidRDefault="000A2CE8" w:rsidP="00F73D9F">
      <w:pPr>
        <w:pStyle w:val="answer"/>
        <w:rPr>
          <w:rFonts w:eastAsia="SimSun"/>
        </w:rPr>
      </w:pPr>
      <w:r>
        <w:t>A.</w:t>
      </w:r>
      <w:r w:rsidR="00F73D9F">
        <w:rPr>
          <w:rFonts w:eastAsia="SimSun"/>
        </w:rPr>
        <w:tab/>
        <w:t>No.</w:t>
      </w:r>
      <w:r w:rsidR="00F26B15">
        <w:rPr>
          <w:rFonts w:eastAsia="SimSun"/>
        </w:rPr>
        <w:t xml:space="preserve"> </w:t>
      </w:r>
      <w:r w:rsidR="00F73D9F">
        <w:rPr>
          <w:rFonts w:eastAsia="SimSun"/>
        </w:rPr>
        <w:t>It is unnecessary to move the remaining Hanukkah Eve storm d</w:t>
      </w:r>
      <w:r w:rsidR="004A0BBD">
        <w:rPr>
          <w:rFonts w:eastAsia="SimSun"/>
        </w:rPr>
        <w:t>eferral to a separate tracker.</w:t>
      </w:r>
      <w:r w:rsidR="00F26B15">
        <w:rPr>
          <w:rFonts w:eastAsia="SimSun"/>
        </w:rPr>
        <w:t xml:space="preserve"> </w:t>
      </w:r>
      <w:r w:rsidR="00787117">
        <w:rPr>
          <w:rFonts w:eastAsia="SimSun"/>
        </w:rPr>
        <w:t>A</w:t>
      </w:r>
      <w:r w:rsidR="008C0ECF">
        <w:rPr>
          <w:rFonts w:eastAsia="SimSun"/>
        </w:rPr>
        <w:t>s</w:t>
      </w:r>
      <w:r w:rsidR="00787117">
        <w:rPr>
          <w:rFonts w:eastAsia="SimSun"/>
        </w:rPr>
        <w:t xml:space="preserve"> demonstrated by the excess amortization </w:t>
      </w:r>
      <w:r w:rsidR="009D3FAD">
        <w:rPr>
          <w:rFonts w:eastAsia="SimSun"/>
        </w:rPr>
        <w:t xml:space="preserve">that was tracked </w:t>
      </w:r>
      <w:r w:rsidR="009D3FAD">
        <w:rPr>
          <w:rFonts w:eastAsia="SimSun"/>
        </w:rPr>
        <w:lastRenderedPageBreak/>
        <w:t xml:space="preserve">with the </w:t>
      </w:r>
      <w:r w:rsidR="00F73D9F">
        <w:rPr>
          <w:rFonts w:eastAsia="SimSun"/>
        </w:rPr>
        <w:t>2010 events</w:t>
      </w:r>
      <w:r w:rsidR="009D3FAD">
        <w:rPr>
          <w:rFonts w:eastAsia="SimSun"/>
        </w:rPr>
        <w:t xml:space="preserve">, </w:t>
      </w:r>
      <w:r w:rsidR="0077523D">
        <w:t>PSE</w:t>
      </w:r>
      <w:r w:rsidR="00F73D9F">
        <w:rPr>
          <w:rFonts w:eastAsia="SimSun"/>
        </w:rPr>
        <w:t xml:space="preserve"> </w:t>
      </w:r>
      <w:r w:rsidR="009D3FAD">
        <w:rPr>
          <w:rFonts w:eastAsia="SimSun"/>
        </w:rPr>
        <w:t xml:space="preserve">would </w:t>
      </w:r>
      <w:r w:rsidR="00F73D9F">
        <w:rPr>
          <w:rFonts w:eastAsia="SimSun"/>
        </w:rPr>
        <w:t xml:space="preserve">continue to recognize amortization expense against the </w:t>
      </w:r>
      <w:r w:rsidR="009D3FAD">
        <w:rPr>
          <w:rFonts w:eastAsia="SimSun"/>
        </w:rPr>
        <w:t>Hanukkah Eve</w:t>
      </w:r>
      <w:r w:rsidR="00871BA3">
        <w:rPr>
          <w:rFonts w:eastAsia="SimSun"/>
        </w:rPr>
        <w:t xml:space="preserve"> storm</w:t>
      </w:r>
      <w:r w:rsidR="008C0ECF">
        <w:rPr>
          <w:rFonts w:eastAsia="SimSun"/>
        </w:rPr>
        <w:t>, which</w:t>
      </w:r>
      <w:r w:rsidR="009D3FAD">
        <w:rPr>
          <w:rFonts w:eastAsia="SimSun"/>
        </w:rPr>
        <w:t xml:space="preserve"> would</w:t>
      </w:r>
      <w:r w:rsidR="00F73D9F">
        <w:rPr>
          <w:rFonts w:eastAsia="SimSun"/>
        </w:rPr>
        <w:t xml:space="preserve"> result in a negative balance </w:t>
      </w:r>
      <w:r w:rsidR="009D3FAD">
        <w:rPr>
          <w:rFonts w:eastAsia="SimSun"/>
        </w:rPr>
        <w:t xml:space="preserve">that could be used </w:t>
      </w:r>
      <w:r w:rsidR="003334DC">
        <w:rPr>
          <w:rFonts w:eastAsia="SimSun"/>
        </w:rPr>
        <w:t xml:space="preserve">to offset </w:t>
      </w:r>
      <w:r w:rsidR="009D3FAD">
        <w:rPr>
          <w:rFonts w:eastAsia="SimSun"/>
        </w:rPr>
        <w:t>future events.</w:t>
      </w:r>
      <w:r w:rsidR="00F26B15">
        <w:rPr>
          <w:rFonts w:eastAsia="SimSun"/>
        </w:rPr>
        <w:t xml:space="preserve"> </w:t>
      </w:r>
      <w:r w:rsidR="009D3FAD">
        <w:rPr>
          <w:rFonts w:eastAsia="SimSun"/>
        </w:rPr>
        <w:t xml:space="preserve">In the alternative, the excess amortization from the 2010 events could be used to offset the remaining Hanukkah Eve balance rather than offsetting the </w:t>
      </w:r>
      <w:r w:rsidR="00F73D9F">
        <w:rPr>
          <w:rFonts w:eastAsia="SimSun"/>
        </w:rPr>
        <w:t>2014 through 2016 events</w:t>
      </w:r>
      <w:r w:rsidR="009D6245">
        <w:rPr>
          <w:rFonts w:eastAsia="SimSun"/>
        </w:rPr>
        <w:t>,</w:t>
      </w:r>
      <w:r w:rsidR="008C0ECF">
        <w:rPr>
          <w:rFonts w:eastAsia="SimSun"/>
        </w:rPr>
        <w:t xml:space="preserve"> as PSE has proposed in its </w:t>
      </w:r>
      <w:r w:rsidR="009D6245">
        <w:rPr>
          <w:rFonts w:eastAsia="SimSun"/>
        </w:rPr>
        <w:t xml:space="preserve">initial </w:t>
      </w:r>
      <w:r w:rsidR="008C0ECF">
        <w:rPr>
          <w:rFonts w:eastAsia="SimSun"/>
        </w:rPr>
        <w:t>filing</w:t>
      </w:r>
      <w:r w:rsidR="00F73D9F">
        <w:rPr>
          <w:rFonts w:eastAsia="SimSun"/>
        </w:rPr>
        <w:t>.</w:t>
      </w:r>
      <w:r w:rsidR="00F26B15">
        <w:rPr>
          <w:rFonts w:eastAsia="SimSun"/>
        </w:rPr>
        <w:t xml:space="preserve"> </w:t>
      </w:r>
      <w:r w:rsidR="009D3FAD">
        <w:rPr>
          <w:rFonts w:eastAsia="SimSun"/>
        </w:rPr>
        <w:t>This would be a far simpler approach than creating a separate tracker for the remaining Hanukkah Eve balance.</w:t>
      </w:r>
      <w:r w:rsidR="00F73D9F">
        <w:rPr>
          <w:rFonts w:eastAsia="SimSun"/>
        </w:rPr>
        <w:t xml:space="preserve"> </w:t>
      </w:r>
    </w:p>
    <w:p w:rsidR="00F73D9F" w:rsidRPr="00A271A0" w:rsidRDefault="00F73D9F" w:rsidP="00777E1F">
      <w:pPr>
        <w:pStyle w:val="question"/>
      </w:pPr>
      <w:r w:rsidRPr="00A271A0">
        <w:t>Q.</w:t>
      </w:r>
      <w:r w:rsidRPr="00A271A0">
        <w:tab/>
      </w:r>
      <w:r w:rsidR="0077523D">
        <w:t>Mr. </w:t>
      </w:r>
      <w:r w:rsidRPr="00A271A0">
        <w:t xml:space="preserve">Higgins </w:t>
      </w:r>
      <w:r>
        <w:t xml:space="preserve">also proposes that the post-test year amounts </w:t>
      </w:r>
      <w:r w:rsidR="009D3FAD">
        <w:t xml:space="preserve">only be allowed for amortization if they are </w:t>
      </w:r>
      <w:r>
        <w:t xml:space="preserve">above the six-year average </w:t>
      </w:r>
      <w:r w:rsidR="009D3FAD">
        <w:t>being established in this case ($10.6</w:t>
      </w:r>
      <w:r w:rsidR="003334DC">
        <w:t xml:space="preserve"> million</w:t>
      </w:r>
      <w:r w:rsidR="009D3FAD">
        <w:t>).</w:t>
      </w:r>
      <w:r w:rsidR="00AD3516">
        <w:rPr>
          <w:rStyle w:val="FootnoteReference"/>
        </w:rPr>
        <w:footnoteReference w:id="94"/>
      </w:r>
      <w:r w:rsidR="00F26B15">
        <w:t xml:space="preserve"> </w:t>
      </w:r>
      <w:r w:rsidR="009D3FAD">
        <w:t>Do</w:t>
      </w:r>
      <w:r w:rsidR="009D6245">
        <w:t>es</w:t>
      </w:r>
      <w:r w:rsidR="009D3FAD">
        <w:t xml:space="preserve"> </w:t>
      </w:r>
      <w:r w:rsidR="009D6245">
        <w:t>PSE</w:t>
      </w:r>
      <w:r w:rsidR="009D3FAD">
        <w:t xml:space="preserve"> agree with his proposal</w:t>
      </w:r>
      <w:r>
        <w:t xml:space="preserve">? </w:t>
      </w:r>
    </w:p>
    <w:p w:rsidR="009A6C57" w:rsidRDefault="000A2CE8" w:rsidP="00777E1F">
      <w:pPr>
        <w:pStyle w:val="Answer0"/>
        <w:rPr>
          <w:rFonts w:eastAsia="SimSun"/>
        </w:rPr>
      </w:pPr>
      <w:r>
        <w:t>A.</w:t>
      </w:r>
      <w:r w:rsidR="00F73D9F">
        <w:rPr>
          <w:rFonts w:eastAsia="SimSun"/>
        </w:rPr>
        <w:tab/>
        <w:t>No</w:t>
      </w:r>
      <w:r w:rsidR="009D3FAD">
        <w:rPr>
          <w:rFonts w:eastAsia="SimSun"/>
        </w:rPr>
        <w:t>.</w:t>
      </w:r>
      <w:r w:rsidR="00F26B15">
        <w:rPr>
          <w:rFonts w:eastAsia="SimSun"/>
        </w:rPr>
        <w:t xml:space="preserve"> </w:t>
      </w:r>
      <w:r w:rsidR="0077523D">
        <w:t>Mr. </w:t>
      </w:r>
      <w:r w:rsidR="00F73D9F">
        <w:rPr>
          <w:rFonts w:eastAsia="SimSun"/>
        </w:rPr>
        <w:t>Higgins fails to recognize that for those costs to have been deferred, the total annual qualifying events had to exceed the $8</w:t>
      </w:r>
      <w:r w:rsidR="009D6245">
        <w:rPr>
          <w:rFonts w:eastAsia="SimSun"/>
        </w:rPr>
        <w:t> </w:t>
      </w:r>
      <w:r w:rsidR="00F73D9F">
        <w:rPr>
          <w:rFonts w:eastAsia="SimSun"/>
        </w:rPr>
        <w:t xml:space="preserve">million threshold, </w:t>
      </w:r>
      <w:r w:rsidR="009D3FAD">
        <w:rPr>
          <w:rFonts w:eastAsia="SimSun"/>
        </w:rPr>
        <w:t xml:space="preserve">the existing </w:t>
      </w:r>
      <w:r w:rsidR="008C0ECF">
        <w:rPr>
          <w:rFonts w:eastAsia="SimSun"/>
        </w:rPr>
        <w:t>six-</w:t>
      </w:r>
      <w:r w:rsidR="00F73D9F">
        <w:rPr>
          <w:rFonts w:eastAsia="SimSun"/>
        </w:rPr>
        <w:t>year average storm costs from the last case</w:t>
      </w:r>
      <w:r w:rsidR="009D3FAD">
        <w:rPr>
          <w:rFonts w:eastAsia="SimSun"/>
        </w:rPr>
        <w:t xml:space="preserve"> which </w:t>
      </w:r>
      <w:r w:rsidR="00F73D9F">
        <w:rPr>
          <w:rFonts w:eastAsia="SimSun"/>
        </w:rPr>
        <w:t xml:space="preserve">represents </w:t>
      </w:r>
      <w:r w:rsidR="009D3FAD">
        <w:rPr>
          <w:rFonts w:eastAsia="SimSun"/>
        </w:rPr>
        <w:t xml:space="preserve">the amount currently established in </w:t>
      </w:r>
      <w:r w:rsidR="00F73D9F">
        <w:rPr>
          <w:rFonts w:eastAsia="SimSun"/>
        </w:rPr>
        <w:t>base rates.</w:t>
      </w:r>
      <w:r w:rsidR="00F26B15">
        <w:rPr>
          <w:rFonts w:eastAsia="SimSun"/>
        </w:rPr>
        <w:t xml:space="preserve"> </w:t>
      </w:r>
      <w:r w:rsidR="00F73D9F">
        <w:rPr>
          <w:rFonts w:eastAsia="SimSun"/>
        </w:rPr>
        <w:t xml:space="preserve">The </w:t>
      </w:r>
      <w:r w:rsidR="009D3FAD">
        <w:rPr>
          <w:rFonts w:eastAsia="SimSun"/>
        </w:rPr>
        <w:t>$</w:t>
      </w:r>
      <w:r w:rsidR="00F73D9F">
        <w:rPr>
          <w:rFonts w:eastAsia="SimSun"/>
        </w:rPr>
        <w:t>10.</w:t>
      </w:r>
      <w:r w:rsidR="008C0ECF">
        <w:rPr>
          <w:rFonts w:eastAsia="SimSun"/>
        </w:rPr>
        <w:t>6</w:t>
      </w:r>
      <w:r w:rsidR="009D6245">
        <w:rPr>
          <w:rFonts w:eastAsia="SimSun"/>
        </w:rPr>
        <w:t> </w:t>
      </w:r>
      <w:r w:rsidR="008C0ECF">
        <w:rPr>
          <w:rFonts w:eastAsia="SimSun"/>
        </w:rPr>
        <w:t xml:space="preserve">million </w:t>
      </w:r>
      <w:r w:rsidR="00F73D9F">
        <w:rPr>
          <w:rFonts w:eastAsia="SimSun"/>
        </w:rPr>
        <w:t>w</w:t>
      </w:r>
      <w:r w:rsidR="009A6C57">
        <w:rPr>
          <w:rFonts w:eastAsia="SimSun"/>
        </w:rPr>
        <w:t>ill not</w:t>
      </w:r>
      <w:r w:rsidR="00F73D9F">
        <w:rPr>
          <w:rFonts w:eastAsia="SimSun"/>
        </w:rPr>
        <w:t xml:space="preserve"> be incorporated in base rates until the completion of this case</w:t>
      </w:r>
      <w:r w:rsidR="00D53982">
        <w:rPr>
          <w:rFonts w:eastAsia="SimSun"/>
        </w:rPr>
        <w:t>.</w:t>
      </w:r>
      <w:r w:rsidR="00F26B15">
        <w:rPr>
          <w:rFonts w:eastAsia="SimSun"/>
        </w:rPr>
        <w:t xml:space="preserve"> </w:t>
      </w:r>
      <w:r w:rsidR="00D53982">
        <w:rPr>
          <w:rFonts w:eastAsia="SimSun"/>
        </w:rPr>
        <w:t xml:space="preserve">The </w:t>
      </w:r>
      <w:r w:rsidR="00F73D9F">
        <w:rPr>
          <w:rFonts w:eastAsia="SimSun"/>
        </w:rPr>
        <w:t>qualify</w:t>
      </w:r>
      <w:r w:rsidR="003E196B">
        <w:rPr>
          <w:rFonts w:eastAsia="SimSun"/>
        </w:rPr>
        <w:t>ing</w:t>
      </w:r>
      <w:r w:rsidR="00F73D9F">
        <w:rPr>
          <w:rFonts w:eastAsia="SimSun"/>
        </w:rPr>
        <w:t xml:space="preserve"> </w:t>
      </w:r>
      <w:r w:rsidR="003E196B">
        <w:rPr>
          <w:rFonts w:eastAsia="SimSun"/>
        </w:rPr>
        <w:t xml:space="preserve">storm </w:t>
      </w:r>
      <w:r w:rsidR="00F73D9F">
        <w:rPr>
          <w:rFonts w:eastAsia="SimSun"/>
        </w:rPr>
        <w:t>events</w:t>
      </w:r>
      <w:r w:rsidR="003E196B">
        <w:rPr>
          <w:rFonts w:eastAsia="SimSun"/>
        </w:rPr>
        <w:t xml:space="preserve"> were appropriately deferred pursuant to the standard set in PSE</w:t>
      </w:r>
      <w:r w:rsidR="00E462EF">
        <w:rPr>
          <w:rFonts w:eastAsia="SimSun"/>
        </w:rPr>
        <w:t>’</w:t>
      </w:r>
      <w:r w:rsidR="003E196B">
        <w:rPr>
          <w:rFonts w:eastAsia="SimSun"/>
        </w:rPr>
        <w:t>s 2011 general rate case</w:t>
      </w:r>
      <w:r w:rsidR="00D53982">
        <w:rPr>
          <w:rFonts w:eastAsia="SimSun"/>
        </w:rPr>
        <w:t xml:space="preserve"> and therefore hi</w:t>
      </w:r>
      <w:r w:rsidR="003E196B">
        <w:rPr>
          <w:rFonts w:eastAsia="SimSun"/>
        </w:rPr>
        <w:t>s proposal</w:t>
      </w:r>
      <w:r w:rsidR="00F73D9F">
        <w:rPr>
          <w:rFonts w:eastAsia="SimSun"/>
        </w:rPr>
        <w:t xml:space="preserve"> </w:t>
      </w:r>
      <w:r w:rsidR="003E196B">
        <w:rPr>
          <w:rFonts w:eastAsia="SimSun"/>
        </w:rPr>
        <w:t xml:space="preserve">for treatment of these deferred amounts </w:t>
      </w:r>
      <w:r w:rsidR="00F73D9F">
        <w:rPr>
          <w:rFonts w:eastAsia="SimSun"/>
        </w:rPr>
        <w:t>should be rejected.</w:t>
      </w:r>
    </w:p>
    <w:p w:rsidR="009A6C57" w:rsidRDefault="009A6C57" w:rsidP="00777E1F">
      <w:pPr>
        <w:pStyle w:val="question"/>
      </w:pPr>
      <w:r w:rsidRPr="00A271A0">
        <w:lastRenderedPageBreak/>
        <w:t>Q.</w:t>
      </w:r>
      <w:r w:rsidRPr="00A271A0">
        <w:tab/>
      </w:r>
      <w:r>
        <w:t>Should the $8</w:t>
      </w:r>
      <w:r w:rsidR="009D6245">
        <w:t> </w:t>
      </w:r>
      <w:r w:rsidR="003E196B">
        <w:t xml:space="preserve">million </w:t>
      </w:r>
      <w:r>
        <w:t>threshold for qualifying events be increased at the conclusion of this case?</w:t>
      </w:r>
    </w:p>
    <w:p w:rsidR="00F73D9F" w:rsidRDefault="009A6C57" w:rsidP="009A6C57">
      <w:pPr>
        <w:pStyle w:val="answer"/>
      </w:pPr>
      <w:r w:rsidRPr="009A6C57">
        <w:rPr>
          <w:rFonts w:eastAsia="SimSun"/>
        </w:rPr>
        <w:t>A.</w:t>
      </w:r>
      <w:r w:rsidRPr="009A6C57">
        <w:rPr>
          <w:rFonts w:eastAsia="SimSun"/>
        </w:rPr>
        <w:tab/>
      </w:r>
      <w:r>
        <w:rPr>
          <w:rFonts w:eastAsia="SimSun"/>
        </w:rPr>
        <w:t>Yes.</w:t>
      </w:r>
      <w:r w:rsidR="00F26B15">
        <w:rPr>
          <w:rFonts w:eastAsia="SimSun"/>
        </w:rPr>
        <w:t xml:space="preserve"> </w:t>
      </w:r>
      <w:r>
        <w:rPr>
          <w:rFonts w:eastAsia="SimSun"/>
        </w:rPr>
        <w:t>Assuming the definition of qualifying event remains unchanged from the current 2.5</w:t>
      </w:r>
      <w:r w:rsidR="009D6245">
        <w:rPr>
          <w:rFonts w:eastAsia="SimSun"/>
        </w:rPr>
        <w:t> </w:t>
      </w:r>
      <w:r>
        <w:rPr>
          <w:rFonts w:eastAsia="SimSun"/>
        </w:rPr>
        <w:t xml:space="preserve">Beta </w:t>
      </w:r>
      <w:r w:rsidR="003334DC">
        <w:rPr>
          <w:rFonts w:eastAsia="SimSun"/>
        </w:rPr>
        <w:t>M</w:t>
      </w:r>
      <w:r>
        <w:rPr>
          <w:rFonts w:eastAsia="SimSun"/>
        </w:rPr>
        <w:t>ethod, it would be appropriate to increase the threshold to $</w:t>
      </w:r>
      <w:r w:rsidR="003E196B">
        <w:rPr>
          <w:rFonts w:eastAsia="SimSun"/>
        </w:rPr>
        <w:t>10</w:t>
      </w:r>
      <w:r w:rsidR="009D6245">
        <w:rPr>
          <w:rFonts w:eastAsia="SimSun"/>
        </w:rPr>
        <w:t> </w:t>
      </w:r>
      <w:r w:rsidR="003E196B">
        <w:rPr>
          <w:rFonts w:eastAsia="SimSun"/>
        </w:rPr>
        <w:t xml:space="preserve">million </w:t>
      </w:r>
      <w:r>
        <w:rPr>
          <w:rFonts w:eastAsia="SimSun"/>
        </w:rPr>
        <w:t>to be consistent with the level of average storm costs established in this proceeding.</w:t>
      </w:r>
      <w:r w:rsidR="00F26B15">
        <w:rPr>
          <w:rFonts w:eastAsia="SimSun"/>
        </w:rPr>
        <w:t xml:space="preserve"> </w:t>
      </w:r>
      <w:r>
        <w:rPr>
          <w:rFonts w:eastAsia="SimSun"/>
        </w:rPr>
        <w:t xml:space="preserve">The new threshold should commence for storm deferrals beginning </w:t>
      </w:r>
      <w:r w:rsidR="003334DC">
        <w:rPr>
          <w:rFonts w:eastAsia="SimSun"/>
        </w:rPr>
        <w:t xml:space="preserve">in </w:t>
      </w:r>
      <w:r>
        <w:rPr>
          <w:rFonts w:eastAsia="SimSun"/>
        </w:rPr>
        <w:t>calendar 2018, shortly after the conclusion of this case.</w:t>
      </w:r>
      <w:r w:rsidR="00F26B15">
        <w:rPr>
          <w:rFonts w:eastAsia="SimSun"/>
        </w:rPr>
        <w:t xml:space="preserve"> </w:t>
      </w:r>
    </w:p>
    <w:p w:rsidR="0044779C" w:rsidRPr="00397532" w:rsidRDefault="0044779C" w:rsidP="00777E1F">
      <w:pPr>
        <w:pStyle w:val="question"/>
      </w:pPr>
      <w:r w:rsidRPr="00397532">
        <w:t>Q.</w:t>
      </w:r>
      <w:r w:rsidRPr="00397532">
        <w:tab/>
      </w:r>
      <w:r w:rsidR="009A6C57">
        <w:t xml:space="preserve">Public Counsel witness </w:t>
      </w:r>
      <w:r w:rsidR="00813CC7">
        <w:t xml:space="preserve">Smith </w:t>
      </w:r>
      <w:r w:rsidR="009A6C57">
        <w:t>proposes a longer amortization of 2012 storm costs</w:t>
      </w:r>
      <w:r w:rsidR="009A11B5">
        <w:t>. D</w:t>
      </w:r>
      <w:r w:rsidR="009A6C57">
        <w:t>o</w:t>
      </w:r>
      <w:r w:rsidR="009A11B5">
        <w:t>es</w:t>
      </w:r>
      <w:r w:rsidRPr="00397532">
        <w:t xml:space="preserve"> </w:t>
      </w:r>
      <w:r w:rsidR="009A11B5">
        <w:t xml:space="preserve">PSE </w:t>
      </w:r>
      <w:r w:rsidRPr="00397532">
        <w:t xml:space="preserve">agree with </w:t>
      </w:r>
      <w:r w:rsidR="009A6C57">
        <w:t>his</w:t>
      </w:r>
      <w:r w:rsidRPr="00397532">
        <w:t xml:space="preserve"> proposal?</w:t>
      </w:r>
      <w:r w:rsidR="00AD3516">
        <w:rPr>
          <w:rStyle w:val="FootnoteReference"/>
        </w:rPr>
        <w:footnoteReference w:id="95"/>
      </w:r>
    </w:p>
    <w:p w:rsidR="00F73D9F" w:rsidRDefault="0044779C" w:rsidP="009A6C57">
      <w:pPr>
        <w:pStyle w:val="ListParagraph"/>
        <w:spacing w:line="480" w:lineRule="auto"/>
        <w:ind w:hanging="720"/>
      </w:pPr>
      <w:r>
        <w:rPr>
          <w:rFonts w:eastAsia="SimSun"/>
        </w:rPr>
        <w:t>A.</w:t>
      </w:r>
      <w:r>
        <w:rPr>
          <w:rFonts w:eastAsia="SimSun"/>
        </w:rPr>
        <w:tab/>
      </w:r>
      <w:r w:rsidR="009A6C57">
        <w:rPr>
          <w:rFonts w:eastAsia="SimSun"/>
        </w:rPr>
        <w:t>No</w:t>
      </w:r>
      <w:r w:rsidR="009A11B5">
        <w:rPr>
          <w:rFonts w:eastAsia="SimSun"/>
        </w:rPr>
        <w:t>.</w:t>
      </w:r>
      <w:r w:rsidR="009A6C57">
        <w:rPr>
          <w:rFonts w:eastAsia="SimSun"/>
        </w:rPr>
        <w:t xml:space="preserve"> </w:t>
      </w:r>
      <w:r w:rsidR="009A11B5">
        <w:rPr>
          <w:rFonts w:eastAsia="SimSun"/>
        </w:rPr>
        <w:t>F</w:t>
      </w:r>
      <w:r w:rsidR="009A6C57">
        <w:rPr>
          <w:rFonts w:eastAsia="SimSun"/>
        </w:rPr>
        <w:t>urther extending the amortization period is unnecessary.</w:t>
      </w:r>
      <w:r w:rsidR="00F26B15">
        <w:rPr>
          <w:rFonts w:eastAsia="SimSun"/>
        </w:rPr>
        <w:t xml:space="preserve"> </w:t>
      </w:r>
      <w:r w:rsidR="009A6C57">
        <w:rPr>
          <w:rFonts w:eastAsia="SimSun"/>
        </w:rPr>
        <w:t>T</w:t>
      </w:r>
      <w:r>
        <w:rPr>
          <w:rFonts w:eastAsia="SimSun"/>
        </w:rPr>
        <w:t xml:space="preserve">he </w:t>
      </w:r>
      <w:r w:rsidR="003E196B">
        <w:rPr>
          <w:rFonts w:eastAsia="SimSun"/>
        </w:rPr>
        <w:t>six</w:t>
      </w:r>
      <w:r w:rsidR="009A6C57">
        <w:rPr>
          <w:rFonts w:eastAsia="SimSun"/>
        </w:rPr>
        <w:t>-</w:t>
      </w:r>
      <w:r>
        <w:rPr>
          <w:rFonts w:eastAsia="SimSun"/>
        </w:rPr>
        <w:t xml:space="preserve">year amortization period is reasonable </w:t>
      </w:r>
      <w:r w:rsidR="009A6C57">
        <w:rPr>
          <w:rFonts w:eastAsia="SimSun"/>
        </w:rPr>
        <w:t xml:space="preserve">considering </w:t>
      </w:r>
      <w:r>
        <w:rPr>
          <w:rFonts w:eastAsia="SimSun"/>
        </w:rPr>
        <w:t xml:space="preserve">the level of deferred expense associated with that storm event is approximately 60% of the level of the Hanukkah Eve storm that was amortized over </w:t>
      </w:r>
      <w:r w:rsidR="00F852B4">
        <w:rPr>
          <w:rFonts w:eastAsia="SimSun"/>
        </w:rPr>
        <w:t xml:space="preserve">ten </w:t>
      </w:r>
      <w:r>
        <w:rPr>
          <w:rFonts w:eastAsia="SimSun"/>
        </w:rPr>
        <w:t>years.</w:t>
      </w:r>
      <w:r w:rsidR="00F96AE4">
        <w:rPr>
          <w:rFonts w:eastAsia="SimSun"/>
        </w:rPr>
        <w:t xml:space="preserve"> </w:t>
      </w:r>
    </w:p>
    <w:p w:rsidR="00D56473" w:rsidRPr="009B60DB" w:rsidRDefault="00D56473" w:rsidP="00777E1F">
      <w:pPr>
        <w:pStyle w:val="question"/>
      </w:pPr>
      <w:r w:rsidRPr="009B60DB">
        <w:t>Q.</w:t>
      </w:r>
      <w:r w:rsidRPr="009B60DB">
        <w:tab/>
      </w:r>
      <w:r>
        <w:t xml:space="preserve">Please summarize </w:t>
      </w:r>
      <w:r w:rsidR="009A11B5">
        <w:t xml:space="preserve">PSE’s </w:t>
      </w:r>
      <w:r>
        <w:t xml:space="preserve">recommendation </w:t>
      </w:r>
      <w:r w:rsidR="0077270E">
        <w:t>regarding the storm recovery mechanism and storm damage adjustment</w:t>
      </w:r>
      <w:r w:rsidRPr="009B60DB">
        <w:t>?</w:t>
      </w:r>
    </w:p>
    <w:p w:rsidR="0077270E" w:rsidRDefault="00D56473" w:rsidP="00D56473">
      <w:pPr>
        <w:pStyle w:val="answer"/>
      </w:pPr>
      <w:r w:rsidRPr="009B60DB">
        <w:t>A.</w:t>
      </w:r>
      <w:r w:rsidRPr="009B60DB">
        <w:tab/>
      </w:r>
      <w:r w:rsidR="0077270E">
        <w:t>The summary of my recommendation</w:t>
      </w:r>
      <w:r w:rsidR="003334DC">
        <w:t>s</w:t>
      </w:r>
      <w:r w:rsidR="0077270E">
        <w:t xml:space="preserve"> </w:t>
      </w:r>
      <w:r w:rsidR="00F852B4">
        <w:t xml:space="preserve">is </w:t>
      </w:r>
      <w:r w:rsidR="0077270E">
        <w:t>as follows:</w:t>
      </w:r>
    </w:p>
    <w:p w:rsidR="0077270E" w:rsidRDefault="00D56473" w:rsidP="00DC5696">
      <w:pPr>
        <w:pStyle w:val="answer"/>
        <w:spacing w:before="0" w:after="280" w:line="240" w:lineRule="auto"/>
        <w:ind w:left="2160" w:right="720"/>
      </w:pPr>
      <w:r>
        <w:t>1)</w:t>
      </w:r>
      <w:r w:rsidR="00DC5696">
        <w:tab/>
      </w:r>
      <w:r w:rsidR="0077270E">
        <w:t>A</w:t>
      </w:r>
      <w:r>
        <w:t>pprove continuation of the existing</w:t>
      </w:r>
      <w:r w:rsidR="0077270E">
        <w:t xml:space="preserve"> storm recovery </w:t>
      </w:r>
      <w:r>
        <w:t>mechanism retaining the 2.5</w:t>
      </w:r>
      <w:r w:rsidR="009A11B5">
        <w:t> </w:t>
      </w:r>
      <w:r>
        <w:t xml:space="preserve">Beta </w:t>
      </w:r>
      <w:r w:rsidR="003334DC">
        <w:t>M</w:t>
      </w:r>
      <w:r>
        <w:t xml:space="preserve">ethod for qualifying events, </w:t>
      </w:r>
      <w:r w:rsidR="00813CC7">
        <w:t xml:space="preserve">but </w:t>
      </w:r>
      <w:r w:rsidR="0077270E">
        <w:t>increas</w:t>
      </w:r>
      <w:r w:rsidR="00813CC7">
        <w:t>ing</w:t>
      </w:r>
      <w:r w:rsidR="0077270E">
        <w:t xml:space="preserve"> the </w:t>
      </w:r>
      <w:r>
        <w:t>annual threshold for qualifying events from $</w:t>
      </w:r>
      <w:r w:rsidR="00813CC7">
        <w:t>8</w:t>
      </w:r>
      <w:r w:rsidR="009A11B5">
        <w:t> </w:t>
      </w:r>
      <w:r w:rsidR="00813CC7">
        <w:t xml:space="preserve">million </w:t>
      </w:r>
      <w:r>
        <w:t>to $</w:t>
      </w:r>
      <w:r w:rsidR="00813CC7">
        <w:t>10</w:t>
      </w:r>
      <w:r w:rsidR="009A11B5">
        <w:t> </w:t>
      </w:r>
      <w:r w:rsidR="00813CC7">
        <w:t>million</w:t>
      </w:r>
      <w:r w:rsidR="00F26B15">
        <w:t xml:space="preserve"> </w:t>
      </w:r>
      <w:r>
        <w:t>beginning in 2018</w:t>
      </w:r>
      <w:r w:rsidR="00813CC7">
        <w:t>;</w:t>
      </w:r>
    </w:p>
    <w:p w:rsidR="0077270E" w:rsidRDefault="0077270E" w:rsidP="00DC5696">
      <w:pPr>
        <w:pStyle w:val="answer"/>
        <w:spacing w:before="0" w:after="280" w:line="240" w:lineRule="auto"/>
        <w:ind w:left="2160" w:right="720"/>
      </w:pPr>
      <w:r>
        <w:lastRenderedPageBreak/>
        <w:t>2</w:t>
      </w:r>
      <w:r w:rsidR="00D56473">
        <w:t>)</w:t>
      </w:r>
      <w:r w:rsidR="00DC5696">
        <w:tab/>
      </w:r>
      <w:r>
        <w:t>R</w:t>
      </w:r>
      <w:r w:rsidR="00D56473">
        <w:t xml:space="preserve">eject </w:t>
      </w:r>
      <w:r w:rsidR="009A11B5">
        <w:t xml:space="preserve">Commission </w:t>
      </w:r>
      <w:r w:rsidR="00F852B4">
        <w:t>Staff</w:t>
      </w:r>
      <w:r w:rsidR="00E462EF">
        <w:t>’</w:t>
      </w:r>
      <w:r w:rsidR="00F852B4">
        <w:t xml:space="preserve">s </w:t>
      </w:r>
      <w:r w:rsidR="00D56473">
        <w:t xml:space="preserve">proposed </w:t>
      </w:r>
      <w:r>
        <w:t xml:space="preserve">storm damage </w:t>
      </w:r>
      <w:r w:rsidR="00D56473">
        <w:t xml:space="preserve">adjustment, including the adjustment to </w:t>
      </w:r>
      <w:r w:rsidR="00813CC7">
        <w:t xml:space="preserve">investor supplied working capital; </w:t>
      </w:r>
    </w:p>
    <w:p w:rsidR="0077270E" w:rsidRDefault="0077270E" w:rsidP="00DC5696">
      <w:pPr>
        <w:pStyle w:val="answer"/>
        <w:spacing w:before="0" w:after="280" w:line="240" w:lineRule="auto"/>
        <w:ind w:left="2160" w:right="720"/>
      </w:pPr>
      <w:r>
        <w:t>3)</w:t>
      </w:r>
      <w:r w:rsidR="00DC5696">
        <w:tab/>
      </w:r>
      <w:r>
        <w:t xml:space="preserve">Reject the modifications </w:t>
      </w:r>
      <w:r w:rsidR="00813CC7">
        <w:t xml:space="preserve">to storm deferral amortizations proposed </w:t>
      </w:r>
      <w:r>
        <w:t xml:space="preserve">by both </w:t>
      </w:r>
      <w:r w:rsidR="0077523D">
        <w:t>Mr. </w:t>
      </w:r>
      <w:r>
        <w:t xml:space="preserve">Higgins and </w:t>
      </w:r>
      <w:r w:rsidR="0077523D">
        <w:t>Mr. </w:t>
      </w:r>
      <w:r>
        <w:t>Smith</w:t>
      </w:r>
      <w:r w:rsidR="009A11B5">
        <w:t xml:space="preserve">; </w:t>
      </w:r>
      <w:r w:rsidR="00D56473">
        <w:t xml:space="preserve">and </w:t>
      </w:r>
    </w:p>
    <w:p w:rsidR="00D56473" w:rsidRPr="008909AC" w:rsidRDefault="00D56473" w:rsidP="00DC5696">
      <w:pPr>
        <w:pStyle w:val="answer"/>
        <w:spacing w:before="0" w:after="280" w:line="240" w:lineRule="auto"/>
        <w:ind w:left="2160" w:right="720"/>
      </w:pPr>
      <w:r>
        <w:t>4)</w:t>
      </w:r>
      <w:r w:rsidR="00DC5696">
        <w:tab/>
      </w:r>
      <w:r w:rsidR="0077270E">
        <w:t>A</w:t>
      </w:r>
      <w:r>
        <w:t xml:space="preserve">pprove </w:t>
      </w:r>
      <w:r w:rsidR="0077523D">
        <w:t>PSE</w:t>
      </w:r>
      <w:r w:rsidR="00E462EF">
        <w:t>’</w:t>
      </w:r>
      <w:r>
        <w:t xml:space="preserve">s storm </w:t>
      </w:r>
      <w:r w:rsidR="0077270E">
        <w:t xml:space="preserve">damage </w:t>
      </w:r>
      <w:r>
        <w:t>adjustment as presented in Adjustment KJB</w:t>
      </w:r>
      <w:r w:rsidR="009A11B5">
        <w:t>-21</w:t>
      </w:r>
      <w:r w:rsidRPr="009579ED">
        <w:t>.05</w:t>
      </w:r>
      <w:r w:rsidRPr="008909AC">
        <w:t xml:space="preserve">, which </w:t>
      </w:r>
      <w:r w:rsidR="00982ACC">
        <w:t>decreases</w:t>
      </w:r>
      <w:r w:rsidRPr="008909AC">
        <w:t xml:space="preserve"> net operating income by $</w:t>
      </w:r>
      <w:r w:rsidR="00982ACC" w:rsidRPr="00982ACC">
        <w:t>8,389,018</w:t>
      </w:r>
      <w:r w:rsidRPr="008909AC">
        <w:t xml:space="preserve"> and remains unchanged from the supplemental filing.</w:t>
      </w:r>
      <w:r w:rsidR="00F26B15">
        <w:t xml:space="preserve"> </w:t>
      </w:r>
    </w:p>
    <w:p w:rsidR="00F421F5" w:rsidRDefault="002367B5" w:rsidP="00771706">
      <w:pPr>
        <w:pStyle w:val="Heading2"/>
      </w:pPr>
      <w:bookmarkStart w:id="57" w:name="_Toc490035613"/>
      <w:r w:rsidRPr="00777E1F">
        <w:rPr>
          <w:u w:val="none"/>
        </w:rPr>
        <w:t>I.</w:t>
      </w:r>
      <w:r w:rsidR="00777E1F" w:rsidRPr="00777E1F">
        <w:rPr>
          <w:u w:val="none"/>
        </w:rPr>
        <w:tab/>
      </w:r>
      <w:r w:rsidR="00A17F87">
        <w:t>E</w:t>
      </w:r>
      <w:r w:rsidR="009579ED">
        <w:t xml:space="preserve">nergy </w:t>
      </w:r>
      <w:r w:rsidR="00A17F87">
        <w:t>I</w:t>
      </w:r>
      <w:r w:rsidR="009579ED">
        <w:t xml:space="preserve">mbalance </w:t>
      </w:r>
      <w:r w:rsidR="00A17F87">
        <w:t>M</w:t>
      </w:r>
      <w:r w:rsidR="009579ED">
        <w:t>arket</w:t>
      </w:r>
      <w:r w:rsidR="00F421F5" w:rsidRPr="00F421F5">
        <w:t xml:space="preserve">, Adjustment </w:t>
      </w:r>
      <w:r w:rsidR="009A11B5">
        <w:t>KJB-21</w:t>
      </w:r>
      <w:r w:rsidR="00F421F5" w:rsidRPr="00F421F5">
        <w:t>.0</w:t>
      </w:r>
      <w:r w:rsidR="00483B39">
        <w:t>8</w:t>
      </w:r>
      <w:bookmarkEnd w:id="57"/>
    </w:p>
    <w:p w:rsidR="00CD40C8" w:rsidRPr="00CD40C8" w:rsidRDefault="00CD40C8" w:rsidP="007754FB">
      <w:pPr>
        <w:pStyle w:val="question"/>
      </w:pPr>
      <w:r>
        <w:t>Q.</w:t>
      </w:r>
      <w:r>
        <w:tab/>
        <w:t xml:space="preserve">Please describe </w:t>
      </w:r>
      <w:r w:rsidR="009A11B5">
        <w:rPr>
          <w:bCs/>
        </w:rPr>
        <w:t xml:space="preserve">Commission </w:t>
      </w:r>
      <w:r w:rsidR="009A11B5">
        <w:t>Staff</w:t>
      </w:r>
      <w:r w:rsidR="00E462EF">
        <w:t>’</w:t>
      </w:r>
      <w:r>
        <w:t>s proposal with respect to the EIM adjustment.</w:t>
      </w:r>
    </w:p>
    <w:p w:rsidR="00647EC4" w:rsidRPr="00CD40C8" w:rsidRDefault="00CD40C8" w:rsidP="007754FB">
      <w:pPr>
        <w:pStyle w:val="answer"/>
        <w:rPr>
          <w:rFonts w:eastAsia="SimSun"/>
        </w:rPr>
      </w:pPr>
      <w:r>
        <w:rPr>
          <w:rFonts w:eastAsia="SimSun"/>
        </w:rPr>
        <w:t>A.</w:t>
      </w:r>
      <w:r>
        <w:rPr>
          <w:rFonts w:eastAsia="SimSun"/>
        </w:rPr>
        <w:tab/>
      </w:r>
      <w:r w:rsidR="00377186" w:rsidRPr="00CD40C8">
        <w:rPr>
          <w:rFonts w:eastAsia="SimSun"/>
        </w:rPr>
        <w:t xml:space="preserve">Commission Staff </w:t>
      </w:r>
      <w:r w:rsidR="00813CC7" w:rsidRPr="00CD40C8">
        <w:rPr>
          <w:rFonts w:eastAsia="SimSun"/>
        </w:rPr>
        <w:t xml:space="preserve">witness </w:t>
      </w:r>
      <w:proofErr w:type="spellStart"/>
      <w:r w:rsidR="00377186" w:rsidRPr="00CD40C8">
        <w:rPr>
          <w:rFonts w:eastAsia="SimSun"/>
        </w:rPr>
        <w:t>Frankiewich</w:t>
      </w:r>
      <w:proofErr w:type="spellEnd"/>
      <w:r w:rsidR="00377186" w:rsidRPr="00CD40C8">
        <w:rPr>
          <w:rFonts w:eastAsia="SimSun"/>
        </w:rPr>
        <w:t xml:space="preserve"> does not contest the calculation</w:t>
      </w:r>
      <w:r w:rsidR="00647EC4" w:rsidRPr="00CD40C8">
        <w:rPr>
          <w:rFonts w:eastAsia="SimSun"/>
        </w:rPr>
        <w:t xml:space="preserve">s </w:t>
      </w:r>
      <w:r w:rsidR="00377186" w:rsidRPr="00CD40C8">
        <w:rPr>
          <w:rFonts w:eastAsia="SimSun"/>
        </w:rPr>
        <w:t>of PSE</w:t>
      </w:r>
      <w:r w:rsidR="00E462EF">
        <w:rPr>
          <w:rFonts w:eastAsia="SimSun"/>
        </w:rPr>
        <w:t>’</w:t>
      </w:r>
      <w:r w:rsidR="00377186" w:rsidRPr="00CD40C8">
        <w:rPr>
          <w:rFonts w:eastAsia="SimSun"/>
        </w:rPr>
        <w:t>s EIM Adjustment</w:t>
      </w:r>
      <w:r w:rsidR="00647EC4" w:rsidRPr="00CD40C8">
        <w:rPr>
          <w:rFonts w:eastAsia="SimSun"/>
        </w:rPr>
        <w:t xml:space="preserve"> or its prudency</w:t>
      </w:r>
      <w:r>
        <w:rPr>
          <w:rFonts w:eastAsia="SimSun"/>
        </w:rPr>
        <w:t>;</w:t>
      </w:r>
      <w:r w:rsidRPr="00CD40C8">
        <w:rPr>
          <w:rFonts w:eastAsia="SimSun"/>
        </w:rPr>
        <w:t xml:space="preserve"> </w:t>
      </w:r>
      <w:r w:rsidR="00377186" w:rsidRPr="00CD40C8">
        <w:rPr>
          <w:rFonts w:eastAsia="SimSun"/>
        </w:rPr>
        <w:t>however</w:t>
      </w:r>
      <w:r>
        <w:rPr>
          <w:rFonts w:eastAsia="SimSun"/>
        </w:rPr>
        <w:t>,</w:t>
      </w:r>
      <w:r w:rsidR="00377186" w:rsidRPr="00CD40C8">
        <w:rPr>
          <w:rFonts w:eastAsia="SimSun"/>
        </w:rPr>
        <w:t xml:space="preserve"> he prop</w:t>
      </w:r>
      <w:r w:rsidR="00647EC4" w:rsidRPr="00CD40C8">
        <w:rPr>
          <w:rFonts w:eastAsia="SimSun"/>
        </w:rPr>
        <w:t xml:space="preserve">oses </w:t>
      </w:r>
      <w:r>
        <w:rPr>
          <w:rFonts w:eastAsia="SimSun"/>
        </w:rPr>
        <w:t xml:space="preserve">that </w:t>
      </w:r>
      <w:r w:rsidR="009A7DB9" w:rsidRPr="00CD40C8">
        <w:rPr>
          <w:rFonts w:eastAsia="SimSun"/>
        </w:rPr>
        <w:t>all</w:t>
      </w:r>
      <w:r w:rsidR="00D2568C" w:rsidRPr="00CD40C8">
        <w:rPr>
          <w:rFonts w:eastAsia="SimSun"/>
        </w:rPr>
        <w:t xml:space="preserve"> </w:t>
      </w:r>
      <w:r w:rsidR="00647EC4" w:rsidRPr="00CD40C8">
        <w:rPr>
          <w:rFonts w:eastAsia="SimSun"/>
        </w:rPr>
        <w:t>costs</w:t>
      </w:r>
      <w:r w:rsidR="009A7DB9" w:rsidRPr="00CD40C8">
        <w:rPr>
          <w:rFonts w:eastAsia="SimSun"/>
        </w:rPr>
        <w:t xml:space="preserve"> associated with the EIM </w:t>
      </w:r>
      <w:r w:rsidR="00647EC4" w:rsidRPr="00CD40C8">
        <w:rPr>
          <w:rFonts w:eastAsia="SimSun"/>
        </w:rPr>
        <w:t xml:space="preserve">should not be included in either general rates or the </w:t>
      </w:r>
      <w:proofErr w:type="spellStart"/>
      <w:r w:rsidR="00F852B4">
        <w:rPr>
          <w:rFonts w:eastAsia="SimSun"/>
        </w:rPr>
        <w:t>PCA</w:t>
      </w:r>
      <w:proofErr w:type="spellEnd"/>
      <w:r w:rsidR="00F852B4">
        <w:rPr>
          <w:rFonts w:eastAsia="SimSun"/>
        </w:rPr>
        <w:t xml:space="preserve"> </w:t>
      </w:r>
      <w:r w:rsidR="00647EC4" w:rsidRPr="00CD40C8">
        <w:rPr>
          <w:rFonts w:eastAsia="SimSun"/>
        </w:rPr>
        <w:t xml:space="preserve">baseline rate, but should be included as a line item in the </w:t>
      </w:r>
      <w:proofErr w:type="spellStart"/>
      <w:r w:rsidR="00647EC4" w:rsidRPr="00CD40C8">
        <w:rPr>
          <w:rFonts w:eastAsia="SimSun"/>
        </w:rPr>
        <w:t>PCA</w:t>
      </w:r>
      <w:proofErr w:type="spellEnd"/>
      <w:r w:rsidR="00647EC4" w:rsidRPr="00CD40C8">
        <w:rPr>
          <w:rFonts w:eastAsia="SimSun"/>
        </w:rPr>
        <w:t xml:space="preserve"> </w:t>
      </w:r>
      <w:r w:rsidR="009A7DB9" w:rsidRPr="00CD40C8">
        <w:rPr>
          <w:rFonts w:eastAsia="SimSun"/>
        </w:rPr>
        <w:t xml:space="preserve">so that </w:t>
      </w:r>
      <w:r w:rsidR="00647EC4" w:rsidRPr="00CD40C8">
        <w:rPr>
          <w:rFonts w:eastAsia="SimSun"/>
        </w:rPr>
        <w:t xml:space="preserve">benefits would be reflected in the </w:t>
      </w:r>
      <w:proofErr w:type="spellStart"/>
      <w:r w:rsidR="00647EC4" w:rsidRPr="00CD40C8">
        <w:rPr>
          <w:rFonts w:eastAsia="SimSun"/>
        </w:rPr>
        <w:t>PCA</w:t>
      </w:r>
      <w:proofErr w:type="spellEnd"/>
      <w:r w:rsidR="00647EC4" w:rsidRPr="00CD40C8">
        <w:rPr>
          <w:rFonts w:eastAsia="SimSun"/>
        </w:rPr>
        <w:t xml:space="preserve"> sharing bands.</w:t>
      </w:r>
      <w:r w:rsidR="00AD3516">
        <w:rPr>
          <w:rStyle w:val="FootnoteReference"/>
          <w:rFonts w:eastAsia="SimSun"/>
        </w:rPr>
        <w:footnoteReference w:id="96"/>
      </w:r>
      <w:r w:rsidR="00647EC4" w:rsidRPr="00CD40C8">
        <w:rPr>
          <w:rFonts w:eastAsia="SimSun"/>
        </w:rPr>
        <w:t xml:space="preserve"> </w:t>
      </w:r>
    </w:p>
    <w:p w:rsidR="00F421F5" w:rsidRPr="00F421F5" w:rsidRDefault="00F421F5" w:rsidP="00B5424C">
      <w:pPr>
        <w:pStyle w:val="question"/>
      </w:pPr>
      <w:r w:rsidRPr="00F421F5">
        <w:t>Q.</w:t>
      </w:r>
      <w:r w:rsidRPr="00F421F5">
        <w:tab/>
      </w:r>
      <w:r w:rsidR="00647EC4">
        <w:t xml:space="preserve">Do you have concerns with </w:t>
      </w:r>
      <w:r w:rsidR="0077523D">
        <w:t>Mr. </w:t>
      </w:r>
      <w:proofErr w:type="spellStart"/>
      <w:r w:rsidR="00647EC4">
        <w:t>Frankiewich</w:t>
      </w:r>
      <w:r w:rsidR="00E462EF">
        <w:t>’</w:t>
      </w:r>
      <w:r w:rsidR="00647EC4">
        <w:t>s</w:t>
      </w:r>
      <w:proofErr w:type="spellEnd"/>
      <w:r w:rsidR="00647EC4">
        <w:t xml:space="preserve"> proposal</w:t>
      </w:r>
      <w:r w:rsidR="00D2568C">
        <w:t>?</w:t>
      </w:r>
    </w:p>
    <w:p w:rsidR="005020AE" w:rsidRDefault="00F421F5" w:rsidP="007D385E">
      <w:pPr>
        <w:pStyle w:val="answer"/>
      </w:pPr>
      <w:r w:rsidRPr="008909AC">
        <w:t>A.</w:t>
      </w:r>
      <w:r w:rsidRPr="008909AC">
        <w:tab/>
      </w:r>
      <w:r w:rsidR="00647EC4">
        <w:t>Yes.</w:t>
      </w:r>
      <w:r w:rsidR="00F26B15">
        <w:t xml:space="preserve"> </w:t>
      </w:r>
      <w:r w:rsidR="009A11B5">
        <w:rPr>
          <w:bCs/>
        </w:rPr>
        <w:t xml:space="preserve">Commission </w:t>
      </w:r>
      <w:r w:rsidR="009A11B5">
        <w:t>Staff</w:t>
      </w:r>
      <w:r w:rsidR="00E462EF">
        <w:t>’</w:t>
      </w:r>
      <w:r w:rsidR="00CD40C8">
        <w:t xml:space="preserve">s proposal is inconsistent with the </w:t>
      </w:r>
      <w:proofErr w:type="spellStart"/>
      <w:r w:rsidR="00CD40C8">
        <w:t>PCA</w:t>
      </w:r>
      <w:proofErr w:type="spellEnd"/>
      <w:r w:rsidR="00CD40C8">
        <w:t xml:space="preserve"> settlement recently approved by the Commission.</w:t>
      </w:r>
      <w:r w:rsidR="00AD3516">
        <w:rPr>
          <w:rStyle w:val="FootnoteReference"/>
        </w:rPr>
        <w:footnoteReference w:id="97"/>
      </w:r>
      <w:r w:rsidR="00F26B15">
        <w:t xml:space="preserve"> </w:t>
      </w:r>
      <w:r w:rsidR="00647EC4">
        <w:t xml:space="preserve">As discussed in the </w:t>
      </w:r>
      <w:proofErr w:type="spellStart"/>
      <w:r w:rsidR="00422449">
        <w:t>Prefiled</w:t>
      </w:r>
      <w:proofErr w:type="spellEnd"/>
      <w:r w:rsidR="00422449">
        <w:t xml:space="preserve"> Rebuttal T</w:t>
      </w:r>
      <w:r w:rsidR="00647EC4">
        <w:t xml:space="preserve">estimony of </w:t>
      </w:r>
      <w:r w:rsidR="0077523D">
        <w:t>Mr. </w:t>
      </w:r>
      <w:r w:rsidR="00647EC4">
        <w:t xml:space="preserve">Paul </w:t>
      </w:r>
      <w:r w:rsidR="00F852B4">
        <w:t xml:space="preserve">K. </w:t>
      </w:r>
      <w:r w:rsidR="00647EC4">
        <w:t>Wetherbee,</w:t>
      </w:r>
      <w:r w:rsidR="00422449">
        <w:t xml:space="preserve"> Exhibit PKW-15T,</w:t>
      </w:r>
      <w:r w:rsidR="00647EC4">
        <w:t xml:space="preserve"> </w:t>
      </w:r>
      <w:r w:rsidR="009A11B5">
        <w:rPr>
          <w:bCs/>
        </w:rPr>
        <w:t xml:space="preserve">Commission </w:t>
      </w:r>
      <w:r w:rsidR="009A11B5">
        <w:t>Staff</w:t>
      </w:r>
      <w:r w:rsidR="00D2568C">
        <w:t xml:space="preserve"> is proposing to </w:t>
      </w:r>
      <w:r w:rsidR="00647EC4">
        <w:t xml:space="preserve">modify the </w:t>
      </w:r>
      <w:r w:rsidR="00D2568C">
        <w:t xml:space="preserve">updated </w:t>
      </w:r>
      <w:proofErr w:type="spellStart"/>
      <w:r w:rsidR="00647EC4">
        <w:t>PCA</w:t>
      </w:r>
      <w:proofErr w:type="spellEnd"/>
      <w:r w:rsidR="00647EC4">
        <w:t xml:space="preserve"> mechanism that was just implemented </w:t>
      </w:r>
      <w:r w:rsidR="00647EC4">
        <w:lastRenderedPageBreak/>
        <w:t>eight months ago</w:t>
      </w:r>
      <w:r w:rsidR="00CD40C8">
        <w:t>.</w:t>
      </w:r>
      <w:r w:rsidR="00F26B15">
        <w:t xml:space="preserve"> </w:t>
      </w:r>
      <w:r w:rsidR="00CD40C8">
        <w:t xml:space="preserve">As part of the </w:t>
      </w:r>
      <w:proofErr w:type="spellStart"/>
      <w:r w:rsidR="00077D99">
        <w:t>PCA</w:t>
      </w:r>
      <w:proofErr w:type="spellEnd"/>
      <w:r w:rsidR="00077D99">
        <w:t xml:space="preserve"> </w:t>
      </w:r>
      <w:r w:rsidR="00CD40C8">
        <w:t>settlement</w:t>
      </w:r>
      <w:r w:rsidR="00077D99">
        <w:t xml:space="preserve"> in Docket UE-13</w:t>
      </w:r>
      <w:r w:rsidR="00B5424C">
        <w:t>0617</w:t>
      </w:r>
      <w:r w:rsidR="00CD40C8">
        <w:t>, the parties agreed to</w:t>
      </w:r>
      <w:r w:rsidR="00647EC4">
        <w:t xml:space="preserve"> a </w:t>
      </w:r>
      <w:r w:rsidR="00CD40C8">
        <w:t>five-</w:t>
      </w:r>
      <w:r w:rsidR="00647EC4">
        <w:t>year moratorium</w:t>
      </w:r>
      <w:r w:rsidR="00CD40C8">
        <w:t xml:space="preserve">, which prohibited parties from advocating for changes to the </w:t>
      </w:r>
      <w:proofErr w:type="spellStart"/>
      <w:r w:rsidR="00077D99">
        <w:t>PCA</w:t>
      </w:r>
      <w:proofErr w:type="spellEnd"/>
      <w:r w:rsidR="00077D99">
        <w:t xml:space="preserve"> </w:t>
      </w:r>
      <w:r w:rsidR="00CD40C8">
        <w:t>mechanism during that time period.</w:t>
      </w:r>
      <w:r w:rsidR="00AD3516">
        <w:rPr>
          <w:rStyle w:val="FootnoteReference"/>
        </w:rPr>
        <w:footnoteReference w:id="98"/>
      </w:r>
      <w:r w:rsidR="00F26B15">
        <w:t xml:space="preserve"> </w:t>
      </w:r>
      <w:r w:rsidR="00CD40C8">
        <w:t xml:space="preserve">Additionally, the settlement </w:t>
      </w:r>
      <w:r w:rsidR="00077D99">
        <w:t>removed fixed</w:t>
      </w:r>
      <w:r w:rsidR="00CD40C8">
        <w:t xml:space="preserve"> </w:t>
      </w:r>
      <w:r w:rsidR="00077D99">
        <w:t xml:space="preserve">costs from the </w:t>
      </w:r>
      <w:proofErr w:type="spellStart"/>
      <w:r w:rsidR="00077D99">
        <w:t>PCA</w:t>
      </w:r>
      <w:proofErr w:type="spellEnd"/>
      <w:r w:rsidR="00077D99">
        <w:t xml:space="preserve"> mechanism</w:t>
      </w:r>
      <w:r w:rsidR="00010154">
        <w:t>—</w:t>
      </w:r>
      <w:r w:rsidR="00077D99">
        <w:t xml:space="preserve">a </w:t>
      </w:r>
      <w:r w:rsidR="00693AE1">
        <w:t xml:space="preserve">change </w:t>
      </w:r>
      <w:r w:rsidR="00077D99">
        <w:t xml:space="preserve">for which </w:t>
      </w:r>
      <w:r w:rsidR="009A11B5">
        <w:rPr>
          <w:bCs/>
        </w:rPr>
        <w:t xml:space="preserve">Commission </w:t>
      </w:r>
      <w:r w:rsidR="009A11B5">
        <w:t>Staff</w:t>
      </w:r>
      <w:r w:rsidR="00077D99">
        <w:t xml:space="preserve"> had advocated.</w:t>
      </w:r>
      <w:r w:rsidR="00F26B15">
        <w:t xml:space="preserve"> </w:t>
      </w:r>
      <w:r w:rsidR="00077D99">
        <w:t xml:space="preserve">Now, less than a year after the </w:t>
      </w:r>
      <w:proofErr w:type="spellStart"/>
      <w:r w:rsidR="00077D99">
        <w:t>PCA</w:t>
      </w:r>
      <w:proofErr w:type="spellEnd"/>
      <w:r w:rsidR="00077D99">
        <w:t xml:space="preserve"> changes were implemented, </w:t>
      </w:r>
      <w:r w:rsidR="0077523D">
        <w:t>Mr. </w:t>
      </w:r>
      <w:proofErr w:type="spellStart"/>
      <w:r w:rsidR="00077D99">
        <w:t>Frankiewich</w:t>
      </w:r>
      <w:proofErr w:type="spellEnd"/>
      <w:r w:rsidR="00077D99">
        <w:t xml:space="preserve"> proposes to change the </w:t>
      </w:r>
      <w:proofErr w:type="spellStart"/>
      <w:r w:rsidR="00077D99">
        <w:t>PCA</w:t>
      </w:r>
      <w:proofErr w:type="spellEnd"/>
      <w:r w:rsidR="00077D99">
        <w:t xml:space="preserve"> mechanism by </w:t>
      </w:r>
      <w:r w:rsidR="00647EC4">
        <w:t>includ</w:t>
      </w:r>
      <w:r w:rsidR="00077D99">
        <w:t>ing</w:t>
      </w:r>
      <w:r w:rsidR="00647EC4">
        <w:t xml:space="preserve"> fixed costs </w:t>
      </w:r>
      <w:r w:rsidR="00594AD8">
        <w:t xml:space="preserve">in the </w:t>
      </w:r>
      <w:proofErr w:type="spellStart"/>
      <w:r w:rsidR="00594AD8">
        <w:t>PCA</w:t>
      </w:r>
      <w:proofErr w:type="spellEnd"/>
      <w:r w:rsidR="00594AD8">
        <w:t xml:space="preserve"> </w:t>
      </w:r>
      <w:r w:rsidR="00647EC4">
        <w:t>associated with PSE joining the EIM.</w:t>
      </w:r>
      <w:r w:rsidR="001A367E">
        <w:rPr>
          <w:rStyle w:val="FootnoteReference"/>
        </w:rPr>
        <w:footnoteReference w:id="99"/>
      </w:r>
      <w:r w:rsidR="00F26B15">
        <w:t xml:space="preserve"> </w:t>
      </w:r>
      <w:r w:rsidR="0077523D">
        <w:t>Mr. </w:t>
      </w:r>
      <w:proofErr w:type="spellStart"/>
      <w:r w:rsidR="00FA4699">
        <w:t>Frankiewich</w:t>
      </w:r>
      <w:r w:rsidR="00E462EF">
        <w:t>’</w:t>
      </w:r>
      <w:r w:rsidR="00FA4699">
        <w:t>s</w:t>
      </w:r>
      <w:proofErr w:type="spellEnd"/>
      <w:r w:rsidR="00FA4699">
        <w:t xml:space="preserve"> proposal seems to stem completely from his misunderstanding of the relationship between general rates and the baseline rate used in the </w:t>
      </w:r>
      <w:proofErr w:type="spellStart"/>
      <w:r w:rsidR="00FA4699">
        <w:t>PCA</w:t>
      </w:r>
      <w:proofErr w:type="spellEnd"/>
      <w:r w:rsidR="00FA4699">
        <w:t xml:space="preserve"> mechanism.</w:t>
      </w:r>
      <w:r w:rsidR="00F26B15">
        <w:t xml:space="preserve"> </w:t>
      </w:r>
    </w:p>
    <w:p w:rsidR="00BE5745" w:rsidRPr="007D385E" w:rsidRDefault="00BE5745" w:rsidP="00693AE1">
      <w:pPr>
        <w:pStyle w:val="question"/>
      </w:pPr>
      <w:r w:rsidRPr="007D385E">
        <w:t>Q.</w:t>
      </w:r>
      <w:r w:rsidRPr="007D385E">
        <w:tab/>
        <w:t xml:space="preserve">Does </w:t>
      </w:r>
      <w:r w:rsidR="0077523D">
        <w:t>Mr. </w:t>
      </w:r>
      <w:proofErr w:type="spellStart"/>
      <w:r w:rsidRPr="007D385E">
        <w:t>Frankiewich</w:t>
      </w:r>
      <w:proofErr w:type="spellEnd"/>
      <w:r w:rsidRPr="007D385E">
        <w:t xml:space="preserve"> challenge either the prudency of joining the EIM or the capital costs and </w:t>
      </w:r>
      <w:r w:rsidR="00123C61" w:rsidRPr="007D385E">
        <w:t>O</w:t>
      </w:r>
      <w:r w:rsidRPr="007D385E">
        <w:t>&amp;</w:t>
      </w:r>
      <w:r w:rsidR="00123C61" w:rsidRPr="007D385E">
        <w:t xml:space="preserve">M </w:t>
      </w:r>
      <w:r w:rsidRPr="007D385E">
        <w:t xml:space="preserve">included in </w:t>
      </w:r>
      <w:r w:rsidR="0077523D">
        <w:t>PSE</w:t>
      </w:r>
      <w:r w:rsidR="00E462EF">
        <w:t>’</w:t>
      </w:r>
      <w:r w:rsidR="00693AE1" w:rsidRPr="007D385E">
        <w:t xml:space="preserve">s </w:t>
      </w:r>
      <w:r w:rsidRPr="007D385E">
        <w:t>proposed adjustment?</w:t>
      </w:r>
    </w:p>
    <w:p w:rsidR="00BE5745" w:rsidRDefault="00BE5745" w:rsidP="00B5424C">
      <w:pPr>
        <w:pStyle w:val="answer"/>
      </w:pPr>
      <w:r>
        <w:t>A.</w:t>
      </w:r>
      <w:r>
        <w:tab/>
        <w:t>No.</w:t>
      </w:r>
      <w:r w:rsidR="00F26B15">
        <w:t xml:space="preserve"> </w:t>
      </w:r>
      <w:r>
        <w:t xml:space="preserve">In fact, </w:t>
      </w:r>
      <w:r w:rsidR="0077523D">
        <w:t>Mr. </w:t>
      </w:r>
      <w:proofErr w:type="spellStart"/>
      <w:r>
        <w:t>Frankiewich</w:t>
      </w:r>
      <w:proofErr w:type="spellEnd"/>
      <w:r>
        <w:t xml:space="preserve"> makes it clear that he </w:t>
      </w:r>
      <w:r w:rsidR="00077D99">
        <w:t xml:space="preserve">does not </w:t>
      </w:r>
      <w:r>
        <w:t>challenge the prudency of joining the EIM</w:t>
      </w:r>
      <w:r w:rsidR="00693AE1">
        <w:t>,</w:t>
      </w:r>
      <w:r w:rsidR="00D2568C">
        <w:rPr>
          <w:rStyle w:val="FootnoteReference"/>
        </w:rPr>
        <w:footnoteReference w:id="100"/>
      </w:r>
      <w:r w:rsidR="00047D11">
        <w:t xml:space="preserve"> </w:t>
      </w:r>
      <w:r w:rsidR="00D2568C">
        <w:t>the prudency of the costs</w:t>
      </w:r>
      <w:r w:rsidR="00693AE1">
        <w:t>,</w:t>
      </w:r>
      <w:r w:rsidR="00D2568C">
        <w:rPr>
          <w:rStyle w:val="FootnoteReference"/>
        </w:rPr>
        <w:footnoteReference w:id="101"/>
      </w:r>
      <w:r w:rsidR="00D2568C">
        <w:t xml:space="preserve"> or the calculation of the adjustments</w:t>
      </w:r>
      <w:r w:rsidR="00077D99">
        <w:t>.</w:t>
      </w:r>
      <w:r w:rsidR="00D2568C">
        <w:rPr>
          <w:rStyle w:val="FootnoteReference"/>
        </w:rPr>
        <w:footnoteReference w:id="102"/>
      </w:r>
      <w:r w:rsidR="00F26B15">
        <w:t xml:space="preserve"> </w:t>
      </w:r>
    </w:p>
    <w:p w:rsidR="00647EC4" w:rsidRPr="00F421F5" w:rsidRDefault="00647EC4" w:rsidP="00B5424C">
      <w:pPr>
        <w:pStyle w:val="question"/>
      </w:pPr>
      <w:r w:rsidRPr="00F421F5">
        <w:lastRenderedPageBreak/>
        <w:t>Q.</w:t>
      </w:r>
      <w:r w:rsidRPr="00F421F5">
        <w:tab/>
      </w:r>
      <w:r w:rsidR="00197838">
        <w:t xml:space="preserve">How do you respond to </w:t>
      </w:r>
      <w:r w:rsidR="0077523D">
        <w:t>Mr. </w:t>
      </w:r>
      <w:proofErr w:type="spellStart"/>
      <w:r w:rsidR="00197838">
        <w:t>Frankiewich</w:t>
      </w:r>
      <w:r w:rsidR="00E462EF">
        <w:t>’</w:t>
      </w:r>
      <w:r w:rsidR="00907E95">
        <w:t>s</w:t>
      </w:r>
      <w:proofErr w:type="spellEnd"/>
      <w:r w:rsidR="00197838">
        <w:t xml:space="preserve"> assessment that PSE</w:t>
      </w:r>
      <w:r w:rsidR="00E462EF">
        <w:t>’</w:t>
      </w:r>
      <w:r w:rsidR="00197838">
        <w:t>s proposal puts a burden on ratepayers to cover capital costs?</w:t>
      </w:r>
    </w:p>
    <w:p w:rsidR="00FC7BFE" w:rsidRDefault="00647EC4" w:rsidP="00B5424C">
      <w:pPr>
        <w:pStyle w:val="answer"/>
      </w:pPr>
      <w:r w:rsidRPr="008909AC">
        <w:t>A.</w:t>
      </w:r>
      <w:r w:rsidRPr="008909AC">
        <w:tab/>
      </w:r>
      <w:r w:rsidR="0077523D">
        <w:t>Mr. </w:t>
      </w:r>
      <w:proofErr w:type="spellStart"/>
      <w:r w:rsidR="00197838">
        <w:t>Frankiewich</w:t>
      </w:r>
      <w:proofErr w:type="spellEnd"/>
      <w:r w:rsidR="00197838">
        <w:t xml:space="preserve"> claims that the pro</w:t>
      </w:r>
      <w:r w:rsidR="00077D99">
        <w:t xml:space="preserve"> </w:t>
      </w:r>
      <w:r w:rsidR="00197838">
        <w:t>forma adjustment places the burden of covering capital costs directly through general rates yet the EIM benefits will mostly</w:t>
      </w:r>
      <w:r w:rsidR="00907E95">
        <w:t xml:space="preserve"> accrue</w:t>
      </w:r>
      <w:r w:rsidR="00197838">
        <w:t xml:space="preserve"> to </w:t>
      </w:r>
      <w:r w:rsidR="0077523D">
        <w:t>PSE</w:t>
      </w:r>
      <w:r w:rsidR="00693AE1">
        <w:t xml:space="preserve"> </w:t>
      </w:r>
      <w:r w:rsidR="00197838">
        <w:t xml:space="preserve">through the </w:t>
      </w:r>
      <w:proofErr w:type="spellStart"/>
      <w:r w:rsidR="00197838">
        <w:t>PCA</w:t>
      </w:r>
      <w:proofErr w:type="spellEnd"/>
      <w:r w:rsidR="00197838">
        <w:t xml:space="preserve"> mechanism.</w:t>
      </w:r>
      <w:r w:rsidR="00907E95">
        <w:rPr>
          <w:rStyle w:val="FootnoteReference"/>
        </w:rPr>
        <w:footnoteReference w:id="103"/>
      </w:r>
      <w:r w:rsidR="00F26B15">
        <w:t xml:space="preserve"> </w:t>
      </w:r>
      <w:r w:rsidR="0077523D">
        <w:t>Mr. </w:t>
      </w:r>
      <w:proofErr w:type="spellStart"/>
      <w:r w:rsidR="00197838">
        <w:t>Frankiewich</w:t>
      </w:r>
      <w:r w:rsidR="00E462EF">
        <w:t>’</w:t>
      </w:r>
      <w:r w:rsidR="00197838">
        <w:t>s</w:t>
      </w:r>
      <w:proofErr w:type="spellEnd"/>
      <w:r w:rsidR="00197838">
        <w:t xml:space="preserve"> assessment quite frankly does not make sense</w:t>
      </w:r>
      <w:r w:rsidR="00907E95">
        <w:t xml:space="preserve"> since the overall impact on general rates is zero.</w:t>
      </w:r>
      <w:r w:rsidR="00F26B15">
        <w:t xml:space="preserve"> </w:t>
      </w:r>
      <w:r w:rsidR="00907E95">
        <w:t xml:space="preserve">The increased revenue requirement of </w:t>
      </w:r>
      <w:r w:rsidR="00E55608">
        <w:t>$</w:t>
      </w:r>
      <w:r w:rsidR="00907E95">
        <w:t>8.47</w:t>
      </w:r>
      <w:r w:rsidR="00E55608">
        <w:t xml:space="preserve"> million</w:t>
      </w:r>
      <w:r w:rsidR="00907E95">
        <w:t xml:space="preserve"> associated with the incremental capital and O&amp;M </w:t>
      </w:r>
      <w:r w:rsidR="00693AE1">
        <w:t xml:space="preserve">costs </w:t>
      </w:r>
      <w:r w:rsidR="00907E95">
        <w:t xml:space="preserve">has been completely offset by </w:t>
      </w:r>
      <w:r w:rsidR="000A2BDF">
        <w:t xml:space="preserve">the </w:t>
      </w:r>
      <w:r w:rsidR="00907E95">
        <w:t xml:space="preserve">direct reduction to power costs for </w:t>
      </w:r>
      <w:r w:rsidR="000A2BDF">
        <w:t xml:space="preserve">the </w:t>
      </w:r>
      <w:r w:rsidR="00907E95">
        <w:t xml:space="preserve">estimated benefits of </w:t>
      </w:r>
      <w:r w:rsidR="00E55608">
        <w:t>$</w:t>
      </w:r>
      <w:r w:rsidR="00907E95">
        <w:t>8.47</w:t>
      </w:r>
      <w:r w:rsidR="00E55608">
        <w:t xml:space="preserve"> million</w:t>
      </w:r>
      <w:r w:rsidR="00907E95">
        <w:t xml:space="preserve">, </w:t>
      </w:r>
      <w:r w:rsidR="000A2BDF">
        <w:t xml:space="preserve">included in </w:t>
      </w:r>
      <w:r w:rsidR="00685692">
        <w:t>A</w:t>
      </w:r>
      <w:r w:rsidR="00907E95">
        <w:t xml:space="preserve">djustment </w:t>
      </w:r>
      <w:r w:rsidR="007D385E">
        <w:t>KJB-</w:t>
      </w:r>
      <w:r w:rsidR="00685692">
        <w:t>21</w:t>
      </w:r>
      <w:r w:rsidR="00907E95">
        <w:t>.01.</w:t>
      </w:r>
      <w:r w:rsidR="00AD3516">
        <w:rPr>
          <w:rStyle w:val="FootnoteReference"/>
        </w:rPr>
        <w:footnoteReference w:id="104"/>
      </w:r>
      <w:r w:rsidR="00F26B15">
        <w:t xml:space="preserve"> </w:t>
      </w:r>
      <w:r w:rsidR="000A2BDF">
        <w:t>The costs and benefits entirely offset within the revenue requirement model</w:t>
      </w:r>
      <w:r w:rsidR="00E55608">
        <w:t>;</w:t>
      </w:r>
      <w:r w:rsidR="000A2BDF">
        <w:t xml:space="preserve"> therefore, the impact on general rates in this proceeding is zero.</w:t>
      </w:r>
      <w:r w:rsidR="00F26B15">
        <w:t xml:space="preserve"> </w:t>
      </w:r>
    </w:p>
    <w:p w:rsidR="00F421F5" w:rsidRDefault="00647EC4" w:rsidP="00DC5696">
      <w:pPr>
        <w:pStyle w:val="answer"/>
        <w:ind w:firstLine="0"/>
      </w:pPr>
      <w:r>
        <w:t xml:space="preserve">The Commission should reject </w:t>
      </w:r>
      <w:r w:rsidR="0077523D">
        <w:t>Mr. </w:t>
      </w:r>
      <w:proofErr w:type="spellStart"/>
      <w:r>
        <w:t>Frankiewich</w:t>
      </w:r>
      <w:r w:rsidR="00E462EF">
        <w:t>’</w:t>
      </w:r>
      <w:r>
        <w:t>s</w:t>
      </w:r>
      <w:proofErr w:type="spellEnd"/>
      <w:r>
        <w:t xml:space="preserve"> proposal and </w:t>
      </w:r>
      <w:r w:rsidR="00FC7BFE">
        <w:t xml:space="preserve">approve the EIM adjustment as reflected in Adjustment </w:t>
      </w:r>
      <w:r w:rsidR="007D385E">
        <w:t>KJB-</w:t>
      </w:r>
      <w:r w:rsidR="00685692">
        <w:t>21</w:t>
      </w:r>
      <w:r w:rsidR="00FC7BFE">
        <w:t>.08</w:t>
      </w:r>
      <w:r w:rsidR="00AD3516">
        <w:t xml:space="preserve"> and without modification to the </w:t>
      </w:r>
      <w:proofErr w:type="spellStart"/>
      <w:r w:rsidR="00AD3516">
        <w:t>PCA</w:t>
      </w:r>
      <w:proofErr w:type="spellEnd"/>
      <w:r w:rsidR="00AD3516">
        <w:t xml:space="preserve"> mechanism</w:t>
      </w:r>
      <w:r w:rsidR="00F421F5" w:rsidRPr="008909AC">
        <w:t>.</w:t>
      </w:r>
    </w:p>
    <w:p w:rsidR="00A74955" w:rsidRPr="00F421F5" w:rsidRDefault="002367B5" w:rsidP="00771706">
      <w:pPr>
        <w:pStyle w:val="Heading2"/>
      </w:pPr>
      <w:bookmarkStart w:id="58" w:name="_Toc488581375"/>
      <w:bookmarkStart w:id="59" w:name="_Toc490035614"/>
      <w:r w:rsidRPr="00777E1F">
        <w:rPr>
          <w:u w:val="none"/>
        </w:rPr>
        <w:lastRenderedPageBreak/>
        <w:t>J.</w:t>
      </w:r>
      <w:r w:rsidR="00777E1F" w:rsidRPr="00777E1F">
        <w:rPr>
          <w:u w:val="none"/>
        </w:rPr>
        <w:tab/>
      </w:r>
      <w:r w:rsidR="00A74955">
        <w:t>White River,</w:t>
      </w:r>
      <w:r w:rsidR="00A74955" w:rsidRPr="00F421F5">
        <w:t xml:space="preserve"> Adjustment </w:t>
      </w:r>
      <w:r w:rsidR="00685692">
        <w:t>K</w:t>
      </w:r>
      <w:r w:rsidR="00454E08">
        <w:t>J</w:t>
      </w:r>
      <w:r w:rsidR="00685692">
        <w:t>B-21</w:t>
      </w:r>
      <w:r w:rsidR="00A74955" w:rsidRPr="00F421F5">
        <w:t>.</w:t>
      </w:r>
      <w:r w:rsidR="00A74955">
        <w:t>11</w:t>
      </w:r>
      <w:bookmarkEnd w:id="58"/>
      <w:bookmarkEnd w:id="59"/>
    </w:p>
    <w:p w:rsidR="00E55608" w:rsidRDefault="00E55608" w:rsidP="00B5424C">
      <w:pPr>
        <w:pStyle w:val="question"/>
      </w:pPr>
      <w:r>
        <w:t>Q.</w:t>
      </w:r>
      <w:r>
        <w:tab/>
        <w:t>What is Commission Staff</w:t>
      </w:r>
      <w:r w:rsidR="00E462EF">
        <w:t>’</w:t>
      </w:r>
      <w:r>
        <w:t>s position with respect to the White River adjustment?</w:t>
      </w:r>
    </w:p>
    <w:p w:rsidR="003C5781" w:rsidRDefault="00E55608" w:rsidP="00AD3516">
      <w:pPr>
        <w:pStyle w:val="answer"/>
      </w:pPr>
      <w:r>
        <w:t>A.</w:t>
      </w:r>
      <w:r>
        <w:tab/>
      </w:r>
      <w:r w:rsidR="00AD3516">
        <w:t>The only part of PSE</w:t>
      </w:r>
      <w:r w:rsidR="00E462EF">
        <w:t>’</w:t>
      </w:r>
      <w:r w:rsidR="00AD3516">
        <w:t xml:space="preserve">s adjustment that </w:t>
      </w:r>
      <w:r w:rsidR="009A11B5">
        <w:rPr>
          <w:bCs/>
        </w:rPr>
        <w:t xml:space="preserve">Commission </w:t>
      </w:r>
      <w:r w:rsidR="009A11B5">
        <w:t>Staff</w:t>
      </w:r>
      <w:r w:rsidR="00A74955">
        <w:t xml:space="preserve"> contests </w:t>
      </w:r>
      <w:r w:rsidR="00AD3516">
        <w:t xml:space="preserve">is </w:t>
      </w:r>
      <w:r w:rsidR="00A74955">
        <w:t xml:space="preserve">the </w:t>
      </w:r>
      <w:r>
        <w:t>three-</w:t>
      </w:r>
      <w:r w:rsidR="00A74955">
        <w:t>year amortization period PSE is requesting for the deferred unre</w:t>
      </w:r>
      <w:r w:rsidR="00AD3516">
        <w:t>covered regulatory asset costs.</w:t>
      </w:r>
      <w:r w:rsidR="00AD3516">
        <w:rPr>
          <w:rStyle w:val="FootnoteReference"/>
        </w:rPr>
        <w:footnoteReference w:id="105"/>
      </w:r>
    </w:p>
    <w:p w:rsidR="003C5781" w:rsidRDefault="003C5781" w:rsidP="00B5424C">
      <w:pPr>
        <w:pStyle w:val="question"/>
      </w:pPr>
      <w:r w:rsidRPr="00DD17D5">
        <w:t>Q.</w:t>
      </w:r>
      <w:r>
        <w:tab/>
        <w:t xml:space="preserve">Why does </w:t>
      </w:r>
      <w:r w:rsidR="009A11B5">
        <w:rPr>
          <w:bCs/>
        </w:rPr>
        <w:t xml:space="preserve">Commission </w:t>
      </w:r>
      <w:r w:rsidR="009A11B5">
        <w:t>Staff</w:t>
      </w:r>
      <w:r>
        <w:t xml:space="preserve"> oppose the </w:t>
      </w:r>
      <w:r w:rsidR="00D010BD">
        <w:t>three-</w:t>
      </w:r>
      <w:r>
        <w:t>year amortization period PSE is requesting for these deferred costs?</w:t>
      </w:r>
    </w:p>
    <w:p w:rsidR="003C5781" w:rsidRDefault="003C5781" w:rsidP="00B5424C">
      <w:pPr>
        <w:pStyle w:val="answer"/>
      </w:pPr>
      <w:r w:rsidRPr="00DD17D5">
        <w:t>A.</w:t>
      </w:r>
      <w:r>
        <w:rPr>
          <w:b/>
        </w:rPr>
        <w:tab/>
      </w:r>
      <w:r w:rsidR="009A11B5">
        <w:rPr>
          <w:bCs/>
        </w:rPr>
        <w:t xml:space="preserve">Commission </w:t>
      </w:r>
      <w:r w:rsidR="009A11B5">
        <w:t>Staff</w:t>
      </w:r>
      <w:r>
        <w:t xml:space="preserve"> witness E. Cooper Wright claims the Commission approved the current amortization period in a previous order with the caveat </w:t>
      </w:r>
      <w:r w:rsidR="00E462EF">
        <w:t>“</w:t>
      </w:r>
      <w:r>
        <w:t>to continue amortizing these costs at the current depreciation rate until better information is known related to sales and salvage values associated with this property.</w:t>
      </w:r>
      <w:r w:rsidR="00E462EF">
        <w:t>”</w:t>
      </w:r>
      <w:r w:rsidR="001A367E">
        <w:rPr>
          <w:rStyle w:val="FootnoteReference"/>
        </w:rPr>
        <w:footnoteReference w:id="106"/>
      </w:r>
      <w:r w:rsidR="00F26B15">
        <w:t xml:space="preserve"> </w:t>
      </w:r>
      <w:r w:rsidR="0077523D">
        <w:t>Mr. </w:t>
      </w:r>
      <w:r>
        <w:t>Wright also claims PSE has not shown any new information that would alter the Commission-established amortization rate.</w:t>
      </w:r>
      <w:r w:rsidR="007D385E">
        <w:rPr>
          <w:rStyle w:val="FootnoteReference"/>
        </w:rPr>
        <w:footnoteReference w:id="107"/>
      </w:r>
      <w:r w:rsidR="00F26B15">
        <w:t xml:space="preserve"> </w:t>
      </w:r>
      <w:r w:rsidR="007D385E">
        <w:t>PSE believes this part of the order related to the status of the surplus properties</w:t>
      </w:r>
      <w:r w:rsidR="00D010BD">
        <w:t>, i.e.,</w:t>
      </w:r>
      <w:r w:rsidR="00E80D95">
        <w:t xml:space="preserve"> </w:t>
      </w:r>
      <w:r w:rsidR="007D385E">
        <w:t xml:space="preserve">whether they could be </w:t>
      </w:r>
      <w:r w:rsidR="00E80D95">
        <w:t>sold</w:t>
      </w:r>
      <w:r w:rsidR="00D010BD">
        <w:t>,</w:t>
      </w:r>
      <w:r w:rsidR="00E80D95">
        <w:t xml:space="preserve"> </w:t>
      </w:r>
      <w:r w:rsidR="007D385E">
        <w:t xml:space="preserve">which was an outstanding item at the time the </w:t>
      </w:r>
      <w:r w:rsidR="00FA6A69">
        <w:t>order was issued and continued to be an outstanding item until this rate case.</w:t>
      </w:r>
      <w:r w:rsidR="00F26B15">
        <w:t xml:space="preserve"> </w:t>
      </w:r>
      <w:r w:rsidR="00FA6A69">
        <w:t>PSE does not believe this section of the Commission order related to the length of the amortization period.</w:t>
      </w:r>
    </w:p>
    <w:p w:rsidR="003C5781" w:rsidRDefault="003C5781" w:rsidP="00B5424C">
      <w:pPr>
        <w:pStyle w:val="question"/>
      </w:pPr>
      <w:r w:rsidRPr="00DD17D5">
        <w:lastRenderedPageBreak/>
        <w:t>Q.</w:t>
      </w:r>
      <w:r>
        <w:tab/>
        <w:t xml:space="preserve">What previous order is </w:t>
      </w:r>
      <w:r w:rsidR="0077523D">
        <w:t>Mr. </w:t>
      </w:r>
      <w:r>
        <w:t>Wright referring to in his testimony?</w:t>
      </w:r>
    </w:p>
    <w:p w:rsidR="003C5781" w:rsidRPr="00B5424C" w:rsidRDefault="003C5781" w:rsidP="00DC5696">
      <w:pPr>
        <w:pStyle w:val="answer"/>
      </w:pPr>
      <w:r>
        <w:t>A.</w:t>
      </w:r>
      <w:r>
        <w:tab/>
      </w:r>
      <w:r w:rsidR="0077523D">
        <w:t>Mr. </w:t>
      </w:r>
      <w:r>
        <w:t>Wright is referring to Order No. 15 from PSE</w:t>
      </w:r>
      <w:r w:rsidR="00E462EF">
        <w:t>’</w:t>
      </w:r>
      <w:r>
        <w:t>s 2003 Power Cost Only Rate Case (</w:t>
      </w:r>
      <w:r w:rsidR="00E462EF">
        <w:t>“</w:t>
      </w:r>
      <w:proofErr w:type="spellStart"/>
      <w:r>
        <w:t>PORC</w:t>
      </w:r>
      <w:proofErr w:type="spellEnd"/>
      <w:r w:rsidR="00E462EF">
        <w:t>”</w:t>
      </w:r>
      <w:r>
        <w:t>)</w:t>
      </w:r>
      <w:r w:rsidR="00574020">
        <w:t>,</w:t>
      </w:r>
      <w:r>
        <w:t xml:space="preserve"> Docket UE-031725</w:t>
      </w:r>
      <w:r w:rsidR="00574020">
        <w:t>,</w:t>
      </w:r>
      <w:r>
        <w:t xml:space="preserve"> paragraph </w:t>
      </w:r>
      <w:r w:rsidR="00706C38">
        <w:t xml:space="preserve">44 in </w:t>
      </w:r>
      <w:r>
        <w:t xml:space="preserve">which </w:t>
      </w:r>
      <w:r w:rsidR="00706C38">
        <w:t>the Commission clarified its earlier order with respect to the accounting for the White River Project and authorized PSE to</w:t>
      </w:r>
      <w:r w:rsidR="00DC5696">
        <w:t xml:space="preserve"> </w:t>
      </w:r>
      <w:r w:rsidRPr="00B5424C">
        <w:t>defer the remaining undepreciated plant costs as a regulatory asset and to continue amortizing these costs at the current depreciation rate until better information is known related to sales and salvage values associated with this property.</w:t>
      </w:r>
    </w:p>
    <w:p w:rsidR="003C5781" w:rsidRDefault="003C5781" w:rsidP="00B5424C">
      <w:pPr>
        <w:pStyle w:val="question"/>
      </w:pPr>
      <w:r w:rsidRPr="00DD17D5">
        <w:t>Q.</w:t>
      </w:r>
      <w:r>
        <w:tab/>
        <w:t xml:space="preserve">Does PSE agree with </w:t>
      </w:r>
      <w:r w:rsidR="0077523D">
        <w:t>Mr. </w:t>
      </w:r>
      <w:r>
        <w:t>Wright</w:t>
      </w:r>
      <w:r w:rsidR="00E462EF">
        <w:t>’</w:t>
      </w:r>
      <w:r>
        <w:t xml:space="preserve">s statement that PSE has not shown any new information </w:t>
      </w:r>
      <w:r w:rsidRPr="008C1ECF">
        <w:t>that would alter the Commission-established amortization rate</w:t>
      </w:r>
      <w:r>
        <w:t>?</w:t>
      </w:r>
      <w:r w:rsidR="00501B6B">
        <w:rPr>
          <w:rStyle w:val="FootnoteReference"/>
        </w:rPr>
        <w:footnoteReference w:id="108"/>
      </w:r>
    </w:p>
    <w:p w:rsidR="003C5781" w:rsidRDefault="003C5781" w:rsidP="00B5424C">
      <w:pPr>
        <w:pStyle w:val="answer"/>
      </w:pPr>
      <w:r>
        <w:t>A.</w:t>
      </w:r>
      <w:r>
        <w:tab/>
        <w:t>No.</w:t>
      </w:r>
      <w:r w:rsidR="00F26B15">
        <w:t xml:space="preserve"> </w:t>
      </w:r>
      <w:r>
        <w:t xml:space="preserve">As </w:t>
      </w:r>
      <w:r w:rsidR="006604D2">
        <w:t xml:space="preserve">discussed in the </w:t>
      </w:r>
      <w:proofErr w:type="spellStart"/>
      <w:r w:rsidR="007D385E">
        <w:t>P</w:t>
      </w:r>
      <w:r>
        <w:t>refiled</w:t>
      </w:r>
      <w:proofErr w:type="spellEnd"/>
      <w:r>
        <w:t xml:space="preserve"> </w:t>
      </w:r>
      <w:r w:rsidR="007D385E">
        <w:t>D</w:t>
      </w:r>
      <w:r>
        <w:t xml:space="preserve">irect </w:t>
      </w:r>
      <w:r w:rsidR="007D385E">
        <w:t>T</w:t>
      </w:r>
      <w:r>
        <w:t>estimony</w:t>
      </w:r>
      <w:r w:rsidR="006604D2">
        <w:t xml:space="preserve"> of Paul K. Wetherbee</w:t>
      </w:r>
      <w:r w:rsidR="00706C38">
        <w:t>,</w:t>
      </w:r>
      <w:r>
        <w:t xml:space="preserve"> </w:t>
      </w:r>
      <w:proofErr w:type="spellStart"/>
      <w:r>
        <w:t>Exh</w:t>
      </w:r>
      <w:proofErr w:type="spellEnd"/>
      <w:r>
        <w:t>.</w:t>
      </w:r>
      <w:r w:rsidR="006604D2">
        <w:t> </w:t>
      </w:r>
      <w:r>
        <w:t>PKW-1</w:t>
      </w:r>
      <w:r w:rsidR="00706C38">
        <w:t>C</w:t>
      </w:r>
      <w:r>
        <w:t xml:space="preserve">T, </w:t>
      </w:r>
      <w:r w:rsidR="00E462EF">
        <w:t>“</w:t>
      </w:r>
      <w:r>
        <w:t>PSE has sold and has current or future needs for the remaining properties.</w:t>
      </w:r>
      <w:r w:rsidR="00E462EF">
        <w:t>”</w:t>
      </w:r>
      <w:r w:rsidR="006604D2">
        <w:rPr>
          <w:rStyle w:val="FootnoteReference"/>
        </w:rPr>
        <w:footnoteReference w:id="109"/>
      </w:r>
      <w:r w:rsidR="00F26B15">
        <w:t xml:space="preserve"> </w:t>
      </w:r>
      <w:r w:rsidR="0077523D">
        <w:t>Mr. </w:t>
      </w:r>
      <w:r>
        <w:t>Wright</w:t>
      </w:r>
      <w:r w:rsidR="00E462EF">
        <w:t>’</w:t>
      </w:r>
      <w:r>
        <w:t xml:space="preserve">s testimony acknowledges </w:t>
      </w:r>
      <w:r w:rsidR="0077523D">
        <w:t>Mr. </w:t>
      </w:r>
      <w:proofErr w:type="spellStart"/>
      <w:r>
        <w:t>Wetherbee</w:t>
      </w:r>
      <w:r w:rsidR="00E462EF">
        <w:t>’</w:t>
      </w:r>
      <w:r>
        <w:t>s</w:t>
      </w:r>
      <w:proofErr w:type="spellEnd"/>
      <w:r>
        <w:t xml:space="preserve"> statement with the following, </w:t>
      </w:r>
      <w:r w:rsidR="00E462EF">
        <w:t>“</w:t>
      </w:r>
      <w:r>
        <w:t xml:space="preserve">By the filing of this rate case, </w:t>
      </w:r>
      <w:r w:rsidR="0077523D">
        <w:t>PSE</w:t>
      </w:r>
      <w:r>
        <w:t xml:space="preserve"> had completed selling of the property intended to be sold to other parties.</w:t>
      </w:r>
      <w:r w:rsidR="00E462EF">
        <w:t>”</w:t>
      </w:r>
      <w:r w:rsidR="006604D2">
        <w:rPr>
          <w:rStyle w:val="FootnoteReference"/>
        </w:rPr>
        <w:footnoteReference w:id="110"/>
      </w:r>
      <w:r w:rsidR="00F26B15">
        <w:t xml:space="preserve"> </w:t>
      </w:r>
      <w:r w:rsidR="0077523D">
        <w:t>Mr. </w:t>
      </w:r>
      <w:r>
        <w:t xml:space="preserve">Wright states that </w:t>
      </w:r>
      <w:r w:rsidR="00E462EF">
        <w:t>“</w:t>
      </w:r>
      <w:r>
        <w:t xml:space="preserve">Staff has reviewed the property transfers and has found them reasonable because each </w:t>
      </w:r>
      <w:r>
        <w:lastRenderedPageBreak/>
        <w:t>transfer meets the definition of each destination FERC account.</w:t>
      </w:r>
      <w:r w:rsidR="00F26B15">
        <w:t xml:space="preserve"> </w:t>
      </w:r>
      <w:r w:rsidR="00783B6C">
        <w:t>The Company’s</w:t>
      </w:r>
      <w:r>
        <w:t xml:space="preserve"> property transfers reflect good accounting practice.</w:t>
      </w:r>
      <w:r w:rsidR="00E462EF">
        <w:t>”</w:t>
      </w:r>
      <w:r w:rsidR="006604D2">
        <w:rPr>
          <w:rStyle w:val="FootnoteReference"/>
        </w:rPr>
        <w:footnoteReference w:id="111"/>
      </w:r>
    </w:p>
    <w:p w:rsidR="003C5781" w:rsidRPr="00706C38" w:rsidRDefault="003C5781" w:rsidP="00DC5696">
      <w:pPr>
        <w:pStyle w:val="answer"/>
        <w:ind w:firstLine="0"/>
      </w:pPr>
      <w:r w:rsidRPr="00796F02">
        <w:t xml:space="preserve">In Order </w:t>
      </w:r>
      <w:r w:rsidRPr="0052158D">
        <w:t>15</w:t>
      </w:r>
      <w:r w:rsidR="00706C38">
        <w:t xml:space="preserve">, </w:t>
      </w:r>
      <w:r w:rsidRPr="0052158D">
        <w:t>quoted above, PSE was allowed to defer the re</w:t>
      </w:r>
      <w:r w:rsidRPr="00706C38">
        <w:t>maining undepreciated White River plant costs as a regulatory asset and continue amortizing the costs at an amortization rate equal to the approved depreciation rate when the White River stranded plant was transferred to the regulatory asset because the Commission wanted better information related to sales and salvage values associated with the White River property.</w:t>
      </w:r>
      <w:r w:rsidR="00F26B15">
        <w:t xml:space="preserve"> </w:t>
      </w:r>
      <w:r w:rsidRPr="00706C38">
        <w:t>That better information the Commission was seeking is now known.</w:t>
      </w:r>
    </w:p>
    <w:p w:rsidR="003C5781" w:rsidRDefault="003C5781" w:rsidP="00B5424C">
      <w:pPr>
        <w:pStyle w:val="question"/>
      </w:pPr>
      <w:r w:rsidRPr="00DD17D5">
        <w:t>Q.</w:t>
      </w:r>
      <w:r>
        <w:tab/>
        <w:t xml:space="preserve">Why does PSE believe that a </w:t>
      </w:r>
      <w:r w:rsidR="00D521A6">
        <w:t>three-y</w:t>
      </w:r>
      <w:r>
        <w:t>ear amortization period is appropriate now that all the sales and salvage values associated with the White River are known?</w:t>
      </w:r>
    </w:p>
    <w:p w:rsidR="003C5781" w:rsidRDefault="003C5781" w:rsidP="00B5424C">
      <w:pPr>
        <w:pStyle w:val="answer"/>
      </w:pPr>
      <w:r>
        <w:t>A.</w:t>
      </w:r>
      <w:r>
        <w:tab/>
      </w:r>
      <w:r w:rsidR="00D521A6">
        <w:t>T</w:t>
      </w:r>
      <w:r>
        <w:t>he length of time PSE has held the regulatory asset is relevant when considering PSE</w:t>
      </w:r>
      <w:r w:rsidR="00E462EF">
        <w:t>’</w:t>
      </w:r>
      <w:r>
        <w:t xml:space="preserve">s proposal to amortize the deferral balance over a </w:t>
      </w:r>
      <w:r w:rsidR="00D010BD">
        <w:t>three-</w:t>
      </w:r>
      <w:r>
        <w:t>year period.</w:t>
      </w:r>
      <w:r w:rsidR="00F26B15">
        <w:t xml:space="preserve"> </w:t>
      </w:r>
      <w:r>
        <w:t>Order 15</w:t>
      </w:r>
      <w:r w:rsidR="00D521A6">
        <w:t>,</w:t>
      </w:r>
      <w:r>
        <w:t xml:space="preserve"> quoted above</w:t>
      </w:r>
      <w:r w:rsidR="00D521A6">
        <w:t>,</w:t>
      </w:r>
      <w:r>
        <w:t xml:space="preserve"> is dated June 7, 2004.</w:t>
      </w:r>
      <w:r w:rsidR="00F26B15">
        <w:t xml:space="preserve"> </w:t>
      </w:r>
      <w:r>
        <w:t>It has now been over 14 y</w:t>
      </w:r>
      <w:r w:rsidR="00F857A6">
        <w:t>ears since that order came out.</w:t>
      </w:r>
    </w:p>
    <w:p w:rsidR="00DC5696" w:rsidRDefault="003C5781" w:rsidP="00DC5696">
      <w:pPr>
        <w:pStyle w:val="answer"/>
        <w:ind w:firstLine="0"/>
      </w:pPr>
      <w:r>
        <w:t xml:space="preserve">PSE also believes there is precedent for the </w:t>
      </w:r>
      <w:r w:rsidR="00D521A6">
        <w:t>three-</w:t>
      </w:r>
      <w:r>
        <w:t xml:space="preserve">year amortization period based on </w:t>
      </w:r>
      <w:r w:rsidR="008C5A08">
        <w:t xml:space="preserve">the amount of the </w:t>
      </w:r>
      <w:r>
        <w:t>regulatory asset</w:t>
      </w:r>
      <w:r w:rsidR="008C5A08">
        <w:t xml:space="preserve"> compared to other </w:t>
      </w:r>
      <w:r>
        <w:t>amortization</w:t>
      </w:r>
      <w:r w:rsidR="008C5A08">
        <w:t>s</w:t>
      </w:r>
      <w:r>
        <w:t xml:space="preserve"> approved in PSE</w:t>
      </w:r>
      <w:r w:rsidR="00E462EF">
        <w:t>’</w:t>
      </w:r>
      <w:r>
        <w:t xml:space="preserve">s 2009 and 2011 </w:t>
      </w:r>
      <w:r w:rsidR="00D521A6">
        <w:t xml:space="preserve">general rate cases in </w:t>
      </w:r>
      <w:r>
        <w:t>Docket</w:t>
      </w:r>
      <w:r w:rsidR="00D521A6">
        <w:t>s</w:t>
      </w:r>
      <w:r>
        <w:t xml:space="preserve"> UE-090704 and UE-111048 respectively.</w:t>
      </w:r>
      <w:r w:rsidR="00F26B15">
        <w:t xml:space="preserve"> </w:t>
      </w:r>
      <w:r>
        <w:t xml:space="preserve">In the 2009 </w:t>
      </w:r>
      <w:r w:rsidR="00D010BD">
        <w:t>case</w:t>
      </w:r>
      <w:r>
        <w:t xml:space="preserve">, the </w:t>
      </w:r>
      <w:r w:rsidR="00D521A6">
        <w:t xml:space="preserve">Commission </w:t>
      </w:r>
      <w:r>
        <w:t>approved PSE</w:t>
      </w:r>
      <w:r w:rsidR="00E462EF">
        <w:t>’</w:t>
      </w:r>
      <w:r>
        <w:t xml:space="preserve">s Wild </w:t>
      </w:r>
      <w:r>
        <w:lastRenderedPageBreak/>
        <w:t>Horse Expansion estimated annual amortization and net rate base amount for deferr</w:t>
      </w:r>
      <w:r w:rsidR="008C5A08">
        <w:t>ed</w:t>
      </w:r>
      <w:r>
        <w:t xml:space="preserve"> costs associated with</w:t>
      </w:r>
      <w:r w:rsidR="00F26B15">
        <w:t xml:space="preserve"> </w:t>
      </w:r>
      <w:r>
        <w:t>the wind project</w:t>
      </w:r>
      <w:r w:rsidR="00D521A6">
        <w:t>,</w:t>
      </w:r>
      <w:r>
        <w:t xml:space="preserve"> which went into service November 9, 2009</w:t>
      </w:r>
      <w:r w:rsidR="006F7D63">
        <w:t>,</w:t>
      </w:r>
      <w:r>
        <w:t xml:space="preserve"> until April 7, 2010 when the 2009 </w:t>
      </w:r>
      <w:proofErr w:type="spellStart"/>
      <w:r>
        <w:t>GRC</w:t>
      </w:r>
      <w:proofErr w:type="spellEnd"/>
      <w:r>
        <w:t xml:space="preserve"> </w:t>
      </w:r>
      <w:r w:rsidR="008C5A08">
        <w:t>rate year began.</w:t>
      </w:r>
      <w:r w:rsidR="00F26B15">
        <w:t xml:space="preserve"> </w:t>
      </w:r>
      <w:r w:rsidR="008C5A08">
        <w:t>The balances of the deferred costs associated with the Wild Horse Expansion at the time the amortization was approved was $</w:t>
      </w:r>
      <w:r w:rsidR="00AD3516">
        <w:t>5.6 million</w:t>
      </w:r>
      <w:r w:rsidR="008C5A08">
        <w:t>.</w:t>
      </w:r>
      <w:r w:rsidR="00F26B15">
        <w:t xml:space="preserve"> </w:t>
      </w:r>
      <w:r w:rsidR="008C5A08">
        <w:t>T</w:t>
      </w:r>
      <w:r>
        <w:t xml:space="preserve">he Commission approved a </w:t>
      </w:r>
      <w:r w:rsidR="006F7D63">
        <w:t>two-</w:t>
      </w:r>
      <w:r>
        <w:t>year amortization period for this deferral.</w:t>
      </w:r>
    </w:p>
    <w:p w:rsidR="00DC5696" w:rsidRDefault="003C5781" w:rsidP="00DC5696">
      <w:pPr>
        <w:pStyle w:val="answer"/>
        <w:ind w:firstLine="0"/>
      </w:pPr>
      <w:r>
        <w:t xml:space="preserve">In the 2011 </w:t>
      </w:r>
      <w:r w:rsidR="00D010BD">
        <w:t>PSE general rate case</w:t>
      </w:r>
      <w:r>
        <w:t>, the Commission approved PSE</w:t>
      </w:r>
      <w:r w:rsidR="00E462EF">
        <w:t>’</w:t>
      </w:r>
      <w:r>
        <w:t>s estimated annual amortization and net rate base amount for deferr</w:t>
      </w:r>
      <w:r w:rsidR="008C5A08">
        <w:t>ed</w:t>
      </w:r>
      <w:r>
        <w:t xml:space="preserve"> costs associated with Phase 1 of the Lower Snake River wind project</w:t>
      </w:r>
      <w:r w:rsidR="006F7D63">
        <w:t>,</w:t>
      </w:r>
      <w:r>
        <w:t xml:space="preserve"> which went into service February 12, 2012</w:t>
      </w:r>
      <w:r w:rsidR="006F7D63">
        <w:t>,</w:t>
      </w:r>
      <w:r>
        <w:t xml:space="preserve"> until May 12, 2012 when the 2011 </w:t>
      </w:r>
      <w:proofErr w:type="spellStart"/>
      <w:r>
        <w:t>GRC</w:t>
      </w:r>
      <w:proofErr w:type="spellEnd"/>
      <w:r>
        <w:t xml:space="preserve"> rates went into effect.</w:t>
      </w:r>
      <w:r w:rsidR="00F26B15">
        <w:t xml:space="preserve"> </w:t>
      </w:r>
      <w:r w:rsidR="008C5A08">
        <w:t>The balance of the deferred costs associated with the Lower Snake River wind project was $</w:t>
      </w:r>
      <w:r w:rsidR="00AD3516">
        <w:t>18.2 million</w:t>
      </w:r>
      <w:r w:rsidR="008C5A08">
        <w:t xml:space="preserve">. </w:t>
      </w:r>
      <w:r>
        <w:t xml:space="preserve">The Commission approved a </w:t>
      </w:r>
      <w:r w:rsidR="006F7D63">
        <w:t>four-</w:t>
      </w:r>
      <w:r>
        <w:t>year amortization period for this deferral.</w:t>
      </w:r>
    </w:p>
    <w:p w:rsidR="00F421F5" w:rsidRDefault="006F7D63" w:rsidP="00DC5696">
      <w:pPr>
        <w:pStyle w:val="answer"/>
        <w:ind w:firstLine="0"/>
      </w:pPr>
      <w:r>
        <w:t xml:space="preserve">Like the White River deferral, </w:t>
      </w:r>
      <w:r w:rsidR="003C5781">
        <w:t xml:space="preserve">these two deferrals </w:t>
      </w:r>
      <w:r>
        <w:t>are related to deferred plant costs</w:t>
      </w:r>
      <w:r w:rsidR="00010154">
        <w:t>. T</w:t>
      </w:r>
      <w:r w:rsidR="00AD3516">
        <w:t>he White River deferral balance and amortization period fall between each of these referenced deferrals</w:t>
      </w:r>
      <w:r w:rsidR="00010154">
        <w:t xml:space="preserve">; therefore, </w:t>
      </w:r>
      <w:r w:rsidR="003C5781">
        <w:t>PSE</w:t>
      </w:r>
      <w:r w:rsidR="00E462EF">
        <w:t>’</w:t>
      </w:r>
      <w:r w:rsidR="003C5781">
        <w:t xml:space="preserve">s request for a </w:t>
      </w:r>
      <w:r>
        <w:t>three-</w:t>
      </w:r>
      <w:r w:rsidR="003C5781">
        <w:t xml:space="preserve">year amortization period </w:t>
      </w:r>
      <w:r>
        <w:t>for the White River deferral</w:t>
      </w:r>
      <w:r w:rsidR="00010154">
        <w:t xml:space="preserve"> is appropriate</w:t>
      </w:r>
      <w:r>
        <w:t xml:space="preserve">, </w:t>
      </w:r>
      <w:r w:rsidR="003C5781">
        <w:t>especially in consideration of the length of time PSE has held this regulatory asset.</w:t>
      </w:r>
      <w:r w:rsidR="00F26B15">
        <w:t xml:space="preserve"> </w:t>
      </w:r>
      <w:r w:rsidR="00FA6A69">
        <w:t>Accordingly, the Commission should approve PSE</w:t>
      </w:r>
      <w:r w:rsidR="00E462EF">
        <w:t>’</w:t>
      </w:r>
      <w:r w:rsidR="00FA6A69">
        <w:t xml:space="preserve">s adjustment which has not changed since the </w:t>
      </w:r>
      <w:r w:rsidR="00010154">
        <w:t>s</w:t>
      </w:r>
      <w:r w:rsidR="00FA6A69">
        <w:t>upplemental filing.</w:t>
      </w:r>
    </w:p>
    <w:p w:rsidR="000B5CA0" w:rsidRPr="00F421F5" w:rsidRDefault="002367B5" w:rsidP="00771706">
      <w:pPr>
        <w:pStyle w:val="Heading2"/>
      </w:pPr>
      <w:bookmarkStart w:id="60" w:name="_Toc490035615"/>
      <w:r w:rsidRPr="00777E1F">
        <w:rPr>
          <w:u w:val="none"/>
        </w:rPr>
        <w:lastRenderedPageBreak/>
        <w:t>K.</w:t>
      </w:r>
      <w:r w:rsidR="00777E1F" w:rsidRPr="00777E1F">
        <w:rPr>
          <w:u w:val="none"/>
        </w:rPr>
        <w:tab/>
      </w:r>
      <w:r w:rsidR="00637B19">
        <w:t>Hydro-Related T</w:t>
      </w:r>
      <w:r w:rsidR="000B5CA0">
        <w:t>reasury Grants,</w:t>
      </w:r>
      <w:r w:rsidR="000B5CA0" w:rsidRPr="00F421F5">
        <w:t xml:space="preserve"> Adjustment </w:t>
      </w:r>
      <w:r w:rsidR="00454E08">
        <w:t>KJB-21</w:t>
      </w:r>
      <w:r w:rsidR="000B5CA0" w:rsidRPr="00F421F5">
        <w:t>.</w:t>
      </w:r>
      <w:r w:rsidR="000B5CA0">
        <w:t>1</w:t>
      </w:r>
      <w:r w:rsidR="00E80D95">
        <w:t>2</w:t>
      </w:r>
      <w:bookmarkEnd w:id="60"/>
    </w:p>
    <w:p w:rsidR="002B14A7" w:rsidRPr="002B14A7" w:rsidRDefault="002B14A7" w:rsidP="00DA719E">
      <w:pPr>
        <w:pStyle w:val="question"/>
      </w:pPr>
      <w:r w:rsidRPr="002B14A7">
        <w:t>Q.</w:t>
      </w:r>
      <w:r w:rsidRPr="002B14A7">
        <w:tab/>
        <w:t xml:space="preserve">Would you please summarize </w:t>
      </w:r>
      <w:r w:rsidR="0077523D">
        <w:t>PSE</w:t>
      </w:r>
      <w:r w:rsidR="00E462EF">
        <w:t>’</w:t>
      </w:r>
      <w:r w:rsidRPr="002B14A7">
        <w:t xml:space="preserve">s adjustment for the </w:t>
      </w:r>
      <w:r w:rsidR="00637B19">
        <w:t>hydro-related T</w:t>
      </w:r>
      <w:r w:rsidRPr="002B14A7">
        <w:t>reasury Grants?</w:t>
      </w:r>
    </w:p>
    <w:p w:rsidR="000B5CA0" w:rsidRDefault="002B14A7" w:rsidP="00DA719E">
      <w:pPr>
        <w:pStyle w:val="answer"/>
      </w:pPr>
      <w:r>
        <w:t>A.</w:t>
      </w:r>
      <w:r>
        <w:tab/>
      </w:r>
      <w:r w:rsidR="007617F5">
        <w:t>PSE</w:t>
      </w:r>
      <w:r w:rsidR="00685692">
        <w:t xml:space="preserve"> has proposed to repurpose the h</w:t>
      </w:r>
      <w:r w:rsidR="007617F5">
        <w:t>ydro</w:t>
      </w:r>
      <w:r w:rsidR="00685692">
        <w:t>-</w:t>
      </w:r>
      <w:r w:rsidR="007617F5">
        <w:t xml:space="preserve">related </w:t>
      </w:r>
      <w:r>
        <w:t>T</w:t>
      </w:r>
      <w:r w:rsidR="007617F5">
        <w:t xml:space="preserve">reasury </w:t>
      </w:r>
      <w:r>
        <w:t>G</w:t>
      </w:r>
      <w:r w:rsidR="007617F5">
        <w:t xml:space="preserve">rants and to transfer the entire balance into a retirement account designated for decommissioning and remediation expenses associated with </w:t>
      </w:r>
      <w:r w:rsidR="00DA6161">
        <w:rPr>
          <w:rFonts w:eastAsia="SimSun"/>
        </w:rPr>
        <w:t>Colstrip Units 1 </w:t>
      </w:r>
      <w:r w:rsidR="007D56A5">
        <w:rPr>
          <w:bCs/>
        </w:rPr>
        <w:t>and</w:t>
      </w:r>
      <w:r w:rsidR="00DA6161">
        <w:rPr>
          <w:rFonts w:eastAsia="SimSun"/>
        </w:rPr>
        <w:t> 2</w:t>
      </w:r>
      <w:r w:rsidR="000B5CA0" w:rsidRPr="008909AC">
        <w:t>.</w:t>
      </w:r>
      <w:r w:rsidR="007617F5">
        <w:t xml:space="preserve"> PSE</w:t>
      </w:r>
      <w:r w:rsidR="00E462EF">
        <w:t>’</w:t>
      </w:r>
      <w:r w:rsidR="007617F5">
        <w:t xml:space="preserve">s adjustment remains unchanged from that presented in its direct testimony and in the following section </w:t>
      </w:r>
      <w:r>
        <w:t xml:space="preserve">I </w:t>
      </w:r>
      <w:r w:rsidR="007617F5">
        <w:t xml:space="preserve">address the various modifications to this adjustment proposed by other parties </w:t>
      </w:r>
    </w:p>
    <w:p w:rsidR="00217D04" w:rsidRPr="008909AC" w:rsidRDefault="00217D04" w:rsidP="00217D04">
      <w:pPr>
        <w:pStyle w:val="question"/>
        <w:spacing w:before="120"/>
      </w:pPr>
      <w:r w:rsidRPr="008909AC">
        <w:t>Q.</w:t>
      </w:r>
      <w:r w:rsidRPr="008909AC">
        <w:tab/>
        <w:t xml:space="preserve">Would you </w:t>
      </w:r>
      <w:r>
        <w:t>summarize the position of the parties on PSE</w:t>
      </w:r>
      <w:r w:rsidR="00E462EF">
        <w:t>’</w:t>
      </w:r>
      <w:r>
        <w:t xml:space="preserve">s proposal to repurpose </w:t>
      </w:r>
      <w:r w:rsidR="002B14A7">
        <w:t xml:space="preserve">the </w:t>
      </w:r>
      <w:r w:rsidR="00637B19">
        <w:t>hydro-related T</w:t>
      </w:r>
      <w:r>
        <w:t xml:space="preserve">reasury </w:t>
      </w:r>
      <w:r w:rsidR="002B14A7">
        <w:t>G</w:t>
      </w:r>
      <w:r>
        <w:t>rants and PTC</w:t>
      </w:r>
      <w:r w:rsidR="00E462EF">
        <w:t>’</w:t>
      </w:r>
      <w:r>
        <w:t xml:space="preserve">s to address the decommissioning and remediation costs for </w:t>
      </w:r>
      <w:r w:rsidR="00DA6161">
        <w:t>Colstrip Units 1 </w:t>
      </w:r>
      <w:r w:rsidR="007D56A5">
        <w:rPr>
          <w:bCs/>
        </w:rPr>
        <w:t>and</w:t>
      </w:r>
      <w:r w:rsidR="00DA6161">
        <w:t> 2</w:t>
      </w:r>
      <w:r w:rsidR="00DA719E">
        <w:t>?</w:t>
      </w:r>
      <w:r w:rsidR="00831C37">
        <w:rPr>
          <w:rStyle w:val="FootnoteReference"/>
        </w:rPr>
        <w:footnoteReference w:id="112"/>
      </w:r>
    </w:p>
    <w:p w:rsidR="00217D04" w:rsidRDefault="00217D04" w:rsidP="00DA719E">
      <w:pPr>
        <w:pStyle w:val="answer"/>
        <w:rPr>
          <w:rFonts w:eastAsia="SimSun"/>
        </w:rPr>
      </w:pPr>
      <w:r w:rsidRPr="008909AC">
        <w:t>A.</w:t>
      </w:r>
      <w:r w:rsidRPr="008909AC">
        <w:rPr>
          <w:b/>
        </w:rPr>
        <w:tab/>
      </w:r>
      <w:r w:rsidRPr="008909AC">
        <w:t>Yes.</w:t>
      </w:r>
      <w:r w:rsidR="00F26B15">
        <w:t xml:space="preserve"> </w:t>
      </w:r>
      <w:r>
        <w:t xml:space="preserve">In general Sierra Club and Public Counsel support </w:t>
      </w:r>
      <w:r w:rsidR="0077523D">
        <w:t>PSE</w:t>
      </w:r>
      <w:r w:rsidR="00E462EF">
        <w:t>’</w:t>
      </w:r>
      <w:r>
        <w:t xml:space="preserve">s proposal and Public Counsel has accepted </w:t>
      </w:r>
      <w:r w:rsidR="0077523D">
        <w:t>PSE</w:t>
      </w:r>
      <w:r w:rsidR="00E462EF">
        <w:t>’</w:t>
      </w:r>
      <w:r>
        <w:t>s adjustment</w:t>
      </w:r>
      <w:r w:rsidR="000B5A32">
        <w:t xml:space="preserve"> to address decommissioning and remediation at </w:t>
      </w:r>
      <w:r w:rsidR="00DA6161">
        <w:rPr>
          <w:rFonts w:eastAsia="SimSun"/>
        </w:rPr>
        <w:t>Colstrip Units 1 </w:t>
      </w:r>
      <w:r w:rsidR="007D56A5">
        <w:rPr>
          <w:bCs/>
        </w:rPr>
        <w:t>and</w:t>
      </w:r>
      <w:r w:rsidR="00DA6161">
        <w:rPr>
          <w:rFonts w:eastAsia="SimSun"/>
        </w:rPr>
        <w:t> 2</w:t>
      </w:r>
      <w:r>
        <w:t xml:space="preserve">. </w:t>
      </w:r>
      <w:r w:rsidR="009A11B5">
        <w:rPr>
          <w:bCs/>
        </w:rPr>
        <w:t xml:space="preserve">Commission </w:t>
      </w:r>
      <w:r w:rsidR="009A11B5">
        <w:t>Staff</w:t>
      </w:r>
      <w:r>
        <w:t xml:space="preserve"> Witness Hancock supports the repurposing with some modification</w:t>
      </w:r>
      <w:r w:rsidR="00DA719E">
        <w:t>,</w:t>
      </w:r>
      <w:r w:rsidR="00DE7E98">
        <w:t xml:space="preserve"> </w:t>
      </w:r>
      <w:r>
        <w:t xml:space="preserve">and ICNU witness </w:t>
      </w:r>
      <w:r w:rsidR="00DA719E">
        <w:t xml:space="preserve">Mullins </w:t>
      </w:r>
      <w:r>
        <w:t>essentially rejects PSE</w:t>
      </w:r>
      <w:r w:rsidR="00E462EF">
        <w:t>’</w:t>
      </w:r>
      <w:r>
        <w:t>s proposal and has proposed a separate tracker that address</w:t>
      </w:r>
      <w:r w:rsidR="00685692">
        <w:t>es</w:t>
      </w:r>
      <w:r>
        <w:t xml:space="preserve"> </w:t>
      </w:r>
      <w:r w:rsidR="00685692">
        <w:t xml:space="preserve">only </w:t>
      </w:r>
      <w:r>
        <w:t>the unrecovered plant and the estimated decommissioning and remediation costs through 2029</w:t>
      </w:r>
      <w:r w:rsidR="00685692">
        <w:t>, then converts to a “pay as you go” scheme</w:t>
      </w:r>
      <w:r>
        <w:t>.</w:t>
      </w:r>
      <w:r w:rsidR="00AD3516">
        <w:rPr>
          <w:rStyle w:val="FootnoteReference"/>
        </w:rPr>
        <w:footnoteReference w:id="113"/>
      </w:r>
    </w:p>
    <w:p w:rsidR="000B5CA0" w:rsidRPr="00F421F5" w:rsidRDefault="000B5CA0" w:rsidP="00DA719E">
      <w:pPr>
        <w:pStyle w:val="question"/>
      </w:pPr>
      <w:r w:rsidRPr="00F421F5">
        <w:lastRenderedPageBreak/>
        <w:t>Q.</w:t>
      </w:r>
      <w:r w:rsidRPr="00F421F5">
        <w:tab/>
      </w:r>
      <w:r w:rsidR="007617F5">
        <w:t xml:space="preserve">Please </w:t>
      </w:r>
      <w:r w:rsidR="000B5A32">
        <w:t xml:space="preserve">describe </w:t>
      </w:r>
      <w:r w:rsidR="009A11B5">
        <w:rPr>
          <w:bCs/>
        </w:rPr>
        <w:t xml:space="preserve">Commission </w:t>
      </w:r>
      <w:r w:rsidR="009A11B5">
        <w:t>Staff</w:t>
      </w:r>
      <w:r w:rsidR="000B5A32">
        <w:t xml:space="preserve"> witness </w:t>
      </w:r>
      <w:r w:rsidR="0077523D">
        <w:t>Mr. </w:t>
      </w:r>
      <w:r w:rsidR="002B14A7">
        <w:t xml:space="preserve">Christopher S. </w:t>
      </w:r>
      <w:r w:rsidR="000B5A32">
        <w:t>Hancock</w:t>
      </w:r>
      <w:r w:rsidR="00E462EF">
        <w:t>’</w:t>
      </w:r>
      <w:r w:rsidR="000B5A32">
        <w:t xml:space="preserve">s proposal for </w:t>
      </w:r>
      <w:r w:rsidR="007617F5">
        <w:t xml:space="preserve">repurposing of the </w:t>
      </w:r>
      <w:r w:rsidR="00637B19">
        <w:t>hydro-related T</w:t>
      </w:r>
      <w:r w:rsidR="007617F5">
        <w:t>reasury Grants</w:t>
      </w:r>
      <w:r w:rsidR="000B5A32">
        <w:t xml:space="preserve"> for </w:t>
      </w:r>
      <w:r w:rsidR="00DA6161">
        <w:t>Colstrip Units 1 </w:t>
      </w:r>
      <w:r w:rsidR="007D56A5">
        <w:rPr>
          <w:bCs/>
        </w:rPr>
        <w:t>and</w:t>
      </w:r>
      <w:r w:rsidR="00DA6161">
        <w:t> 2</w:t>
      </w:r>
      <w:r w:rsidR="000B5A32">
        <w:t xml:space="preserve"> decommissioning and remediation.</w:t>
      </w:r>
    </w:p>
    <w:p w:rsidR="00095BAC" w:rsidRDefault="000B5CA0" w:rsidP="00DA719E">
      <w:pPr>
        <w:pStyle w:val="answer"/>
      </w:pPr>
      <w:r w:rsidRPr="008909AC">
        <w:t>A.</w:t>
      </w:r>
      <w:r w:rsidRPr="008909AC">
        <w:tab/>
      </w:r>
      <w:r w:rsidR="000B5A32">
        <w:t xml:space="preserve">As described more fully in the </w:t>
      </w:r>
      <w:proofErr w:type="spellStart"/>
      <w:r w:rsidR="002B14A7">
        <w:t>P</w:t>
      </w:r>
      <w:r w:rsidR="007617F5">
        <w:t>refiled</w:t>
      </w:r>
      <w:proofErr w:type="spellEnd"/>
      <w:r w:rsidR="007617F5">
        <w:t xml:space="preserve"> </w:t>
      </w:r>
      <w:r w:rsidR="002B14A7">
        <w:t>R</w:t>
      </w:r>
      <w:r w:rsidR="007617F5">
        <w:t xml:space="preserve">ebuttal </w:t>
      </w:r>
      <w:r w:rsidR="002B14A7">
        <w:t>T</w:t>
      </w:r>
      <w:r w:rsidR="007617F5">
        <w:t xml:space="preserve">estimony of </w:t>
      </w:r>
      <w:r w:rsidR="0077523D">
        <w:t>Mr. </w:t>
      </w:r>
      <w:r w:rsidR="007617F5">
        <w:t xml:space="preserve">Matthew </w:t>
      </w:r>
      <w:r w:rsidR="002B14A7">
        <w:t xml:space="preserve">R. </w:t>
      </w:r>
      <w:r w:rsidR="007617F5">
        <w:t xml:space="preserve">Marcelia, </w:t>
      </w:r>
      <w:r w:rsidR="00010154">
        <w:t>Exh</w:t>
      </w:r>
      <w:r w:rsidR="00097934">
        <w:t>ibit</w:t>
      </w:r>
      <w:r w:rsidR="00010154">
        <w:t xml:space="preserve"> MRM-1T, </w:t>
      </w:r>
      <w:r w:rsidR="0077523D">
        <w:t>Mr. </w:t>
      </w:r>
      <w:r w:rsidR="000B5A32">
        <w:t xml:space="preserve">Hancock takes </w:t>
      </w:r>
      <w:r w:rsidR="0077523D">
        <w:t>PSE</w:t>
      </w:r>
      <w:r w:rsidR="00E462EF">
        <w:t>’</w:t>
      </w:r>
      <w:r w:rsidR="000B5A32">
        <w:t>s relatively st</w:t>
      </w:r>
      <w:r w:rsidR="007617F5">
        <w:t xml:space="preserve">raightforward </w:t>
      </w:r>
      <w:r w:rsidR="000B5A32">
        <w:t>proposal to use existing regulatory liabilities to offset the decommissioning and remediation</w:t>
      </w:r>
      <w:r w:rsidR="00687122">
        <w:t xml:space="preserve"> costs associated with </w:t>
      </w:r>
      <w:r w:rsidR="00F26B15">
        <w:t>Colstrip Units 1 </w:t>
      </w:r>
      <w:r w:rsidR="007D56A5">
        <w:rPr>
          <w:bCs/>
        </w:rPr>
        <w:t>and</w:t>
      </w:r>
      <w:r w:rsidR="00F26B15">
        <w:t> 2</w:t>
      </w:r>
      <w:r w:rsidR="000B5A32">
        <w:t>, and proposes a far more complex mechanism that essentially shifts a portion of those costs to PSE</w:t>
      </w:r>
      <w:r w:rsidR="007617F5">
        <w:t>.</w:t>
      </w:r>
      <w:r w:rsidR="00F26B15">
        <w:t xml:space="preserve"> </w:t>
      </w:r>
      <w:r w:rsidR="000B5A32">
        <w:t xml:space="preserve">For the reasons </w:t>
      </w:r>
      <w:r w:rsidR="002B14A7">
        <w:t xml:space="preserve">discussed by </w:t>
      </w:r>
      <w:r w:rsidR="0077523D">
        <w:t>Mr. </w:t>
      </w:r>
      <w:r w:rsidR="000B5A32">
        <w:t xml:space="preserve">Marcelia, the Commission should reject </w:t>
      </w:r>
      <w:r w:rsidR="0077523D">
        <w:t>Mr. </w:t>
      </w:r>
      <w:r w:rsidR="000B5A32">
        <w:t>Hancock</w:t>
      </w:r>
      <w:r w:rsidR="00E462EF">
        <w:t>’</w:t>
      </w:r>
      <w:r w:rsidR="000B5A32">
        <w:t xml:space="preserve">s adjustment. </w:t>
      </w:r>
    </w:p>
    <w:p w:rsidR="000B5A32" w:rsidRPr="00F421F5" w:rsidRDefault="000B5A32" w:rsidP="00A925E6">
      <w:pPr>
        <w:pStyle w:val="question"/>
      </w:pPr>
      <w:r>
        <w:t>Q.</w:t>
      </w:r>
      <w:r>
        <w:tab/>
        <w:t>Please describe ICNU witness Mullins</w:t>
      </w:r>
      <w:r w:rsidR="00E462EF">
        <w:t>’</w:t>
      </w:r>
      <w:r>
        <w:t xml:space="preserve"> proposal for addressing the decommissioning and remediation costs of </w:t>
      </w:r>
      <w:r w:rsidR="00DA6161">
        <w:t>Colstrip Units 1 </w:t>
      </w:r>
      <w:r w:rsidR="007D56A5">
        <w:rPr>
          <w:bCs/>
        </w:rPr>
        <w:t>and</w:t>
      </w:r>
      <w:r w:rsidR="00DA6161">
        <w:t> 2</w:t>
      </w:r>
      <w:r>
        <w:t>.</w:t>
      </w:r>
    </w:p>
    <w:p w:rsidR="005020AE" w:rsidRDefault="000B5A32" w:rsidP="00A925E6">
      <w:pPr>
        <w:pStyle w:val="answer"/>
      </w:pPr>
      <w:r w:rsidRPr="008909AC">
        <w:t>A.</w:t>
      </w:r>
      <w:r w:rsidRPr="008909AC">
        <w:tab/>
      </w:r>
      <w:r w:rsidR="005020AE">
        <w:t xml:space="preserve">As described in the </w:t>
      </w:r>
      <w:proofErr w:type="spellStart"/>
      <w:r w:rsidR="005020AE">
        <w:t>Prefiled</w:t>
      </w:r>
      <w:proofErr w:type="spellEnd"/>
      <w:r w:rsidR="005020AE">
        <w:t xml:space="preserve"> Rebuttal Testimony of </w:t>
      </w:r>
      <w:r w:rsidR="0077523D">
        <w:t>Mr. </w:t>
      </w:r>
      <w:r w:rsidR="005020AE">
        <w:t>Marcelia</w:t>
      </w:r>
      <w:r w:rsidR="00010154">
        <w:t>, Exh</w:t>
      </w:r>
      <w:r w:rsidR="00097934">
        <w:t>ibit</w:t>
      </w:r>
      <w:r w:rsidR="00010154">
        <w:t xml:space="preserve"> MRM-1T, </w:t>
      </w:r>
      <w:r w:rsidR="0077523D">
        <w:t>Mr. </w:t>
      </w:r>
      <w:r w:rsidR="005020AE">
        <w:t xml:space="preserve">Mullins rejects </w:t>
      </w:r>
      <w:r w:rsidR="0077523D">
        <w:t>PSE</w:t>
      </w:r>
      <w:r w:rsidR="00E462EF">
        <w:t>’</w:t>
      </w:r>
      <w:r w:rsidR="005020AE">
        <w:t>s adjustment to repurpose the Treasury Grants and proposes that a new and separate tracker be created to address both decommissioning and remediation costs as well as any unrecovered plant as discussed earlier in my testimony.</w:t>
      </w:r>
      <w:r w:rsidR="00F26B15">
        <w:t xml:space="preserve"> </w:t>
      </w:r>
      <w:r w:rsidR="005020AE">
        <w:t xml:space="preserve">For the reasons discussed below and by </w:t>
      </w:r>
      <w:r w:rsidR="0077523D">
        <w:t>Mr. </w:t>
      </w:r>
      <w:r w:rsidR="005020AE">
        <w:t xml:space="preserve">Matthew Marcelia, the Commission should reject </w:t>
      </w:r>
      <w:r w:rsidR="0077523D">
        <w:t>Mr. </w:t>
      </w:r>
      <w:r w:rsidR="0099661A">
        <w:t>Mullins</w:t>
      </w:r>
      <w:r w:rsidR="00E462EF">
        <w:t>’</w:t>
      </w:r>
      <w:r w:rsidR="005020AE">
        <w:t xml:space="preserve"> adjustment.</w:t>
      </w:r>
    </w:p>
    <w:p w:rsidR="005020AE" w:rsidRPr="00F421F5" w:rsidRDefault="005020AE" w:rsidP="00A925E6">
      <w:pPr>
        <w:pStyle w:val="question"/>
      </w:pPr>
      <w:r>
        <w:lastRenderedPageBreak/>
        <w:t>Q.</w:t>
      </w:r>
      <w:r>
        <w:tab/>
        <w:t xml:space="preserve">Has </w:t>
      </w:r>
      <w:r w:rsidR="0077523D">
        <w:t>Mr. </w:t>
      </w:r>
      <w:r>
        <w:t xml:space="preserve">Mullins correctly described the current treatment of the </w:t>
      </w:r>
      <w:r w:rsidR="00637B19">
        <w:t>hydro-related T</w:t>
      </w:r>
      <w:r>
        <w:t>reasury Grants?</w:t>
      </w:r>
    </w:p>
    <w:p w:rsidR="005020AE" w:rsidRDefault="005020AE" w:rsidP="00010154">
      <w:pPr>
        <w:pStyle w:val="Answer0"/>
      </w:pPr>
      <w:r w:rsidRPr="008909AC">
        <w:t>A.</w:t>
      </w:r>
      <w:r w:rsidRPr="008909AC">
        <w:tab/>
      </w:r>
      <w:r w:rsidR="00AD3516">
        <w:t>No.</w:t>
      </w:r>
      <w:r w:rsidR="00F26B15">
        <w:t xml:space="preserve"> </w:t>
      </w:r>
      <w:r w:rsidR="0077523D">
        <w:t>Mr. </w:t>
      </w:r>
      <w:r w:rsidR="00AD3516">
        <w:t>Mullin</w:t>
      </w:r>
      <w:r>
        <w:t xml:space="preserve">s incorrectly states that both the </w:t>
      </w:r>
      <w:r w:rsidR="00637B19">
        <w:t>hydro</w:t>
      </w:r>
      <w:r>
        <w:t xml:space="preserve"> and Lower Snake River Treasury Grants are currently being passed back to customers through Schedule 95A</w:t>
      </w:r>
      <w:r w:rsidR="00AD3516">
        <w:t>.</w:t>
      </w:r>
      <w:r w:rsidR="00761FDD" w:rsidRPr="00761FDD">
        <w:rPr>
          <w:rStyle w:val="FootnoteReference"/>
        </w:rPr>
        <w:footnoteReference w:id="114"/>
      </w:r>
      <w:r w:rsidR="00F26B15">
        <w:t xml:space="preserve"> </w:t>
      </w:r>
      <w:r w:rsidR="0077523D">
        <w:t>Mr. </w:t>
      </w:r>
      <w:r w:rsidR="00AD3516">
        <w:t>Mullin</w:t>
      </w:r>
      <w:r>
        <w:t xml:space="preserve">s is correct that the </w:t>
      </w:r>
      <w:r w:rsidR="00A925E6">
        <w:t>T</w:t>
      </w:r>
      <w:r>
        <w:t xml:space="preserve">reasury </w:t>
      </w:r>
      <w:r w:rsidR="00A925E6">
        <w:t>G</w:t>
      </w:r>
      <w:r>
        <w:t>rants related to the Lower Snake River</w:t>
      </w:r>
      <w:r>
        <w:rPr>
          <w:rStyle w:val="FootnoteReference"/>
        </w:rPr>
        <w:footnoteReference w:id="115"/>
      </w:r>
      <w:r>
        <w:t xml:space="preserve"> </w:t>
      </w:r>
      <w:r w:rsidR="00A925E6">
        <w:t xml:space="preserve">wind </w:t>
      </w:r>
      <w:r>
        <w:t>facility are being passed back to customers through Schedule 95A</w:t>
      </w:r>
      <w:r w:rsidR="00A925E6">
        <w:t>;</w:t>
      </w:r>
      <w:r>
        <w:t xml:space="preserve"> however, he has incorrectly described the current treatment of the hydro</w:t>
      </w:r>
      <w:r w:rsidR="00637B19">
        <w:t>-</w:t>
      </w:r>
      <w:r>
        <w:t xml:space="preserve">related </w:t>
      </w:r>
      <w:r w:rsidR="00A925E6">
        <w:t>T</w:t>
      </w:r>
      <w:r>
        <w:t xml:space="preserve">reasury </w:t>
      </w:r>
      <w:r w:rsidR="00A925E6">
        <w:t>G</w:t>
      </w:r>
      <w:r>
        <w:t xml:space="preserve">rants, which are currently included as a reduction </w:t>
      </w:r>
      <w:r w:rsidR="00141B55">
        <w:t xml:space="preserve">or offset </w:t>
      </w:r>
      <w:r>
        <w:t xml:space="preserve">to </w:t>
      </w:r>
      <w:r w:rsidR="0077523D">
        <w:t>PSE</w:t>
      </w:r>
      <w:r w:rsidR="00E462EF">
        <w:t>’</w:t>
      </w:r>
      <w:r>
        <w:t>s rate</w:t>
      </w:r>
      <w:r w:rsidR="00A925E6">
        <w:t xml:space="preserve"> </w:t>
      </w:r>
      <w:r>
        <w:t>base.</w:t>
      </w:r>
      <w:r w:rsidR="00F26B15">
        <w:t xml:space="preserve"> </w:t>
      </w:r>
    </w:p>
    <w:p w:rsidR="005020AE" w:rsidRPr="00F421F5" w:rsidRDefault="005020AE" w:rsidP="00141B55">
      <w:pPr>
        <w:pStyle w:val="question"/>
      </w:pPr>
      <w:r>
        <w:t>Q.</w:t>
      </w:r>
      <w:r>
        <w:tab/>
        <w:t xml:space="preserve">Why are the </w:t>
      </w:r>
      <w:r w:rsidR="00637B19">
        <w:t>h</w:t>
      </w:r>
      <w:r>
        <w:t>ydro</w:t>
      </w:r>
      <w:r w:rsidR="00637B19">
        <w:t>-related</w:t>
      </w:r>
      <w:r>
        <w:t xml:space="preserve"> Treasury Grants included as a rate</w:t>
      </w:r>
      <w:r w:rsidR="00141B55">
        <w:t xml:space="preserve"> </w:t>
      </w:r>
      <w:r>
        <w:t xml:space="preserve">base offset? </w:t>
      </w:r>
    </w:p>
    <w:p w:rsidR="005020AE" w:rsidRDefault="005020AE" w:rsidP="00010154">
      <w:pPr>
        <w:pStyle w:val="Answer0"/>
      </w:pPr>
      <w:r w:rsidRPr="008909AC">
        <w:t>A.</w:t>
      </w:r>
      <w:r w:rsidRPr="008909AC">
        <w:tab/>
      </w:r>
      <w:r>
        <w:t xml:space="preserve">The regulatory treatment of the </w:t>
      </w:r>
      <w:r w:rsidR="00637B19">
        <w:t>hydro-related T</w:t>
      </w:r>
      <w:r>
        <w:t>reasury Grants was part of the settlement agreement in PSE</w:t>
      </w:r>
      <w:r w:rsidR="00E462EF">
        <w:t>’</w:t>
      </w:r>
      <w:r>
        <w:t>s 2013 Power Cost Only Rate Case (</w:t>
      </w:r>
      <w:r w:rsidR="00E462EF">
        <w:t>“</w:t>
      </w:r>
      <w:proofErr w:type="spellStart"/>
      <w:r>
        <w:t>PCORC</w:t>
      </w:r>
      <w:proofErr w:type="spellEnd"/>
      <w:r w:rsidR="00E462EF">
        <w:t>”</w:t>
      </w:r>
      <w:r>
        <w:t>).</w:t>
      </w:r>
      <w:r w:rsidR="00AD3516">
        <w:rPr>
          <w:rStyle w:val="FootnoteReference"/>
        </w:rPr>
        <w:footnoteReference w:id="116"/>
      </w:r>
      <w:r w:rsidR="00F26B15">
        <w:t xml:space="preserve"> </w:t>
      </w:r>
      <w:r>
        <w:t>In that case, parties agreed that rather than including the hydro</w:t>
      </w:r>
      <w:r w:rsidR="00141B55">
        <w:t>-</w:t>
      </w:r>
      <w:r>
        <w:t xml:space="preserve">related </w:t>
      </w:r>
      <w:r w:rsidR="00141B55">
        <w:t>Treasury G</w:t>
      </w:r>
      <w:r>
        <w:t xml:space="preserve">rants in Schedule 95A, these </w:t>
      </w:r>
      <w:r w:rsidR="00141B55">
        <w:t>T</w:t>
      </w:r>
      <w:r>
        <w:t xml:space="preserve">reasury </w:t>
      </w:r>
      <w:r w:rsidR="00141B55">
        <w:t>G</w:t>
      </w:r>
      <w:r>
        <w:t>rants would be treated in a manner equivalent to a reduction of rate</w:t>
      </w:r>
      <w:r w:rsidR="00141B55">
        <w:t xml:space="preserve"> </w:t>
      </w:r>
      <w:r>
        <w:t>base</w:t>
      </w:r>
      <w:r w:rsidR="00141B55">
        <w:t>,</w:t>
      </w:r>
      <w:r>
        <w:t xml:space="preserve"> and the grants were to be amortized over the remaining life of the plant assets.</w:t>
      </w:r>
      <w:r w:rsidR="00F26B15">
        <w:t xml:space="preserve"> </w:t>
      </w:r>
      <w:r>
        <w:t>The fact that the hydro</w:t>
      </w:r>
      <w:r w:rsidR="00141B55">
        <w:t>-</w:t>
      </w:r>
      <w:r>
        <w:t xml:space="preserve">related </w:t>
      </w:r>
      <w:r w:rsidR="007630E5">
        <w:t>Treasury Gr</w:t>
      </w:r>
      <w:r>
        <w:t>ants are already reflected as a reduction to PSE</w:t>
      </w:r>
      <w:r w:rsidR="00E462EF">
        <w:t>’</w:t>
      </w:r>
      <w:r>
        <w:t>s rate</w:t>
      </w:r>
      <w:r w:rsidR="00141B55">
        <w:t xml:space="preserve"> </w:t>
      </w:r>
      <w:r>
        <w:t xml:space="preserve">base is one of the reasons </w:t>
      </w:r>
      <w:r w:rsidR="0077523D">
        <w:t>PSE</w:t>
      </w:r>
      <w:r>
        <w:t xml:space="preserve"> </w:t>
      </w:r>
      <w:r w:rsidR="006F1335">
        <w:t>proposed to utiliz</w:t>
      </w:r>
      <w:r w:rsidR="007851CE">
        <w:t>e</w:t>
      </w:r>
      <w:r>
        <w:t xml:space="preserve"> them for the </w:t>
      </w:r>
      <w:r w:rsidR="00DA6161">
        <w:rPr>
          <w:rFonts w:eastAsia="SimSun"/>
        </w:rPr>
        <w:t>Colstrip Units 1 </w:t>
      </w:r>
      <w:r w:rsidR="007D56A5">
        <w:rPr>
          <w:bCs/>
        </w:rPr>
        <w:t>and</w:t>
      </w:r>
      <w:r w:rsidR="00DA6161">
        <w:rPr>
          <w:rFonts w:eastAsia="SimSun"/>
        </w:rPr>
        <w:t> 2</w:t>
      </w:r>
      <w:r>
        <w:t xml:space="preserve"> </w:t>
      </w:r>
      <w:r w:rsidR="00141B55">
        <w:t>d</w:t>
      </w:r>
      <w:r>
        <w:t xml:space="preserve">ecommissioning and </w:t>
      </w:r>
      <w:r w:rsidR="00141B55">
        <w:lastRenderedPageBreak/>
        <w:t>r</w:t>
      </w:r>
      <w:r>
        <w:t>emediation.</w:t>
      </w:r>
      <w:r w:rsidR="00F26B15">
        <w:t xml:space="preserve"> </w:t>
      </w:r>
      <w:r w:rsidR="006F1335">
        <w:t xml:space="preserve">Additionally, use of the </w:t>
      </w:r>
      <w:r w:rsidR="007630E5">
        <w:t>Treasury Gr</w:t>
      </w:r>
      <w:r w:rsidR="006F1335">
        <w:t>ants and monetized PTCs as a rate base offset is consistent with the treatment of negative salvage is addressed when it is incorporated in depreciation rates.</w:t>
      </w:r>
      <w:r w:rsidR="00F26B15">
        <w:t xml:space="preserve"> </w:t>
      </w:r>
      <w:r>
        <w:t>The only direct impact to customers from the repurposing of the regulatory liabilities is the discontinuation of the current amortization expense.</w:t>
      </w:r>
      <w:r w:rsidR="00F26B15">
        <w:t xml:space="preserve"> </w:t>
      </w:r>
    </w:p>
    <w:p w:rsidR="005020AE" w:rsidRPr="00F421F5" w:rsidRDefault="005020AE" w:rsidP="00141B55">
      <w:pPr>
        <w:pStyle w:val="question"/>
      </w:pPr>
      <w:r>
        <w:t>Q.</w:t>
      </w:r>
      <w:r>
        <w:tab/>
        <w:t xml:space="preserve">Is </w:t>
      </w:r>
      <w:r w:rsidR="0077523D">
        <w:t>PSE</w:t>
      </w:r>
      <w:r w:rsidR="00141B55">
        <w:t xml:space="preserve"> </w:t>
      </w:r>
      <w:r>
        <w:t xml:space="preserve">proposing any change to the </w:t>
      </w:r>
      <w:r w:rsidR="007630E5">
        <w:t>Treasury Gr</w:t>
      </w:r>
      <w:r>
        <w:t xml:space="preserve">ants associated with Lower Snake River? </w:t>
      </w:r>
    </w:p>
    <w:p w:rsidR="005020AE" w:rsidRDefault="005020AE" w:rsidP="00141B55">
      <w:pPr>
        <w:pStyle w:val="answer"/>
      </w:pPr>
      <w:r w:rsidRPr="008909AC">
        <w:t>A.</w:t>
      </w:r>
      <w:r w:rsidRPr="008909AC">
        <w:tab/>
      </w:r>
      <w:r>
        <w:t>No.</w:t>
      </w:r>
      <w:r w:rsidR="00F26B15">
        <w:t xml:space="preserve"> </w:t>
      </w:r>
      <w:r w:rsidR="0077523D">
        <w:t>PSE</w:t>
      </w:r>
      <w:r>
        <w:t xml:space="preserve"> has not requested any change to the treatment of the </w:t>
      </w:r>
      <w:r w:rsidR="000346C7">
        <w:t>T</w:t>
      </w:r>
      <w:r>
        <w:t xml:space="preserve">reasury </w:t>
      </w:r>
      <w:r w:rsidR="000346C7">
        <w:t>G</w:t>
      </w:r>
      <w:r>
        <w:t>rants associated with the wind projects that are currently passed back to customers through Schedule 95A.</w:t>
      </w:r>
    </w:p>
    <w:p w:rsidR="00BF3792" w:rsidRPr="00F421F5" w:rsidRDefault="00C9205A" w:rsidP="00771706">
      <w:pPr>
        <w:pStyle w:val="Heading2"/>
      </w:pPr>
      <w:bookmarkStart w:id="61" w:name="_Toc490035616"/>
      <w:r>
        <w:rPr>
          <w:u w:val="none"/>
        </w:rPr>
        <w:t>L</w:t>
      </w:r>
      <w:r w:rsidR="00BF3792" w:rsidRPr="00777E1F">
        <w:rPr>
          <w:u w:val="none"/>
        </w:rPr>
        <w:t>.</w:t>
      </w:r>
      <w:r w:rsidR="00777E1F" w:rsidRPr="00777E1F">
        <w:rPr>
          <w:u w:val="none"/>
        </w:rPr>
        <w:tab/>
      </w:r>
      <w:r w:rsidR="00BF3792">
        <w:t>Removal of Fixed Production Factor,</w:t>
      </w:r>
      <w:r w:rsidR="00BF3792" w:rsidRPr="00F421F5">
        <w:t xml:space="preserve"> Adjustment </w:t>
      </w:r>
      <w:r w:rsidR="00454E08">
        <w:t>KJB-21</w:t>
      </w:r>
      <w:r w:rsidR="00BF3792" w:rsidRPr="00F421F5">
        <w:t>.</w:t>
      </w:r>
      <w:r w:rsidR="00BF3792">
        <w:t>13</w:t>
      </w:r>
      <w:bookmarkEnd w:id="61"/>
    </w:p>
    <w:p w:rsidR="00BF3792" w:rsidRPr="006049B6" w:rsidRDefault="00BF3792" w:rsidP="00BF3792">
      <w:pPr>
        <w:pStyle w:val="question"/>
      </w:pPr>
      <w:r w:rsidRPr="006049B6">
        <w:t>Q.</w:t>
      </w:r>
      <w:r w:rsidRPr="006049B6">
        <w:tab/>
      </w:r>
      <w:r w:rsidR="007851CE">
        <w:t xml:space="preserve">Has </w:t>
      </w:r>
      <w:r w:rsidRPr="006049B6">
        <w:t xml:space="preserve">PSE </w:t>
      </w:r>
      <w:r w:rsidR="007851CE">
        <w:t xml:space="preserve">accepted </w:t>
      </w:r>
      <w:r>
        <w:t>Commission Staff</w:t>
      </w:r>
      <w:r w:rsidR="007851CE">
        <w:t>’s proposal</w:t>
      </w:r>
      <w:r>
        <w:t xml:space="preserve"> </w:t>
      </w:r>
      <w:r w:rsidRPr="006049B6">
        <w:t xml:space="preserve">regarding the </w:t>
      </w:r>
      <w:r>
        <w:t>f</w:t>
      </w:r>
      <w:r w:rsidRPr="006049B6">
        <w:t xml:space="preserve">ixed </w:t>
      </w:r>
      <w:r>
        <w:t>p</w:t>
      </w:r>
      <w:r w:rsidRPr="006049B6">
        <w:t xml:space="preserve">roduction </w:t>
      </w:r>
      <w:r>
        <w:t>f</w:t>
      </w:r>
      <w:r w:rsidRPr="006049B6">
        <w:t>actor?</w:t>
      </w:r>
    </w:p>
    <w:p w:rsidR="00BF3792" w:rsidRPr="008909AC" w:rsidRDefault="00BF3792" w:rsidP="00097934">
      <w:pPr>
        <w:pStyle w:val="Answer0"/>
      </w:pPr>
      <w:r>
        <w:t>A.</w:t>
      </w:r>
      <w:r>
        <w:tab/>
        <w:t>Yes.</w:t>
      </w:r>
      <w:r w:rsidR="00F26B15">
        <w:t xml:space="preserve"> </w:t>
      </w:r>
      <w:r>
        <w:t xml:space="preserve">As discussed in </w:t>
      </w:r>
      <w:r w:rsidR="00F31A91">
        <w:t xml:space="preserve">the </w:t>
      </w:r>
      <w:proofErr w:type="spellStart"/>
      <w:r>
        <w:t>Prefiled</w:t>
      </w:r>
      <w:proofErr w:type="spellEnd"/>
      <w:r>
        <w:t xml:space="preserve"> Rebuttal Testimony</w:t>
      </w:r>
      <w:r w:rsidR="00097934">
        <w:t xml:space="preserve"> of Mr. Jon A. Piliaris</w:t>
      </w:r>
      <w:r>
        <w:t xml:space="preserve">, </w:t>
      </w:r>
      <w:r w:rsidR="00F31A91">
        <w:t>Exh</w:t>
      </w:r>
      <w:r w:rsidR="00097934">
        <w:t>ibit</w:t>
      </w:r>
      <w:r w:rsidR="00F31A91">
        <w:t xml:space="preserve"> JAP-46CT, </w:t>
      </w:r>
      <w:r>
        <w:t xml:space="preserve">PSE accepts </w:t>
      </w:r>
      <w:r w:rsidR="009A11B5">
        <w:rPr>
          <w:bCs/>
        </w:rPr>
        <w:t xml:space="preserve">Commission </w:t>
      </w:r>
      <w:r w:rsidR="009A11B5">
        <w:t>Staff</w:t>
      </w:r>
      <w:r w:rsidR="00E462EF">
        <w:t>’</w:t>
      </w:r>
      <w:r>
        <w:t>s proposal to set fixed production costs at a fixed level rather than tie</w:t>
      </w:r>
      <w:r w:rsidR="00097934">
        <w:t xml:space="preserve"> them</w:t>
      </w:r>
      <w:r>
        <w:t xml:space="preserve"> to the number of customers, as long as </w:t>
      </w:r>
      <w:r w:rsidR="00097934">
        <w:t>this</w:t>
      </w:r>
      <w:r>
        <w:t xml:space="preserve"> is paired with </w:t>
      </w:r>
      <w:r w:rsidR="009A11B5">
        <w:rPr>
          <w:bCs/>
        </w:rPr>
        <w:t xml:space="preserve">Commission </w:t>
      </w:r>
      <w:r w:rsidR="009A11B5">
        <w:t>Staff</w:t>
      </w:r>
      <w:r>
        <w:t xml:space="preserve"> witness </w:t>
      </w:r>
      <w:r w:rsidR="0077523D">
        <w:t>Ms. </w:t>
      </w:r>
      <w:r>
        <w:t>Jing Liu</w:t>
      </w:r>
      <w:r w:rsidR="00E462EF">
        <w:t>’</w:t>
      </w:r>
      <w:r>
        <w:t>s proposal to eliminate the production factoring of these costs in the determination of allowed revenue</w:t>
      </w:r>
      <w:r w:rsidRPr="008909AC">
        <w:t>.</w:t>
      </w:r>
      <w:r>
        <w:t xml:space="preserve"> ICNU has indicated they are neutral related to this adjustment.</w:t>
      </w:r>
      <w:r>
        <w:rPr>
          <w:rStyle w:val="FootnoteReference"/>
        </w:rPr>
        <w:footnoteReference w:id="117"/>
      </w:r>
      <w:r w:rsidR="00F26B15">
        <w:t xml:space="preserve"> </w:t>
      </w:r>
    </w:p>
    <w:p w:rsidR="00BF3792" w:rsidRPr="00F421F5" w:rsidRDefault="00BF3792" w:rsidP="00BF3792">
      <w:pPr>
        <w:pStyle w:val="question"/>
      </w:pPr>
      <w:r w:rsidRPr="00F421F5">
        <w:lastRenderedPageBreak/>
        <w:t>Q.</w:t>
      </w:r>
      <w:r w:rsidRPr="00F421F5">
        <w:tab/>
      </w:r>
      <w:r>
        <w:t>What is the amount of the production adjustment once the fixed production factor is removed?</w:t>
      </w:r>
    </w:p>
    <w:p w:rsidR="00BF3792" w:rsidRDefault="00BF3792" w:rsidP="00097934">
      <w:pPr>
        <w:pStyle w:val="Answer0"/>
      </w:pPr>
      <w:r w:rsidRPr="008909AC">
        <w:t>A.</w:t>
      </w:r>
      <w:r w:rsidRPr="008909AC">
        <w:tab/>
      </w:r>
      <w:r>
        <w:t xml:space="preserve">Now that there is no longer a fixed production factor included in this adjustment, the production factor applies only to variable items from the </w:t>
      </w:r>
      <w:proofErr w:type="spellStart"/>
      <w:r>
        <w:t>PCA</w:t>
      </w:r>
      <w:proofErr w:type="spellEnd"/>
      <w:r>
        <w:t xml:space="preserve"> mechanism, such as the Montana Electric Energy Tax, that are not included in the power cost adjustment, Adjustment KJB-</w:t>
      </w:r>
      <w:r w:rsidR="00CD0DC1">
        <w:t>21</w:t>
      </w:r>
      <w:r>
        <w:t>.01.</w:t>
      </w:r>
      <w:r w:rsidR="00F26B15">
        <w:t xml:space="preserve"> </w:t>
      </w:r>
      <w:r>
        <w:t xml:space="preserve">After </w:t>
      </w:r>
      <w:r w:rsidR="00C9205A">
        <w:t>removing the fixed production factor</w:t>
      </w:r>
      <w:r>
        <w:t>, this adjustment now results in an increase to net operating income of $32,873 and no change to rate base</w:t>
      </w:r>
      <w:r w:rsidRPr="008909AC">
        <w:t>.</w:t>
      </w:r>
    </w:p>
    <w:p w:rsidR="003E2EE1" w:rsidRDefault="003E2EE1" w:rsidP="003E2EE1">
      <w:pPr>
        <w:pStyle w:val="question"/>
      </w:pPr>
      <w:r>
        <w:t>Q.</w:t>
      </w:r>
      <w:r>
        <w:tab/>
        <w:t>Did any other party question the production factor calculations?</w:t>
      </w:r>
    </w:p>
    <w:p w:rsidR="003E2EE1" w:rsidRDefault="003E2EE1" w:rsidP="00097934">
      <w:pPr>
        <w:pStyle w:val="Answer0"/>
      </w:pPr>
      <w:r>
        <w:t>A.</w:t>
      </w:r>
      <w:r>
        <w:tab/>
        <w:t xml:space="preserve">No, although Public Counsel witness Smith indicates they have accepted </w:t>
      </w:r>
      <w:r w:rsidR="0077523D">
        <w:t>PSE</w:t>
      </w:r>
      <w:r w:rsidR="00E462EF">
        <w:t>’</w:t>
      </w:r>
      <w:r>
        <w:t>s fixed production factor,</w:t>
      </w:r>
      <w:r>
        <w:rPr>
          <w:rStyle w:val="FootnoteReference"/>
        </w:rPr>
        <w:footnoteReference w:id="118"/>
      </w:r>
      <w:r>
        <w:t xml:space="preserve"> another Public Counsel witness, Michael L. </w:t>
      </w:r>
      <w:proofErr w:type="spellStart"/>
      <w:r>
        <w:t>Brosch</w:t>
      </w:r>
      <w:proofErr w:type="spellEnd"/>
      <w:r>
        <w:t xml:space="preserve">, advocates for </w:t>
      </w:r>
      <w:r w:rsidR="00E462EF">
        <w:t>“</w:t>
      </w:r>
      <w:r>
        <w:t>complete decoupling.</w:t>
      </w:r>
      <w:r w:rsidR="00E462EF">
        <w:t>”</w:t>
      </w:r>
      <w:r>
        <w:rPr>
          <w:rStyle w:val="FootnoteReference"/>
        </w:rPr>
        <w:footnoteReference w:id="119"/>
      </w:r>
      <w:r w:rsidR="00F26B15">
        <w:t xml:space="preserve"> </w:t>
      </w:r>
      <w:r>
        <w:t xml:space="preserve">It would be inappropriate to include the production factor accepted by </w:t>
      </w:r>
      <w:r w:rsidR="0077523D">
        <w:t>Mr. </w:t>
      </w:r>
      <w:r>
        <w:t xml:space="preserve">Smith, which reduces fixed production costs for the differences in customers between test year and rate year levels, and then deprive </w:t>
      </w:r>
      <w:r w:rsidR="0077523D">
        <w:t>PSE</w:t>
      </w:r>
      <w:r>
        <w:t xml:space="preserve"> of the opportunity to recover these costs at the rate year level determined as appropriate in the Commission</w:t>
      </w:r>
      <w:r w:rsidR="00E462EF">
        <w:t>’</w:t>
      </w:r>
      <w:r>
        <w:t>s final order. These two issues must be handled consistently.</w:t>
      </w:r>
      <w:r w:rsidR="00F26B15">
        <w:t xml:space="preserve"> </w:t>
      </w:r>
      <w:r>
        <w:t>Either fixed production costs should be production factored based on customer growth and then allowed to grow with customers or they should not be production factored and held constant at rate year levels.</w:t>
      </w:r>
    </w:p>
    <w:p w:rsidR="00C9205A" w:rsidRPr="00F421F5" w:rsidRDefault="00C9205A" w:rsidP="00771706">
      <w:pPr>
        <w:pStyle w:val="Heading2"/>
      </w:pPr>
      <w:bookmarkStart w:id="62" w:name="_Toc490035617"/>
      <w:r>
        <w:rPr>
          <w:u w:val="none"/>
        </w:rPr>
        <w:lastRenderedPageBreak/>
        <w:t>M</w:t>
      </w:r>
      <w:r w:rsidRPr="00777E1F">
        <w:rPr>
          <w:u w:val="none"/>
        </w:rPr>
        <w:t>.</w:t>
      </w:r>
      <w:r w:rsidRPr="00777E1F">
        <w:rPr>
          <w:u w:val="none"/>
        </w:rPr>
        <w:tab/>
      </w:r>
      <w:r>
        <w:t>Regulatory Asset – Colstrip,</w:t>
      </w:r>
      <w:r w:rsidR="00F26B15">
        <w:t xml:space="preserve"> </w:t>
      </w:r>
      <w:r w:rsidR="009A11B5">
        <w:rPr>
          <w:bCs/>
        </w:rPr>
        <w:t xml:space="preserve">Commission </w:t>
      </w:r>
      <w:r w:rsidR="009A11B5">
        <w:t>Staff</w:t>
      </w:r>
      <w:r>
        <w:t xml:space="preserve"> Adjustment 13.06A</w:t>
      </w:r>
      <w:bookmarkEnd w:id="62"/>
    </w:p>
    <w:p w:rsidR="00C9205A" w:rsidRDefault="00C9205A" w:rsidP="00C9205A">
      <w:pPr>
        <w:pStyle w:val="question"/>
      </w:pPr>
      <w:r>
        <w:t>Q.</w:t>
      </w:r>
      <w:r>
        <w:tab/>
        <w:t xml:space="preserve">Please describe </w:t>
      </w:r>
      <w:r w:rsidR="00771706">
        <w:rPr>
          <w:bCs/>
        </w:rPr>
        <w:t xml:space="preserve">Commission </w:t>
      </w:r>
      <w:r w:rsidR="00771706">
        <w:t>Staff</w:t>
      </w:r>
      <w:r w:rsidR="00E462EF">
        <w:t>’</w:t>
      </w:r>
      <w:r>
        <w:t>s adjustment for a Colstrip regulatory asset.</w:t>
      </w:r>
      <w:r w:rsidR="00F26B15">
        <w:t xml:space="preserve"> </w:t>
      </w:r>
    </w:p>
    <w:p w:rsidR="00C9205A" w:rsidRPr="008909AC" w:rsidRDefault="00C9205A" w:rsidP="00C9205A">
      <w:pPr>
        <w:pStyle w:val="answer"/>
      </w:pPr>
      <w:r>
        <w:t>A.</w:t>
      </w:r>
      <w:r>
        <w:tab/>
        <w:t xml:space="preserve">As discussed earlier in section V. B. of my testimony, </w:t>
      </w:r>
      <w:r w:rsidR="00771706">
        <w:rPr>
          <w:bCs/>
        </w:rPr>
        <w:t xml:space="preserve">Commission </w:t>
      </w:r>
      <w:r w:rsidR="00771706">
        <w:t>Staff</w:t>
      </w:r>
      <w:r>
        <w:t xml:space="preserve"> witness </w:t>
      </w:r>
      <w:r w:rsidR="0077523D">
        <w:t>Mr. </w:t>
      </w:r>
      <w:r>
        <w:t xml:space="preserve">Chris R. McGuire creates a $127 million reserve imbalance (regulatory asset) associated with </w:t>
      </w:r>
      <w:r w:rsidR="00DA6161">
        <w:rPr>
          <w:rFonts w:eastAsia="SimSun"/>
        </w:rPr>
        <w:t>Colstrip Units 1 </w:t>
      </w:r>
      <w:r w:rsidR="007D56A5">
        <w:rPr>
          <w:bCs/>
        </w:rPr>
        <w:t>and</w:t>
      </w:r>
      <w:r w:rsidR="00DA6161">
        <w:rPr>
          <w:rFonts w:eastAsia="SimSun"/>
        </w:rPr>
        <w:t> 2</w:t>
      </w:r>
      <w:r>
        <w:t xml:space="preserve"> based on a </w:t>
      </w:r>
      <w:r w:rsidR="00E462EF">
        <w:t>“</w:t>
      </w:r>
      <w:r>
        <w:t>theoretical</w:t>
      </w:r>
      <w:r w:rsidR="00E462EF">
        <w:t>”</w:t>
      </w:r>
      <w:r>
        <w:t xml:space="preserve"> level of depreciation that he believes should have been collected between 1975 through 2017 when the new depreciation rates take effect.</w:t>
      </w:r>
      <w:r w:rsidR="00F26B15">
        <w:t xml:space="preserve"> </w:t>
      </w:r>
      <w:r>
        <w:t>Under his proposal this regulatory asset is to be amortized over 18 years, which coincides with the previously assumed depreciable life (i.e., until 2035) of the facilities.</w:t>
      </w:r>
      <w:r w:rsidR="00F26B15">
        <w:t xml:space="preserve"> </w:t>
      </w:r>
      <w:r>
        <w:t>His proposal excludes the regulatory asset from rate base and fails to include any carrying charges.</w:t>
      </w:r>
      <w:r w:rsidR="00F26B15">
        <w:t xml:space="preserve"> </w:t>
      </w:r>
      <w:r>
        <w:t xml:space="preserve">For the reasons described earlier in my testimony and in the </w:t>
      </w:r>
      <w:proofErr w:type="spellStart"/>
      <w:r>
        <w:t>Prefiled</w:t>
      </w:r>
      <w:proofErr w:type="spellEnd"/>
      <w:r>
        <w:t xml:space="preserve"> Direct Testimony of </w:t>
      </w:r>
      <w:r w:rsidR="0077523D">
        <w:t>Mr. </w:t>
      </w:r>
      <w:r>
        <w:t xml:space="preserve">Matthew R. Marcelia, </w:t>
      </w:r>
      <w:r w:rsidR="00097934">
        <w:t xml:space="preserve">Exhibit MRM-1T, </w:t>
      </w:r>
      <w:r>
        <w:t xml:space="preserve">the Commission should reject </w:t>
      </w:r>
      <w:r w:rsidR="00771706">
        <w:rPr>
          <w:bCs/>
        </w:rPr>
        <w:t xml:space="preserve">Commission </w:t>
      </w:r>
      <w:r w:rsidR="00771706">
        <w:t>Staff</w:t>
      </w:r>
      <w:r w:rsidR="00E462EF">
        <w:t>’</w:t>
      </w:r>
      <w:r>
        <w:t>s proposed adjustment.</w:t>
      </w:r>
    </w:p>
    <w:p w:rsidR="000B5CA0" w:rsidRDefault="002F4186" w:rsidP="00771706">
      <w:pPr>
        <w:pStyle w:val="Heading2"/>
      </w:pPr>
      <w:bookmarkStart w:id="63" w:name="_Toc490035618"/>
      <w:r w:rsidRPr="00777E1F">
        <w:rPr>
          <w:u w:val="none"/>
        </w:rPr>
        <w:t>N.</w:t>
      </w:r>
      <w:r w:rsidR="00777E1F" w:rsidRPr="00777E1F">
        <w:rPr>
          <w:u w:val="none"/>
        </w:rPr>
        <w:tab/>
      </w:r>
      <w:r w:rsidR="00C760A1">
        <w:t>Legal Expense,</w:t>
      </w:r>
      <w:r w:rsidR="000B5CA0" w:rsidRPr="00F421F5">
        <w:t xml:space="preserve"> </w:t>
      </w:r>
      <w:r w:rsidR="00771706">
        <w:rPr>
          <w:bCs/>
        </w:rPr>
        <w:t xml:space="preserve">Commission </w:t>
      </w:r>
      <w:r w:rsidR="00771706">
        <w:t>Staff</w:t>
      </w:r>
      <w:r w:rsidR="005964D6">
        <w:t xml:space="preserve"> </w:t>
      </w:r>
      <w:r w:rsidR="000B5CA0" w:rsidRPr="00F421F5">
        <w:t>Adjustment</w:t>
      </w:r>
      <w:r w:rsidR="005964D6">
        <w:t>s</w:t>
      </w:r>
      <w:r w:rsidR="000B5CA0" w:rsidRPr="00F421F5">
        <w:t xml:space="preserve"> </w:t>
      </w:r>
      <w:r w:rsidR="005964D6">
        <w:t>13.24E and 11.24G</w:t>
      </w:r>
      <w:bookmarkEnd w:id="63"/>
    </w:p>
    <w:p w:rsidR="00385441" w:rsidRPr="00385441" w:rsidRDefault="00385441" w:rsidP="00385441">
      <w:pPr>
        <w:pStyle w:val="question"/>
      </w:pPr>
      <w:r>
        <w:t>Q.</w:t>
      </w:r>
      <w:r>
        <w:tab/>
        <w:t xml:space="preserve">Does Commission Staff propose an adjustment for legal expense? </w:t>
      </w:r>
    </w:p>
    <w:p w:rsidR="00F67109" w:rsidRPr="008909AC" w:rsidRDefault="00385441" w:rsidP="00385441">
      <w:pPr>
        <w:pStyle w:val="answer"/>
      </w:pPr>
      <w:r>
        <w:t>A.</w:t>
      </w:r>
      <w:r>
        <w:tab/>
        <w:t xml:space="preserve">Yes, and </w:t>
      </w:r>
      <w:r w:rsidR="0077523D">
        <w:t>Ms. </w:t>
      </w:r>
      <w:r w:rsidR="00F67109">
        <w:t xml:space="preserve">Susan Free discusses the difference in the position of </w:t>
      </w:r>
      <w:r w:rsidR="0077523D">
        <w:t>PSE</w:t>
      </w:r>
      <w:r w:rsidR="00A321D0">
        <w:t xml:space="preserve"> and the Commission Staff</w:t>
      </w:r>
      <w:r>
        <w:t xml:space="preserve"> in</w:t>
      </w:r>
      <w:r w:rsidR="00F67109">
        <w:t xml:space="preserve"> Exhibit SEF-</w:t>
      </w:r>
      <w:r w:rsidR="00FB6120">
        <w:t>12T</w:t>
      </w:r>
      <w:r w:rsidR="00F67109">
        <w:t>.</w:t>
      </w:r>
    </w:p>
    <w:p w:rsidR="00470EB5" w:rsidRDefault="002F4186" w:rsidP="00771706">
      <w:pPr>
        <w:pStyle w:val="Heading2"/>
      </w:pPr>
      <w:bookmarkStart w:id="64" w:name="_Toc490035619"/>
      <w:r w:rsidRPr="00777E1F">
        <w:rPr>
          <w:u w:val="none"/>
        </w:rPr>
        <w:lastRenderedPageBreak/>
        <w:t>O.</w:t>
      </w:r>
      <w:r w:rsidR="00777E1F" w:rsidRPr="00777E1F">
        <w:rPr>
          <w:u w:val="none"/>
        </w:rPr>
        <w:tab/>
      </w:r>
      <w:r w:rsidR="00470EB5">
        <w:t>Future Use Property, Public Counsel</w:t>
      </w:r>
      <w:r w:rsidR="005964D6">
        <w:t xml:space="preserve"> Adjustment B-5,</w:t>
      </w:r>
      <w:r w:rsidR="00470EB5">
        <w:t xml:space="preserve"> ICNU</w:t>
      </w:r>
      <w:r w:rsidR="005964D6">
        <w:t xml:space="preserve"> and </w:t>
      </w:r>
      <w:proofErr w:type="spellStart"/>
      <w:r w:rsidR="005964D6">
        <w:t>NWIGU</w:t>
      </w:r>
      <w:proofErr w:type="spellEnd"/>
      <w:r w:rsidR="00470EB5">
        <w:t xml:space="preserve"> Adjustment</w:t>
      </w:r>
      <w:r w:rsidR="005964D6">
        <w:t xml:space="preserve"> IN-4</w:t>
      </w:r>
      <w:bookmarkEnd w:id="64"/>
    </w:p>
    <w:p w:rsidR="00E275E4" w:rsidRPr="007F1C42" w:rsidRDefault="00E275E4" w:rsidP="007F1C42">
      <w:pPr>
        <w:pStyle w:val="question"/>
      </w:pPr>
      <w:r w:rsidRPr="007F1C42">
        <w:t>Q.</w:t>
      </w:r>
      <w:r w:rsidRPr="007F1C42">
        <w:tab/>
        <w:t xml:space="preserve">What </w:t>
      </w:r>
      <w:r w:rsidR="007F1C42">
        <w:t>is the position of</w:t>
      </w:r>
      <w:r w:rsidR="007F1C42" w:rsidRPr="007F1C42">
        <w:t xml:space="preserve"> </w:t>
      </w:r>
      <w:r w:rsidRPr="007F1C42">
        <w:t xml:space="preserve">ICNU </w:t>
      </w:r>
      <w:r w:rsidR="005964D6" w:rsidRPr="007F1C42">
        <w:t xml:space="preserve">and </w:t>
      </w:r>
      <w:proofErr w:type="spellStart"/>
      <w:r w:rsidR="005964D6" w:rsidRPr="007F1C42">
        <w:t>NWIGU</w:t>
      </w:r>
      <w:proofErr w:type="spellEnd"/>
      <w:r w:rsidRPr="007F1C42">
        <w:t xml:space="preserve"> with respect to plant held for future use?</w:t>
      </w:r>
    </w:p>
    <w:p w:rsidR="00E275E4" w:rsidRDefault="00E275E4" w:rsidP="00E275E4">
      <w:pPr>
        <w:pStyle w:val="answer"/>
      </w:pPr>
      <w:r>
        <w:t>A.</w:t>
      </w:r>
      <w:r>
        <w:tab/>
      </w:r>
      <w:r w:rsidR="0077523D">
        <w:t>Mr. </w:t>
      </w:r>
      <w:r>
        <w:t>Brad</w:t>
      </w:r>
      <w:r w:rsidR="005964D6">
        <w:t xml:space="preserve"> G.</w:t>
      </w:r>
      <w:r>
        <w:t xml:space="preserve"> Mullins </w:t>
      </w:r>
      <w:r w:rsidR="005964D6">
        <w:t xml:space="preserve">for both ICNU and </w:t>
      </w:r>
      <w:proofErr w:type="spellStart"/>
      <w:r w:rsidR="005964D6">
        <w:t>NWIGU</w:t>
      </w:r>
      <w:proofErr w:type="spellEnd"/>
      <w:r w:rsidR="005964D6">
        <w:t xml:space="preserve"> </w:t>
      </w:r>
      <w:r>
        <w:t xml:space="preserve">recommends removal </w:t>
      </w:r>
      <w:r w:rsidR="007F1C42">
        <w:t xml:space="preserve">from rate base </w:t>
      </w:r>
      <w:r>
        <w:t xml:space="preserve">of all </w:t>
      </w:r>
      <w:r w:rsidR="007F1C42">
        <w:t xml:space="preserve">electric and gas balances of plant held </w:t>
      </w:r>
      <w:r>
        <w:t xml:space="preserve">for </w:t>
      </w:r>
      <w:r w:rsidR="007F1C42">
        <w:t>future use</w:t>
      </w:r>
      <w:r>
        <w:t>.</w:t>
      </w:r>
      <w:r w:rsidR="00F26B15">
        <w:t xml:space="preserve"> </w:t>
      </w:r>
      <w:r w:rsidR="0077523D">
        <w:t>Mr. </w:t>
      </w:r>
      <w:r>
        <w:t>Mullins state</w:t>
      </w:r>
      <w:r w:rsidR="007F1C42">
        <w:t>s</w:t>
      </w:r>
      <w:r>
        <w:t xml:space="preserve"> that PSE has not demonstrated that the properties are used and useful to ratepayers.</w:t>
      </w:r>
      <w:r w:rsidR="00584DEB">
        <w:rPr>
          <w:rStyle w:val="FootnoteReference"/>
        </w:rPr>
        <w:footnoteReference w:id="120"/>
      </w:r>
      <w:r w:rsidR="00F26B15">
        <w:t xml:space="preserve"> </w:t>
      </w:r>
    </w:p>
    <w:p w:rsidR="00E275E4" w:rsidRPr="00F421F5" w:rsidRDefault="00E275E4" w:rsidP="00E275E4">
      <w:pPr>
        <w:pStyle w:val="question"/>
      </w:pPr>
      <w:r>
        <w:t>Q</w:t>
      </w:r>
      <w:r w:rsidRPr="00F421F5">
        <w:tab/>
      </w:r>
      <w:r>
        <w:t xml:space="preserve">Does PSE agree with </w:t>
      </w:r>
      <w:r w:rsidR="0077523D">
        <w:t>Mr. </w:t>
      </w:r>
      <w:r>
        <w:t>Mullins</w:t>
      </w:r>
      <w:r w:rsidR="00E462EF">
        <w:t>’</w:t>
      </w:r>
      <w:r>
        <w:t xml:space="preserve"> </w:t>
      </w:r>
      <w:r w:rsidR="005964D6">
        <w:t>proposed a</w:t>
      </w:r>
      <w:r>
        <w:t>djustment</w:t>
      </w:r>
      <w:r w:rsidR="005964D6">
        <w:t>s</w:t>
      </w:r>
      <w:r>
        <w:t>?</w:t>
      </w:r>
    </w:p>
    <w:p w:rsidR="00E275E4" w:rsidRDefault="00E275E4" w:rsidP="00E275E4">
      <w:pPr>
        <w:pStyle w:val="answer"/>
      </w:pPr>
      <w:r w:rsidRPr="008909AC">
        <w:t>A.</w:t>
      </w:r>
      <w:r w:rsidRPr="008909AC">
        <w:tab/>
      </w:r>
      <w:r>
        <w:t>No.</w:t>
      </w:r>
      <w:r w:rsidR="00F26B15">
        <w:t xml:space="preserve"> </w:t>
      </w:r>
      <w:r>
        <w:t xml:space="preserve">As discussed in the </w:t>
      </w:r>
      <w:proofErr w:type="spellStart"/>
      <w:r w:rsidR="007F1C42">
        <w:t>Prefiled</w:t>
      </w:r>
      <w:proofErr w:type="spellEnd"/>
      <w:r w:rsidR="007F1C42">
        <w:t xml:space="preserve"> Rebuttal Testimony </w:t>
      </w:r>
      <w:r>
        <w:t xml:space="preserve">of Matthew </w:t>
      </w:r>
      <w:r w:rsidR="007F1C42">
        <w:t xml:space="preserve">R. </w:t>
      </w:r>
      <w:r>
        <w:t>Marcelia,</w:t>
      </w:r>
      <w:r w:rsidR="007F1C42">
        <w:t xml:space="preserve"> Exhibit MRM-1T,</w:t>
      </w:r>
      <w:r>
        <w:t xml:space="preserve"> </w:t>
      </w:r>
      <w:r w:rsidR="0077523D">
        <w:t>Mr. </w:t>
      </w:r>
      <w:r>
        <w:t xml:space="preserve">Mullins testimony is not accurate in regards to the plant held for future use and therefore should be rejected. </w:t>
      </w:r>
    </w:p>
    <w:p w:rsidR="003631E9" w:rsidRDefault="003631E9" w:rsidP="001773CB">
      <w:pPr>
        <w:pStyle w:val="question"/>
      </w:pPr>
      <w:r>
        <w:t>Q.</w:t>
      </w:r>
      <w:r>
        <w:tab/>
        <w:t>What does Public Counsel propose with respect to properties held for future use?</w:t>
      </w:r>
    </w:p>
    <w:p w:rsidR="00C9205A" w:rsidRDefault="003631E9" w:rsidP="001773CB">
      <w:pPr>
        <w:pStyle w:val="answer"/>
      </w:pPr>
      <w:r>
        <w:t>A.</w:t>
      </w:r>
      <w:r>
        <w:tab/>
      </w:r>
      <w:r w:rsidR="00470EB5" w:rsidRPr="001773CB">
        <w:rPr>
          <w:rStyle w:val="answerChar1"/>
        </w:rPr>
        <w:t xml:space="preserve">Public Counsel </w:t>
      </w:r>
      <w:r w:rsidR="007F1C42">
        <w:rPr>
          <w:rStyle w:val="answerChar1"/>
        </w:rPr>
        <w:t>w</w:t>
      </w:r>
      <w:r w:rsidR="007F1C42" w:rsidRPr="001773CB">
        <w:rPr>
          <w:rStyle w:val="answerChar1"/>
        </w:rPr>
        <w:t xml:space="preserve">itness </w:t>
      </w:r>
      <w:r w:rsidR="00470EB5" w:rsidRPr="001773CB">
        <w:rPr>
          <w:rStyle w:val="answerChar1"/>
        </w:rPr>
        <w:t xml:space="preserve">Smith recommends removal of two properties that are currently part of </w:t>
      </w:r>
      <w:r w:rsidR="007F1C42">
        <w:rPr>
          <w:rStyle w:val="answerChar1"/>
        </w:rPr>
        <w:t xml:space="preserve">plant held </w:t>
      </w:r>
      <w:r w:rsidR="00ED5637">
        <w:rPr>
          <w:rStyle w:val="answerChar1"/>
        </w:rPr>
        <w:t xml:space="preserve">for </w:t>
      </w:r>
      <w:r w:rsidR="007F1C42">
        <w:rPr>
          <w:rStyle w:val="answerChar1"/>
        </w:rPr>
        <w:t>f</w:t>
      </w:r>
      <w:r w:rsidR="007F1C42" w:rsidRPr="001773CB">
        <w:rPr>
          <w:rStyle w:val="answerChar1"/>
        </w:rPr>
        <w:t xml:space="preserve">uture </w:t>
      </w:r>
      <w:r w:rsidR="007F1C42">
        <w:rPr>
          <w:rStyle w:val="answerChar1"/>
        </w:rPr>
        <w:t>u</w:t>
      </w:r>
      <w:r w:rsidR="007F1C42" w:rsidRPr="001773CB">
        <w:rPr>
          <w:rStyle w:val="answerChar1"/>
        </w:rPr>
        <w:t>se</w:t>
      </w:r>
      <w:r w:rsidR="00470EB5" w:rsidRPr="001773CB">
        <w:rPr>
          <w:rStyle w:val="answerChar1"/>
        </w:rPr>
        <w:t>.</w:t>
      </w:r>
      <w:r w:rsidR="00584DEB">
        <w:rPr>
          <w:rStyle w:val="FootnoteReference"/>
        </w:rPr>
        <w:footnoteReference w:id="121"/>
      </w:r>
      <w:r w:rsidR="00F26B15">
        <w:rPr>
          <w:rStyle w:val="answerChar1"/>
        </w:rPr>
        <w:t xml:space="preserve"> </w:t>
      </w:r>
      <w:r w:rsidR="00470EB5" w:rsidRPr="001773CB">
        <w:rPr>
          <w:rStyle w:val="answerChar1"/>
        </w:rPr>
        <w:t xml:space="preserve">These were first placed in </w:t>
      </w:r>
      <w:r w:rsidR="007F1C42">
        <w:rPr>
          <w:rStyle w:val="answerChar1"/>
        </w:rPr>
        <w:t>f</w:t>
      </w:r>
      <w:r w:rsidR="007F1C42" w:rsidRPr="001773CB">
        <w:rPr>
          <w:rStyle w:val="answerChar1"/>
        </w:rPr>
        <w:t xml:space="preserve">uture </w:t>
      </w:r>
      <w:r w:rsidR="007F1C42">
        <w:rPr>
          <w:rStyle w:val="answerChar1"/>
        </w:rPr>
        <w:t>u</w:t>
      </w:r>
      <w:r w:rsidR="007F1C42" w:rsidRPr="001773CB">
        <w:rPr>
          <w:rStyle w:val="answerChar1"/>
        </w:rPr>
        <w:t xml:space="preserve">se </w:t>
      </w:r>
      <w:r w:rsidR="00470EB5" w:rsidRPr="001773CB">
        <w:rPr>
          <w:rStyle w:val="answerChar1"/>
        </w:rPr>
        <w:t>in 1992.</w:t>
      </w:r>
      <w:r w:rsidR="00F26B15">
        <w:rPr>
          <w:rStyle w:val="answerChar1"/>
        </w:rPr>
        <w:t xml:space="preserve"> </w:t>
      </w:r>
      <w:r w:rsidR="00470EB5" w:rsidRPr="001773CB">
        <w:rPr>
          <w:rStyle w:val="answerChar1"/>
        </w:rPr>
        <w:t>Based on the Commission</w:t>
      </w:r>
      <w:r w:rsidR="00E462EF">
        <w:rPr>
          <w:rStyle w:val="answerChar1"/>
        </w:rPr>
        <w:t>’</w:t>
      </w:r>
      <w:r w:rsidR="00470EB5" w:rsidRPr="001773CB">
        <w:rPr>
          <w:rStyle w:val="answerChar1"/>
        </w:rPr>
        <w:t>s Order in Docket</w:t>
      </w:r>
      <w:r w:rsidR="007F1C42">
        <w:rPr>
          <w:rStyle w:val="answerChar1"/>
        </w:rPr>
        <w:t>s</w:t>
      </w:r>
      <w:r w:rsidR="00470EB5" w:rsidRPr="001773CB">
        <w:rPr>
          <w:rStyle w:val="answerChar1"/>
        </w:rPr>
        <w:t xml:space="preserve"> UE-920433, UE-920499 and UE-921262 </w:t>
      </w:r>
      <w:r w:rsidR="001A2684">
        <w:rPr>
          <w:rStyle w:val="answerChar1"/>
        </w:rPr>
        <w:t xml:space="preserve">and the fact that these two properties have been in future use for more than </w:t>
      </w:r>
      <w:r w:rsidR="00470EB5" w:rsidRPr="001773CB">
        <w:rPr>
          <w:rStyle w:val="answerChar1"/>
        </w:rPr>
        <w:t xml:space="preserve">20 years, </w:t>
      </w:r>
      <w:r w:rsidR="0077523D">
        <w:t>Mr. </w:t>
      </w:r>
      <w:r w:rsidR="00470EB5" w:rsidRPr="001773CB">
        <w:rPr>
          <w:rStyle w:val="answerChar1"/>
        </w:rPr>
        <w:t>Smith recommends removing the properties shown below:</w:t>
      </w:r>
    </w:p>
    <w:p w:rsidR="00470EB5" w:rsidRDefault="00470EB5" w:rsidP="00C9205A">
      <w:pPr>
        <w:pStyle w:val="answer"/>
        <w:ind w:left="1440"/>
      </w:pPr>
      <w:r w:rsidRPr="000D0EB0">
        <w:rPr>
          <w:noProof/>
          <w:lang w:eastAsia="en-US"/>
        </w:rPr>
        <w:lastRenderedPageBreak/>
        <w:drawing>
          <wp:inline distT="0" distB="0" distL="0" distR="0" wp14:anchorId="23618003" wp14:editId="6E78B7CC">
            <wp:extent cx="5122333" cy="59233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666" cy="599311"/>
                    </a:xfrm>
                    <a:prstGeom prst="rect">
                      <a:avLst/>
                    </a:prstGeom>
                    <a:noFill/>
                    <a:ln>
                      <a:noFill/>
                    </a:ln>
                  </pic:spPr>
                </pic:pic>
              </a:graphicData>
            </a:graphic>
          </wp:inline>
        </w:drawing>
      </w:r>
    </w:p>
    <w:p w:rsidR="00470EB5" w:rsidRPr="00F421F5" w:rsidRDefault="00470EB5" w:rsidP="001773CB">
      <w:pPr>
        <w:pStyle w:val="question"/>
      </w:pPr>
      <w:r w:rsidRPr="00F421F5">
        <w:t>Q.</w:t>
      </w:r>
      <w:r w:rsidRPr="00F421F5">
        <w:tab/>
      </w:r>
      <w:r>
        <w:t xml:space="preserve">Does PSE agree with </w:t>
      </w:r>
      <w:r w:rsidR="0077523D">
        <w:t>Mr. </w:t>
      </w:r>
      <w:r>
        <w:t>Smith</w:t>
      </w:r>
      <w:r w:rsidR="00E462EF">
        <w:t>’</w:t>
      </w:r>
      <w:r>
        <w:t>s Adjustment?</w:t>
      </w:r>
    </w:p>
    <w:p w:rsidR="00470EB5" w:rsidRDefault="00470EB5" w:rsidP="001773CB">
      <w:pPr>
        <w:pStyle w:val="answer"/>
      </w:pPr>
      <w:r w:rsidRPr="008909AC">
        <w:t>A.</w:t>
      </w:r>
      <w:r w:rsidRPr="008909AC">
        <w:tab/>
      </w:r>
      <w:r w:rsidR="00074D20">
        <w:t>No.</w:t>
      </w:r>
      <w:r w:rsidR="00F26B15">
        <w:t xml:space="preserve"> </w:t>
      </w:r>
      <w:r w:rsidR="00074D20">
        <w:t xml:space="preserve">As discussed </w:t>
      </w:r>
      <w:r w:rsidR="005964D6">
        <w:t xml:space="preserve">by </w:t>
      </w:r>
      <w:r w:rsidR="0077523D">
        <w:t>Mr. </w:t>
      </w:r>
      <w:r w:rsidR="00074D20">
        <w:t xml:space="preserve">Marcelia, </w:t>
      </w:r>
      <w:r w:rsidR="00693F86">
        <w:t>PSE has a stringent process to ensure that plant held in future use has a specific plan.</w:t>
      </w:r>
      <w:r w:rsidR="00F26B15">
        <w:t xml:space="preserve"> </w:t>
      </w:r>
      <w:r w:rsidR="00693F86">
        <w:t xml:space="preserve">Although, </w:t>
      </w:r>
      <w:r w:rsidR="0077523D">
        <w:t>Mr. </w:t>
      </w:r>
      <w:r w:rsidR="00693F86">
        <w:t xml:space="preserve">Smith shows that the land associated with these two properties have been </w:t>
      </w:r>
      <w:r w:rsidR="005964D6">
        <w:t xml:space="preserve">held </w:t>
      </w:r>
      <w:r w:rsidR="00693F86">
        <w:t xml:space="preserve">in future use longer than the 20 year period, this is because the timing of the transmission line </w:t>
      </w:r>
      <w:r w:rsidR="001A2684">
        <w:t xml:space="preserve">for which the properties were acquired </w:t>
      </w:r>
      <w:r w:rsidR="00693F86">
        <w:t xml:space="preserve">had to be extended as a result of the </w:t>
      </w:r>
      <w:proofErr w:type="spellStart"/>
      <w:r w:rsidR="00693F86">
        <w:t>JPUD</w:t>
      </w:r>
      <w:proofErr w:type="spellEnd"/>
      <w:r w:rsidR="00693F86">
        <w:t xml:space="preserve"> transition.</w:t>
      </w:r>
      <w:r w:rsidR="00F26B15">
        <w:t xml:space="preserve"> </w:t>
      </w:r>
      <w:r w:rsidR="00693F86">
        <w:t>As provided in PSE</w:t>
      </w:r>
      <w:r w:rsidR="00E462EF">
        <w:t>’</w:t>
      </w:r>
      <w:r w:rsidR="00693F86">
        <w:t xml:space="preserve">s </w:t>
      </w:r>
      <w:r w:rsidR="005D0657">
        <w:t>R</w:t>
      </w:r>
      <w:r w:rsidR="00693F86">
        <w:t xml:space="preserve">esponse to </w:t>
      </w:r>
      <w:r w:rsidR="005D0657">
        <w:t xml:space="preserve">ICNU </w:t>
      </w:r>
      <w:r w:rsidR="00693F86" w:rsidRPr="00C9205A">
        <w:t xml:space="preserve">Data Request </w:t>
      </w:r>
      <w:r w:rsidR="005D0657" w:rsidRPr="00C9205A">
        <w:t xml:space="preserve">No. </w:t>
      </w:r>
      <w:r w:rsidR="005D0657">
        <w:t>063</w:t>
      </w:r>
      <w:r w:rsidR="00693F86">
        <w:t xml:space="preserve">, </w:t>
      </w:r>
      <w:r w:rsidR="0077523D">
        <w:t>PSE</w:t>
      </w:r>
      <w:r w:rsidR="001A2684">
        <w:t xml:space="preserve"> </w:t>
      </w:r>
      <w:r w:rsidR="00693F86">
        <w:t xml:space="preserve">explained </w:t>
      </w:r>
      <w:r w:rsidR="001A2684">
        <w:t>that</w:t>
      </w:r>
      <w:r w:rsidR="00693F86">
        <w:t xml:space="preserve"> this particular </w:t>
      </w:r>
      <w:r w:rsidR="001A2684">
        <w:t xml:space="preserve">line </w:t>
      </w:r>
      <w:r w:rsidR="00693F86">
        <w:t>upgrade is anticipated to be in place by 2019.</w:t>
      </w:r>
      <w:r w:rsidR="00F26B15">
        <w:t xml:space="preserve"> </w:t>
      </w:r>
      <w:r w:rsidR="005964D6">
        <w:t>Therefore, it is appropriate to allow these properties to be held in future use.</w:t>
      </w:r>
      <w:r w:rsidR="00F26B15">
        <w:t xml:space="preserve"> </w:t>
      </w:r>
    </w:p>
    <w:p w:rsidR="00470EB5" w:rsidRPr="00F421F5" w:rsidRDefault="002F4186" w:rsidP="00771706">
      <w:pPr>
        <w:pStyle w:val="Heading2"/>
      </w:pPr>
      <w:bookmarkStart w:id="65" w:name="_Toc490035620"/>
      <w:r w:rsidRPr="00777E1F">
        <w:rPr>
          <w:u w:val="none"/>
        </w:rPr>
        <w:t>P.</w:t>
      </w:r>
      <w:r w:rsidR="00777E1F" w:rsidRPr="00777E1F">
        <w:rPr>
          <w:u w:val="none"/>
        </w:rPr>
        <w:tab/>
      </w:r>
      <w:proofErr w:type="spellStart"/>
      <w:r w:rsidR="00470EB5">
        <w:t>Proforma</w:t>
      </w:r>
      <w:proofErr w:type="spellEnd"/>
      <w:r w:rsidR="00470EB5">
        <w:t xml:space="preserve"> </w:t>
      </w:r>
      <w:proofErr w:type="spellStart"/>
      <w:r w:rsidR="00470EB5">
        <w:t>NOL</w:t>
      </w:r>
      <w:proofErr w:type="spellEnd"/>
      <w:r w:rsidR="00470EB5">
        <w:t xml:space="preserve"> to Zero, </w:t>
      </w:r>
      <w:r w:rsidR="00ED74D1">
        <w:t xml:space="preserve">ICNU </w:t>
      </w:r>
      <w:r w:rsidR="00470EB5" w:rsidRPr="00F421F5">
        <w:t xml:space="preserve">Adjustment </w:t>
      </w:r>
      <w:r w:rsidR="00ED74D1">
        <w:t>IN-2</w:t>
      </w:r>
      <w:bookmarkEnd w:id="65"/>
    </w:p>
    <w:p w:rsidR="0075570F" w:rsidRDefault="0075570F" w:rsidP="0075570F">
      <w:pPr>
        <w:pStyle w:val="question"/>
      </w:pPr>
      <w:r>
        <w:t>Q.</w:t>
      </w:r>
      <w:r>
        <w:tab/>
        <w:t xml:space="preserve">Please discuss </w:t>
      </w:r>
      <w:proofErr w:type="spellStart"/>
      <w:r>
        <w:t>ICNU</w:t>
      </w:r>
      <w:r w:rsidR="00E462EF">
        <w:t>’</w:t>
      </w:r>
      <w:r>
        <w:t>s</w:t>
      </w:r>
      <w:proofErr w:type="spellEnd"/>
      <w:r>
        <w:t xml:space="preserve"> adjustment with respect to net operating losses.</w:t>
      </w:r>
    </w:p>
    <w:p w:rsidR="00A03318" w:rsidRDefault="0075570F" w:rsidP="0075570F">
      <w:pPr>
        <w:pStyle w:val="answer"/>
      </w:pPr>
      <w:r>
        <w:t>A.</w:t>
      </w:r>
      <w:r>
        <w:tab/>
      </w:r>
      <w:r w:rsidR="0077523D">
        <w:t>Mr. </w:t>
      </w:r>
      <w:r w:rsidR="00470EB5">
        <w:t>Mullins</w:t>
      </w:r>
      <w:r w:rsidR="00ED74D1">
        <w:t xml:space="preserve"> for ICNU and </w:t>
      </w:r>
      <w:proofErr w:type="spellStart"/>
      <w:r w:rsidR="00ED74D1">
        <w:t>NWIGU</w:t>
      </w:r>
      <w:proofErr w:type="spellEnd"/>
      <w:r w:rsidR="00470EB5">
        <w:t xml:space="preserve"> </w:t>
      </w:r>
      <w:r w:rsidR="00A321D0">
        <w:t>has proposed a pro</w:t>
      </w:r>
      <w:r w:rsidR="00123C61">
        <w:t xml:space="preserve"> </w:t>
      </w:r>
      <w:r w:rsidR="00A321D0">
        <w:t xml:space="preserve">forma adjustment </w:t>
      </w:r>
      <w:r w:rsidR="00A03318">
        <w:t xml:space="preserve">to eliminate the </w:t>
      </w:r>
      <w:r>
        <w:t xml:space="preserve">net operating losses </w:t>
      </w:r>
      <w:r w:rsidR="00A03318">
        <w:t>currently included in PSE</w:t>
      </w:r>
      <w:r w:rsidR="00E462EF">
        <w:t>’</w:t>
      </w:r>
      <w:r w:rsidR="00A03318">
        <w:t>s rate</w:t>
      </w:r>
      <w:r w:rsidR="00123C61">
        <w:t xml:space="preserve"> </w:t>
      </w:r>
      <w:r w:rsidR="00A03318">
        <w:t>base calculation.</w:t>
      </w:r>
      <w:r w:rsidR="00F26B15">
        <w:t xml:space="preserve"> </w:t>
      </w:r>
      <w:r w:rsidR="0077523D">
        <w:t>Mr. </w:t>
      </w:r>
      <w:r w:rsidR="00A321D0">
        <w:t>Matthew Marcelia discuss</w:t>
      </w:r>
      <w:r w:rsidR="00830547">
        <w:t>es</w:t>
      </w:r>
      <w:r w:rsidR="00A03318">
        <w:t xml:space="preserve"> the differences in the positions of </w:t>
      </w:r>
      <w:r w:rsidR="0077523D">
        <w:t>PSE</w:t>
      </w:r>
      <w:r w:rsidR="00A03318">
        <w:t xml:space="preserve"> and ICNU for this adjustment.</w:t>
      </w:r>
      <w:r w:rsidR="004606F4">
        <w:rPr>
          <w:rStyle w:val="FootnoteReference"/>
        </w:rPr>
        <w:footnoteReference w:id="122"/>
      </w:r>
      <w:r w:rsidR="00F26B15">
        <w:t xml:space="preserve"> </w:t>
      </w:r>
    </w:p>
    <w:p w:rsidR="000B5CA0" w:rsidRPr="00F421F5" w:rsidRDefault="002F4186" w:rsidP="00771706">
      <w:pPr>
        <w:pStyle w:val="Heading2"/>
      </w:pPr>
      <w:bookmarkStart w:id="66" w:name="_Toc490035621"/>
      <w:r w:rsidRPr="00777E1F">
        <w:rPr>
          <w:u w:val="none"/>
        </w:rPr>
        <w:lastRenderedPageBreak/>
        <w:t>Q.</w:t>
      </w:r>
      <w:r w:rsidR="00777E1F" w:rsidRPr="00777E1F">
        <w:rPr>
          <w:u w:val="none"/>
        </w:rPr>
        <w:tab/>
      </w:r>
      <w:r w:rsidR="00975004">
        <w:t>Amortize PTCs,</w:t>
      </w:r>
      <w:r w:rsidR="000B5CA0" w:rsidRPr="00F421F5">
        <w:t xml:space="preserve"> </w:t>
      </w:r>
      <w:r w:rsidR="00ED74D1">
        <w:t xml:space="preserve">ICNU </w:t>
      </w:r>
      <w:r w:rsidR="000B5CA0" w:rsidRPr="00F421F5">
        <w:t xml:space="preserve">Adjustment </w:t>
      </w:r>
      <w:r w:rsidR="00ED74D1">
        <w:t>IN-3</w:t>
      </w:r>
      <w:bookmarkEnd w:id="66"/>
    </w:p>
    <w:p w:rsidR="0075570F" w:rsidRDefault="0075570F" w:rsidP="0075570F">
      <w:pPr>
        <w:pStyle w:val="question"/>
      </w:pPr>
      <w:r>
        <w:t>Q.</w:t>
      </w:r>
      <w:r>
        <w:tab/>
        <w:t xml:space="preserve">Please discuss </w:t>
      </w:r>
      <w:proofErr w:type="spellStart"/>
      <w:r>
        <w:t>ICNU</w:t>
      </w:r>
      <w:r w:rsidR="00E462EF">
        <w:t>’</w:t>
      </w:r>
      <w:r>
        <w:t>s</w:t>
      </w:r>
      <w:proofErr w:type="spellEnd"/>
      <w:r>
        <w:t xml:space="preserve"> adjustment to amortize PTCs.</w:t>
      </w:r>
    </w:p>
    <w:p w:rsidR="00A03318" w:rsidRDefault="0075570F" w:rsidP="0075570F">
      <w:pPr>
        <w:pStyle w:val="answer"/>
      </w:pPr>
      <w:r>
        <w:t>A.</w:t>
      </w:r>
      <w:r>
        <w:tab/>
      </w:r>
      <w:r w:rsidR="00A03318">
        <w:t xml:space="preserve">ICNU </w:t>
      </w:r>
      <w:r>
        <w:t xml:space="preserve">witness </w:t>
      </w:r>
      <w:r w:rsidR="00A03318">
        <w:t>Mullins has proposed a pro</w:t>
      </w:r>
      <w:r w:rsidR="00123C61">
        <w:t xml:space="preserve"> </w:t>
      </w:r>
      <w:r w:rsidR="00A03318">
        <w:t xml:space="preserve">forma adjustment to commence amortization on the </w:t>
      </w:r>
      <w:r>
        <w:t>PTCs</w:t>
      </w:r>
      <w:r w:rsidR="00A03318">
        <w:t xml:space="preserve"> that PSE has not yet utilized on its tax returns.</w:t>
      </w:r>
      <w:r w:rsidR="00C9205A">
        <w:rPr>
          <w:rStyle w:val="FootnoteReference"/>
        </w:rPr>
        <w:footnoteReference w:id="123"/>
      </w:r>
      <w:r w:rsidR="00F26B15">
        <w:t xml:space="preserve"> </w:t>
      </w:r>
      <w:r w:rsidR="0077523D">
        <w:t>Mr. </w:t>
      </w:r>
      <w:r w:rsidR="00A03318">
        <w:t>Matthew Marcelia discuss</w:t>
      </w:r>
      <w:r w:rsidR="00830547">
        <w:t>es</w:t>
      </w:r>
      <w:r w:rsidR="00A03318">
        <w:t xml:space="preserve"> the differences in the positions of </w:t>
      </w:r>
      <w:r>
        <w:t>PSE</w:t>
      </w:r>
      <w:r w:rsidR="00A03318">
        <w:t xml:space="preserve"> and ICNU for this adjustment.</w:t>
      </w:r>
      <w:r w:rsidR="00F26B15">
        <w:t xml:space="preserve"> </w:t>
      </w:r>
      <w:r w:rsidR="00A03318">
        <w:rPr>
          <w:i/>
        </w:rPr>
        <w:t>See</w:t>
      </w:r>
      <w:r w:rsidR="00A03318">
        <w:t xml:space="preserve"> Exhibit MRM-1T</w:t>
      </w:r>
      <w:r w:rsidR="000A6AC1">
        <w:t>.</w:t>
      </w:r>
      <w:r w:rsidR="00F26B15">
        <w:t xml:space="preserve"> </w:t>
      </w:r>
      <w:r w:rsidR="00ED74D1">
        <w:t>There is further discussion later in my testimony regarding PTCs.</w:t>
      </w:r>
    </w:p>
    <w:p w:rsidR="00470EB5" w:rsidRPr="00F421F5" w:rsidRDefault="002F4186" w:rsidP="00771706">
      <w:pPr>
        <w:pStyle w:val="Heading2"/>
      </w:pPr>
      <w:bookmarkStart w:id="67" w:name="_Toc490035622"/>
      <w:r w:rsidRPr="00777E1F">
        <w:rPr>
          <w:u w:val="none"/>
        </w:rPr>
        <w:t>R.</w:t>
      </w:r>
      <w:r w:rsidR="00777E1F" w:rsidRPr="00777E1F">
        <w:rPr>
          <w:u w:val="none"/>
        </w:rPr>
        <w:tab/>
      </w:r>
      <w:r w:rsidR="00470EB5">
        <w:t xml:space="preserve">Ardmore </w:t>
      </w:r>
      <w:r w:rsidR="00097934">
        <w:t xml:space="preserve">Substation </w:t>
      </w:r>
      <w:r w:rsidR="00470EB5">
        <w:t>Overruns,</w:t>
      </w:r>
      <w:r w:rsidR="00470EB5" w:rsidRPr="00F421F5">
        <w:t xml:space="preserve"> </w:t>
      </w:r>
      <w:r w:rsidR="00ED74D1">
        <w:t xml:space="preserve">ICNU </w:t>
      </w:r>
      <w:r w:rsidR="00470EB5" w:rsidRPr="00F421F5">
        <w:t xml:space="preserve">Adjustment </w:t>
      </w:r>
      <w:r w:rsidR="00ED74D1">
        <w:t>IN-6</w:t>
      </w:r>
      <w:bookmarkEnd w:id="67"/>
    </w:p>
    <w:p w:rsidR="0075570F" w:rsidRDefault="0075570F" w:rsidP="0075570F">
      <w:pPr>
        <w:pStyle w:val="question"/>
      </w:pPr>
      <w:r>
        <w:t>Q.</w:t>
      </w:r>
      <w:r>
        <w:tab/>
        <w:t xml:space="preserve">Please discuss </w:t>
      </w:r>
      <w:proofErr w:type="spellStart"/>
      <w:r>
        <w:t>ICNU</w:t>
      </w:r>
      <w:r w:rsidR="00E462EF">
        <w:t>’</w:t>
      </w:r>
      <w:r>
        <w:t>s</w:t>
      </w:r>
      <w:proofErr w:type="spellEnd"/>
      <w:r>
        <w:t xml:space="preserve"> adjustment with respect to </w:t>
      </w:r>
      <w:r w:rsidR="009A1F59">
        <w:t xml:space="preserve">the Ardmore </w:t>
      </w:r>
      <w:r w:rsidR="00097934">
        <w:t>S</w:t>
      </w:r>
      <w:r w:rsidR="009A1F59">
        <w:t>ubstation</w:t>
      </w:r>
      <w:r>
        <w:t>.</w:t>
      </w:r>
    </w:p>
    <w:p w:rsidR="00470EB5" w:rsidRPr="008909AC" w:rsidRDefault="009A1F59" w:rsidP="009A1F59">
      <w:pPr>
        <w:pStyle w:val="answer"/>
      </w:pPr>
      <w:r>
        <w:t>A.</w:t>
      </w:r>
      <w:r>
        <w:tab/>
      </w:r>
      <w:r w:rsidR="00470EB5">
        <w:t xml:space="preserve">ICNU </w:t>
      </w:r>
      <w:r>
        <w:t xml:space="preserve">witness </w:t>
      </w:r>
      <w:r w:rsidR="00470EB5">
        <w:t>Mullins has reduced the Ardmore Substation construction costs by $13.6 million</w:t>
      </w:r>
      <w:r>
        <w:t xml:space="preserve"> based on his claim of </w:t>
      </w:r>
      <w:r w:rsidR="00470EB5">
        <w:t xml:space="preserve">cost overruns </w:t>
      </w:r>
      <w:r>
        <w:t xml:space="preserve">as compared to </w:t>
      </w:r>
      <w:r w:rsidR="0077523D">
        <w:t>PSE</w:t>
      </w:r>
      <w:r w:rsidR="00E462EF">
        <w:t>’</w:t>
      </w:r>
      <w:r w:rsidR="00470EB5">
        <w:t xml:space="preserve">s </w:t>
      </w:r>
      <w:r>
        <w:t>$</w:t>
      </w:r>
      <w:r w:rsidR="00470EB5">
        <w:t>25.9 million</w:t>
      </w:r>
      <w:r>
        <w:t xml:space="preserve"> budget</w:t>
      </w:r>
      <w:r w:rsidR="00470EB5">
        <w:t>.</w:t>
      </w:r>
      <w:r w:rsidR="00C9205A">
        <w:rPr>
          <w:rStyle w:val="FootnoteReference"/>
        </w:rPr>
        <w:footnoteReference w:id="124"/>
      </w:r>
    </w:p>
    <w:p w:rsidR="00470EB5" w:rsidRPr="00F421F5" w:rsidRDefault="00470EB5" w:rsidP="001773CB">
      <w:pPr>
        <w:pStyle w:val="question"/>
      </w:pPr>
      <w:r w:rsidRPr="00F421F5">
        <w:t>Q.</w:t>
      </w:r>
      <w:r w:rsidRPr="00F421F5">
        <w:tab/>
      </w:r>
      <w:r>
        <w:t xml:space="preserve">Does </w:t>
      </w:r>
      <w:r w:rsidR="0077523D">
        <w:t>PSE</w:t>
      </w:r>
      <w:r>
        <w:t xml:space="preserve"> agree with </w:t>
      </w:r>
      <w:r w:rsidR="0077523D">
        <w:t>Mr. </w:t>
      </w:r>
      <w:r>
        <w:t>Mullins</w:t>
      </w:r>
      <w:r w:rsidR="00E462EF">
        <w:t>’</w:t>
      </w:r>
      <w:r>
        <w:t xml:space="preserve"> Adjustment to reduce the Ardmore </w:t>
      </w:r>
      <w:r w:rsidR="00097934">
        <w:t>Substation</w:t>
      </w:r>
      <w:r>
        <w:t xml:space="preserve"> by </w:t>
      </w:r>
      <w:r w:rsidR="00A03318">
        <w:t>$</w:t>
      </w:r>
      <w:r>
        <w:t xml:space="preserve">13.6 </w:t>
      </w:r>
      <w:r w:rsidR="009A1F59">
        <w:t>million</w:t>
      </w:r>
      <w:r>
        <w:t>?</w:t>
      </w:r>
    </w:p>
    <w:p w:rsidR="00470EB5" w:rsidRDefault="00470EB5" w:rsidP="001773CB">
      <w:pPr>
        <w:pStyle w:val="answer"/>
      </w:pPr>
      <w:r w:rsidRPr="008909AC">
        <w:t>A.</w:t>
      </w:r>
      <w:r w:rsidRPr="008909AC">
        <w:tab/>
        <w:t>No.</w:t>
      </w:r>
      <w:r w:rsidR="00F26B15">
        <w:t xml:space="preserve"> </w:t>
      </w:r>
      <w:r>
        <w:t xml:space="preserve">PSE does not agree with </w:t>
      </w:r>
      <w:r w:rsidR="0077523D">
        <w:t>Mr. </w:t>
      </w:r>
      <w:r>
        <w:t xml:space="preserve">Mullins adjustment to reduce the Ardmore </w:t>
      </w:r>
      <w:r w:rsidR="00097934">
        <w:t>Substation</w:t>
      </w:r>
      <w:r>
        <w:t xml:space="preserve"> by $13.6 </w:t>
      </w:r>
      <w:r w:rsidR="00ED74D1">
        <w:t>m</w:t>
      </w:r>
      <w:r>
        <w:t>illion.</w:t>
      </w:r>
      <w:r w:rsidR="00F26B15">
        <w:t xml:space="preserve"> </w:t>
      </w:r>
      <w:r w:rsidR="00FA2F6E">
        <w:t xml:space="preserve">As described in the </w:t>
      </w:r>
      <w:proofErr w:type="spellStart"/>
      <w:r w:rsidR="00ED74D1">
        <w:t>P</w:t>
      </w:r>
      <w:r w:rsidR="002779FA">
        <w:t>refiled</w:t>
      </w:r>
      <w:proofErr w:type="spellEnd"/>
      <w:r w:rsidR="002779FA">
        <w:t xml:space="preserve"> </w:t>
      </w:r>
      <w:r w:rsidR="00ED74D1">
        <w:t>R</w:t>
      </w:r>
      <w:r w:rsidR="002779FA">
        <w:t xml:space="preserve">ebuttal </w:t>
      </w:r>
      <w:r w:rsidR="00ED74D1">
        <w:t>T</w:t>
      </w:r>
      <w:r w:rsidR="002779FA">
        <w:t>estimony of Catherine A. Koch</w:t>
      </w:r>
      <w:r w:rsidR="00123C61">
        <w:t>,</w:t>
      </w:r>
      <w:r w:rsidR="002779FA">
        <w:t xml:space="preserve"> </w:t>
      </w:r>
      <w:r w:rsidR="009A1F59">
        <w:t xml:space="preserve">Exhibit CAK-4T, </w:t>
      </w:r>
      <w:r w:rsidR="00FA2F6E">
        <w:t>the project was constructed prudently and the ultimate costs are</w:t>
      </w:r>
      <w:r w:rsidR="00123C61">
        <w:t>,</w:t>
      </w:r>
      <w:r w:rsidR="00FA2F6E">
        <w:t xml:space="preserve"> in part</w:t>
      </w:r>
      <w:r w:rsidR="00123C61">
        <w:t>,</w:t>
      </w:r>
      <w:r w:rsidR="00FA2F6E">
        <w:t xml:space="preserve"> related to the expanded scope </w:t>
      </w:r>
      <w:r w:rsidR="00097934">
        <w:t xml:space="preserve">of the project, which included retiring </w:t>
      </w:r>
      <w:r w:rsidR="00FA2F6E">
        <w:t xml:space="preserve">the Interlaken </w:t>
      </w:r>
      <w:r w:rsidR="00097934">
        <w:t>S</w:t>
      </w:r>
      <w:r w:rsidR="00FA2F6E">
        <w:t>ubstation</w:t>
      </w:r>
      <w:r w:rsidR="00381306">
        <w:t xml:space="preserve"> </w:t>
      </w:r>
      <w:r w:rsidR="00097934">
        <w:t xml:space="preserve">and combining it </w:t>
      </w:r>
      <w:r w:rsidR="00FA2F6E">
        <w:t xml:space="preserve">within the Ardmore </w:t>
      </w:r>
      <w:r w:rsidR="00097934">
        <w:lastRenderedPageBreak/>
        <w:t xml:space="preserve">Substation </w:t>
      </w:r>
      <w:r w:rsidR="00FA2F6E">
        <w:t>footprint.</w:t>
      </w:r>
      <w:r w:rsidR="00F26B15">
        <w:t xml:space="preserve"> </w:t>
      </w:r>
      <w:r w:rsidR="0077523D">
        <w:t>Mr. </w:t>
      </w:r>
      <w:r w:rsidR="0099661A">
        <w:t>Mullins</w:t>
      </w:r>
      <w:r w:rsidR="00E462EF">
        <w:t>’</w:t>
      </w:r>
      <w:r w:rsidR="00FA2F6E">
        <w:t xml:space="preserve"> assertions are incorrect and his proposed adjustment should be rejected.</w:t>
      </w:r>
      <w:r w:rsidR="00F26B15">
        <w:t xml:space="preserve"> </w:t>
      </w:r>
    </w:p>
    <w:p w:rsidR="00C85070" w:rsidRDefault="00C85070" w:rsidP="00771706">
      <w:pPr>
        <w:pStyle w:val="Heading1"/>
      </w:pPr>
      <w:bookmarkStart w:id="68" w:name="_Toc490035623"/>
      <w:r>
        <w:t>VI.</w:t>
      </w:r>
      <w:r>
        <w:tab/>
      </w:r>
      <w:r w:rsidR="00FB5708">
        <w:t>C</w:t>
      </w:r>
      <w:r>
        <w:t>H</w:t>
      </w:r>
      <w:r w:rsidR="00FB5708">
        <w:t>A</w:t>
      </w:r>
      <w:r>
        <w:t>NGES BY PSE AT REBUTTAL</w:t>
      </w:r>
      <w:bookmarkEnd w:id="68"/>
    </w:p>
    <w:p w:rsidR="00E82D45" w:rsidRPr="00F421F5" w:rsidRDefault="00E82D45" w:rsidP="00821C61">
      <w:pPr>
        <w:pStyle w:val="question"/>
      </w:pPr>
      <w:r w:rsidRPr="00F421F5">
        <w:t>Q.</w:t>
      </w:r>
      <w:r w:rsidRPr="00F421F5">
        <w:tab/>
      </w:r>
      <w:r>
        <w:t xml:space="preserve">PSE had identified adjustments that it would </w:t>
      </w:r>
      <w:r w:rsidR="00DD7B30">
        <w:t>update over the course of the proceeding</w:t>
      </w:r>
      <w:r>
        <w:t>.</w:t>
      </w:r>
      <w:r w:rsidR="00F26B15">
        <w:t xml:space="preserve"> </w:t>
      </w:r>
      <w:r>
        <w:t xml:space="preserve">Has PSE </w:t>
      </w:r>
      <w:r w:rsidR="00DD7B30">
        <w:t xml:space="preserve">made </w:t>
      </w:r>
      <w:r>
        <w:t>these updates?</w:t>
      </w:r>
      <w:r w:rsidR="00F26B15">
        <w:t xml:space="preserve"> </w:t>
      </w:r>
    </w:p>
    <w:p w:rsidR="00E82D45" w:rsidRDefault="00E82D45" w:rsidP="00821C61">
      <w:pPr>
        <w:pStyle w:val="answer"/>
      </w:pPr>
      <w:r w:rsidRPr="008909AC">
        <w:t>A.</w:t>
      </w:r>
      <w:r w:rsidRPr="008909AC">
        <w:tab/>
        <w:t>No.</w:t>
      </w:r>
      <w:r w:rsidR="00F26B15">
        <w:t xml:space="preserve"> </w:t>
      </w:r>
      <w:r w:rsidR="00DD7B30">
        <w:t xml:space="preserve">When </w:t>
      </w:r>
      <w:r w:rsidR="00821C61">
        <w:t>PSE</w:t>
      </w:r>
      <w:r w:rsidR="00DD7B30">
        <w:t xml:space="preserve"> made its initial filing it recognized that a number of adjustments could require updating as better information became available over the course of the proceeding. </w:t>
      </w:r>
      <w:r w:rsidR="006B0F45">
        <w:t xml:space="preserve">The adjustments that originally contemplated updates that have not changed are the </w:t>
      </w:r>
      <w:r w:rsidR="00A159EF">
        <w:t xml:space="preserve">Property and Liability Insurance Adjustment </w:t>
      </w:r>
      <w:r w:rsidR="00D067AE">
        <w:t>KJB-20</w:t>
      </w:r>
      <w:r w:rsidR="00A159EF">
        <w:t xml:space="preserve">.14E and 15.14G, Employee Insurance Adjustment </w:t>
      </w:r>
      <w:r w:rsidR="00D067AE">
        <w:t>KJB-20</w:t>
      </w:r>
      <w:r w:rsidR="00A159EF">
        <w:t>.18E and 15.18G, South King Service Center Adjustment</w:t>
      </w:r>
      <w:r w:rsidR="005B163D">
        <w:t xml:space="preserve"> </w:t>
      </w:r>
      <w:r w:rsidR="00D067AE">
        <w:t>KJB-20</w:t>
      </w:r>
      <w:r w:rsidR="005B163D">
        <w:t>.21</w:t>
      </w:r>
      <w:r w:rsidR="007E6292">
        <w:t xml:space="preserve"> and 15.21G</w:t>
      </w:r>
      <w:r w:rsidR="005B163D">
        <w:t>,</w:t>
      </w:r>
      <w:r w:rsidR="00A159EF">
        <w:t xml:space="preserve"> </w:t>
      </w:r>
      <w:r w:rsidR="006B0F45">
        <w:t>Energy Imbalance Market</w:t>
      </w:r>
      <w:r w:rsidR="00A159EF">
        <w:t xml:space="preserve"> Adjustment </w:t>
      </w:r>
      <w:r w:rsidR="00454E08">
        <w:t>KJB-21</w:t>
      </w:r>
      <w:r w:rsidR="00A159EF">
        <w:t>.08</w:t>
      </w:r>
      <w:r w:rsidR="007851CE">
        <w:rPr>
          <w:rStyle w:val="FootnoteReference"/>
        </w:rPr>
        <w:footnoteReference w:id="125"/>
      </w:r>
      <w:r w:rsidR="005B163D">
        <w:t xml:space="preserve"> and </w:t>
      </w:r>
      <w:r w:rsidR="00A159EF">
        <w:t xml:space="preserve">Mint Farm Adjustment </w:t>
      </w:r>
      <w:r w:rsidR="00454E08">
        <w:t>KJB-21</w:t>
      </w:r>
      <w:r w:rsidR="00A159EF">
        <w:t>.10</w:t>
      </w:r>
      <w:r w:rsidR="006B0F45">
        <w:t>.</w:t>
      </w:r>
      <w:r w:rsidR="00F26B15">
        <w:t xml:space="preserve"> </w:t>
      </w:r>
      <w:r w:rsidR="006B0F45">
        <w:t xml:space="preserve">All of these adjustments are uncontested </w:t>
      </w:r>
      <w:r w:rsidR="00C9205A">
        <w:t xml:space="preserve">as to their amounts </w:t>
      </w:r>
      <w:r w:rsidR="006B0F45">
        <w:t>and c</w:t>
      </w:r>
      <w:r w:rsidR="00DD7B30">
        <w:t xml:space="preserve">onsidering the materiality thresholds </w:t>
      </w:r>
      <w:r w:rsidR="00821C61">
        <w:t xml:space="preserve">applied </w:t>
      </w:r>
      <w:r w:rsidR="00DD7B30">
        <w:t xml:space="preserve">by </w:t>
      </w:r>
      <w:r w:rsidR="00771706">
        <w:rPr>
          <w:bCs/>
        </w:rPr>
        <w:t xml:space="preserve">Commission </w:t>
      </w:r>
      <w:r w:rsidR="00771706">
        <w:t>Staff</w:t>
      </w:r>
      <w:r w:rsidR="006B0F45">
        <w:t xml:space="preserve">, none of the updates originally anticipated by </w:t>
      </w:r>
      <w:r w:rsidR="00821C61">
        <w:t>PSE</w:t>
      </w:r>
      <w:r w:rsidR="006B0F45">
        <w:t xml:space="preserve"> are </w:t>
      </w:r>
      <w:r>
        <w:t xml:space="preserve">materially different from the adjustments included in </w:t>
      </w:r>
      <w:r w:rsidR="00821C61">
        <w:t>PSE</w:t>
      </w:r>
      <w:r w:rsidR="00E462EF">
        <w:t>’</w:t>
      </w:r>
      <w:r w:rsidR="00821C61">
        <w:t xml:space="preserve">s </w:t>
      </w:r>
      <w:r>
        <w:t>supplemental filin</w:t>
      </w:r>
      <w:r w:rsidR="00A159EF">
        <w:t>g</w:t>
      </w:r>
      <w:r w:rsidR="006B0F45">
        <w:t>.</w:t>
      </w:r>
      <w:r w:rsidR="00F26B15">
        <w:t xml:space="preserve"> </w:t>
      </w:r>
      <w:r w:rsidR="006B0F45">
        <w:t>T</w:t>
      </w:r>
      <w:r w:rsidR="001B2971">
        <w:t>herefore</w:t>
      </w:r>
      <w:r w:rsidR="00821C61">
        <w:t>,</w:t>
      </w:r>
      <w:r w:rsidR="001B2971">
        <w:t xml:space="preserve"> </w:t>
      </w:r>
      <w:r w:rsidR="0077523D">
        <w:t>PSE</w:t>
      </w:r>
      <w:r w:rsidR="001B2971">
        <w:t xml:space="preserve"> has not proposed updates</w:t>
      </w:r>
      <w:r w:rsidR="00A159EF">
        <w:t xml:space="preserve"> for these adjustments in this rebuttal filing</w:t>
      </w:r>
      <w:r w:rsidRPr="008909AC">
        <w:t>.</w:t>
      </w:r>
    </w:p>
    <w:p w:rsidR="00831C37" w:rsidRDefault="00831C37" w:rsidP="00771706">
      <w:pPr>
        <w:pStyle w:val="Heading1"/>
      </w:pPr>
      <w:bookmarkStart w:id="69" w:name="_Toc490035624"/>
      <w:r>
        <w:lastRenderedPageBreak/>
        <w:t>VII.</w:t>
      </w:r>
      <w:r>
        <w:tab/>
      </w:r>
      <w:r w:rsidR="009A46CE">
        <w:t xml:space="preserve">USE OF </w:t>
      </w:r>
      <w:r w:rsidR="00B444F7">
        <w:t>PRODUCTION TAX CREDITS</w:t>
      </w:r>
      <w:r w:rsidR="009A46CE">
        <w:br/>
      </w:r>
      <w:r>
        <w:t xml:space="preserve">TO FUND COLSTRIP </w:t>
      </w:r>
      <w:r w:rsidR="00B444F7">
        <w:t>COSTS</w:t>
      </w:r>
      <w:bookmarkEnd w:id="69"/>
    </w:p>
    <w:p w:rsidR="00831C37" w:rsidRPr="00F421F5" w:rsidRDefault="00831C37" w:rsidP="001A2599">
      <w:pPr>
        <w:pStyle w:val="question"/>
      </w:pPr>
      <w:r w:rsidRPr="00F421F5">
        <w:t>Q.</w:t>
      </w:r>
      <w:r w:rsidRPr="00F421F5">
        <w:tab/>
      </w:r>
      <w:r>
        <w:t xml:space="preserve">Why has </w:t>
      </w:r>
      <w:r w:rsidR="0077523D">
        <w:t>PSE</w:t>
      </w:r>
      <w:r>
        <w:t xml:space="preserve"> proposed to repurpose both the </w:t>
      </w:r>
      <w:r w:rsidR="00637B19">
        <w:t>hydro-related T</w:t>
      </w:r>
      <w:r>
        <w:t xml:space="preserve">reasury Grants and Production Tax Credits to address </w:t>
      </w:r>
      <w:r w:rsidR="00DA6161">
        <w:t>Colstrip Units 1 </w:t>
      </w:r>
      <w:r w:rsidR="007D56A5">
        <w:rPr>
          <w:bCs/>
        </w:rPr>
        <w:t>and</w:t>
      </w:r>
      <w:r w:rsidR="00DA6161">
        <w:t xml:space="preserve"> 2 </w:t>
      </w:r>
      <w:r>
        <w:t>costs</w:t>
      </w:r>
      <w:r w:rsidR="005B163D">
        <w:t>?</w:t>
      </w:r>
    </w:p>
    <w:p w:rsidR="00157B23" w:rsidRDefault="00831C37" w:rsidP="001A2599">
      <w:pPr>
        <w:pStyle w:val="answer"/>
      </w:pPr>
      <w:r w:rsidRPr="00ED448B">
        <w:t>A.</w:t>
      </w:r>
      <w:r w:rsidRPr="00ED448B">
        <w:tab/>
        <w:t xml:space="preserve">As described </w:t>
      </w:r>
      <w:r w:rsidR="00157B23">
        <w:t xml:space="preserve">in both </w:t>
      </w:r>
      <w:r w:rsidR="00B444F7">
        <w:t xml:space="preserve">my </w:t>
      </w:r>
      <w:proofErr w:type="spellStart"/>
      <w:r w:rsidR="00D07350">
        <w:t>p</w:t>
      </w:r>
      <w:r w:rsidR="00157B23">
        <w:t>refiled</w:t>
      </w:r>
      <w:proofErr w:type="spellEnd"/>
      <w:r w:rsidR="00157B23">
        <w:t xml:space="preserve"> </w:t>
      </w:r>
      <w:r w:rsidR="00D07350">
        <w:t>d</w:t>
      </w:r>
      <w:r w:rsidR="00157B23">
        <w:t xml:space="preserve">irect </w:t>
      </w:r>
      <w:r w:rsidR="00D07350">
        <w:t>t</w:t>
      </w:r>
      <w:r w:rsidR="00157B23">
        <w:t xml:space="preserve">estimony </w:t>
      </w:r>
      <w:r w:rsidR="00B444F7">
        <w:t xml:space="preserve">and the </w:t>
      </w:r>
      <w:proofErr w:type="spellStart"/>
      <w:r w:rsidR="005B163D">
        <w:t>P</w:t>
      </w:r>
      <w:r w:rsidR="00B444F7">
        <w:t>refiled</w:t>
      </w:r>
      <w:proofErr w:type="spellEnd"/>
      <w:r w:rsidR="00B444F7">
        <w:t xml:space="preserve"> </w:t>
      </w:r>
      <w:r w:rsidR="005B163D">
        <w:t>D</w:t>
      </w:r>
      <w:r w:rsidR="00B444F7">
        <w:t xml:space="preserve">irect </w:t>
      </w:r>
      <w:r w:rsidR="005B163D">
        <w:t>T</w:t>
      </w:r>
      <w:r w:rsidR="00B444F7">
        <w:t xml:space="preserve">estimony </w:t>
      </w:r>
      <w:r w:rsidR="00157B23">
        <w:t xml:space="preserve">of </w:t>
      </w:r>
      <w:r w:rsidR="0077523D">
        <w:t>Mr. </w:t>
      </w:r>
      <w:r w:rsidR="00157B23">
        <w:t>Daniel A. Doyl</w:t>
      </w:r>
      <w:r w:rsidR="00B444F7">
        <w:t>e,</w:t>
      </w:r>
      <w:r w:rsidR="005B163D">
        <w:t xml:space="preserve"> Exhibit DAD-</w:t>
      </w:r>
      <w:r w:rsidR="008B44CD">
        <w:t>1T</w:t>
      </w:r>
      <w:r w:rsidR="005B163D">
        <w:t>,</w:t>
      </w:r>
      <w:r w:rsidR="00B444F7">
        <w:t xml:space="preserve"> </w:t>
      </w:r>
      <w:r w:rsidR="0077523D">
        <w:t>PSE</w:t>
      </w:r>
      <w:r w:rsidR="00E462EF">
        <w:t>’</w:t>
      </w:r>
      <w:r w:rsidR="00157B23">
        <w:t xml:space="preserve">s proposal </w:t>
      </w:r>
      <w:r w:rsidR="008B0C45">
        <w:t xml:space="preserve">serves </w:t>
      </w:r>
      <w:r w:rsidR="00157B23">
        <w:t xml:space="preserve">the purpose of mitigating negative rate impacts and intergenerational inequities that would otherwise occur </w:t>
      </w:r>
      <w:r w:rsidR="00D07350">
        <w:t>when addressing</w:t>
      </w:r>
      <w:r w:rsidR="00157B23">
        <w:t xml:space="preserve"> the remaining life of </w:t>
      </w:r>
      <w:r w:rsidR="00DA6161">
        <w:rPr>
          <w:rFonts w:eastAsia="SimSun"/>
        </w:rPr>
        <w:t>Colstrip Units 1 </w:t>
      </w:r>
      <w:r w:rsidR="007D56A5">
        <w:rPr>
          <w:bCs/>
        </w:rPr>
        <w:t>and</w:t>
      </w:r>
      <w:r w:rsidR="00DA6161">
        <w:rPr>
          <w:rFonts w:eastAsia="SimSun"/>
        </w:rPr>
        <w:t> 2</w:t>
      </w:r>
      <w:r w:rsidR="00157B23">
        <w:t>.</w:t>
      </w:r>
    </w:p>
    <w:p w:rsidR="00831C37" w:rsidRPr="009075DC" w:rsidRDefault="00831C37" w:rsidP="00831C37">
      <w:pPr>
        <w:pStyle w:val="question"/>
        <w:widowControl w:val="0"/>
      </w:pPr>
      <w:r w:rsidRPr="009075DC">
        <w:t>Q.</w:t>
      </w:r>
      <w:r w:rsidRPr="009075DC">
        <w:tab/>
      </w:r>
      <w:r w:rsidR="0077523D">
        <w:t>Mr. </w:t>
      </w:r>
      <w:r>
        <w:t xml:space="preserve">Hancock states that </w:t>
      </w:r>
      <w:r w:rsidR="00E462EF">
        <w:t>“</w:t>
      </w:r>
      <w:r>
        <w:t>intergenerational tradeoffs are simply unavoidable on this matter … and we are left with the task of mitigating intergenerational inequities, not resolving them.</w:t>
      </w:r>
      <w:r w:rsidR="00E462EF">
        <w:t>”</w:t>
      </w:r>
      <w:r w:rsidR="00C9205A">
        <w:rPr>
          <w:rStyle w:val="FootnoteReference"/>
        </w:rPr>
        <w:footnoteReference w:id="126"/>
      </w:r>
      <w:r w:rsidR="00F26B15">
        <w:t xml:space="preserve"> </w:t>
      </w:r>
      <w:r>
        <w:t>Do you agree with his statement?</w:t>
      </w:r>
    </w:p>
    <w:p w:rsidR="00537DF9" w:rsidRDefault="00831C37" w:rsidP="00831C37">
      <w:pPr>
        <w:pStyle w:val="answer"/>
        <w:rPr>
          <w:rFonts w:eastAsia="SimSun"/>
        </w:rPr>
      </w:pPr>
      <w:r w:rsidRPr="009075DC">
        <w:rPr>
          <w:rFonts w:eastAsia="SimSun"/>
        </w:rPr>
        <w:t>A.</w:t>
      </w:r>
      <w:r w:rsidRPr="009075DC">
        <w:rPr>
          <w:rFonts w:eastAsia="SimSun"/>
        </w:rPr>
        <w:tab/>
      </w:r>
      <w:r>
        <w:rPr>
          <w:rFonts w:eastAsia="SimSun"/>
        </w:rPr>
        <w:t>No</w:t>
      </w:r>
      <w:r w:rsidR="00537DF9">
        <w:rPr>
          <w:rFonts w:eastAsia="SimSun"/>
        </w:rPr>
        <w:t>, I do not agree with his statement</w:t>
      </w:r>
      <w:r>
        <w:rPr>
          <w:rFonts w:eastAsia="SimSun"/>
        </w:rPr>
        <w:t>.</w:t>
      </w:r>
      <w:r w:rsidR="00F26B15">
        <w:rPr>
          <w:rFonts w:eastAsia="SimSun"/>
        </w:rPr>
        <w:t xml:space="preserve"> </w:t>
      </w:r>
      <w:r w:rsidR="00F27986">
        <w:rPr>
          <w:rFonts w:eastAsia="SimSun"/>
        </w:rPr>
        <w:t>With respect to addressing the undepreciated balance of Colstrip Units 1 and 2</w:t>
      </w:r>
      <w:r w:rsidR="00537DF9">
        <w:rPr>
          <w:rFonts w:eastAsia="SimSun"/>
        </w:rPr>
        <w:t xml:space="preserve"> at its expected retirement date of July 1, 2022</w:t>
      </w:r>
      <w:r w:rsidR="00F27986">
        <w:rPr>
          <w:rFonts w:eastAsia="SimSun"/>
        </w:rPr>
        <w:t xml:space="preserve">, </w:t>
      </w:r>
      <w:r w:rsidR="00D07350">
        <w:rPr>
          <w:rFonts w:eastAsia="SimSun"/>
        </w:rPr>
        <w:t xml:space="preserve">I believe the </w:t>
      </w:r>
      <w:r w:rsidR="00F27986">
        <w:rPr>
          <w:rFonts w:eastAsia="SimSun"/>
        </w:rPr>
        <w:t>intergenerational inequities can be almost entirely avoided through the use of PTCs.</w:t>
      </w:r>
      <w:r w:rsidR="00381306">
        <w:rPr>
          <w:rFonts w:eastAsia="SimSun"/>
        </w:rPr>
        <w:t xml:space="preserve"> </w:t>
      </w:r>
      <w:r w:rsidR="00F27986">
        <w:rPr>
          <w:rFonts w:eastAsia="SimSun"/>
        </w:rPr>
        <w:t>Once they are monetized</w:t>
      </w:r>
      <w:r w:rsidR="00537DF9">
        <w:rPr>
          <w:rFonts w:eastAsia="SimSun"/>
        </w:rPr>
        <w:t xml:space="preserve"> on a tax return</w:t>
      </w:r>
      <w:r w:rsidR="00F27986">
        <w:rPr>
          <w:rFonts w:eastAsia="SimSun"/>
        </w:rPr>
        <w:t>, the PTCs can be</w:t>
      </w:r>
      <w:r>
        <w:rPr>
          <w:rFonts w:eastAsia="SimSun"/>
        </w:rPr>
        <w:t xml:space="preserve"> held in a separate retirement account</w:t>
      </w:r>
      <w:r w:rsidR="00537DF9">
        <w:rPr>
          <w:rFonts w:eastAsia="SimSun"/>
        </w:rPr>
        <w:t xml:space="preserve"> and applied towards</w:t>
      </w:r>
      <w:r w:rsidR="00032063">
        <w:rPr>
          <w:rFonts w:eastAsia="SimSun"/>
        </w:rPr>
        <w:t xml:space="preserve"> the undepreciated balance</w:t>
      </w:r>
      <w:r w:rsidR="00537DF9">
        <w:rPr>
          <w:rFonts w:eastAsia="SimSun"/>
        </w:rPr>
        <w:t>.</w:t>
      </w:r>
      <w:r w:rsidR="00381306">
        <w:rPr>
          <w:rFonts w:eastAsia="SimSun"/>
        </w:rPr>
        <w:t xml:space="preserve"> </w:t>
      </w:r>
      <w:r w:rsidR="007C7F4B">
        <w:rPr>
          <w:rFonts w:eastAsia="SimSun"/>
        </w:rPr>
        <w:t>Additionally, there may be opportunities to utilize the PTCs to address Colstrip Units 3 and 4 costs in a way that avoids intergenerational inequity</w:t>
      </w:r>
      <w:r w:rsidR="00381306">
        <w:rPr>
          <w:rFonts w:eastAsia="SimSun"/>
        </w:rPr>
        <w:t xml:space="preserve"> </w:t>
      </w:r>
      <w:r w:rsidR="007C7F4B">
        <w:rPr>
          <w:rFonts w:eastAsia="SimSun"/>
        </w:rPr>
        <w:t>as well.</w:t>
      </w:r>
    </w:p>
    <w:p w:rsidR="00537DF9" w:rsidRDefault="007C7F4B" w:rsidP="00537DF9">
      <w:pPr>
        <w:pStyle w:val="question"/>
      </w:pPr>
      <w:r>
        <w:lastRenderedPageBreak/>
        <w:t>Q.</w:t>
      </w:r>
      <w:r>
        <w:tab/>
        <w:t>How does the use of PTC</w:t>
      </w:r>
      <w:r w:rsidR="00537DF9">
        <w:t>s</w:t>
      </w:r>
      <w:r>
        <w:t xml:space="preserve"> to address Colstrip end of service issues</w:t>
      </w:r>
      <w:r w:rsidR="00537DF9">
        <w:t xml:space="preserve"> avoid intergenerational inequities?</w:t>
      </w:r>
    </w:p>
    <w:p w:rsidR="00831C37" w:rsidRDefault="00537DF9" w:rsidP="00831C37">
      <w:pPr>
        <w:pStyle w:val="answer"/>
        <w:rPr>
          <w:rFonts w:eastAsia="SimSun"/>
        </w:rPr>
      </w:pPr>
      <w:r>
        <w:rPr>
          <w:rFonts w:eastAsia="SimSun"/>
        </w:rPr>
        <w:t>A.</w:t>
      </w:r>
      <w:r>
        <w:rPr>
          <w:rFonts w:eastAsia="SimSun"/>
        </w:rPr>
        <w:tab/>
      </w:r>
      <w:r w:rsidR="00B444F7">
        <w:rPr>
          <w:rFonts w:eastAsia="SimSun"/>
        </w:rPr>
        <w:t>As discussed earlier in</w:t>
      </w:r>
      <w:r w:rsidR="005B163D">
        <w:rPr>
          <w:rFonts w:eastAsia="SimSun"/>
        </w:rPr>
        <w:t xml:space="preserve"> section V. B. of</w:t>
      </w:r>
      <w:r w:rsidR="00B444F7">
        <w:rPr>
          <w:rFonts w:eastAsia="SimSun"/>
        </w:rPr>
        <w:t xml:space="preserve"> my testimony, c</w:t>
      </w:r>
      <w:r w:rsidR="00831C37">
        <w:rPr>
          <w:rFonts w:eastAsia="SimSun"/>
        </w:rPr>
        <w:t>ustomers received the benefit of lower depreciation rates for all four Colstrip units during the 2009</w:t>
      </w:r>
      <w:r w:rsidR="00831C37">
        <w:rPr>
          <w:rStyle w:val="FootnoteReference"/>
          <w:rFonts w:eastAsia="SimSun"/>
        </w:rPr>
        <w:footnoteReference w:id="127"/>
      </w:r>
      <w:r w:rsidR="00831C37">
        <w:rPr>
          <w:rFonts w:eastAsia="SimSun"/>
        </w:rPr>
        <w:t xml:space="preserve"> through 2017 period due to the extension of the assets depreciable life to 60 years.</w:t>
      </w:r>
      <w:r w:rsidR="00F26B15">
        <w:rPr>
          <w:rFonts w:eastAsia="SimSun"/>
        </w:rPr>
        <w:t xml:space="preserve"> </w:t>
      </w:r>
      <w:r w:rsidR="005B163D">
        <w:rPr>
          <w:rFonts w:eastAsia="SimSun"/>
        </w:rPr>
        <w:t>Additionally, t</w:t>
      </w:r>
      <w:r w:rsidR="00831C37">
        <w:rPr>
          <w:rFonts w:eastAsia="SimSun"/>
        </w:rPr>
        <w:t xml:space="preserve">his period is closely aligned with the period that the PTCs were generated, but due to ongoing net operating losses </w:t>
      </w:r>
      <w:r w:rsidR="005B163D">
        <w:rPr>
          <w:rFonts w:eastAsia="SimSun"/>
        </w:rPr>
        <w:t xml:space="preserve">PSE has </w:t>
      </w:r>
      <w:r w:rsidR="00831C37">
        <w:rPr>
          <w:rFonts w:eastAsia="SimSun"/>
        </w:rPr>
        <w:t>not been able to be utilize</w:t>
      </w:r>
      <w:r w:rsidR="005B163D">
        <w:rPr>
          <w:rFonts w:eastAsia="SimSun"/>
        </w:rPr>
        <w:t xml:space="preserve"> these PTCs</w:t>
      </w:r>
      <w:r w:rsidR="00831C37">
        <w:rPr>
          <w:rFonts w:eastAsia="SimSun"/>
        </w:rPr>
        <w:t xml:space="preserve"> on </w:t>
      </w:r>
      <w:r w:rsidR="005B163D">
        <w:rPr>
          <w:rFonts w:eastAsia="SimSun"/>
        </w:rPr>
        <w:t>its</w:t>
      </w:r>
      <w:r w:rsidR="00DA6161">
        <w:rPr>
          <w:rFonts w:eastAsia="SimSun"/>
        </w:rPr>
        <w:t xml:space="preserve"> tax return.</w:t>
      </w:r>
      <w:r w:rsidR="00381306">
        <w:rPr>
          <w:rFonts w:eastAsia="SimSun"/>
        </w:rPr>
        <w:t xml:space="preserve"> </w:t>
      </w:r>
      <w:r w:rsidR="00032063">
        <w:rPr>
          <w:rFonts w:eastAsia="SimSun"/>
        </w:rPr>
        <w:t>The use of some of the monetized PTCs to address the undepreciated balance, is a reasonable approach.</w:t>
      </w:r>
    </w:p>
    <w:p w:rsidR="00831C37" w:rsidRDefault="00831C37" w:rsidP="00831C37">
      <w:pPr>
        <w:pStyle w:val="question"/>
        <w:widowControl w:val="0"/>
      </w:pPr>
      <w:r>
        <w:t>Q.</w:t>
      </w:r>
      <w:r>
        <w:tab/>
        <w:t xml:space="preserve">Does reserving the </w:t>
      </w:r>
      <w:r w:rsidR="003E2EE1">
        <w:t xml:space="preserve">monetized </w:t>
      </w:r>
      <w:r>
        <w:t>PTCs address other concerns identified by parties in planning for the eventual closure of the Colstrip facilities?</w:t>
      </w:r>
    </w:p>
    <w:p w:rsidR="00831C37" w:rsidRPr="00571AD8" w:rsidRDefault="000A2CE8" w:rsidP="00831C37">
      <w:pPr>
        <w:pStyle w:val="answer"/>
      </w:pPr>
      <w:r>
        <w:t>A.</w:t>
      </w:r>
      <w:r w:rsidR="00831C37">
        <w:rPr>
          <w:rFonts w:eastAsia="SimSun"/>
        </w:rPr>
        <w:tab/>
        <w:t>Yes.</w:t>
      </w:r>
      <w:r w:rsidR="00F26B15">
        <w:rPr>
          <w:rFonts w:eastAsia="SimSun"/>
        </w:rPr>
        <w:t xml:space="preserve"> </w:t>
      </w:r>
      <w:r w:rsidR="00831C37">
        <w:rPr>
          <w:rFonts w:eastAsia="SimSun"/>
        </w:rPr>
        <w:t xml:space="preserve">Both </w:t>
      </w:r>
      <w:proofErr w:type="spellStart"/>
      <w:r w:rsidR="00831C37">
        <w:rPr>
          <w:rFonts w:eastAsia="SimSun"/>
        </w:rPr>
        <w:t>NWEC</w:t>
      </w:r>
      <w:proofErr w:type="spellEnd"/>
      <w:r w:rsidR="00831C37">
        <w:rPr>
          <w:rFonts w:eastAsia="SimSun"/>
        </w:rPr>
        <w:t xml:space="preserve"> and Sierra Club </w:t>
      </w:r>
      <w:r w:rsidR="00D50DD9">
        <w:rPr>
          <w:rFonts w:eastAsia="SimSun"/>
        </w:rPr>
        <w:t>claim that</w:t>
      </w:r>
      <w:r w:rsidR="00831C37">
        <w:rPr>
          <w:rFonts w:eastAsia="SimSun"/>
        </w:rPr>
        <w:t xml:space="preserve"> better planning needs to occur for the eve</w:t>
      </w:r>
      <w:r w:rsidR="00687122">
        <w:rPr>
          <w:rFonts w:eastAsia="SimSun"/>
        </w:rPr>
        <w:t xml:space="preserve">ntual retirement of </w:t>
      </w:r>
      <w:r w:rsidR="00DA6161">
        <w:rPr>
          <w:rFonts w:eastAsia="SimSun"/>
        </w:rPr>
        <w:t>Colstrip Units 3 </w:t>
      </w:r>
      <w:r w:rsidR="007D56A5">
        <w:rPr>
          <w:bCs/>
        </w:rPr>
        <w:t>and</w:t>
      </w:r>
      <w:r w:rsidR="00DA6161">
        <w:rPr>
          <w:rFonts w:eastAsia="SimSun"/>
        </w:rPr>
        <w:t> 4</w:t>
      </w:r>
      <w:r w:rsidR="00831C37">
        <w:rPr>
          <w:rFonts w:eastAsia="SimSun"/>
        </w:rPr>
        <w:t xml:space="preserve"> and that there are lessons to be learned from the change in circumstances with </w:t>
      </w:r>
      <w:r w:rsidR="00DA6161">
        <w:rPr>
          <w:rFonts w:eastAsia="SimSun"/>
        </w:rPr>
        <w:t>Colstrip Units 1 </w:t>
      </w:r>
      <w:r w:rsidR="007D56A5">
        <w:rPr>
          <w:bCs/>
        </w:rPr>
        <w:t>and</w:t>
      </w:r>
      <w:r w:rsidR="00DA6161">
        <w:rPr>
          <w:rFonts w:eastAsia="SimSun"/>
        </w:rPr>
        <w:t> 2</w:t>
      </w:r>
      <w:r w:rsidR="00831C37">
        <w:rPr>
          <w:rFonts w:eastAsia="SimSun"/>
        </w:rPr>
        <w:t>.</w:t>
      </w:r>
      <w:r w:rsidR="00C9205A">
        <w:rPr>
          <w:rStyle w:val="FootnoteReference"/>
          <w:rFonts w:eastAsia="SimSun"/>
        </w:rPr>
        <w:footnoteReference w:id="128"/>
      </w:r>
      <w:r w:rsidR="00F26B15">
        <w:rPr>
          <w:rFonts w:eastAsia="SimSun"/>
        </w:rPr>
        <w:t xml:space="preserve"> </w:t>
      </w:r>
      <w:r w:rsidR="00831C37">
        <w:rPr>
          <w:rFonts w:eastAsia="SimSun"/>
        </w:rPr>
        <w:t xml:space="preserve">While I do not agree with their assessment that there was </w:t>
      </w:r>
      <w:r w:rsidR="00E462EF">
        <w:rPr>
          <w:rFonts w:eastAsia="SimSun"/>
        </w:rPr>
        <w:t>“</w:t>
      </w:r>
      <w:r w:rsidR="00831C37">
        <w:rPr>
          <w:rFonts w:eastAsia="SimSun"/>
        </w:rPr>
        <w:t>poor planning</w:t>
      </w:r>
      <w:r w:rsidR="00E462EF">
        <w:rPr>
          <w:rFonts w:eastAsia="SimSun"/>
        </w:rPr>
        <w:t>”</w:t>
      </w:r>
      <w:r w:rsidR="00831C37">
        <w:rPr>
          <w:rFonts w:eastAsia="SimSun"/>
        </w:rPr>
        <w:t xml:space="preserve"> around the retirement of </w:t>
      </w:r>
      <w:r w:rsidR="00DA6161">
        <w:rPr>
          <w:rFonts w:eastAsia="SimSun"/>
        </w:rPr>
        <w:t>Colstrip Units 1 </w:t>
      </w:r>
      <w:r w:rsidR="007D56A5">
        <w:rPr>
          <w:bCs/>
        </w:rPr>
        <w:t>and</w:t>
      </w:r>
      <w:r w:rsidR="00DA6161">
        <w:rPr>
          <w:rFonts w:eastAsia="SimSun"/>
        </w:rPr>
        <w:t> 2</w:t>
      </w:r>
      <w:r w:rsidR="00831C37">
        <w:rPr>
          <w:rFonts w:eastAsia="SimSun"/>
        </w:rPr>
        <w:t xml:space="preserve">, I do agree that planning for the uncertainty around the eventual retirement of the </w:t>
      </w:r>
      <w:r w:rsidR="00F26B15">
        <w:t>Colstrip Units 3 </w:t>
      </w:r>
      <w:r w:rsidR="007D56A5">
        <w:rPr>
          <w:bCs/>
        </w:rPr>
        <w:t>and</w:t>
      </w:r>
      <w:r w:rsidR="00F26B15">
        <w:t xml:space="preserve"> 4 </w:t>
      </w:r>
      <w:r w:rsidR="00831C37">
        <w:rPr>
          <w:rFonts w:eastAsia="SimSun"/>
        </w:rPr>
        <w:t>in order to minimize customer rate impacts is important.</w:t>
      </w:r>
      <w:r w:rsidR="00F26B15">
        <w:rPr>
          <w:rFonts w:eastAsia="SimSun"/>
        </w:rPr>
        <w:t xml:space="preserve"> </w:t>
      </w:r>
      <w:r w:rsidR="00831C37">
        <w:rPr>
          <w:rFonts w:eastAsia="SimSun"/>
        </w:rPr>
        <w:t xml:space="preserve">Retaining the PTCs </w:t>
      </w:r>
      <w:r w:rsidR="003E2EE1">
        <w:rPr>
          <w:rFonts w:eastAsia="SimSun"/>
        </w:rPr>
        <w:t xml:space="preserve">once they have been monetized, in </w:t>
      </w:r>
      <w:r w:rsidR="00831C37">
        <w:rPr>
          <w:rFonts w:eastAsia="SimSun"/>
        </w:rPr>
        <w:t>a separate retirement account</w:t>
      </w:r>
      <w:r w:rsidR="00F26B15">
        <w:rPr>
          <w:rFonts w:eastAsia="SimSun"/>
        </w:rPr>
        <w:t xml:space="preserve"> </w:t>
      </w:r>
      <w:r w:rsidR="00831C37">
        <w:rPr>
          <w:rFonts w:eastAsia="SimSun"/>
        </w:rPr>
        <w:t>that is a rate base offset is a way to</w:t>
      </w:r>
      <w:r w:rsidR="00F26B15">
        <w:rPr>
          <w:rFonts w:eastAsia="SimSun"/>
        </w:rPr>
        <w:t xml:space="preserve"> </w:t>
      </w:r>
      <w:r w:rsidR="005B163D">
        <w:rPr>
          <w:rFonts w:eastAsia="SimSun"/>
        </w:rPr>
        <w:t xml:space="preserve">achieve </w:t>
      </w:r>
      <w:r w:rsidR="00831C37">
        <w:rPr>
          <w:rFonts w:eastAsia="SimSun"/>
        </w:rPr>
        <w:t xml:space="preserve">that </w:t>
      </w:r>
      <w:r w:rsidR="00E462EF">
        <w:rPr>
          <w:rFonts w:eastAsia="SimSun"/>
        </w:rPr>
        <w:t>“</w:t>
      </w:r>
      <w:r w:rsidR="00831C37">
        <w:rPr>
          <w:rFonts w:eastAsia="SimSun"/>
        </w:rPr>
        <w:t>better planning</w:t>
      </w:r>
      <w:r w:rsidR="00E462EF">
        <w:rPr>
          <w:rFonts w:eastAsia="SimSun"/>
        </w:rPr>
        <w:t>”</w:t>
      </w:r>
      <w:r w:rsidR="008B0C45">
        <w:rPr>
          <w:rFonts w:eastAsia="SimSun"/>
        </w:rPr>
        <w:t xml:space="preserve"> </w:t>
      </w:r>
      <w:r w:rsidR="00831C37">
        <w:rPr>
          <w:rFonts w:eastAsia="SimSun"/>
        </w:rPr>
        <w:t xml:space="preserve">and will prevent any future intergenerational </w:t>
      </w:r>
      <w:r w:rsidR="00831C37">
        <w:rPr>
          <w:rFonts w:eastAsia="SimSun"/>
        </w:rPr>
        <w:lastRenderedPageBreak/>
        <w:t xml:space="preserve">equities that could occur should circumstances change that further shorten the life of any of the Colstrip </w:t>
      </w:r>
      <w:r w:rsidR="001523E2">
        <w:rPr>
          <w:rFonts w:eastAsia="SimSun"/>
        </w:rPr>
        <w:t>units</w:t>
      </w:r>
      <w:r w:rsidR="00831C37">
        <w:rPr>
          <w:rFonts w:eastAsia="SimSun"/>
        </w:rPr>
        <w:t>.</w:t>
      </w:r>
      <w:r w:rsidR="00F26B15">
        <w:rPr>
          <w:rFonts w:eastAsia="SimSun"/>
        </w:rPr>
        <w:t xml:space="preserve"> </w:t>
      </w:r>
      <w:r w:rsidR="003E2EE1">
        <w:rPr>
          <w:rFonts w:eastAsia="SimSun"/>
        </w:rPr>
        <w:t>Additionally, as I discussed earlier, the rate base offset treatment is representative to how the negative salvage and accumulated depreciation reserve would be treated.</w:t>
      </w:r>
    </w:p>
    <w:p w:rsidR="00831C37" w:rsidRDefault="00831C37" w:rsidP="00831C37">
      <w:pPr>
        <w:pStyle w:val="question"/>
        <w:widowControl w:val="0"/>
      </w:pPr>
      <w:r>
        <w:t>Q.</w:t>
      </w:r>
      <w:r>
        <w:tab/>
        <w:t>Did you originally propose to include the entire balance of monetized PTCs in the Colstrip retirement account to be establis</w:t>
      </w:r>
      <w:r w:rsidR="00C9205A">
        <w:t>hed under RCW 80.84.020(2)(a)</w:t>
      </w:r>
      <w:r w:rsidR="008F69EA">
        <w:t xml:space="preserve"> for decommissioning and remediation</w:t>
      </w:r>
      <w:r w:rsidR="00C9205A">
        <w:t xml:space="preserve">? </w:t>
      </w:r>
    </w:p>
    <w:p w:rsidR="00831C37" w:rsidRDefault="000A2CE8" w:rsidP="00831C37">
      <w:pPr>
        <w:pStyle w:val="answer"/>
        <w:rPr>
          <w:rFonts w:eastAsia="SimSun"/>
        </w:rPr>
      </w:pPr>
      <w:r>
        <w:t>A.</w:t>
      </w:r>
      <w:r w:rsidR="00831C37">
        <w:rPr>
          <w:rFonts w:eastAsia="SimSun"/>
        </w:rPr>
        <w:tab/>
        <w:t>Yes.</w:t>
      </w:r>
      <w:r w:rsidR="00F26B15">
        <w:rPr>
          <w:rFonts w:eastAsia="SimSun"/>
        </w:rPr>
        <w:t xml:space="preserve"> </w:t>
      </w:r>
      <w:r w:rsidR="00831C37">
        <w:rPr>
          <w:rFonts w:eastAsia="SimSun"/>
        </w:rPr>
        <w:t xml:space="preserve">However, since the existing </w:t>
      </w:r>
      <w:r w:rsidR="00637B19">
        <w:t>hydro-related T</w:t>
      </w:r>
      <w:r w:rsidR="00831C37">
        <w:rPr>
          <w:rFonts w:eastAsia="SimSun"/>
        </w:rPr>
        <w:t>reasury Grants</w:t>
      </w:r>
      <w:r w:rsidR="008B0C45">
        <w:rPr>
          <w:rFonts w:eastAsia="SimSun"/>
        </w:rPr>
        <w:t xml:space="preserve"> addressed in Adjustment</w:t>
      </w:r>
      <w:r w:rsidR="00454E08">
        <w:rPr>
          <w:rFonts w:eastAsia="SimSun"/>
        </w:rPr>
        <w:t> KJB-21</w:t>
      </w:r>
      <w:r w:rsidR="008B0C45">
        <w:rPr>
          <w:rFonts w:eastAsia="SimSun"/>
        </w:rPr>
        <w:t xml:space="preserve">.12 </w:t>
      </w:r>
      <w:r w:rsidR="00831C37">
        <w:rPr>
          <w:rFonts w:eastAsia="SimSun"/>
        </w:rPr>
        <w:t xml:space="preserve">fund nearly all of the estimated </w:t>
      </w:r>
      <w:r w:rsidR="001523E2">
        <w:rPr>
          <w:rFonts w:eastAsia="SimSun"/>
        </w:rPr>
        <w:t>d</w:t>
      </w:r>
      <w:r w:rsidR="00831C37">
        <w:rPr>
          <w:rFonts w:eastAsia="SimSun"/>
        </w:rPr>
        <w:t xml:space="preserve">ecommissioning and </w:t>
      </w:r>
      <w:r w:rsidR="001523E2">
        <w:rPr>
          <w:rFonts w:eastAsia="SimSun"/>
        </w:rPr>
        <w:t>r</w:t>
      </w:r>
      <w:r w:rsidR="00831C37">
        <w:rPr>
          <w:rFonts w:eastAsia="SimSun"/>
        </w:rPr>
        <w:t xml:space="preserve">emediation </w:t>
      </w:r>
      <w:r w:rsidR="001523E2">
        <w:rPr>
          <w:rFonts w:eastAsia="SimSun"/>
        </w:rPr>
        <w:t xml:space="preserve">costs </w:t>
      </w:r>
      <w:r w:rsidR="00831C37">
        <w:rPr>
          <w:rFonts w:eastAsia="SimSun"/>
        </w:rPr>
        <w:t xml:space="preserve">for </w:t>
      </w:r>
      <w:r w:rsidR="00F26B15">
        <w:t>Colstrip Units 1 </w:t>
      </w:r>
      <w:r w:rsidR="007D56A5">
        <w:rPr>
          <w:bCs/>
        </w:rPr>
        <w:t>and</w:t>
      </w:r>
      <w:r w:rsidR="00F26B15">
        <w:t> 2</w:t>
      </w:r>
      <w:r w:rsidR="00D50DD9">
        <w:rPr>
          <w:rFonts w:eastAsia="SimSun"/>
        </w:rPr>
        <w:t xml:space="preserve">, I believe </w:t>
      </w:r>
      <w:r w:rsidR="00831C37">
        <w:rPr>
          <w:rFonts w:eastAsia="SimSun"/>
        </w:rPr>
        <w:t xml:space="preserve">it would be appropriate to place the </w:t>
      </w:r>
      <w:r w:rsidR="003921A6">
        <w:rPr>
          <w:rFonts w:eastAsia="SimSun"/>
        </w:rPr>
        <w:t xml:space="preserve">monetized </w:t>
      </w:r>
      <w:r w:rsidR="00831C37">
        <w:rPr>
          <w:rFonts w:eastAsia="SimSun"/>
        </w:rPr>
        <w:t xml:space="preserve">PTCs in a retirement account, </w:t>
      </w:r>
      <w:r w:rsidR="00C9205A">
        <w:rPr>
          <w:rFonts w:eastAsia="SimSun"/>
        </w:rPr>
        <w:t xml:space="preserve">separate from the </w:t>
      </w:r>
      <w:r w:rsidR="0026729B">
        <w:rPr>
          <w:rFonts w:eastAsia="SimSun"/>
        </w:rPr>
        <w:t xml:space="preserve">decommissioning and remediation </w:t>
      </w:r>
      <w:r w:rsidR="009971D2">
        <w:rPr>
          <w:rFonts w:eastAsia="SimSun"/>
        </w:rPr>
        <w:t>retirement account established under RCW 80.84.020(2)(a)</w:t>
      </w:r>
      <w:r w:rsidR="0026729B">
        <w:rPr>
          <w:rFonts w:eastAsia="SimSun"/>
        </w:rPr>
        <w:t xml:space="preserve"> that is funded using the Treasury Grants</w:t>
      </w:r>
      <w:r w:rsidR="00D50DD9">
        <w:rPr>
          <w:rFonts w:eastAsia="SimSun"/>
        </w:rPr>
        <w:t>.</w:t>
      </w:r>
      <w:r w:rsidR="00381306">
        <w:rPr>
          <w:rFonts w:eastAsia="SimSun"/>
        </w:rPr>
        <w:t xml:space="preserve"> </w:t>
      </w:r>
      <w:r w:rsidR="00D50DD9">
        <w:rPr>
          <w:rFonts w:eastAsia="SimSun"/>
        </w:rPr>
        <w:t xml:space="preserve">This retirement account would be </w:t>
      </w:r>
      <w:r w:rsidR="00831C37">
        <w:rPr>
          <w:rFonts w:eastAsia="SimSun"/>
        </w:rPr>
        <w:t>treat</w:t>
      </w:r>
      <w:r w:rsidR="00D50DD9">
        <w:rPr>
          <w:rFonts w:eastAsia="SimSun"/>
        </w:rPr>
        <w:t xml:space="preserve">ed </w:t>
      </w:r>
      <w:r w:rsidR="00831C37">
        <w:rPr>
          <w:rFonts w:eastAsia="SimSun"/>
        </w:rPr>
        <w:t>as a rate</w:t>
      </w:r>
      <w:r w:rsidR="005B163D">
        <w:rPr>
          <w:rFonts w:eastAsia="SimSun"/>
        </w:rPr>
        <w:t xml:space="preserve"> </w:t>
      </w:r>
      <w:r w:rsidR="00831C37">
        <w:rPr>
          <w:rFonts w:eastAsia="SimSun"/>
        </w:rPr>
        <w:t>base offset</w:t>
      </w:r>
      <w:r w:rsidR="008B0C45">
        <w:rPr>
          <w:rFonts w:eastAsia="SimSun"/>
        </w:rPr>
        <w:t xml:space="preserve">, like the dedicated decommissioning and remediation account, </w:t>
      </w:r>
      <w:r w:rsidR="00D50DD9">
        <w:rPr>
          <w:rFonts w:eastAsia="SimSun"/>
        </w:rPr>
        <w:t xml:space="preserve">but could be used </w:t>
      </w:r>
      <w:r w:rsidR="00831C37">
        <w:rPr>
          <w:rFonts w:eastAsia="SimSun"/>
        </w:rPr>
        <w:t>to address any under</w:t>
      </w:r>
      <w:r w:rsidR="008B0C45">
        <w:rPr>
          <w:rFonts w:eastAsia="SimSun"/>
        </w:rPr>
        <w:t xml:space="preserve"> </w:t>
      </w:r>
      <w:r w:rsidR="00831C37">
        <w:rPr>
          <w:rFonts w:eastAsia="SimSun"/>
        </w:rPr>
        <w:t xml:space="preserve">recovered plant balances associated with Colstrip </w:t>
      </w:r>
      <w:r w:rsidR="00F26B15">
        <w:rPr>
          <w:rFonts w:eastAsia="SimSun"/>
        </w:rPr>
        <w:t>(</w:t>
      </w:r>
      <w:r w:rsidR="005B163D">
        <w:rPr>
          <w:rFonts w:eastAsia="SimSun"/>
        </w:rPr>
        <w:t>Units</w:t>
      </w:r>
      <w:r w:rsidR="00F26B15">
        <w:rPr>
          <w:rFonts w:eastAsia="SimSun"/>
        </w:rPr>
        <w:t> </w:t>
      </w:r>
      <w:r w:rsidR="00831C37">
        <w:rPr>
          <w:rFonts w:eastAsia="SimSun"/>
        </w:rPr>
        <w:t>1 thr</w:t>
      </w:r>
      <w:r w:rsidR="00F26B15">
        <w:rPr>
          <w:rFonts w:eastAsia="SimSun"/>
        </w:rPr>
        <w:t>ough</w:t>
      </w:r>
      <w:r w:rsidR="00831C37">
        <w:rPr>
          <w:rFonts w:eastAsia="SimSun"/>
        </w:rPr>
        <w:t xml:space="preserve"> 4</w:t>
      </w:r>
      <w:r w:rsidR="00F26B15">
        <w:rPr>
          <w:rFonts w:eastAsia="SimSun"/>
        </w:rPr>
        <w:t xml:space="preserve">) </w:t>
      </w:r>
      <w:r w:rsidR="00831C37">
        <w:rPr>
          <w:rFonts w:eastAsia="SimSun"/>
        </w:rPr>
        <w:t xml:space="preserve">facilities that may arise. </w:t>
      </w:r>
    </w:p>
    <w:p w:rsidR="008F69EA" w:rsidRDefault="008F69EA" w:rsidP="008F69EA">
      <w:pPr>
        <w:pStyle w:val="question"/>
      </w:pPr>
      <w:r>
        <w:t>Q.</w:t>
      </w:r>
      <w:r>
        <w:tab/>
        <w:t>Do you agree with Mr. Hancock that once funds are placed into a retirement account established under RCW 80.84.020(2)(a), the funds may not be used for any purpose other than decommissioning and remediation?</w:t>
      </w:r>
    </w:p>
    <w:p w:rsidR="008F69EA" w:rsidRPr="008F69EA" w:rsidRDefault="008F69EA" w:rsidP="008F69EA">
      <w:pPr>
        <w:pStyle w:val="answer"/>
        <w:rPr>
          <w:rFonts w:eastAsia="SimSun"/>
        </w:rPr>
      </w:pPr>
      <w:r>
        <w:rPr>
          <w:rFonts w:eastAsia="SimSun"/>
        </w:rPr>
        <w:t>A.</w:t>
      </w:r>
      <w:r>
        <w:rPr>
          <w:rFonts w:eastAsia="SimSun"/>
        </w:rPr>
        <w:tab/>
        <w:t xml:space="preserve">Yes, </w:t>
      </w:r>
      <w:r>
        <w:t xml:space="preserve">Mr. Hancock is correct that once placed in a retirement account established under RCW 80.84.020(2)(a) the funds may not be utilized for any purpose other than decommissioning and remediation costs associated with an eligible coal unit. </w:t>
      </w:r>
      <w:r>
        <w:lastRenderedPageBreak/>
        <w:t>However, this does not prevent the Commission from allowing the PTCs to be included in a retirement account</w:t>
      </w:r>
      <w:r w:rsidR="00D50DD9">
        <w:t>, separate and apart from an account created pursuant to RCW 80.84.020(2),</w:t>
      </w:r>
      <w:r>
        <w:t xml:space="preserve"> to be used to address any unrecovered plant balances associated with the Colstrip facilities</w:t>
      </w:r>
      <w:r w:rsidR="00D50DD9">
        <w:t>.</w:t>
      </w:r>
    </w:p>
    <w:p w:rsidR="00831C37" w:rsidRDefault="00831C37" w:rsidP="00831C37">
      <w:pPr>
        <w:pStyle w:val="question"/>
        <w:widowControl w:val="0"/>
      </w:pPr>
      <w:r>
        <w:t>Q.</w:t>
      </w:r>
      <w:r>
        <w:tab/>
        <w:t xml:space="preserve">Will that leave the </w:t>
      </w:r>
      <w:r w:rsidR="00F26B15">
        <w:t>Colstrip Units 1 </w:t>
      </w:r>
      <w:r w:rsidR="007D56A5">
        <w:rPr>
          <w:bCs/>
        </w:rPr>
        <w:t>and</w:t>
      </w:r>
      <w:r w:rsidR="00F26B15">
        <w:t xml:space="preserve"> 2 </w:t>
      </w:r>
      <w:r w:rsidR="00034466">
        <w:t>de</w:t>
      </w:r>
      <w:r>
        <w:t xml:space="preserve">commissioning and </w:t>
      </w:r>
      <w:r w:rsidR="00034466">
        <w:t>r</w:t>
      </w:r>
      <w:r w:rsidR="00F26B15">
        <w:t>emediation funds underfunded?</w:t>
      </w:r>
    </w:p>
    <w:p w:rsidR="00831C37" w:rsidRDefault="000A2CE8" w:rsidP="00831C37">
      <w:pPr>
        <w:pStyle w:val="answer"/>
        <w:rPr>
          <w:rFonts w:eastAsia="SimSun"/>
        </w:rPr>
      </w:pPr>
      <w:r>
        <w:t>A.</w:t>
      </w:r>
      <w:r w:rsidR="00831C37">
        <w:rPr>
          <w:rFonts w:eastAsia="SimSun"/>
        </w:rPr>
        <w:tab/>
        <w:t>Not necessarily.</w:t>
      </w:r>
      <w:r w:rsidR="00F26B15">
        <w:rPr>
          <w:rFonts w:eastAsia="SimSun"/>
        </w:rPr>
        <w:t xml:space="preserve"> </w:t>
      </w:r>
      <w:r w:rsidR="00831C37">
        <w:rPr>
          <w:rFonts w:eastAsia="SimSun"/>
        </w:rPr>
        <w:t xml:space="preserve">As identified in the </w:t>
      </w:r>
      <w:proofErr w:type="spellStart"/>
      <w:r w:rsidR="00A472D4">
        <w:rPr>
          <w:rFonts w:eastAsia="SimSun"/>
        </w:rPr>
        <w:t>Prefiled</w:t>
      </w:r>
      <w:proofErr w:type="spellEnd"/>
      <w:r w:rsidR="00A472D4">
        <w:rPr>
          <w:rFonts w:eastAsia="SimSun"/>
        </w:rPr>
        <w:t xml:space="preserve"> D</w:t>
      </w:r>
      <w:r w:rsidR="00831C37">
        <w:rPr>
          <w:rFonts w:eastAsia="SimSun"/>
        </w:rPr>
        <w:t xml:space="preserve">irect </w:t>
      </w:r>
      <w:r w:rsidR="00A472D4">
        <w:rPr>
          <w:rFonts w:eastAsia="SimSun"/>
        </w:rPr>
        <w:t>T</w:t>
      </w:r>
      <w:r w:rsidR="00831C37">
        <w:rPr>
          <w:rFonts w:eastAsia="SimSun"/>
        </w:rPr>
        <w:t xml:space="preserve">estimony of </w:t>
      </w:r>
      <w:r w:rsidR="0077523D">
        <w:t>Mr. </w:t>
      </w:r>
      <w:r w:rsidR="00A472D4">
        <w:rPr>
          <w:rFonts w:eastAsia="SimSun"/>
        </w:rPr>
        <w:t>Dan</w:t>
      </w:r>
      <w:r w:rsidR="00034466">
        <w:rPr>
          <w:rFonts w:eastAsia="SimSun"/>
        </w:rPr>
        <w:t>iel</w:t>
      </w:r>
      <w:r w:rsidR="00A472D4">
        <w:rPr>
          <w:rFonts w:eastAsia="SimSun"/>
        </w:rPr>
        <w:t xml:space="preserve"> A. </w:t>
      </w:r>
      <w:r w:rsidR="00831C37">
        <w:rPr>
          <w:rFonts w:eastAsia="SimSun"/>
        </w:rPr>
        <w:t xml:space="preserve">Doyle, </w:t>
      </w:r>
      <w:r w:rsidR="00A472D4">
        <w:rPr>
          <w:rFonts w:eastAsia="SimSun"/>
        </w:rPr>
        <w:t xml:space="preserve">Exhibit DAD-1T, </w:t>
      </w:r>
      <w:r w:rsidR="00831C37">
        <w:rPr>
          <w:rFonts w:eastAsia="SimSun"/>
        </w:rPr>
        <w:t>at this time it is estimated that only $11 million of the PTCs would be needed to fund the decommissioning and</w:t>
      </w:r>
      <w:r w:rsidR="00687122">
        <w:rPr>
          <w:rFonts w:eastAsia="SimSun"/>
        </w:rPr>
        <w:t xml:space="preserve"> remediation costs for </w:t>
      </w:r>
      <w:r w:rsidR="00F26B15">
        <w:t>Colstrip Units 1 </w:t>
      </w:r>
      <w:r w:rsidR="007D56A5">
        <w:rPr>
          <w:bCs/>
        </w:rPr>
        <w:t>and</w:t>
      </w:r>
      <w:r w:rsidR="00F26B15">
        <w:t> 2</w:t>
      </w:r>
      <w:r w:rsidR="00831C37">
        <w:rPr>
          <w:rFonts w:eastAsia="SimSun"/>
        </w:rPr>
        <w:t>.</w:t>
      </w:r>
      <w:r w:rsidR="00F26B15">
        <w:rPr>
          <w:rFonts w:eastAsia="SimSun"/>
        </w:rPr>
        <w:t xml:space="preserve"> </w:t>
      </w:r>
      <w:r w:rsidR="00831C37">
        <w:rPr>
          <w:rFonts w:eastAsia="SimSun"/>
        </w:rPr>
        <w:t xml:space="preserve">By retaining all monetized PTCs in a retirement </w:t>
      </w:r>
      <w:r w:rsidR="00A472D4">
        <w:rPr>
          <w:rFonts w:eastAsia="SimSun"/>
        </w:rPr>
        <w:t xml:space="preserve">account </w:t>
      </w:r>
      <w:r w:rsidR="00831C37">
        <w:rPr>
          <w:rFonts w:eastAsia="SimSun"/>
        </w:rPr>
        <w:t xml:space="preserve">separate from the Treasury Grants, the Commission would have the flexibility to address what portion of the PTCs should be designated </w:t>
      </w:r>
      <w:r w:rsidR="008D1AC1">
        <w:rPr>
          <w:rFonts w:eastAsia="SimSun"/>
        </w:rPr>
        <w:t xml:space="preserve">for decommissioning and remediation </w:t>
      </w:r>
      <w:r w:rsidR="00831C37">
        <w:rPr>
          <w:rFonts w:eastAsia="SimSun"/>
        </w:rPr>
        <w:t>at a later date.</w:t>
      </w:r>
      <w:r w:rsidR="00F26B15">
        <w:rPr>
          <w:rFonts w:eastAsia="SimSun"/>
        </w:rPr>
        <w:t xml:space="preserve"> </w:t>
      </w:r>
    </w:p>
    <w:p w:rsidR="00831C37" w:rsidRDefault="00831C37" w:rsidP="00831C37">
      <w:pPr>
        <w:pStyle w:val="question"/>
        <w:widowControl w:val="0"/>
      </w:pPr>
      <w:r>
        <w:t>Q.</w:t>
      </w:r>
      <w:r>
        <w:tab/>
        <w:t xml:space="preserve">Would the accounting </w:t>
      </w:r>
      <w:r w:rsidR="0026729B">
        <w:t xml:space="preserve">for this PTC retirement account </w:t>
      </w:r>
      <w:r>
        <w:t xml:space="preserve">be different than that proposed in your </w:t>
      </w:r>
      <w:proofErr w:type="spellStart"/>
      <w:r>
        <w:t>prefiled</w:t>
      </w:r>
      <w:proofErr w:type="spellEnd"/>
      <w:r>
        <w:t xml:space="preserve"> direct testimony?</w:t>
      </w:r>
      <w:r w:rsidR="00F26B15">
        <w:t xml:space="preserve"> </w:t>
      </w:r>
    </w:p>
    <w:p w:rsidR="00831C37" w:rsidRPr="00931C7F" w:rsidRDefault="000A2CE8" w:rsidP="00831C37">
      <w:pPr>
        <w:pStyle w:val="answer"/>
        <w:rPr>
          <w:rFonts w:eastAsia="SimSun"/>
          <w:b/>
        </w:rPr>
      </w:pPr>
      <w:r>
        <w:t>A.</w:t>
      </w:r>
      <w:r w:rsidR="00831C37">
        <w:rPr>
          <w:rFonts w:eastAsia="SimSun"/>
        </w:rPr>
        <w:tab/>
        <w:t>No, the only difference is that a separate account would be established to track the PTCs once they were monetized.</w:t>
      </w:r>
      <w:r w:rsidR="00F26B15">
        <w:rPr>
          <w:rFonts w:eastAsia="SimSun"/>
        </w:rPr>
        <w:t xml:space="preserve"> </w:t>
      </w:r>
      <w:r w:rsidR="00831C37">
        <w:rPr>
          <w:rFonts w:eastAsia="SimSun"/>
        </w:rPr>
        <w:t xml:space="preserve">My direct testimony, envisioned that once the PTCs were utilized for tax purposes that instead of passing the funds back through a Schedule 95A rate change, </w:t>
      </w:r>
      <w:r w:rsidR="00034466">
        <w:rPr>
          <w:rFonts w:eastAsia="SimSun"/>
        </w:rPr>
        <w:t>PSE</w:t>
      </w:r>
      <w:r w:rsidR="00831C37">
        <w:rPr>
          <w:rFonts w:eastAsia="SimSun"/>
        </w:rPr>
        <w:t xml:space="preserve"> would credit </w:t>
      </w:r>
      <w:r w:rsidR="008D1AC1">
        <w:rPr>
          <w:rFonts w:eastAsia="SimSun"/>
        </w:rPr>
        <w:t xml:space="preserve">the </w:t>
      </w:r>
      <w:r w:rsidR="00831C37">
        <w:rPr>
          <w:rFonts w:eastAsia="SimSun"/>
        </w:rPr>
        <w:t>FERC 108 retirement account</w:t>
      </w:r>
      <w:r w:rsidR="008D1AC1">
        <w:rPr>
          <w:rFonts w:eastAsia="SimSun"/>
        </w:rPr>
        <w:t xml:space="preserve"> established for </w:t>
      </w:r>
      <w:r w:rsidR="00FD0E40">
        <w:rPr>
          <w:rFonts w:eastAsia="SimSun"/>
        </w:rPr>
        <w:t xml:space="preserve">Colstrip </w:t>
      </w:r>
      <w:r w:rsidR="00DA6161">
        <w:rPr>
          <w:rFonts w:eastAsia="SimSun"/>
        </w:rPr>
        <w:t>Units </w:t>
      </w:r>
      <w:r w:rsidR="00FD0E40">
        <w:rPr>
          <w:rFonts w:eastAsia="SimSun"/>
        </w:rPr>
        <w:t>1</w:t>
      </w:r>
      <w:r w:rsidR="00DA6161">
        <w:rPr>
          <w:rFonts w:eastAsia="SimSun"/>
        </w:rPr>
        <w:t> </w:t>
      </w:r>
      <w:r w:rsidR="007D56A5">
        <w:rPr>
          <w:bCs/>
        </w:rPr>
        <w:t>and</w:t>
      </w:r>
      <w:r w:rsidR="00DA6161">
        <w:rPr>
          <w:rFonts w:eastAsia="SimSun"/>
        </w:rPr>
        <w:t> </w:t>
      </w:r>
      <w:r w:rsidR="00FD0E40">
        <w:rPr>
          <w:rFonts w:eastAsia="SimSun"/>
        </w:rPr>
        <w:t>2</w:t>
      </w:r>
      <w:r w:rsidR="00831C37">
        <w:rPr>
          <w:rFonts w:eastAsia="SimSun"/>
        </w:rPr>
        <w:t>.</w:t>
      </w:r>
      <w:r w:rsidR="00034466">
        <w:rPr>
          <w:rStyle w:val="FootnoteReference"/>
          <w:rFonts w:eastAsia="SimSun"/>
        </w:rPr>
        <w:footnoteReference w:id="129"/>
      </w:r>
      <w:r w:rsidR="00F26B15">
        <w:rPr>
          <w:rFonts w:eastAsia="SimSun"/>
        </w:rPr>
        <w:t xml:space="preserve"> </w:t>
      </w:r>
      <w:r w:rsidR="008D1AC1">
        <w:rPr>
          <w:rFonts w:eastAsia="SimSun"/>
        </w:rPr>
        <w:t>In light of</w:t>
      </w:r>
      <w:r w:rsidR="008D1AC1" w:rsidRPr="008D1AC1">
        <w:rPr>
          <w:rFonts w:eastAsia="SimSun"/>
        </w:rPr>
        <w:t xml:space="preserve"> </w:t>
      </w:r>
      <w:r w:rsidR="008D1AC1">
        <w:rPr>
          <w:rFonts w:eastAsia="SimSun"/>
        </w:rPr>
        <w:t xml:space="preserve">the concerns identified by </w:t>
      </w:r>
      <w:r w:rsidR="008D1AC1">
        <w:rPr>
          <w:rFonts w:eastAsia="SimSun"/>
        </w:rPr>
        <w:lastRenderedPageBreak/>
        <w:t xml:space="preserve">both </w:t>
      </w:r>
      <w:r w:rsidR="0077523D">
        <w:t>Mr. </w:t>
      </w:r>
      <w:r w:rsidR="008D1AC1">
        <w:rPr>
          <w:rFonts w:eastAsia="SimSun"/>
        </w:rPr>
        <w:t xml:space="preserve">Hancock and </w:t>
      </w:r>
      <w:r w:rsidR="0077523D">
        <w:t>Mr. </w:t>
      </w:r>
      <w:r w:rsidR="008D1AC1">
        <w:rPr>
          <w:rFonts w:eastAsia="SimSun"/>
        </w:rPr>
        <w:t>Mullins that once the funds are placed in the RCW 80.84.020(2)(a) retirement account they may not be redistributed until all remediation is completed,</w:t>
      </w:r>
      <w:r w:rsidR="0026729B">
        <w:rPr>
          <w:rStyle w:val="FootnoteReference"/>
          <w:rFonts w:eastAsia="SimSun"/>
        </w:rPr>
        <w:footnoteReference w:id="130"/>
      </w:r>
      <w:r w:rsidR="008D1AC1">
        <w:rPr>
          <w:rFonts w:eastAsia="SimSun"/>
        </w:rPr>
        <w:t xml:space="preserve"> the monetized PTCs could be placed into a separate </w:t>
      </w:r>
      <w:r w:rsidR="00831C37">
        <w:rPr>
          <w:rFonts w:eastAsia="SimSun"/>
        </w:rPr>
        <w:t>FERC 108</w:t>
      </w:r>
      <w:r w:rsidR="008D1AC1">
        <w:rPr>
          <w:rFonts w:eastAsia="SimSun"/>
        </w:rPr>
        <w:t xml:space="preserve"> </w:t>
      </w:r>
      <w:r w:rsidR="00A472D4">
        <w:rPr>
          <w:rFonts w:eastAsia="SimSun"/>
        </w:rPr>
        <w:t>account</w:t>
      </w:r>
      <w:r w:rsidR="008D1AC1">
        <w:rPr>
          <w:rFonts w:eastAsia="SimSun"/>
        </w:rPr>
        <w:t xml:space="preserve"> but still treated as a rate base offset as discussed in my </w:t>
      </w:r>
      <w:proofErr w:type="spellStart"/>
      <w:r w:rsidR="00D50DD9">
        <w:rPr>
          <w:rFonts w:eastAsia="SimSun"/>
        </w:rPr>
        <w:t>p</w:t>
      </w:r>
      <w:r w:rsidR="00A472D4">
        <w:rPr>
          <w:rFonts w:eastAsia="SimSun"/>
        </w:rPr>
        <w:t>refiled</w:t>
      </w:r>
      <w:proofErr w:type="spellEnd"/>
      <w:r w:rsidR="00A472D4">
        <w:rPr>
          <w:rFonts w:eastAsia="SimSun"/>
        </w:rPr>
        <w:t xml:space="preserve"> </w:t>
      </w:r>
      <w:r w:rsidR="00D50DD9">
        <w:rPr>
          <w:rFonts w:eastAsia="SimSun"/>
        </w:rPr>
        <w:t>d</w:t>
      </w:r>
      <w:r w:rsidR="008D1AC1">
        <w:rPr>
          <w:rFonts w:eastAsia="SimSun"/>
        </w:rPr>
        <w:t xml:space="preserve">irect </w:t>
      </w:r>
      <w:r w:rsidR="00D50DD9">
        <w:rPr>
          <w:rFonts w:eastAsia="SimSun"/>
        </w:rPr>
        <w:t>t</w:t>
      </w:r>
      <w:r w:rsidR="008D1AC1">
        <w:rPr>
          <w:rFonts w:eastAsia="SimSun"/>
        </w:rPr>
        <w:t>estimony.</w:t>
      </w:r>
    </w:p>
    <w:p w:rsidR="00831C37" w:rsidRDefault="00831C37" w:rsidP="00831C37">
      <w:pPr>
        <w:pStyle w:val="question"/>
        <w:widowControl w:val="0"/>
      </w:pPr>
      <w:r>
        <w:t>Q.</w:t>
      </w:r>
      <w:r>
        <w:tab/>
        <w:t xml:space="preserve">Do you agree with </w:t>
      </w:r>
      <w:r w:rsidR="0077523D">
        <w:t>Mr. </w:t>
      </w:r>
      <w:r>
        <w:t>Mullins</w:t>
      </w:r>
      <w:r w:rsidR="00E462EF">
        <w:t>’</w:t>
      </w:r>
      <w:r>
        <w:t xml:space="preserve"> statement that it is </w:t>
      </w:r>
      <w:r w:rsidR="00E462EF">
        <w:t>“</w:t>
      </w:r>
      <w:r>
        <w:t>not in the best interest of Washington ratepayers to fund remediation expenses today which the Company will not make for another 30 year</w:t>
      </w:r>
      <w:r w:rsidR="00EF2AD7">
        <w:t>s</w:t>
      </w:r>
      <w:r w:rsidR="00E462EF">
        <w:t>”</w:t>
      </w:r>
      <w:r>
        <w:t>?</w:t>
      </w:r>
      <w:r w:rsidR="00EC09D6">
        <w:rPr>
          <w:rStyle w:val="FootnoteReference"/>
        </w:rPr>
        <w:footnoteReference w:id="131"/>
      </w:r>
      <w:r w:rsidR="00F26B15">
        <w:t xml:space="preserve"> </w:t>
      </w:r>
    </w:p>
    <w:p w:rsidR="00B444F7" w:rsidRDefault="000A2CE8" w:rsidP="00831C37">
      <w:pPr>
        <w:pStyle w:val="answer"/>
        <w:rPr>
          <w:rFonts w:eastAsia="SimSun"/>
        </w:rPr>
      </w:pPr>
      <w:r>
        <w:t>A.</w:t>
      </w:r>
      <w:r w:rsidR="00831C37">
        <w:rPr>
          <w:rFonts w:eastAsia="SimSun"/>
        </w:rPr>
        <w:tab/>
      </w:r>
      <w:r w:rsidR="00831C37" w:rsidRPr="00331760">
        <w:rPr>
          <w:rFonts w:eastAsia="SimSun"/>
        </w:rPr>
        <w:t>No.</w:t>
      </w:r>
      <w:r w:rsidR="00F26B15">
        <w:rPr>
          <w:rFonts w:eastAsia="SimSun"/>
        </w:rPr>
        <w:t xml:space="preserve"> </w:t>
      </w:r>
      <w:r w:rsidR="00331760" w:rsidRPr="00331760">
        <w:t>Under traditional ratemaking, the goal is to have customers who have received the benefits of the generation pay the costs, including the decommissioning and remediation, associated with those assets.</w:t>
      </w:r>
      <w:r w:rsidR="00F26B15">
        <w:t xml:space="preserve"> </w:t>
      </w:r>
      <w:r w:rsidR="00331760" w:rsidRPr="00331760">
        <w:t xml:space="preserve">Under </w:t>
      </w:r>
      <w:r w:rsidR="0077523D">
        <w:t>Mr. </w:t>
      </w:r>
      <w:r w:rsidR="00331760">
        <w:t>Mullin</w:t>
      </w:r>
      <w:r w:rsidR="0070392A">
        <w:t>s</w:t>
      </w:r>
      <w:r w:rsidR="00E462EF">
        <w:t>’</w:t>
      </w:r>
      <w:r w:rsidR="00331760">
        <w:t xml:space="preserve"> proposal, future customers </w:t>
      </w:r>
      <w:r w:rsidR="0070392A">
        <w:t xml:space="preserve">who have never received the benefit of the generation </w:t>
      </w:r>
      <w:r w:rsidR="00331760" w:rsidRPr="00ED1CFE">
        <w:t xml:space="preserve">would </w:t>
      </w:r>
      <w:r w:rsidR="00331760">
        <w:t xml:space="preserve">likely be left </w:t>
      </w:r>
      <w:r w:rsidR="0070392A">
        <w:t>paying for</w:t>
      </w:r>
      <w:r w:rsidR="00331760">
        <w:t xml:space="preserve"> costs</w:t>
      </w:r>
      <w:r w:rsidR="0070392A">
        <w:t xml:space="preserve"> associated with the facility</w:t>
      </w:r>
      <w:r w:rsidR="00831C37">
        <w:rPr>
          <w:rFonts w:eastAsia="SimSun"/>
        </w:rPr>
        <w:t>.</w:t>
      </w:r>
    </w:p>
    <w:p w:rsidR="00B444F7" w:rsidRDefault="00B444F7" w:rsidP="00B444F7">
      <w:pPr>
        <w:pStyle w:val="question"/>
        <w:widowControl w:val="0"/>
      </w:pPr>
      <w:r>
        <w:t>Q.</w:t>
      </w:r>
      <w:r>
        <w:tab/>
      </w:r>
      <w:r w:rsidR="008D1AC1">
        <w:t>How do you propose that customer</w:t>
      </w:r>
      <w:r w:rsidR="00E462EF">
        <w:t>’</w:t>
      </w:r>
      <w:r w:rsidR="008D1AC1">
        <w:t>s receive the benefit of the PTCs when they are monetized</w:t>
      </w:r>
      <w:r>
        <w:t>?</w:t>
      </w:r>
      <w:r w:rsidR="00F26B15">
        <w:t xml:space="preserve"> </w:t>
      </w:r>
    </w:p>
    <w:p w:rsidR="00B444F7" w:rsidRDefault="000A2CE8" w:rsidP="00B444F7">
      <w:pPr>
        <w:pStyle w:val="answer"/>
        <w:rPr>
          <w:rFonts w:eastAsia="SimSun"/>
        </w:rPr>
      </w:pPr>
      <w:r>
        <w:t>A.</w:t>
      </w:r>
      <w:r w:rsidR="00B444F7">
        <w:rPr>
          <w:rFonts w:eastAsia="SimSun"/>
        </w:rPr>
        <w:tab/>
      </w:r>
      <w:r w:rsidR="008D1AC1">
        <w:rPr>
          <w:rFonts w:eastAsia="SimSun"/>
        </w:rPr>
        <w:t xml:space="preserve">I </w:t>
      </w:r>
      <w:r w:rsidR="00F7257D">
        <w:rPr>
          <w:rFonts w:eastAsia="SimSun"/>
        </w:rPr>
        <w:t>propose to treat</w:t>
      </w:r>
      <w:r w:rsidR="008D1AC1">
        <w:rPr>
          <w:rFonts w:eastAsia="SimSun"/>
        </w:rPr>
        <w:t xml:space="preserve"> the monetized PTCs in the same manner as the </w:t>
      </w:r>
      <w:r w:rsidR="00637B19">
        <w:t>hydro-related T</w:t>
      </w:r>
      <w:r w:rsidR="008D1AC1">
        <w:rPr>
          <w:rFonts w:eastAsia="SimSun"/>
        </w:rPr>
        <w:t xml:space="preserve">reasury Grants and </w:t>
      </w:r>
      <w:r w:rsidR="00F7257D">
        <w:rPr>
          <w:rFonts w:eastAsia="SimSun"/>
        </w:rPr>
        <w:t xml:space="preserve">to </w:t>
      </w:r>
      <w:r w:rsidR="008D1AC1">
        <w:rPr>
          <w:rFonts w:eastAsia="SimSun"/>
        </w:rPr>
        <w:t>utiliz</w:t>
      </w:r>
      <w:r w:rsidR="00F7257D">
        <w:rPr>
          <w:rFonts w:eastAsia="SimSun"/>
        </w:rPr>
        <w:t>e</w:t>
      </w:r>
      <w:r w:rsidR="008D1AC1">
        <w:rPr>
          <w:rFonts w:eastAsia="SimSun"/>
        </w:rPr>
        <w:t xml:space="preserve"> </w:t>
      </w:r>
      <w:r w:rsidR="00F7257D">
        <w:rPr>
          <w:rFonts w:eastAsia="SimSun"/>
        </w:rPr>
        <w:t>deferral treatment of the same type that is authorized under RCW 80.80.060</w:t>
      </w:r>
      <w:r w:rsidR="00A472D4">
        <w:rPr>
          <w:rStyle w:val="FootnoteReference"/>
          <w:rFonts w:eastAsia="SimSun"/>
        </w:rPr>
        <w:footnoteReference w:id="132"/>
      </w:r>
      <w:r w:rsidR="008D1AC1">
        <w:rPr>
          <w:rFonts w:eastAsia="SimSun"/>
        </w:rPr>
        <w:t xml:space="preserve"> until </w:t>
      </w:r>
      <w:r w:rsidR="00A472D4">
        <w:rPr>
          <w:rFonts w:eastAsia="SimSun"/>
        </w:rPr>
        <w:t xml:space="preserve">their </w:t>
      </w:r>
      <w:r w:rsidR="008D1AC1">
        <w:rPr>
          <w:rFonts w:eastAsia="SimSun"/>
        </w:rPr>
        <w:t>rate</w:t>
      </w:r>
      <w:r w:rsidR="00A472D4">
        <w:rPr>
          <w:rFonts w:eastAsia="SimSun"/>
        </w:rPr>
        <w:t xml:space="preserve"> </w:t>
      </w:r>
      <w:r w:rsidR="008D1AC1">
        <w:rPr>
          <w:rFonts w:eastAsia="SimSun"/>
        </w:rPr>
        <w:t xml:space="preserve">base impact is incorporated in </w:t>
      </w:r>
      <w:r w:rsidR="008D1AC1">
        <w:rPr>
          <w:rFonts w:eastAsia="SimSun"/>
        </w:rPr>
        <w:lastRenderedPageBreak/>
        <w:t>base rates</w:t>
      </w:r>
      <w:r w:rsidR="00A472D4">
        <w:rPr>
          <w:rFonts w:eastAsia="SimSun"/>
        </w:rPr>
        <w:t xml:space="preserve"> in a future proceeding</w:t>
      </w:r>
      <w:r w:rsidR="00F7257D">
        <w:rPr>
          <w:rFonts w:eastAsia="SimSun"/>
        </w:rPr>
        <w:t>.</w:t>
      </w:r>
      <w:r w:rsidR="00381306">
        <w:rPr>
          <w:rFonts w:eastAsia="SimSun"/>
        </w:rPr>
        <w:t xml:space="preserve"> </w:t>
      </w:r>
      <w:r w:rsidR="00F7257D">
        <w:rPr>
          <w:rFonts w:eastAsia="SimSun"/>
        </w:rPr>
        <w:t xml:space="preserve">This will allow </w:t>
      </w:r>
      <w:r w:rsidR="008D1AC1">
        <w:rPr>
          <w:rFonts w:eastAsia="SimSun"/>
        </w:rPr>
        <w:t xml:space="preserve">customers </w:t>
      </w:r>
      <w:r w:rsidR="00F7257D">
        <w:rPr>
          <w:rFonts w:eastAsia="SimSun"/>
        </w:rPr>
        <w:t xml:space="preserve">to </w:t>
      </w:r>
      <w:r w:rsidR="008D1AC1">
        <w:rPr>
          <w:rFonts w:eastAsia="SimSun"/>
        </w:rPr>
        <w:t xml:space="preserve">receive the full benefit associated with the PTCs </w:t>
      </w:r>
      <w:r w:rsidR="009971D2">
        <w:rPr>
          <w:rFonts w:eastAsia="SimSun"/>
        </w:rPr>
        <w:t xml:space="preserve">and avoid the situation in which </w:t>
      </w:r>
      <w:r w:rsidR="00A472D4">
        <w:rPr>
          <w:rFonts w:eastAsia="SimSun"/>
        </w:rPr>
        <w:t xml:space="preserve">PSE </w:t>
      </w:r>
      <w:r w:rsidR="008D1AC1">
        <w:rPr>
          <w:rFonts w:eastAsia="SimSun"/>
        </w:rPr>
        <w:t>refund</w:t>
      </w:r>
      <w:r w:rsidR="009971D2">
        <w:rPr>
          <w:rFonts w:eastAsia="SimSun"/>
        </w:rPr>
        <w:t>s</w:t>
      </w:r>
      <w:r w:rsidR="008D1AC1">
        <w:rPr>
          <w:rFonts w:eastAsia="SimSun"/>
        </w:rPr>
        <w:t xml:space="preserve"> dollars </w:t>
      </w:r>
      <w:r w:rsidR="00A472D4">
        <w:rPr>
          <w:rFonts w:eastAsia="SimSun"/>
        </w:rPr>
        <w:t xml:space="preserve">through PTC early amortization </w:t>
      </w:r>
      <w:r w:rsidR="008D1AC1">
        <w:rPr>
          <w:rFonts w:eastAsia="SimSun"/>
        </w:rPr>
        <w:t xml:space="preserve">only to turn around and increase rates in the future for unrecovered costs at the Colstrip </w:t>
      </w:r>
      <w:r w:rsidR="0070392A">
        <w:rPr>
          <w:rFonts w:eastAsia="SimSun"/>
        </w:rPr>
        <w:t>u</w:t>
      </w:r>
      <w:r w:rsidR="008D1AC1">
        <w:rPr>
          <w:rFonts w:eastAsia="SimSun"/>
        </w:rPr>
        <w:t>nits</w:t>
      </w:r>
      <w:r w:rsidR="009971D2">
        <w:rPr>
          <w:rFonts w:eastAsia="SimSun"/>
        </w:rPr>
        <w:t>—</w:t>
      </w:r>
      <w:r w:rsidR="00EF2AD7">
        <w:rPr>
          <w:rFonts w:eastAsia="SimSun"/>
        </w:rPr>
        <w:t xml:space="preserve"> especially recognizing those future customers received no benefits from Colstrip</w:t>
      </w:r>
      <w:r w:rsidR="008D1AC1">
        <w:rPr>
          <w:rFonts w:eastAsia="SimSun"/>
        </w:rPr>
        <w:t>.</w:t>
      </w:r>
      <w:r w:rsidR="00F26B15">
        <w:rPr>
          <w:rFonts w:eastAsia="SimSun"/>
        </w:rPr>
        <w:t xml:space="preserve"> </w:t>
      </w:r>
    </w:p>
    <w:p w:rsidR="00B444F7" w:rsidRPr="008B42DE" w:rsidRDefault="00831C37" w:rsidP="00B444F7">
      <w:pPr>
        <w:pStyle w:val="question"/>
        <w:widowControl w:val="0"/>
      </w:pPr>
      <w:r>
        <w:t xml:space="preserve"> </w:t>
      </w:r>
      <w:r w:rsidR="00B444F7" w:rsidRPr="008B42DE">
        <w:t>Q.</w:t>
      </w:r>
      <w:r w:rsidR="00B444F7" w:rsidRPr="008B42DE">
        <w:tab/>
        <w:t xml:space="preserve">Please </w:t>
      </w:r>
      <w:r w:rsidR="0070392A">
        <w:t>s</w:t>
      </w:r>
      <w:r w:rsidR="008D1AC1" w:rsidRPr="008B42DE">
        <w:t xml:space="preserve">ummarize your </w:t>
      </w:r>
      <w:r w:rsidR="0093256C" w:rsidRPr="008B42DE">
        <w:t>recommendation</w:t>
      </w:r>
      <w:r w:rsidR="00B444F7" w:rsidRPr="008B42DE">
        <w:t>?</w:t>
      </w:r>
      <w:r w:rsidR="00F26B15">
        <w:t xml:space="preserve"> </w:t>
      </w:r>
    </w:p>
    <w:p w:rsidR="00652927" w:rsidRDefault="000A2CE8" w:rsidP="00A472D4">
      <w:pPr>
        <w:pStyle w:val="answer"/>
        <w:rPr>
          <w:rFonts w:eastAsia="SimSun"/>
        </w:rPr>
      </w:pPr>
      <w:r>
        <w:t>A.</w:t>
      </w:r>
      <w:r w:rsidR="00B444F7">
        <w:rPr>
          <w:rFonts w:eastAsia="SimSun"/>
        </w:rPr>
        <w:tab/>
      </w:r>
      <w:r w:rsidR="005020AE">
        <w:rPr>
          <w:rFonts w:eastAsia="SimSun"/>
        </w:rPr>
        <w:t xml:space="preserve">I recommend that the Commission </w:t>
      </w:r>
      <w:r w:rsidR="0070392A">
        <w:rPr>
          <w:rFonts w:eastAsia="SimSun"/>
        </w:rPr>
        <w:t xml:space="preserve">authorize PSE to place the PTCs, as they are monetized, into </w:t>
      </w:r>
      <w:r w:rsidR="005020AE">
        <w:rPr>
          <w:rFonts w:eastAsia="SimSun"/>
        </w:rPr>
        <w:t xml:space="preserve">a separate </w:t>
      </w:r>
      <w:r w:rsidR="008B42DE">
        <w:rPr>
          <w:rFonts w:eastAsia="SimSun"/>
        </w:rPr>
        <w:t xml:space="preserve">FERC 108 retirement account </w:t>
      </w:r>
      <w:r w:rsidR="005020AE">
        <w:rPr>
          <w:rFonts w:eastAsia="SimSun"/>
        </w:rPr>
        <w:t xml:space="preserve">that </w:t>
      </w:r>
      <w:r w:rsidR="008B42DE">
        <w:rPr>
          <w:rFonts w:eastAsia="SimSun"/>
        </w:rPr>
        <w:t xml:space="preserve">will be a dedicated to addressing any undepreciated </w:t>
      </w:r>
      <w:r w:rsidR="008B42DE" w:rsidRPr="008B42DE">
        <w:rPr>
          <w:rFonts w:eastAsia="SimSun"/>
          <w:szCs w:val="24"/>
        </w:rPr>
        <w:t>plant associated with any Colstrip units.</w:t>
      </w:r>
      <w:r w:rsidR="00F26B15">
        <w:rPr>
          <w:rFonts w:eastAsia="SimSun"/>
          <w:szCs w:val="24"/>
        </w:rPr>
        <w:t xml:space="preserve"> </w:t>
      </w:r>
      <w:r w:rsidR="008B42DE" w:rsidRPr="008B42DE">
        <w:rPr>
          <w:rFonts w:eastAsia="SimSun"/>
          <w:szCs w:val="24"/>
        </w:rPr>
        <w:t>The PTCs</w:t>
      </w:r>
      <w:r w:rsidR="0070392A">
        <w:rPr>
          <w:rFonts w:eastAsia="SimSun"/>
          <w:szCs w:val="24"/>
        </w:rPr>
        <w:t>,</w:t>
      </w:r>
      <w:r w:rsidR="008B42DE" w:rsidRPr="008B42DE">
        <w:rPr>
          <w:rFonts w:eastAsia="SimSun"/>
          <w:szCs w:val="24"/>
        </w:rPr>
        <w:t xml:space="preserve"> once monetized, would defer the </w:t>
      </w:r>
      <w:r w:rsidR="008B42DE" w:rsidRPr="008B42DE">
        <w:rPr>
          <w:szCs w:val="24"/>
        </w:rPr>
        <w:t>related cost of capital consistent with the approach outlined in RCW 80.80.060(6),</w:t>
      </w:r>
      <w:r w:rsidR="008B42DE">
        <w:rPr>
          <w:szCs w:val="24"/>
        </w:rPr>
        <w:t xml:space="preserve"> until the retirement account is incorporated into rates.</w:t>
      </w:r>
      <w:r w:rsidR="00F26B15">
        <w:rPr>
          <w:szCs w:val="24"/>
        </w:rPr>
        <w:t xml:space="preserve"> </w:t>
      </w:r>
    </w:p>
    <w:p w:rsidR="00C85070" w:rsidRDefault="009F50CE" w:rsidP="00771706">
      <w:pPr>
        <w:pStyle w:val="Heading1"/>
      </w:pPr>
      <w:bookmarkStart w:id="70" w:name="_Toc490035625"/>
      <w:r>
        <w:t>VI</w:t>
      </w:r>
      <w:r w:rsidR="00831C37">
        <w:t>I</w:t>
      </w:r>
      <w:r>
        <w:t>I</w:t>
      </w:r>
      <w:r w:rsidR="00C85070">
        <w:t>.</w:t>
      </w:r>
      <w:r w:rsidR="00C85070">
        <w:tab/>
        <w:t>EXPEDITED RATE FILINGS</w:t>
      </w:r>
      <w:bookmarkEnd w:id="70"/>
    </w:p>
    <w:p w:rsidR="008C5422" w:rsidRPr="00AD208F" w:rsidRDefault="008C5422" w:rsidP="00777E1F">
      <w:pPr>
        <w:pStyle w:val="question"/>
      </w:pPr>
      <w:r w:rsidRPr="00AD208F">
        <w:t>Q.</w:t>
      </w:r>
      <w:r w:rsidRPr="00AD208F">
        <w:tab/>
      </w:r>
      <w:r>
        <w:t>What was the overall response to PSE</w:t>
      </w:r>
      <w:r w:rsidR="00E462EF">
        <w:t>’</w:t>
      </w:r>
      <w:r>
        <w:t xml:space="preserve">s proposal to formalize the </w:t>
      </w:r>
      <w:r w:rsidR="00B763E8">
        <w:t>e</w:t>
      </w:r>
      <w:r w:rsidR="003A49E2">
        <w:t xml:space="preserve">xpedited </w:t>
      </w:r>
      <w:r w:rsidR="00B763E8">
        <w:t>r</w:t>
      </w:r>
      <w:r w:rsidR="003A49E2">
        <w:t xml:space="preserve">ate </w:t>
      </w:r>
      <w:r w:rsidR="00B763E8">
        <w:t>f</w:t>
      </w:r>
      <w:r w:rsidR="003A49E2">
        <w:t>iling</w:t>
      </w:r>
      <w:r>
        <w:t xml:space="preserve"> procedures?</w:t>
      </w:r>
    </w:p>
    <w:p w:rsidR="008C5422" w:rsidRDefault="008C5422" w:rsidP="008C5422">
      <w:pPr>
        <w:pStyle w:val="answer"/>
        <w:rPr>
          <w:rFonts w:eastAsia="SimSun"/>
        </w:rPr>
      </w:pPr>
      <w:r>
        <w:rPr>
          <w:rFonts w:eastAsia="SimSun"/>
        </w:rPr>
        <w:t>A.</w:t>
      </w:r>
      <w:r>
        <w:rPr>
          <w:rFonts w:eastAsia="SimSun"/>
        </w:rPr>
        <w:tab/>
        <w:t xml:space="preserve">Public Counsel, ICNU, and </w:t>
      </w:r>
      <w:proofErr w:type="spellStart"/>
      <w:r>
        <w:rPr>
          <w:rFonts w:eastAsia="SimSun"/>
        </w:rPr>
        <w:t>FEA</w:t>
      </w:r>
      <w:proofErr w:type="spellEnd"/>
      <w:r>
        <w:rPr>
          <w:rFonts w:eastAsia="SimSun"/>
        </w:rPr>
        <w:t xml:space="preserve"> are opposed to PSE</w:t>
      </w:r>
      <w:r w:rsidR="00E462EF">
        <w:rPr>
          <w:rFonts w:eastAsia="SimSun"/>
        </w:rPr>
        <w:t>’</w:t>
      </w:r>
      <w:r>
        <w:rPr>
          <w:rFonts w:eastAsia="SimSun"/>
        </w:rPr>
        <w:t xml:space="preserve">s request that the Commission formalize the </w:t>
      </w:r>
      <w:r w:rsidR="00B763E8">
        <w:rPr>
          <w:rFonts w:eastAsia="SimSun"/>
        </w:rPr>
        <w:t>e</w:t>
      </w:r>
      <w:r>
        <w:rPr>
          <w:rFonts w:eastAsia="SimSun"/>
        </w:rPr>
        <w:t xml:space="preserve">xpedited </w:t>
      </w:r>
      <w:r w:rsidR="00B763E8">
        <w:rPr>
          <w:rFonts w:eastAsia="SimSun"/>
        </w:rPr>
        <w:t>r</w:t>
      </w:r>
      <w:r>
        <w:rPr>
          <w:rFonts w:eastAsia="SimSun"/>
        </w:rPr>
        <w:t xml:space="preserve">ate </w:t>
      </w:r>
      <w:r w:rsidR="00B763E8">
        <w:rPr>
          <w:rFonts w:eastAsia="SimSun"/>
        </w:rPr>
        <w:t>f</w:t>
      </w:r>
      <w:r>
        <w:rPr>
          <w:rFonts w:eastAsia="SimSun"/>
        </w:rPr>
        <w:t>iling process utilized</w:t>
      </w:r>
      <w:r w:rsidR="00941681">
        <w:rPr>
          <w:rFonts w:eastAsia="SimSun"/>
        </w:rPr>
        <w:t xml:space="preserve"> in</w:t>
      </w:r>
      <w:r>
        <w:rPr>
          <w:rFonts w:eastAsia="SimSun"/>
        </w:rPr>
        <w:t xml:space="preserve"> Dockets UE-130137 and UG-130138.</w:t>
      </w:r>
      <w:r w:rsidR="00F26B15">
        <w:rPr>
          <w:rFonts w:eastAsia="SimSun"/>
        </w:rPr>
        <w:t xml:space="preserve"> </w:t>
      </w:r>
      <w:r>
        <w:rPr>
          <w:rFonts w:eastAsia="SimSun"/>
        </w:rPr>
        <w:t>The following portion of my testimony will address their various concerns</w:t>
      </w:r>
      <w:r>
        <w:rPr>
          <w:rFonts w:eastAsia="SimSun"/>
          <w:b/>
        </w:rPr>
        <w:t>.</w:t>
      </w:r>
      <w:r w:rsidR="00F26B15">
        <w:rPr>
          <w:rFonts w:eastAsia="SimSun"/>
        </w:rPr>
        <w:t xml:space="preserve"> </w:t>
      </w:r>
    </w:p>
    <w:p w:rsidR="008C5422" w:rsidRDefault="000A2CE8" w:rsidP="00777E1F">
      <w:pPr>
        <w:pStyle w:val="question"/>
      </w:pPr>
      <w:r w:rsidRPr="00342134">
        <w:rPr>
          <w:bCs/>
        </w:rPr>
        <w:lastRenderedPageBreak/>
        <w:t>Q.</w:t>
      </w:r>
      <w:r w:rsidR="008C5422">
        <w:tab/>
      </w:r>
      <w:r w:rsidR="008C5422" w:rsidRPr="008439D8">
        <w:t>Does Commission Staff support PSE</w:t>
      </w:r>
      <w:r w:rsidR="00E462EF">
        <w:t>’</w:t>
      </w:r>
      <w:r w:rsidR="008C5422" w:rsidRPr="008439D8">
        <w:t xml:space="preserve">s proposal to formalize the </w:t>
      </w:r>
      <w:r w:rsidR="00B763E8">
        <w:t>e</w:t>
      </w:r>
      <w:r w:rsidR="008C5422" w:rsidRPr="008439D8">
        <w:t xml:space="preserve">xpedited </w:t>
      </w:r>
      <w:r w:rsidR="00B763E8">
        <w:t>r</w:t>
      </w:r>
      <w:r w:rsidR="008C5422" w:rsidRPr="008439D8">
        <w:t xml:space="preserve">ate </w:t>
      </w:r>
      <w:r w:rsidR="00B763E8">
        <w:t>f</w:t>
      </w:r>
      <w:r w:rsidR="008C5422" w:rsidRPr="008439D8">
        <w:t xml:space="preserve">iling procedures as requested by </w:t>
      </w:r>
      <w:r w:rsidR="0077523D">
        <w:t>PSE</w:t>
      </w:r>
      <w:r w:rsidR="008C5422" w:rsidRPr="008439D8">
        <w:t>.</w:t>
      </w:r>
    </w:p>
    <w:p w:rsidR="008C5422" w:rsidRDefault="000A2CE8" w:rsidP="008C5422">
      <w:pPr>
        <w:pStyle w:val="answer"/>
        <w:rPr>
          <w:rFonts w:eastAsia="SimSun"/>
        </w:rPr>
      </w:pPr>
      <w:r>
        <w:t>A.</w:t>
      </w:r>
      <w:r w:rsidR="008C5422" w:rsidRPr="003C3681">
        <w:rPr>
          <w:rFonts w:eastAsia="SimSun"/>
        </w:rPr>
        <w:tab/>
        <w:t>Yes.</w:t>
      </w:r>
      <w:r w:rsidR="00F26B15">
        <w:rPr>
          <w:rFonts w:eastAsia="SimSun"/>
        </w:rPr>
        <w:t xml:space="preserve"> </w:t>
      </w:r>
      <w:r w:rsidR="00771706">
        <w:rPr>
          <w:bCs/>
        </w:rPr>
        <w:t xml:space="preserve">Commission </w:t>
      </w:r>
      <w:r w:rsidR="00771706">
        <w:t>Staff</w:t>
      </w:r>
      <w:r w:rsidR="00E462EF">
        <w:rPr>
          <w:rFonts w:eastAsia="SimSun"/>
        </w:rPr>
        <w:t>’</w:t>
      </w:r>
      <w:r w:rsidR="008C5422" w:rsidRPr="003C3681">
        <w:rPr>
          <w:rFonts w:eastAsia="SimSun"/>
        </w:rPr>
        <w:t>s testimony recognizes that the Commission currently has a pending rulemaking, Docket A-130355,</w:t>
      </w:r>
      <w:r w:rsidR="00941681">
        <w:rPr>
          <w:rFonts w:eastAsia="SimSun"/>
        </w:rPr>
        <w:t xml:space="preserve"> which</w:t>
      </w:r>
      <w:r w:rsidR="00941681" w:rsidRPr="003C3681">
        <w:rPr>
          <w:rFonts w:eastAsia="SimSun"/>
        </w:rPr>
        <w:t xml:space="preserve"> </w:t>
      </w:r>
      <w:r w:rsidR="008C5422" w:rsidRPr="003C3681">
        <w:rPr>
          <w:rFonts w:eastAsia="SimSun"/>
        </w:rPr>
        <w:t xml:space="preserve">may include procedures for a </w:t>
      </w:r>
      <w:r w:rsidR="00E462EF">
        <w:rPr>
          <w:rFonts w:eastAsia="SimSun"/>
        </w:rPr>
        <w:t>“</w:t>
      </w:r>
      <w:r w:rsidR="008C5422" w:rsidRPr="003C3681">
        <w:rPr>
          <w:rFonts w:eastAsia="SimSun"/>
        </w:rPr>
        <w:t>limited rate filing</w:t>
      </w:r>
      <w:r w:rsidR="00F82476">
        <w:rPr>
          <w:rFonts w:eastAsia="SimSun"/>
        </w:rPr>
        <w:t>.</w:t>
      </w:r>
      <w:r w:rsidR="00E462EF">
        <w:rPr>
          <w:rFonts w:eastAsia="SimSun"/>
        </w:rPr>
        <w:t>”</w:t>
      </w:r>
      <w:r w:rsidR="00F26B15">
        <w:rPr>
          <w:rFonts w:eastAsia="SimSun"/>
        </w:rPr>
        <w:t xml:space="preserve"> </w:t>
      </w:r>
      <w:r w:rsidR="0077523D">
        <w:t>Mr. </w:t>
      </w:r>
      <w:r w:rsidR="008C5422" w:rsidRPr="003C3681">
        <w:rPr>
          <w:rFonts w:eastAsia="SimSun"/>
        </w:rPr>
        <w:t>Schooley</w:t>
      </w:r>
      <w:r w:rsidR="00A472D4">
        <w:rPr>
          <w:rFonts w:eastAsia="SimSun"/>
        </w:rPr>
        <w:t>, in his response</w:t>
      </w:r>
      <w:r w:rsidR="00EF2AD7">
        <w:rPr>
          <w:rFonts w:eastAsia="SimSun"/>
        </w:rPr>
        <w:t xml:space="preserve">, </w:t>
      </w:r>
      <w:r w:rsidR="00A472D4">
        <w:rPr>
          <w:rFonts w:eastAsia="SimSun"/>
        </w:rPr>
        <w:t xml:space="preserve">to </w:t>
      </w:r>
      <w:r w:rsidR="00EF2AD7">
        <w:rPr>
          <w:rFonts w:eastAsia="SimSun"/>
        </w:rPr>
        <w:t xml:space="preserve">Public Counsel </w:t>
      </w:r>
      <w:r w:rsidR="00A472D4">
        <w:rPr>
          <w:rFonts w:eastAsia="SimSun"/>
        </w:rPr>
        <w:t>Data Request</w:t>
      </w:r>
      <w:r w:rsidR="00EF2AD7">
        <w:rPr>
          <w:rFonts w:eastAsia="SimSun"/>
        </w:rPr>
        <w:t>s</w:t>
      </w:r>
      <w:r w:rsidR="00A472D4">
        <w:rPr>
          <w:rFonts w:eastAsia="SimSun"/>
        </w:rPr>
        <w:t xml:space="preserve"> </w:t>
      </w:r>
      <w:r w:rsidR="00EF2AD7">
        <w:rPr>
          <w:rFonts w:eastAsia="SimSun"/>
        </w:rPr>
        <w:t>2, 4, 6 and 7</w:t>
      </w:r>
      <w:r w:rsidR="00A472D4">
        <w:rPr>
          <w:rFonts w:eastAsia="SimSun"/>
        </w:rPr>
        <w:t xml:space="preserve">, which </w:t>
      </w:r>
      <w:r w:rsidR="003921A6">
        <w:rPr>
          <w:rFonts w:eastAsia="SimSun"/>
        </w:rPr>
        <w:t>are</w:t>
      </w:r>
      <w:r w:rsidR="00A472D4">
        <w:rPr>
          <w:rFonts w:eastAsia="SimSun"/>
        </w:rPr>
        <w:t xml:space="preserve"> included as Exhibit KJB-</w:t>
      </w:r>
      <w:r w:rsidR="003921A6">
        <w:rPr>
          <w:rFonts w:eastAsia="SimSun"/>
        </w:rPr>
        <w:t>36</w:t>
      </w:r>
      <w:r w:rsidR="00A472D4">
        <w:rPr>
          <w:rFonts w:eastAsia="SimSun"/>
        </w:rPr>
        <w:t>,</w:t>
      </w:r>
      <w:r w:rsidR="008C5422" w:rsidRPr="003C3681">
        <w:rPr>
          <w:rFonts w:eastAsia="SimSun"/>
        </w:rPr>
        <w:t xml:space="preserve"> indicates he supports PSE</w:t>
      </w:r>
      <w:r w:rsidR="00E462EF">
        <w:rPr>
          <w:rFonts w:eastAsia="SimSun"/>
        </w:rPr>
        <w:t>’</w:t>
      </w:r>
      <w:r w:rsidR="008C5422" w:rsidRPr="003C3681">
        <w:rPr>
          <w:rFonts w:eastAsia="SimSun"/>
        </w:rPr>
        <w:t xml:space="preserve">s proposal for an </w:t>
      </w:r>
      <w:r w:rsidR="003A49E2">
        <w:rPr>
          <w:rFonts w:eastAsia="SimSun"/>
        </w:rPr>
        <w:t>expedited rate</w:t>
      </w:r>
      <w:r w:rsidR="003A49E2" w:rsidRPr="003C3681">
        <w:rPr>
          <w:rFonts w:eastAsia="SimSun"/>
        </w:rPr>
        <w:t xml:space="preserve"> </w:t>
      </w:r>
      <w:r w:rsidR="008C5422" w:rsidRPr="003C3681">
        <w:rPr>
          <w:rFonts w:eastAsia="SimSun"/>
        </w:rPr>
        <w:t xml:space="preserve">filing based on the methods used and approved in </w:t>
      </w:r>
      <w:r w:rsidR="008C5422">
        <w:rPr>
          <w:rFonts w:eastAsia="SimSun"/>
        </w:rPr>
        <w:t>D</w:t>
      </w:r>
      <w:r w:rsidR="008C5422" w:rsidRPr="003C3681">
        <w:rPr>
          <w:rFonts w:eastAsia="SimSun"/>
        </w:rPr>
        <w:t xml:space="preserve">ockets UE-130137 </w:t>
      </w:r>
      <w:r w:rsidR="00804F08">
        <w:rPr>
          <w:rFonts w:eastAsia="SimSun"/>
        </w:rPr>
        <w:t>and</w:t>
      </w:r>
      <w:r w:rsidR="008C5422" w:rsidRPr="003C3681">
        <w:rPr>
          <w:rFonts w:eastAsia="SimSun"/>
        </w:rPr>
        <w:t xml:space="preserve"> UG-130138 in the absence of actual rules</w:t>
      </w:r>
      <w:r w:rsidR="008C5422">
        <w:rPr>
          <w:rFonts w:eastAsia="SimSun"/>
        </w:rPr>
        <w:t xml:space="preserve"> for such a filing</w:t>
      </w:r>
      <w:r w:rsidR="00F82476">
        <w:rPr>
          <w:rFonts w:eastAsia="SimSun"/>
        </w:rPr>
        <w:t>.</w:t>
      </w:r>
      <w:r w:rsidR="008C5422">
        <w:rPr>
          <w:rStyle w:val="FootnoteReference"/>
          <w:rFonts w:eastAsia="SimSun"/>
        </w:rPr>
        <w:footnoteReference w:id="133"/>
      </w:r>
      <w:r w:rsidR="00F26B15">
        <w:rPr>
          <w:rFonts w:eastAsia="SimSun"/>
        </w:rPr>
        <w:t xml:space="preserve"> </w:t>
      </w:r>
    </w:p>
    <w:p w:rsidR="008C5422" w:rsidRDefault="000A2CE8" w:rsidP="00777E1F">
      <w:pPr>
        <w:pStyle w:val="question"/>
      </w:pPr>
      <w:r w:rsidRPr="00342134">
        <w:rPr>
          <w:bCs/>
        </w:rPr>
        <w:t>Q.</w:t>
      </w:r>
      <w:r w:rsidR="008C5422" w:rsidRPr="003C3681">
        <w:tab/>
        <w:t>Please summarize the positions of the other parties?</w:t>
      </w:r>
    </w:p>
    <w:p w:rsidR="008C5422" w:rsidRDefault="008C5422" w:rsidP="008C5422">
      <w:pPr>
        <w:pStyle w:val="answer"/>
        <w:rPr>
          <w:rFonts w:eastAsia="SimSun"/>
        </w:rPr>
      </w:pPr>
      <w:r w:rsidRPr="003C3681">
        <w:rPr>
          <w:rFonts w:eastAsia="SimSun"/>
        </w:rPr>
        <w:t>A.</w:t>
      </w:r>
      <w:r w:rsidRPr="003C3681">
        <w:rPr>
          <w:rFonts w:eastAsia="SimSun"/>
        </w:rPr>
        <w:tab/>
      </w:r>
      <w:proofErr w:type="spellStart"/>
      <w:r w:rsidRPr="003C3681">
        <w:rPr>
          <w:rFonts w:eastAsia="SimSun"/>
        </w:rPr>
        <w:t>FEA</w:t>
      </w:r>
      <w:r w:rsidR="00E462EF">
        <w:rPr>
          <w:rFonts w:eastAsia="SimSun"/>
        </w:rPr>
        <w:t>’</w:t>
      </w:r>
      <w:r w:rsidRPr="003C3681">
        <w:rPr>
          <w:rFonts w:eastAsia="SimSun"/>
        </w:rPr>
        <w:t>s</w:t>
      </w:r>
      <w:proofErr w:type="spellEnd"/>
      <w:r w:rsidRPr="003C3681">
        <w:rPr>
          <w:rFonts w:eastAsia="SimSun"/>
        </w:rPr>
        <w:t xml:space="preserve"> witness </w:t>
      </w:r>
      <w:r w:rsidR="0077523D">
        <w:t>Mr. </w:t>
      </w:r>
      <w:r w:rsidR="00941681">
        <w:rPr>
          <w:rFonts w:eastAsia="SimSun"/>
        </w:rPr>
        <w:t xml:space="preserve">Ali </w:t>
      </w:r>
      <w:r w:rsidRPr="003C3681">
        <w:rPr>
          <w:rFonts w:eastAsia="SimSun"/>
        </w:rPr>
        <w:t>Al-Jabir</w:t>
      </w:r>
      <w:r w:rsidR="0075223F">
        <w:rPr>
          <w:rFonts w:eastAsia="SimSun"/>
        </w:rPr>
        <w:t>,</w:t>
      </w:r>
      <w:r w:rsidR="00F26B15">
        <w:rPr>
          <w:rFonts w:eastAsia="SimSun"/>
        </w:rPr>
        <w:t xml:space="preserve"> </w:t>
      </w:r>
      <w:r w:rsidRPr="003C3681">
        <w:rPr>
          <w:rFonts w:eastAsia="SimSun"/>
        </w:rPr>
        <w:t xml:space="preserve">Public Counsel witness </w:t>
      </w:r>
      <w:r w:rsidR="0077523D">
        <w:t>Mr. </w:t>
      </w:r>
      <w:r w:rsidR="00941681">
        <w:rPr>
          <w:rFonts w:eastAsia="SimSun"/>
        </w:rPr>
        <w:t xml:space="preserve">Michael L. </w:t>
      </w:r>
      <w:proofErr w:type="spellStart"/>
      <w:r w:rsidRPr="003C3681">
        <w:rPr>
          <w:rFonts w:eastAsia="SimSun"/>
        </w:rPr>
        <w:t>Brosch</w:t>
      </w:r>
      <w:proofErr w:type="spellEnd"/>
      <w:r w:rsidRPr="003C3681">
        <w:rPr>
          <w:rFonts w:eastAsia="SimSun"/>
        </w:rPr>
        <w:t xml:space="preserve">, and ICNU witness </w:t>
      </w:r>
      <w:r w:rsidR="0077523D">
        <w:t>Mr. </w:t>
      </w:r>
      <w:r w:rsidR="00941681">
        <w:rPr>
          <w:rFonts w:eastAsia="SimSun"/>
        </w:rPr>
        <w:t xml:space="preserve">Michael P. </w:t>
      </w:r>
      <w:r w:rsidRPr="003C3681">
        <w:rPr>
          <w:rFonts w:eastAsia="SimSun"/>
        </w:rPr>
        <w:t>Gorma</w:t>
      </w:r>
      <w:r w:rsidR="00F82476">
        <w:rPr>
          <w:rFonts w:eastAsia="SimSun"/>
        </w:rPr>
        <w:t>n</w:t>
      </w:r>
      <w:r w:rsidRPr="003C3681">
        <w:rPr>
          <w:rFonts w:eastAsia="SimSun"/>
        </w:rPr>
        <w:t xml:space="preserve"> all advocate that the Commission reject PSE</w:t>
      </w:r>
      <w:r w:rsidR="00E462EF">
        <w:rPr>
          <w:rFonts w:eastAsia="SimSun"/>
        </w:rPr>
        <w:t>’</w:t>
      </w:r>
      <w:r w:rsidRPr="003C3681">
        <w:rPr>
          <w:rFonts w:eastAsia="SimSun"/>
        </w:rPr>
        <w:t>s proposal and allow changes in base rates to occur only through a general rate proceeding where all costs, including cost of capital can be reviewed.</w:t>
      </w:r>
      <w:r w:rsidR="00F82476">
        <w:rPr>
          <w:rStyle w:val="FootnoteReference"/>
          <w:rFonts w:eastAsia="SimSun"/>
        </w:rPr>
        <w:footnoteReference w:id="134"/>
      </w:r>
      <w:r w:rsidR="00F26B15">
        <w:rPr>
          <w:rFonts w:eastAsia="SimSun"/>
        </w:rPr>
        <w:t xml:space="preserve"> </w:t>
      </w:r>
    </w:p>
    <w:p w:rsidR="008C5422" w:rsidRDefault="000A2CE8" w:rsidP="00777E1F">
      <w:pPr>
        <w:pStyle w:val="question"/>
      </w:pPr>
      <w:r w:rsidRPr="00342134">
        <w:rPr>
          <w:bCs/>
        </w:rPr>
        <w:t>Q.</w:t>
      </w:r>
      <w:r w:rsidR="008C5422" w:rsidRPr="003C3681">
        <w:tab/>
      </w:r>
      <w:r w:rsidR="008C5422">
        <w:t xml:space="preserve">Do you believe that an update to </w:t>
      </w:r>
      <w:r w:rsidR="00804F08">
        <w:t>c</w:t>
      </w:r>
      <w:r w:rsidR="008C5422">
        <w:t xml:space="preserve">ost of </w:t>
      </w:r>
      <w:r w:rsidR="00804F08">
        <w:t>c</w:t>
      </w:r>
      <w:r w:rsidR="008C5422">
        <w:t xml:space="preserve">apital needs to be included in an </w:t>
      </w:r>
      <w:r w:rsidR="00804F08">
        <w:t>e</w:t>
      </w:r>
      <w:r w:rsidR="003A49E2">
        <w:t xml:space="preserve">xpedited </w:t>
      </w:r>
      <w:r w:rsidR="00804F08">
        <w:t>r</w:t>
      </w:r>
      <w:r w:rsidR="003A49E2">
        <w:t xml:space="preserve">ate </w:t>
      </w:r>
      <w:r w:rsidR="00804F08">
        <w:t>f</w:t>
      </w:r>
      <w:r w:rsidR="003A49E2">
        <w:t xml:space="preserve">iling </w:t>
      </w:r>
      <w:r w:rsidR="008C5422">
        <w:t>proceeding</w:t>
      </w:r>
      <w:r w:rsidR="008C5422" w:rsidRPr="003C3681">
        <w:t>?</w:t>
      </w:r>
    </w:p>
    <w:p w:rsidR="008C5422" w:rsidRDefault="008C5422" w:rsidP="008C5422">
      <w:pPr>
        <w:pStyle w:val="answer"/>
        <w:rPr>
          <w:rFonts w:eastAsia="SimSun"/>
        </w:rPr>
      </w:pPr>
      <w:r w:rsidRPr="003C3681">
        <w:rPr>
          <w:rFonts w:eastAsia="SimSun"/>
        </w:rPr>
        <w:t>A.</w:t>
      </w:r>
      <w:r w:rsidRPr="003C3681">
        <w:rPr>
          <w:rFonts w:eastAsia="SimSun"/>
        </w:rPr>
        <w:tab/>
      </w:r>
      <w:r>
        <w:rPr>
          <w:rFonts w:eastAsia="SimSun"/>
        </w:rPr>
        <w:t>No.</w:t>
      </w:r>
      <w:r w:rsidR="00F26B15">
        <w:rPr>
          <w:rFonts w:eastAsia="SimSun"/>
        </w:rPr>
        <w:t xml:space="preserve"> </w:t>
      </w:r>
      <w:r>
        <w:rPr>
          <w:rFonts w:eastAsia="SimSun"/>
        </w:rPr>
        <w:t>All three parties object to an expedited rate filing, in part because it does not include an update to cost of capital.</w:t>
      </w:r>
      <w:r w:rsidR="00F26B15">
        <w:rPr>
          <w:rFonts w:eastAsia="SimSun"/>
        </w:rPr>
        <w:t xml:space="preserve"> </w:t>
      </w:r>
      <w:r>
        <w:rPr>
          <w:rFonts w:eastAsia="SimSun"/>
        </w:rPr>
        <w:t xml:space="preserve">Their concerns that the cost of capital </w:t>
      </w:r>
      <w:r>
        <w:rPr>
          <w:rFonts w:eastAsia="SimSun"/>
        </w:rPr>
        <w:lastRenderedPageBreak/>
        <w:t>information will be stale, or that conditions could have changed since the rates were last set, I believe are over exaggerated and fail to recognize that a full review of all costs, including cost of capital will have occurred in the recently concluded general rate case filing.</w:t>
      </w:r>
      <w:r w:rsidR="00F26B15">
        <w:rPr>
          <w:rFonts w:eastAsia="SimSun"/>
        </w:rPr>
        <w:t xml:space="preserve"> </w:t>
      </w:r>
      <w:r w:rsidRPr="000E051F">
        <w:rPr>
          <w:rFonts w:eastAsia="SimSun"/>
        </w:rPr>
        <w:t xml:space="preserve">The </w:t>
      </w:r>
      <w:r w:rsidR="00804F08">
        <w:rPr>
          <w:rFonts w:eastAsia="SimSun"/>
        </w:rPr>
        <w:t>e</w:t>
      </w:r>
      <w:r w:rsidR="003A49E2">
        <w:rPr>
          <w:rFonts w:eastAsia="SimSun"/>
        </w:rPr>
        <w:t xml:space="preserve">xpedited </w:t>
      </w:r>
      <w:r w:rsidR="00804F08">
        <w:rPr>
          <w:rFonts w:eastAsia="SimSun"/>
        </w:rPr>
        <w:t>r</w:t>
      </w:r>
      <w:r w:rsidR="003A49E2">
        <w:rPr>
          <w:rFonts w:eastAsia="SimSun"/>
        </w:rPr>
        <w:t xml:space="preserve">ate </w:t>
      </w:r>
      <w:r w:rsidR="00804F08">
        <w:rPr>
          <w:rFonts w:eastAsia="SimSun"/>
        </w:rPr>
        <w:t>f</w:t>
      </w:r>
      <w:r w:rsidR="003A49E2">
        <w:rPr>
          <w:rFonts w:eastAsia="SimSun"/>
        </w:rPr>
        <w:t>iling</w:t>
      </w:r>
      <w:r w:rsidR="00EE25F2">
        <w:rPr>
          <w:rFonts w:eastAsia="SimSun"/>
        </w:rPr>
        <w:t xml:space="preserve"> </w:t>
      </w:r>
      <w:r w:rsidRPr="000E051F">
        <w:rPr>
          <w:rFonts w:eastAsia="SimSun"/>
        </w:rPr>
        <w:t>is intended to be limited in nature</w:t>
      </w:r>
      <w:r w:rsidR="00804F08">
        <w:rPr>
          <w:rFonts w:eastAsia="SimSun"/>
        </w:rPr>
        <w:t>,</w:t>
      </w:r>
      <w:r>
        <w:rPr>
          <w:rFonts w:eastAsia="SimSun"/>
        </w:rPr>
        <w:t xml:space="preserve"> </w:t>
      </w:r>
      <w:r w:rsidRPr="000E051F">
        <w:rPr>
          <w:rFonts w:eastAsia="SimSun"/>
        </w:rPr>
        <w:t>to provide for a limited update to costs while brea</w:t>
      </w:r>
      <w:r>
        <w:rPr>
          <w:rFonts w:eastAsia="SimSun"/>
        </w:rPr>
        <w:t>king the cycle of back to back general rate</w:t>
      </w:r>
      <w:r w:rsidR="00437723">
        <w:rPr>
          <w:rFonts w:eastAsia="SimSun"/>
        </w:rPr>
        <w:t xml:space="preserve"> </w:t>
      </w:r>
      <w:r>
        <w:rPr>
          <w:rFonts w:eastAsia="SimSun"/>
        </w:rPr>
        <w:t>cases</w:t>
      </w:r>
      <w:r w:rsidRPr="000E051F">
        <w:rPr>
          <w:rFonts w:eastAsia="SimSun"/>
        </w:rPr>
        <w:t>.</w:t>
      </w:r>
      <w:r w:rsidR="00F26B15">
        <w:rPr>
          <w:rFonts w:eastAsia="SimSun"/>
        </w:rPr>
        <w:t xml:space="preserve"> </w:t>
      </w:r>
      <w:r w:rsidRPr="000E051F">
        <w:rPr>
          <w:rFonts w:eastAsia="SimSun"/>
        </w:rPr>
        <w:t xml:space="preserve">Assuming that </w:t>
      </w:r>
      <w:r>
        <w:rPr>
          <w:rFonts w:eastAsia="SimSun"/>
        </w:rPr>
        <w:t>the expedited rate filing</w:t>
      </w:r>
      <w:r w:rsidRPr="000E051F">
        <w:rPr>
          <w:rFonts w:eastAsia="SimSun"/>
        </w:rPr>
        <w:t xml:space="preserve"> is allowed for up to two years after the cost of capital has been determined in a </w:t>
      </w:r>
      <w:r w:rsidR="00804F08">
        <w:rPr>
          <w:rFonts w:eastAsia="SimSun"/>
        </w:rPr>
        <w:t>general rate case</w:t>
      </w:r>
      <w:r w:rsidRPr="000E051F">
        <w:rPr>
          <w:rFonts w:eastAsia="SimSun"/>
        </w:rPr>
        <w:t xml:space="preserve">, it should be unnecessary for the Commission to require a full cost of capital study to be undertaken in an </w:t>
      </w:r>
      <w:r w:rsidR="00804F08">
        <w:rPr>
          <w:rFonts w:eastAsia="SimSun"/>
        </w:rPr>
        <w:t>e</w:t>
      </w:r>
      <w:r w:rsidR="003A49E2">
        <w:rPr>
          <w:rFonts w:eastAsia="SimSun"/>
        </w:rPr>
        <w:t xml:space="preserve">xpedited </w:t>
      </w:r>
      <w:r w:rsidR="00804F08">
        <w:rPr>
          <w:rFonts w:eastAsia="SimSun"/>
        </w:rPr>
        <w:t>r</w:t>
      </w:r>
      <w:r w:rsidR="003A49E2">
        <w:rPr>
          <w:rFonts w:eastAsia="SimSun"/>
        </w:rPr>
        <w:t xml:space="preserve">ate </w:t>
      </w:r>
      <w:r w:rsidR="00804F08">
        <w:rPr>
          <w:rFonts w:eastAsia="SimSun"/>
        </w:rPr>
        <w:t>f</w:t>
      </w:r>
      <w:r w:rsidR="003A49E2">
        <w:rPr>
          <w:rFonts w:eastAsia="SimSun"/>
        </w:rPr>
        <w:t>iling</w:t>
      </w:r>
      <w:r w:rsidRPr="000E051F">
        <w:rPr>
          <w:rFonts w:eastAsia="SimSun"/>
        </w:rPr>
        <w:t>.</w:t>
      </w:r>
      <w:r w:rsidR="00F26B15">
        <w:rPr>
          <w:rFonts w:eastAsia="SimSun"/>
        </w:rPr>
        <w:t xml:space="preserve"> </w:t>
      </w:r>
      <w:r w:rsidRPr="000E051F">
        <w:rPr>
          <w:rFonts w:eastAsia="SimSun"/>
        </w:rPr>
        <w:t>Utilization of the previously approved cost of capital is also consistent with prior Commission orders in which the previously authorized return on equity remained unchanged, whe</w:t>
      </w:r>
      <w:r>
        <w:rPr>
          <w:rFonts w:eastAsia="SimSun"/>
        </w:rPr>
        <w:t>n</w:t>
      </w:r>
      <w:r w:rsidRPr="000E051F">
        <w:rPr>
          <w:rFonts w:eastAsia="SimSun"/>
        </w:rPr>
        <w:t xml:space="preserve"> the Commission had recently determined </w:t>
      </w:r>
      <w:r w:rsidR="0077523D">
        <w:t>PSE</w:t>
      </w:r>
      <w:r w:rsidR="00E462EF">
        <w:rPr>
          <w:rFonts w:eastAsia="SimSun"/>
        </w:rPr>
        <w:t>’</w:t>
      </w:r>
      <w:r w:rsidRPr="000E051F">
        <w:rPr>
          <w:rFonts w:eastAsia="SimSun"/>
        </w:rPr>
        <w:t xml:space="preserve">s cost of capital in a </w:t>
      </w:r>
      <w:r>
        <w:rPr>
          <w:rFonts w:eastAsia="SimSun"/>
        </w:rPr>
        <w:t>general rate case.</w:t>
      </w:r>
      <w:r>
        <w:rPr>
          <w:rStyle w:val="FootnoteReference"/>
          <w:rFonts w:eastAsia="SimSun"/>
        </w:rPr>
        <w:footnoteReference w:id="135"/>
      </w:r>
      <w:r w:rsidRPr="003C3681">
        <w:rPr>
          <w:rFonts w:eastAsia="SimSun"/>
        </w:rPr>
        <w:t xml:space="preserve"> </w:t>
      </w:r>
    </w:p>
    <w:p w:rsidR="008C5422" w:rsidRDefault="000A2CE8" w:rsidP="00777E1F">
      <w:pPr>
        <w:pStyle w:val="question"/>
      </w:pPr>
      <w:r w:rsidRPr="00342134">
        <w:rPr>
          <w:bCs/>
        </w:rPr>
        <w:t>Q.</w:t>
      </w:r>
      <w:r w:rsidR="008C5422" w:rsidRPr="006C321C">
        <w:tab/>
        <w:t xml:space="preserve">How do you respond to the </w:t>
      </w:r>
      <w:r w:rsidR="00437723">
        <w:t>p</w:t>
      </w:r>
      <w:r w:rsidR="008C5422" w:rsidRPr="006C321C">
        <w:t>arties co</w:t>
      </w:r>
      <w:r w:rsidR="008C5422">
        <w:t>ncerns</w:t>
      </w:r>
      <w:r w:rsidR="008C5422" w:rsidRPr="006C321C">
        <w:t xml:space="preserve"> about the expedited time line?</w:t>
      </w:r>
    </w:p>
    <w:p w:rsidR="00E43C09" w:rsidRDefault="000A2CE8" w:rsidP="00E43C09">
      <w:pPr>
        <w:pStyle w:val="answer"/>
      </w:pPr>
      <w:r>
        <w:t>A.</w:t>
      </w:r>
      <w:r w:rsidR="008C5422" w:rsidRPr="006C321C">
        <w:rPr>
          <w:rFonts w:eastAsia="SimSun"/>
        </w:rPr>
        <w:tab/>
      </w:r>
      <w:r w:rsidR="0077523D">
        <w:t>Mr. </w:t>
      </w:r>
      <w:proofErr w:type="spellStart"/>
      <w:r w:rsidR="008C5422" w:rsidRPr="006C321C">
        <w:rPr>
          <w:rFonts w:eastAsia="SimSun"/>
        </w:rPr>
        <w:t>Brosch</w:t>
      </w:r>
      <w:proofErr w:type="spellEnd"/>
      <w:r w:rsidR="008C5422" w:rsidRPr="006C321C">
        <w:rPr>
          <w:rFonts w:eastAsia="SimSun"/>
        </w:rPr>
        <w:t>,</w:t>
      </w:r>
      <w:r w:rsidR="00561BC8">
        <w:rPr>
          <w:rFonts w:eastAsia="SimSun"/>
        </w:rPr>
        <w:t xml:space="preserve"> </w:t>
      </w:r>
      <w:r w:rsidR="0077523D">
        <w:t>Mr. </w:t>
      </w:r>
      <w:r w:rsidR="008C5422" w:rsidRPr="006C321C">
        <w:rPr>
          <w:rFonts w:eastAsia="SimSun"/>
        </w:rPr>
        <w:t xml:space="preserve">Gorman and </w:t>
      </w:r>
      <w:r w:rsidR="0077523D">
        <w:t>Mr. </w:t>
      </w:r>
      <w:r w:rsidR="008C5422" w:rsidRPr="006C321C">
        <w:rPr>
          <w:rFonts w:eastAsia="SimSun"/>
        </w:rPr>
        <w:t xml:space="preserve">Al-Jabir </w:t>
      </w:r>
      <w:r w:rsidR="003D4042">
        <w:rPr>
          <w:rFonts w:eastAsia="SimSun"/>
        </w:rPr>
        <w:t>express concern about the</w:t>
      </w:r>
      <w:r w:rsidR="008C5422" w:rsidRPr="006C321C">
        <w:rPr>
          <w:rFonts w:eastAsia="SimSun"/>
        </w:rPr>
        <w:t xml:space="preserve"> expedited schedule,</w:t>
      </w:r>
      <w:r w:rsidR="003D4042" w:rsidRPr="003D4042">
        <w:rPr>
          <w:rStyle w:val="FootnoteReference"/>
          <w:rFonts w:eastAsia="SimSun"/>
        </w:rPr>
        <w:t xml:space="preserve"> </w:t>
      </w:r>
      <w:r w:rsidR="003D4042">
        <w:rPr>
          <w:rStyle w:val="FootnoteReference"/>
          <w:rFonts w:eastAsia="SimSun"/>
        </w:rPr>
        <w:footnoteReference w:id="136"/>
      </w:r>
      <w:r w:rsidR="00381306">
        <w:rPr>
          <w:rFonts w:eastAsia="SimSun"/>
        </w:rPr>
        <w:t xml:space="preserve"> </w:t>
      </w:r>
      <w:r w:rsidR="008C5422" w:rsidRPr="006C321C">
        <w:rPr>
          <w:rFonts w:eastAsia="SimSun"/>
        </w:rPr>
        <w:t xml:space="preserve">but what they fail to recognize is that the </w:t>
      </w:r>
      <w:r w:rsidR="00804F08">
        <w:rPr>
          <w:rFonts w:eastAsia="SimSun"/>
        </w:rPr>
        <w:t>e</w:t>
      </w:r>
      <w:r w:rsidR="003A49E2">
        <w:rPr>
          <w:rFonts w:eastAsia="SimSun"/>
        </w:rPr>
        <w:t xml:space="preserve">xpedited </w:t>
      </w:r>
      <w:r w:rsidR="00804F08">
        <w:rPr>
          <w:rFonts w:eastAsia="SimSun"/>
        </w:rPr>
        <w:t>r</w:t>
      </w:r>
      <w:r w:rsidR="003A49E2">
        <w:rPr>
          <w:rFonts w:eastAsia="SimSun"/>
        </w:rPr>
        <w:t xml:space="preserve">ate </w:t>
      </w:r>
      <w:r w:rsidR="00804F08">
        <w:rPr>
          <w:rFonts w:eastAsia="SimSun"/>
        </w:rPr>
        <w:t>f</w:t>
      </w:r>
      <w:r w:rsidR="003A49E2">
        <w:rPr>
          <w:rFonts w:eastAsia="SimSun"/>
        </w:rPr>
        <w:t>iling</w:t>
      </w:r>
      <w:r w:rsidR="00437723">
        <w:rPr>
          <w:rFonts w:eastAsia="SimSun"/>
        </w:rPr>
        <w:t xml:space="preserve"> </w:t>
      </w:r>
      <w:r w:rsidR="008C5422" w:rsidRPr="006C321C">
        <w:rPr>
          <w:rFonts w:eastAsia="SimSun"/>
        </w:rPr>
        <w:t>or limited r</w:t>
      </w:r>
      <w:r w:rsidR="008C5422" w:rsidRPr="006C321C">
        <w:t>ate filing is inten</w:t>
      </w:r>
      <w:r w:rsidR="008C5422">
        <w:t>d</w:t>
      </w:r>
      <w:r w:rsidR="008C5422" w:rsidRPr="006C321C">
        <w:t>ed to be only a limited update</w:t>
      </w:r>
      <w:r w:rsidR="003D4042">
        <w:t>.</w:t>
      </w:r>
      <w:r w:rsidR="00381306">
        <w:t xml:space="preserve"> </w:t>
      </w:r>
      <w:r w:rsidR="003D4042">
        <w:t>B</w:t>
      </w:r>
      <w:r w:rsidR="008C5422" w:rsidRPr="006C321C">
        <w:rPr>
          <w:rFonts w:eastAsia="SimSun"/>
        </w:rPr>
        <w:t xml:space="preserve">y utilizing the </w:t>
      </w:r>
      <w:r w:rsidR="008C5422">
        <w:rPr>
          <w:rFonts w:eastAsia="SimSun"/>
        </w:rPr>
        <w:t>C</w:t>
      </w:r>
      <w:r w:rsidR="008C5422" w:rsidRPr="006C321C">
        <w:rPr>
          <w:rFonts w:eastAsia="SimSun"/>
        </w:rPr>
        <w:t xml:space="preserve">ommission </w:t>
      </w:r>
      <w:r w:rsidR="008C5422">
        <w:rPr>
          <w:rFonts w:eastAsia="SimSun"/>
        </w:rPr>
        <w:t>B</w:t>
      </w:r>
      <w:r w:rsidR="008C5422" w:rsidRPr="006C321C">
        <w:rPr>
          <w:rFonts w:eastAsia="SimSun"/>
        </w:rPr>
        <w:t xml:space="preserve">asis </w:t>
      </w:r>
      <w:r w:rsidR="008C5422">
        <w:rPr>
          <w:rFonts w:eastAsia="SimSun"/>
        </w:rPr>
        <w:t>R</w:t>
      </w:r>
      <w:r w:rsidR="008C5422" w:rsidRPr="006C321C">
        <w:rPr>
          <w:rFonts w:eastAsia="SimSun"/>
        </w:rPr>
        <w:t>eport format that is well established</w:t>
      </w:r>
      <w:r w:rsidR="008C5422" w:rsidRPr="006C321C">
        <w:t xml:space="preserve"> and</w:t>
      </w:r>
      <w:r w:rsidR="008C5422" w:rsidRPr="006C321C">
        <w:rPr>
          <w:rFonts w:eastAsia="SimSun"/>
        </w:rPr>
        <w:t xml:space="preserve"> includes only limited restating adjustments </w:t>
      </w:r>
      <w:r w:rsidR="008C5422">
        <w:rPr>
          <w:rFonts w:eastAsia="SimSun"/>
        </w:rPr>
        <w:t>with consistent methodologies</w:t>
      </w:r>
      <w:r w:rsidR="00804F08">
        <w:rPr>
          <w:rFonts w:eastAsia="SimSun"/>
        </w:rPr>
        <w:t>,</w:t>
      </w:r>
      <w:r w:rsidR="00561BC8">
        <w:rPr>
          <w:rFonts w:eastAsia="SimSun"/>
        </w:rPr>
        <w:t xml:space="preserve"> </w:t>
      </w:r>
      <w:r w:rsidR="003D4042">
        <w:rPr>
          <w:rFonts w:eastAsia="SimSun"/>
        </w:rPr>
        <w:t xml:space="preserve">this </w:t>
      </w:r>
      <w:r w:rsidR="00561BC8">
        <w:rPr>
          <w:rFonts w:eastAsia="SimSun"/>
        </w:rPr>
        <w:t>will allow</w:t>
      </w:r>
      <w:r w:rsidR="008C5422">
        <w:rPr>
          <w:rFonts w:eastAsia="SimSun"/>
        </w:rPr>
        <w:t xml:space="preserve"> the </w:t>
      </w:r>
      <w:r w:rsidR="008C5422">
        <w:rPr>
          <w:rFonts w:eastAsia="SimSun"/>
        </w:rPr>
        <w:lastRenderedPageBreak/>
        <w:t xml:space="preserve">review </w:t>
      </w:r>
      <w:r w:rsidR="00561BC8">
        <w:rPr>
          <w:rFonts w:eastAsia="SimSun"/>
        </w:rPr>
        <w:t xml:space="preserve">to </w:t>
      </w:r>
      <w:r w:rsidR="008C5422">
        <w:rPr>
          <w:rFonts w:eastAsia="SimSun"/>
        </w:rPr>
        <w:t xml:space="preserve">be completed in </w:t>
      </w:r>
      <w:r w:rsidR="00437723">
        <w:rPr>
          <w:rFonts w:eastAsia="SimSun"/>
        </w:rPr>
        <w:t xml:space="preserve">an </w:t>
      </w:r>
      <w:r w:rsidR="008C5422">
        <w:rPr>
          <w:rFonts w:eastAsia="SimSun"/>
        </w:rPr>
        <w:t>expedited manner</w:t>
      </w:r>
      <w:r w:rsidR="003D4042">
        <w:rPr>
          <w:rFonts w:eastAsia="SimSun"/>
        </w:rPr>
        <w:t xml:space="preserve"> without prejudice to any party</w:t>
      </w:r>
      <w:r w:rsidR="008C5422">
        <w:rPr>
          <w:rFonts w:eastAsia="SimSun"/>
        </w:rPr>
        <w:t>.</w:t>
      </w:r>
      <w:r w:rsidR="00F26B15">
        <w:rPr>
          <w:rFonts w:eastAsia="SimSun"/>
        </w:rPr>
        <w:t xml:space="preserve"> </w:t>
      </w:r>
      <w:r w:rsidR="008C5422" w:rsidRPr="006C321C">
        <w:rPr>
          <w:rFonts w:eastAsia="SimSun"/>
        </w:rPr>
        <w:t>By removing power costs and pro</w:t>
      </w:r>
      <w:r w:rsidR="00804F08">
        <w:rPr>
          <w:rFonts w:eastAsia="SimSun"/>
        </w:rPr>
        <w:t xml:space="preserve"> </w:t>
      </w:r>
      <w:r w:rsidR="008C5422" w:rsidRPr="006C321C">
        <w:rPr>
          <w:rFonts w:eastAsia="SimSun"/>
        </w:rPr>
        <w:t>forma adjustments</w:t>
      </w:r>
      <w:r w:rsidR="008C5422">
        <w:rPr>
          <w:rFonts w:eastAsia="SimSun"/>
        </w:rPr>
        <w:t>,</w:t>
      </w:r>
      <w:r w:rsidR="008C5422" w:rsidRPr="006C321C">
        <w:rPr>
          <w:rFonts w:eastAsia="SimSun"/>
        </w:rPr>
        <w:t xml:space="preserve"> </w:t>
      </w:r>
      <w:r w:rsidR="008C5422" w:rsidRPr="006C321C">
        <w:t xml:space="preserve">which typically are more contentious, the </w:t>
      </w:r>
      <w:r w:rsidR="00CB02CF">
        <w:t>expedited</w:t>
      </w:r>
      <w:r w:rsidR="00CB02CF" w:rsidRPr="006C321C">
        <w:t xml:space="preserve"> </w:t>
      </w:r>
      <w:r w:rsidR="008C5422" w:rsidRPr="006C321C">
        <w:t xml:space="preserve">timeline </w:t>
      </w:r>
      <w:r w:rsidR="00CB02CF">
        <w:t>is reasonable</w:t>
      </w:r>
      <w:r w:rsidR="008C5422" w:rsidRPr="006C321C">
        <w:t>.</w:t>
      </w:r>
      <w:r w:rsidR="00F26B15">
        <w:t xml:space="preserve"> </w:t>
      </w:r>
      <w:r w:rsidR="00771706">
        <w:rPr>
          <w:bCs/>
        </w:rPr>
        <w:t xml:space="preserve">Commission </w:t>
      </w:r>
      <w:r w:rsidR="00771706">
        <w:t>Staff</w:t>
      </w:r>
      <w:r w:rsidR="008C5422">
        <w:t xml:space="preserve"> </w:t>
      </w:r>
      <w:r w:rsidR="00CB02CF">
        <w:t xml:space="preserve">concurs </w:t>
      </w:r>
      <w:r w:rsidR="008C5422">
        <w:t xml:space="preserve">that an </w:t>
      </w:r>
      <w:r w:rsidR="00804F08">
        <w:rPr>
          <w:rFonts w:eastAsia="SimSun"/>
        </w:rPr>
        <w:t>e</w:t>
      </w:r>
      <w:r w:rsidR="003A49E2">
        <w:rPr>
          <w:rFonts w:eastAsia="SimSun"/>
        </w:rPr>
        <w:t xml:space="preserve">xpedited </w:t>
      </w:r>
      <w:r w:rsidR="00804F08">
        <w:rPr>
          <w:rFonts w:eastAsia="SimSun"/>
        </w:rPr>
        <w:t>r</w:t>
      </w:r>
      <w:r w:rsidR="003A49E2">
        <w:rPr>
          <w:rFonts w:eastAsia="SimSun"/>
        </w:rPr>
        <w:t xml:space="preserve">ate </w:t>
      </w:r>
      <w:r w:rsidR="00804F08">
        <w:rPr>
          <w:rFonts w:eastAsia="SimSun"/>
        </w:rPr>
        <w:t>f</w:t>
      </w:r>
      <w:r w:rsidR="003A49E2">
        <w:rPr>
          <w:rFonts w:eastAsia="SimSun"/>
        </w:rPr>
        <w:t>iling</w:t>
      </w:r>
      <w:r w:rsidR="008C5422">
        <w:t xml:space="preserve"> can be completed in this timeframe</w:t>
      </w:r>
      <w:r w:rsidR="00B763E8">
        <w:t>.</w:t>
      </w:r>
      <w:r w:rsidR="008C5422">
        <w:rPr>
          <w:rStyle w:val="FootnoteReference"/>
        </w:rPr>
        <w:footnoteReference w:id="137"/>
      </w:r>
    </w:p>
    <w:p w:rsidR="00E43C09" w:rsidRDefault="000A2CE8" w:rsidP="00777E1F">
      <w:pPr>
        <w:pStyle w:val="question"/>
      </w:pPr>
      <w:r w:rsidRPr="00342134">
        <w:rPr>
          <w:bCs/>
        </w:rPr>
        <w:t>Q.</w:t>
      </w:r>
      <w:r w:rsidR="008C5422" w:rsidRPr="00E43C09">
        <w:tab/>
      </w:r>
      <w:r w:rsidR="0077523D">
        <w:t>Mr. </w:t>
      </w:r>
      <w:proofErr w:type="spellStart"/>
      <w:r w:rsidR="008C5422" w:rsidRPr="00E43C09">
        <w:t>Brosch</w:t>
      </w:r>
      <w:proofErr w:type="spellEnd"/>
      <w:r w:rsidR="008C5422" w:rsidRPr="00E43C09">
        <w:t xml:space="preserve"> suggests that</w:t>
      </w:r>
      <w:r w:rsidR="00561BC8" w:rsidRPr="00E43C09">
        <w:t xml:space="preserve"> an</w:t>
      </w:r>
      <w:r w:rsidR="00B763E8">
        <w:t xml:space="preserve"> e</w:t>
      </w:r>
      <w:r w:rsidR="00561BC8" w:rsidRPr="00E43C09">
        <w:t xml:space="preserve">xpedited </w:t>
      </w:r>
      <w:r w:rsidR="00B763E8">
        <w:t>r</w:t>
      </w:r>
      <w:r w:rsidR="00561BC8" w:rsidRPr="00E43C09">
        <w:t xml:space="preserve">ate </w:t>
      </w:r>
      <w:r w:rsidR="00B763E8">
        <w:t>f</w:t>
      </w:r>
      <w:r w:rsidR="00561BC8" w:rsidRPr="00E43C09">
        <w:t>iling</w:t>
      </w:r>
      <w:r w:rsidR="008C5422" w:rsidRPr="00E43C09">
        <w:t xml:space="preserve"> should be limited to a period of 12 months after the issuance of </w:t>
      </w:r>
      <w:r w:rsidR="003A49E2" w:rsidRPr="00E43C09">
        <w:t xml:space="preserve">the </w:t>
      </w:r>
      <w:r w:rsidR="008C5422" w:rsidRPr="00E43C09">
        <w:t xml:space="preserve">final order in a general rate case rather than the two year period that </w:t>
      </w:r>
      <w:r w:rsidR="0077523D">
        <w:t>PSE</w:t>
      </w:r>
      <w:r w:rsidR="008C5422" w:rsidRPr="00E43C09">
        <w:t xml:space="preserve"> originally proposed.</w:t>
      </w:r>
      <w:r w:rsidR="0075223F">
        <w:rPr>
          <w:rStyle w:val="FootnoteReference"/>
        </w:rPr>
        <w:footnoteReference w:id="138"/>
      </w:r>
      <w:r w:rsidR="008C5422" w:rsidRPr="00E43C09">
        <w:t xml:space="preserve"> Do you agree with that timeframe?</w:t>
      </w:r>
    </w:p>
    <w:p w:rsidR="00E43C09" w:rsidRDefault="008C5422" w:rsidP="00E43C09">
      <w:pPr>
        <w:pStyle w:val="answer"/>
        <w:rPr>
          <w:b/>
        </w:rPr>
      </w:pPr>
      <w:r w:rsidRPr="00E43C09">
        <w:t>A.</w:t>
      </w:r>
      <w:r w:rsidRPr="00E43C09">
        <w:tab/>
      </w:r>
      <w:r w:rsidR="003A49E2" w:rsidRPr="00E43C09">
        <w:t>Not entirely.</w:t>
      </w:r>
      <w:r w:rsidR="00F26B15">
        <w:t xml:space="preserve"> </w:t>
      </w:r>
      <w:r w:rsidRPr="00E43C09">
        <w:t xml:space="preserve">I support the filing of an initial </w:t>
      </w:r>
      <w:r w:rsidR="003A49E2" w:rsidRPr="00E43C09">
        <w:t>expedited rate filing</w:t>
      </w:r>
      <w:r w:rsidRPr="00E43C09">
        <w:t xml:space="preserve"> within 12 months of the final order from a general rate case proceeding, however, I </w:t>
      </w:r>
      <w:r w:rsidR="003A49E2" w:rsidRPr="00E43C09">
        <w:t xml:space="preserve">believe </w:t>
      </w:r>
      <w:r w:rsidR="00CB02CF">
        <w:t xml:space="preserve">PSE </w:t>
      </w:r>
      <w:r w:rsidR="003A49E2" w:rsidRPr="00E43C09">
        <w:t>should have</w:t>
      </w:r>
      <w:r w:rsidRPr="00E43C09">
        <w:t xml:space="preserve"> the ability to file a second ERF within the 12 months </w:t>
      </w:r>
      <w:r w:rsidR="003A49E2" w:rsidRPr="00E43C09">
        <w:t xml:space="preserve">following the </w:t>
      </w:r>
      <w:r w:rsidRPr="00E43C09">
        <w:t xml:space="preserve">completion of an </w:t>
      </w:r>
      <w:r w:rsidR="00CB02CF">
        <w:rPr>
          <w:rFonts w:eastAsia="SimSun"/>
        </w:rPr>
        <w:t>e</w:t>
      </w:r>
      <w:r w:rsidR="00CB02CF" w:rsidRPr="00E43C09">
        <w:rPr>
          <w:rFonts w:eastAsia="SimSun"/>
        </w:rPr>
        <w:t xml:space="preserve">xpedited </w:t>
      </w:r>
      <w:r w:rsidR="00CB02CF">
        <w:rPr>
          <w:rFonts w:eastAsia="SimSun"/>
        </w:rPr>
        <w:t>r</w:t>
      </w:r>
      <w:r w:rsidR="00CB02CF" w:rsidRPr="00E43C09">
        <w:rPr>
          <w:rFonts w:eastAsia="SimSun"/>
        </w:rPr>
        <w:t xml:space="preserve">ate </w:t>
      </w:r>
      <w:r w:rsidR="00CB02CF">
        <w:rPr>
          <w:rFonts w:eastAsia="SimSun"/>
        </w:rPr>
        <w:t>f</w:t>
      </w:r>
      <w:r w:rsidR="00CB02CF" w:rsidRPr="00E43C09">
        <w:rPr>
          <w:rFonts w:eastAsia="SimSun"/>
        </w:rPr>
        <w:t>iling</w:t>
      </w:r>
      <w:r w:rsidRPr="00E43C09">
        <w:t>, a process that was discussed in the draft rules.</w:t>
      </w:r>
      <w:r w:rsidR="00F26B15">
        <w:t xml:space="preserve"> </w:t>
      </w:r>
      <w:r w:rsidR="00CB02CF" w:rsidRPr="00E43C09">
        <w:t xml:space="preserve">The opportunity to file more than one </w:t>
      </w:r>
      <w:r w:rsidR="00CB02CF">
        <w:rPr>
          <w:rFonts w:eastAsia="SimSun"/>
        </w:rPr>
        <w:t>e</w:t>
      </w:r>
      <w:r w:rsidR="00CB02CF" w:rsidRPr="00E43C09">
        <w:rPr>
          <w:rFonts w:eastAsia="SimSun"/>
        </w:rPr>
        <w:t xml:space="preserve">xpedited </w:t>
      </w:r>
      <w:r w:rsidR="00CB02CF">
        <w:rPr>
          <w:rFonts w:eastAsia="SimSun"/>
        </w:rPr>
        <w:t>r</w:t>
      </w:r>
      <w:r w:rsidR="00CB02CF" w:rsidRPr="00E43C09">
        <w:rPr>
          <w:rFonts w:eastAsia="SimSun"/>
        </w:rPr>
        <w:t xml:space="preserve">ate </w:t>
      </w:r>
      <w:r w:rsidR="00CB02CF">
        <w:rPr>
          <w:rFonts w:eastAsia="SimSun"/>
        </w:rPr>
        <w:t>f</w:t>
      </w:r>
      <w:r w:rsidR="00CB02CF" w:rsidRPr="00E43C09">
        <w:rPr>
          <w:rFonts w:eastAsia="SimSun"/>
        </w:rPr>
        <w:t>iling</w:t>
      </w:r>
      <w:r w:rsidR="00CB02CF" w:rsidRPr="00E43C09">
        <w:t xml:space="preserve"> is consistent with the approach proposed by Public Counsel in PSE</w:t>
      </w:r>
      <w:r w:rsidR="00E462EF">
        <w:t>’</w:t>
      </w:r>
      <w:r w:rsidR="00CB02CF" w:rsidRPr="00E43C09">
        <w:t>s Decoupling/</w:t>
      </w:r>
      <w:r w:rsidR="00CB02CF" w:rsidRPr="00E43C09">
        <w:rPr>
          <w:rFonts w:eastAsia="SimSun"/>
        </w:rPr>
        <w:t>Expedited Rate Filing</w:t>
      </w:r>
      <w:r w:rsidR="00CB02CF" w:rsidRPr="00E43C09">
        <w:t xml:space="preserve"> proceeding</w:t>
      </w:r>
      <w:r w:rsidR="00CB02CF">
        <w:t>.</w:t>
      </w:r>
      <w:r w:rsidR="00F26B15">
        <w:t xml:space="preserve"> </w:t>
      </w:r>
      <w:r w:rsidR="00CB02CF">
        <w:t>In that 2013 case,</w:t>
      </w:r>
      <w:r w:rsidR="00F26B15">
        <w:t xml:space="preserve"> </w:t>
      </w:r>
      <w:r w:rsidR="00CB02CF" w:rsidRPr="00E43C09">
        <w:t>Public Counsel opposed the multi-year rate plan and proposed that instead of the K-Factor</w:t>
      </w:r>
      <w:r w:rsidRPr="00E43C09">
        <w:t xml:space="preserve">, PSE be allowed to file two expedited rate filings within the </w:t>
      </w:r>
      <w:r w:rsidR="00561BC8" w:rsidRPr="00E43C09">
        <w:t>stay</w:t>
      </w:r>
      <w:r w:rsidR="003A49E2" w:rsidRPr="00E43C09">
        <w:t>-</w:t>
      </w:r>
      <w:r w:rsidR="00561BC8" w:rsidRPr="00E43C09">
        <w:t>out</w:t>
      </w:r>
      <w:r w:rsidR="00F26B15">
        <w:t xml:space="preserve"> </w:t>
      </w:r>
      <w:r w:rsidRPr="00E43C09">
        <w:t>period.</w:t>
      </w:r>
      <w:r w:rsidR="00437723">
        <w:rPr>
          <w:rStyle w:val="FootnoteReference"/>
        </w:rPr>
        <w:footnoteReference w:id="139"/>
      </w:r>
      <w:r w:rsidRPr="00E43C09">
        <w:rPr>
          <w:b/>
        </w:rPr>
        <w:t xml:space="preserve"> </w:t>
      </w:r>
    </w:p>
    <w:p w:rsidR="00E43C09" w:rsidRPr="00E43C09" w:rsidRDefault="008C5422" w:rsidP="00777E1F">
      <w:pPr>
        <w:pStyle w:val="question"/>
      </w:pPr>
      <w:r w:rsidRPr="00E43C09">
        <w:lastRenderedPageBreak/>
        <w:t>Q.</w:t>
      </w:r>
      <w:r w:rsidRPr="00E43C09">
        <w:tab/>
      </w:r>
      <w:r w:rsidR="0077523D">
        <w:t>Mr. </w:t>
      </w:r>
      <w:r w:rsidRPr="00E43C09">
        <w:t xml:space="preserve">Gorman claims that an </w:t>
      </w:r>
      <w:r w:rsidR="00CB02CF">
        <w:t>e</w:t>
      </w:r>
      <w:r w:rsidR="00CB02CF" w:rsidRPr="00E43C09">
        <w:t xml:space="preserve">xpedited </w:t>
      </w:r>
      <w:r w:rsidR="00CB02CF">
        <w:t>r</w:t>
      </w:r>
      <w:r w:rsidR="00CB02CF" w:rsidRPr="00E43C09">
        <w:t xml:space="preserve">ate </w:t>
      </w:r>
      <w:r w:rsidR="00CB02CF">
        <w:t>f</w:t>
      </w:r>
      <w:r w:rsidR="00CB02CF" w:rsidRPr="00E43C09">
        <w:t xml:space="preserve">iling </w:t>
      </w:r>
      <w:r w:rsidRPr="00E43C09">
        <w:t>would discourage efficient company operations.</w:t>
      </w:r>
      <w:r w:rsidR="00EF2AD7">
        <w:rPr>
          <w:rStyle w:val="FootnoteReference"/>
        </w:rPr>
        <w:footnoteReference w:id="140"/>
      </w:r>
      <w:r w:rsidR="00F26B15">
        <w:t xml:space="preserve"> </w:t>
      </w:r>
      <w:r w:rsidRPr="00E43C09">
        <w:t>Do you agree?</w:t>
      </w:r>
    </w:p>
    <w:p w:rsidR="00E43C09" w:rsidRDefault="008C5422" w:rsidP="00E43C09">
      <w:pPr>
        <w:pStyle w:val="answer"/>
      </w:pPr>
      <w:r w:rsidRPr="00E43C09">
        <w:t>A.</w:t>
      </w:r>
      <w:r w:rsidRPr="00E43C09">
        <w:tab/>
        <w:t>No.</w:t>
      </w:r>
      <w:r w:rsidR="00F26B15">
        <w:t xml:space="preserve"> </w:t>
      </w:r>
      <w:r w:rsidR="00CB02CF">
        <w:t>PSE</w:t>
      </w:r>
      <w:r w:rsidRPr="00E43C09">
        <w:t xml:space="preserve"> always has an incentive for efficient operations</w:t>
      </w:r>
      <w:r w:rsidR="00097934">
        <w:t>,</w:t>
      </w:r>
      <w:r w:rsidRPr="00E43C09">
        <w:t xml:space="preserve"> and</w:t>
      </w:r>
      <w:r w:rsidR="00097934">
        <w:t>,</w:t>
      </w:r>
      <w:r w:rsidRPr="00E43C09">
        <w:t xml:space="preserve"> even with an </w:t>
      </w:r>
      <w:r w:rsidR="00CB02CF">
        <w:t>e</w:t>
      </w:r>
      <w:r w:rsidR="00CB02CF" w:rsidRPr="00E43C09">
        <w:t xml:space="preserve">xpedited </w:t>
      </w:r>
      <w:r w:rsidR="00CB02CF">
        <w:t>r</w:t>
      </w:r>
      <w:r w:rsidR="00CB02CF" w:rsidRPr="00E43C09">
        <w:t xml:space="preserve">ate </w:t>
      </w:r>
      <w:r w:rsidR="00CB02CF">
        <w:t>f</w:t>
      </w:r>
      <w:r w:rsidR="00CB02CF" w:rsidRPr="00E43C09">
        <w:t>iling</w:t>
      </w:r>
      <w:r w:rsidR="00097934">
        <w:t>,</w:t>
      </w:r>
      <w:r w:rsidR="00CB02CF" w:rsidRPr="00E43C09">
        <w:t xml:space="preserve"> </w:t>
      </w:r>
      <w:r w:rsidR="0077523D">
        <w:t>PSE</w:t>
      </w:r>
      <w:r w:rsidR="00CB02CF" w:rsidRPr="00E43C09">
        <w:t xml:space="preserve"> </w:t>
      </w:r>
      <w:r w:rsidRPr="00E43C09">
        <w:t xml:space="preserve">must be able to support </w:t>
      </w:r>
      <w:r w:rsidR="00437723">
        <w:t xml:space="preserve">that </w:t>
      </w:r>
      <w:r w:rsidRPr="00E43C09">
        <w:t xml:space="preserve">the costs included in its filing are reasonable. </w:t>
      </w:r>
      <w:r w:rsidR="00CB02CF">
        <w:t xml:space="preserve">Moreover, to the extent parties believe that regulatory lag encourages efficiency, the expedited rate filing does not completely remove regulatory lag—it </w:t>
      </w:r>
      <w:r w:rsidR="00EF2AD7">
        <w:t xml:space="preserve">only serves to </w:t>
      </w:r>
      <w:r w:rsidR="00097934">
        <w:t>lessen</w:t>
      </w:r>
      <w:r w:rsidR="00CB02CF">
        <w:t xml:space="preserve"> it.</w:t>
      </w:r>
      <w:r w:rsidR="00F26B15">
        <w:t xml:space="preserve"> </w:t>
      </w:r>
      <w:r w:rsidR="00CB02CF">
        <w:t>As PSE demonstrated in its 2013 proceeding, under the traditional ratemaking model PSE was unable to earn its authorized rate of return for several years, despite filing multiple rate proceedings. Therefore, the expedited rate filing provides a reasonable and balanced approach that continues to encourage efficient operations.</w:t>
      </w:r>
      <w:r w:rsidRPr="00E43C09">
        <w:t xml:space="preserve"> </w:t>
      </w:r>
    </w:p>
    <w:p w:rsidR="00E43C09" w:rsidRPr="00E43C09" w:rsidRDefault="000A2CE8" w:rsidP="00777E1F">
      <w:pPr>
        <w:pStyle w:val="question"/>
      </w:pPr>
      <w:r w:rsidRPr="00342134">
        <w:rPr>
          <w:bCs/>
        </w:rPr>
        <w:t>Q.</w:t>
      </w:r>
      <w:r w:rsidR="008C5422" w:rsidRPr="00E43C09">
        <w:tab/>
        <w:t xml:space="preserve">Public Counsel discusses the number of </w:t>
      </w:r>
      <w:r w:rsidR="00097934">
        <w:t>“</w:t>
      </w:r>
      <w:r w:rsidR="008C5422" w:rsidRPr="00E43C09">
        <w:t>new adjustments</w:t>
      </w:r>
      <w:r w:rsidR="00097934">
        <w:t>”</w:t>
      </w:r>
      <w:r w:rsidR="008C5422" w:rsidRPr="00E43C09">
        <w:t xml:space="preserve"> that occur in a general rate</w:t>
      </w:r>
      <w:r w:rsidR="00437723">
        <w:t xml:space="preserve"> </w:t>
      </w:r>
      <w:r w:rsidR="008C5422" w:rsidRPr="00E43C09">
        <w:t xml:space="preserve">case that would not be included in an </w:t>
      </w:r>
      <w:r w:rsidR="00097934" w:rsidRPr="00E43C09">
        <w:t>expedited rate filing</w:t>
      </w:r>
      <w:r w:rsidR="008C5422" w:rsidRPr="00E43C09">
        <w:t>.</w:t>
      </w:r>
      <w:r w:rsidR="00F26B15">
        <w:t xml:space="preserve"> </w:t>
      </w:r>
      <w:r w:rsidR="008C5422" w:rsidRPr="00E43C09">
        <w:t>Should this be a concern?</w:t>
      </w:r>
    </w:p>
    <w:p w:rsidR="008C5422" w:rsidRPr="00E43C09" w:rsidRDefault="008C5422" w:rsidP="00E43C09">
      <w:pPr>
        <w:pStyle w:val="answer"/>
      </w:pPr>
      <w:r w:rsidRPr="00E43C09">
        <w:t>A.</w:t>
      </w:r>
      <w:r w:rsidRPr="00E43C09">
        <w:tab/>
        <w:t>No. Public Counsel compares the number of adjustments included in a general rate</w:t>
      </w:r>
      <w:r w:rsidR="00437723">
        <w:t xml:space="preserve"> </w:t>
      </w:r>
      <w:r w:rsidRPr="00E43C09">
        <w:t>case to the limited adjustments that are included in a C</w:t>
      </w:r>
      <w:r w:rsidR="00CB02CF">
        <w:t xml:space="preserve">ommission </w:t>
      </w:r>
      <w:r w:rsidRPr="00E43C09">
        <w:t>B</w:t>
      </w:r>
      <w:r w:rsidR="00CB02CF">
        <w:t xml:space="preserve">asis </w:t>
      </w:r>
      <w:r w:rsidRPr="00E43C09">
        <w:t>R</w:t>
      </w:r>
      <w:r w:rsidR="00CB02CF">
        <w:t>eport</w:t>
      </w:r>
      <w:r w:rsidRPr="00E43C09">
        <w:t xml:space="preserve"> and distorts the difference to illustrate </w:t>
      </w:r>
      <w:r w:rsidR="00CB02CF">
        <w:t xml:space="preserve">what Public Counsel views to be </w:t>
      </w:r>
      <w:r w:rsidR="00E462EF">
        <w:t>“</w:t>
      </w:r>
      <w:r w:rsidRPr="00E43C09">
        <w:t>a very basic problem with the ERF process</w:t>
      </w:r>
      <w:r w:rsidR="0047560F">
        <w:t>.</w:t>
      </w:r>
      <w:r w:rsidR="00E462EF">
        <w:t>”</w:t>
      </w:r>
      <w:r w:rsidR="00437723">
        <w:rPr>
          <w:rStyle w:val="FootnoteReference"/>
        </w:rPr>
        <w:footnoteReference w:id="141"/>
      </w:r>
      <w:r w:rsidR="00F26B15">
        <w:t xml:space="preserve"> </w:t>
      </w:r>
      <w:r w:rsidR="0077523D">
        <w:t>Mr. </w:t>
      </w:r>
      <w:proofErr w:type="spellStart"/>
      <w:r w:rsidRPr="00E43C09">
        <w:t>Brosch</w:t>
      </w:r>
      <w:proofErr w:type="spellEnd"/>
      <w:r w:rsidRPr="00E43C09">
        <w:t xml:space="preserve"> fails to recognize that the majority of the </w:t>
      </w:r>
      <w:r w:rsidR="00E462EF">
        <w:t>“</w:t>
      </w:r>
      <w:r w:rsidRPr="00E43C09">
        <w:t>new adjustments</w:t>
      </w:r>
      <w:r w:rsidR="00E462EF">
        <w:t>”</w:t>
      </w:r>
      <w:r w:rsidRPr="00E43C09">
        <w:t xml:space="preserve"> that are </w:t>
      </w:r>
      <w:r w:rsidR="00E462EF">
        <w:t>“</w:t>
      </w:r>
      <w:r w:rsidRPr="00E43C09">
        <w:t>unique</w:t>
      </w:r>
      <w:r w:rsidR="00E462EF">
        <w:t>”</w:t>
      </w:r>
      <w:r w:rsidRPr="00E43C09">
        <w:t xml:space="preserve"> to a particular </w:t>
      </w:r>
      <w:r w:rsidR="00CB02CF">
        <w:t xml:space="preserve">general rate </w:t>
      </w:r>
      <w:r w:rsidRPr="00E43C09">
        <w:t>case tend to be one time annualizing or pro</w:t>
      </w:r>
      <w:r w:rsidR="000E47DB">
        <w:t xml:space="preserve"> </w:t>
      </w:r>
      <w:r w:rsidRPr="00E43C09">
        <w:t xml:space="preserve">forma adjustments that are </w:t>
      </w:r>
      <w:r w:rsidRPr="00E43C09">
        <w:lastRenderedPageBreak/>
        <w:t>typically recognizing increases in costs that will be in place during the rate year</w:t>
      </w:r>
      <w:r w:rsidR="00CB02CF">
        <w:t>;</w:t>
      </w:r>
      <w:r w:rsidRPr="00E43C09">
        <w:t xml:space="preserve"> therefore the exclusion</w:t>
      </w:r>
      <w:r w:rsidR="00CB02CF">
        <w:t xml:space="preserve"> of these adjustments</w:t>
      </w:r>
      <w:r w:rsidRPr="00E43C09">
        <w:t xml:space="preserve"> </w:t>
      </w:r>
      <w:r w:rsidRPr="00E43C09">
        <w:rPr>
          <w:i/>
        </w:rPr>
        <w:t>benefits</w:t>
      </w:r>
      <w:r w:rsidRPr="00E43C09">
        <w:t xml:space="preserve"> </w:t>
      </w:r>
      <w:r w:rsidR="00CB02CF">
        <w:t xml:space="preserve">customers, it does </w:t>
      </w:r>
      <w:r w:rsidRPr="00E43C09">
        <w:t>not harm customers.</w:t>
      </w:r>
      <w:r w:rsidR="00F26B15">
        <w:t xml:space="preserve"> </w:t>
      </w:r>
      <w:r w:rsidR="000E47DB" w:rsidRPr="00E43C09">
        <w:t xml:space="preserve">One of the things </w:t>
      </w:r>
      <w:r w:rsidR="000E47DB">
        <w:t>PSE</w:t>
      </w:r>
      <w:r w:rsidR="000E47DB" w:rsidRPr="00E43C09">
        <w:t xml:space="preserve"> forgoes by utilizing an expedited rate filing as opposed to a general rate case is the use of pro</w:t>
      </w:r>
      <w:r w:rsidR="000E47DB">
        <w:t xml:space="preserve"> </w:t>
      </w:r>
      <w:r w:rsidR="000E47DB" w:rsidRPr="00E43C09">
        <w:t>forma adjustments which typically recognize increase</w:t>
      </w:r>
      <w:r w:rsidR="000E47DB">
        <w:t>s</w:t>
      </w:r>
      <w:r w:rsidR="000E47DB" w:rsidRPr="00E43C09">
        <w:t xml:space="preserve"> or changes in costs that occur outside of the test year</w:t>
      </w:r>
      <w:r w:rsidR="000E47DB">
        <w:t>;</w:t>
      </w:r>
      <w:r w:rsidR="000E47DB" w:rsidRPr="00E43C09">
        <w:t xml:space="preserve"> in return the process is more streamlined. </w:t>
      </w:r>
    </w:p>
    <w:p w:rsidR="008C5422" w:rsidRPr="008439D8" w:rsidRDefault="000A2CE8" w:rsidP="008C5422">
      <w:pPr>
        <w:pStyle w:val="question"/>
        <w:widowControl w:val="0"/>
        <w:spacing w:before="120"/>
      </w:pPr>
      <w:r w:rsidRPr="00342134">
        <w:rPr>
          <w:bCs/>
        </w:rPr>
        <w:t>Q.</w:t>
      </w:r>
      <w:r w:rsidR="008C5422">
        <w:tab/>
        <w:t xml:space="preserve">How do you respond to </w:t>
      </w:r>
      <w:r w:rsidR="0077523D">
        <w:t>Mr. </w:t>
      </w:r>
      <w:proofErr w:type="spellStart"/>
      <w:r w:rsidR="008C5422">
        <w:t>Brosch</w:t>
      </w:r>
      <w:r w:rsidR="00E462EF">
        <w:t>’</w:t>
      </w:r>
      <w:r w:rsidR="008C5422">
        <w:t>s</w:t>
      </w:r>
      <w:proofErr w:type="spellEnd"/>
      <w:r w:rsidR="008C5422">
        <w:t xml:space="preserve"> </w:t>
      </w:r>
      <w:r w:rsidR="00437723">
        <w:t xml:space="preserve">statement </w:t>
      </w:r>
      <w:r w:rsidR="008C5422">
        <w:t xml:space="preserve">that </w:t>
      </w:r>
      <w:r w:rsidR="0077523D">
        <w:t>PSE</w:t>
      </w:r>
      <w:r w:rsidR="008C5422">
        <w:t xml:space="preserve"> has not demonstrated that it will face attrition and therefore PSE</w:t>
      </w:r>
      <w:r w:rsidR="00E462EF">
        <w:t>’</w:t>
      </w:r>
      <w:r w:rsidR="008C5422">
        <w:t xml:space="preserve">s request to formalize the </w:t>
      </w:r>
      <w:r w:rsidR="00097934">
        <w:t xml:space="preserve">expedited rate filing </w:t>
      </w:r>
      <w:r w:rsidR="008C5422">
        <w:t>procedures should be rejected?</w:t>
      </w:r>
      <w:r w:rsidR="00437723">
        <w:rPr>
          <w:rStyle w:val="FootnoteReference"/>
        </w:rPr>
        <w:footnoteReference w:id="142"/>
      </w:r>
    </w:p>
    <w:p w:rsidR="008C5422" w:rsidRDefault="008C5422" w:rsidP="00EF2AD7">
      <w:pPr>
        <w:pStyle w:val="answer"/>
      </w:pPr>
      <w:r>
        <w:t>A.</w:t>
      </w:r>
      <w:r>
        <w:tab/>
        <w:t xml:space="preserve">I disagree </w:t>
      </w:r>
      <w:r w:rsidR="00CB02CF">
        <w:t xml:space="preserve">with </w:t>
      </w:r>
      <w:r w:rsidR="0077523D">
        <w:t>Mr. </w:t>
      </w:r>
      <w:proofErr w:type="spellStart"/>
      <w:r w:rsidR="00CB02CF">
        <w:t>Brosch</w:t>
      </w:r>
      <w:r w:rsidR="00E462EF">
        <w:t>’</w:t>
      </w:r>
      <w:r w:rsidR="00CB02CF">
        <w:t>s</w:t>
      </w:r>
      <w:proofErr w:type="spellEnd"/>
      <w:r w:rsidR="00CB02CF">
        <w:t xml:space="preserve"> assertion that a showing of attrition is necessary for an expedited rate filing, and </w:t>
      </w:r>
      <w:r w:rsidR="0077523D">
        <w:t>Mr. </w:t>
      </w:r>
      <w:proofErr w:type="spellStart"/>
      <w:r w:rsidR="00CB02CF">
        <w:t>Brosch</w:t>
      </w:r>
      <w:proofErr w:type="spellEnd"/>
      <w:r w:rsidR="00CB02CF">
        <w:t xml:space="preserve"> provides no support for his viewpoint.</w:t>
      </w:r>
      <w:r w:rsidR="00F26B15">
        <w:t xml:space="preserve"> </w:t>
      </w:r>
      <w:r w:rsidR="00CB02CF">
        <w:t xml:space="preserve">As </w:t>
      </w:r>
      <w:r w:rsidR="0077523D">
        <w:t>Mr. </w:t>
      </w:r>
      <w:r w:rsidR="00CB02CF">
        <w:t>Schooley acknowledges in Commission Staff</w:t>
      </w:r>
      <w:r w:rsidR="00E462EF">
        <w:t>’</w:t>
      </w:r>
      <w:r w:rsidR="00CB02CF">
        <w:t xml:space="preserve">s </w:t>
      </w:r>
      <w:r w:rsidR="00631202">
        <w:t>R</w:t>
      </w:r>
      <w:r w:rsidR="00CB02CF">
        <w:t xml:space="preserve">esponse to </w:t>
      </w:r>
      <w:r w:rsidR="00631202">
        <w:t xml:space="preserve">Public Counsel </w:t>
      </w:r>
      <w:r w:rsidR="00CB02CF">
        <w:t xml:space="preserve">Data Request No. </w:t>
      </w:r>
      <w:r w:rsidR="00EF2AD7">
        <w:t>2</w:t>
      </w:r>
      <w:r w:rsidR="000734E9">
        <w:t>,</w:t>
      </w:r>
      <w:r w:rsidR="00EF2AD7">
        <w:t xml:space="preserve"> </w:t>
      </w:r>
      <w:r w:rsidR="00631202">
        <w:t>the Commission did not state in 2013 that attrition must be shown</w:t>
      </w:r>
      <w:r w:rsidR="00CB02CF">
        <w:t>.</w:t>
      </w:r>
      <w:r w:rsidR="000734E9">
        <w:rPr>
          <w:rStyle w:val="FootnoteReference"/>
        </w:rPr>
        <w:footnoteReference w:id="143"/>
      </w:r>
      <w:r w:rsidR="00F26B15">
        <w:t xml:space="preserve"> </w:t>
      </w:r>
      <w:r w:rsidR="00CB02CF">
        <w:t xml:space="preserve">PSE has in the past filed both a gas tariff increase </w:t>
      </w:r>
      <w:r w:rsidR="00CB02CF" w:rsidRPr="0047560F">
        <w:t>filing</w:t>
      </w:r>
      <w:r w:rsidR="00CB02CF" w:rsidRPr="0047560F">
        <w:rPr>
          <w:rStyle w:val="FootnoteReference"/>
        </w:rPr>
        <w:footnoteReference w:id="144"/>
      </w:r>
      <w:r w:rsidR="00CB02CF" w:rsidRPr="0047560F">
        <w:t xml:space="preserve"> and an expedited rate filing</w:t>
      </w:r>
      <w:r w:rsidR="00CB02CF" w:rsidRPr="0047560F">
        <w:rPr>
          <w:rStyle w:val="FootnoteReference"/>
        </w:rPr>
        <w:footnoteReference w:id="145"/>
      </w:r>
      <w:r w:rsidR="00CB02CF">
        <w:t xml:space="preserve"> that are limited scope filings to update costs.</w:t>
      </w:r>
      <w:r w:rsidR="00F26B15">
        <w:t xml:space="preserve"> </w:t>
      </w:r>
      <w:r w:rsidR="00CB02CF">
        <w:t>Neither the procedural rules nor the Commission past order have required a showing of attrition before su</w:t>
      </w:r>
      <w:r w:rsidR="009D439C">
        <w:t>ch filings can be considered.</w:t>
      </w:r>
      <w:r w:rsidR="00F26B15">
        <w:t xml:space="preserve"> </w:t>
      </w:r>
      <w:r w:rsidR="00CB02CF">
        <w:t>The point here is to add some certainty to these proceedings and from P</w:t>
      </w:r>
      <w:r w:rsidR="0047560F">
        <w:t>SE</w:t>
      </w:r>
      <w:r w:rsidR="00E462EF">
        <w:t>’</w:t>
      </w:r>
      <w:r w:rsidR="0047560F">
        <w:t xml:space="preserve">s and </w:t>
      </w:r>
      <w:r w:rsidR="00771706">
        <w:rPr>
          <w:bCs/>
        </w:rPr>
        <w:t xml:space="preserve">Commission </w:t>
      </w:r>
      <w:r w:rsidR="00771706">
        <w:t>Staff</w:t>
      </w:r>
      <w:r w:rsidR="00E462EF">
        <w:t>’</w:t>
      </w:r>
      <w:r w:rsidR="0047560F">
        <w:t xml:space="preserve">s </w:t>
      </w:r>
      <w:r w:rsidR="0047560F">
        <w:lastRenderedPageBreak/>
        <w:t xml:space="preserve">perspective, </w:t>
      </w:r>
      <w:r w:rsidR="00CB02CF">
        <w:t>the 2013 expedited rate filing is a good model to follow in terms of the procedural timeframe and the scope of the proceeding.</w:t>
      </w:r>
      <w:r w:rsidR="00EF2AD7">
        <w:rPr>
          <w:rStyle w:val="FootnoteReference"/>
        </w:rPr>
        <w:footnoteReference w:id="146"/>
      </w:r>
    </w:p>
    <w:p w:rsidR="00437723" w:rsidRDefault="000A2CE8" w:rsidP="008C5422">
      <w:pPr>
        <w:pStyle w:val="question"/>
        <w:widowControl w:val="0"/>
        <w:spacing w:before="120"/>
      </w:pPr>
      <w:r w:rsidRPr="00342134">
        <w:rPr>
          <w:bCs/>
        </w:rPr>
        <w:t>Q.</w:t>
      </w:r>
      <w:r w:rsidR="008C5422">
        <w:tab/>
        <w:t xml:space="preserve">ICNU witness </w:t>
      </w:r>
      <w:r w:rsidR="0077523D">
        <w:t>Mr. </w:t>
      </w:r>
      <w:r w:rsidR="00CB02CF">
        <w:t xml:space="preserve">Gorman </w:t>
      </w:r>
      <w:r w:rsidR="008C5422">
        <w:t xml:space="preserve">claims an </w:t>
      </w:r>
      <w:r w:rsidR="00CB02CF">
        <w:t>e</w:t>
      </w:r>
      <w:r w:rsidR="00EE25F2">
        <w:t xml:space="preserve">xpedited </w:t>
      </w:r>
      <w:r w:rsidR="00CB02CF">
        <w:t xml:space="preserve">rate filing </w:t>
      </w:r>
      <w:r w:rsidR="008C5422">
        <w:t>is single issue ratemaking.</w:t>
      </w:r>
      <w:r w:rsidR="00EF2AD7">
        <w:rPr>
          <w:rStyle w:val="FootnoteReference"/>
        </w:rPr>
        <w:footnoteReference w:id="147"/>
      </w:r>
      <w:r w:rsidR="00F26B15">
        <w:t xml:space="preserve"> </w:t>
      </w:r>
      <w:r w:rsidR="008C5422">
        <w:t>Do you agree?</w:t>
      </w:r>
    </w:p>
    <w:p w:rsidR="00EE25F2" w:rsidRDefault="008C5422" w:rsidP="00EF2AD7">
      <w:pPr>
        <w:pStyle w:val="answer"/>
      </w:pPr>
      <w:r>
        <w:t>A.</w:t>
      </w:r>
      <w:r>
        <w:tab/>
        <w:t>No.</w:t>
      </w:r>
      <w:r w:rsidR="00F26B15">
        <w:t xml:space="preserve"> </w:t>
      </w:r>
      <w:r w:rsidR="0077523D">
        <w:t>Mr. </w:t>
      </w:r>
      <w:r>
        <w:t>Gorman</w:t>
      </w:r>
      <w:r w:rsidR="00E462EF">
        <w:t>’</w:t>
      </w:r>
      <w:r>
        <w:t xml:space="preserve">s assessment that an </w:t>
      </w:r>
      <w:r w:rsidR="000734E9">
        <w:t>expedited rate filing</w:t>
      </w:r>
      <w:r>
        <w:t xml:space="preserve"> is single issue ratemaking is misplaced.</w:t>
      </w:r>
      <w:r w:rsidR="00F26B15">
        <w:t xml:space="preserve"> </w:t>
      </w:r>
      <w:r>
        <w:t>Single issue ratemaking tends to be when only one element of the</w:t>
      </w:r>
      <w:r w:rsidR="00F26B15">
        <w:t xml:space="preserve"> </w:t>
      </w:r>
      <w:r>
        <w:t>costs are being addressed.</w:t>
      </w:r>
      <w:r w:rsidR="00F26B15">
        <w:t xml:space="preserve"> </w:t>
      </w:r>
      <w:r w:rsidR="000E47DB">
        <w:t>An ERF is intended as an update to all non-production delivery costs which, based on Washington</w:t>
      </w:r>
      <w:r w:rsidR="00E462EF">
        <w:t>’</w:t>
      </w:r>
      <w:r w:rsidR="000E47DB">
        <w:t>s modified historical test period and use of limited pro forma adjustments, are often stale by the time the rates established in the general rate case become effective.</w:t>
      </w:r>
      <w:r w:rsidR="00F26B15">
        <w:t xml:space="preserve"> </w:t>
      </w:r>
      <w:r>
        <w:t>For example, the rates to be established in this general rate</w:t>
      </w:r>
      <w:r w:rsidR="00437723">
        <w:t xml:space="preserve"> </w:t>
      </w:r>
      <w:r>
        <w:t>case will be effective more than 14 months after the end of the test year and because they are based on the average of monthly average (</w:t>
      </w:r>
      <w:r w:rsidR="00E462EF">
        <w:t>“</w:t>
      </w:r>
      <w:r>
        <w:t>AMA</w:t>
      </w:r>
      <w:r w:rsidR="00E462EF">
        <w:t>”</w:t>
      </w:r>
      <w:r>
        <w:t>) balance</w:t>
      </w:r>
      <w:r w:rsidR="00EE25F2">
        <w:t>s</w:t>
      </w:r>
      <w:r>
        <w:t>,</w:t>
      </w:r>
      <w:r w:rsidR="00F26B15">
        <w:t xml:space="preserve"> </w:t>
      </w:r>
      <w:r>
        <w:t>assets placed in service near the end of the test year are often only partially reflected in the test year.</w:t>
      </w:r>
      <w:r w:rsidR="00F26B15">
        <w:t xml:space="preserve"> </w:t>
      </w:r>
      <w:r>
        <w:t xml:space="preserve">The exclusion of power costs does not result in an </w:t>
      </w:r>
      <w:r w:rsidR="00E43C09">
        <w:t>expedited rate filing</w:t>
      </w:r>
      <w:r>
        <w:t xml:space="preserve"> being single issue ratemaking, but instead recognizes that power costs are set on a future basis utilizing information as close as pos</w:t>
      </w:r>
      <w:r w:rsidRPr="00D613AC">
        <w:t>sible to the estimated costs in the rate year.</w:t>
      </w:r>
      <w:r w:rsidR="00F26B15">
        <w:t xml:space="preserve"> </w:t>
      </w:r>
    </w:p>
    <w:p w:rsidR="00E43C09" w:rsidRDefault="000A2CE8" w:rsidP="008C5422">
      <w:pPr>
        <w:pStyle w:val="question"/>
        <w:widowControl w:val="0"/>
        <w:spacing w:before="120"/>
      </w:pPr>
      <w:r w:rsidRPr="00342134">
        <w:rPr>
          <w:bCs/>
        </w:rPr>
        <w:lastRenderedPageBreak/>
        <w:t>Q.</w:t>
      </w:r>
      <w:r w:rsidR="008C5422">
        <w:tab/>
        <w:t xml:space="preserve">How do you respond to </w:t>
      </w:r>
      <w:r w:rsidR="0077523D">
        <w:t>Mr. </w:t>
      </w:r>
      <w:proofErr w:type="spellStart"/>
      <w:r w:rsidR="008C5422">
        <w:t>Brosch</w:t>
      </w:r>
      <w:proofErr w:type="spellEnd"/>
      <w:r w:rsidR="008C5422">
        <w:t xml:space="preserve"> and </w:t>
      </w:r>
      <w:r w:rsidR="0077523D">
        <w:t>Mr. </w:t>
      </w:r>
      <w:r w:rsidR="008C5422">
        <w:t xml:space="preserve">Gorman who both indicate PSE can choose which costs to include in and </w:t>
      </w:r>
      <w:r w:rsidR="00CB02CF">
        <w:t>expedited rate filing</w:t>
      </w:r>
      <w:r w:rsidR="008C5422">
        <w:t>?</w:t>
      </w:r>
    </w:p>
    <w:p w:rsidR="00DA6161" w:rsidRDefault="000A2CE8" w:rsidP="00DA6161">
      <w:pPr>
        <w:pStyle w:val="Answer0"/>
      </w:pPr>
      <w:r>
        <w:t>A.</w:t>
      </w:r>
      <w:r w:rsidR="008C5422">
        <w:tab/>
        <w:t xml:space="preserve">Both </w:t>
      </w:r>
      <w:r w:rsidR="0077523D">
        <w:t>Mr. </w:t>
      </w:r>
      <w:r w:rsidR="008C5422" w:rsidRPr="00D613AC">
        <w:t>Gorman</w:t>
      </w:r>
      <w:r w:rsidR="008C5422">
        <w:t xml:space="preserve"> and </w:t>
      </w:r>
      <w:r w:rsidR="0077523D">
        <w:t>Mr. </w:t>
      </w:r>
      <w:proofErr w:type="spellStart"/>
      <w:r w:rsidR="008C5422">
        <w:t>Brosch</w:t>
      </w:r>
      <w:proofErr w:type="spellEnd"/>
      <w:r w:rsidR="008C5422">
        <w:t xml:space="preserve"> make</w:t>
      </w:r>
      <w:r w:rsidR="008C5422" w:rsidRPr="00D613AC">
        <w:t xml:space="preserve"> </w:t>
      </w:r>
      <w:r w:rsidR="008C5422">
        <w:t xml:space="preserve">accusations that PSE can </w:t>
      </w:r>
      <w:r w:rsidR="008C5422" w:rsidRPr="00D613AC">
        <w:t xml:space="preserve">cherry pick </w:t>
      </w:r>
      <w:r w:rsidR="008C5422">
        <w:t xml:space="preserve">and include only </w:t>
      </w:r>
      <w:r w:rsidR="00E462EF">
        <w:t>“</w:t>
      </w:r>
      <w:r w:rsidR="008C5422" w:rsidRPr="00D613AC">
        <w:t>certain costs for ERF review</w:t>
      </w:r>
      <w:r w:rsidR="00CB02CF">
        <w:t>.</w:t>
      </w:r>
      <w:r w:rsidR="00E462EF">
        <w:t>”</w:t>
      </w:r>
      <w:r w:rsidR="008C5422" w:rsidRPr="00874669">
        <w:rPr>
          <w:rStyle w:val="FootnoteReference"/>
        </w:rPr>
        <w:footnoteReference w:id="148"/>
      </w:r>
      <w:r w:rsidR="00F26B15">
        <w:t xml:space="preserve"> </w:t>
      </w:r>
      <w:r w:rsidR="008C5422">
        <w:t>This is simply not true</w:t>
      </w:r>
      <w:r w:rsidR="008C5422" w:rsidRPr="00D613AC">
        <w:t>.</w:t>
      </w:r>
      <w:r w:rsidR="00F26B15">
        <w:t xml:space="preserve"> </w:t>
      </w:r>
      <w:r w:rsidR="00E43C09">
        <w:t xml:space="preserve">The </w:t>
      </w:r>
      <w:r w:rsidR="00CB02CF">
        <w:t>expedited rate filing</w:t>
      </w:r>
      <w:r w:rsidR="00CB02CF" w:rsidRPr="00E378CE">
        <w:t xml:space="preserve"> </w:t>
      </w:r>
      <w:r w:rsidR="008C5422" w:rsidRPr="00E378CE">
        <w:t xml:space="preserve">format that PSE used and that the Commission approved was based on the format proposed </w:t>
      </w:r>
      <w:r w:rsidR="008C5422">
        <w:t xml:space="preserve">by </w:t>
      </w:r>
      <w:r w:rsidR="00771706">
        <w:rPr>
          <w:bCs/>
        </w:rPr>
        <w:t xml:space="preserve">Commission </w:t>
      </w:r>
      <w:r w:rsidR="00771706">
        <w:t>Staff</w:t>
      </w:r>
      <w:r w:rsidR="008C5422">
        <w:t xml:space="preserve"> </w:t>
      </w:r>
      <w:r w:rsidR="008C5422" w:rsidRPr="00E378CE">
        <w:t xml:space="preserve">in the 2011 </w:t>
      </w:r>
      <w:r w:rsidR="008C5422">
        <w:t xml:space="preserve">general rate </w:t>
      </w:r>
      <w:r w:rsidR="008C5422" w:rsidRPr="00E378CE">
        <w:t>case.</w:t>
      </w:r>
      <w:r w:rsidR="00F26B15">
        <w:t xml:space="preserve"> </w:t>
      </w:r>
      <w:r w:rsidR="008C5422" w:rsidRPr="00E378CE">
        <w:t>It included a complete matching of revenues and expenses associated with non-production related assets.</w:t>
      </w:r>
      <w:r w:rsidR="00F26B15">
        <w:t xml:space="preserve"> </w:t>
      </w:r>
      <w:r w:rsidR="008C5422" w:rsidRPr="00E378CE">
        <w:t xml:space="preserve">As discussed in that original </w:t>
      </w:r>
      <w:r w:rsidR="000734E9">
        <w:t>e</w:t>
      </w:r>
      <w:r w:rsidR="00E43C09">
        <w:t xml:space="preserve">xpedited </w:t>
      </w:r>
      <w:r w:rsidR="000734E9">
        <w:t>r</w:t>
      </w:r>
      <w:r w:rsidR="00E43C09">
        <w:t xml:space="preserve">ate </w:t>
      </w:r>
      <w:r w:rsidR="000734E9">
        <w:t>f</w:t>
      </w:r>
      <w:r w:rsidR="00E43C09">
        <w:t>iling</w:t>
      </w:r>
      <w:r w:rsidR="008C5422" w:rsidRPr="00E378CE">
        <w:t xml:space="preserve">, excluding </w:t>
      </w:r>
      <w:r w:rsidR="000734E9">
        <w:t>p</w:t>
      </w:r>
      <w:r w:rsidR="008C5422" w:rsidRPr="00E378CE">
        <w:t>ower costs made sense for a number of reasons, the primary one being the power costs are typically reviewed on a forward looking basis and as a result would add unneeded complexity to a filing that is intended to</w:t>
      </w:r>
      <w:r w:rsidR="008C5422">
        <w:t xml:space="preserve"> be</w:t>
      </w:r>
      <w:r w:rsidR="008C5422" w:rsidRPr="00E378CE">
        <w:t xml:space="preserve"> </w:t>
      </w:r>
      <w:r w:rsidR="00E462EF">
        <w:t>“</w:t>
      </w:r>
      <w:r w:rsidR="008C5422" w:rsidRPr="00E378CE">
        <w:t>expeditious</w:t>
      </w:r>
      <w:r w:rsidR="00E462EF">
        <w:t>”</w:t>
      </w:r>
      <w:r w:rsidR="008C5422" w:rsidRPr="00E378CE">
        <w:t>.</w:t>
      </w:r>
      <w:r w:rsidR="00F26B15">
        <w:t xml:space="preserve"> </w:t>
      </w:r>
      <w:r w:rsidR="008C5422" w:rsidRPr="00E378CE">
        <w:t xml:space="preserve">In filing an </w:t>
      </w:r>
      <w:r w:rsidR="000734E9">
        <w:t>expedited rate filing</w:t>
      </w:r>
      <w:r w:rsidR="00231222">
        <w:t>,</w:t>
      </w:r>
      <w:r w:rsidR="008C5422" w:rsidRPr="00E378CE">
        <w:t xml:space="preserve"> </w:t>
      </w:r>
      <w:r w:rsidR="0077523D">
        <w:t>PSE</w:t>
      </w:r>
      <w:r w:rsidR="008C5422" w:rsidRPr="00E378CE">
        <w:t xml:space="preserve"> gives up the opportunity to propose </w:t>
      </w:r>
      <w:r w:rsidR="000E47DB" w:rsidRPr="00E378CE">
        <w:t>pro</w:t>
      </w:r>
      <w:r w:rsidR="000E47DB">
        <w:t xml:space="preserve"> </w:t>
      </w:r>
      <w:r w:rsidR="000E47DB" w:rsidRPr="00E378CE">
        <w:t>forma</w:t>
      </w:r>
      <w:r w:rsidR="008C5422" w:rsidRPr="00E378CE">
        <w:t xml:space="preserve"> adjustments, thus streamlining the process.</w:t>
      </w:r>
      <w:r w:rsidR="00F26B15">
        <w:t xml:space="preserve"> </w:t>
      </w:r>
      <w:r w:rsidR="00231222">
        <w:t>W</w:t>
      </w:r>
      <w:r w:rsidR="008C5422" w:rsidRPr="00E378CE">
        <w:t xml:space="preserve">ith the filing occurring within </w:t>
      </w:r>
      <w:r w:rsidR="00231222">
        <w:t>one</w:t>
      </w:r>
      <w:r w:rsidR="00231222" w:rsidRPr="00E378CE">
        <w:t xml:space="preserve"> </w:t>
      </w:r>
      <w:r w:rsidR="008C5422" w:rsidRPr="00E378CE">
        <w:t xml:space="preserve">to </w:t>
      </w:r>
      <w:r w:rsidR="00231222">
        <w:t>two</w:t>
      </w:r>
      <w:r w:rsidR="008C5422" w:rsidRPr="00E378CE">
        <w:t xml:space="preserve"> years of the completion of a general rate</w:t>
      </w:r>
      <w:r w:rsidR="000C7E6B">
        <w:t xml:space="preserve"> </w:t>
      </w:r>
      <w:r w:rsidR="008C5422" w:rsidRPr="00E378CE">
        <w:t xml:space="preserve">case, an </w:t>
      </w:r>
      <w:r w:rsidR="000734E9">
        <w:t>expedited rate filing</w:t>
      </w:r>
      <w:r w:rsidR="008C5422" w:rsidRPr="00E378CE">
        <w:t xml:space="preserve"> merely represents an update to cost information during the pendency of the case.</w:t>
      </w:r>
      <w:r w:rsidR="00F26B15">
        <w:t xml:space="preserve"> </w:t>
      </w:r>
    </w:p>
    <w:p w:rsidR="008C5422" w:rsidRPr="00D613AC" w:rsidRDefault="000734E9" w:rsidP="00097934">
      <w:pPr>
        <w:pStyle w:val="Answer0"/>
        <w:ind w:firstLine="0"/>
      </w:pPr>
      <w:r>
        <w:t xml:space="preserve">The arguments of ICNU and Public Counsel </w:t>
      </w:r>
      <w:r w:rsidR="008C5422" w:rsidRPr="00D613AC">
        <w:t xml:space="preserve">were rejected by the </w:t>
      </w:r>
      <w:r w:rsidR="008C5422">
        <w:t>C</w:t>
      </w:r>
      <w:r w:rsidR="008C5422" w:rsidRPr="00D613AC">
        <w:t xml:space="preserve">ommission in 2013 </w:t>
      </w:r>
      <w:r w:rsidR="000C7E6B">
        <w:t>when PSE</w:t>
      </w:r>
      <w:r w:rsidR="00E462EF">
        <w:t>’</w:t>
      </w:r>
      <w:r w:rsidR="000C7E6B">
        <w:t xml:space="preserve">s original </w:t>
      </w:r>
      <w:r>
        <w:t xml:space="preserve">expedited rate </w:t>
      </w:r>
      <w:r w:rsidR="000C7E6B">
        <w:t xml:space="preserve">filing was accepted </w:t>
      </w:r>
      <w:r w:rsidR="008C5422" w:rsidRPr="00D613AC">
        <w:t xml:space="preserve">and </w:t>
      </w:r>
      <w:r w:rsidR="000C7E6B">
        <w:t xml:space="preserve">they </w:t>
      </w:r>
      <w:r w:rsidR="008C5422" w:rsidRPr="00D613AC">
        <w:t xml:space="preserve">should </w:t>
      </w:r>
      <w:r w:rsidR="000C7E6B">
        <w:t xml:space="preserve">be </w:t>
      </w:r>
      <w:r w:rsidR="008C5422">
        <w:t xml:space="preserve">rejected </w:t>
      </w:r>
      <w:r w:rsidR="008C5422" w:rsidRPr="00D613AC">
        <w:t>again</w:t>
      </w:r>
      <w:r w:rsidR="008C5422">
        <w:t>.</w:t>
      </w:r>
    </w:p>
    <w:p w:rsidR="00346812" w:rsidRDefault="00831C37" w:rsidP="00771706">
      <w:pPr>
        <w:pStyle w:val="Heading1"/>
      </w:pPr>
      <w:bookmarkStart w:id="71" w:name="_Toc490035626"/>
      <w:r>
        <w:lastRenderedPageBreak/>
        <w:t>IX</w:t>
      </w:r>
      <w:r w:rsidR="00346812">
        <w:t>.</w:t>
      </w:r>
      <w:r w:rsidR="00346812">
        <w:tab/>
        <w:t xml:space="preserve">ELECTRIC COST </w:t>
      </w:r>
      <w:r w:rsidR="00346812" w:rsidRPr="00EF2AD7">
        <w:t>RECOVERY</w:t>
      </w:r>
      <w:r w:rsidR="00346812">
        <w:t xml:space="preserve"> MECHANISM</w:t>
      </w:r>
      <w:bookmarkEnd w:id="71"/>
    </w:p>
    <w:p w:rsidR="00346812" w:rsidRDefault="00346812" w:rsidP="00777E1F">
      <w:pPr>
        <w:pStyle w:val="question"/>
      </w:pPr>
      <w:r w:rsidRPr="00631C52">
        <w:t>Q.</w:t>
      </w:r>
      <w:r w:rsidRPr="00631C52">
        <w:tab/>
      </w:r>
      <w:r>
        <w:t>What is the position of the parties regarding PSE</w:t>
      </w:r>
      <w:r w:rsidR="00E462EF">
        <w:t>’</w:t>
      </w:r>
      <w:r>
        <w:t>s Electric Reliability Plan and its associated Electric Cost Recovery Mechanism?</w:t>
      </w:r>
    </w:p>
    <w:p w:rsidR="00346812" w:rsidRDefault="00346812" w:rsidP="00777E1F">
      <w:pPr>
        <w:pStyle w:val="Answer0"/>
        <w:rPr>
          <w:rFonts w:eastAsia="SimSun"/>
        </w:rPr>
      </w:pPr>
      <w:r>
        <w:t>A.</w:t>
      </w:r>
      <w:r>
        <w:tab/>
        <w:t xml:space="preserve">As addressed in the </w:t>
      </w:r>
      <w:proofErr w:type="spellStart"/>
      <w:r w:rsidR="00777E1F">
        <w:t>Prefiled</w:t>
      </w:r>
      <w:proofErr w:type="spellEnd"/>
      <w:r w:rsidR="00777E1F">
        <w:t xml:space="preserve"> </w:t>
      </w:r>
      <w:r w:rsidR="00231222">
        <w:t>R</w:t>
      </w:r>
      <w:r>
        <w:t xml:space="preserve">ebuttal </w:t>
      </w:r>
      <w:r w:rsidR="00231222">
        <w:t xml:space="preserve">Testimony </w:t>
      </w:r>
      <w:r>
        <w:t>of Catherine A. Koch, Exhibit CAK-4T, all parties oppose the electric cost recovery mechanism</w:t>
      </w:r>
      <w:r w:rsidR="00904AC7">
        <w:t xml:space="preserve"> (</w:t>
      </w:r>
      <w:r w:rsidR="00E462EF">
        <w:t>“</w:t>
      </w:r>
      <w:proofErr w:type="spellStart"/>
      <w:r w:rsidR="00904AC7">
        <w:t>ECRM</w:t>
      </w:r>
      <w:proofErr w:type="spellEnd"/>
      <w:r w:rsidR="00E462EF">
        <w:t>”</w:t>
      </w:r>
      <w:r w:rsidR="00904AC7">
        <w:t>)</w:t>
      </w:r>
      <w:r>
        <w:t>.</w:t>
      </w:r>
      <w:r w:rsidR="00F26B15">
        <w:t xml:space="preserve"> </w:t>
      </w:r>
    </w:p>
    <w:p w:rsidR="00346812" w:rsidRDefault="00346812" w:rsidP="00777E1F">
      <w:pPr>
        <w:pStyle w:val="question"/>
      </w:pPr>
      <w:r w:rsidRPr="00631C52">
        <w:t>Q.</w:t>
      </w:r>
      <w:r w:rsidRPr="00631C52">
        <w:tab/>
        <w:t xml:space="preserve">Are the expenditures to be included in the </w:t>
      </w:r>
      <w:proofErr w:type="spellStart"/>
      <w:r w:rsidRPr="00631C52">
        <w:t>ECRM</w:t>
      </w:r>
      <w:proofErr w:type="spellEnd"/>
      <w:r w:rsidRPr="00631C52">
        <w:t xml:space="preserve"> embedded in PSE</w:t>
      </w:r>
      <w:r w:rsidR="00E462EF">
        <w:t>’</w:t>
      </w:r>
      <w:r w:rsidRPr="00631C52">
        <w:t>s ongoing distribution system maintenance and modernization expenditures</w:t>
      </w:r>
      <w:r>
        <w:t>?</w:t>
      </w:r>
    </w:p>
    <w:p w:rsidR="00346812" w:rsidRDefault="00346812" w:rsidP="00777E1F">
      <w:pPr>
        <w:pStyle w:val="Answer0"/>
        <w:rPr>
          <w:rFonts w:eastAsia="SimSun"/>
        </w:rPr>
      </w:pPr>
      <w:r>
        <w:t>A.</w:t>
      </w:r>
      <w:r>
        <w:tab/>
        <w:t>No.</w:t>
      </w:r>
      <w:r w:rsidR="00F26B15">
        <w:t xml:space="preserve"> </w:t>
      </w:r>
      <w:r>
        <w:rPr>
          <w:rFonts w:eastAsia="SimSun"/>
        </w:rPr>
        <w:t xml:space="preserve">The Electric Reliability Plan as proposed by </w:t>
      </w:r>
      <w:r w:rsidR="0077523D">
        <w:t>Ms. </w:t>
      </w:r>
      <w:r>
        <w:rPr>
          <w:rFonts w:eastAsia="SimSun"/>
        </w:rPr>
        <w:t xml:space="preserve">Koch and its associated cost recovery mechanism represent accelerated replacement of </w:t>
      </w:r>
      <w:r w:rsidR="000734E9">
        <w:rPr>
          <w:rFonts w:eastAsia="SimSun"/>
        </w:rPr>
        <w:t>high m</w:t>
      </w:r>
      <w:r w:rsidR="00904AC7">
        <w:rPr>
          <w:rFonts w:eastAsia="SimSun"/>
        </w:rPr>
        <w:t xml:space="preserve">olecular </w:t>
      </w:r>
      <w:r w:rsidR="000734E9">
        <w:rPr>
          <w:rFonts w:eastAsia="SimSun"/>
        </w:rPr>
        <w:t>w</w:t>
      </w:r>
      <w:r w:rsidR="00904AC7">
        <w:rPr>
          <w:rFonts w:eastAsia="SimSun"/>
        </w:rPr>
        <w:t>eight (</w:t>
      </w:r>
      <w:r w:rsidR="00E462EF">
        <w:rPr>
          <w:rFonts w:eastAsia="SimSun"/>
        </w:rPr>
        <w:t>“</w:t>
      </w:r>
      <w:proofErr w:type="spellStart"/>
      <w:r>
        <w:rPr>
          <w:rFonts w:eastAsia="SimSun"/>
        </w:rPr>
        <w:t>HMW</w:t>
      </w:r>
      <w:proofErr w:type="spellEnd"/>
      <w:r w:rsidR="00E462EF">
        <w:rPr>
          <w:rFonts w:eastAsia="SimSun"/>
        </w:rPr>
        <w:t>”</w:t>
      </w:r>
      <w:r w:rsidR="00904AC7">
        <w:rPr>
          <w:rFonts w:eastAsia="SimSun"/>
        </w:rPr>
        <w:t>)</w:t>
      </w:r>
      <w:r>
        <w:rPr>
          <w:rFonts w:eastAsia="SimSun"/>
        </w:rPr>
        <w:t xml:space="preserve"> </w:t>
      </w:r>
      <w:r w:rsidR="000734E9">
        <w:rPr>
          <w:rFonts w:eastAsia="SimSun"/>
        </w:rPr>
        <w:t>c</w:t>
      </w:r>
      <w:r>
        <w:rPr>
          <w:rFonts w:eastAsia="SimSun"/>
        </w:rPr>
        <w:t xml:space="preserve">able and </w:t>
      </w:r>
      <w:r w:rsidR="000734E9">
        <w:rPr>
          <w:rFonts w:eastAsia="SimSun"/>
        </w:rPr>
        <w:t>w</w:t>
      </w:r>
      <w:r w:rsidR="00904AC7">
        <w:rPr>
          <w:rFonts w:eastAsia="SimSun"/>
        </w:rPr>
        <w:t xml:space="preserve">orst </w:t>
      </w:r>
      <w:r w:rsidR="000734E9">
        <w:rPr>
          <w:rFonts w:eastAsia="SimSun"/>
        </w:rPr>
        <w:t>p</w:t>
      </w:r>
      <w:r w:rsidR="00904AC7">
        <w:rPr>
          <w:rFonts w:eastAsia="SimSun"/>
        </w:rPr>
        <w:t>erf</w:t>
      </w:r>
      <w:r w:rsidR="000734E9">
        <w:rPr>
          <w:rFonts w:eastAsia="SimSun"/>
        </w:rPr>
        <w:t>orming c</w:t>
      </w:r>
      <w:r w:rsidR="00904AC7">
        <w:rPr>
          <w:rFonts w:eastAsia="SimSun"/>
        </w:rPr>
        <w:t>ircuits (</w:t>
      </w:r>
      <w:r w:rsidR="00E462EF">
        <w:rPr>
          <w:rFonts w:eastAsia="SimSun"/>
        </w:rPr>
        <w:t>“</w:t>
      </w:r>
      <w:r>
        <w:rPr>
          <w:rFonts w:eastAsia="SimSun"/>
        </w:rPr>
        <w:t>WPC</w:t>
      </w:r>
      <w:r w:rsidR="00E462EF">
        <w:rPr>
          <w:rFonts w:eastAsia="SimSun"/>
        </w:rPr>
        <w:t>”</w:t>
      </w:r>
      <w:r w:rsidR="00904AC7">
        <w:rPr>
          <w:rFonts w:eastAsia="SimSun"/>
        </w:rPr>
        <w:t>)</w:t>
      </w:r>
      <w:r>
        <w:rPr>
          <w:rFonts w:eastAsia="SimSun"/>
        </w:rPr>
        <w:t xml:space="preserve"> beyond the historic</w:t>
      </w:r>
      <w:r w:rsidR="00C9502E">
        <w:rPr>
          <w:rFonts w:eastAsia="SimSun"/>
        </w:rPr>
        <w:t xml:space="preserve"> spending</w:t>
      </w:r>
      <w:r>
        <w:rPr>
          <w:rFonts w:eastAsia="SimSun"/>
        </w:rPr>
        <w:t xml:space="preserve"> levels with the intention to drive reliability improvements beyond the historic levels</w:t>
      </w:r>
      <w:r w:rsidR="00C9502E">
        <w:rPr>
          <w:rFonts w:eastAsia="SimSun"/>
        </w:rPr>
        <w:t xml:space="preserve"> and eliminate future outages</w:t>
      </w:r>
      <w:r>
        <w:rPr>
          <w:rFonts w:eastAsia="SimSun"/>
        </w:rPr>
        <w:t>.</w:t>
      </w:r>
      <w:r w:rsidR="00F26B15">
        <w:rPr>
          <w:rFonts w:eastAsia="SimSun"/>
        </w:rPr>
        <w:t xml:space="preserve"> </w:t>
      </w:r>
      <w:proofErr w:type="spellStart"/>
      <w:r w:rsidR="00C9502E">
        <w:rPr>
          <w:rFonts w:eastAsia="SimSun"/>
        </w:rPr>
        <w:t>Moreover,t</w:t>
      </w:r>
      <w:r>
        <w:rPr>
          <w:rFonts w:eastAsia="SimSun"/>
        </w:rPr>
        <w:t>he</w:t>
      </w:r>
      <w:r w:rsidR="00C9502E">
        <w:rPr>
          <w:rFonts w:eastAsia="SimSun"/>
        </w:rPr>
        <w:t>se</w:t>
      </w:r>
      <w:proofErr w:type="spellEnd"/>
      <w:r w:rsidR="00C9502E">
        <w:rPr>
          <w:rFonts w:eastAsia="SimSun"/>
        </w:rPr>
        <w:t xml:space="preserve"> reliability</w:t>
      </w:r>
      <w:r>
        <w:rPr>
          <w:rFonts w:eastAsia="SimSun"/>
        </w:rPr>
        <w:t xml:space="preserve"> investments do not create new sources of revenue.</w:t>
      </w:r>
    </w:p>
    <w:p w:rsidR="00346812" w:rsidRDefault="00346812" w:rsidP="00777E1F">
      <w:pPr>
        <w:pStyle w:val="question"/>
      </w:pPr>
      <w:r>
        <w:t xml:space="preserve"> </w:t>
      </w:r>
      <w:r w:rsidRPr="00631C52">
        <w:t>Q.</w:t>
      </w:r>
      <w:r w:rsidRPr="00631C52">
        <w:tab/>
      </w:r>
      <w:r>
        <w:t>ICNU suggests r</w:t>
      </w:r>
      <w:r w:rsidRPr="00F60FE9">
        <w:t xml:space="preserve">ecovery of costs in a rider are </w:t>
      </w:r>
      <w:r>
        <w:t xml:space="preserve">only </w:t>
      </w:r>
      <w:r w:rsidRPr="00F60FE9">
        <w:t>appropriate when those costs are significant, volatile, and beyond the utility</w:t>
      </w:r>
      <w:r w:rsidR="00E462EF">
        <w:t>’</w:t>
      </w:r>
      <w:r w:rsidRPr="00F60FE9">
        <w:t>s control.</w:t>
      </w:r>
      <w:r w:rsidR="00874669">
        <w:rPr>
          <w:rStyle w:val="FootnoteReference"/>
        </w:rPr>
        <w:footnoteReference w:id="149"/>
      </w:r>
      <w:r w:rsidRPr="00F60FE9">
        <w:t xml:space="preserve"> </w:t>
      </w:r>
      <w:r>
        <w:t>Do you agree?</w:t>
      </w:r>
    </w:p>
    <w:p w:rsidR="00346812" w:rsidRPr="00713509" w:rsidRDefault="00346812" w:rsidP="00777E1F">
      <w:pPr>
        <w:pStyle w:val="Answer0"/>
      </w:pPr>
      <w:r>
        <w:t>A.</w:t>
      </w:r>
      <w:r>
        <w:tab/>
        <w:t>No.</w:t>
      </w:r>
      <w:r w:rsidR="00F26B15">
        <w:t xml:space="preserve"> </w:t>
      </w:r>
      <w:r>
        <w:t xml:space="preserve">The proposed plan and mechanism is intended to follow similar processes that have evolved with the gas pipeline replacement plan and cost recovery mechanism and I believe </w:t>
      </w:r>
      <w:r w:rsidR="00231222">
        <w:t xml:space="preserve">is </w:t>
      </w:r>
      <w:r w:rsidR="000E47DB">
        <w:t>consistent with</w:t>
      </w:r>
      <w:r>
        <w:t xml:space="preserve"> the transparency the Commission </w:t>
      </w:r>
      <w:r w:rsidR="00231222">
        <w:lastRenderedPageBreak/>
        <w:t xml:space="preserve">sought in </w:t>
      </w:r>
      <w:r w:rsidR="00CD0DC1">
        <w:t>a</w:t>
      </w:r>
      <w:r w:rsidR="00231222">
        <w:t xml:space="preserve"> recent</w:t>
      </w:r>
      <w:r>
        <w:t xml:space="preserve"> Avista</w:t>
      </w:r>
      <w:r w:rsidR="00231222">
        <w:t xml:space="preserve"> general rate case,</w:t>
      </w:r>
      <w:r w:rsidR="00F26B15">
        <w:t xml:space="preserve"> </w:t>
      </w:r>
      <w:r>
        <w:t>when the</w:t>
      </w:r>
      <w:r w:rsidR="00231222">
        <w:t xml:space="preserve"> Commission</w:t>
      </w:r>
      <w:r>
        <w:t xml:space="preserve"> questioned the higher level of investment in replacing </w:t>
      </w:r>
      <w:r w:rsidR="00231222">
        <w:t>Avista</w:t>
      </w:r>
      <w:r w:rsidR="00E462EF">
        <w:t>’</w:t>
      </w:r>
      <w:r w:rsidR="00231222">
        <w:t xml:space="preserve">s </w:t>
      </w:r>
      <w:r>
        <w:t>aging infrastructure.</w:t>
      </w:r>
      <w:r w:rsidR="00904AC7">
        <w:rPr>
          <w:rStyle w:val="FootnoteReference"/>
        </w:rPr>
        <w:footnoteReference w:id="150"/>
      </w:r>
      <w:r w:rsidR="00F26B15">
        <w:t xml:space="preserve"> </w:t>
      </w:r>
    </w:p>
    <w:p w:rsidR="00346812" w:rsidRPr="00713509" w:rsidRDefault="000A2CE8" w:rsidP="00777E1F">
      <w:pPr>
        <w:pStyle w:val="question"/>
      </w:pPr>
      <w:r w:rsidRPr="00342134">
        <w:rPr>
          <w:bCs/>
        </w:rPr>
        <w:t>Q.</w:t>
      </w:r>
      <w:r w:rsidR="00346812">
        <w:tab/>
        <w:t>How do</w:t>
      </w:r>
      <w:r w:rsidR="00637B19">
        <w:t>es</w:t>
      </w:r>
      <w:r w:rsidR="00346812">
        <w:t xml:space="preserve"> </w:t>
      </w:r>
      <w:r w:rsidR="00637B19">
        <w:t xml:space="preserve">PSE </w:t>
      </w:r>
      <w:r w:rsidR="00346812">
        <w:t>re</w:t>
      </w:r>
      <w:r w:rsidR="00904AC7">
        <w:t xml:space="preserve">spond to </w:t>
      </w:r>
      <w:r w:rsidR="00771706">
        <w:rPr>
          <w:bCs/>
        </w:rPr>
        <w:t xml:space="preserve">Commission </w:t>
      </w:r>
      <w:r w:rsidR="00771706">
        <w:t>Staff</w:t>
      </w:r>
      <w:r w:rsidR="00E462EF">
        <w:t>’</w:t>
      </w:r>
      <w:r w:rsidR="00904AC7">
        <w:t xml:space="preserve">s position that </w:t>
      </w:r>
      <w:r w:rsidR="00C9502E">
        <w:t xml:space="preserve">the </w:t>
      </w:r>
      <w:proofErr w:type="spellStart"/>
      <w:r w:rsidR="00C9502E">
        <w:t>ECRM</w:t>
      </w:r>
      <w:proofErr w:type="spellEnd"/>
      <w:r w:rsidR="00C9502E">
        <w:t xml:space="preserve"> is not needed because PSE “</w:t>
      </w:r>
      <w:r w:rsidR="00346812" w:rsidRPr="00652927">
        <w:t>will receive rates to recover any investment after that investment is in service and in the due course of Commission proceedings</w:t>
      </w:r>
      <w:r w:rsidR="00E462EF">
        <w:t>”</w:t>
      </w:r>
      <w:r w:rsidR="00904AC7">
        <w:t>?</w:t>
      </w:r>
      <w:r w:rsidR="00874669">
        <w:rPr>
          <w:rStyle w:val="FootnoteReference"/>
        </w:rPr>
        <w:footnoteReference w:id="151"/>
      </w:r>
    </w:p>
    <w:p w:rsidR="00A7387A" w:rsidRDefault="00346812" w:rsidP="00777E1F">
      <w:pPr>
        <w:pStyle w:val="Answer0"/>
      </w:pPr>
      <w:r>
        <w:t>A.</w:t>
      </w:r>
      <w:r>
        <w:tab/>
        <w:t>Unfortunately</w:t>
      </w:r>
      <w:r w:rsidR="00771706">
        <w:t>,</w:t>
      </w:r>
      <w:r>
        <w:t xml:space="preserve"> </w:t>
      </w:r>
      <w:r w:rsidR="00771706">
        <w:rPr>
          <w:bCs/>
        </w:rPr>
        <w:t xml:space="preserve">Commission </w:t>
      </w:r>
      <w:r w:rsidR="00771706">
        <w:t>Staff</w:t>
      </w:r>
      <w:r>
        <w:t xml:space="preserve"> is ignoring the fact that </w:t>
      </w:r>
      <w:r w:rsidR="00E462EF">
        <w:t>“</w:t>
      </w:r>
      <w:r>
        <w:t>due course</w:t>
      </w:r>
      <w:r w:rsidR="00E462EF">
        <w:t>”</w:t>
      </w:r>
      <w:r>
        <w:t xml:space="preserve"> is typically 27 months after the investment has been placed in service and providing benefits to customers.</w:t>
      </w:r>
      <w:r w:rsidR="00F26B15">
        <w:t xml:space="preserve"> </w:t>
      </w:r>
      <w:r>
        <w:t xml:space="preserve">The </w:t>
      </w:r>
      <w:r w:rsidR="00231222">
        <w:t xml:space="preserve">heightened </w:t>
      </w:r>
      <w:r>
        <w:t xml:space="preserve">level of annual expenditures associated with the accelerated reliability improvements outlined in the Electric </w:t>
      </w:r>
      <w:r w:rsidR="00A7387A">
        <w:t xml:space="preserve">Reliability Plan </w:t>
      </w:r>
      <w:r>
        <w:t xml:space="preserve">would result in significant earnings erosion absent the </w:t>
      </w:r>
      <w:proofErr w:type="spellStart"/>
      <w:r w:rsidR="00904AC7">
        <w:t>E</w:t>
      </w:r>
      <w:r>
        <w:t>CRM</w:t>
      </w:r>
      <w:proofErr w:type="spellEnd"/>
      <w:r>
        <w:t xml:space="preserve"> mechanism.</w:t>
      </w:r>
      <w:r w:rsidR="00F26B15">
        <w:t xml:space="preserve"> </w:t>
      </w:r>
      <w:r w:rsidR="007E43B3">
        <w:t>Exhibit KJB-</w:t>
      </w:r>
      <w:r w:rsidR="00CD0DC1">
        <w:t>37</w:t>
      </w:r>
      <w:r w:rsidR="00A7387A">
        <w:rPr>
          <w:rStyle w:val="FootnoteReference"/>
        </w:rPr>
        <w:footnoteReference w:id="152"/>
      </w:r>
      <w:r w:rsidR="007E43B3">
        <w:t xml:space="preserve"> demonstrates the regulatory lag that would be associated with having to absorb the level of investment contemplated in the Electric </w:t>
      </w:r>
      <w:r w:rsidR="00A7387A">
        <w:t>Reliability Plan</w:t>
      </w:r>
      <w:r w:rsidR="007E43B3">
        <w:t>.</w:t>
      </w:r>
      <w:r w:rsidR="00F26B15">
        <w:t xml:space="preserve"> </w:t>
      </w:r>
      <w:r w:rsidR="007E43B3">
        <w:t xml:space="preserve">This exhibit demonstrates </w:t>
      </w:r>
      <w:r w:rsidR="00A7387A">
        <w:t xml:space="preserve">that under traditional ratemaking that utilizes </w:t>
      </w:r>
      <w:r w:rsidR="00231222">
        <w:t xml:space="preserve">average </w:t>
      </w:r>
      <w:r w:rsidR="00A7387A">
        <w:t xml:space="preserve">of </w:t>
      </w:r>
      <w:r w:rsidR="00231222">
        <w:t xml:space="preserve">monthly average </w:t>
      </w:r>
      <w:r w:rsidR="00A7387A">
        <w:t>(</w:t>
      </w:r>
      <w:r w:rsidR="00E462EF">
        <w:t>“</w:t>
      </w:r>
      <w:r w:rsidR="00A7387A">
        <w:t>AMA</w:t>
      </w:r>
      <w:r w:rsidR="00E462EF">
        <w:t>”</w:t>
      </w:r>
      <w:r w:rsidR="00A7387A">
        <w:t>) balances, it takes a full 12 months before the entire investment is reflected in the AMA test year balance.</w:t>
      </w:r>
      <w:r w:rsidR="00F26B15">
        <w:t xml:space="preserve"> </w:t>
      </w:r>
      <w:r w:rsidR="00A7387A">
        <w:t>Assuming that a rate case can be prepared and filed in three months</w:t>
      </w:r>
      <w:r w:rsidR="00231222">
        <w:t>,</w:t>
      </w:r>
      <w:r w:rsidR="00A7387A">
        <w:t xml:space="preserve"> </w:t>
      </w:r>
      <w:r w:rsidR="006C1516">
        <w:t>plus</w:t>
      </w:r>
      <w:r w:rsidR="00A7387A">
        <w:t xml:space="preserve"> the 11 months associated with the statutory</w:t>
      </w:r>
      <w:r w:rsidR="006C1516">
        <w:t xml:space="preserve"> suspension</w:t>
      </w:r>
      <w:r w:rsidR="00A7387A">
        <w:t xml:space="preserve"> period prior to approval in rates, it is more than two years before </w:t>
      </w:r>
      <w:r w:rsidR="006C1516">
        <w:t>PSE</w:t>
      </w:r>
      <w:r w:rsidR="00A7387A">
        <w:t xml:space="preserve"> begins to recover its costs through rates.</w:t>
      </w:r>
      <w:r w:rsidR="00F26B15">
        <w:t xml:space="preserve"> </w:t>
      </w:r>
      <w:r w:rsidR="00A7387A">
        <w:t xml:space="preserve">The </w:t>
      </w:r>
      <w:r w:rsidR="006C1516">
        <w:t>two-</w:t>
      </w:r>
      <w:r w:rsidR="00A7387A">
        <w:t xml:space="preserve">year delay in recovery of the 2017 </w:t>
      </w:r>
      <w:proofErr w:type="spellStart"/>
      <w:r w:rsidR="00A7387A">
        <w:t>ECRM</w:t>
      </w:r>
      <w:proofErr w:type="spellEnd"/>
      <w:r w:rsidR="00A7387A">
        <w:t xml:space="preserve"> investments would be equal to </w:t>
      </w:r>
      <w:r w:rsidR="00CD0DC1">
        <w:t xml:space="preserve">approximately </w:t>
      </w:r>
      <w:r w:rsidR="00A7387A">
        <w:lastRenderedPageBreak/>
        <w:t>$20</w:t>
      </w:r>
      <w:r w:rsidR="00CD0DC1">
        <w:t> </w:t>
      </w:r>
      <w:r w:rsidR="00A7387A">
        <w:t xml:space="preserve">million of lost revenue requirement which is nearly 20 basis points per year in earnings. </w:t>
      </w:r>
    </w:p>
    <w:p w:rsidR="008B0C45" w:rsidRDefault="00D93CB6" w:rsidP="00777E1F">
      <w:pPr>
        <w:pStyle w:val="Answer0"/>
        <w:ind w:firstLine="0"/>
      </w:pPr>
      <w:r>
        <w:t>Additionally, i</w:t>
      </w:r>
      <w:r w:rsidR="008B0C45" w:rsidRPr="004A24CE">
        <w:t xml:space="preserve">t is disappointing to see </w:t>
      </w:r>
      <w:r w:rsidR="00771706">
        <w:rPr>
          <w:bCs/>
        </w:rPr>
        <w:t xml:space="preserve">Commission </w:t>
      </w:r>
      <w:r w:rsidR="00771706">
        <w:t>Staff</w:t>
      </w:r>
      <w:r w:rsidR="00E462EF">
        <w:t>’</w:t>
      </w:r>
      <w:r w:rsidR="008B0C45" w:rsidRPr="004A24CE">
        <w:t xml:space="preserve">s complete rejection of the </w:t>
      </w:r>
      <w:proofErr w:type="spellStart"/>
      <w:r w:rsidR="008B0C45" w:rsidRPr="004A24CE">
        <w:t>ECRM</w:t>
      </w:r>
      <w:proofErr w:type="spellEnd"/>
      <w:r w:rsidR="008B0C45" w:rsidRPr="004A24CE">
        <w:t xml:space="preserve"> particularly when one considers </w:t>
      </w:r>
      <w:r w:rsidR="00771706">
        <w:rPr>
          <w:bCs/>
        </w:rPr>
        <w:t xml:space="preserve">Commission </w:t>
      </w:r>
      <w:r w:rsidR="00771706">
        <w:t>Staff</w:t>
      </w:r>
      <w:r w:rsidR="00E462EF">
        <w:t>’</w:t>
      </w:r>
      <w:r w:rsidR="006C1516">
        <w:t xml:space="preserve">s </w:t>
      </w:r>
      <w:r w:rsidR="008B0C45" w:rsidRPr="004A24CE">
        <w:t>recent position on increased reliability spending by another regulated utility.</w:t>
      </w:r>
      <w:r w:rsidR="00F26B15">
        <w:t xml:space="preserve"> </w:t>
      </w:r>
      <w:r w:rsidR="008B0C45" w:rsidRPr="004A24CE">
        <w:t xml:space="preserve">In </w:t>
      </w:r>
      <w:r w:rsidR="00771706">
        <w:rPr>
          <w:bCs/>
        </w:rPr>
        <w:t xml:space="preserve">Commission </w:t>
      </w:r>
      <w:r w:rsidR="00771706">
        <w:t>Staff</w:t>
      </w:r>
      <w:r w:rsidR="00E462EF">
        <w:t>’</w:t>
      </w:r>
      <w:r w:rsidR="008B0C45" w:rsidRPr="004A24CE">
        <w:t>s testimony in the Avista 2015 general rate</w:t>
      </w:r>
      <w:r w:rsidR="00904AC7">
        <w:t xml:space="preserve"> </w:t>
      </w:r>
      <w:r w:rsidR="008B0C45" w:rsidRPr="004A24CE">
        <w:t>case</w:t>
      </w:r>
      <w:r w:rsidR="006C1516">
        <w:t xml:space="preserve">, </w:t>
      </w:r>
      <w:r w:rsidR="00771706">
        <w:rPr>
          <w:bCs/>
        </w:rPr>
        <w:t xml:space="preserve">Commission </w:t>
      </w:r>
      <w:r w:rsidR="00771706">
        <w:t>Staff</w:t>
      </w:r>
      <w:r w:rsidR="008B0C45" w:rsidRPr="004A24CE">
        <w:t xml:space="preserve"> </w:t>
      </w:r>
      <w:r w:rsidR="00E462EF">
        <w:t>“</w:t>
      </w:r>
      <w:r w:rsidR="008B0C45" w:rsidRPr="004A24CE">
        <w:t>question</w:t>
      </w:r>
      <w:r w:rsidR="006C1516">
        <w:t>ed</w:t>
      </w:r>
      <w:r w:rsidR="008B0C45" w:rsidRPr="004A24CE">
        <w:t xml:space="preserve"> the need for </w:t>
      </w:r>
      <w:r w:rsidR="006C1516">
        <w:t>Avista</w:t>
      </w:r>
      <w:r w:rsidR="008B0C45" w:rsidRPr="004A24CE">
        <w:t xml:space="preserve"> to </w:t>
      </w:r>
      <w:r w:rsidR="00E462EF">
        <w:t>“</w:t>
      </w:r>
      <w:r w:rsidR="008B0C45" w:rsidRPr="004A24CE">
        <w:t>invest heavily</w:t>
      </w:r>
      <w:r w:rsidR="00E462EF">
        <w:t>”</w:t>
      </w:r>
      <w:r w:rsidR="008B0C45" w:rsidRPr="004A24CE">
        <w:t xml:space="preserve"> in distribution plant because </w:t>
      </w:r>
      <w:r w:rsidR="006C1516">
        <w:t>Avista</w:t>
      </w:r>
      <w:r w:rsidR="008B0C45" w:rsidRPr="004A24CE">
        <w:t xml:space="preserve"> has not provided evidence supporting the need to maintain or improve reliability.</w:t>
      </w:r>
      <w:r w:rsidR="00E462EF">
        <w:t>”</w:t>
      </w:r>
      <w:r w:rsidR="006C1516">
        <w:rPr>
          <w:rStyle w:val="FootnoteReference"/>
        </w:rPr>
        <w:footnoteReference w:id="153"/>
      </w:r>
      <w:r w:rsidR="008B0C45" w:rsidRPr="004A24CE">
        <w:t xml:space="preserve"> In that case, </w:t>
      </w:r>
      <w:r w:rsidR="00771706">
        <w:rPr>
          <w:bCs/>
        </w:rPr>
        <w:t xml:space="preserve">Commission </w:t>
      </w:r>
      <w:r w:rsidR="00771706">
        <w:t>Staff</w:t>
      </w:r>
      <w:r w:rsidR="008B0C45" w:rsidRPr="004A24CE">
        <w:t xml:space="preserve"> further stated that</w:t>
      </w:r>
      <w:r w:rsidR="008B0C45">
        <w:t>:</w:t>
      </w:r>
    </w:p>
    <w:p w:rsidR="008B0C45" w:rsidRDefault="008B0C45" w:rsidP="00DA6161">
      <w:pPr>
        <w:pStyle w:val="Quote"/>
        <w:spacing w:before="0" w:after="280"/>
        <w:jc w:val="both"/>
      </w:pPr>
      <w:r>
        <w:t xml:space="preserve">without knowing where Avista should be in terms of its reliability performance, it is not possible to know whether improved </w:t>
      </w:r>
      <w:r w:rsidR="00E462EF">
        <w:t>“</w:t>
      </w:r>
      <w:r>
        <w:t>reliability</w:t>
      </w:r>
      <w:r w:rsidR="00E462EF">
        <w:t>”</w:t>
      </w:r>
      <w:r>
        <w:t xml:space="preserve"> is a remotely acceptable cause for significant and continued investment in distribution system enhancements. It is entirely possible that, given the unique characteristics of A</w:t>
      </w:r>
      <w:r w:rsidR="006C1516">
        <w:t>v</w:t>
      </w:r>
      <w:r>
        <w:t>ista</w:t>
      </w:r>
      <w:r w:rsidR="00E462EF">
        <w:t>’</w:t>
      </w:r>
      <w:r>
        <w:t>s service territory, it has already invested far too heavily in distribution system enhancements</w:t>
      </w:r>
      <w:r w:rsidR="006C1516">
        <w:rPr>
          <w:rStyle w:val="FootnoteReference"/>
        </w:rPr>
        <w:footnoteReference w:id="154"/>
      </w:r>
      <w:r>
        <w:t xml:space="preserve"> </w:t>
      </w:r>
    </w:p>
    <w:p w:rsidR="00DA6161" w:rsidRDefault="00C9502E" w:rsidP="00DA6161">
      <w:pPr>
        <w:pStyle w:val="Answer0"/>
        <w:ind w:firstLine="0"/>
      </w:pPr>
      <w:r>
        <w:t>T</w:t>
      </w:r>
      <w:r w:rsidR="008B0C45">
        <w:t xml:space="preserve">he Commission agreed with </w:t>
      </w:r>
      <w:r w:rsidR="00771706">
        <w:rPr>
          <w:bCs/>
        </w:rPr>
        <w:t xml:space="preserve">Commission </w:t>
      </w:r>
      <w:r w:rsidR="00771706">
        <w:t>Staff</w:t>
      </w:r>
      <w:r w:rsidR="00E462EF">
        <w:t>’</w:t>
      </w:r>
      <w:r w:rsidR="003E2EE1">
        <w:t>s</w:t>
      </w:r>
      <w:r w:rsidR="008B0C45">
        <w:t xml:space="preserve"> observation and stated </w:t>
      </w:r>
      <w:r w:rsidR="008B0C45" w:rsidRPr="00D93CB6">
        <w:t xml:space="preserve">we </w:t>
      </w:r>
      <w:r w:rsidR="00E462EF">
        <w:t>“</w:t>
      </w:r>
      <w:r w:rsidR="008B0C45" w:rsidRPr="00D93CB6">
        <w:t xml:space="preserve">emphasize that we share </w:t>
      </w:r>
      <w:r w:rsidR="00771706">
        <w:rPr>
          <w:bCs/>
        </w:rPr>
        <w:t xml:space="preserve">Commission </w:t>
      </w:r>
      <w:r w:rsidR="00771706">
        <w:t>Staff</w:t>
      </w:r>
      <w:r w:rsidR="00E462EF">
        <w:t>’</w:t>
      </w:r>
      <w:r w:rsidR="008B0C45" w:rsidRPr="00D93CB6">
        <w:t xml:space="preserve">s frustration about continuing to authorize recovery for these significant capital investments, </w:t>
      </w:r>
      <w:r w:rsidR="008B0C45" w:rsidRPr="006C1516">
        <w:rPr>
          <w:i/>
          <w:iCs/>
        </w:rPr>
        <w:t>absent a complete demonstration by the Company of quantifiable benefits to ratepayers</w:t>
      </w:r>
      <w:r w:rsidR="008B0C45" w:rsidRPr="00D93CB6">
        <w:t>.</w:t>
      </w:r>
      <w:r w:rsidR="00E462EF">
        <w:t>”</w:t>
      </w:r>
      <w:r w:rsidR="006C1516">
        <w:rPr>
          <w:rStyle w:val="FootnoteReference"/>
        </w:rPr>
        <w:footnoteReference w:id="155"/>
      </w:r>
    </w:p>
    <w:p w:rsidR="008B0C45" w:rsidRDefault="008B0C45" w:rsidP="00DA6161">
      <w:pPr>
        <w:pStyle w:val="Answer0"/>
        <w:ind w:firstLine="0"/>
      </w:pPr>
      <w:r w:rsidRPr="00D93CB6">
        <w:t>PSE</w:t>
      </w:r>
      <w:r w:rsidR="0047123D">
        <w:t>,</w:t>
      </w:r>
      <w:r w:rsidRPr="00D93CB6">
        <w:t xml:space="preserve"> through the </w:t>
      </w:r>
      <w:proofErr w:type="spellStart"/>
      <w:r w:rsidRPr="00D93CB6">
        <w:t>prefiled</w:t>
      </w:r>
      <w:proofErr w:type="spellEnd"/>
      <w:r w:rsidRPr="00D93CB6">
        <w:t xml:space="preserve"> direct testimon</w:t>
      </w:r>
      <w:r w:rsidR="0047123D">
        <w:t>ies</w:t>
      </w:r>
      <w:r w:rsidRPr="00D93CB6">
        <w:t xml:space="preserve"> of </w:t>
      </w:r>
      <w:proofErr w:type="spellStart"/>
      <w:r w:rsidRPr="00D93CB6">
        <w:t>Booga</w:t>
      </w:r>
      <w:proofErr w:type="spellEnd"/>
      <w:r w:rsidRPr="00D93CB6">
        <w:t xml:space="preserve"> K. Gilbertson and Cathe</w:t>
      </w:r>
      <w:r>
        <w:t>rine A Koch, have demonstrated a clear need to improve PSE</w:t>
      </w:r>
      <w:r w:rsidR="00E462EF">
        <w:t>’</w:t>
      </w:r>
      <w:r>
        <w:t xml:space="preserve">s reliability and </w:t>
      </w:r>
      <w:r w:rsidR="0047123D">
        <w:t xml:space="preserve">have </w:t>
      </w:r>
      <w:r>
        <w:lastRenderedPageBreak/>
        <w:t>provided the Electric Reliability Plan as a pathway to improved reliability and the anticipated improvements that will result from these investment</w:t>
      </w:r>
      <w:r w:rsidR="0047123D">
        <w:t>s</w:t>
      </w:r>
      <w:r>
        <w:t>.</w:t>
      </w:r>
      <w:r w:rsidR="00F26B15">
        <w:t xml:space="preserve"> </w:t>
      </w:r>
      <w:r>
        <w:t xml:space="preserve">Rather than embracing the opportunity to participate in constructive dialog, parties including </w:t>
      </w:r>
      <w:r w:rsidR="00771706">
        <w:rPr>
          <w:bCs/>
        </w:rPr>
        <w:t xml:space="preserve">Commission </w:t>
      </w:r>
      <w:r w:rsidR="00771706">
        <w:t>Staff</w:t>
      </w:r>
      <w:r>
        <w:t xml:space="preserve"> believe that </w:t>
      </w:r>
      <w:r w:rsidR="0077523D">
        <w:t>PSE</w:t>
      </w:r>
      <w:r w:rsidR="00E462EF">
        <w:t>’</w:t>
      </w:r>
      <w:r>
        <w:t>s filing along with the associated cost recovery mechanism will be burdensome.</w:t>
      </w:r>
      <w:r w:rsidR="00F26B15">
        <w:t xml:space="preserve"> </w:t>
      </w:r>
      <w:r>
        <w:t xml:space="preserve">Absent this process, </w:t>
      </w:r>
      <w:r w:rsidR="0047123D">
        <w:t>PSE</w:t>
      </w:r>
      <w:r>
        <w:t xml:space="preserve"> will be reluctant to spend beyond the levels supported by growth. </w:t>
      </w:r>
    </w:p>
    <w:p w:rsidR="003E2EE1" w:rsidRDefault="003E2EE1" w:rsidP="003E2EE1">
      <w:pPr>
        <w:pStyle w:val="question"/>
      </w:pPr>
      <w:r>
        <w:t>Q.</w:t>
      </w:r>
      <w:r>
        <w:tab/>
      </w:r>
      <w:r w:rsidR="0077523D">
        <w:t>Mr. </w:t>
      </w:r>
      <w:r>
        <w:t xml:space="preserve">Gorman with ICNU suggests that the infrastructure included in the </w:t>
      </w:r>
      <w:proofErr w:type="spellStart"/>
      <w:r>
        <w:t>ECRM</w:t>
      </w:r>
      <w:proofErr w:type="spellEnd"/>
      <w:r>
        <w:t xml:space="preserve"> will also be accounted for in the ERF.</w:t>
      </w:r>
      <w:r w:rsidR="00F26B15">
        <w:t xml:space="preserve"> </w:t>
      </w:r>
      <w:r>
        <w:t>Is this true?</w:t>
      </w:r>
    </w:p>
    <w:p w:rsidR="003E2EE1" w:rsidRDefault="003E2EE1" w:rsidP="00C842F8">
      <w:pPr>
        <w:pStyle w:val="answer"/>
      </w:pPr>
      <w:r>
        <w:t>A.</w:t>
      </w:r>
      <w:r>
        <w:tab/>
        <w:t>No.</w:t>
      </w:r>
      <w:r w:rsidR="00F26B15">
        <w:t xml:space="preserve"> </w:t>
      </w:r>
      <w:r>
        <w:t xml:space="preserve">As discussed in my </w:t>
      </w:r>
      <w:proofErr w:type="spellStart"/>
      <w:r>
        <w:t>prefiled</w:t>
      </w:r>
      <w:proofErr w:type="spellEnd"/>
      <w:r>
        <w:t xml:space="preserve"> dir</w:t>
      </w:r>
      <w:r w:rsidR="009D439C">
        <w:t>e</w:t>
      </w:r>
      <w:r>
        <w:t xml:space="preserve">ct testimony, an </w:t>
      </w:r>
      <w:r w:rsidR="00C9502E">
        <w:t>expedited rate</w:t>
      </w:r>
      <w:r w:rsidR="009D439C">
        <w:t xml:space="preserve"> filing would exclude costs associated with both the Gas CRM and electric CRM</w:t>
      </w:r>
      <w:r w:rsidR="00C9502E">
        <w:t>,</w:t>
      </w:r>
      <w:r w:rsidR="009D439C">
        <w:t xml:space="preserve"> as an </w:t>
      </w:r>
      <w:r w:rsidR="00C9502E">
        <w:t>expedited rate filing</w:t>
      </w:r>
      <w:r w:rsidR="009D439C">
        <w:t xml:space="preserve"> is intended to exclude those costs included in a tracking mechanism.</w:t>
      </w:r>
      <w:r w:rsidR="00F26B15">
        <w:t xml:space="preserve"> </w:t>
      </w:r>
      <w:r w:rsidR="009D439C">
        <w:t>Additionally, the expedited rate filing is not intended to address the ongoing accelerated spending like that proposed in the electric reliability plan.</w:t>
      </w:r>
      <w:r w:rsidR="00F26B15">
        <w:t xml:space="preserve"> </w:t>
      </w:r>
      <w:r w:rsidR="009D439C">
        <w:t xml:space="preserve">An ERF is limited to one, possibly two, filings after the completion of a general rate case, where the </w:t>
      </w:r>
      <w:proofErr w:type="spellStart"/>
      <w:r w:rsidR="009D439C">
        <w:t>ECRM</w:t>
      </w:r>
      <w:proofErr w:type="spellEnd"/>
      <w:r w:rsidR="009D439C">
        <w:t xml:space="preserve"> is intended to address cost recovery of the accelerated replacement of targeted reliability spending that will occur annually over the next several years as outlined in </w:t>
      </w:r>
      <w:r w:rsidR="0077523D">
        <w:t>Ms. </w:t>
      </w:r>
      <w:r w:rsidR="009D439C">
        <w:t>Koch</w:t>
      </w:r>
      <w:r w:rsidR="00E462EF">
        <w:t>’</w:t>
      </w:r>
      <w:r w:rsidR="009D439C">
        <w:t>s testimony.</w:t>
      </w:r>
      <w:r w:rsidR="00F26B15">
        <w:t xml:space="preserve"> </w:t>
      </w:r>
      <w:r w:rsidR="009D439C">
        <w:t>Additionally, until the Commission</w:t>
      </w:r>
      <w:r w:rsidR="00E462EF">
        <w:t>’</w:t>
      </w:r>
      <w:r w:rsidR="009D439C">
        <w:t>s rules are finalized, there is still uncertainty about the timing of recovery under an ERF, where</w:t>
      </w:r>
      <w:r w:rsidR="004810B8">
        <w:t>as</w:t>
      </w:r>
      <w:r w:rsidR="009D439C">
        <w:t xml:space="preserve"> with the </w:t>
      </w:r>
      <w:proofErr w:type="spellStart"/>
      <w:r w:rsidR="009D439C">
        <w:t>ECRM</w:t>
      </w:r>
      <w:proofErr w:type="spellEnd"/>
      <w:r w:rsidR="009D439C">
        <w:t xml:space="preserve">, the investments for that program year are incorporated annually into rates providing the </w:t>
      </w:r>
      <w:r w:rsidR="00684CEA">
        <w:t xml:space="preserve">certainty and </w:t>
      </w:r>
      <w:r w:rsidR="009D439C">
        <w:t>timely recovery necessary to accelerate the spending.</w:t>
      </w:r>
      <w:r w:rsidR="00F26B15">
        <w:t xml:space="preserve"> </w:t>
      </w:r>
      <w:r w:rsidR="009D439C">
        <w:t xml:space="preserve">Finally, and equally as important, is the transparency that the ERP and associated </w:t>
      </w:r>
      <w:proofErr w:type="spellStart"/>
      <w:r w:rsidR="009D439C">
        <w:t>ECRM</w:t>
      </w:r>
      <w:proofErr w:type="spellEnd"/>
      <w:r w:rsidR="009D439C">
        <w:t xml:space="preserve"> provides in </w:t>
      </w:r>
      <w:r w:rsidR="009D439C">
        <w:lastRenderedPageBreak/>
        <w:t xml:space="preserve">terms of the </w:t>
      </w:r>
      <w:r w:rsidR="00684CEA">
        <w:t xml:space="preserve">stakeholder review of </w:t>
      </w:r>
      <w:r w:rsidR="009D439C">
        <w:t>accelerated capital spending that would be devoted to specific reliability improvements.</w:t>
      </w:r>
    </w:p>
    <w:p w:rsidR="00346812" w:rsidRPr="00F421F5" w:rsidRDefault="00346812" w:rsidP="00C842F8">
      <w:pPr>
        <w:pStyle w:val="question"/>
      </w:pPr>
      <w:r w:rsidRPr="00F421F5">
        <w:t>Q.</w:t>
      </w:r>
      <w:r w:rsidRPr="00F421F5">
        <w:tab/>
      </w:r>
      <w:r>
        <w:t xml:space="preserve">Is PSE proposing a change to the revenue requirement associated with the proposed </w:t>
      </w:r>
      <w:proofErr w:type="spellStart"/>
      <w:r>
        <w:t>ECRM</w:t>
      </w:r>
      <w:proofErr w:type="spellEnd"/>
      <w:r>
        <w:t xml:space="preserve"> mechanism?</w:t>
      </w:r>
    </w:p>
    <w:p w:rsidR="00346812" w:rsidRDefault="00346812" w:rsidP="00C842F8">
      <w:pPr>
        <w:pStyle w:val="answer"/>
      </w:pPr>
      <w:r>
        <w:t>A.</w:t>
      </w:r>
      <w:r>
        <w:tab/>
        <w:t>Yes.</w:t>
      </w:r>
      <w:r w:rsidR="00F26B15">
        <w:t xml:space="preserve"> </w:t>
      </w:r>
      <w:r>
        <w:t xml:space="preserve">As discussed in my </w:t>
      </w:r>
      <w:proofErr w:type="spellStart"/>
      <w:r>
        <w:t>prefiled</w:t>
      </w:r>
      <w:proofErr w:type="spellEnd"/>
      <w:r>
        <w:t xml:space="preserve"> direct testimony, </w:t>
      </w:r>
      <w:r w:rsidR="0077523D">
        <w:t>PSE</w:t>
      </w:r>
      <w:r>
        <w:t xml:space="preserve"> indicated that at rebuttal it would include what would normally be included in the annual </w:t>
      </w:r>
      <w:proofErr w:type="spellStart"/>
      <w:r>
        <w:t>ECRM</w:t>
      </w:r>
      <w:proofErr w:type="spellEnd"/>
      <w:r>
        <w:t xml:space="preserve"> filing.</w:t>
      </w:r>
      <w:r w:rsidR="00F26B15">
        <w:t xml:space="preserve"> </w:t>
      </w:r>
      <w:r>
        <w:t>Exhibit KJB-</w:t>
      </w:r>
      <w:r w:rsidR="006604D2">
        <w:t>3</w:t>
      </w:r>
      <w:r w:rsidR="00CD0DC1">
        <w:t>8</w:t>
      </w:r>
      <w:r>
        <w:t xml:space="preserve"> is an updated Electric CRM calculation based on the actual amounts of </w:t>
      </w:r>
      <w:proofErr w:type="spellStart"/>
      <w:r>
        <w:t>HMW</w:t>
      </w:r>
      <w:proofErr w:type="spellEnd"/>
      <w:r>
        <w:t xml:space="preserve"> and WPC spending from January through May of 2017 and the forecasted</w:t>
      </w:r>
      <w:r w:rsidR="00F97854">
        <w:t xml:space="preserve"> </w:t>
      </w:r>
      <w:r w:rsidR="00CD0DC1">
        <w:t xml:space="preserve">amounts for June through December 2017. As discussed in </w:t>
      </w:r>
      <w:r w:rsidR="00F97854">
        <w:t xml:space="preserve">my </w:t>
      </w:r>
      <w:proofErr w:type="spellStart"/>
      <w:r w:rsidR="00F97854">
        <w:t>prefiled</w:t>
      </w:r>
      <w:proofErr w:type="spellEnd"/>
      <w:r w:rsidR="00F97854">
        <w:t xml:space="preserve"> </w:t>
      </w:r>
      <w:r w:rsidR="0047123D">
        <w:t>d</w:t>
      </w:r>
      <w:r>
        <w:t xml:space="preserve">irect </w:t>
      </w:r>
      <w:r w:rsidR="0047123D">
        <w:t>testimony</w:t>
      </w:r>
      <w:r w:rsidR="00CD0DC1">
        <w:t xml:space="preserve">, this </w:t>
      </w:r>
      <w:r>
        <w:t>is consistent with the approach utilized in the Gas CRM</w:t>
      </w:r>
      <w:r w:rsidR="0047123D">
        <w:t>,</w:t>
      </w:r>
      <w:r>
        <w:t xml:space="preserve"> </w:t>
      </w:r>
      <w:r w:rsidR="00CD0DC1">
        <w:t xml:space="preserve">in which </w:t>
      </w:r>
      <w:r w:rsidR="0077523D">
        <w:t>PSE</w:t>
      </w:r>
      <w:r>
        <w:t xml:space="preserve"> makes an initial filing for the program year and then updates the filing replacing the budgeted figures with actual expenditures. </w:t>
      </w:r>
    </w:p>
    <w:p w:rsidR="00346812" w:rsidRDefault="00346812" w:rsidP="00C842F8">
      <w:pPr>
        <w:pStyle w:val="question"/>
      </w:pPr>
      <w:r w:rsidRPr="00F421F5">
        <w:t>Q.</w:t>
      </w:r>
      <w:r w:rsidRPr="00F421F5">
        <w:tab/>
      </w:r>
      <w:r>
        <w:t xml:space="preserve">Did any party challenge the proposed calculation of the </w:t>
      </w:r>
      <w:proofErr w:type="spellStart"/>
      <w:r>
        <w:t>ECRM</w:t>
      </w:r>
      <w:proofErr w:type="spellEnd"/>
      <w:r>
        <w:t xml:space="preserve"> associated revenue requirement?</w:t>
      </w:r>
    </w:p>
    <w:p w:rsidR="00346812" w:rsidRDefault="00346812" w:rsidP="00C842F8">
      <w:pPr>
        <w:pStyle w:val="Answer0"/>
      </w:pPr>
      <w:r w:rsidRPr="002779FA">
        <w:t>A.</w:t>
      </w:r>
      <w:r w:rsidRPr="002779FA">
        <w:tab/>
      </w:r>
      <w:r>
        <w:t>No.</w:t>
      </w:r>
      <w:r w:rsidR="00F26B15">
        <w:t xml:space="preserve"> </w:t>
      </w:r>
      <w:r>
        <w:t xml:space="preserve">Parties challenged the necessity of the mechanism and are opposed to the separate tracker which is addressed in detail in the </w:t>
      </w:r>
      <w:proofErr w:type="spellStart"/>
      <w:r w:rsidR="00E338FC">
        <w:t>P</w:t>
      </w:r>
      <w:r>
        <w:t>refiled</w:t>
      </w:r>
      <w:proofErr w:type="spellEnd"/>
      <w:r>
        <w:t xml:space="preserve"> </w:t>
      </w:r>
      <w:r w:rsidR="00E338FC">
        <w:t>R</w:t>
      </w:r>
      <w:r>
        <w:t xml:space="preserve">ebuttal </w:t>
      </w:r>
      <w:r w:rsidR="00E338FC">
        <w:t>T</w:t>
      </w:r>
      <w:r>
        <w:t xml:space="preserve">estimony of Catherine A. Koch, </w:t>
      </w:r>
      <w:r w:rsidR="00E338FC">
        <w:t>Exhibit CAK-4T</w:t>
      </w:r>
      <w:r w:rsidR="0047123D">
        <w:t>. N</w:t>
      </w:r>
      <w:r>
        <w:t>o one challenged the revenue requirement calculations</w:t>
      </w:r>
      <w:r w:rsidR="0047123D">
        <w:t>,</w:t>
      </w:r>
      <w:r>
        <w:t xml:space="preserve"> nor did they find them unreasonable or inconsistent with the approach used for the Gas CRM. </w:t>
      </w:r>
    </w:p>
    <w:p w:rsidR="008279D0" w:rsidRPr="009075DC" w:rsidRDefault="008279D0" w:rsidP="00771706">
      <w:pPr>
        <w:pStyle w:val="Heading1"/>
      </w:pPr>
      <w:bookmarkStart w:id="72" w:name="_Toc490035627"/>
      <w:r>
        <w:lastRenderedPageBreak/>
        <w:t>X</w:t>
      </w:r>
      <w:r w:rsidRPr="009075DC">
        <w:t>.</w:t>
      </w:r>
      <w:r w:rsidRPr="009075DC">
        <w:tab/>
      </w:r>
      <w:r>
        <w:t>MATERIALITY AND OTHER NON-REVENUE REQUIREMENT ISSUES</w:t>
      </w:r>
      <w:bookmarkEnd w:id="72"/>
    </w:p>
    <w:p w:rsidR="008279D0" w:rsidRPr="00BA19B2" w:rsidRDefault="008279D0" w:rsidP="00F97854">
      <w:pPr>
        <w:pStyle w:val="question"/>
      </w:pPr>
      <w:r w:rsidRPr="00F97854">
        <w:t>Q.</w:t>
      </w:r>
      <w:r w:rsidRPr="008279D0">
        <w:rPr>
          <w:b w:val="0"/>
        </w:rPr>
        <w:tab/>
      </w:r>
      <w:r w:rsidRPr="00BA19B2">
        <w:t xml:space="preserve">Please address </w:t>
      </w:r>
      <w:r w:rsidR="00771706">
        <w:rPr>
          <w:bCs/>
        </w:rPr>
        <w:t xml:space="preserve">Commission </w:t>
      </w:r>
      <w:r w:rsidR="00771706">
        <w:t>Staff</w:t>
      </w:r>
      <w:r w:rsidRPr="00BA19B2">
        <w:t xml:space="preserve"> witness </w:t>
      </w:r>
      <w:proofErr w:type="spellStart"/>
      <w:r w:rsidRPr="00BA19B2">
        <w:t>Schooley</w:t>
      </w:r>
      <w:r w:rsidR="00E462EF">
        <w:t>’</w:t>
      </w:r>
      <w:r w:rsidRPr="00BA19B2">
        <w:t>s</w:t>
      </w:r>
      <w:proofErr w:type="spellEnd"/>
      <w:r w:rsidRPr="00BA19B2">
        <w:t xml:space="preserve"> proposal to eliminate certain adjustments from future filings.</w:t>
      </w:r>
    </w:p>
    <w:p w:rsidR="00B94C91" w:rsidRDefault="00B94C91" w:rsidP="00B94C91">
      <w:pPr>
        <w:pStyle w:val="answer"/>
        <w:rPr>
          <w:rFonts w:eastAsia="SimSun"/>
        </w:rPr>
      </w:pPr>
      <w:r>
        <w:rPr>
          <w:rFonts w:eastAsia="SimSun"/>
        </w:rPr>
        <w:t>A.</w:t>
      </w:r>
      <w:r>
        <w:rPr>
          <w:rFonts w:eastAsia="SimSun"/>
        </w:rPr>
        <w:tab/>
      </w:r>
      <w:r w:rsidR="00AE2C62">
        <w:rPr>
          <w:rFonts w:eastAsia="SimSun"/>
        </w:rPr>
        <w:t>In general</w:t>
      </w:r>
      <w:r w:rsidR="0047123D">
        <w:rPr>
          <w:rFonts w:eastAsia="SimSun"/>
        </w:rPr>
        <w:t>,</w:t>
      </w:r>
      <w:r w:rsidR="00AE2C62">
        <w:rPr>
          <w:rFonts w:eastAsia="SimSun"/>
        </w:rPr>
        <w:t xml:space="preserve"> </w:t>
      </w:r>
      <w:r w:rsidR="0047123D">
        <w:rPr>
          <w:rFonts w:eastAsia="SimSun"/>
        </w:rPr>
        <w:t>PSE</w:t>
      </w:r>
      <w:r w:rsidR="00AE2C62">
        <w:rPr>
          <w:rFonts w:eastAsia="SimSun"/>
        </w:rPr>
        <w:t xml:space="preserve"> would be supportive of discontinuing the small adjustments as proposed by </w:t>
      </w:r>
      <w:r w:rsidR="0077523D">
        <w:t>Mr. </w:t>
      </w:r>
      <w:r w:rsidR="00AE2C62">
        <w:rPr>
          <w:rFonts w:eastAsia="SimSun"/>
        </w:rPr>
        <w:t>Schooley.</w:t>
      </w:r>
      <w:r w:rsidR="00874669">
        <w:rPr>
          <w:rStyle w:val="FootnoteReference"/>
          <w:rFonts w:eastAsia="SimSun"/>
        </w:rPr>
        <w:footnoteReference w:id="156"/>
      </w:r>
      <w:r w:rsidR="00F26B15">
        <w:rPr>
          <w:rFonts w:eastAsia="SimSun"/>
        </w:rPr>
        <w:t xml:space="preserve"> </w:t>
      </w:r>
      <w:r w:rsidR="00AE2C62">
        <w:rPr>
          <w:rFonts w:eastAsia="SimSun"/>
        </w:rPr>
        <w:t xml:space="preserve">Many of these adjustments were the result of proposed adjustments by </w:t>
      </w:r>
      <w:r w:rsidR="00771706">
        <w:rPr>
          <w:bCs/>
        </w:rPr>
        <w:t xml:space="preserve">Commission </w:t>
      </w:r>
      <w:r w:rsidR="00771706">
        <w:t>Staff</w:t>
      </w:r>
      <w:r w:rsidR="00AE2C62">
        <w:rPr>
          <w:rFonts w:eastAsia="SimSun"/>
        </w:rPr>
        <w:t xml:space="preserve"> or other parties </w:t>
      </w:r>
      <w:r w:rsidR="0047123D">
        <w:rPr>
          <w:rFonts w:eastAsia="SimSun"/>
        </w:rPr>
        <w:t xml:space="preserve">in prior proceedings </w:t>
      </w:r>
      <w:r w:rsidR="00AE2C62">
        <w:rPr>
          <w:rFonts w:eastAsia="SimSun"/>
        </w:rPr>
        <w:t>that were ultimately approved by the Commission</w:t>
      </w:r>
      <w:r w:rsidR="00684CEA">
        <w:rPr>
          <w:rFonts w:eastAsia="SimSun"/>
        </w:rPr>
        <w:t>,</w:t>
      </w:r>
      <w:r w:rsidR="00AE2C62">
        <w:rPr>
          <w:rFonts w:eastAsia="SimSun"/>
        </w:rPr>
        <w:t xml:space="preserve"> either because </w:t>
      </w:r>
      <w:r w:rsidR="0047123D">
        <w:rPr>
          <w:rFonts w:eastAsia="SimSun"/>
        </w:rPr>
        <w:t>PSE</w:t>
      </w:r>
      <w:r w:rsidR="00AE2C62">
        <w:rPr>
          <w:rFonts w:eastAsia="SimSun"/>
        </w:rPr>
        <w:t xml:space="preserve"> did not contest them or they were explici</w:t>
      </w:r>
      <w:r w:rsidR="00684CEA">
        <w:rPr>
          <w:rFonts w:eastAsia="SimSun"/>
        </w:rPr>
        <w:t>tly approved in the final order. T</w:t>
      </w:r>
      <w:r w:rsidR="00AE2C62">
        <w:rPr>
          <w:rFonts w:eastAsia="SimSun"/>
        </w:rPr>
        <w:t>herefore</w:t>
      </w:r>
      <w:r w:rsidR="00684CEA">
        <w:rPr>
          <w:rFonts w:eastAsia="SimSun"/>
        </w:rPr>
        <w:t>,</w:t>
      </w:r>
      <w:r w:rsidR="00E338FC">
        <w:rPr>
          <w:rFonts w:eastAsia="SimSun"/>
        </w:rPr>
        <w:t xml:space="preserve"> </w:t>
      </w:r>
      <w:r w:rsidR="0047123D">
        <w:rPr>
          <w:rFonts w:eastAsia="SimSun"/>
        </w:rPr>
        <w:t xml:space="preserve">PSE </w:t>
      </w:r>
      <w:r w:rsidR="00AE2C62">
        <w:rPr>
          <w:rFonts w:eastAsia="SimSun"/>
        </w:rPr>
        <w:t xml:space="preserve">was reluctant to unilaterally </w:t>
      </w:r>
      <w:r w:rsidR="0047123D">
        <w:rPr>
          <w:rFonts w:eastAsia="SimSun"/>
        </w:rPr>
        <w:t>omit them</w:t>
      </w:r>
      <w:r w:rsidR="00AE2C62">
        <w:rPr>
          <w:rFonts w:eastAsia="SimSun"/>
        </w:rPr>
        <w:t xml:space="preserve"> absent a Commission order allowing such exclusion. </w:t>
      </w:r>
    </w:p>
    <w:p w:rsidR="00AE2C62" w:rsidRPr="00AD208F" w:rsidRDefault="00AE2C62" w:rsidP="00C842F8">
      <w:pPr>
        <w:pStyle w:val="question"/>
      </w:pPr>
      <w:r w:rsidRPr="00AD208F">
        <w:t>Q.</w:t>
      </w:r>
      <w:r w:rsidRPr="00AD208F">
        <w:tab/>
      </w:r>
      <w:r w:rsidR="0077523D">
        <w:t>Ms. </w:t>
      </w:r>
      <w:proofErr w:type="spellStart"/>
      <w:r>
        <w:t>Cheesman</w:t>
      </w:r>
      <w:proofErr w:type="spellEnd"/>
      <w:r>
        <w:t xml:space="preserve"> proposes a materiality threshold for reviewing and including certain adjustments?</w:t>
      </w:r>
      <w:r w:rsidR="00874669">
        <w:rPr>
          <w:rStyle w:val="FootnoteReference"/>
        </w:rPr>
        <w:footnoteReference w:id="157"/>
      </w:r>
    </w:p>
    <w:p w:rsidR="00AE2C62" w:rsidRPr="00F3275D" w:rsidRDefault="00AE2C62" w:rsidP="00AE2C62">
      <w:pPr>
        <w:pStyle w:val="answer"/>
        <w:rPr>
          <w:rFonts w:eastAsia="SimSun"/>
        </w:rPr>
      </w:pPr>
      <w:r>
        <w:rPr>
          <w:rFonts w:eastAsia="SimSun"/>
        </w:rPr>
        <w:t>A.</w:t>
      </w:r>
      <w:r>
        <w:rPr>
          <w:rFonts w:eastAsia="SimSun"/>
        </w:rPr>
        <w:tab/>
        <w:t>In general</w:t>
      </w:r>
      <w:r w:rsidR="0047123D">
        <w:rPr>
          <w:rFonts w:eastAsia="SimSun"/>
        </w:rPr>
        <w:t>,</w:t>
      </w:r>
      <w:r>
        <w:rPr>
          <w:rFonts w:eastAsia="SimSun"/>
        </w:rPr>
        <w:t xml:space="preserve"> </w:t>
      </w:r>
      <w:r w:rsidR="0047123D">
        <w:rPr>
          <w:rFonts w:eastAsia="SimSun"/>
        </w:rPr>
        <w:t>PSE</w:t>
      </w:r>
      <w:r>
        <w:rPr>
          <w:rFonts w:eastAsia="SimSun"/>
        </w:rPr>
        <w:t xml:space="preserve"> would be supportive of discontinuing the small adjustments </w:t>
      </w:r>
      <w:r w:rsidR="007E6292">
        <w:rPr>
          <w:rFonts w:eastAsia="SimSun"/>
        </w:rPr>
        <w:t xml:space="preserve">that are below </w:t>
      </w:r>
      <w:r w:rsidR="0077523D">
        <w:t>Ms. </w:t>
      </w:r>
      <w:proofErr w:type="spellStart"/>
      <w:r w:rsidR="007E6292">
        <w:rPr>
          <w:rFonts w:eastAsia="SimSun"/>
        </w:rPr>
        <w:t>Cheesman</w:t>
      </w:r>
      <w:r w:rsidR="00E462EF">
        <w:rPr>
          <w:rFonts w:eastAsia="SimSun"/>
        </w:rPr>
        <w:t>’</w:t>
      </w:r>
      <w:r w:rsidR="007E6292">
        <w:rPr>
          <w:rFonts w:eastAsia="SimSun"/>
        </w:rPr>
        <w:t>s</w:t>
      </w:r>
      <w:proofErr w:type="spellEnd"/>
      <w:r w:rsidR="007E6292">
        <w:rPr>
          <w:rFonts w:eastAsia="SimSun"/>
        </w:rPr>
        <w:t xml:space="preserve"> proposed materiality thresholds.</w:t>
      </w:r>
      <w:r w:rsidR="00F26B15">
        <w:rPr>
          <w:rFonts w:eastAsia="SimSun"/>
        </w:rPr>
        <w:t xml:space="preserve"> </w:t>
      </w:r>
      <w:r w:rsidR="000E47DB">
        <w:rPr>
          <w:rFonts w:eastAsia="SimSun"/>
        </w:rPr>
        <w:t xml:space="preserve">Additionally, </w:t>
      </w:r>
      <w:r w:rsidR="0077523D">
        <w:t>PSE</w:t>
      </w:r>
      <w:r w:rsidR="000E47DB">
        <w:rPr>
          <w:rFonts w:eastAsia="SimSun"/>
        </w:rPr>
        <w:t xml:space="preserve"> would support filing its revenue requirement numbers to the nearest $1,000 for operating expense and revenues and the nearest $100,000 for rate base items, which would be another natural way to avoid including immaterial amounts in rate case filings. </w:t>
      </w:r>
    </w:p>
    <w:p w:rsidR="00AE2C62" w:rsidRPr="00AD208F" w:rsidRDefault="00AE2C62" w:rsidP="00C842F8">
      <w:pPr>
        <w:pStyle w:val="question"/>
      </w:pPr>
      <w:r w:rsidRPr="00AD208F">
        <w:lastRenderedPageBreak/>
        <w:t>Q.</w:t>
      </w:r>
      <w:r w:rsidRPr="00AD208F">
        <w:tab/>
      </w:r>
      <w:r w:rsidR="0077523D">
        <w:t>Ms. </w:t>
      </w:r>
      <w:proofErr w:type="spellStart"/>
      <w:r>
        <w:t>Cheesman</w:t>
      </w:r>
      <w:proofErr w:type="spellEnd"/>
      <w:r>
        <w:t xml:space="preserve"> includes several pages in her testimony regarding communication and the need for clarity in </w:t>
      </w:r>
      <w:r w:rsidR="0077523D">
        <w:t>PSE</w:t>
      </w:r>
      <w:r w:rsidR="00E462EF">
        <w:t>’</w:t>
      </w:r>
      <w:r>
        <w:t xml:space="preserve">s terminology and </w:t>
      </w:r>
      <w:r w:rsidR="001D7EB9">
        <w:t>adjustment files.</w:t>
      </w:r>
      <w:r w:rsidR="00BC5F77">
        <w:rPr>
          <w:rStyle w:val="FootnoteReference"/>
        </w:rPr>
        <w:footnoteReference w:id="158"/>
      </w:r>
      <w:r w:rsidR="00F26B15">
        <w:t xml:space="preserve"> </w:t>
      </w:r>
      <w:r w:rsidR="001D7EB9">
        <w:t>Do you agree with her assessment</w:t>
      </w:r>
      <w:r>
        <w:t>?</w:t>
      </w:r>
    </w:p>
    <w:p w:rsidR="001D7EB9" w:rsidRPr="00F3275D" w:rsidRDefault="001D7EB9" w:rsidP="001D7EB9">
      <w:pPr>
        <w:pStyle w:val="answer"/>
        <w:rPr>
          <w:rFonts w:eastAsia="SimSun"/>
        </w:rPr>
      </w:pPr>
      <w:r>
        <w:rPr>
          <w:rFonts w:eastAsia="SimSun"/>
        </w:rPr>
        <w:t>A.</w:t>
      </w:r>
      <w:r>
        <w:rPr>
          <w:rFonts w:eastAsia="SimSun"/>
        </w:rPr>
        <w:tab/>
        <w:t>In general</w:t>
      </w:r>
      <w:r w:rsidR="0077523D">
        <w:rPr>
          <w:rFonts w:eastAsia="SimSun"/>
        </w:rPr>
        <w:t>,</w:t>
      </w:r>
      <w:r>
        <w:rPr>
          <w:rFonts w:eastAsia="SimSun"/>
        </w:rPr>
        <w:t xml:space="preserve"> </w:t>
      </w:r>
      <w:r w:rsidR="0077523D">
        <w:t>PSE</w:t>
      </w:r>
      <w:r>
        <w:rPr>
          <w:rFonts w:eastAsia="SimSun"/>
        </w:rPr>
        <w:t xml:space="preserve"> is open to improvements that will facilitate the review of the numerous files that are provided to support of </w:t>
      </w:r>
      <w:r w:rsidR="0077523D">
        <w:t>PSE</w:t>
      </w:r>
      <w:r w:rsidR="00E462EF">
        <w:rPr>
          <w:rFonts w:eastAsia="SimSun"/>
        </w:rPr>
        <w:t>’</w:t>
      </w:r>
      <w:r>
        <w:rPr>
          <w:rFonts w:eastAsia="SimSun"/>
        </w:rPr>
        <w:t>s rate request by</w:t>
      </w:r>
      <w:r w:rsidRPr="001D7EB9">
        <w:rPr>
          <w:rFonts w:eastAsia="SimSun"/>
        </w:rPr>
        <w:t xml:space="preserve"> </w:t>
      </w:r>
      <w:r w:rsidR="00771706">
        <w:rPr>
          <w:bCs/>
        </w:rPr>
        <w:t xml:space="preserve">Commission </w:t>
      </w:r>
      <w:r w:rsidR="00771706">
        <w:t>Staff</w:t>
      </w:r>
      <w:r>
        <w:rPr>
          <w:rFonts w:eastAsia="SimSun"/>
        </w:rPr>
        <w:t xml:space="preserve"> and the other parties to the case.</w:t>
      </w:r>
      <w:r w:rsidR="00F26B15">
        <w:rPr>
          <w:rFonts w:eastAsia="SimSun"/>
        </w:rPr>
        <w:t xml:space="preserve"> </w:t>
      </w:r>
      <w:r w:rsidR="0077523D">
        <w:t>PSE</w:t>
      </w:r>
      <w:r>
        <w:rPr>
          <w:rFonts w:eastAsia="SimSun"/>
        </w:rPr>
        <w:t xml:space="preserve"> utilized both the format of the files and the terminology such as the</w:t>
      </w:r>
      <w:r w:rsidR="00BA4618">
        <w:rPr>
          <w:rFonts w:eastAsia="SimSun"/>
        </w:rPr>
        <w:t xml:space="preserve"> phrase</w:t>
      </w:r>
      <w:r>
        <w:rPr>
          <w:rFonts w:eastAsia="SimSun"/>
        </w:rPr>
        <w:t xml:space="preserve"> </w:t>
      </w:r>
      <w:r w:rsidR="00E462EF">
        <w:rPr>
          <w:rFonts w:eastAsia="SimSun"/>
        </w:rPr>
        <w:t>“</w:t>
      </w:r>
      <w:proofErr w:type="spellStart"/>
      <w:r>
        <w:rPr>
          <w:rFonts w:eastAsia="SimSun"/>
        </w:rPr>
        <w:t>proforma</w:t>
      </w:r>
      <w:proofErr w:type="spellEnd"/>
      <w:r>
        <w:rPr>
          <w:rFonts w:eastAsia="SimSun"/>
        </w:rPr>
        <w:t xml:space="preserve"> revenue adjustment</w:t>
      </w:r>
      <w:r w:rsidR="00E462EF">
        <w:rPr>
          <w:rFonts w:eastAsia="SimSun"/>
        </w:rPr>
        <w:t>”</w:t>
      </w:r>
      <w:r>
        <w:rPr>
          <w:rFonts w:eastAsia="SimSun"/>
        </w:rPr>
        <w:t xml:space="preserve"> consistent with </w:t>
      </w:r>
      <w:r w:rsidR="00BA4618">
        <w:rPr>
          <w:rFonts w:eastAsia="SimSun"/>
        </w:rPr>
        <w:t xml:space="preserve">numerous </w:t>
      </w:r>
      <w:r>
        <w:rPr>
          <w:rFonts w:eastAsia="SimSun"/>
        </w:rPr>
        <w:t>past general rate case filings</w:t>
      </w:r>
      <w:r w:rsidR="005C540E">
        <w:rPr>
          <w:rFonts w:eastAsia="SimSun"/>
        </w:rPr>
        <w:t>, where the format and terminology had not been previously questioned.</w:t>
      </w:r>
      <w:r w:rsidR="00F26B15">
        <w:rPr>
          <w:rFonts w:eastAsia="SimSun"/>
        </w:rPr>
        <w:t xml:space="preserve"> </w:t>
      </w:r>
      <w:r w:rsidR="00BA4618">
        <w:rPr>
          <w:rFonts w:eastAsia="SimSun"/>
        </w:rPr>
        <w:t>PSE</w:t>
      </w:r>
      <w:r>
        <w:rPr>
          <w:rFonts w:eastAsia="SimSun"/>
        </w:rPr>
        <w:t xml:space="preserve"> recognizes that there </w:t>
      </w:r>
      <w:r w:rsidR="007E6292">
        <w:rPr>
          <w:rFonts w:eastAsia="SimSun"/>
        </w:rPr>
        <w:t xml:space="preserve">are </w:t>
      </w:r>
      <w:r>
        <w:rPr>
          <w:rFonts w:eastAsia="SimSun"/>
        </w:rPr>
        <w:t xml:space="preserve">a number of new </w:t>
      </w:r>
      <w:r w:rsidR="00771706">
        <w:rPr>
          <w:bCs/>
        </w:rPr>
        <w:t xml:space="preserve">Commission </w:t>
      </w:r>
      <w:r w:rsidR="00771706">
        <w:t>Staff</w:t>
      </w:r>
      <w:r>
        <w:rPr>
          <w:rFonts w:eastAsia="SimSun"/>
        </w:rPr>
        <w:t xml:space="preserve"> </w:t>
      </w:r>
      <w:r w:rsidR="007E6292">
        <w:rPr>
          <w:rFonts w:eastAsia="SimSun"/>
        </w:rPr>
        <w:t xml:space="preserve">members </w:t>
      </w:r>
      <w:r>
        <w:rPr>
          <w:rFonts w:eastAsia="SimSun"/>
        </w:rPr>
        <w:t xml:space="preserve">working on </w:t>
      </w:r>
      <w:r w:rsidR="0077523D">
        <w:t>PSE</w:t>
      </w:r>
      <w:r w:rsidR="00E462EF">
        <w:rPr>
          <w:rFonts w:eastAsia="SimSun"/>
        </w:rPr>
        <w:t>’</w:t>
      </w:r>
      <w:r w:rsidR="00BA4618">
        <w:rPr>
          <w:rFonts w:eastAsia="SimSun"/>
        </w:rPr>
        <w:t xml:space="preserve">s </w:t>
      </w:r>
      <w:r>
        <w:rPr>
          <w:rFonts w:eastAsia="SimSun"/>
        </w:rPr>
        <w:t xml:space="preserve">filings </w:t>
      </w:r>
      <w:r w:rsidR="005C540E">
        <w:rPr>
          <w:rFonts w:eastAsia="SimSun"/>
        </w:rPr>
        <w:t>and</w:t>
      </w:r>
      <w:r>
        <w:rPr>
          <w:rFonts w:eastAsia="SimSun"/>
        </w:rPr>
        <w:t xml:space="preserve">, </w:t>
      </w:r>
      <w:r w:rsidR="00BA4618">
        <w:rPr>
          <w:rFonts w:eastAsia="SimSun"/>
        </w:rPr>
        <w:t>PSE</w:t>
      </w:r>
      <w:r>
        <w:rPr>
          <w:rFonts w:eastAsia="SimSun"/>
        </w:rPr>
        <w:t xml:space="preserve"> is open to utilizing different terminology going forward to the extent the parties believe it is clearer.</w:t>
      </w:r>
      <w:r w:rsidR="00F26B15">
        <w:rPr>
          <w:rFonts w:eastAsia="SimSun"/>
        </w:rPr>
        <w:t xml:space="preserve"> </w:t>
      </w:r>
    </w:p>
    <w:p w:rsidR="00F8418D" w:rsidRPr="009075DC" w:rsidRDefault="00C85070" w:rsidP="00771706">
      <w:pPr>
        <w:pStyle w:val="Heading1"/>
      </w:pPr>
      <w:bookmarkStart w:id="73" w:name="_Toc127023404"/>
      <w:bookmarkStart w:id="74" w:name="_Toc490035628"/>
      <w:r>
        <w:t>X</w:t>
      </w:r>
      <w:r w:rsidR="003B6FDB">
        <w:t>I</w:t>
      </w:r>
      <w:r w:rsidR="00F8418D" w:rsidRPr="009075DC">
        <w:t>.</w:t>
      </w:r>
      <w:r w:rsidR="00F8418D" w:rsidRPr="009075DC">
        <w:tab/>
        <w:t>CONCLUSION</w:t>
      </w:r>
      <w:bookmarkEnd w:id="73"/>
      <w:bookmarkEnd w:id="74"/>
    </w:p>
    <w:p w:rsidR="00F8418D" w:rsidRPr="009075DC" w:rsidRDefault="00F8418D" w:rsidP="00734EBA">
      <w:pPr>
        <w:pStyle w:val="question"/>
      </w:pPr>
      <w:r w:rsidRPr="009075DC">
        <w:t>Q.</w:t>
      </w:r>
      <w:r w:rsidRPr="009075DC">
        <w:tab/>
        <w:t xml:space="preserve">Does this conclude your </w:t>
      </w:r>
      <w:r w:rsidR="00864D3F">
        <w:t xml:space="preserve">rebuttal </w:t>
      </w:r>
      <w:r w:rsidRPr="009075DC">
        <w:t>testimony?</w:t>
      </w:r>
    </w:p>
    <w:p w:rsidR="00621BFC" w:rsidRPr="009075DC" w:rsidRDefault="00F8418D" w:rsidP="00DA6161">
      <w:pPr>
        <w:pStyle w:val="answer"/>
        <w:rPr>
          <w:rFonts w:eastAsia="SimSun"/>
        </w:rPr>
      </w:pPr>
      <w:r w:rsidRPr="009075DC">
        <w:rPr>
          <w:rFonts w:eastAsia="SimSun"/>
        </w:rPr>
        <w:t>A.</w:t>
      </w:r>
      <w:r w:rsidRPr="009075DC">
        <w:rPr>
          <w:rFonts w:eastAsia="SimSun"/>
        </w:rPr>
        <w:tab/>
        <w:t>Yes</w:t>
      </w:r>
      <w:r w:rsidR="00406B72">
        <w:rPr>
          <w:rFonts w:eastAsia="SimSun"/>
        </w:rPr>
        <w:t>.</w:t>
      </w:r>
    </w:p>
    <w:sectPr w:rsidR="00621BFC" w:rsidRPr="009075DC" w:rsidSect="00EC61B9">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CA" w:rsidRDefault="008658CA">
      <w:r>
        <w:separator/>
      </w:r>
    </w:p>
  </w:endnote>
  <w:endnote w:type="continuationSeparator" w:id="0">
    <w:p w:rsidR="008658CA" w:rsidRDefault="008658CA">
      <w:r>
        <w:continuationSeparator/>
      </w:r>
    </w:p>
  </w:endnote>
  <w:endnote w:type="continuationNotice" w:id="1">
    <w:p w:rsidR="008658CA" w:rsidRDefault="008658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B8" w:rsidRDefault="00016BB8">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016BB8" w:rsidRDefault="00016BB8">
    <w:pPr>
      <w:pStyle w:val="Footer"/>
      <w:tabs>
        <w:tab w:val="clear" w:pos="4507"/>
        <w:tab w:val="clear" w:pos="9000"/>
        <w:tab w:val="right" w:pos="8640"/>
      </w:tabs>
      <w:spacing w:line="240" w:lineRule="auto"/>
      <w:ind w:right="0" w:hanging="4"/>
      <w:rPr>
        <w:sz w:val="10"/>
        <w:szCs w:val="10"/>
      </w:rPr>
    </w:pPr>
  </w:p>
  <w:p w:rsidR="00016BB8" w:rsidRDefault="00016BB8">
    <w:pPr>
      <w:pStyle w:val="Footer"/>
      <w:tabs>
        <w:tab w:val="clear" w:pos="4507"/>
        <w:tab w:val="clear" w:pos="9000"/>
        <w:tab w:val="right" w:pos="8640"/>
      </w:tabs>
      <w:ind w:hanging="4"/>
    </w:pPr>
    <w:proofErr w:type="spellStart"/>
    <w:r>
      <w:t>Prefiled</w:t>
    </w:r>
    <w:proofErr w:type="spellEnd"/>
    <w:r>
      <w:t xml:space="preserve"> Rebuttal Testimony</w:t>
    </w:r>
    <w:r>
      <w:tab/>
    </w:r>
    <w:proofErr w:type="spellStart"/>
    <w:r>
      <w:t>Exh</w:t>
    </w:r>
    <w:proofErr w:type="spellEnd"/>
    <w:r>
      <w:t>. KJB-17T</w:t>
    </w:r>
  </w:p>
  <w:p w:rsidR="00016BB8" w:rsidRDefault="00016BB8">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DD70D7">
      <w:rPr>
        <w:rStyle w:val="PageNumber"/>
        <w:noProof/>
      </w:rPr>
      <w:t>ii</w:t>
    </w:r>
    <w:r>
      <w:rPr>
        <w:rStyle w:val="PageNumber"/>
      </w:rPr>
      <w:fldChar w:fldCharType="end"/>
    </w:r>
    <w:r>
      <w:rPr>
        <w:rStyle w:val="PageNumber"/>
      </w:rPr>
      <w:t xml:space="preserve"> of </w:t>
    </w:r>
    <w:r>
      <w:t>iv</w:t>
    </w:r>
  </w:p>
  <w:p w:rsidR="00016BB8" w:rsidRDefault="00016BB8" w:rsidP="00016BB8">
    <w:pPr>
      <w:pStyle w:val="Footer"/>
      <w:tabs>
        <w:tab w:val="clear" w:pos="4507"/>
        <w:tab w:val="clear" w:pos="9000"/>
        <w:tab w:val="right" w:pos="8640"/>
      </w:tabs>
      <w:ind w:hanging="4"/>
    </w:pPr>
    <w:r>
      <w:t>Katherine J. Barnard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B8" w:rsidRDefault="00016BB8">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016BB8" w:rsidRDefault="00016BB8">
    <w:pPr>
      <w:pStyle w:val="Footer"/>
      <w:tabs>
        <w:tab w:val="clear" w:pos="4507"/>
        <w:tab w:val="clear" w:pos="9000"/>
        <w:tab w:val="right" w:pos="8640"/>
      </w:tabs>
      <w:spacing w:line="240" w:lineRule="auto"/>
      <w:ind w:right="0"/>
      <w:rPr>
        <w:sz w:val="10"/>
      </w:rPr>
    </w:pPr>
  </w:p>
  <w:p w:rsidR="00016BB8" w:rsidRDefault="00016BB8">
    <w:pPr>
      <w:pStyle w:val="Footer"/>
      <w:tabs>
        <w:tab w:val="clear" w:pos="4507"/>
        <w:tab w:val="clear" w:pos="9000"/>
        <w:tab w:val="right" w:pos="8640"/>
      </w:tabs>
    </w:pPr>
    <w:proofErr w:type="spellStart"/>
    <w:r>
      <w:t>Prefiled</w:t>
    </w:r>
    <w:proofErr w:type="spellEnd"/>
    <w:r>
      <w:t xml:space="preserve"> Rebuttal Testimony</w:t>
    </w:r>
    <w:r>
      <w:tab/>
    </w:r>
    <w:proofErr w:type="spellStart"/>
    <w:r>
      <w:t>Exh</w:t>
    </w:r>
    <w:proofErr w:type="spellEnd"/>
    <w:r>
      <w:t>. KJB-17T</w:t>
    </w:r>
  </w:p>
  <w:p w:rsidR="00016BB8" w:rsidRDefault="00016BB8">
    <w:pPr>
      <w:pStyle w:val="Footer"/>
      <w:tabs>
        <w:tab w:val="clear" w:pos="4507"/>
        <w:tab w:val="clear" w:pos="9000"/>
        <w:tab w:val="right" w:pos="8640"/>
      </w:tabs>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DD70D7">
      <w:rPr>
        <w:rStyle w:val="PageNumber"/>
        <w:noProof/>
      </w:rPr>
      <w:t>105</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DD70D7">
      <w:rPr>
        <w:rStyle w:val="PageNumber"/>
        <w:noProof/>
      </w:rPr>
      <w:t>105</w:t>
    </w:r>
    <w:r>
      <w:rPr>
        <w:rStyle w:val="PageNumber"/>
      </w:rPr>
      <w:fldChar w:fldCharType="end"/>
    </w:r>
  </w:p>
  <w:p w:rsidR="00016BB8" w:rsidRDefault="00016BB8" w:rsidP="00016BB8">
    <w:pPr>
      <w:pStyle w:val="Footer"/>
      <w:tabs>
        <w:tab w:val="clear" w:pos="4507"/>
        <w:tab w:val="clear" w:pos="9000"/>
        <w:tab w:val="right" w:pos="8640"/>
      </w:tabs>
    </w:pPr>
    <w:r>
      <w:t>Katherine J. Barnard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B8" w:rsidRDefault="00016BB8">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016BB8" w:rsidRDefault="00016BB8">
    <w:pPr>
      <w:pStyle w:val="Footer"/>
      <w:tabs>
        <w:tab w:val="clear" w:pos="4507"/>
        <w:tab w:val="clear" w:pos="9000"/>
        <w:tab w:val="right" w:pos="8640"/>
      </w:tabs>
      <w:spacing w:line="240" w:lineRule="auto"/>
      <w:ind w:left="-630" w:right="0" w:hanging="4"/>
      <w:rPr>
        <w:sz w:val="10"/>
      </w:rPr>
    </w:pPr>
  </w:p>
  <w:p w:rsidR="00016BB8" w:rsidRDefault="00016BB8">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016BB8" w:rsidRDefault="00016BB8">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DD70D7">
      <w:rPr>
        <w:rStyle w:val="PageNumber"/>
        <w:noProof/>
      </w:rPr>
      <w:t>105</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CA" w:rsidRDefault="008658CA" w:rsidP="0099661A">
      <w:pPr>
        <w:spacing w:line="240" w:lineRule="auto"/>
        <w:ind w:firstLine="0"/>
        <w:jc w:val="both"/>
      </w:pPr>
      <w:r>
        <w:separator/>
      </w:r>
    </w:p>
  </w:footnote>
  <w:footnote w:type="continuationSeparator" w:id="0">
    <w:p w:rsidR="008658CA" w:rsidRDefault="008658CA" w:rsidP="0099661A">
      <w:pPr>
        <w:spacing w:line="240" w:lineRule="auto"/>
        <w:ind w:firstLine="0"/>
      </w:pPr>
      <w:r>
        <w:continuationSeparator/>
      </w:r>
    </w:p>
  </w:footnote>
  <w:footnote w:type="continuationNotice" w:id="1">
    <w:p w:rsidR="008658CA" w:rsidRDefault="008658CA" w:rsidP="0099661A">
      <w:pPr>
        <w:spacing w:line="240" w:lineRule="auto"/>
        <w:ind w:firstLine="0"/>
      </w:pPr>
    </w:p>
  </w:footnote>
  <w:footnote w:id="2">
    <w:p w:rsidR="00016BB8" w:rsidRDefault="00016BB8" w:rsidP="000F1FBC">
      <w:pPr>
        <w:pStyle w:val="FootnoteText"/>
        <w:spacing w:line="240" w:lineRule="auto"/>
      </w:pPr>
      <w:r>
        <w:rPr>
          <w:rStyle w:val="FootnoteReference"/>
        </w:rPr>
        <w:footnoteRef/>
      </w:r>
      <w:r>
        <w:tab/>
        <w:t>As well as the impact on revenue requirement for the contingent calculation related to the Microsoft special contract approved in Docket UE-161123.</w:t>
      </w:r>
    </w:p>
  </w:footnote>
  <w:footnote w:id="3">
    <w:p w:rsidR="00016BB8" w:rsidRDefault="00016BB8" w:rsidP="000F1FBC">
      <w:pPr>
        <w:pStyle w:val="FootnoteText"/>
        <w:spacing w:line="240" w:lineRule="auto"/>
      </w:pPr>
      <w:r>
        <w:rPr>
          <w:rStyle w:val="FootnoteReference"/>
        </w:rPr>
        <w:footnoteRef/>
      </w:r>
      <w:r>
        <w:tab/>
      </w:r>
      <w:proofErr w:type="spellStart"/>
      <w:r>
        <w:t>Brosch</w:t>
      </w:r>
      <w:proofErr w:type="spellEnd"/>
      <w:r>
        <w:t>, MLB-1T at 21:9.</w:t>
      </w:r>
    </w:p>
  </w:footnote>
  <w:footnote w:id="4">
    <w:p w:rsidR="00016BB8" w:rsidRDefault="00016BB8" w:rsidP="000F1FBC">
      <w:pPr>
        <w:pStyle w:val="FootnoteText"/>
        <w:spacing w:line="240" w:lineRule="auto"/>
      </w:pPr>
      <w:r>
        <w:rPr>
          <w:rStyle w:val="FootnoteReference"/>
        </w:rPr>
        <w:footnoteRef/>
      </w:r>
      <w:r>
        <w:tab/>
        <w:t>Docket UE-121697/UG121705, Public Counsel witness Dittmer at 5-13.</w:t>
      </w:r>
    </w:p>
  </w:footnote>
  <w:footnote w:id="5">
    <w:p w:rsidR="00016BB8" w:rsidRDefault="00016BB8" w:rsidP="000F1FBC">
      <w:pPr>
        <w:pStyle w:val="FootnoteText"/>
        <w:spacing w:line="240" w:lineRule="auto"/>
      </w:pPr>
      <w:r>
        <w:rPr>
          <w:rStyle w:val="FootnoteReference"/>
        </w:rPr>
        <w:footnoteRef/>
      </w:r>
      <w:r>
        <w:tab/>
        <w:t xml:space="preserve">PSE utilized the non-production O&amp;M expenses as approved in PSE’s 2006 and 2011 </w:t>
      </w:r>
      <w:proofErr w:type="spellStart"/>
      <w:r>
        <w:t>GRCs</w:t>
      </w:r>
      <w:proofErr w:type="spellEnd"/>
      <w:r>
        <w:t xml:space="preserve"> to measure historical growth in expenses for comparison purposes as this element of the K-Factor analysis was substituted with CPI less a productivity factor.</w:t>
      </w:r>
    </w:p>
  </w:footnote>
  <w:footnote w:id="6">
    <w:p w:rsidR="00016BB8" w:rsidRDefault="00016BB8" w:rsidP="000F1FBC">
      <w:pPr>
        <w:pStyle w:val="FootnoteText"/>
        <w:spacing w:line="240" w:lineRule="auto"/>
      </w:pPr>
      <w:r>
        <w:rPr>
          <w:rStyle w:val="FootnoteReference"/>
        </w:rPr>
        <w:footnoteRef/>
      </w:r>
      <w:r>
        <w:tab/>
        <w:t>Dockets UE</w:t>
      </w:r>
      <w:r w:rsidR="00523B21">
        <w:t xml:space="preserve">-121697/UG-121705, Barnard, </w:t>
      </w:r>
      <w:proofErr w:type="spellStart"/>
      <w:r w:rsidR="00523B21">
        <w:t>Exh</w:t>
      </w:r>
      <w:proofErr w:type="spellEnd"/>
      <w:r>
        <w:t>.</w:t>
      </w:r>
      <w:r w:rsidR="00523B21">
        <w:t xml:space="preserve"> </w:t>
      </w:r>
      <w:r>
        <w:t>KJB-16.</w:t>
      </w:r>
    </w:p>
  </w:footnote>
  <w:footnote w:id="7">
    <w:p w:rsidR="00016BB8" w:rsidRDefault="00016BB8" w:rsidP="000F1FBC">
      <w:pPr>
        <w:pStyle w:val="FootnoteText"/>
        <w:spacing w:line="240" w:lineRule="auto"/>
      </w:pPr>
      <w:r>
        <w:rPr>
          <w:rStyle w:val="FootnoteReference"/>
        </w:rPr>
        <w:footnoteRef/>
      </w:r>
      <w:r>
        <w:tab/>
      </w:r>
      <w:proofErr w:type="spellStart"/>
      <w:r>
        <w:t>Brosch</w:t>
      </w:r>
      <w:proofErr w:type="spellEnd"/>
      <w:r>
        <w:t>, MLB-1T at 22:5.</w:t>
      </w:r>
    </w:p>
  </w:footnote>
  <w:footnote w:id="8">
    <w:p w:rsidR="00016BB8" w:rsidRDefault="00016BB8" w:rsidP="000F1FBC">
      <w:pPr>
        <w:pStyle w:val="FootnoteText"/>
        <w:spacing w:line="240" w:lineRule="auto"/>
      </w:pPr>
      <w:r>
        <w:rPr>
          <w:rStyle w:val="FootnoteReference"/>
        </w:rPr>
        <w:footnoteRef/>
      </w:r>
      <w:r>
        <w:tab/>
        <w:t xml:space="preserve">Barnard, </w:t>
      </w:r>
      <w:proofErr w:type="spellStart"/>
      <w:r>
        <w:t>Exh</w:t>
      </w:r>
      <w:proofErr w:type="spellEnd"/>
      <w:r>
        <w:t>. KJB-1T at 8:9-12.</w:t>
      </w:r>
    </w:p>
  </w:footnote>
  <w:footnote w:id="9">
    <w:p w:rsidR="00016BB8" w:rsidRDefault="00016BB8" w:rsidP="000F1FBC">
      <w:pPr>
        <w:pStyle w:val="FootnoteText"/>
        <w:spacing w:line="240" w:lineRule="auto"/>
      </w:pPr>
      <w:r>
        <w:rPr>
          <w:rStyle w:val="FootnoteReference"/>
        </w:rPr>
        <w:footnoteRef/>
      </w:r>
      <w:r>
        <w:tab/>
      </w:r>
      <w:proofErr w:type="spellStart"/>
      <w:r>
        <w:t>Brosch</w:t>
      </w:r>
      <w:proofErr w:type="spellEnd"/>
      <w:r>
        <w:t>, MLB-1T at 22:13-16.</w:t>
      </w:r>
    </w:p>
  </w:footnote>
  <w:footnote w:id="10">
    <w:p w:rsidR="00016BB8" w:rsidRDefault="00016BB8" w:rsidP="000F1FBC">
      <w:pPr>
        <w:pStyle w:val="FootnoteText"/>
        <w:spacing w:line="240" w:lineRule="auto"/>
      </w:pPr>
      <w:r>
        <w:rPr>
          <w:rStyle w:val="FootnoteReference"/>
        </w:rPr>
        <w:footnoteRef/>
      </w:r>
      <w:r>
        <w:tab/>
      </w:r>
      <w:proofErr w:type="spellStart"/>
      <w:r>
        <w:t>Brosch</w:t>
      </w:r>
      <w:proofErr w:type="spellEnd"/>
      <w:r>
        <w:t xml:space="preserve">, MLB-1T at 38:13-21. </w:t>
      </w:r>
    </w:p>
  </w:footnote>
  <w:footnote w:id="11">
    <w:p w:rsidR="00016BB8" w:rsidRDefault="00016BB8" w:rsidP="000F1FBC">
      <w:pPr>
        <w:pStyle w:val="FootnoteText"/>
        <w:spacing w:line="240" w:lineRule="auto"/>
      </w:pPr>
      <w:r>
        <w:rPr>
          <w:rStyle w:val="FootnoteReference"/>
        </w:rPr>
        <w:footnoteRef/>
      </w:r>
      <w:r>
        <w:tab/>
        <w:t xml:space="preserve">Hancock, </w:t>
      </w:r>
      <w:proofErr w:type="spellStart"/>
      <w:r>
        <w:t>Exh</w:t>
      </w:r>
      <w:proofErr w:type="spellEnd"/>
      <w:r>
        <w:t>. CSH-1CT at 29:1-2; Smith, RCS-1CT at 68:12-13.</w:t>
      </w:r>
    </w:p>
  </w:footnote>
  <w:footnote w:id="12">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BGM-3 at 1:21.</w:t>
      </w:r>
    </w:p>
  </w:footnote>
  <w:footnote w:id="13">
    <w:p w:rsidR="00016BB8" w:rsidRDefault="00016BB8" w:rsidP="000F1FBC">
      <w:pPr>
        <w:pStyle w:val="FootnoteText"/>
        <w:spacing w:line="240" w:lineRule="auto"/>
      </w:pPr>
      <w:r>
        <w:rPr>
          <w:rStyle w:val="FootnoteReference"/>
        </w:rPr>
        <w:footnoteRef/>
      </w:r>
      <w:r>
        <w:tab/>
        <w:t xml:space="preserve">Liu, </w:t>
      </w:r>
      <w:proofErr w:type="spellStart"/>
      <w:r>
        <w:t>Exh</w:t>
      </w:r>
      <w:proofErr w:type="spellEnd"/>
      <w:r>
        <w:t>. JL-1CT at 3:1-4.</w:t>
      </w:r>
    </w:p>
  </w:footnote>
  <w:footnote w:id="14">
    <w:p w:rsidR="00016BB8" w:rsidRDefault="00016BB8" w:rsidP="000F1FBC">
      <w:pPr>
        <w:pStyle w:val="FootnoteText"/>
        <w:spacing w:line="240" w:lineRule="auto"/>
      </w:pPr>
      <w:r w:rsidRPr="003C3D77">
        <w:rPr>
          <w:rStyle w:val="FootnoteReference"/>
        </w:rPr>
        <w:footnoteRef/>
      </w:r>
      <w:r w:rsidRPr="003C3D77">
        <w:tab/>
      </w:r>
      <w:r w:rsidRPr="003C3D77">
        <w:rPr>
          <w:i/>
        </w:rPr>
        <w:t xml:space="preserve">See generally </w:t>
      </w:r>
      <w:r w:rsidRPr="003C3D77">
        <w:t xml:space="preserve">McGuire, </w:t>
      </w:r>
      <w:proofErr w:type="spellStart"/>
      <w:r w:rsidRPr="003C3D77">
        <w:t>Exh</w:t>
      </w:r>
      <w:proofErr w:type="spellEnd"/>
      <w:r w:rsidRPr="003C3D77">
        <w:t>. CRM-1T at 21.</w:t>
      </w:r>
    </w:p>
  </w:footnote>
  <w:footnote w:id="15">
    <w:p w:rsidR="00016BB8" w:rsidRPr="00A7487B" w:rsidRDefault="00016BB8" w:rsidP="000F1FBC">
      <w:pPr>
        <w:pStyle w:val="FootnoteText"/>
        <w:spacing w:line="240" w:lineRule="auto"/>
      </w:pPr>
      <w:r>
        <w:rPr>
          <w:rStyle w:val="FootnoteReference"/>
        </w:rPr>
        <w:footnoteRef/>
      </w:r>
      <w:r>
        <w:tab/>
        <w:t xml:space="preserve">McGuire, </w:t>
      </w:r>
      <w:proofErr w:type="spellStart"/>
      <w:r>
        <w:t>Exh</w:t>
      </w:r>
      <w:proofErr w:type="spellEnd"/>
      <w:r>
        <w:t>. CRM-1T at 16:22.</w:t>
      </w:r>
    </w:p>
  </w:footnote>
  <w:footnote w:id="16">
    <w:p w:rsidR="00016BB8" w:rsidRDefault="00016BB8" w:rsidP="000F1FBC">
      <w:pPr>
        <w:pStyle w:val="FootnoteText"/>
        <w:spacing w:line="240" w:lineRule="auto"/>
      </w:pPr>
      <w:r>
        <w:rPr>
          <w:rStyle w:val="FootnoteReference"/>
        </w:rPr>
        <w:footnoteRef/>
      </w:r>
      <w:r>
        <w:tab/>
      </w:r>
      <w:r>
        <w:rPr>
          <w:i/>
        </w:rPr>
        <w:t xml:space="preserve">See </w:t>
      </w:r>
      <w:r>
        <w:t xml:space="preserve">Docket UE-072300, Clarke, </w:t>
      </w:r>
      <w:proofErr w:type="spellStart"/>
      <w:r>
        <w:t>Exh</w:t>
      </w:r>
      <w:proofErr w:type="spellEnd"/>
      <w:r>
        <w:t>. CRC-1T.</w:t>
      </w:r>
    </w:p>
  </w:footnote>
  <w:footnote w:id="17">
    <w:p w:rsidR="00016BB8" w:rsidRPr="00A7487B" w:rsidRDefault="00016BB8" w:rsidP="000F1FBC">
      <w:pPr>
        <w:pStyle w:val="FootnoteText"/>
        <w:spacing w:line="240" w:lineRule="auto"/>
      </w:pPr>
      <w:r>
        <w:rPr>
          <w:rStyle w:val="FootnoteReference"/>
        </w:rPr>
        <w:footnoteRef/>
      </w:r>
      <w:r>
        <w:tab/>
      </w:r>
      <w:r>
        <w:rPr>
          <w:i/>
        </w:rPr>
        <w:t xml:space="preserve">See </w:t>
      </w:r>
      <w:r>
        <w:t xml:space="preserve">Docket UE-072300, King, </w:t>
      </w:r>
      <w:proofErr w:type="spellStart"/>
      <w:r>
        <w:t>Exh</w:t>
      </w:r>
      <w:proofErr w:type="spellEnd"/>
      <w:r>
        <w:t>. CWK-1T</w:t>
      </w:r>
      <w:r w:rsidRPr="000F1FBC">
        <w:t xml:space="preserve"> </w:t>
      </w:r>
      <w:r>
        <w:t>at 3.</w:t>
      </w:r>
    </w:p>
  </w:footnote>
  <w:footnote w:id="18">
    <w:p w:rsidR="00016BB8" w:rsidRPr="00A7487B" w:rsidRDefault="00016BB8" w:rsidP="000F1FBC">
      <w:pPr>
        <w:pStyle w:val="FootnoteText"/>
        <w:spacing w:line="240" w:lineRule="auto"/>
      </w:pPr>
      <w:r>
        <w:rPr>
          <w:rStyle w:val="FootnoteReference"/>
        </w:rPr>
        <w:footnoteRef/>
      </w:r>
      <w:r>
        <w:tab/>
      </w:r>
      <w:r>
        <w:rPr>
          <w:i/>
        </w:rPr>
        <w:t xml:space="preserve">See </w:t>
      </w:r>
      <w:r>
        <w:t xml:space="preserve">Docket UE-072300, </w:t>
      </w:r>
      <w:proofErr w:type="spellStart"/>
      <w:r>
        <w:t>Weinman</w:t>
      </w:r>
      <w:proofErr w:type="spellEnd"/>
      <w:r>
        <w:t xml:space="preserve">, </w:t>
      </w:r>
      <w:proofErr w:type="spellStart"/>
      <w:r>
        <w:t>Exh</w:t>
      </w:r>
      <w:proofErr w:type="spellEnd"/>
      <w:r>
        <w:t>. WHW-1T</w:t>
      </w:r>
      <w:r w:rsidRPr="000F1FBC">
        <w:t xml:space="preserve"> </w:t>
      </w:r>
      <w:r>
        <w:t>at 7-10.</w:t>
      </w:r>
    </w:p>
  </w:footnote>
  <w:footnote w:id="19">
    <w:p w:rsidR="00016BB8" w:rsidRDefault="00016BB8" w:rsidP="000F1FBC">
      <w:pPr>
        <w:pStyle w:val="FootnoteText"/>
        <w:spacing w:line="240" w:lineRule="auto"/>
      </w:pPr>
      <w:r>
        <w:rPr>
          <w:rStyle w:val="FootnoteReference"/>
        </w:rPr>
        <w:footnoteRef/>
      </w:r>
      <w:r>
        <w:tab/>
      </w:r>
      <w:r w:rsidRPr="008B7A42">
        <w:rPr>
          <w:i/>
        </w:rPr>
        <w:t>See</w:t>
      </w:r>
      <w:r>
        <w:t xml:space="preserve"> Docket UE-072300, Jones, </w:t>
      </w:r>
      <w:proofErr w:type="spellStart"/>
      <w:r>
        <w:t>Exh</w:t>
      </w:r>
      <w:proofErr w:type="spellEnd"/>
      <w:r>
        <w:t>. MLJ-15T</w:t>
      </w:r>
      <w:r w:rsidRPr="000F1FBC">
        <w:t xml:space="preserve"> </w:t>
      </w:r>
      <w:r>
        <w:t>at 8-13.</w:t>
      </w:r>
    </w:p>
  </w:footnote>
  <w:footnote w:id="20">
    <w:p w:rsidR="00523B21" w:rsidRDefault="00523B21" w:rsidP="00523B21">
      <w:pPr>
        <w:pStyle w:val="FootnoteText"/>
        <w:spacing w:line="240" w:lineRule="auto"/>
      </w:pPr>
      <w:r>
        <w:rPr>
          <w:rStyle w:val="FootnoteReference"/>
        </w:rPr>
        <w:footnoteRef/>
      </w:r>
      <w:r>
        <w:tab/>
      </w:r>
      <w:r w:rsidRPr="008B7A42">
        <w:rPr>
          <w:i/>
        </w:rPr>
        <w:t>See</w:t>
      </w:r>
      <w:r>
        <w:t xml:space="preserve"> Docket UE-072300, Exhibit Joint-7T, Joint Testimony Re Electric and Natural Gas Revenue Requirements.</w:t>
      </w:r>
    </w:p>
  </w:footnote>
  <w:footnote w:id="21">
    <w:p w:rsidR="00016BB8" w:rsidRPr="00A7487B" w:rsidRDefault="00016BB8" w:rsidP="000F1FBC">
      <w:pPr>
        <w:pStyle w:val="FootnoteText"/>
        <w:spacing w:line="240" w:lineRule="auto"/>
      </w:pPr>
      <w:r>
        <w:rPr>
          <w:rStyle w:val="FootnoteReference"/>
        </w:rPr>
        <w:footnoteRef/>
      </w:r>
      <w:r>
        <w:tab/>
      </w:r>
      <w:r>
        <w:rPr>
          <w:i/>
        </w:rPr>
        <w:t xml:space="preserve">See generally </w:t>
      </w:r>
      <w:proofErr w:type="spellStart"/>
      <w:r>
        <w:t>McCullar</w:t>
      </w:r>
      <w:proofErr w:type="spellEnd"/>
      <w:r>
        <w:t xml:space="preserve">, </w:t>
      </w:r>
      <w:proofErr w:type="spellStart"/>
      <w:r>
        <w:t>Exh</w:t>
      </w:r>
      <w:proofErr w:type="spellEnd"/>
      <w:r>
        <w:t>. RMM-1T.</w:t>
      </w:r>
    </w:p>
  </w:footnote>
  <w:footnote w:id="22">
    <w:p w:rsidR="00016BB8" w:rsidRDefault="00016BB8" w:rsidP="000F1FBC">
      <w:pPr>
        <w:pStyle w:val="FootnoteText"/>
        <w:spacing w:line="240" w:lineRule="auto"/>
      </w:pPr>
      <w:r>
        <w:rPr>
          <w:rStyle w:val="FootnoteReference"/>
        </w:rPr>
        <w:footnoteRef/>
      </w:r>
      <w:r>
        <w:tab/>
      </w:r>
      <w:proofErr w:type="spellStart"/>
      <w:r>
        <w:t>Hausman</w:t>
      </w:r>
      <w:proofErr w:type="spellEnd"/>
      <w:r>
        <w:t xml:space="preserve">, </w:t>
      </w:r>
      <w:proofErr w:type="spellStart"/>
      <w:r>
        <w:t>Exh</w:t>
      </w:r>
      <w:proofErr w:type="spellEnd"/>
      <w:r>
        <w:t>. EDH-1T at 6:5-6.</w:t>
      </w:r>
    </w:p>
  </w:footnote>
  <w:footnote w:id="23">
    <w:p w:rsidR="00016BB8" w:rsidRPr="006C7E78" w:rsidRDefault="00016BB8" w:rsidP="000F1FBC">
      <w:pPr>
        <w:pStyle w:val="FootnoteText"/>
        <w:spacing w:line="240" w:lineRule="auto"/>
      </w:pPr>
      <w:r>
        <w:rPr>
          <w:rStyle w:val="FootnoteReference"/>
        </w:rPr>
        <w:footnoteRef/>
      </w:r>
      <w:r>
        <w:tab/>
      </w:r>
      <w:proofErr w:type="spellStart"/>
      <w:r>
        <w:t>Hausman</w:t>
      </w:r>
      <w:proofErr w:type="spellEnd"/>
      <w:r>
        <w:t xml:space="preserve">, </w:t>
      </w:r>
      <w:proofErr w:type="spellStart"/>
      <w:r>
        <w:t>Exh</w:t>
      </w:r>
      <w:proofErr w:type="spellEnd"/>
      <w:r>
        <w:t>. EDH-1T at 12:16-18.</w:t>
      </w:r>
    </w:p>
  </w:footnote>
  <w:footnote w:id="24">
    <w:p w:rsidR="00016BB8" w:rsidRDefault="00016BB8" w:rsidP="000F1FBC">
      <w:pPr>
        <w:pStyle w:val="FootnoteText"/>
        <w:spacing w:line="240" w:lineRule="auto"/>
      </w:pPr>
      <w:r>
        <w:rPr>
          <w:rStyle w:val="FootnoteReference"/>
        </w:rPr>
        <w:footnoteRef/>
      </w:r>
      <w:r>
        <w:tab/>
        <w:t xml:space="preserve">McGuire, </w:t>
      </w:r>
      <w:proofErr w:type="spellStart"/>
      <w:r>
        <w:t>Exh</w:t>
      </w:r>
      <w:proofErr w:type="spellEnd"/>
      <w:r>
        <w:t>. CRM-1T at 5:13.</w:t>
      </w:r>
    </w:p>
  </w:footnote>
  <w:footnote w:id="25">
    <w:p w:rsidR="00016BB8" w:rsidRDefault="00016BB8" w:rsidP="000F1FBC">
      <w:pPr>
        <w:pStyle w:val="FootnoteText"/>
        <w:spacing w:line="240" w:lineRule="auto"/>
      </w:pPr>
      <w:r>
        <w:rPr>
          <w:rStyle w:val="FootnoteReference"/>
        </w:rPr>
        <w:footnoteRef/>
      </w:r>
      <w:r>
        <w:tab/>
        <w:t xml:space="preserve">McGuire, </w:t>
      </w:r>
      <w:proofErr w:type="spellStart"/>
      <w:r>
        <w:t>Exh</w:t>
      </w:r>
      <w:proofErr w:type="spellEnd"/>
      <w:r>
        <w:t xml:space="preserve">. CRM-1T </w:t>
      </w:r>
      <w:r>
        <w:rPr>
          <w:bCs/>
        </w:rPr>
        <w:t xml:space="preserve">at </w:t>
      </w:r>
      <w:r w:rsidRPr="004B6FD4">
        <w:rPr>
          <w:bCs/>
        </w:rPr>
        <w:t>16</w:t>
      </w:r>
      <w:r>
        <w:rPr>
          <w:bCs/>
        </w:rPr>
        <w:t>:</w:t>
      </w:r>
      <w:r w:rsidRPr="004B6FD4">
        <w:rPr>
          <w:bCs/>
        </w:rPr>
        <w:t>13</w:t>
      </w:r>
      <w:r>
        <w:rPr>
          <w:bCs/>
        </w:rPr>
        <w:t>-</w:t>
      </w:r>
      <w:r w:rsidRPr="004B6FD4">
        <w:rPr>
          <w:bCs/>
        </w:rPr>
        <w:t>18</w:t>
      </w:r>
      <w:r>
        <w:rPr>
          <w:bCs/>
        </w:rPr>
        <w:t>.</w:t>
      </w:r>
    </w:p>
  </w:footnote>
  <w:footnote w:id="26">
    <w:p w:rsidR="00016BB8" w:rsidRPr="006C7E78" w:rsidRDefault="00016BB8" w:rsidP="000F1FBC">
      <w:pPr>
        <w:pStyle w:val="FootnoteText"/>
        <w:spacing w:line="240" w:lineRule="auto"/>
        <w:rPr>
          <w:i/>
        </w:rPr>
      </w:pPr>
      <w:r>
        <w:rPr>
          <w:rStyle w:val="FootnoteReference"/>
        </w:rPr>
        <w:footnoteRef/>
      </w:r>
      <w:r>
        <w:tab/>
      </w:r>
      <w:r w:rsidRPr="00951DBF">
        <w:t>Please see</w:t>
      </w:r>
      <w:r>
        <w:rPr>
          <w:i/>
        </w:rPr>
        <w:t xml:space="preserve"> </w:t>
      </w:r>
      <w:r>
        <w:t xml:space="preserve">the </w:t>
      </w:r>
      <w:proofErr w:type="spellStart"/>
      <w:r w:rsidRPr="006C7E78">
        <w:t>Prefiled</w:t>
      </w:r>
      <w:proofErr w:type="spellEnd"/>
      <w:r w:rsidRPr="006C7E78">
        <w:t xml:space="preserve"> Rebuttal Testimony of Daniel A. Doyle</w:t>
      </w:r>
      <w:r>
        <w:t xml:space="preserve">, </w:t>
      </w:r>
      <w:proofErr w:type="spellStart"/>
      <w:r>
        <w:t>Exh</w:t>
      </w:r>
      <w:proofErr w:type="spellEnd"/>
      <w:r>
        <w:t xml:space="preserve">. DAD-7T, for a discussion of </w:t>
      </w:r>
      <w:r w:rsidRPr="006C7E78">
        <w:t>the additional implications of impairment accounting associated with Mr.</w:t>
      </w:r>
      <w:r>
        <w:t> </w:t>
      </w:r>
      <w:r w:rsidRPr="006C7E78">
        <w:t>McGuire</w:t>
      </w:r>
      <w:r>
        <w:t>’</w:t>
      </w:r>
      <w:r w:rsidRPr="006C7E78">
        <w:t>s exclusion of carrying costs on the regulatory asset.</w:t>
      </w:r>
    </w:p>
  </w:footnote>
  <w:footnote w:id="27">
    <w:p w:rsidR="00016BB8" w:rsidRDefault="00016BB8" w:rsidP="000F1FBC">
      <w:pPr>
        <w:pStyle w:val="FootnoteText"/>
        <w:spacing w:line="240" w:lineRule="auto"/>
      </w:pPr>
      <w:r>
        <w:rPr>
          <w:rStyle w:val="FootnoteReference"/>
        </w:rPr>
        <w:footnoteRef/>
      </w:r>
      <w:r>
        <w:tab/>
      </w:r>
      <w:r w:rsidRPr="006C7E78">
        <w:t xml:space="preserve">McGuire, </w:t>
      </w:r>
      <w:proofErr w:type="spellStart"/>
      <w:r w:rsidRPr="006C7E78">
        <w:t>Exh</w:t>
      </w:r>
      <w:proofErr w:type="spellEnd"/>
      <w:r>
        <w:t xml:space="preserve">. </w:t>
      </w:r>
      <w:r w:rsidRPr="006C7E78">
        <w:t>CRM-1T at 30</w:t>
      </w:r>
      <w:r>
        <w:t>-31.</w:t>
      </w:r>
    </w:p>
  </w:footnote>
  <w:footnote w:id="28">
    <w:p w:rsidR="00016BB8" w:rsidRDefault="00016BB8" w:rsidP="000F1FBC">
      <w:pPr>
        <w:pStyle w:val="FootnoteText"/>
        <w:spacing w:line="240" w:lineRule="auto"/>
      </w:pPr>
      <w:r>
        <w:rPr>
          <w:rStyle w:val="FootnoteReference"/>
        </w:rPr>
        <w:footnoteRef/>
      </w:r>
      <w:r>
        <w:tab/>
        <w:t xml:space="preserve">McGuire, </w:t>
      </w:r>
      <w:proofErr w:type="spellStart"/>
      <w:r>
        <w:t>Exh</w:t>
      </w:r>
      <w:proofErr w:type="spellEnd"/>
      <w:r>
        <w:t>. CRM-1T at 19:14-15.</w:t>
      </w:r>
    </w:p>
  </w:footnote>
  <w:footnote w:id="29">
    <w:p w:rsidR="00016BB8" w:rsidRDefault="00016BB8" w:rsidP="000F1FBC">
      <w:pPr>
        <w:pStyle w:val="FootnoteText"/>
        <w:spacing w:line="240" w:lineRule="auto"/>
      </w:pPr>
      <w:r>
        <w:rPr>
          <w:rStyle w:val="FootnoteReference"/>
        </w:rPr>
        <w:footnoteRef/>
      </w:r>
      <w:r>
        <w:tab/>
        <w:t xml:space="preserve">Sierra Club witness </w:t>
      </w:r>
      <w:proofErr w:type="spellStart"/>
      <w:r>
        <w:t>Hausman</w:t>
      </w:r>
      <w:proofErr w:type="spellEnd"/>
      <w:r>
        <w:t xml:space="preserve"> reaches a similar incorrect conclusion regarding the GAAP entry which the Commission should not accept for the reasons outlined in Mr. </w:t>
      </w:r>
      <w:proofErr w:type="spellStart"/>
      <w:r>
        <w:t>Marcelia’s</w:t>
      </w:r>
      <w:proofErr w:type="spellEnd"/>
      <w:r>
        <w:t xml:space="preserve"> testimony.</w:t>
      </w:r>
      <w:r w:rsidRPr="00951DBF">
        <w:t xml:space="preserve"> </w:t>
      </w:r>
      <w:r w:rsidRPr="00951DBF">
        <w:rPr>
          <w:i/>
        </w:rPr>
        <w:t>See</w:t>
      </w:r>
      <w:r>
        <w:t xml:space="preserve"> </w:t>
      </w:r>
      <w:proofErr w:type="spellStart"/>
      <w:r>
        <w:t>Hausman</w:t>
      </w:r>
      <w:proofErr w:type="spellEnd"/>
      <w:r>
        <w:t>, EDH-1T at 17:5-10.</w:t>
      </w:r>
    </w:p>
  </w:footnote>
  <w:footnote w:id="30">
    <w:p w:rsidR="00016BB8" w:rsidRPr="006C7E78" w:rsidRDefault="00016BB8" w:rsidP="000F1FBC">
      <w:pPr>
        <w:pStyle w:val="FootnoteText"/>
        <w:spacing w:line="240" w:lineRule="auto"/>
      </w:pPr>
      <w:r>
        <w:rPr>
          <w:rStyle w:val="FootnoteReference"/>
        </w:rPr>
        <w:footnoteRef/>
      </w:r>
      <w:r>
        <w:tab/>
        <w:t xml:space="preserve">McGuire, </w:t>
      </w:r>
      <w:proofErr w:type="spellStart"/>
      <w:r>
        <w:t>Exh</w:t>
      </w:r>
      <w:proofErr w:type="spellEnd"/>
      <w:r>
        <w:t>. CRM-1T at 31-32.</w:t>
      </w:r>
    </w:p>
  </w:footnote>
  <w:footnote w:id="31">
    <w:p w:rsidR="00016BB8" w:rsidRPr="006C7E78" w:rsidRDefault="00016BB8" w:rsidP="000F1FBC">
      <w:pPr>
        <w:pStyle w:val="FootnoteText"/>
        <w:spacing w:line="240" w:lineRule="auto"/>
      </w:pPr>
      <w:r>
        <w:rPr>
          <w:rStyle w:val="FootnoteReference"/>
        </w:rPr>
        <w:footnoteRef/>
      </w:r>
      <w:r>
        <w:tab/>
      </w:r>
      <w:r>
        <w:rPr>
          <w:i/>
        </w:rPr>
        <w:t>State ex rel. Pac. Power &amp; Light Co. v. Dep’t of Pub. Works</w:t>
      </w:r>
      <w:r>
        <w:t xml:space="preserve">, 143 </w:t>
      </w:r>
      <w:proofErr w:type="spellStart"/>
      <w:r>
        <w:t>W</w:t>
      </w:r>
      <w:r w:rsidR="00D10057">
        <w:t>n</w:t>
      </w:r>
      <w:proofErr w:type="spellEnd"/>
      <w:r>
        <w:t>. 67, 254 P. 839 (1927).</w:t>
      </w:r>
    </w:p>
  </w:footnote>
  <w:footnote w:id="32">
    <w:p w:rsidR="00D10057" w:rsidRDefault="00D10057">
      <w:pPr>
        <w:pStyle w:val="FootnoteText"/>
      </w:pPr>
      <w:r>
        <w:rPr>
          <w:rStyle w:val="FootnoteReference"/>
        </w:rPr>
        <w:footnoteRef/>
      </w:r>
      <w:r>
        <w:tab/>
        <w:t xml:space="preserve">143 </w:t>
      </w:r>
      <w:proofErr w:type="spellStart"/>
      <w:r>
        <w:t>Wn</w:t>
      </w:r>
      <w:proofErr w:type="spellEnd"/>
      <w:r>
        <w:t>. at 86, 254 P. at 846.</w:t>
      </w:r>
    </w:p>
  </w:footnote>
  <w:footnote w:id="33">
    <w:p w:rsidR="00016BB8" w:rsidRDefault="00016BB8" w:rsidP="00EE779D">
      <w:pPr>
        <w:pStyle w:val="FootnoteText"/>
        <w:spacing w:line="240" w:lineRule="auto"/>
      </w:pPr>
      <w:r>
        <w:rPr>
          <w:rStyle w:val="FootnoteReference"/>
        </w:rPr>
        <w:footnoteRef/>
      </w:r>
      <w:r>
        <w:tab/>
      </w:r>
      <w:r w:rsidRPr="00EE779D">
        <w:rPr>
          <w:i/>
        </w:rPr>
        <w:t xml:space="preserve">Wash. </w:t>
      </w:r>
      <w:proofErr w:type="spellStart"/>
      <w:r w:rsidRPr="00EE779D">
        <w:rPr>
          <w:i/>
        </w:rPr>
        <w:t>Utils</w:t>
      </w:r>
      <w:proofErr w:type="spellEnd"/>
      <w:r w:rsidRPr="00EE779D">
        <w:rPr>
          <w:i/>
        </w:rPr>
        <w:t xml:space="preserve">. &amp; Transp. </w:t>
      </w:r>
      <w:proofErr w:type="spellStart"/>
      <w:r w:rsidRPr="00EE779D">
        <w:rPr>
          <w:i/>
        </w:rPr>
        <w:t>Comm’n</w:t>
      </w:r>
      <w:proofErr w:type="spellEnd"/>
      <w:r w:rsidRPr="00EE779D">
        <w:rPr>
          <w:i/>
        </w:rPr>
        <w:t xml:space="preserve"> v. Pac. Power &amp; Light Co.</w:t>
      </w:r>
      <w:r>
        <w:t>, Docket U-86-02, 78 PUR.4th 84, 94-95, Second Supplemental Order at 15 (Sept. 19, 1986).</w:t>
      </w:r>
    </w:p>
  </w:footnote>
  <w:footnote w:id="34">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BGM-1T at 6:10-12 and 20:6-11.</w:t>
      </w:r>
    </w:p>
  </w:footnote>
  <w:footnote w:id="35">
    <w:p w:rsidR="00016BB8" w:rsidRDefault="00016BB8" w:rsidP="00A33803">
      <w:pPr>
        <w:pStyle w:val="FootnoteText"/>
      </w:pPr>
      <w:r>
        <w:rPr>
          <w:rStyle w:val="FootnoteReference"/>
        </w:rPr>
        <w:footnoteRef/>
      </w:r>
      <w:r>
        <w:tab/>
      </w:r>
      <w:proofErr w:type="spellStart"/>
      <w:r>
        <w:t>Hausman</w:t>
      </w:r>
      <w:proofErr w:type="spellEnd"/>
      <w:r>
        <w:t xml:space="preserve">, </w:t>
      </w:r>
      <w:proofErr w:type="spellStart"/>
      <w:r>
        <w:t>Exh</w:t>
      </w:r>
      <w:proofErr w:type="spellEnd"/>
      <w:r>
        <w:t>. EDH-1T at 23:9-19 (quoting</w:t>
      </w:r>
      <w:r w:rsidRPr="00A33803">
        <w:t xml:space="preserve"> </w:t>
      </w:r>
      <w:r w:rsidRPr="00A33803">
        <w:rPr>
          <w:i/>
        </w:rPr>
        <w:t>Re Pac. Gas &amp; Elec. Co</w:t>
      </w:r>
      <w:r w:rsidRPr="00A33803">
        <w:t>.</w:t>
      </w:r>
      <w:r>
        <w:t>,</w:t>
      </w:r>
      <w:r w:rsidRPr="00A33803">
        <w:t xml:space="preserve"> Application</w:t>
      </w:r>
      <w:r>
        <w:t> </w:t>
      </w:r>
      <w:r w:rsidRPr="00A33803">
        <w:t>83-09-49, Decision</w:t>
      </w:r>
      <w:r>
        <w:t> </w:t>
      </w:r>
      <w:r w:rsidRPr="00A33803">
        <w:t>85-08-046</w:t>
      </w:r>
      <w:r>
        <w:t xml:space="preserve"> at </w:t>
      </w:r>
      <w:r w:rsidRPr="00A33803">
        <w:t>15, 18</w:t>
      </w:r>
      <w:r>
        <w:t> </w:t>
      </w:r>
      <w:r w:rsidRPr="00A33803">
        <w:t>CPUC</w:t>
      </w:r>
      <w:r>
        <w:t>.</w:t>
      </w:r>
      <w:r w:rsidRPr="00A33803">
        <w:t>2d 592 (Aug. 21, 1985)</w:t>
      </w:r>
      <w:r>
        <w:t xml:space="preserve"> (emphasis added)</w:t>
      </w:r>
      <w:r w:rsidRPr="00A33803">
        <w:t>.</w:t>
      </w:r>
    </w:p>
  </w:footnote>
  <w:footnote w:id="36">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BGM-1CT at 11:10-12.</w:t>
      </w:r>
    </w:p>
  </w:footnote>
  <w:footnote w:id="37">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BGM-1CT at 11:12-14.</w:t>
      </w:r>
    </w:p>
  </w:footnote>
  <w:footnote w:id="38">
    <w:p w:rsidR="00016BB8" w:rsidRPr="00E140EF" w:rsidRDefault="00016BB8" w:rsidP="000F1FBC">
      <w:pPr>
        <w:pStyle w:val="FootnoteText"/>
        <w:spacing w:line="240" w:lineRule="auto"/>
      </w:pPr>
      <w:r>
        <w:rPr>
          <w:rStyle w:val="FootnoteReference"/>
        </w:rPr>
        <w:footnoteRef/>
      </w:r>
      <w:r>
        <w:tab/>
      </w:r>
      <w:r w:rsidRPr="006036B7">
        <w:rPr>
          <w:i/>
        </w:rPr>
        <w:t>See In the Matter of the Petition of Puget Sound Energy For an Accounting Order Authorizing Accounting the Sale of the Water Rights and Associated Assets of the Electron Hydroelectric Project in Accordance with WAC 480-143 and RCW 80.12</w:t>
      </w:r>
      <w:r>
        <w:t xml:space="preserve">, Docket UE-131099, Order 06 at </w:t>
      </w:r>
      <w:r>
        <w:rPr>
          <w:rFonts w:cs="Calibri"/>
        </w:rPr>
        <w:t>¶ </w:t>
      </w:r>
      <w:r>
        <w:t>9 (Oct. 9, 2014).</w:t>
      </w:r>
    </w:p>
  </w:footnote>
  <w:footnote w:id="39">
    <w:p w:rsidR="00016BB8" w:rsidRPr="008360C6" w:rsidRDefault="00016BB8" w:rsidP="000F1FBC">
      <w:pPr>
        <w:pStyle w:val="FootnoteText"/>
        <w:spacing w:line="240" w:lineRule="auto"/>
      </w:pPr>
      <w:r>
        <w:rPr>
          <w:rStyle w:val="FootnoteReference"/>
        </w:rPr>
        <w:footnoteRef/>
      </w:r>
      <w:r>
        <w:tab/>
      </w:r>
      <w:r w:rsidRPr="00E140EF">
        <w:t>Mullins</w:t>
      </w:r>
      <w:r>
        <w:t xml:space="preserve">, </w:t>
      </w:r>
      <w:proofErr w:type="spellStart"/>
      <w:r>
        <w:t>Exh</w:t>
      </w:r>
      <w:proofErr w:type="spellEnd"/>
      <w:r>
        <w:t>. BGM-1CT</w:t>
      </w:r>
      <w:r>
        <w:rPr>
          <w:i/>
        </w:rPr>
        <w:t xml:space="preserve"> </w:t>
      </w:r>
      <w:r>
        <w:t>at 21:10</w:t>
      </w:r>
      <w:r>
        <w:noBreakHyphen/>
        <w:t>22:13.</w:t>
      </w:r>
    </w:p>
  </w:footnote>
  <w:footnote w:id="40">
    <w:p w:rsidR="00016BB8" w:rsidRDefault="00016BB8" w:rsidP="000F1FBC">
      <w:pPr>
        <w:pStyle w:val="FootnoteText"/>
        <w:spacing w:line="240" w:lineRule="auto"/>
      </w:pPr>
      <w:r>
        <w:rPr>
          <w:rStyle w:val="FootnoteReference"/>
        </w:rPr>
        <w:footnoteRef/>
      </w:r>
      <w:r>
        <w:tab/>
      </w:r>
      <w:proofErr w:type="spellStart"/>
      <w:r>
        <w:t>Hausman</w:t>
      </w:r>
      <w:proofErr w:type="spellEnd"/>
      <w:r>
        <w:t xml:space="preserve">, </w:t>
      </w:r>
      <w:proofErr w:type="spellStart"/>
      <w:r>
        <w:t>Exh</w:t>
      </w:r>
      <w:proofErr w:type="spellEnd"/>
      <w:r>
        <w:t>. EDH-1T at 6:15-20.</w:t>
      </w:r>
    </w:p>
  </w:footnote>
  <w:footnote w:id="41">
    <w:p w:rsidR="00016BB8" w:rsidRDefault="00016BB8" w:rsidP="00CB70CB">
      <w:pPr>
        <w:pStyle w:val="FootnoteText"/>
        <w:spacing w:line="240" w:lineRule="auto"/>
      </w:pPr>
      <w:r>
        <w:rPr>
          <w:rStyle w:val="FootnoteReference"/>
        </w:rPr>
        <w:footnoteRef/>
      </w:r>
      <w:r>
        <w:tab/>
      </w:r>
      <w:proofErr w:type="spellStart"/>
      <w:r>
        <w:t>Hausman</w:t>
      </w:r>
      <w:proofErr w:type="spellEnd"/>
      <w:r>
        <w:t xml:space="preserve">, </w:t>
      </w:r>
      <w:proofErr w:type="spellStart"/>
      <w:r>
        <w:t>Exh</w:t>
      </w:r>
      <w:proofErr w:type="spellEnd"/>
      <w:r>
        <w:t>. EDH-1T at 22:14.</w:t>
      </w:r>
    </w:p>
  </w:footnote>
  <w:footnote w:id="42">
    <w:p w:rsidR="00016BB8" w:rsidRDefault="00016BB8" w:rsidP="00CB70CB">
      <w:pPr>
        <w:pStyle w:val="FootnoteText"/>
        <w:spacing w:line="240" w:lineRule="auto"/>
      </w:pPr>
      <w:r>
        <w:rPr>
          <w:rStyle w:val="FootnoteReference"/>
        </w:rPr>
        <w:footnoteRef/>
      </w:r>
      <w:r>
        <w:tab/>
        <w:t xml:space="preserve">Marcelia, </w:t>
      </w:r>
      <w:proofErr w:type="spellStart"/>
      <w:r>
        <w:t>Exh</w:t>
      </w:r>
      <w:proofErr w:type="spellEnd"/>
      <w:r>
        <w:t>. MRM-1T at 37:9 </w:t>
      </w:r>
      <w:r>
        <w:noBreakHyphen/>
        <w:t> 38:10.</w:t>
      </w:r>
    </w:p>
  </w:footnote>
  <w:footnote w:id="43">
    <w:p w:rsidR="00016BB8" w:rsidRDefault="00016BB8" w:rsidP="000F1FBC">
      <w:pPr>
        <w:pStyle w:val="FootnoteText"/>
        <w:spacing w:line="240" w:lineRule="auto"/>
      </w:pPr>
      <w:r>
        <w:rPr>
          <w:rStyle w:val="FootnoteReference"/>
        </w:rPr>
        <w:footnoteRef/>
      </w:r>
      <w:r>
        <w:tab/>
        <w:t xml:space="preserve">Barnard, </w:t>
      </w:r>
      <w:proofErr w:type="spellStart"/>
      <w:r>
        <w:t>Exh</w:t>
      </w:r>
      <w:proofErr w:type="spellEnd"/>
      <w:r>
        <w:t>. KJB-1T at 31.</w:t>
      </w:r>
    </w:p>
  </w:footnote>
  <w:footnote w:id="44">
    <w:p w:rsidR="00016BB8" w:rsidRDefault="00016BB8" w:rsidP="000F1FBC">
      <w:pPr>
        <w:pStyle w:val="FootnoteText"/>
        <w:spacing w:line="240" w:lineRule="auto"/>
      </w:pPr>
      <w:r>
        <w:rPr>
          <w:rStyle w:val="FootnoteReference"/>
        </w:rPr>
        <w:footnoteRef/>
      </w:r>
      <w:r>
        <w:tab/>
      </w:r>
      <w:proofErr w:type="spellStart"/>
      <w:r>
        <w:t>Hausman</w:t>
      </w:r>
      <w:proofErr w:type="spellEnd"/>
      <w:r>
        <w:t xml:space="preserve">, </w:t>
      </w:r>
      <w:proofErr w:type="spellStart"/>
      <w:r>
        <w:t>Exh</w:t>
      </w:r>
      <w:proofErr w:type="spellEnd"/>
      <w:r>
        <w:t>. EDH-1T at 39:10-14.</w:t>
      </w:r>
    </w:p>
  </w:footnote>
  <w:footnote w:id="45">
    <w:p w:rsidR="00016BB8" w:rsidRPr="00373495" w:rsidRDefault="00016BB8" w:rsidP="000F1FBC">
      <w:pPr>
        <w:pStyle w:val="FootnoteText"/>
        <w:spacing w:line="240" w:lineRule="auto"/>
      </w:pPr>
      <w:r>
        <w:rPr>
          <w:rStyle w:val="FootnoteReference"/>
        </w:rPr>
        <w:footnoteRef/>
      </w:r>
      <w:r>
        <w:tab/>
      </w:r>
      <w:r>
        <w:rPr>
          <w:i/>
        </w:rPr>
        <w:t>Id.</w:t>
      </w:r>
      <w:r>
        <w:t xml:space="preserve"> at 6:15-17.</w:t>
      </w:r>
    </w:p>
  </w:footnote>
  <w:footnote w:id="46">
    <w:p w:rsidR="00D34790" w:rsidRPr="00373495" w:rsidRDefault="00D34790" w:rsidP="00D34790">
      <w:pPr>
        <w:pStyle w:val="FootnoteText"/>
        <w:spacing w:line="240" w:lineRule="auto"/>
      </w:pPr>
      <w:r>
        <w:rPr>
          <w:rStyle w:val="FootnoteReference"/>
        </w:rPr>
        <w:footnoteRef/>
      </w:r>
      <w:r>
        <w:tab/>
      </w:r>
      <w:r>
        <w:rPr>
          <w:i/>
        </w:rPr>
        <w:t>Id.</w:t>
      </w:r>
      <w:r>
        <w:t xml:space="preserve"> at 31:11-12.</w:t>
      </w:r>
    </w:p>
  </w:footnote>
  <w:footnote w:id="47">
    <w:p w:rsidR="00016BB8" w:rsidRDefault="00016BB8" w:rsidP="000F1FBC">
      <w:pPr>
        <w:pStyle w:val="FootnoteText"/>
        <w:spacing w:line="240" w:lineRule="auto"/>
      </w:pPr>
      <w:r>
        <w:rPr>
          <w:rStyle w:val="FootnoteReference"/>
        </w:rPr>
        <w:footnoteRef/>
      </w:r>
      <w:r>
        <w:tab/>
        <w:t xml:space="preserve">Power, </w:t>
      </w:r>
      <w:proofErr w:type="spellStart"/>
      <w:r>
        <w:t>Exh</w:t>
      </w:r>
      <w:proofErr w:type="spellEnd"/>
      <w:r>
        <w:t>. TMP-1T at 15:17-18.</w:t>
      </w:r>
    </w:p>
  </w:footnote>
  <w:footnote w:id="48">
    <w:p w:rsidR="00016BB8" w:rsidRDefault="00016BB8" w:rsidP="000F1FBC">
      <w:pPr>
        <w:pStyle w:val="FootnoteText"/>
        <w:spacing w:line="240" w:lineRule="auto"/>
      </w:pPr>
      <w:r>
        <w:rPr>
          <w:rStyle w:val="FootnoteReference"/>
        </w:rPr>
        <w:footnoteRef/>
      </w:r>
      <w:r>
        <w:tab/>
      </w:r>
      <w:r>
        <w:rPr>
          <w:i/>
        </w:rPr>
        <w:t>Id.</w:t>
      </w:r>
      <w:r>
        <w:t xml:space="preserve"> at 11:6-9.</w:t>
      </w:r>
    </w:p>
  </w:footnote>
  <w:footnote w:id="49">
    <w:p w:rsidR="00016BB8" w:rsidRDefault="00016BB8" w:rsidP="000F1FBC">
      <w:pPr>
        <w:pStyle w:val="FootnoteText"/>
        <w:spacing w:line="240" w:lineRule="auto"/>
      </w:pPr>
      <w:r>
        <w:rPr>
          <w:rStyle w:val="FootnoteReference"/>
        </w:rPr>
        <w:footnoteRef/>
      </w:r>
      <w:r>
        <w:tab/>
      </w:r>
      <w:r>
        <w:rPr>
          <w:i/>
        </w:rPr>
        <w:t xml:space="preserve">Id. </w:t>
      </w:r>
      <w:r>
        <w:t>at 17:21-22.</w:t>
      </w:r>
    </w:p>
  </w:footnote>
  <w:footnote w:id="50">
    <w:p w:rsidR="00016BB8" w:rsidRDefault="00016BB8" w:rsidP="000F1FBC">
      <w:pPr>
        <w:pStyle w:val="FootnoteText"/>
        <w:spacing w:line="240" w:lineRule="auto"/>
      </w:pPr>
      <w:r>
        <w:rPr>
          <w:rStyle w:val="FootnoteReference"/>
        </w:rPr>
        <w:footnoteRef/>
      </w:r>
      <w:r>
        <w:tab/>
      </w:r>
      <w:r>
        <w:rPr>
          <w:i/>
        </w:rPr>
        <w:t xml:space="preserve">Id. </w:t>
      </w:r>
      <w:r>
        <w:t>at 18:17-18.</w:t>
      </w:r>
    </w:p>
  </w:footnote>
  <w:footnote w:id="51">
    <w:p w:rsidR="00016BB8" w:rsidRDefault="00016BB8" w:rsidP="000F1FBC">
      <w:pPr>
        <w:pStyle w:val="FootnoteText"/>
        <w:spacing w:line="240" w:lineRule="auto"/>
      </w:pPr>
      <w:r>
        <w:rPr>
          <w:rStyle w:val="FootnoteReference"/>
        </w:rPr>
        <w:footnoteRef/>
      </w:r>
      <w:r>
        <w:tab/>
        <w:t xml:space="preserve">Smith, </w:t>
      </w:r>
      <w:proofErr w:type="spellStart"/>
      <w:r>
        <w:t>Exh</w:t>
      </w:r>
      <w:proofErr w:type="spellEnd"/>
      <w:r>
        <w:t>. RCS-1CT at 40:12-21.</w:t>
      </w:r>
    </w:p>
  </w:footnote>
  <w:footnote w:id="52">
    <w:p w:rsidR="00016BB8" w:rsidRDefault="00016BB8" w:rsidP="000F1FBC">
      <w:pPr>
        <w:pStyle w:val="FootnoteText"/>
        <w:spacing w:line="240" w:lineRule="auto"/>
      </w:pPr>
      <w:r>
        <w:rPr>
          <w:rStyle w:val="FootnoteReference"/>
        </w:rPr>
        <w:footnoteRef/>
      </w:r>
      <w:r>
        <w:tab/>
      </w:r>
      <w:proofErr w:type="spellStart"/>
      <w:r>
        <w:t>McCullar</w:t>
      </w:r>
      <w:proofErr w:type="spellEnd"/>
      <w:r>
        <w:t xml:space="preserve">, </w:t>
      </w:r>
      <w:proofErr w:type="spellStart"/>
      <w:r>
        <w:t>Exh</w:t>
      </w:r>
      <w:proofErr w:type="spellEnd"/>
      <w:r>
        <w:t>. RMM-1T at 5:Table 1.</w:t>
      </w:r>
    </w:p>
  </w:footnote>
  <w:footnote w:id="53">
    <w:p w:rsidR="00016BB8" w:rsidRDefault="00016BB8" w:rsidP="000F1FBC">
      <w:pPr>
        <w:pStyle w:val="FootnoteText"/>
        <w:spacing w:line="240" w:lineRule="auto"/>
      </w:pPr>
      <w:r>
        <w:rPr>
          <w:rStyle w:val="FootnoteReference"/>
        </w:rPr>
        <w:footnoteRef/>
      </w:r>
      <w:r>
        <w:tab/>
        <w:t xml:space="preserve">Barnard, </w:t>
      </w:r>
      <w:proofErr w:type="spellStart"/>
      <w:r>
        <w:t>Exh</w:t>
      </w:r>
      <w:proofErr w:type="spellEnd"/>
      <w:r>
        <w:t>. KJB-27.</w:t>
      </w:r>
    </w:p>
  </w:footnote>
  <w:footnote w:id="54">
    <w:p w:rsidR="00016BB8" w:rsidRDefault="00016BB8" w:rsidP="000F1FBC">
      <w:pPr>
        <w:pStyle w:val="FootnoteText"/>
        <w:spacing w:line="240" w:lineRule="auto"/>
      </w:pPr>
      <w:r>
        <w:rPr>
          <w:rStyle w:val="FootnoteReference"/>
        </w:rPr>
        <w:footnoteRef/>
      </w:r>
      <w:r>
        <w:tab/>
        <w:t xml:space="preserve">Public Council Proposed Depreciation expense of $491,610.51 divided by “Amortized” FERC 397 plant value of $63,796,964 = 0.77% </w:t>
      </w:r>
    </w:p>
  </w:footnote>
  <w:footnote w:id="55">
    <w:p w:rsidR="00016BB8" w:rsidRDefault="00016BB8" w:rsidP="000F1FBC">
      <w:pPr>
        <w:pStyle w:val="FootnoteText"/>
        <w:spacing w:line="240" w:lineRule="auto"/>
      </w:pPr>
      <w:r>
        <w:rPr>
          <w:rStyle w:val="FootnoteReference"/>
        </w:rPr>
        <w:footnoteRef/>
      </w:r>
      <w:r>
        <w:tab/>
        <w:t xml:space="preserve">Smith, </w:t>
      </w:r>
      <w:proofErr w:type="spellStart"/>
      <w:r>
        <w:t>Exh</w:t>
      </w:r>
      <w:proofErr w:type="spellEnd"/>
      <w:r>
        <w:t>. RCS-1CT at 42:1 – 47:15.</w:t>
      </w:r>
    </w:p>
  </w:footnote>
  <w:footnote w:id="56">
    <w:p w:rsidR="00016BB8" w:rsidRDefault="00016BB8" w:rsidP="000F1FBC">
      <w:pPr>
        <w:pStyle w:val="FootnoteText"/>
        <w:spacing w:line="240" w:lineRule="auto"/>
      </w:pPr>
      <w:r>
        <w:rPr>
          <w:rStyle w:val="FootnoteReference"/>
        </w:rPr>
        <w:footnoteRef/>
      </w:r>
      <w:r>
        <w:tab/>
        <w:t xml:space="preserve">Both Mr. Smith and Mr. Mullins refer to </w:t>
      </w:r>
      <w:r w:rsidRPr="00CB1780">
        <w:rPr>
          <w:i/>
        </w:rPr>
        <w:t xml:space="preserve">Wash. </w:t>
      </w:r>
      <w:proofErr w:type="spellStart"/>
      <w:r w:rsidRPr="00CB1780">
        <w:rPr>
          <w:i/>
        </w:rPr>
        <w:t>Utils</w:t>
      </w:r>
      <w:proofErr w:type="spellEnd"/>
      <w:r w:rsidRPr="00CB1780">
        <w:rPr>
          <w:i/>
        </w:rPr>
        <w:t>. &amp; Transp. Commission v. Puget Sound Energy</w:t>
      </w:r>
      <w:r>
        <w:t xml:space="preserve">, Dockets UE-090704 &amp; UG-090705, Order 11, (Apr. 2, 2010). Mr. Smith appropriately references both </w:t>
      </w:r>
      <w:r w:rsidRPr="00C93518">
        <w:t>¶¶</w:t>
      </w:r>
      <w:r>
        <w:t xml:space="preserve"> 79 and 80. However, Mr. Mullins omits reference to </w:t>
      </w:r>
      <w:r w:rsidRPr="00C93518">
        <w:t>¶</w:t>
      </w:r>
      <w:r>
        <w:t> 80 wherein the Commission determines that there was not sufficient information in the record to move from contributions to expense. Accordingly, PSE has followed current precedence by requesting contributions despite what Mr. Mullins portrays on page 38 of his testimony.</w:t>
      </w:r>
    </w:p>
  </w:footnote>
  <w:footnote w:id="57">
    <w:p w:rsidR="00016BB8" w:rsidRDefault="00016BB8" w:rsidP="000F1FBC">
      <w:pPr>
        <w:pStyle w:val="FootnoteText"/>
        <w:spacing w:line="240" w:lineRule="auto"/>
      </w:pPr>
      <w:r>
        <w:rPr>
          <w:rStyle w:val="FootnoteReference"/>
        </w:rPr>
        <w:footnoteRef/>
      </w:r>
      <w:r>
        <w:tab/>
        <w:t xml:space="preserve">FAS 133 requires companies to estimate the gain or loss that would occur at any given reporting period as if its outstanding derivatives were settled at that time. In other words, it requires companies to recognize the </w:t>
      </w:r>
      <w:r>
        <w:rPr>
          <w:i/>
        </w:rPr>
        <w:t>unrealized</w:t>
      </w:r>
      <w:r>
        <w:t xml:space="preserve"> gains or losses associated with the reporting period even though the derivatives will not be settled until a future date, at which time their </w:t>
      </w:r>
      <w:r>
        <w:rPr>
          <w:i/>
        </w:rPr>
        <w:t xml:space="preserve">realized </w:t>
      </w:r>
      <w:r>
        <w:t xml:space="preserve">gains or losses will actually be booked. </w:t>
      </w:r>
    </w:p>
  </w:footnote>
  <w:footnote w:id="58">
    <w:p w:rsidR="00016BB8" w:rsidRDefault="00016BB8" w:rsidP="000F1FBC">
      <w:pPr>
        <w:pStyle w:val="FootnoteText"/>
        <w:spacing w:line="240" w:lineRule="auto"/>
      </w:pPr>
      <w:r>
        <w:rPr>
          <w:rStyle w:val="FootnoteReference"/>
        </w:rPr>
        <w:footnoteRef/>
      </w:r>
      <w:r>
        <w:tab/>
        <w:t xml:space="preserve">Smith, </w:t>
      </w:r>
      <w:proofErr w:type="spellStart"/>
      <w:r>
        <w:t>Exh</w:t>
      </w:r>
      <w:proofErr w:type="spellEnd"/>
      <w:r>
        <w:t>. RCS-1T at 47:10.</w:t>
      </w:r>
    </w:p>
  </w:footnote>
  <w:footnote w:id="59">
    <w:p w:rsidR="00016BB8" w:rsidRDefault="00016BB8" w:rsidP="000F1FBC">
      <w:pPr>
        <w:pStyle w:val="FootnoteText"/>
        <w:spacing w:line="240" w:lineRule="auto"/>
      </w:pPr>
      <w:r>
        <w:rPr>
          <w:rStyle w:val="FootnoteReference"/>
        </w:rPr>
        <w:footnoteRef/>
      </w:r>
      <w:r>
        <w:tab/>
        <w:t xml:space="preserve">Mr. Smith states that recognition of pension costs for ratemaking is typically based on some variant of FAS 87 costs. </w:t>
      </w:r>
      <w:r>
        <w:rPr>
          <w:i/>
        </w:rPr>
        <w:t xml:space="preserve">See </w:t>
      </w:r>
      <w:r>
        <w:t xml:space="preserve">Exhibit RCS-1CT at 57:1-2. The fact that the company’s contributions are influenced by the FAS 87 analysis could fall under this “variant.” </w:t>
      </w:r>
    </w:p>
  </w:footnote>
  <w:footnote w:id="60">
    <w:p w:rsidR="00016BB8" w:rsidRDefault="00016BB8" w:rsidP="000F1FBC">
      <w:pPr>
        <w:pStyle w:val="FootnoteText"/>
        <w:spacing w:line="240" w:lineRule="auto"/>
      </w:pPr>
      <w:r>
        <w:rPr>
          <w:rStyle w:val="FootnoteReference"/>
        </w:rPr>
        <w:footnoteRef/>
      </w:r>
      <w:r>
        <w:tab/>
        <w:t xml:space="preserve">Smith, </w:t>
      </w:r>
      <w:proofErr w:type="spellStart"/>
      <w:r>
        <w:t>Exh</w:t>
      </w:r>
      <w:proofErr w:type="spellEnd"/>
      <w:r>
        <w:t>. RCS-1CT at 56:16-17.</w:t>
      </w:r>
    </w:p>
  </w:footnote>
  <w:footnote w:id="61">
    <w:p w:rsidR="00016BB8" w:rsidRDefault="00016BB8" w:rsidP="000F1FBC">
      <w:pPr>
        <w:pStyle w:val="FootnoteText"/>
        <w:spacing w:line="240" w:lineRule="auto"/>
      </w:pPr>
      <w:r>
        <w:rPr>
          <w:rStyle w:val="FootnoteReference"/>
        </w:rPr>
        <w:footnoteRef/>
      </w:r>
      <w:r>
        <w:tab/>
      </w:r>
      <w:r>
        <w:rPr>
          <w:i/>
        </w:rPr>
        <w:t>Id.</w:t>
      </w:r>
      <w:r>
        <w:t xml:space="preserve"> at 59:3-4.</w:t>
      </w:r>
    </w:p>
  </w:footnote>
  <w:footnote w:id="62">
    <w:p w:rsidR="00016BB8" w:rsidRDefault="00016BB8" w:rsidP="000F1FBC">
      <w:pPr>
        <w:pStyle w:val="FootnoteText"/>
        <w:spacing w:line="240" w:lineRule="auto"/>
      </w:pPr>
      <w:r>
        <w:rPr>
          <w:rStyle w:val="FootnoteReference"/>
        </w:rPr>
        <w:footnoteRef/>
      </w:r>
      <w:r>
        <w:tab/>
        <w:t xml:space="preserve">Although FAS 87 calculated expenses and cash contributions will over time eventually equal each other, it is improper ratemaking to switch between the two methodologies based on whichever method provides the lower number. </w:t>
      </w:r>
    </w:p>
  </w:footnote>
  <w:footnote w:id="63">
    <w:p w:rsidR="00016BB8" w:rsidRDefault="00016BB8" w:rsidP="000F1FBC">
      <w:pPr>
        <w:pStyle w:val="FootnoteText"/>
        <w:spacing w:line="240" w:lineRule="auto"/>
      </w:pPr>
      <w:r>
        <w:rPr>
          <w:rStyle w:val="FootnoteReference"/>
        </w:rPr>
        <w:footnoteRef/>
      </w:r>
      <w:r>
        <w:tab/>
        <w:t xml:space="preserve">Smith, </w:t>
      </w:r>
      <w:proofErr w:type="spellStart"/>
      <w:r>
        <w:t>Exh</w:t>
      </w:r>
      <w:proofErr w:type="spellEnd"/>
      <w:r>
        <w:t>. RCS-1CT at 55:1-12.</w:t>
      </w:r>
    </w:p>
  </w:footnote>
  <w:footnote w:id="64">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BGM-1CTr at 38:7-11.</w:t>
      </w:r>
    </w:p>
  </w:footnote>
  <w:footnote w:id="65">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BGM-1CT at 37:15-16.</w:t>
      </w:r>
    </w:p>
  </w:footnote>
  <w:footnote w:id="66">
    <w:p w:rsidR="00016BB8" w:rsidRPr="00BE5DDC" w:rsidRDefault="00016BB8" w:rsidP="000F1FBC">
      <w:pPr>
        <w:pStyle w:val="FootnoteText"/>
        <w:spacing w:line="240" w:lineRule="auto"/>
        <w:rPr>
          <w:i/>
        </w:rPr>
      </w:pPr>
      <w:r>
        <w:rPr>
          <w:rStyle w:val="FootnoteReference"/>
        </w:rPr>
        <w:footnoteRef/>
      </w:r>
      <w:r>
        <w:tab/>
      </w:r>
      <w:r>
        <w:rPr>
          <w:i/>
        </w:rPr>
        <w:t xml:space="preserve">Id. </w:t>
      </w:r>
      <w:r w:rsidRPr="00BE5DDC">
        <w:t>at 39:1-7.</w:t>
      </w:r>
    </w:p>
  </w:footnote>
  <w:footnote w:id="67">
    <w:p w:rsidR="00016BB8" w:rsidRDefault="00016BB8" w:rsidP="000F1FBC">
      <w:pPr>
        <w:pStyle w:val="FootnoteText"/>
        <w:spacing w:line="240" w:lineRule="auto"/>
      </w:pPr>
      <w:r>
        <w:rPr>
          <w:rStyle w:val="FootnoteReference"/>
        </w:rPr>
        <w:footnoteRef/>
      </w:r>
      <w:r>
        <w:tab/>
        <w:t xml:space="preserve">Free, </w:t>
      </w:r>
      <w:proofErr w:type="spellStart"/>
      <w:r>
        <w:t>Exh</w:t>
      </w:r>
      <w:proofErr w:type="spellEnd"/>
      <w:r>
        <w:t>. SEF-</w:t>
      </w:r>
      <w:r w:rsidRPr="00CB1780">
        <w:t>12T</w:t>
      </w:r>
      <w:r>
        <w:t>.</w:t>
      </w:r>
    </w:p>
  </w:footnote>
  <w:footnote w:id="68">
    <w:p w:rsidR="00016BB8" w:rsidRDefault="00016BB8" w:rsidP="000F1FBC">
      <w:pPr>
        <w:pStyle w:val="FootnoteText"/>
        <w:spacing w:line="240" w:lineRule="auto"/>
      </w:pPr>
      <w:r>
        <w:rPr>
          <w:rStyle w:val="FootnoteReference"/>
        </w:rPr>
        <w:footnoteRef/>
      </w:r>
      <w:r>
        <w:tab/>
        <w:t xml:space="preserve">Free, </w:t>
      </w:r>
      <w:proofErr w:type="spellStart"/>
      <w:r w:rsidRPr="00CB1780">
        <w:t>Exh</w:t>
      </w:r>
      <w:proofErr w:type="spellEnd"/>
      <w:r>
        <w:t>.</w:t>
      </w:r>
      <w:r w:rsidRPr="00CB1780">
        <w:t xml:space="preserve"> SEF-12T.</w:t>
      </w:r>
    </w:p>
  </w:footnote>
  <w:footnote w:id="69">
    <w:p w:rsidR="00016BB8" w:rsidRDefault="00016BB8" w:rsidP="00CD56C6">
      <w:pPr>
        <w:pStyle w:val="FootnoteText"/>
        <w:spacing w:line="240" w:lineRule="auto"/>
      </w:pPr>
      <w:r>
        <w:rPr>
          <w:rStyle w:val="FootnoteReference"/>
        </w:rPr>
        <w:footnoteRef/>
      </w:r>
      <w:r>
        <w:tab/>
      </w:r>
      <w:r w:rsidRPr="00CD56C6">
        <w:rPr>
          <w:i/>
        </w:rPr>
        <w:t>See</w:t>
      </w:r>
      <w:r>
        <w:rPr>
          <w:i/>
        </w:rPr>
        <w:t xml:space="preserve"> generally</w:t>
      </w:r>
      <w:r>
        <w:t xml:space="preserve"> Liu, </w:t>
      </w:r>
      <w:proofErr w:type="spellStart"/>
      <w:r>
        <w:t>Exh</w:t>
      </w:r>
      <w:proofErr w:type="spellEnd"/>
      <w:r>
        <w:t>. JL-1CT at 46:1 – 56:12.</w:t>
      </w:r>
    </w:p>
  </w:footnote>
  <w:footnote w:id="70">
    <w:p w:rsidR="00016BB8" w:rsidRDefault="00016BB8" w:rsidP="000F1FBC">
      <w:pPr>
        <w:pStyle w:val="FootnoteText"/>
        <w:spacing w:line="240" w:lineRule="auto"/>
      </w:pPr>
      <w:r>
        <w:rPr>
          <w:rStyle w:val="FootnoteReference"/>
        </w:rPr>
        <w:footnoteRef/>
      </w:r>
      <w:r>
        <w:tab/>
        <w:t>Production O&amp;M, 557 Other Power Supply Expenses and 456 OATT Revenues.</w:t>
      </w:r>
    </w:p>
  </w:footnote>
  <w:footnote w:id="71">
    <w:p w:rsidR="00016BB8" w:rsidRDefault="00016BB8" w:rsidP="000F1FBC">
      <w:pPr>
        <w:pStyle w:val="FootnoteText"/>
        <w:spacing w:line="240" w:lineRule="auto"/>
      </w:pPr>
      <w:r>
        <w:rPr>
          <w:rStyle w:val="FootnoteReference"/>
        </w:rPr>
        <w:footnoteRef/>
      </w:r>
      <w:r>
        <w:tab/>
        <w:t xml:space="preserve">Schooley, </w:t>
      </w:r>
      <w:proofErr w:type="spellStart"/>
      <w:r>
        <w:t>Exh</w:t>
      </w:r>
      <w:proofErr w:type="spellEnd"/>
      <w:r>
        <w:t>. TES-1T at 21:14 – 22:8.</w:t>
      </w:r>
    </w:p>
  </w:footnote>
  <w:footnote w:id="72">
    <w:p w:rsidR="00016BB8" w:rsidRDefault="00016BB8" w:rsidP="000F1FBC">
      <w:pPr>
        <w:pStyle w:val="FootnoteText"/>
        <w:spacing w:line="240" w:lineRule="auto"/>
      </w:pPr>
      <w:r>
        <w:rPr>
          <w:rStyle w:val="FootnoteReference"/>
        </w:rPr>
        <w:footnoteRef/>
      </w:r>
      <w:r>
        <w:tab/>
        <w:t xml:space="preserve">Higgins, </w:t>
      </w:r>
      <w:proofErr w:type="spellStart"/>
      <w:r>
        <w:t>Exh</w:t>
      </w:r>
      <w:proofErr w:type="spellEnd"/>
      <w:r>
        <w:t>. KCH-1T at 5:19 – 6:2.</w:t>
      </w:r>
    </w:p>
  </w:footnote>
  <w:footnote w:id="73">
    <w:p w:rsidR="00016BB8" w:rsidRDefault="00016BB8" w:rsidP="000F1FBC">
      <w:pPr>
        <w:pStyle w:val="FootnoteText"/>
        <w:spacing w:line="240" w:lineRule="auto"/>
      </w:pPr>
      <w:r>
        <w:rPr>
          <w:rStyle w:val="FootnoteReference"/>
        </w:rPr>
        <w:footnoteRef/>
      </w:r>
      <w:r>
        <w:tab/>
        <w:t xml:space="preserve">Smith, </w:t>
      </w:r>
      <w:proofErr w:type="spellStart"/>
      <w:r>
        <w:t>Exh</w:t>
      </w:r>
      <w:proofErr w:type="spellEnd"/>
      <w:r>
        <w:t>. RCS-1CT at 36:3-13.</w:t>
      </w:r>
    </w:p>
  </w:footnote>
  <w:footnote w:id="74">
    <w:p w:rsidR="00016BB8" w:rsidRDefault="00016BB8" w:rsidP="000F1FBC">
      <w:pPr>
        <w:pStyle w:val="FootnoteText"/>
        <w:spacing w:line="240" w:lineRule="auto"/>
      </w:pPr>
      <w:r>
        <w:rPr>
          <w:rStyle w:val="FootnoteReference"/>
        </w:rPr>
        <w:footnoteRef/>
      </w:r>
      <w:r>
        <w:tab/>
        <w:t xml:space="preserve">Docket UE-921262, Schooley, </w:t>
      </w:r>
      <w:proofErr w:type="spellStart"/>
      <w:r>
        <w:t>Exh</w:t>
      </w:r>
      <w:proofErr w:type="spellEnd"/>
      <w:r>
        <w:t xml:space="preserve">. TES-1T. </w:t>
      </w:r>
    </w:p>
  </w:footnote>
  <w:footnote w:id="75">
    <w:p w:rsidR="00016BB8" w:rsidRDefault="00016BB8" w:rsidP="000F1FBC">
      <w:pPr>
        <w:pStyle w:val="FootnoteText"/>
        <w:spacing w:line="240" w:lineRule="auto"/>
      </w:pPr>
      <w:r>
        <w:rPr>
          <w:rStyle w:val="FootnoteReference"/>
        </w:rPr>
        <w:footnoteRef/>
      </w:r>
      <w:r>
        <w:tab/>
        <w:t xml:space="preserve">Docket UE-040640, Kilpatrick, </w:t>
      </w:r>
      <w:proofErr w:type="spellStart"/>
      <w:r>
        <w:t>Exh</w:t>
      </w:r>
      <w:proofErr w:type="spellEnd"/>
      <w:r>
        <w:t>. DEK-1T at 8:3-6.</w:t>
      </w:r>
    </w:p>
  </w:footnote>
  <w:footnote w:id="76">
    <w:p w:rsidR="00016BB8" w:rsidRDefault="00016BB8" w:rsidP="000F1FBC">
      <w:pPr>
        <w:pStyle w:val="FootnoteText"/>
        <w:spacing w:line="240" w:lineRule="auto"/>
      </w:pPr>
      <w:r>
        <w:rPr>
          <w:rStyle w:val="FootnoteReference"/>
        </w:rPr>
        <w:footnoteRef/>
      </w:r>
      <w:r>
        <w:tab/>
        <w:t xml:space="preserve">Schooley, </w:t>
      </w:r>
      <w:proofErr w:type="spellStart"/>
      <w:r>
        <w:t>Exh</w:t>
      </w:r>
      <w:proofErr w:type="spellEnd"/>
      <w:r>
        <w:t>. TES-1T at 21:18 – 22:19.</w:t>
      </w:r>
    </w:p>
  </w:footnote>
  <w:footnote w:id="77">
    <w:p w:rsidR="00016BB8" w:rsidRDefault="00016BB8" w:rsidP="000F1FBC">
      <w:pPr>
        <w:pStyle w:val="FootnoteText"/>
        <w:spacing w:line="240" w:lineRule="auto"/>
      </w:pPr>
      <w:r>
        <w:rPr>
          <w:rStyle w:val="FootnoteReference"/>
        </w:rPr>
        <w:footnoteRef/>
      </w:r>
      <w:r>
        <w:tab/>
        <w:t>In supplemental testimony, Adjustment KJB-</w:t>
      </w:r>
      <w:r>
        <w:fldChar w:fldCharType="begin"/>
      </w:r>
      <w:r>
        <w:instrText xml:space="preserve"> REF AA_5IndElectric \h </w:instrText>
      </w:r>
      <w:r>
        <w:fldChar w:fldCharType="separate"/>
      </w:r>
      <w:r w:rsidR="00DD70D7" w:rsidRPr="001D2094">
        <w:t>21</w:t>
      </w:r>
      <w:r>
        <w:fldChar w:fldCharType="end"/>
      </w:r>
      <w:r>
        <w:t>.05 was updated to include deferred storm costs associated with 2017 qualifying event costs through February 28, 2017.</w:t>
      </w:r>
    </w:p>
  </w:footnote>
  <w:footnote w:id="78">
    <w:p w:rsidR="00016BB8" w:rsidRDefault="00016BB8" w:rsidP="000F1FBC">
      <w:pPr>
        <w:pStyle w:val="FootnoteText"/>
        <w:spacing w:line="240" w:lineRule="auto"/>
      </w:pPr>
      <w:r>
        <w:rPr>
          <w:rStyle w:val="FootnoteReference"/>
        </w:rPr>
        <w:footnoteRef/>
      </w:r>
      <w:r>
        <w:tab/>
        <w:t xml:space="preserve">Schooley, </w:t>
      </w:r>
      <w:proofErr w:type="spellStart"/>
      <w:r>
        <w:t>Exh</w:t>
      </w:r>
      <w:proofErr w:type="spellEnd"/>
      <w:r>
        <w:t>. TES-1T at 19:2-10.</w:t>
      </w:r>
    </w:p>
  </w:footnote>
  <w:footnote w:id="79">
    <w:p w:rsidR="00016BB8" w:rsidRDefault="00016BB8" w:rsidP="000F1FBC">
      <w:pPr>
        <w:pStyle w:val="FootnoteText"/>
        <w:spacing w:line="240" w:lineRule="auto"/>
      </w:pPr>
      <w:r>
        <w:rPr>
          <w:rStyle w:val="FootnoteReference"/>
        </w:rPr>
        <w:footnoteRef/>
      </w:r>
      <w:r>
        <w:tab/>
      </w:r>
      <w:r>
        <w:rPr>
          <w:i/>
        </w:rPr>
        <w:t>Id.</w:t>
      </w:r>
      <w:r>
        <w:t xml:space="preserve"> at 19:4-6.</w:t>
      </w:r>
    </w:p>
  </w:footnote>
  <w:footnote w:id="80">
    <w:p w:rsidR="00016BB8" w:rsidRDefault="00016BB8" w:rsidP="000F1FBC">
      <w:pPr>
        <w:pStyle w:val="FootnoteText"/>
        <w:spacing w:line="240" w:lineRule="auto"/>
      </w:pPr>
      <w:r>
        <w:rPr>
          <w:rStyle w:val="FootnoteReference"/>
        </w:rPr>
        <w:footnoteRef/>
      </w:r>
      <w:r>
        <w:tab/>
      </w:r>
      <w:r>
        <w:rPr>
          <w:i/>
        </w:rPr>
        <w:t xml:space="preserve">Id. </w:t>
      </w:r>
      <w:r>
        <w:t>at 21:17-21.</w:t>
      </w:r>
    </w:p>
  </w:footnote>
  <w:footnote w:id="81">
    <w:p w:rsidR="00016BB8" w:rsidRDefault="00016BB8" w:rsidP="000F1FBC">
      <w:pPr>
        <w:pStyle w:val="FootnoteText"/>
        <w:spacing w:line="240" w:lineRule="auto"/>
      </w:pPr>
      <w:r>
        <w:rPr>
          <w:rStyle w:val="FootnoteReference"/>
        </w:rPr>
        <w:footnoteRef/>
      </w:r>
      <w:r>
        <w:tab/>
      </w:r>
      <w:r w:rsidRPr="006056C4">
        <w:rPr>
          <w:i/>
        </w:rPr>
        <w:t>See</w:t>
      </w:r>
      <w:r>
        <w:t xml:space="preserve"> Dockets UE-1111048, </w:t>
      </w:r>
      <w:r w:rsidRPr="006056C4">
        <w:rPr>
          <w:i/>
        </w:rPr>
        <w:t>et al.</w:t>
      </w:r>
      <w:r>
        <w:t>, Order 08, 104 ¶ 299.</w:t>
      </w:r>
    </w:p>
  </w:footnote>
  <w:footnote w:id="82">
    <w:p w:rsidR="00016BB8" w:rsidRDefault="00016BB8" w:rsidP="000F1FBC">
      <w:pPr>
        <w:pStyle w:val="FootnoteText"/>
        <w:spacing w:line="240" w:lineRule="auto"/>
      </w:pPr>
      <w:r>
        <w:rPr>
          <w:rStyle w:val="FootnoteReference"/>
        </w:rPr>
        <w:footnoteRef/>
      </w:r>
      <w:r>
        <w:tab/>
        <w:t xml:space="preserve">Barnard, </w:t>
      </w:r>
      <w:proofErr w:type="spellStart"/>
      <w:r>
        <w:t>Exh</w:t>
      </w:r>
      <w:proofErr w:type="spellEnd"/>
      <w:r>
        <w:t>. KJB-32.</w:t>
      </w:r>
    </w:p>
  </w:footnote>
  <w:footnote w:id="83">
    <w:p w:rsidR="00016BB8" w:rsidRDefault="00016BB8" w:rsidP="000F1FBC">
      <w:pPr>
        <w:pStyle w:val="FootnoteText"/>
        <w:spacing w:line="240" w:lineRule="auto"/>
      </w:pPr>
      <w:r>
        <w:rPr>
          <w:rStyle w:val="FootnoteReference"/>
        </w:rPr>
        <w:footnoteRef/>
      </w:r>
      <w:r>
        <w:tab/>
        <w:t xml:space="preserve">Ms. </w:t>
      </w:r>
      <w:proofErr w:type="spellStart"/>
      <w:r>
        <w:t>Cheesman</w:t>
      </w:r>
      <w:proofErr w:type="spellEnd"/>
      <w:r>
        <w:t xml:space="preserve"> reflects the six year normal storm average as recommended by Mr. Schooley on page 2 of his Exhibit TES-3. </w:t>
      </w:r>
    </w:p>
  </w:footnote>
  <w:footnote w:id="84">
    <w:p w:rsidR="00016BB8" w:rsidRDefault="00016BB8" w:rsidP="000F1FBC">
      <w:pPr>
        <w:pStyle w:val="FootnoteText"/>
        <w:spacing w:line="240" w:lineRule="auto"/>
      </w:pPr>
      <w:r>
        <w:rPr>
          <w:rStyle w:val="FootnoteReference"/>
        </w:rPr>
        <w:footnoteRef/>
      </w:r>
      <w:r>
        <w:tab/>
        <w:t>Work paper filed in support of Exhibit TES-2, tab “qualifying event” included as Exhibit KJB-34.</w:t>
      </w:r>
    </w:p>
  </w:footnote>
  <w:footnote w:id="85">
    <w:p w:rsidR="00016BB8" w:rsidRDefault="00016BB8" w:rsidP="000F1FBC">
      <w:pPr>
        <w:pStyle w:val="FootnoteText"/>
        <w:spacing w:line="240" w:lineRule="auto"/>
      </w:pPr>
      <w:r>
        <w:rPr>
          <w:rStyle w:val="FootnoteReference"/>
        </w:rPr>
        <w:footnoteRef/>
      </w:r>
      <w:r>
        <w:tab/>
        <w:t xml:space="preserve">Schooley, </w:t>
      </w:r>
      <w:proofErr w:type="spellStart"/>
      <w:r>
        <w:t>Exh</w:t>
      </w:r>
      <w:proofErr w:type="spellEnd"/>
      <w:r>
        <w:t>. TES-1T at 23:16.</w:t>
      </w:r>
    </w:p>
  </w:footnote>
  <w:footnote w:id="86">
    <w:p w:rsidR="00016BB8" w:rsidRDefault="00016BB8" w:rsidP="000F1FBC">
      <w:pPr>
        <w:pStyle w:val="FootnoteText"/>
        <w:spacing w:line="240" w:lineRule="auto"/>
      </w:pPr>
      <w:r>
        <w:rPr>
          <w:rStyle w:val="FootnoteReference"/>
        </w:rPr>
        <w:footnoteRef/>
      </w:r>
      <w:r>
        <w:tab/>
      </w:r>
      <w:r>
        <w:rPr>
          <w:i/>
        </w:rPr>
        <w:t xml:space="preserve">Id. </w:t>
      </w:r>
      <w:r>
        <w:t>at 23:21-22.</w:t>
      </w:r>
    </w:p>
  </w:footnote>
  <w:footnote w:id="87">
    <w:p w:rsidR="00016BB8" w:rsidRDefault="00016BB8" w:rsidP="000F1FBC">
      <w:pPr>
        <w:pStyle w:val="FootnoteText"/>
        <w:spacing w:line="240" w:lineRule="auto"/>
      </w:pPr>
      <w:r>
        <w:rPr>
          <w:rStyle w:val="FootnoteReference"/>
        </w:rPr>
        <w:footnoteRef/>
      </w:r>
      <w:r>
        <w:tab/>
      </w:r>
      <w:proofErr w:type="spellStart"/>
      <w:r>
        <w:t>Cheesman</w:t>
      </w:r>
      <w:proofErr w:type="spellEnd"/>
      <w:r>
        <w:t xml:space="preserve">, </w:t>
      </w:r>
      <w:proofErr w:type="spellStart"/>
      <w:r>
        <w:t>Exh</w:t>
      </w:r>
      <w:proofErr w:type="spellEnd"/>
      <w:r>
        <w:t>. MCC-1T at 24:1-5.</w:t>
      </w:r>
    </w:p>
  </w:footnote>
  <w:footnote w:id="88">
    <w:p w:rsidR="00016BB8" w:rsidRDefault="00016BB8" w:rsidP="000F1FBC">
      <w:pPr>
        <w:pStyle w:val="FootnoteText"/>
        <w:spacing w:line="240" w:lineRule="auto"/>
      </w:pPr>
      <w:r>
        <w:rPr>
          <w:rStyle w:val="FootnoteReference"/>
        </w:rPr>
        <w:footnoteRef/>
      </w:r>
      <w:r>
        <w:tab/>
        <w:t xml:space="preserve">$39.6 million ÷ $530,000 = 74.7 basis points. $530,000 is found in Response Testimony of Ms. Melissa C. </w:t>
      </w:r>
      <w:proofErr w:type="spellStart"/>
      <w:r>
        <w:t>Cheesman</w:t>
      </w:r>
      <w:proofErr w:type="spellEnd"/>
      <w:r>
        <w:t>, Exhibit MCC-1T at 24:4.</w:t>
      </w:r>
    </w:p>
  </w:footnote>
  <w:footnote w:id="89">
    <w:p w:rsidR="00016BB8" w:rsidRDefault="00016BB8" w:rsidP="000F1FBC">
      <w:pPr>
        <w:pStyle w:val="FootnoteText"/>
        <w:spacing w:line="240" w:lineRule="auto"/>
      </w:pPr>
      <w:r>
        <w:rPr>
          <w:rStyle w:val="FootnoteReference"/>
        </w:rPr>
        <w:footnoteRef/>
      </w:r>
      <w:r>
        <w:tab/>
        <w:t xml:space="preserve">Schooley, </w:t>
      </w:r>
      <w:proofErr w:type="spellStart"/>
      <w:r>
        <w:t>Exh</w:t>
      </w:r>
      <w:proofErr w:type="spellEnd"/>
      <w:r>
        <w:t xml:space="preserve">. TES-1T at 24:2-7. </w:t>
      </w:r>
    </w:p>
  </w:footnote>
  <w:footnote w:id="90">
    <w:p w:rsidR="00016BB8" w:rsidRDefault="00016BB8" w:rsidP="000F1FBC">
      <w:pPr>
        <w:pStyle w:val="FootnoteText"/>
        <w:spacing w:line="240" w:lineRule="auto"/>
      </w:pPr>
      <w:r>
        <w:rPr>
          <w:rStyle w:val="FootnoteReference"/>
        </w:rPr>
        <w:footnoteRef/>
      </w:r>
      <w:r>
        <w:tab/>
        <w:t xml:space="preserve">Mr. </w:t>
      </w:r>
      <w:proofErr w:type="spellStart"/>
      <w:r>
        <w:t>Schooley’s</w:t>
      </w:r>
      <w:proofErr w:type="spellEnd"/>
      <w:r>
        <w:t xml:space="preserve"> adjustment incorrectly utilized end of period deferred storm costs rather than the AMA balances that are included in the working capital calculation when calculating his adjustment. Although appropriately not included in his working capital adjustment, any post-test year qualified storm deferrals would also need to be written off if the Commission were to accept </w:t>
      </w:r>
      <w:r w:rsidRPr="009D6245">
        <w:t xml:space="preserve">Commission </w:t>
      </w:r>
      <w:r>
        <w:t xml:space="preserve">Staff’s proposal, totaling the $60 million referenced earlier in my testimony. </w:t>
      </w:r>
    </w:p>
  </w:footnote>
  <w:footnote w:id="91">
    <w:p w:rsidR="00016BB8" w:rsidRDefault="00016BB8" w:rsidP="000F1FBC">
      <w:pPr>
        <w:pStyle w:val="FootnoteText"/>
        <w:spacing w:line="240" w:lineRule="auto"/>
      </w:pPr>
      <w:r>
        <w:rPr>
          <w:rStyle w:val="FootnoteReference"/>
        </w:rPr>
        <w:footnoteRef/>
      </w:r>
      <w:r>
        <w:tab/>
        <w:t xml:space="preserve">Schooley, </w:t>
      </w:r>
      <w:proofErr w:type="spellStart"/>
      <w:r>
        <w:t>Exh</w:t>
      </w:r>
      <w:proofErr w:type="spellEnd"/>
      <w:r>
        <w:t xml:space="preserve">. TES-1T at 25:2-8. </w:t>
      </w:r>
    </w:p>
  </w:footnote>
  <w:footnote w:id="92">
    <w:p w:rsidR="00016BB8" w:rsidRPr="00061B47" w:rsidRDefault="00016BB8" w:rsidP="000F1FBC">
      <w:pPr>
        <w:pStyle w:val="FootnoteText"/>
        <w:spacing w:line="240" w:lineRule="auto"/>
      </w:pPr>
      <w:r>
        <w:rPr>
          <w:rStyle w:val="FootnoteReference"/>
        </w:rPr>
        <w:footnoteRef/>
      </w:r>
      <w:r>
        <w:tab/>
      </w:r>
      <w:r>
        <w:rPr>
          <w:i/>
        </w:rPr>
        <w:t xml:space="preserve">Id. </w:t>
      </w:r>
      <w:r>
        <w:t>at 24:17-21.</w:t>
      </w:r>
    </w:p>
  </w:footnote>
  <w:footnote w:id="93">
    <w:p w:rsidR="00016BB8" w:rsidRDefault="00016BB8" w:rsidP="000F1FBC">
      <w:pPr>
        <w:pStyle w:val="FootnoteText"/>
        <w:spacing w:line="240" w:lineRule="auto"/>
      </w:pPr>
      <w:r>
        <w:rPr>
          <w:rStyle w:val="FootnoteReference"/>
        </w:rPr>
        <w:footnoteRef/>
      </w:r>
      <w:r>
        <w:tab/>
        <w:t xml:space="preserve">Higgins, </w:t>
      </w:r>
      <w:proofErr w:type="spellStart"/>
      <w:r>
        <w:t>Exh</w:t>
      </w:r>
      <w:proofErr w:type="spellEnd"/>
      <w:r>
        <w:t>. KCH-1T at 5:20 – 6:2.</w:t>
      </w:r>
    </w:p>
  </w:footnote>
  <w:footnote w:id="94">
    <w:p w:rsidR="00016BB8" w:rsidRDefault="00016BB8" w:rsidP="000F1FBC">
      <w:pPr>
        <w:pStyle w:val="FootnoteText"/>
        <w:spacing w:line="240" w:lineRule="auto"/>
      </w:pPr>
      <w:r>
        <w:rPr>
          <w:rStyle w:val="FootnoteReference"/>
        </w:rPr>
        <w:footnoteRef/>
      </w:r>
      <w:r>
        <w:tab/>
      </w:r>
      <w:r>
        <w:rPr>
          <w:i/>
        </w:rPr>
        <w:t>Id.</w:t>
      </w:r>
      <w:r>
        <w:t xml:space="preserve"> at 6:3-9.</w:t>
      </w:r>
    </w:p>
  </w:footnote>
  <w:footnote w:id="95">
    <w:p w:rsidR="00016BB8" w:rsidRDefault="00016BB8" w:rsidP="000F1FBC">
      <w:pPr>
        <w:pStyle w:val="FootnoteText"/>
        <w:spacing w:line="240" w:lineRule="auto"/>
      </w:pPr>
      <w:r>
        <w:rPr>
          <w:rStyle w:val="FootnoteReference"/>
        </w:rPr>
        <w:footnoteRef/>
      </w:r>
      <w:r>
        <w:tab/>
        <w:t xml:space="preserve">Smith, </w:t>
      </w:r>
      <w:proofErr w:type="spellStart"/>
      <w:r>
        <w:t>Exh</w:t>
      </w:r>
      <w:proofErr w:type="spellEnd"/>
      <w:r>
        <w:t>. RCS-1CT at 36:5-7.</w:t>
      </w:r>
    </w:p>
  </w:footnote>
  <w:footnote w:id="96">
    <w:p w:rsidR="00016BB8" w:rsidRDefault="00016BB8" w:rsidP="000F1FBC">
      <w:pPr>
        <w:pStyle w:val="FootnoteText"/>
        <w:spacing w:line="240" w:lineRule="auto"/>
      </w:pPr>
      <w:r>
        <w:rPr>
          <w:rStyle w:val="FootnoteReference"/>
        </w:rPr>
        <w:footnoteRef/>
      </w:r>
      <w:r>
        <w:tab/>
      </w:r>
      <w:proofErr w:type="spellStart"/>
      <w:r>
        <w:t>Frankiewich</w:t>
      </w:r>
      <w:proofErr w:type="spellEnd"/>
      <w:r>
        <w:t xml:space="preserve">, </w:t>
      </w:r>
      <w:proofErr w:type="spellStart"/>
      <w:r>
        <w:t>Exh</w:t>
      </w:r>
      <w:proofErr w:type="spellEnd"/>
      <w:r>
        <w:t>. KAF-1T at 13:15 – 14:15.</w:t>
      </w:r>
    </w:p>
  </w:footnote>
  <w:footnote w:id="97">
    <w:p w:rsidR="00016BB8" w:rsidRDefault="00016BB8" w:rsidP="000F1FBC">
      <w:pPr>
        <w:pStyle w:val="FootnoteText"/>
        <w:spacing w:line="240" w:lineRule="auto"/>
      </w:pPr>
      <w:r>
        <w:rPr>
          <w:rStyle w:val="FootnoteReference"/>
        </w:rPr>
        <w:footnoteRef/>
      </w:r>
      <w:r>
        <w:tab/>
      </w:r>
      <w:r w:rsidRPr="004F1270">
        <w:rPr>
          <w:i/>
        </w:rPr>
        <w:t xml:space="preserve">See Wash. </w:t>
      </w:r>
      <w:proofErr w:type="spellStart"/>
      <w:r w:rsidRPr="004F1270">
        <w:rPr>
          <w:i/>
        </w:rPr>
        <w:t>Utils</w:t>
      </w:r>
      <w:proofErr w:type="spellEnd"/>
      <w:r w:rsidRPr="004F1270">
        <w:rPr>
          <w:i/>
        </w:rPr>
        <w:t xml:space="preserve">. &amp; Transp. </w:t>
      </w:r>
      <w:proofErr w:type="spellStart"/>
      <w:r w:rsidRPr="004F1270">
        <w:rPr>
          <w:i/>
        </w:rPr>
        <w:t>Comm’n</w:t>
      </w:r>
      <w:proofErr w:type="spellEnd"/>
      <w:r w:rsidRPr="004F1270">
        <w:rPr>
          <w:i/>
        </w:rPr>
        <w:t xml:space="preserve"> v. Puget Sound Energy</w:t>
      </w:r>
      <w:r>
        <w:t xml:space="preserve">, Docket UE-130617, </w:t>
      </w:r>
      <w:r w:rsidRPr="004F1270">
        <w:rPr>
          <w:i/>
        </w:rPr>
        <w:t>et al</w:t>
      </w:r>
      <w:r>
        <w:t>., Order 11 at ¶ 18 (Aug. 7, 2015).</w:t>
      </w:r>
    </w:p>
  </w:footnote>
  <w:footnote w:id="98">
    <w:p w:rsidR="00016BB8" w:rsidRDefault="00016BB8" w:rsidP="000F1FBC">
      <w:pPr>
        <w:pStyle w:val="FootnoteText"/>
        <w:spacing w:line="240" w:lineRule="auto"/>
      </w:pPr>
      <w:r>
        <w:rPr>
          <w:rStyle w:val="FootnoteReference"/>
        </w:rPr>
        <w:footnoteRef/>
      </w:r>
      <w:r>
        <w:tab/>
      </w:r>
      <w:r w:rsidRPr="004F1270">
        <w:rPr>
          <w:i/>
        </w:rPr>
        <w:t xml:space="preserve">See </w:t>
      </w:r>
      <w:r>
        <w:rPr>
          <w:i/>
        </w:rPr>
        <w:t xml:space="preserve">id. </w:t>
      </w:r>
      <w:r>
        <w:t>at ¶ 20.</w:t>
      </w:r>
    </w:p>
  </w:footnote>
  <w:footnote w:id="99">
    <w:p w:rsidR="00016BB8" w:rsidRDefault="00016BB8" w:rsidP="000F1FBC">
      <w:pPr>
        <w:pStyle w:val="FootnoteText"/>
        <w:spacing w:line="240" w:lineRule="auto"/>
      </w:pPr>
      <w:r>
        <w:rPr>
          <w:rStyle w:val="FootnoteReference"/>
        </w:rPr>
        <w:footnoteRef/>
      </w:r>
      <w:r>
        <w:tab/>
      </w:r>
      <w:proofErr w:type="spellStart"/>
      <w:r>
        <w:t>Frankiewich</w:t>
      </w:r>
      <w:proofErr w:type="spellEnd"/>
      <w:r>
        <w:t xml:space="preserve">, </w:t>
      </w:r>
      <w:proofErr w:type="spellStart"/>
      <w:r>
        <w:t>Exh</w:t>
      </w:r>
      <w:proofErr w:type="spellEnd"/>
      <w:r>
        <w:t>. KAF-1T at 13:17 – 14:15.</w:t>
      </w:r>
    </w:p>
  </w:footnote>
  <w:footnote w:id="100">
    <w:p w:rsidR="00016BB8" w:rsidRDefault="00016BB8" w:rsidP="000F1FBC">
      <w:pPr>
        <w:pStyle w:val="FootnoteText"/>
        <w:spacing w:line="240" w:lineRule="auto"/>
      </w:pPr>
      <w:r>
        <w:rPr>
          <w:rStyle w:val="FootnoteReference"/>
        </w:rPr>
        <w:footnoteRef/>
      </w:r>
      <w:r>
        <w:tab/>
      </w:r>
      <w:r>
        <w:rPr>
          <w:i/>
        </w:rPr>
        <w:t>Id.</w:t>
      </w:r>
      <w:r>
        <w:t xml:space="preserve"> at 6:4. </w:t>
      </w:r>
    </w:p>
  </w:footnote>
  <w:footnote w:id="101">
    <w:p w:rsidR="00016BB8" w:rsidRDefault="00016BB8" w:rsidP="000F1FBC">
      <w:pPr>
        <w:pStyle w:val="FootnoteText"/>
        <w:spacing w:line="240" w:lineRule="auto"/>
      </w:pPr>
      <w:r>
        <w:rPr>
          <w:rStyle w:val="FootnoteReference"/>
        </w:rPr>
        <w:footnoteRef/>
      </w:r>
      <w:r>
        <w:tab/>
      </w:r>
      <w:r>
        <w:rPr>
          <w:i/>
        </w:rPr>
        <w:t>Id.</w:t>
      </w:r>
      <w:r>
        <w:t xml:space="preserve"> at 7:7-8.</w:t>
      </w:r>
    </w:p>
  </w:footnote>
  <w:footnote w:id="102">
    <w:p w:rsidR="00016BB8" w:rsidRDefault="00016BB8" w:rsidP="000F1FBC">
      <w:pPr>
        <w:pStyle w:val="FootnoteText"/>
        <w:spacing w:line="240" w:lineRule="auto"/>
      </w:pPr>
      <w:r>
        <w:rPr>
          <w:rStyle w:val="FootnoteReference"/>
        </w:rPr>
        <w:footnoteRef/>
      </w:r>
      <w:r>
        <w:tab/>
      </w:r>
      <w:r>
        <w:rPr>
          <w:i/>
        </w:rPr>
        <w:t>Id.</w:t>
      </w:r>
      <w:r>
        <w:t xml:space="preserve"> at 14:10-12.</w:t>
      </w:r>
    </w:p>
  </w:footnote>
  <w:footnote w:id="103">
    <w:p w:rsidR="00016BB8" w:rsidRDefault="00016BB8" w:rsidP="000F1FBC">
      <w:pPr>
        <w:pStyle w:val="FootnoteText"/>
        <w:spacing w:line="240" w:lineRule="auto"/>
      </w:pPr>
      <w:r>
        <w:rPr>
          <w:rStyle w:val="FootnoteReference"/>
        </w:rPr>
        <w:footnoteRef/>
      </w:r>
      <w:r>
        <w:tab/>
      </w:r>
      <w:r>
        <w:rPr>
          <w:i/>
        </w:rPr>
        <w:t>Id.</w:t>
      </w:r>
      <w:r>
        <w:t xml:space="preserve"> at 11:13-16.</w:t>
      </w:r>
    </w:p>
  </w:footnote>
  <w:footnote w:id="104">
    <w:p w:rsidR="00016BB8" w:rsidRDefault="00016BB8" w:rsidP="00685692">
      <w:pPr>
        <w:pStyle w:val="FootnoteText"/>
        <w:spacing w:line="240" w:lineRule="auto"/>
      </w:pPr>
      <w:r>
        <w:rPr>
          <w:rStyle w:val="FootnoteReference"/>
        </w:rPr>
        <w:footnoteRef/>
      </w:r>
      <w:r>
        <w:tab/>
      </w:r>
      <w:r w:rsidRPr="00685692">
        <w:rPr>
          <w:i/>
        </w:rPr>
        <w:t>See</w:t>
      </w:r>
      <w:r>
        <w:t xml:space="preserve"> Barnard, </w:t>
      </w:r>
      <w:proofErr w:type="spellStart"/>
      <w:r>
        <w:t>Exh</w:t>
      </w:r>
      <w:proofErr w:type="spellEnd"/>
      <w:r>
        <w:t>. KJB-1T at 49:19 – 50:4.</w:t>
      </w:r>
    </w:p>
  </w:footnote>
  <w:footnote w:id="105">
    <w:p w:rsidR="00016BB8" w:rsidRDefault="00016BB8" w:rsidP="000F1FBC">
      <w:pPr>
        <w:pStyle w:val="FootnoteText"/>
        <w:spacing w:line="240" w:lineRule="auto"/>
      </w:pPr>
      <w:r>
        <w:rPr>
          <w:rStyle w:val="FootnoteReference"/>
        </w:rPr>
        <w:footnoteRef/>
      </w:r>
      <w:r>
        <w:tab/>
        <w:t xml:space="preserve">Wright, </w:t>
      </w:r>
      <w:proofErr w:type="spellStart"/>
      <w:r>
        <w:t>Exh</w:t>
      </w:r>
      <w:proofErr w:type="spellEnd"/>
      <w:r>
        <w:t>. ECW-1T at 4:8-12.</w:t>
      </w:r>
    </w:p>
  </w:footnote>
  <w:footnote w:id="106">
    <w:p w:rsidR="00016BB8" w:rsidRDefault="00016BB8" w:rsidP="000F1FBC">
      <w:pPr>
        <w:pStyle w:val="FootnoteText"/>
        <w:spacing w:line="240" w:lineRule="auto"/>
      </w:pPr>
      <w:r>
        <w:rPr>
          <w:rStyle w:val="FootnoteReference"/>
        </w:rPr>
        <w:footnoteRef/>
      </w:r>
      <w:r>
        <w:tab/>
      </w:r>
      <w:r>
        <w:rPr>
          <w:i/>
        </w:rPr>
        <w:t>Id.</w:t>
      </w:r>
      <w:r>
        <w:t xml:space="preserve"> at 16:18-21.</w:t>
      </w:r>
    </w:p>
  </w:footnote>
  <w:footnote w:id="107">
    <w:p w:rsidR="00016BB8" w:rsidRDefault="00016BB8" w:rsidP="000F1FBC">
      <w:pPr>
        <w:pStyle w:val="FootnoteText"/>
        <w:spacing w:line="240" w:lineRule="auto"/>
      </w:pPr>
      <w:r>
        <w:rPr>
          <w:rStyle w:val="FootnoteReference"/>
        </w:rPr>
        <w:footnoteRef/>
      </w:r>
      <w:r>
        <w:tab/>
      </w:r>
      <w:r>
        <w:rPr>
          <w:i/>
        </w:rPr>
        <w:t xml:space="preserve">Id. </w:t>
      </w:r>
      <w:r>
        <w:t>at 16.</w:t>
      </w:r>
    </w:p>
  </w:footnote>
  <w:footnote w:id="108">
    <w:p w:rsidR="00016BB8" w:rsidRDefault="00016BB8" w:rsidP="000F1FBC">
      <w:pPr>
        <w:pStyle w:val="FootnoteText"/>
        <w:spacing w:line="240" w:lineRule="auto"/>
      </w:pPr>
      <w:r>
        <w:rPr>
          <w:rStyle w:val="FootnoteReference"/>
        </w:rPr>
        <w:footnoteRef/>
      </w:r>
      <w:r>
        <w:tab/>
      </w:r>
      <w:r>
        <w:rPr>
          <w:i/>
        </w:rPr>
        <w:t>Id.</w:t>
      </w:r>
      <w:r>
        <w:t xml:space="preserve"> at 17:4-6.</w:t>
      </w:r>
    </w:p>
  </w:footnote>
  <w:footnote w:id="109">
    <w:p w:rsidR="00016BB8" w:rsidRDefault="00016BB8">
      <w:pPr>
        <w:pStyle w:val="FootnoteText"/>
      </w:pPr>
      <w:r>
        <w:rPr>
          <w:rStyle w:val="FootnoteReference"/>
        </w:rPr>
        <w:footnoteRef/>
      </w:r>
      <w:r>
        <w:tab/>
      </w:r>
      <w:r w:rsidRPr="006604D2">
        <w:t xml:space="preserve">Wetherbee, </w:t>
      </w:r>
      <w:proofErr w:type="spellStart"/>
      <w:r w:rsidRPr="006604D2">
        <w:t>Exh</w:t>
      </w:r>
      <w:proofErr w:type="spellEnd"/>
      <w:r w:rsidRPr="006604D2">
        <w:t>. PKW-1CT</w:t>
      </w:r>
      <w:r>
        <w:t xml:space="preserve"> at </w:t>
      </w:r>
      <w:r w:rsidRPr="006604D2">
        <w:t>78</w:t>
      </w:r>
      <w:r>
        <w:t>:9-</w:t>
      </w:r>
      <w:r w:rsidRPr="006604D2">
        <w:t>10</w:t>
      </w:r>
      <w:r>
        <w:t>.</w:t>
      </w:r>
    </w:p>
  </w:footnote>
  <w:footnote w:id="110">
    <w:p w:rsidR="00016BB8" w:rsidRDefault="00016BB8">
      <w:pPr>
        <w:pStyle w:val="FootnoteText"/>
      </w:pPr>
      <w:r>
        <w:rPr>
          <w:rStyle w:val="FootnoteReference"/>
        </w:rPr>
        <w:footnoteRef/>
      </w:r>
      <w:r>
        <w:tab/>
        <w:t xml:space="preserve">Wright, </w:t>
      </w:r>
      <w:proofErr w:type="spellStart"/>
      <w:r>
        <w:t>Exh</w:t>
      </w:r>
      <w:proofErr w:type="spellEnd"/>
      <w:r>
        <w:t xml:space="preserve">. ECW-1T at </w:t>
      </w:r>
      <w:r w:rsidRPr="006604D2">
        <w:t>15</w:t>
      </w:r>
      <w:r>
        <w:t>:9-10.</w:t>
      </w:r>
    </w:p>
  </w:footnote>
  <w:footnote w:id="111">
    <w:p w:rsidR="00016BB8" w:rsidRDefault="00016BB8" w:rsidP="006604D2">
      <w:pPr>
        <w:pStyle w:val="FootnoteText"/>
      </w:pPr>
      <w:r>
        <w:rPr>
          <w:rStyle w:val="FootnoteReference"/>
        </w:rPr>
        <w:footnoteRef/>
      </w:r>
      <w:r>
        <w:t xml:space="preserve"> Wright, </w:t>
      </w:r>
      <w:proofErr w:type="spellStart"/>
      <w:r>
        <w:t>Exh</w:t>
      </w:r>
      <w:proofErr w:type="spellEnd"/>
      <w:r>
        <w:t xml:space="preserve">. ECW-1T at </w:t>
      </w:r>
      <w:r w:rsidRPr="006604D2">
        <w:t>1</w:t>
      </w:r>
      <w:r>
        <w:t>6:11-13.</w:t>
      </w:r>
    </w:p>
  </w:footnote>
  <w:footnote w:id="112">
    <w:p w:rsidR="00016BB8" w:rsidRDefault="00016BB8" w:rsidP="000F1FBC">
      <w:pPr>
        <w:pStyle w:val="FootnoteText"/>
        <w:spacing w:line="240" w:lineRule="auto"/>
      </w:pPr>
      <w:r>
        <w:rPr>
          <w:rStyle w:val="FootnoteReference"/>
        </w:rPr>
        <w:footnoteRef/>
      </w:r>
      <w:r>
        <w:tab/>
        <w:t>Further discussion on the use of PTCs to address decommissioning and remediation costs is found in Section VII of my testimony.</w:t>
      </w:r>
    </w:p>
  </w:footnote>
  <w:footnote w:id="113">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xml:space="preserve">. BGM-1CT at 32:7 - 37:6. </w:t>
      </w:r>
    </w:p>
  </w:footnote>
  <w:footnote w:id="114">
    <w:p w:rsidR="00016BB8" w:rsidRDefault="00016BB8" w:rsidP="000F1FBC">
      <w:pPr>
        <w:pStyle w:val="FootnoteText"/>
        <w:spacing w:line="240" w:lineRule="auto"/>
      </w:pPr>
      <w:r>
        <w:rPr>
          <w:rStyle w:val="FootnoteReference"/>
        </w:rPr>
        <w:footnoteRef/>
      </w:r>
      <w:r>
        <w:tab/>
      </w:r>
      <w:r>
        <w:rPr>
          <w:i/>
        </w:rPr>
        <w:t>Id.</w:t>
      </w:r>
      <w:r>
        <w:t xml:space="preserve"> at 36:10-19.</w:t>
      </w:r>
    </w:p>
  </w:footnote>
  <w:footnote w:id="115">
    <w:p w:rsidR="00016BB8" w:rsidRDefault="00016BB8" w:rsidP="000F1FBC">
      <w:pPr>
        <w:pStyle w:val="FootnoteText"/>
        <w:spacing w:line="240" w:lineRule="auto"/>
      </w:pPr>
      <w:r>
        <w:rPr>
          <w:rStyle w:val="FootnoteReference"/>
        </w:rPr>
        <w:footnoteRef/>
      </w:r>
      <w:r>
        <w:tab/>
        <w:t>It should be noted that Schedule 95A also passes back the Treasury Grants associated with the Wild Horse Expansion wind project that Mr. Mullins neglects to mention.</w:t>
      </w:r>
    </w:p>
  </w:footnote>
  <w:footnote w:id="116">
    <w:p w:rsidR="00016BB8" w:rsidRDefault="00016BB8" w:rsidP="000F1FBC">
      <w:pPr>
        <w:pStyle w:val="FootnoteText"/>
        <w:spacing w:line="240" w:lineRule="auto"/>
      </w:pPr>
      <w:r>
        <w:rPr>
          <w:rStyle w:val="FootnoteReference"/>
        </w:rPr>
        <w:footnoteRef/>
      </w:r>
      <w:r>
        <w:tab/>
      </w:r>
      <w:r w:rsidRPr="004F1270">
        <w:rPr>
          <w:i/>
        </w:rPr>
        <w:t xml:space="preserve">Wash. </w:t>
      </w:r>
      <w:proofErr w:type="spellStart"/>
      <w:r w:rsidRPr="004F1270">
        <w:rPr>
          <w:i/>
        </w:rPr>
        <w:t>Utils</w:t>
      </w:r>
      <w:proofErr w:type="spellEnd"/>
      <w:r w:rsidRPr="004F1270">
        <w:rPr>
          <w:i/>
        </w:rPr>
        <w:t xml:space="preserve">. &amp; Transp. </w:t>
      </w:r>
      <w:proofErr w:type="spellStart"/>
      <w:r w:rsidRPr="004F1270">
        <w:rPr>
          <w:i/>
        </w:rPr>
        <w:t>Comm’n</w:t>
      </w:r>
      <w:proofErr w:type="spellEnd"/>
      <w:r w:rsidRPr="004F1270">
        <w:rPr>
          <w:i/>
        </w:rPr>
        <w:t xml:space="preserve"> v. Puget Sound Energy</w:t>
      </w:r>
      <w:r>
        <w:t xml:space="preserve">, Docket UE-130617, </w:t>
      </w:r>
      <w:r w:rsidRPr="004F1270">
        <w:rPr>
          <w:i/>
        </w:rPr>
        <w:t>et al</w:t>
      </w:r>
      <w:r>
        <w:t>., Order 6 at ¶ 65 (Oct. 23, 2015).</w:t>
      </w:r>
    </w:p>
  </w:footnote>
  <w:footnote w:id="117">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BGM-3 at 1:41.</w:t>
      </w:r>
    </w:p>
  </w:footnote>
  <w:footnote w:id="118">
    <w:p w:rsidR="00016BB8" w:rsidRDefault="00016BB8" w:rsidP="000F1FBC">
      <w:pPr>
        <w:pStyle w:val="FootnoteText"/>
        <w:spacing w:line="240" w:lineRule="auto"/>
      </w:pPr>
      <w:r>
        <w:rPr>
          <w:rStyle w:val="FootnoteReference"/>
        </w:rPr>
        <w:footnoteRef/>
      </w:r>
      <w:r>
        <w:tab/>
        <w:t>Smith, RCS-3 Supplemental, 1:38, where it reflects “PC Accepted.”</w:t>
      </w:r>
    </w:p>
  </w:footnote>
  <w:footnote w:id="119">
    <w:p w:rsidR="00016BB8" w:rsidRDefault="00016BB8" w:rsidP="000F1FBC">
      <w:pPr>
        <w:pStyle w:val="FootnoteText"/>
        <w:spacing w:line="240" w:lineRule="auto"/>
      </w:pPr>
      <w:r>
        <w:rPr>
          <w:rStyle w:val="FootnoteReference"/>
        </w:rPr>
        <w:footnoteRef/>
      </w:r>
      <w:r>
        <w:tab/>
      </w:r>
      <w:proofErr w:type="spellStart"/>
      <w:r>
        <w:t>Brosch</w:t>
      </w:r>
      <w:proofErr w:type="spellEnd"/>
      <w:r>
        <w:t xml:space="preserve">, </w:t>
      </w:r>
      <w:proofErr w:type="spellStart"/>
      <w:r>
        <w:t>Exh</w:t>
      </w:r>
      <w:proofErr w:type="spellEnd"/>
      <w:r>
        <w:t>. </w:t>
      </w:r>
      <w:proofErr w:type="spellStart"/>
      <w:r>
        <w:t>MLB</w:t>
      </w:r>
      <w:proofErr w:type="spellEnd"/>
      <w:r>
        <w:t xml:space="preserve"> at 3:17-20.</w:t>
      </w:r>
    </w:p>
  </w:footnote>
  <w:footnote w:id="120">
    <w:p w:rsidR="00016BB8" w:rsidRDefault="00016BB8" w:rsidP="000F1FBC">
      <w:pPr>
        <w:pStyle w:val="FootnoteText"/>
        <w:spacing w:line="240" w:lineRule="auto"/>
      </w:pPr>
      <w:r>
        <w:rPr>
          <w:rStyle w:val="FootnoteReference"/>
        </w:rPr>
        <w:footnoteRef/>
      </w:r>
      <w:r>
        <w:tab/>
      </w:r>
      <w:r>
        <w:rPr>
          <w:i/>
        </w:rPr>
        <w:t xml:space="preserve">Id. </w:t>
      </w:r>
      <w:r>
        <w:t xml:space="preserve">at 43:20 - 44:4. </w:t>
      </w:r>
    </w:p>
  </w:footnote>
  <w:footnote w:id="121">
    <w:p w:rsidR="00016BB8" w:rsidRDefault="00016BB8" w:rsidP="000F1FBC">
      <w:pPr>
        <w:pStyle w:val="FootnoteText"/>
        <w:spacing w:line="240" w:lineRule="auto"/>
      </w:pPr>
      <w:r>
        <w:rPr>
          <w:rStyle w:val="FootnoteReference"/>
        </w:rPr>
        <w:footnoteRef/>
      </w:r>
      <w:r>
        <w:tab/>
        <w:t xml:space="preserve">Smith, </w:t>
      </w:r>
      <w:proofErr w:type="spellStart"/>
      <w:r>
        <w:t>Exh</w:t>
      </w:r>
      <w:proofErr w:type="spellEnd"/>
      <w:r>
        <w:t xml:space="preserve">. RCW-1CT at 20:4-11. </w:t>
      </w:r>
    </w:p>
  </w:footnote>
  <w:footnote w:id="122">
    <w:p w:rsidR="00016BB8" w:rsidRDefault="00016BB8" w:rsidP="000F1FBC">
      <w:pPr>
        <w:pStyle w:val="FootnoteText"/>
        <w:spacing w:line="240" w:lineRule="auto"/>
      </w:pPr>
      <w:r>
        <w:rPr>
          <w:rStyle w:val="FootnoteReference"/>
        </w:rPr>
        <w:footnoteRef/>
      </w:r>
      <w:r>
        <w:tab/>
      </w:r>
      <w:r>
        <w:rPr>
          <w:i/>
        </w:rPr>
        <w:t xml:space="preserve">See </w:t>
      </w:r>
      <w:r>
        <w:t xml:space="preserve">Marcelia, </w:t>
      </w:r>
      <w:proofErr w:type="spellStart"/>
      <w:r>
        <w:t>Exh</w:t>
      </w:r>
      <w:proofErr w:type="spellEnd"/>
      <w:r>
        <w:t xml:space="preserve">. </w:t>
      </w:r>
      <w:r w:rsidRPr="004606F4">
        <w:t>MRM-1T.</w:t>
      </w:r>
    </w:p>
  </w:footnote>
  <w:footnote w:id="123">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BGM-1CT at 32:7 – 37:6.</w:t>
      </w:r>
    </w:p>
  </w:footnote>
  <w:footnote w:id="124">
    <w:p w:rsidR="00016BB8" w:rsidRDefault="00016BB8" w:rsidP="000F1FBC">
      <w:pPr>
        <w:pStyle w:val="FootnoteText"/>
        <w:spacing w:line="240" w:lineRule="auto"/>
      </w:pPr>
      <w:r>
        <w:rPr>
          <w:rStyle w:val="FootnoteReference"/>
        </w:rPr>
        <w:footnoteRef/>
      </w:r>
      <w:r>
        <w:tab/>
      </w:r>
      <w:r>
        <w:rPr>
          <w:i/>
        </w:rPr>
        <w:t>Id.</w:t>
      </w:r>
      <w:r>
        <w:t xml:space="preserve"> at 54:8-12.</w:t>
      </w:r>
    </w:p>
  </w:footnote>
  <w:footnote w:id="125">
    <w:p w:rsidR="00016BB8" w:rsidRDefault="00016BB8">
      <w:pPr>
        <w:pStyle w:val="FootnoteText"/>
      </w:pPr>
      <w:r>
        <w:rPr>
          <w:rStyle w:val="FootnoteReference"/>
        </w:rPr>
        <w:footnoteRef/>
      </w:r>
      <w:r>
        <w:tab/>
        <w:t>Although the Energy Imbalance Market Adjustment 21.08 is contested, the amount is not.</w:t>
      </w:r>
    </w:p>
  </w:footnote>
  <w:footnote w:id="126">
    <w:p w:rsidR="00016BB8" w:rsidRDefault="00016BB8" w:rsidP="000F1FBC">
      <w:pPr>
        <w:pStyle w:val="FootnoteText"/>
        <w:spacing w:line="240" w:lineRule="auto"/>
      </w:pPr>
      <w:r>
        <w:rPr>
          <w:rStyle w:val="FootnoteReference"/>
        </w:rPr>
        <w:footnoteRef/>
      </w:r>
      <w:r>
        <w:tab/>
        <w:t xml:space="preserve">Hancock, </w:t>
      </w:r>
      <w:proofErr w:type="spellStart"/>
      <w:r>
        <w:t>Exh</w:t>
      </w:r>
      <w:proofErr w:type="spellEnd"/>
      <w:r>
        <w:t>. CSH-1T at 16:11-15.</w:t>
      </w:r>
    </w:p>
  </w:footnote>
  <w:footnote w:id="127">
    <w:p w:rsidR="00016BB8" w:rsidRDefault="00016BB8" w:rsidP="000F1FBC">
      <w:pPr>
        <w:pStyle w:val="FootnoteText"/>
        <w:spacing w:line="240" w:lineRule="auto"/>
      </w:pPr>
      <w:r>
        <w:rPr>
          <w:rStyle w:val="FootnoteReference"/>
        </w:rPr>
        <w:footnoteRef/>
      </w:r>
      <w:r>
        <w:tab/>
        <w:t>The depreciation rates approved in UE-072300 became effective in November 2008.</w:t>
      </w:r>
    </w:p>
  </w:footnote>
  <w:footnote w:id="128">
    <w:p w:rsidR="00016BB8" w:rsidRDefault="00016BB8" w:rsidP="007851CE">
      <w:pPr>
        <w:pStyle w:val="FootnoteText"/>
        <w:spacing w:line="240" w:lineRule="auto"/>
      </w:pPr>
      <w:r>
        <w:rPr>
          <w:rStyle w:val="FootnoteReference"/>
        </w:rPr>
        <w:footnoteRef/>
      </w:r>
      <w:r>
        <w:tab/>
      </w:r>
      <w:r w:rsidRPr="007851CE">
        <w:rPr>
          <w:i/>
        </w:rPr>
        <w:t>See, e.g.,</w:t>
      </w:r>
      <w:r>
        <w:t xml:space="preserve"> </w:t>
      </w:r>
      <w:proofErr w:type="spellStart"/>
      <w:r>
        <w:t>Hausman</w:t>
      </w:r>
      <w:proofErr w:type="spellEnd"/>
      <w:r>
        <w:t xml:space="preserve">, </w:t>
      </w:r>
      <w:proofErr w:type="spellStart"/>
      <w:r>
        <w:t>Exh</w:t>
      </w:r>
      <w:proofErr w:type="spellEnd"/>
      <w:r>
        <w:t xml:space="preserve">. EDH-1T at 6:5-14; Power, </w:t>
      </w:r>
      <w:proofErr w:type="spellStart"/>
      <w:r>
        <w:t>Exh</w:t>
      </w:r>
      <w:proofErr w:type="spellEnd"/>
      <w:r>
        <w:t>. TMP-1T at 12:2 – 15:3.</w:t>
      </w:r>
    </w:p>
  </w:footnote>
  <w:footnote w:id="129">
    <w:p w:rsidR="00016BB8" w:rsidRDefault="00016BB8" w:rsidP="000F1FBC">
      <w:pPr>
        <w:pStyle w:val="FootnoteText"/>
        <w:spacing w:line="240" w:lineRule="auto"/>
      </w:pPr>
      <w:r>
        <w:rPr>
          <w:rStyle w:val="FootnoteReference"/>
        </w:rPr>
        <w:footnoteRef/>
      </w:r>
      <w:r>
        <w:tab/>
        <w:t xml:space="preserve">Barnard, </w:t>
      </w:r>
      <w:proofErr w:type="spellStart"/>
      <w:r>
        <w:t>Exh</w:t>
      </w:r>
      <w:proofErr w:type="spellEnd"/>
      <w:r>
        <w:t>. KJB-1T at 84:21 – 85:</w:t>
      </w:r>
      <w:r w:rsidRPr="00EF2AD7">
        <w:t>15.</w:t>
      </w:r>
    </w:p>
  </w:footnote>
  <w:footnote w:id="130">
    <w:p w:rsidR="00016BB8" w:rsidRDefault="00016BB8" w:rsidP="0026729B">
      <w:pPr>
        <w:pStyle w:val="FootnoteText"/>
        <w:spacing w:line="240" w:lineRule="auto"/>
      </w:pPr>
      <w:r>
        <w:rPr>
          <w:rStyle w:val="FootnoteReference"/>
        </w:rPr>
        <w:footnoteRef/>
      </w:r>
      <w:r>
        <w:tab/>
        <w:t xml:space="preserve">Hancock, </w:t>
      </w:r>
      <w:proofErr w:type="spellStart"/>
      <w:r>
        <w:t>Exh</w:t>
      </w:r>
      <w:proofErr w:type="spellEnd"/>
      <w:r>
        <w:t xml:space="preserve">. CSH-1CT at 16:3-15; Mullins, </w:t>
      </w:r>
      <w:proofErr w:type="spellStart"/>
      <w:r>
        <w:t>Exh</w:t>
      </w:r>
      <w:proofErr w:type="spellEnd"/>
      <w:r>
        <w:t>. BGM-1CT at 34:12-18.</w:t>
      </w:r>
    </w:p>
  </w:footnote>
  <w:footnote w:id="131">
    <w:p w:rsidR="00016BB8" w:rsidRDefault="00016BB8" w:rsidP="000F1FBC">
      <w:pPr>
        <w:pStyle w:val="FootnoteText"/>
        <w:spacing w:line="240" w:lineRule="auto"/>
      </w:pPr>
      <w:r>
        <w:rPr>
          <w:rStyle w:val="FootnoteReference"/>
        </w:rPr>
        <w:footnoteRef/>
      </w:r>
      <w:r>
        <w:tab/>
        <w:t xml:space="preserve">Mullins, </w:t>
      </w:r>
      <w:proofErr w:type="spellStart"/>
      <w:r>
        <w:t>Exh</w:t>
      </w:r>
      <w:proofErr w:type="spellEnd"/>
      <w:r>
        <w:t>. BGM-1CT at 17:7-9.</w:t>
      </w:r>
    </w:p>
  </w:footnote>
  <w:footnote w:id="132">
    <w:p w:rsidR="00016BB8" w:rsidRDefault="00016BB8" w:rsidP="000F1FBC">
      <w:pPr>
        <w:pStyle w:val="FootnoteText"/>
        <w:spacing w:line="240" w:lineRule="auto"/>
      </w:pPr>
      <w:r>
        <w:rPr>
          <w:rStyle w:val="FootnoteReference"/>
        </w:rPr>
        <w:footnoteRef/>
      </w:r>
      <w:r>
        <w:tab/>
        <w:t>RCW 80.80.060(6</w:t>
      </w:r>
      <w:r w:rsidRPr="008B42DE">
        <w:rPr>
          <w:sz w:val="24"/>
          <w:szCs w:val="24"/>
        </w:rPr>
        <w:t>) provides for the deferral of costs associated with long-term financial commitments related to baseload electric generation</w:t>
      </w:r>
      <w:r>
        <w:rPr>
          <w:sz w:val="24"/>
          <w:szCs w:val="24"/>
        </w:rPr>
        <w:t>.</w:t>
      </w:r>
    </w:p>
  </w:footnote>
  <w:footnote w:id="133">
    <w:p w:rsidR="00016BB8" w:rsidRDefault="00016BB8" w:rsidP="000F1FBC">
      <w:pPr>
        <w:pStyle w:val="FootnoteText"/>
        <w:spacing w:line="240" w:lineRule="auto"/>
      </w:pPr>
      <w:r>
        <w:rPr>
          <w:rStyle w:val="FootnoteReference"/>
        </w:rPr>
        <w:footnoteRef/>
      </w:r>
      <w:r>
        <w:tab/>
        <w:t xml:space="preserve">Barnard, </w:t>
      </w:r>
      <w:proofErr w:type="spellStart"/>
      <w:r>
        <w:t>Exh</w:t>
      </w:r>
      <w:proofErr w:type="spellEnd"/>
      <w:r>
        <w:t>. KJB-36 at 9.</w:t>
      </w:r>
    </w:p>
  </w:footnote>
  <w:footnote w:id="134">
    <w:p w:rsidR="00016BB8" w:rsidRDefault="00016BB8" w:rsidP="000F1FBC">
      <w:pPr>
        <w:pStyle w:val="FootnoteText"/>
        <w:spacing w:line="240" w:lineRule="auto"/>
      </w:pPr>
      <w:r>
        <w:rPr>
          <w:rStyle w:val="FootnoteReference"/>
        </w:rPr>
        <w:footnoteRef/>
      </w:r>
      <w:r>
        <w:tab/>
        <w:t xml:space="preserve">Al Jabir, </w:t>
      </w:r>
      <w:proofErr w:type="spellStart"/>
      <w:r>
        <w:t>Exh</w:t>
      </w:r>
      <w:proofErr w:type="spellEnd"/>
      <w:r>
        <w:t xml:space="preserve">. AZA-1T at 3:11 – 4:5; </w:t>
      </w:r>
      <w:proofErr w:type="spellStart"/>
      <w:r>
        <w:t>Brosch</w:t>
      </w:r>
      <w:proofErr w:type="spellEnd"/>
      <w:r>
        <w:t xml:space="preserve">, </w:t>
      </w:r>
      <w:proofErr w:type="spellStart"/>
      <w:r>
        <w:t>Exh</w:t>
      </w:r>
      <w:proofErr w:type="spellEnd"/>
      <w:r>
        <w:t xml:space="preserve">. MLB-1T at 36:12-23; Gorman, </w:t>
      </w:r>
      <w:proofErr w:type="spellStart"/>
      <w:r>
        <w:t>Exh</w:t>
      </w:r>
      <w:proofErr w:type="spellEnd"/>
      <w:r>
        <w:t>. MPG-1T at 36:12-23.</w:t>
      </w:r>
    </w:p>
  </w:footnote>
  <w:footnote w:id="135">
    <w:p w:rsidR="00016BB8" w:rsidRDefault="00016BB8" w:rsidP="003921A6">
      <w:pPr>
        <w:pStyle w:val="FootnoteText"/>
        <w:spacing w:line="240" w:lineRule="auto"/>
      </w:pPr>
      <w:r>
        <w:rPr>
          <w:rStyle w:val="FootnoteReference"/>
        </w:rPr>
        <w:footnoteRef/>
      </w:r>
      <w:r>
        <w:tab/>
      </w:r>
      <w:r w:rsidRPr="003921A6">
        <w:rPr>
          <w:i/>
        </w:rPr>
        <w:t xml:space="preserve">Wash. </w:t>
      </w:r>
      <w:proofErr w:type="spellStart"/>
      <w:r w:rsidRPr="003921A6">
        <w:rPr>
          <w:i/>
        </w:rPr>
        <w:t>Utils</w:t>
      </w:r>
      <w:proofErr w:type="spellEnd"/>
      <w:r w:rsidRPr="003921A6">
        <w:rPr>
          <w:i/>
        </w:rPr>
        <w:t xml:space="preserve">. &amp; Transp. </w:t>
      </w:r>
      <w:proofErr w:type="spellStart"/>
      <w:r w:rsidRPr="003921A6">
        <w:rPr>
          <w:i/>
        </w:rPr>
        <w:t>Comm’n</w:t>
      </w:r>
      <w:proofErr w:type="spellEnd"/>
      <w:r w:rsidRPr="003921A6">
        <w:rPr>
          <w:i/>
        </w:rPr>
        <w:t xml:space="preserve"> v. Pac. Power &amp; Light Co., a Division of PacifiCorp</w:t>
      </w:r>
      <w:r>
        <w:t xml:space="preserve">, Dockets UE-140762, </w:t>
      </w:r>
      <w:r w:rsidRPr="003921A6">
        <w:rPr>
          <w:i/>
        </w:rPr>
        <w:t>et al</w:t>
      </w:r>
      <w:r>
        <w:rPr>
          <w:i/>
        </w:rPr>
        <w:t>.</w:t>
      </w:r>
      <w:r>
        <w:t>, Order 08 at ¶ 181 (Mar. 25, 2015).</w:t>
      </w:r>
    </w:p>
  </w:footnote>
  <w:footnote w:id="136">
    <w:p w:rsidR="00016BB8" w:rsidRDefault="00016BB8" w:rsidP="003D4042">
      <w:pPr>
        <w:pStyle w:val="FootnoteText"/>
        <w:spacing w:line="240" w:lineRule="auto"/>
      </w:pPr>
      <w:r>
        <w:rPr>
          <w:rStyle w:val="FootnoteReference"/>
        </w:rPr>
        <w:footnoteRef/>
      </w:r>
      <w:r>
        <w:tab/>
      </w:r>
      <w:proofErr w:type="spellStart"/>
      <w:r>
        <w:t>Brosch</w:t>
      </w:r>
      <w:proofErr w:type="spellEnd"/>
      <w:r>
        <w:t xml:space="preserve">, </w:t>
      </w:r>
      <w:proofErr w:type="spellStart"/>
      <w:r>
        <w:t>Exh</w:t>
      </w:r>
      <w:proofErr w:type="spellEnd"/>
      <w:r>
        <w:t xml:space="preserve">. MLB-1T at 70:2-9; Gorman, </w:t>
      </w:r>
      <w:proofErr w:type="spellStart"/>
      <w:r>
        <w:t>Exh</w:t>
      </w:r>
      <w:proofErr w:type="spellEnd"/>
      <w:r>
        <w:t>. MPG-1T at 36:12-23;</w:t>
      </w:r>
      <w:r w:rsidRPr="00CB5CB9">
        <w:t xml:space="preserve"> </w:t>
      </w:r>
      <w:r>
        <w:t xml:space="preserve">Al Jabir, </w:t>
      </w:r>
      <w:proofErr w:type="spellStart"/>
      <w:r>
        <w:t>Exh</w:t>
      </w:r>
      <w:proofErr w:type="spellEnd"/>
      <w:r>
        <w:t>. AZA-1T at 31:1 – 32:7.</w:t>
      </w:r>
    </w:p>
  </w:footnote>
  <w:footnote w:id="137">
    <w:p w:rsidR="00016BB8" w:rsidRDefault="00016BB8" w:rsidP="000F1FBC">
      <w:pPr>
        <w:pStyle w:val="FootnoteText"/>
        <w:spacing w:line="240" w:lineRule="auto"/>
      </w:pPr>
      <w:r>
        <w:rPr>
          <w:rStyle w:val="FootnoteReference"/>
        </w:rPr>
        <w:footnoteRef/>
      </w:r>
      <w:r>
        <w:tab/>
      </w:r>
      <w:r>
        <w:rPr>
          <w:i/>
        </w:rPr>
        <w:t xml:space="preserve">See </w:t>
      </w:r>
      <w:r>
        <w:t xml:space="preserve">Barnard, </w:t>
      </w:r>
      <w:proofErr w:type="spellStart"/>
      <w:r>
        <w:t>Exh</w:t>
      </w:r>
      <w:proofErr w:type="spellEnd"/>
      <w:r>
        <w:t>. KJB-36 at 8 (Commission Staff Response to Public Counsel Data Request No. 6, in which Commission Staff states as follows: “</w:t>
      </w:r>
      <w:r>
        <w:rPr>
          <w:szCs w:val="24"/>
        </w:rPr>
        <w:t>Given the limited number of adjustments and, therefore, the limited nature of such a review, Staff accepts this quick timeframe. The review should be able to be accomplished on an expedited basis because the filing includes only the standard restating ratemaking adjustments, uses existing methodologies previously approved by the Commission and excludes pro forma adjustments.”)</w:t>
      </w:r>
    </w:p>
  </w:footnote>
  <w:footnote w:id="138">
    <w:p w:rsidR="00016BB8" w:rsidRDefault="00016BB8" w:rsidP="000F1FBC">
      <w:pPr>
        <w:pStyle w:val="FootnoteText"/>
        <w:spacing w:line="240" w:lineRule="auto"/>
      </w:pPr>
      <w:r>
        <w:rPr>
          <w:rStyle w:val="FootnoteReference"/>
        </w:rPr>
        <w:footnoteRef/>
      </w:r>
      <w:r>
        <w:tab/>
      </w:r>
      <w:proofErr w:type="spellStart"/>
      <w:r>
        <w:t>Brosch</w:t>
      </w:r>
      <w:proofErr w:type="spellEnd"/>
      <w:r>
        <w:t xml:space="preserve">, </w:t>
      </w:r>
      <w:proofErr w:type="spellStart"/>
      <w:r>
        <w:t>Exh</w:t>
      </w:r>
      <w:proofErr w:type="spellEnd"/>
      <w:r>
        <w:t>. MLB-1T at 65:1-2.</w:t>
      </w:r>
    </w:p>
  </w:footnote>
  <w:footnote w:id="139">
    <w:p w:rsidR="00016BB8" w:rsidRDefault="00016BB8" w:rsidP="000F1FBC">
      <w:pPr>
        <w:pStyle w:val="FootnoteText"/>
        <w:spacing w:line="240" w:lineRule="auto"/>
      </w:pPr>
      <w:r>
        <w:rPr>
          <w:rStyle w:val="FootnoteReference"/>
        </w:rPr>
        <w:footnoteRef/>
      </w:r>
      <w:r>
        <w:tab/>
        <w:t xml:space="preserve">Dockets UE-130137, </w:t>
      </w:r>
      <w:r w:rsidRPr="003921A6">
        <w:rPr>
          <w:i/>
        </w:rPr>
        <w:t>et al</w:t>
      </w:r>
      <w:r>
        <w:t xml:space="preserve">., Dittmer, </w:t>
      </w:r>
      <w:proofErr w:type="spellStart"/>
      <w:r>
        <w:t>Exh</w:t>
      </w:r>
      <w:proofErr w:type="spellEnd"/>
      <w:r>
        <w:t>. JRD-1T at 41:14-16.</w:t>
      </w:r>
    </w:p>
  </w:footnote>
  <w:footnote w:id="140">
    <w:p w:rsidR="00016BB8" w:rsidRDefault="00016BB8" w:rsidP="000F1FBC">
      <w:pPr>
        <w:pStyle w:val="FootnoteText"/>
        <w:spacing w:line="240" w:lineRule="auto"/>
      </w:pPr>
      <w:r>
        <w:rPr>
          <w:rStyle w:val="FootnoteReference"/>
        </w:rPr>
        <w:footnoteRef/>
      </w:r>
      <w:r>
        <w:tab/>
        <w:t xml:space="preserve">Gorman, </w:t>
      </w:r>
      <w:proofErr w:type="spellStart"/>
      <w:r>
        <w:t>Exh</w:t>
      </w:r>
      <w:proofErr w:type="spellEnd"/>
      <w:r>
        <w:t>. MPG-1T at 38:21-22.</w:t>
      </w:r>
    </w:p>
  </w:footnote>
  <w:footnote w:id="141">
    <w:p w:rsidR="00016BB8" w:rsidRDefault="00016BB8" w:rsidP="000F1FBC">
      <w:pPr>
        <w:pStyle w:val="FootnoteText"/>
        <w:spacing w:line="240" w:lineRule="auto"/>
      </w:pPr>
      <w:r>
        <w:rPr>
          <w:rStyle w:val="FootnoteReference"/>
        </w:rPr>
        <w:footnoteRef/>
      </w:r>
      <w:r>
        <w:tab/>
      </w:r>
      <w:proofErr w:type="spellStart"/>
      <w:r>
        <w:t>Brosch</w:t>
      </w:r>
      <w:proofErr w:type="spellEnd"/>
      <w:r>
        <w:t xml:space="preserve">, </w:t>
      </w:r>
      <w:proofErr w:type="spellStart"/>
      <w:r>
        <w:t>Exh</w:t>
      </w:r>
      <w:proofErr w:type="spellEnd"/>
      <w:r>
        <w:t>. MLB-1T at 66:13-16.</w:t>
      </w:r>
    </w:p>
  </w:footnote>
  <w:footnote w:id="142">
    <w:p w:rsidR="00016BB8" w:rsidRPr="0047560F" w:rsidRDefault="00016BB8" w:rsidP="000F1FBC">
      <w:pPr>
        <w:pStyle w:val="FootnoteText"/>
        <w:spacing w:line="240" w:lineRule="auto"/>
      </w:pPr>
      <w:r>
        <w:rPr>
          <w:rStyle w:val="FootnoteReference"/>
        </w:rPr>
        <w:footnoteRef/>
      </w:r>
      <w:r>
        <w:tab/>
      </w:r>
      <w:r>
        <w:rPr>
          <w:i/>
        </w:rPr>
        <w:t>Id</w:t>
      </w:r>
      <w:r>
        <w:t xml:space="preserve">. at 69:11. </w:t>
      </w:r>
    </w:p>
  </w:footnote>
  <w:footnote w:id="143">
    <w:p w:rsidR="00016BB8" w:rsidRDefault="00016BB8">
      <w:pPr>
        <w:pStyle w:val="FootnoteText"/>
      </w:pPr>
      <w:r>
        <w:rPr>
          <w:rStyle w:val="FootnoteReference"/>
        </w:rPr>
        <w:footnoteRef/>
      </w:r>
      <w:r>
        <w:t xml:space="preserve"> Barnard, </w:t>
      </w:r>
      <w:proofErr w:type="spellStart"/>
      <w:r>
        <w:t>Exh</w:t>
      </w:r>
      <w:proofErr w:type="spellEnd"/>
      <w:r>
        <w:t>. KJB-36 at 2.</w:t>
      </w:r>
    </w:p>
  </w:footnote>
  <w:footnote w:id="144">
    <w:p w:rsidR="00016BB8" w:rsidRDefault="00016BB8" w:rsidP="000F1FBC">
      <w:pPr>
        <w:pStyle w:val="FootnoteText"/>
        <w:spacing w:line="240" w:lineRule="auto"/>
      </w:pPr>
      <w:r>
        <w:rPr>
          <w:rStyle w:val="FootnoteReference"/>
        </w:rPr>
        <w:footnoteRef/>
      </w:r>
      <w:r>
        <w:tab/>
        <w:t>Docket UG-101644.</w:t>
      </w:r>
    </w:p>
  </w:footnote>
  <w:footnote w:id="145">
    <w:p w:rsidR="00016BB8" w:rsidRDefault="00016BB8" w:rsidP="000F1FBC">
      <w:pPr>
        <w:pStyle w:val="FootnoteText"/>
        <w:spacing w:line="240" w:lineRule="auto"/>
      </w:pPr>
      <w:r>
        <w:rPr>
          <w:rStyle w:val="FootnoteReference"/>
        </w:rPr>
        <w:footnoteRef/>
      </w:r>
      <w:r>
        <w:tab/>
        <w:t>Dockets UE-130137 &amp; UG-130138.</w:t>
      </w:r>
    </w:p>
  </w:footnote>
  <w:footnote w:id="146">
    <w:p w:rsidR="00016BB8" w:rsidRDefault="00016BB8" w:rsidP="000F1FBC">
      <w:pPr>
        <w:pStyle w:val="FootnoteText"/>
        <w:spacing w:line="240" w:lineRule="auto"/>
      </w:pPr>
      <w:r>
        <w:rPr>
          <w:rStyle w:val="FootnoteReference"/>
        </w:rPr>
        <w:footnoteRef/>
      </w:r>
      <w:r>
        <w:tab/>
        <w:t xml:space="preserve">Barnard, </w:t>
      </w:r>
      <w:proofErr w:type="spellStart"/>
      <w:r w:rsidRPr="00CD0DC1">
        <w:t>Exh</w:t>
      </w:r>
      <w:proofErr w:type="spellEnd"/>
      <w:r w:rsidRPr="00CD0DC1">
        <w:t>. KJB-36 at 7.</w:t>
      </w:r>
    </w:p>
  </w:footnote>
  <w:footnote w:id="147">
    <w:p w:rsidR="00016BB8" w:rsidRDefault="00016BB8" w:rsidP="000F1FBC">
      <w:pPr>
        <w:pStyle w:val="FootnoteText"/>
        <w:spacing w:line="240" w:lineRule="auto"/>
      </w:pPr>
      <w:r>
        <w:rPr>
          <w:rStyle w:val="FootnoteReference"/>
        </w:rPr>
        <w:footnoteRef/>
      </w:r>
      <w:r>
        <w:tab/>
        <w:t xml:space="preserve">Gorman, </w:t>
      </w:r>
      <w:proofErr w:type="spellStart"/>
      <w:r>
        <w:t>Exh</w:t>
      </w:r>
      <w:proofErr w:type="spellEnd"/>
      <w:r>
        <w:t>. MPG-1T at 36:13-14.</w:t>
      </w:r>
    </w:p>
  </w:footnote>
  <w:footnote w:id="148">
    <w:p w:rsidR="00016BB8" w:rsidRDefault="00016BB8" w:rsidP="000F1FBC">
      <w:pPr>
        <w:pStyle w:val="FootnoteText"/>
        <w:spacing w:line="240" w:lineRule="auto"/>
      </w:pPr>
      <w:r>
        <w:rPr>
          <w:rStyle w:val="FootnoteReference"/>
        </w:rPr>
        <w:footnoteRef/>
      </w:r>
      <w:r>
        <w:tab/>
        <w:t xml:space="preserve">Gorman, </w:t>
      </w:r>
      <w:proofErr w:type="spellStart"/>
      <w:r>
        <w:t>Exh</w:t>
      </w:r>
      <w:proofErr w:type="spellEnd"/>
      <w:r>
        <w:t xml:space="preserve">. MPG-1T at 36:14-16; </w:t>
      </w:r>
      <w:proofErr w:type="spellStart"/>
      <w:r>
        <w:t>Brosch</w:t>
      </w:r>
      <w:proofErr w:type="spellEnd"/>
      <w:r>
        <w:t xml:space="preserve">, </w:t>
      </w:r>
      <w:proofErr w:type="spellStart"/>
      <w:r>
        <w:t>Exh</w:t>
      </w:r>
      <w:proofErr w:type="spellEnd"/>
      <w:r>
        <w:t>. MLB-1T at 13:10-12.</w:t>
      </w:r>
    </w:p>
  </w:footnote>
  <w:footnote w:id="149">
    <w:p w:rsidR="00016BB8" w:rsidRDefault="00016BB8" w:rsidP="000F1FBC">
      <w:pPr>
        <w:pStyle w:val="FootnoteText"/>
        <w:spacing w:line="240" w:lineRule="auto"/>
      </w:pPr>
      <w:r>
        <w:rPr>
          <w:rStyle w:val="FootnoteReference"/>
        </w:rPr>
        <w:footnoteRef/>
      </w:r>
      <w:r>
        <w:tab/>
        <w:t xml:space="preserve">Gorman, </w:t>
      </w:r>
      <w:proofErr w:type="spellStart"/>
      <w:r>
        <w:t>Exh</w:t>
      </w:r>
      <w:proofErr w:type="spellEnd"/>
      <w:r>
        <w:t>. MPG-1T at 42:18-19.</w:t>
      </w:r>
    </w:p>
  </w:footnote>
  <w:footnote w:id="150">
    <w:p w:rsidR="00016BB8" w:rsidRDefault="00016BB8" w:rsidP="000F1FBC">
      <w:pPr>
        <w:pStyle w:val="FootnoteText"/>
        <w:spacing w:line="240" w:lineRule="auto"/>
      </w:pPr>
      <w:r>
        <w:rPr>
          <w:rStyle w:val="FootnoteReference"/>
        </w:rPr>
        <w:footnoteRef/>
      </w:r>
      <w:r>
        <w:tab/>
      </w:r>
      <w:r>
        <w:rPr>
          <w:i/>
        </w:rPr>
        <w:t xml:space="preserve">WUTC v. </w:t>
      </w:r>
      <w:r w:rsidRPr="005D33B8">
        <w:rPr>
          <w:i/>
        </w:rPr>
        <w:t>Avista</w:t>
      </w:r>
      <w:r>
        <w:rPr>
          <w:i/>
        </w:rPr>
        <w:t xml:space="preserve">, </w:t>
      </w:r>
      <w:r w:rsidRPr="005D33B8">
        <w:t xml:space="preserve">Docket </w:t>
      </w:r>
      <w:r>
        <w:t>UE-150204/UG-150205, Order 05 ¶ 116.</w:t>
      </w:r>
    </w:p>
  </w:footnote>
  <w:footnote w:id="151">
    <w:p w:rsidR="00016BB8" w:rsidRDefault="00016BB8" w:rsidP="000F1FBC">
      <w:pPr>
        <w:pStyle w:val="FootnoteText"/>
        <w:spacing w:line="240" w:lineRule="auto"/>
      </w:pPr>
      <w:r>
        <w:rPr>
          <w:rStyle w:val="FootnoteReference"/>
        </w:rPr>
        <w:footnoteRef/>
      </w:r>
      <w:r>
        <w:tab/>
        <w:t xml:space="preserve">Schooley, </w:t>
      </w:r>
      <w:proofErr w:type="spellStart"/>
      <w:r>
        <w:t>Exh</w:t>
      </w:r>
      <w:proofErr w:type="spellEnd"/>
      <w:r>
        <w:t>. TES-1T at 28:17-18.</w:t>
      </w:r>
    </w:p>
  </w:footnote>
  <w:footnote w:id="152">
    <w:p w:rsidR="00016BB8" w:rsidRDefault="00016BB8" w:rsidP="000F1FBC">
      <w:pPr>
        <w:pStyle w:val="FootnoteText"/>
        <w:spacing w:line="240" w:lineRule="auto"/>
      </w:pPr>
      <w:r>
        <w:rPr>
          <w:rStyle w:val="FootnoteReference"/>
        </w:rPr>
        <w:footnoteRef/>
      </w:r>
      <w:r>
        <w:tab/>
        <w:t>Excerpt from PSE’s Response to Public Counsel Data Request No. 72.</w:t>
      </w:r>
    </w:p>
  </w:footnote>
  <w:footnote w:id="153">
    <w:p w:rsidR="00016BB8" w:rsidRDefault="00016BB8" w:rsidP="000F1FBC">
      <w:pPr>
        <w:pStyle w:val="FootnoteText"/>
        <w:spacing w:line="240" w:lineRule="auto"/>
      </w:pPr>
      <w:r>
        <w:rPr>
          <w:rStyle w:val="FootnoteReference"/>
        </w:rPr>
        <w:footnoteRef/>
      </w:r>
      <w:r>
        <w:tab/>
      </w:r>
      <w:r w:rsidRPr="00C9502E">
        <w:rPr>
          <w:i/>
        </w:rPr>
        <w:t>W</w:t>
      </w:r>
      <w:r w:rsidR="00637B19">
        <w:rPr>
          <w:i/>
        </w:rPr>
        <w:t xml:space="preserve">ash. </w:t>
      </w:r>
      <w:proofErr w:type="spellStart"/>
      <w:r w:rsidRPr="00C9502E">
        <w:rPr>
          <w:i/>
        </w:rPr>
        <w:t>U</w:t>
      </w:r>
      <w:r w:rsidR="00637B19">
        <w:rPr>
          <w:i/>
        </w:rPr>
        <w:t>tils</w:t>
      </w:r>
      <w:proofErr w:type="spellEnd"/>
      <w:r w:rsidR="00637B19">
        <w:rPr>
          <w:i/>
        </w:rPr>
        <w:t xml:space="preserve">. &amp; Transp. </w:t>
      </w:r>
      <w:proofErr w:type="spellStart"/>
      <w:r w:rsidRPr="00C9502E">
        <w:rPr>
          <w:i/>
        </w:rPr>
        <w:t>C</w:t>
      </w:r>
      <w:r w:rsidR="00637B19">
        <w:rPr>
          <w:i/>
        </w:rPr>
        <w:t>omm’n</w:t>
      </w:r>
      <w:proofErr w:type="spellEnd"/>
      <w:r w:rsidRPr="00C9502E">
        <w:rPr>
          <w:i/>
        </w:rPr>
        <w:t xml:space="preserve"> v. Avista</w:t>
      </w:r>
      <w:r>
        <w:t>, Dockets UE-150204 and UG-150205, Order</w:t>
      </w:r>
      <w:r w:rsidR="00637B19">
        <w:t> </w:t>
      </w:r>
      <w:r>
        <w:t>5</w:t>
      </w:r>
      <w:r w:rsidR="00637B19">
        <w:t xml:space="preserve"> at ¶ 81 (Jan. 6, 2016)</w:t>
      </w:r>
      <w:r>
        <w:t>.</w:t>
      </w:r>
    </w:p>
  </w:footnote>
  <w:footnote w:id="154">
    <w:p w:rsidR="00016BB8" w:rsidRDefault="00016BB8" w:rsidP="000F1FBC">
      <w:pPr>
        <w:pStyle w:val="FootnoteText"/>
        <w:spacing w:line="240" w:lineRule="auto"/>
      </w:pPr>
      <w:r>
        <w:rPr>
          <w:rStyle w:val="FootnoteReference"/>
        </w:rPr>
        <w:footnoteRef/>
      </w:r>
      <w:r>
        <w:tab/>
      </w:r>
      <w:r w:rsidRPr="00F97854">
        <w:rPr>
          <w:i/>
        </w:rPr>
        <w:t>Id.</w:t>
      </w:r>
      <w:r>
        <w:t xml:space="preserve"> at ¶ 98 referencing McGuire, </w:t>
      </w:r>
      <w:proofErr w:type="spellStart"/>
      <w:r>
        <w:t>Exh</w:t>
      </w:r>
      <w:proofErr w:type="spellEnd"/>
      <w:r>
        <w:t>. CRM-1T at 24:19-21.</w:t>
      </w:r>
    </w:p>
  </w:footnote>
  <w:footnote w:id="155">
    <w:p w:rsidR="00016BB8" w:rsidRDefault="00016BB8" w:rsidP="000F1FBC">
      <w:pPr>
        <w:pStyle w:val="FootnoteText"/>
        <w:spacing w:line="240" w:lineRule="auto"/>
      </w:pPr>
      <w:r>
        <w:rPr>
          <w:rStyle w:val="FootnoteReference"/>
        </w:rPr>
        <w:footnoteRef/>
      </w:r>
      <w:r>
        <w:tab/>
      </w:r>
      <w:r>
        <w:rPr>
          <w:i/>
          <w:iCs/>
        </w:rPr>
        <w:t>Id.</w:t>
      </w:r>
      <w:r>
        <w:t xml:space="preserve"> at ¶ 141 (emphasis added).</w:t>
      </w:r>
    </w:p>
  </w:footnote>
  <w:footnote w:id="156">
    <w:p w:rsidR="00016BB8" w:rsidRDefault="00016BB8" w:rsidP="000F1FBC">
      <w:pPr>
        <w:pStyle w:val="FootnoteText"/>
        <w:spacing w:line="240" w:lineRule="auto"/>
      </w:pPr>
      <w:r>
        <w:rPr>
          <w:rStyle w:val="FootnoteReference"/>
        </w:rPr>
        <w:footnoteRef/>
      </w:r>
      <w:r>
        <w:tab/>
        <w:t xml:space="preserve">Schooley, </w:t>
      </w:r>
      <w:proofErr w:type="spellStart"/>
      <w:r>
        <w:t>Exh</w:t>
      </w:r>
      <w:proofErr w:type="spellEnd"/>
      <w:r>
        <w:t xml:space="preserve">. TES-1T at 17:19-22. </w:t>
      </w:r>
    </w:p>
  </w:footnote>
  <w:footnote w:id="157">
    <w:p w:rsidR="00016BB8" w:rsidRDefault="00016BB8" w:rsidP="000F1FBC">
      <w:pPr>
        <w:pStyle w:val="FootnoteText"/>
        <w:spacing w:line="240" w:lineRule="auto"/>
      </w:pPr>
      <w:r>
        <w:rPr>
          <w:rStyle w:val="FootnoteReference"/>
        </w:rPr>
        <w:footnoteRef/>
      </w:r>
      <w:r>
        <w:tab/>
      </w:r>
      <w:proofErr w:type="spellStart"/>
      <w:r>
        <w:t>Cheesman</w:t>
      </w:r>
      <w:proofErr w:type="spellEnd"/>
      <w:r>
        <w:t xml:space="preserve">, </w:t>
      </w:r>
      <w:proofErr w:type="spellStart"/>
      <w:r>
        <w:t>Exh</w:t>
      </w:r>
      <w:proofErr w:type="spellEnd"/>
      <w:r>
        <w:t>. MCC-1T at 23:13-19.</w:t>
      </w:r>
    </w:p>
  </w:footnote>
  <w:footnote w:id="158">
    <w:p w:rsidR="00016BB8" w:rsidRDefault="00016BB8" w:rsidP="000F1FBC">
      <w:pPr>
        <w:pStyle w:val="FootnoteText"/>
        <w:spacing w:line="240" w:lineRule="auto"/>
      </w:pPr>
      <w:r>
        <w:rPr>
          <w:rStyle w:val="FootnoteReference"/>
        </w:rPr>
        <w:footnoteRef/>
      </w:r>
      <w:r>
        <w:tab/>
      </w:r>
      <w:r>
        <w:rPr>
          <w:i/>
        </w:rPr>
        <w:t>Id.</w:t>
      </w:r>
      <w:r>
        <w:t xml:space="preserve"> at 26:11 - 30:6.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B8" w:rsidRDefault="00016BB8">
    <w:pPr>
      <w:pStyle w:val="Header"/>
    </w:pPr>
    <w:r>
      <w:rPr>
        <w:noProof/>
        <w:lang w:eastAsia="en-US"/>
      </w:rPr>
      <mc:AlternateContent>
        <mc:Choice Requires="wps">
          <w:drawing>
            <wp:anchor distT="0" distB="0" distL="114300" distR="114300" simplePos="0" relativeHeight="251660288" behindDoc="0" locked="0" layoutInCell="0" allowOverlap="1" wp14:anchorId="04CFE0E6" wp14:editId="35F393F3">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B8" w:rsidRDefault="00016BB8" w:rsidP="00037021">
    <w:pPr>
      <w:pStyle w:val="Header"/>
      <w:tabs>
        <w:tab w:val="clear" w:pos="4507"/>
        <w:tab w:val="clear" w:pos="9000"/>
        <w:tab w:val="left" w:pos="750"/>
      </w:tabs>
    </w:pPr>
    <w:r>
      <w:rPr>
        <w:noProof/>
        <w:lang w:eastAsia="en-US"/>
      </w:rPr>
      <mc:AlternateContent>
        <mc:Choice Requires="wps">
          <w:drawing>
            <wp:anchor distT="0" distB="0" distL="114300" distR="114300" simplePos="0" relativeHeight="251662336" behindDoc="0" locked="0" layoutInCell="1" allowOverlap="1" wp14:anchorId="2CE07022" wp14:editId="393A9F7E">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24660944"/>
    <w:multiLevelType w:val="hybridMultilevel"/>
    <w:tmpl w:val="2A50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23"/>
  </w:num>
  <w:num w:numId="14">
    <w:abstractNumId w:val="16"/>
  </w:num>
  <w:num w:numId="15">
    <w:abstractNumId w:val="20"/>
  </w:num>
  <w:num w:numId="16">
    <w:abstractNumId w:val="21"/>
  </w:num>
  <w:num w:numId="17">
    <w:abstractNumId w:val="25"/>
  </w:num>
  <w:num w:numId="18">
    <w:abstractNumId w:val="17"/>
  </w:num>
  <w:num w:numId="19">
    <w:abstractNumId w:val="26"/>
  </w:num>
  <w:num w:numId="20">
    <w:abstractNumId w:val="18"/>
  </w:num>
  <w:num w:numId="21">
    <w:abstractNumId w:val="19"/>
  </w:num>
  <w:num w:numId="22">
    <w:abstractNumId w:val="13"/>
  </w:num>
  <w:num w:numId="23">
    <w:abstractNumId w:val="12"/>
  </w:num>
  <w:num w:numId="24">
    <w:abstractNumId w:val="15"/>
  </w:num>
  <w:num w:numId="25">
    <w:abstractNumId w:val="24"/>
  </w:num>
  <w:num w:numId="26">
    <w:abstractNumId w:val="10"/>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LEGAL136452897.6"/>
    <w:docVar w:name="MPDocIDTemplate" w:val="%l|%n|.%v"/>
    <w:docVar w:name="MPDocIDTemplateDefault" w:val="%c-|%m/|%n|.%v"/>
    <w:docVar w:name="NewDocStampType" w:val="7"/>
  </w:docVars>
  <w:rsids>
    <w:rsidRoot w:val="00CD1A65"/>
    <w:rsid w:val="00000A6F"/>
    <w:rsid w:val="000018F4"/>
    <w:rsid w:val="00002751"/>
    <w:rsid w:val="00003202"/>
    <w:rsid w:val="00003CCA"/>
    <w:rsid w:val="00004D39"/>
    <w:rsid w:val="0000554F"/>
    <w:rsid w:val="0000723E"/>
    <w:rsid w:val="00007913"/>
    <w:rsid w:val="00010154"/>
    <w:rsid w:val="000101C9"/>
    <w:rsid w:val="0001112F"/>
    <w:rsid w:val="00011F34"/>
    <w:rsid w:val="00012170"/>
    <w:rsid w:val="00012CC9"/>
    <w:rsid w:val="0001368A"/>
    <w:rsid w:val="000139D8"/>
    <w:rsid w:val="0001587F"/>
    <w:rsid w:val="00015E8B"/>
    <w:rsid w:val="000166B1"/>
    <w:rsid w:val="00016BB8"/>
    <w:rsid w:val="00017656"/>
    <w:rsid w:val="00017DB9"/>
    <w:rsid w:val="00017FA6"/>
    <w:rsid w:val="00020C64"/>
    <w:rsid w:val="00021C30"/>
    <w:rsid w:val="0002256A"/>
    <w:rsid w:val="0002428B"/>
    <w:rsid w:val="00024ADC"/>
    <w:rsid w:val="000251EE"/>
    <w:rsid w:val="0003005E"/>
    <w:rsid w:val="00031551"/>
    <w:rsid w:val="00031B05"/>
    <w:rsid w:val="00032063"/>
    <w:rsid w:val="00032928"/>
    <w:rsid w:val="00032B65"/>
    <w:rsid w:val="00032BAE"/>
    <w:rsid w:val="000334C5"/>
    <w:rsid w:val="00034466"/>
    <w:rsid w:val="000346C7"/>
    <w:rsid w:val="0003603B"/>
    <w:rsid w:val="00036AD6"/>
    <w:rsid w:val="00037021"/>
    <w:rsid w:val="000373BB"/>
    <w:rsid w:val="00037CE8"/>
    <w:rsid w:val="00040032"/>
    <w:rsid w:val="00040E73"/>
    <w:rsid w:val="00041701"/>
    <w:rsid w:val="000425A2"/>
    <w:rsid w:val="00043BF2"/>
    <w:rsid w:val="00044F9A"/>
    <w:rsid w:val="000456B9"/>
    <w:rsid w:val="000458B0"/>
    <w:rsid w:val="00045C8B"/>
    <w:rsid w:val="000460D8"/>
    <w:rsid w:val="0004727F"/>
    <w:rsid w:val="00047D11"/>
    <w:rsid w:val="0005073B"/>
    <w:rsid w:val="00051008"/>
    <w:rsid w:val="00052224"/>
    <w:rsid w:val="000528F5"/>
    <w:rsid w:val="00052A37"/>
    <w:rsid w:val="00053B7F"/>
    <w:rsid w:val="00054376"/>
    <w:rsid w:val="00054C6A"/>
    <w:rsid w:val="00054CEF"/>
    <w:rsid w:val="00055FFA"/>
    <w:rsid w:val="00057091"/>
    <w:rsid w:val="00057AE7"/>
    <w:rsid w:val="00057C3E"/>
    <w:rsid w:val="00060493"/>
    <w:rsid w:val="00061AF4"/>
    <w:rsid w:val="00061B47"/>
    <w:rsid w:val="000623F4"/>
    <w:rsid w:val="00063680"/>
    <w:rsid w:val="00064171"/>
    <w:rsid w:val="00064903"/>
    <w:rsid w:val="000671C3"/>
    <w:rsid w:val="00067771"/>
    <w:rsid w:val="0006778A"/>
    <w:rsid w:val="00070567"/>
    <w:rsid w:val="00070DC0"/>
    <w:rsid w:val="00072512"/>
    <w:rsid w:val="0007268C"/>
    <w:rsid w:val="000726FC"/>
    <w:rsid w:val="000734E9"/>
    <w:rsid w:val="0007391C"/>
    <w:rsid w:val="00074D20"/>
    <w:rsid w:val="0007591C"/>
    <w:rsid w:val="00075C52"/>
    <w:rsid w:val="000769BB"/>
    <w:rsid w:val="00076A47"/>
    <w:rsid w:val="00077BF8"/>
    <w:rsid w:val="00077D99"/>
    <w:rsid w:val="00080FC6"/>
    <w:rsid w:val="00082010"/>
    <w:rsid w:val="0008213E"/>
    <w:rsid w:val="00082260"/>
    <w:rsid w:val="00082C18"/>
    <w:rsid w:val="00082D7D"/>
    <w:rsid w:val="000831B1"/>
    <w:rsid w:val="0008390F"/>
    <w:rsid w:val="00084DAC"/>
    <w:rsid w:val="0008555B"/>
    <w:rsid w:val="00085C4A"/>
    <w:rsid w:val="00085CC0"/>
    <w:rsid w:val="00085F69"/>
    <w:rsid w:val="000867DE"/>
    <w:rsid w:val="00086B45"/>
    <w:rsid w:val="00090048"/>
    <w:rsid w:val="000905D7"/>
    <w:rsid w:val="00091AD2"/>
    <w:rsid w:val="00091AE5"/>
    <w:rsid w:val="00092201"/>
    <w:rsid w:val="00093447"/>
    <w:rsid w:val="00093522"/>
    <w:rsid w:val="00093C4A"/>
    <w:rsid w:val="0009510E"/>
    <w:rsid w:val="0009512D"/>
    <w:rsid w:val="00095BAC"/>
    <w:rsid w:val="000969E2"/>
    <w:rsid w:val="00097934"/>
    <w:rsid w:val="000A0290"/>
    <w:rsid w:val="000A0F0E"/>
    <w:rsid w:val="000A2BDF"/>
    <w:rsid w:val="000A2CE8"/>
    <w:rsid w:val="000A4ADD"/>
    <w:rsid w:val="000A56A7"/>
    <w:rsid w:val="000A6AC1"/>
    <w:rsid w:val="000A7131"/>
    <w:rsid w:val="000A7F6A"/>
    <w:rsid w:val="000B068C"/>
    <w:rsid w:val="000B0DE3"/>
    <w:rsid w:val="000B18E9"/>
    <w:rsid w:val="000B1EA2"/>
    <w:rsid w:val="000B38BF"/>
    <w:rsid w:val="000B3FB1"/>
    <w:rsid w:val="000B547D"/>
    <w:rsid w:val="000B5806"/>
    <w:rsid w:val="000B5A32"/>
    <w:rsid w:val="000B5CA0"/>
    <w:rsid w:val="000B6388"/>
    <w:rsid w:val="000B6DD9"/>
    <w:rsid w:val="000C3075"/>
    <w:rsid w:val="000C480A"/>
    <w:rsid w:val="000C53B2"/>
    <w:rsid w:val="000C54C1"/>
    <w:rsid w:val="000C55F3"/>
    <w:rsid w:val="000C56F0"/>
    <w:rsid w:val="000C5931"/>
    <w:rsid w:val="000C5A2C"/>
    <w:rsid w:val="000C6EA8"/>
    <w:rsid w:val="000C6F31"/>
    <w:rsid w:val="000C7BD8"/>
    <w:rsid w:val="000C7E6B"/>
    <w:rsid w:val="000D0074"/>
    <w:rsid w:val="000D0BE1"/>
    <w:rsid w:val="000D0F91"/>
    <w:rsid w:val="000D1FB5"/>
    <w:rsid w:val="000D3BF9"/>
    <w:rsid w:val="000D515D"/>
    <w:rsid w:val="000D5B61"/>
    <w:rsid w:val="000D74A2"/>
    <w:rsid w:val="000D7995"/>
    <w:rsid w:val="000D7E04"/>
    <w:rsid w:val="000E051F"/>
    <w:rsid w:val="000E2BB4"/>
    <w:rsid w:val="000E2D02"/>
    <w:rsid w:val="000E3483"/>
    <w:rsid w:val="000E348A"/>
    <w:rsid w:val="000E35AC"/>
    <w:rsid w:val="000E3BF1"/>
    <w:rsid w:val="000E4043"/>
    <w:rsid w:val="000E47DB"/>
    <w:rsid w:val="000E4B23"/>
    <w:rsid w:val="000E507F"/>
    <w:rsid w:val="000E50F0"/>
    <w:rsid w:val="000E5955"/>
    <w:rsid w:val="000E67F4"/>
    <w:rsid w:val="000E695E"/>
    <w:rsid w:val="000E7D46"/>
    <w:rsid w:val="000E7F4D"/>
    <w:rsid w:val="000F041C"/>
    <w:rsid w:val="000F0479"/>
    <w:rsid w:val="000F04B4"/>
    <w:rsid w:val="000F0D40"/>
    <w:rsid w:val="000F16A5"/>
    <w:rsid w:val="000F1C39"/>
    <w:rsid w:val="000F1FBC"/>
    <w:rsid w:val="000F23B3"/>
    <w:rsid w:val="000F31BD"/>
    <w:rsid w:val="000F4005"/>
    <w:rsid w:val="000F490A"/>
    <w:rsid w:val="000F53C0"/>
    <w:rsid w:val="000F6B6C"/>
    <w:rsid w:val="000F762C"/>
    <w:rsid w:val="000F7DE8"/>
    <w:rsid w:val="00100417"/>
    <w:rsid w:val="001010E0"/>
    <w:rsid w:val="001011A9"/>
    <w:rsid w:val="001023BE"/>
    <w:rsid w:val="0010268D"/>
    <w:rsid w:val="00102CE2"/>
    <w:rsid w:val="00102D02"/>
    <w:rsid w:val="001045A8"/>
    <w:rsid w:val="0010573F"/>
    <w:rsid w:val="0010641D"/>
    <w:rsid w:val="001066A2"/>
    <w:rsid w:val="00106705"/>
    <w:rsid w:val="0010724B"/>
    <w:rsid w:val="00110894"/>
    <w:rsid w:val="0011347D"/>
    <w:rsid w:val="00113B9D"/>
    <w:rsid w:val="00113E20"/>
    <w:rsid w:val="00114B5C"/>
    <w:rsid w:val="00115F53"/>
    <w:rsid w:val="00116CF5"/>
    <w:rsid w:val="0012055A"/>
    <w:rsid w:val="001215EF"/>
    <w:rsid w:val="001222A4"/>
    <w:rsid w:val="001227D6"/>
    <w:rsid w:val="0012312D"/>
    <w:rsid w:val="001235E4"/>
    <w:rsid w:val="00123C61"/>
    <w:rsid w:val="001248E8"/>
    <w:rsid w:val="00125292"/>
    <w:rsid w:val="00126228"/>
    <w:rsid w:val="00127342"/>
    <w:rsid w:val="001310AA"/>
    <w:rsid w:val="001314A8"/>
    <w:rsid w:val="0013195B"/>
    <w:rsid w:val="00132447"/>
    <w:rsid w:val="001355ED"/>
    <w:rsid w:val="0013586D"/>
    <w:rsid w:val="00137615"/>
    <w:rsid w:val="00140EC8"/>
    <w:rsid w:val="00141044"/>
    <w:rsid w:val="001417A7"/>
    <w:rsid w:val="00141820"/>
    <w:rsid w:val="00141A46"/>
    <w:rsid w:val="00141B55"/>
    <w:rsid w:val="00142532"/>
    <w:rsid w:val="001433AA"/>
    <w:rsid w:val="00143E87"/>
    <w:rsid w:val="00144BE0"/>
    <w:rsid w:val="00146EDB"/>
    <w:rsid w:val="001479BB"/>
    <w:rsid w:val="001507AA"/>
    <w:rsid w:val="00150B43"/>
    <w:rsid w:val="001511DA"/>
    <w:rsid w:val="00151400"/>
    <w:rsid w:val="00151E68"/>
    <w:rsid w:val="001523E2"/>
    <w:rsid w:val="001527E4"/>
    <w:rsid w:val="001530C6"/>
    <w:rsid w:val="001533D3"/>
    <w:rsid w:val="00153529"/>
    <w:rsid w:val="00155A5E"/>
    <w:rsid w:val="00155ABF"/>
    <w:rsid w:val="001578FF"/>
    <w:rsid w:val="00157AFF"/>
    <w:rsid w:val="00157B23"/>
    <w:rsid w:val="00160013"/>
    <w:rsid w:val="0016033D"/>
    <w:rsid w:val="001603DB"/>
    <w:rsid w:val="0016182B"/>
    <w:rsid w:val="00161845"/>
    <w:rsid w:val="00163F6E"/>
    <w:rsid w:val="0016430B"/>
    <w:rsid w:val="001664B2"/>
    <w:rsid w:val="00166CB0"/>
    <w:rsid w:val="00166FE8"/>
    <w:rsid w:val="00167766"/>
    <w:rsid w:val="001677FC"/>
    <w:rsid w:val="0016795C"/>
    <w:rsid w:val="00170A15"/>
    <w:rsid w:val="00171539"/>
    <w:rsid w:val="0017285E"/>
    <w:rsid w:val="00172914"/>
    <w:rsid w:val="00173AA8"/>
    <w:rsid w:val="001744D8"/>
    <w:rsid w:val="0017489F"/>
    <w:rsid w:val="00174936"/>
    <w:rsid w:val="00174A67"/>
    <w:rsid w:val="00175DDE"/>
    <w:rsid w:val="00175E3E"/>
    <w:rsid w:val="00176501"/>
    <w:rsid w:val="0017710A"/>
    <w:rsid w:val="001773CB"/>
    <w:rsid w:val="00177B8E"/>
    <w:rsid w:val="00180C05"/>
    <w:rsid w:val="001812AB"/>
    <w:rsid w:val="001812C0"/>
    <w:rsid w:val="0018156F"/>
    <w:rsid w:val="001817F0"/>
    <w:rsid w:val="00181A1F"/>
    <w:rsid w:val="00182226"/>
    <w:rsid w:val="00182C81"/>
    <w:rsid w:val="00183093"/>
    <w:rsid w:val="00184D5A"/>
    <w:rsid w:val="00185C17"/>
    <w:rsid w:val="00185D01"/>
    <w:rsid w:val="0018753D"/>
    <w:rsid w:val="001919C4"/>
    <w:rsid w:val="00192832"/>
    <w:rsid w:val="00192868"/>
    <w:rsid w:val="00192D72"/>
    <w:rsid w:val="001936DE"/>
    <w:rsid w:val="00195345"/>
    <w:rsid w:val="0019637E"/>
    <w:rsid w:val="00196CB7"/>
    <w:rsid w:val="00196FCA"/>
    <w:rsid w:val="00197652"/>
    <w:rsid w:val="00197838"/>
    <w:rsid w:val="00197984"/>
    <w:rsid w:val="001A0070"/>
    <w:rsid w:val="001A1529"/>
    <w:rsid w:val="001A2510"/>
    <w:rsid w:val="001A2599"/>
    <w:rsid w:val="001A2684"/>
    <w:rsid w:val="001A2DBE"/>
    <w:rsid w:val="001A367E"/>
    <w:rsid w:val="001A4255"/>
    <w:rsid w:val="001A4458"/>
    <w:rsid w:val="001A4A08"/>
    <w:rsid w:val="001A5B5F"/>
    <w:rsid w:val="001A5E37"/>
    <w:rsid w:val="001A66B6"/>
    <w:rsid w:val="001A6877"/>
    <w:rsid w:val="001A716F"/>
    <w:rsid w:val="001A7397"/>
    <w:rsid w:val="001B05DD"/>
    <w:rsid w:val="001B0F21"/>
    <w:rsid w:val="001B163F"/>
    <w:rsid w:val="001B2971"/>
    <w:rsid w:val="001B3541"/>
    <w:rsid w:val="001B4051"/>
    <w:rsid w:val="001B4343"/>
    <w:rsid w:val="001B61DF"/>
    <w:rsid w:val="001B634B"/>
    <w:rsid w:val="001B6401"/>
    <w:rsid w:val="001B7283"/>
    <w:rsid w:val="001B79DB"/>
    <w:rsid w:val="001C097C"/>
    <w:rsid w:val="001C170B"/>
    <w:rsid w:val="001C1757"/>
    <w:rsid w:val="001C2894"/>
    <w:rsid w:val="001C588C"/>
    <w:rsid w:val="001C5CAF"/>
    <w:rsid w:val="001C6503"/>
    <w:rsid w:val="001C7603"/>
    <w:rsid w:val="001D0F46"/>
    <w:rsid w:val="001D186B"/>
    <w:rsid w:val="001D1D31"/>
    <w:rsid w:val="001D2094"/>
    <w:rsid w:val="001D2261"/>
    <w:rsid w:val="001D2653"/>
    <w:rsid w:val="001D2B74"/>
    <w:rsid w:val="001D3062"/>
    <w:rsid w:val="001D63E9"/>
    <w:rsid w:val="001D684E"/>
    <w:rsid w:val="001D68A6"/>
    <w:rsid w:val="001D7016"/>
    <w:rsid w:val="001D77B6"/>
    <w:rsid w:val="001D7C48"/>
    <w:rsid w:val="001D7EB9"/>
    <w:rsid w:val="001E0816"/>
    <w:rsid w:val="001E13D8"/>
    <w:rsid w:val="001E2231"/>
    <w:rsid w:val="001E2391"/>
    <w:rsid w:val="001E2694"/>
    <w:rsid w:val="001E27BA"/>
    <w:rsid w:val="001E2EB9"/>
    <w:rsid w:val="001E3020"/>
    <w:rsid w:val="001E347C"/>
    <w:rsid w:val="001E35A7"/>
    <w:rsid w:val="001E4C54"/>
    <w:rsid w:val="001E513B"/>
    <w:rsid w:val="001E5445"/>
    <w:rsid w:val="001E60E6"/>
    <w:rsid w:val="001E694B"/>
    <w:rsid w:val="001E6B0B"/>
    <w:rsid w:val="001E6D45"/>
    <w:rsid w:val="001F00F8"/>
    <w:rsid w:val="001F0B61"/>
    <w:rsid w:val="001F0E2A"/>
    <w:rsid w:val="001F12EA"/>
    <w:rsid w:val="001F1AB5"/>
    <w:rsid w:val="001F313C"/>
    <w:rsid w:val="001F4654"/>
    <w:rsid w:val="001F7F02"/>
    <w:rsid w:val="00200A51"/>
    <w:rsid w:val="00201995"/>
    <w:rsid w:val="00202C2B"/>
    <w:rsid w:val="00203289"/>
    <w:rsid w:val="00204CEE"/>
    <w:rsid w:val="00204D0F"/>
    <w:rsid w:val="00206603"/>
    <w:rsid w:val="00206F0F"/>
    <w:rsid w:val="0020793E"/>
    <w:rsid w:val="00210AF9"/>
    <w:rsid w:val="00210FD3"/>
    <w:rsid w:val="002111FC"/>
    <w:rsid w:val="0021264C"/>
    <w:rsid w:val="002176C8"/>
    <w:rsid w:val="00217738"/>
    <w:rsid w:val="00217D04"/>
    <w:rsid w:val="002200C5"/>
    <w:rsid w:val="00220BA5"/>
    <w:rsid w:val="0022127D"/>
    <w:rsid w:val="0022196B"/>
    <w:rsid w:val="00221CB5"/>
    <w:rsid w:val="00221CCD"/>
    <w:rsid w:val="002225DC"/>
    <w:rsid w:val="00222C36"/>
    <w:rsid w:val="0022574D"/>
    <w:rsid w:val="00225F84"/>
    <w:rsid w:val="002272F9"/>
    <w:rsid w:val="00227B90"/>
    <w:rsid w:val="00231222"/>
    <w:rsid w:val="00232447"/>
    <w:rsid w:val="00235E91"/>
    <w:rsid w:val="002366CD"/>
    <w:rsid w:val="002367B5"/>
    <w:rsid w:val="002370A7"/>
    <w:rsid w:val="00237BC7"/>
    <w:rsid w:val="00237DAF"/>
    <w:rsid w:val="0024042B"/>
    <w:rsid w:val="00240D91"/>
    <w:rsid w:val="0024173A"/>
    <w:rsid w:val="002423F8"/>
    <w:rsid w:val="00242803"/>
    <w:rsid w:val="00242F00"/>
    <w:rsid w:val="002439A7"/>
    <w:rsid w:val="00243C0C"/>
    <w:rsid w:val="00243D81"/>
    <w:rsid w:val="0024414E"/>
    <w:rsid w:val="00244C34"/>
    <w:rsid w:val="002461F8"/>
    <w:rsid w:val="002503F1"/>
    <w:rsid w:val="00250A52"/>
    <w:rsid w:val="00251175"/>
    <w:rsid w:val="002514AA"/>
    <w:rsid w:val="0025342D"/>
    <w:rsid w:val="0025348F"/>
    <w:rsid w:val="00253A60"/>
    <w:rsid w:val="00253BDB"/>
    <w:rsid w:val="00253D38"/>
    <w:rsid w:val="0025416C"/>
    <w:rsid w:val="0025541B"/>
    <w:rsid w:val="002555BD"/>
    <w:rsid w:val="0025596F"/>
    <w:rsid w:val="00255B54"/>
    <w:rsid w:val="00256753"/>
    <w:rsid w:val="00257406"/>
    <w:rsid w:val="00260028"/>
    <w:rsid w:val="0026017D"/>
    <w:rsid w:val="0026033F"/>
    <w:rsid w:val="00260C1E"/>
    <w:rsid w:val="00260FEF"/>
    <w:rsid w:val="00261527"/>
    <w:rsid w:val="00261C58"/>
    <w:rsid w:val="0026246B"/>
    <w:rsid w:val="00262E08"/>
    <w:rsid w:val="002633EA"/>
    <w:rsid w:val="00263954"/>
    <w:rsid w:val="00264A3B"/>
    <w:rsid w:val="00264FFF"/>
    <w:rsid w:val="00265322"/>
    <w:rsid w:val="00265D55"/>
    <w:rsid w:val="0026646A"/>
    <w:rsid w:val="0026729B"/>
    <w:rsid w:val="00267860"/>
    <w:rsid w:val="0027022C"/>
    <w:rsid w:val="00271076"/>
    <w:rsid w:val="00271C28"/>
    <w:rsid w:val="00272458"/>
    <w:rsid w:val="002727F1"/>
    <w:rsid w:val="002747B0"/>
    <w:rsid w:val="002758F7"/>
    <w:rsid w:val="002776EB"/>
    <w:rsid w:val="002779FA"/>
    <w:rsid w:val="00277BED"/>
    <w:rsid w:val="00281869"/>
    <w:rsid w:val="00281FB1"/>
    <w:rsid w:val="00282E5C"/>
    <w:rsid w:val="00282FFC"/>
    <w:rsid w:val="00284894"/>
    <w:rsid w:val="00285457"/>
    <w:rsid w:val="00285588"/>
    <w:rsid w:val="00287138"/>
    <w:rsid w:val="00287F1B"/>
    <w:rsid w:val="00290409"/>
    <w:rsid w:val="002909F6"/>
    <w:rsid w:val="00290A9F"/>
    <w:rsid w:val="00291088"/>
    <w:rsid w:val="00291CB8"/>
    <w:rsid w:val="00291DF5"/>
    <w:rsid w:val="00292D68"/>
    <w:rsid w:val="00292DA1"/>
    <w:rsid w:val="00292FA1"/>
    <w:rsid w:val="00295035"/>
    <w:rsid w:val="00296A6A"/>
    <w:rsid w:val="00296C41"/>
    <w:rsid w:val="00297CE7"/>
    <w:rsid w:val="002A0971"/>
    <w:rsid w:val="002A11DF"/>
    <w:rsid w:val="002A134B"/>
    <w:rsid w:val="002A192D"/>
    <w:rsid w:val="002A1CC8"/>
    <w:rsid w:val="002A2592"/>
    <w:rsid w:val="002A2B26"/>
    <w:rsid w:val="002A2F2F"/>
    <w:rsid w:val="002A50A8"/>
    <w:rsid w:val="002A5324"/>
    <w:rsid w:val="002A6C1E"/>
    <w:rsid w:val="002A728C"/>
    <w:rsid w:val="002B0674"/>
    <w:rsid w:val="002B0DFC"/>
    <w:rsid w:val="002B14A7"/>
    <w:rsid w:val="002B1994"/>
    <w:rsid w:val="002B19A0"/>
    <w:rsid w:val="002B1D5B"/>
    <w:rsid w:val="002B3F2B"/>
    <w:rsid w:val="002B45F5"/>
    <w:rsid w:val="002B7714"/>
    <w:rsid w:val="002C091A"/>
    <w:rsid w:val="002C4A47"/>
    <w:rsid w:val="002C5DAF"/>
    <w:rsid w:val="002C68E6"/>
    <w:rsid w:val="002D0C18"/>
    <w:rsid w:val="002D0FA8"/>
    <w:rsid w:val="002D2A12"/>
    <w:rsid w:val="002D33EB"/>
    <w:rsid w:val="002D3501"/>
    <w:rsid w:val="002D3F60"/>
    <w:rsid w:val="002D5599"/>
    <w:rsid w:val="002D673E"/>
    <w:rsid w:val="002D693E"/>
    <w:rsid w:val="002D6F6F"/>
    <w:rsid w:val="002D7216"/>
    <w:rsid w:val="002D7655"/>
    <w:rsid w:val="002D7729"/>
    <w:rsid w:val="002D7D60"/>
    <w:rsid w:val="002E0FE0"/>
    <w:rsid w:val="002E1234"/>
    <w:rsid w:val="002E13CE"/>
    <w:rsid w:val="002E1ACC"/>
    <w:rsid w:val="002E1BB9"/>
    <w:rsid w:val="002E2A62"/>
    <w:rsid w:val="002E3D86"/>
    <w:rsid w:val="002E41ED"/>
    <w:rsid w:val="002E4423"/>
    <w:rsid w:val="002E459E"/>
    <w:rsid w:val="002E48EC"/>
    <w:rsid w:val="002E5103"/>
    <w:rsid w:val="002E5502"/>
    <w:rsid w:val="002E5518"/>
    <w:rsid w:val="002E6F7D"/>
    <w:rsid w:val="002E7EB5"/>
    <w:rsid w:val="002F08AC"/>
    <w:rsid w:val="002F0FE8"/>
    <w:rsid w:val="002F1A09"/>
    <w:rsid w:val="002F3CBB"/>
    <w:rsid w:val="002F4186"/>
    <w:rsid w:val="002F440B"/>
    <w:rsid w:val="002F4BC1"/>
    <w:rsid w:val="002F4CD2"/>
    <w:rsid w:val="002F6E18"/>
    <w:rsid w:val="002F7034"/>
    <w:rsid w:val="002F706F"/>
    <w:rsid w:val="002F77A9"/>
    <w:rsid w:val="002F7A4E"/>
    <w:rsid w:val="002F7C7C"/>
    <w:rsid w:val="00300996"/>
    <w:rsid w:val="0030150A"/>
    <w:rsid w:val="00301A6C"/>
    <w:rsid w:val="00302D0C"/>
    <w:rsid w:val="00302E7A"/>
    <w:rsid w:val="003034DF"/>
    <w:rsid w:val="00304BA0"/>
    <w:rsid w:val="0030575E"/>
    <w:rsid w:val="00306F7C"/>
    <w:rsid w:val="0030775B"/>
    <w:rsid w:val="00311821"/>
    <w:rsid w:val="003150B6"/>
    <w:rsid w:val="00315629"/>
    <w:rsid w:val="00317739"/>
    <w:rsid w:val="00320204"/>
    <w:rsid w:val="003203C6"/>
    <w:rsid w:val="00320A7F"/>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10CB"/>
    <w:rsid w:val="00331760"/>
    <w:rsid w:val="0033255F"/>
    <w:rsid w:val="003325A3"/>
    <w:rsid w:val="0033262E"/>
    <w:rsid w:val="00332A3D"/>
    <w:rsid w:val="00332EF1"/>
    <w:rsid w:val="003334DC"/>
    <w:rsid w:val="00334F66"/>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812"/>
    <w:rsid w:val="00346B8D"/>
    <w:rsid w:val="00347473"/>
    <w:rsid w:val="0035007B"/>
    <w:rsid w:val="0035042F"/>
    <w:rsid w:val="003524AD"/>
    <w:rsid w:val="00355D0F"/>
    <w:rsid w:val="0035666C"/>
    <w:rsid w:val="003567AA"/>
    <w:rsid w:val="00361737"/>
    <w:rsid w:val="003631E9"/>
    <w:rsid w:val="00363E4F"/>
    <w:rsid w:val="003644BA"/>
    <w:rsid w:val="00365D6C"/>
    <w:rsid w:val="00366087"/>
    <w:rsid w:val="00367286"/>
    <w:rsid w:val="003675FD"/>
    <w:rsid w:val="0036790A"/>
    <w:rsid w:val="00367F8F"/>
    <w:rsid w:val="003709DA"/>
    <w:rsid w:val="003710C2"/>
    <w:rsid w:val="00371E18"/>
    <w:rsid w:val="00372422"/>
    <w:rsid w:val="00372F79"/>
    <w:rsid w:val="00373495"/>
    <w:rsid w:val="00373813"/>
    <w:rsid w:val="00373C1B"/>
    <w:rsid w:val="00373D78"/>
    <w:rsid w:val="0037404C"/>
    <w:rsid w:val="003770D0"/>
    <w:rsid w:val="00377186"/>
    <w:rsid w:val="00380B7D"/>
    <w:rsid w:val="00380B86"/>
    <w:rsid w:val="00381306"/>
    <w:rsid w:val="0038156A"/>
    <w:rsid w:val="0038164D"/>
    <w:rsid w:val="00382131"/>
    <w:rsid w:val="00382C51"/>
    <w:rsid w:val="00385174"/>
    <w:rsid w:val="00385441"/>
    <w:rsid w:val="003854E8"/>
    <w:rsid w:val="0038685C"/>
    <w:rsid w:val="0038793E"/>
    <w:rsid w:val="00387A3E"/>
    <w:rsid w:val="00387E62"/>
    <w:rsid w:val="003908A0"/>
    <w:rsid w:val="00390BB7"/>
    <w:rsid w:val="00390F80"/>
    <w:rsid w:val="003918EE"/>
    <w:rsid w:val="003921A6"/>
    <w:rsid w:val="00392E3B"/>
    <w:rsid w:val="00393553"/>
    <w:rsid w:val="00393930"/>
    <w:rsid w:val="00393BFD"/>
    <w:rsid w:val="00394906"/>
    <w:rsid w:val="00395C17"/>
    <w:rsid w:val="00396E44"/>
    <w:rsid w:val="00397235"/>
    <w:rsid w:val="0039752F"/>
    <w:rsid w:val="003A0129"/>
    <w:rsid w:val="003A0200"/>
    <w:rsid w:val="003A135D"/>
    <w:rsid w:val="003A24F0"/>
    <w:rsid w:val="003A25AC"/>
    <w:rsid w:val="003A30E3"/>
    <w:rsid w:val="003A358A"/>
    <w:rsid w:val="003A37CF"/>
    <w:rsid w:val="003A3FD8"/>
    <w:rsid w:val="003A49E2"/>
    <w:rsid w:val="003A4E91"/>
    <w:rsid w:val="003A5AA0"/>
    <w:rsid w:val="003B0242"/>
    <w:rsid w:val="003B184A"/>
    <w:rsid w:val="003B1953"/>
    <w:rsid w:val="003B1F80"/>
    <w:rsid w:val="003B2697"/>
    <w:rsid w:val="003B3024"/>
    <w:rsid w:val="003B3679"/>
    <w:rsid w:val="003B48E0"/>
    <w:rsid w:val="003B5280"/>
    <w:rsid w:val="003B54A9"/>
    <w:rsid w:val="003B5556"/>
    <w:rsid w:val="003B60D4"/>
    <w:rsid w:val="003B67E4"/>
    <w:rsid w:val="003B6B49"/>
    <w:rsid w:val="003B6F01"/>
    <w:rsid w:val="003B6FDB"/>
    <w:rsid w:val="003B77BD"/>
    <w:rsid w:val="003B7BD3"/>
    <w:rsid w:val="003C09A2"/>
    <w:rsid w:val="003C0EB4"/>
    <w:rsid w:val="003C19A1"/>
    <w:rsid w:val="003C1DBD"/>
    <w:rsid w:val="003C1E14"/>
    <w:rsid w:val="003C24C0"/>
    <w:rsid w:val="003C2573"/>
    <w:rsid w:val="003C2E90"/>
    <w:rsid w:val="003C3614"/>
    <w:rsid w:val="003C3681"/>
    <w:rsid w:val="003C37BC"/>
    <w:rsid w:val="003C3870"/>
    <w:rsid w:val="003C3957"/>
    <w:rsid w:val="003C3D77"/>
    <w:rsid w:val="003C3EB4"/>
    <w:rsid w:val="003C4449"/>
    <w:rsid w:val="003C4582"/>
    <w:rsid w:val="003C51B6"/>
    <w:rsid w:val="003C5781"/>
    <w:rsid w:val="003C58FE"/>
    <w:rsid w:val="003C64DB"/>
    <w:rsid w:val="003C6CFA"/>
    <w:rsid w:val="003D03FF"/>
    <w:rsid w:val="003D094A"/>
    <w:rsid w:val="003D0C16"/>
    <w:rsid w:val="003D1CD3"/>
    <w:rsid w:val="003D25AE"/>
    <w:rsid w:val="003D2AE7"/>
    <w:rsid w:val="003D2CAA"/>
    <w:rsid w:val="003D3E30"/>
    <w:rsid w:val="003D4042"/>
    <w:rsid w:val="003D413F"/>
    <w:rsid w:val="003D4F73"/>
    <w:rsid w:val="003D6487"/>
    <w:rsid w:val="003D6D6C"/>
    <w:rsid w:val="003D721D"/>
    <w:rsid w:val="003D74E1"/>
    <w:rsid w:val="003D78FC"/>
    <w:rsid w:val="003E05B7"/>
    <w:rsid w:val="003E1248"/>
    <w:rsid w:val="003E196B"/>
    <w:rsid w:val="003E1CD9"/>
    <w:rsid w:val="003E2EE1"/>
    <w:rsid w:val="003E418E"/>
    <w:rsid w:val="003E43FB"/>
    <w:rsid w:val="003E5299"/>
    <w:rsid w:val="003E605A"/>
    <w:rsid w:val="003F00FB"/>
    <w:rsid w:val="003F0486"/>
    <w:rsid w:val="003F0734"/>
    <w:rsid w:val="003F136D"/>
    <w:rsid w:val="003F15E1"/>
    <w:rsid w:val="003F1703"/>
    <w:rsid w:val="003F17F4"/>
    <w:rsid w:val="003F18D0"/>
    <w:rsid w:val="003F1EC7"/>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3984"/>
    <w:rsid w:val="00404453"/>
    <w:rsid w:val="00404CFE"/>
    <w:rsid w:val="004059EB"/>
    <w:rsid w:val="0040642A"/>
    <w:rsid w:val="0040651F"/>
    <w:rsid w:val="004067DB"/>
    <w:rsid w:val="00406B72"/>
    <w:rsid w:val="004100FF"/>
    <w:rsid w:val="00410F83"/>
    <w:rsid w:val="00410FB9"/>
    <w:rsid w:val="00411F09"/>
    <w:rsid w:val="004142F6"/>
    <w:rsid w:val="004143A8"/>
    <w:rsid w:val="004146CC"/>
    <w:rsid w:val="0041507C"/>
    <w:rsid w:val="00416515"/>
    <w:rsid w:val="00417494"/>
    <w:rsid w:val="0041787C"/>
    <w:rsid w:val="00420933"/>
    <w:rsid w:val="00421117"/>
    <w:rsid w:val="00421A4E"/>
    <w:rsid w:val="00421D6D"/>
    <w:rsid w:val="00422449"/>
    <w:rsid w:val="004233FB"/>
    <w:rsid w:val="0042344B"/>
    <w:rsid w:val="00423A55"/>
    <w:rsid w:val="0042489F"/>
    <w:rsid w:val="004266CA"/>
    <w:rsid w:val="0042791E"/>
    <w:rsid w:val="004306BC"/>
    <w:rsid w:val="004309AF"/>
    <w:rsid w:val="00430D30"/>
    <w:rsid w:val="00430D80"/>
    <w:rsid w:val="0043239C"/>
    <w:rsid w:val="00432B60"/>
    <w:rsid w:val="0043326F"/>
    <w:rsid w:val="0043332D"/>
    <w:rsid w:val="00433619"/>
    <w:rsid w:val="0043396E"/>
    <w:rsid w:val="00433CB2"/>
    <w:rsid w:val="00433CD9"/>
    <w:rsid w:val="00433FD8"/>
    <w:rsid w:val="00434515"/>
    <w:rsid w:val="00434BDA"/>
    <w:rsid w:val="0043516D"/>
    <w:rsid w:val="004363AE"/>
    <w:rsid w:val="00436552"/>
    <w:rsid w:val="00437723"/>
    <w:rsid w:val="00437D34"/>
    <w:rsid w:val="00440346"/>
    <w:rsid w:val="0044097A"/>
    <w:rsid w:val="00442BDB"/>
    <w:rsid w:val="00443378"/>
    <w:rsid w:val="00443445"/>
    <w:rsid w:val="004441C3"/>
    <w:rsid w:val="00445291"/>
    <w:rsid w:val="004470E2"/>
    <w:rsid w:val="0044779C"/>
    <w:rsid w:val="004479B6"/>
    <w:rsid w:val="0045217A"/>
    <w:rsid w:val="00452684"/>
    <w:rsid w:val="0045400D"/>
    <w:rsid w:val="0045427D"/>
    <w:rsid w:val="00454484"/>
    <w:rsid w:val="00454D7A"/>
    <w:rsid w:val="00454E08"/>
    <w:rsid w:val="00455FB0"/>
    <w:rsid w:val="004606F4"/>
    <w:rsid w:val="00461A28"/>
    <w:rsid w:val="00461E19"/>
    <w:rsid w:val="004626DC"/>
    <w:rsid w:val="00463111"/>
    <w:rsid w:val="004634CD"/>
    <w:rsid w:val="00463EFF"/>
    <w:rsid w:val="00464D88"/>
    <w:rsid w:val="00465629"/>
    <w:rsid w:val="00466E61"/>
    <w:rsid w:val="004674DD"/>
    <w:rsid w:val="0046783D"/>
    <w:rsid w:val="0046788D"/>
    <w:rsid w:val="00467D78"/>
    <w:rsid w:val="004708DE"/>
    <w:rsid w:val="004709B1"/>
    <w:rsid w:val="00470EB5"/>
    <w:rsid w:val="0047123D"/>
    <w:rsid w:val="00472593"/>
    <w:rsid w:val="00472ED7"/>
    <w:rsid w:val="00473CB4"/>
    <w:rsid w:val="00474F45"/>
    <w:rsid w:val="0047560F"/>
    <w:rsid w:val="004758A2"/>
    <w:rsid w:val="00476A1F"/>
    <w:rsid w:val="00480054"/>
    <w:rsid w:val="004807DC"/>
    <w:rsid w:val="00480BEE"/>
    <w:rsid w:val="00480DFA"/>
    <w:rsid w:val="004810B8"/>
    <w:rsid w:val="0048138A"/>
    <w:rsid w:val="00481450"/>
    <w:rsid w:val="004818C2"/>
    <w:rsid w:val="0048269E"/>
    <w:rsid w:val="0048295A"/>
    <w:rsid w:val="00482CE9"/>
    <w:rsid w:val="004837B4"/>
    <w:rsid w:val="00483B39"/>
    <w:rsid w:val="004847D0"/>
    <w:rsid w:val="004862E7"/>
    <w:rsid w:val="00486844"/>
    <w:rsid w:val="00486E09"/>
    <w:rsid w:val="00486F8C"/>
    <w:rsid w:val="00490281"/>
    <w:rsid w:val="00491882"/>
    <w:rsid w:val="004948F3"/>
    <w:rsid w:val="004949C9"/>
    <w:rsid w:val="00494CF7"/>
    <w:rsid w:val="00495DBC"/>
    <w:rsid w:val="0049768D"/>
    <w:rsid w:val="00497C3C"/>
    <w:rsid w:val="004A0BBD"/>
    <w:rsid w:val="004A1256"/>
    <w:rsid w:val="004A1309"/>
    <w:rsid w:val="004A1BA4"/>
    <w:rsid w:val="004A1F3B"/>
    <w:rsid w:val="004A36C8"/>
    <w:rsid w:val="004A390A"/>
    <w:rsid w:val="004A4D0C"/>
    <w:rsid w:val="004A4D6B"/>
    <w:rsid w:val="004A636A"/>
    <w:rsid w:val="004A694E"/>
    <w:rsid w:val="004A75AA"/>
    <w:rsid w:val="004A78E3"/>
    <w:rsid w:val="004A7C9A"/>
    <w:rsid w:val="004B0A53"/>
    <w:rsid w:val="004B1B8E"/>
    <w:rsid w:val="004B23B0"/>
    <w:rsid w:val="004B2F9F"/>
    <w:rsid w:val="004B3487"/>
    <w:rsid w:val="004B3E9E"/>
    <w:rsid w:val="004B4939"/>
    <w:rsid w:val="004B4B95"/>
    <w:rsid w:val="004B4CDB"/>
    <w:rsid w:val="004B6069"/>
    <w:rsid w:val="004B62CF"/>
    <w:rsid w:val="004B7A1D"/>
    <w:rsid w:val="004C05B4"/>
    <w:rsid w:val="004C08BE"/>
    <w:rsid w:val="004C09FD"/>
    <w:rsid w:val="004C168F"/>
    <w:rsid w:val="004C16E8"/>
    <w:rsid w:val="004C170F"/>
    <w:rsid w:val="004C2A9D"/>
    <w:rsid w:val="004C392A"/>
    <w:rsid w:val="004C3E5A"/>
    <w:rsid w:val="004C4A2E"/>
    <w:rsid w:val="004C638F"/>
    <w:rsid w:val="004C6641"/>
    <w:rsid w:val="004C69B5"/>
    <w:rsid w:val="004C6CED"/>
    <w:rsid w:val="004C71E1"/>
    <w:rsid w:val="004D007B"/>
    <w:rsid w:val="004D03B3"/>
    <w:rsid w:val="004D1076"/>
    <w:rsid w:val="004D1343"/>
    <w:rsid w:val="004D2851"/>
    <w:rsid w:val="004D2A90"/>
    <w:rsid w:val="004D3D21"/>
    <w:rsid w:val="004D400A"/>
    <w:rsid w:val="004D4861"/>
    <w:rsid w:val="004D4984"/>
    <w:rsid w:val="004D4B77"/>
    <w:rsid w:val="004D4DCA"/>
    <w:rsid w:val="004D5129"/>
    <w:rsid w:val="004D5B37"/>
    <w:rsid w:val="004D7505"/>
    <w:rsid w:val="004D7A7F"/>
    <w:rsid w:val="004E01A2"/>
    <w:rsid w:val="004E05E2"/>
    <w:rsid w:val="004E0BFC"/>
    <w:rsid w:val="004E0DE1"/>
    <w:rsid w:val="004E1648"/>
    <w:rsid w:val="004E17E1"/>
    <w:rsid w:val="004E1E18"/>
    <w:rsid w:val="004E2C82"/>
    <w:rsid w:val="004E2CFA"/>
    <w:rsid w:val="004E3310"/>
    <w:rsid w:val="004E36E2"/>
    <w:rsid w:val="004E4D21"/>
    <w:rsid w:val="004E5469"/>
    <w:rsid w:val="004E5E66"/>
    <w:rsid w:val="004E65AF"/>
    <w:rsid w:val="004F0344"/>
    <w:rsid w:val="004F0751"/>
    <w:rsid w:val="004F0EBA"/>
    <w:rsid w:val="004F11E5"/>
    <w:rsid w:val="004F1270"/>
    <w:rsid w:val="004F1365"/>
    <w:rsid w:val="004F1534"/>
    <w:rsid w:val="004F1C95"/>
    <w:rsid w:val="004F25CC"/>
    <w:rsid w:val="004F272B"/>
    <w:rsid w:val="004F42E7"/>
    <w:rsid w:val="004F47DF"/>
    <w:rsid w:val="004F50A3"/>
    <w:rsid w:val="004F55BA"/>
    <w:rsid w:val="004F5EC4"/>
    <w:rsid w:val="004F6C25"/>
    <w:rsid w:val="004F7B92"/>
    <w:rsid w:val="004F7BB1"/>
    <w:rsid w:val="00501565"/>
    <w:rsid w:val="00501B6B"/>
    <w:rsid w:val="005020AE"/>
    <w:rsid w:val="0050270E"/>
    <w:rsid w:val="00502A3B"/>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17616"/>
    <w:rsid w:val="0052070A"/>
    <w:rsid w:val="00520E14"/>
    <w:rsid w:val="0052158D"/>
    <w:rsid w:val="00521C41"/>
    <w:rsid w:val="00521FC2"/>
    <w:rsid w:val="00523B21"/>
    <w:rsid w:val="005245FB"/>
    <w:rsid w:val="0052496C"/>
    <w:rsid w:val="00524B1B"/>
    <w:rsid w:val="00525A4A"/>
    <w:rsid w:val="00525D2A"/>
    <w:rsid w:val="00526204"/>
    <w:rsid w:val="00527418"/>
    <w:rsid w:val="00527866"/>
    <w:rsid w:val="00530959"/>
    <w:rsid w:val="005315E5"/>
    <w:rsid w:val="00533B23"/>
    <w:rsid w:val="00533EF1"/>
    <w:rsid w:val="00533F86"/>
    <w:rsid w:val="005344D0"/>
    <w:rsid w:val="00537591"/>
    <w:rsid w:val="00537B92"/>
    <w:rsid w:val="00537DF9"/>
    <w:rsid w:val="00540997"/>
    <w:rsid w:val="00540E13"/>
    <w:rsid w:val="00541AB6"/>
    <w:rsid w:val="0054244E"/>
    <w:rsid w:val="00544118"/>
    <w:rsid w:val="005442FD"/>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6755"/>
    <w:rsid w:val="00556802"/>
    <w:rsid w:val="00556BD8"/>
    <w:rsid w:val="00557D6B"/>
    <w:rsid w:val="00557FF3"/>
    <w:rsid w:val="00560BDC"/>
    <w:rsid w:val="00561BC8"/>
    <w:rsid w:val="0056302F"/>
    <w:rsid w:val="00563974"/>
    <w:rsid w:val="00563CE2"/>
    <w:rsid w:val="00564239"/>
    <w:rsid w:val="005642B7"/>
    <w:rsid w:val="00564563"/>
    <w:rsid w:val="005651E0"/>
    <w:rsid w:val="00565A01"/>
    <w:rsid w:val="005661BE"/>
    <w:rsid w:val="005665C3"/>
    <w:rsid w:val="00566656"/>
    <w:rsid w:val="00566D9B"/>
    <w:rsid w:val="0057057E"/>
    <w:rsid w:val="00571AEF"/>
    <w:rsid w:val="00571D94"/>
    <w:rsid w:val="00571F90"/>
    <w:rsid w:val="00572594"/>
    <w:rsid w:val="0057278B"/>
    <w:rsid w:val="00572A1B"/>
    <w:rsid w:val="00572DD7"/>
    <w:rsid w:val="00572EF6"/>
    <w:rsid w:val="0057327C"/>
    <w:rsid w:val="00573849"/>
    <w:rsid w:val="00574020"/>
    <w:rsid w:val="005775FE"/>
    <w:rsid w:val="005809F6"/>
    <w:rsid w:val="00584DEB"/>
    <w:rsid w:val="00585BB2"/>
    <w:rsid w:val="00586948"/>
    <w:rsid w:val="00587372"/>
    <w:rsid w:val="0058766E"/>
    <w:rsid w:val="005879F2"/>
    <w:rsid w:val="00587E33"/>
    <w:rsid w:val="0059151B"/>
    <w:rsid w:val="00591896"/>
    <w:rsid w:val="00591A61"/>
    <w:rsid w:val="00592134"/>
    <w:rsid w:val="00592351"/>
    <w:rsid w:val="00592472"/>
    <w:rsid w:val="00592644"/>
    <w:rsid w:val="00592D78"/>
    <w:rsid w:val="0059465D"/>
    <w:rsid w:val="00594AD8"/>
    <w:rsid w:val="00596396"/>
    <w:rsid w:val="005964D6"/>
    <w:rsid w:val="00597808"/>
    <w:rsid w:val="005979E2"/>
    <w:rsid w:val="005A0B57"/>
    <w:rsid w:val="005A155A"/>
    <w:rsid w:val="005A1926"/>
    <w:rsid w:val="005A2318"/>
    <w:rsid w:val="005A3A5E"/>
    <w:rsid w:val="005A5933"/>
    <w:rsid w:val="005A5C7F"/>
    <w:rsid w:val="005A662D"/>
    <w:rsid w:val="005A711C"/>
    <w:rsid w:val="005A7582"/>
    <w:rsid w:val="005A77AF"/>
    <w:rsid w:val="005A7B39"/>
    <w:rsid w:val="005B041E"/>
    <w:rsid w:val="005B0F70"/>
    <w:rsid w:val="005B1227"/>
    <w:rsid w:val="005B163D"/>
    <w:rsid w:val="005B1BDA"/>
    <w:rsid w:val="005B1CB8"/>
    <w:rsid w:val="005B2176"/>
    <w:rsid w:val="005B2405"/>
    <w:rsid w:val="005B314D"/>
    <w:rsid w:val="005B485C"/>
    <w:rsid w:val="005B4A8A"/>
    <w:rsid w:val="005B594E"/>
    <w:rsid w:val="005B5A0A"/>
    <w:rsid w:val="005B742D"/>
    <w:rsid w:val="005B7B14"/>
    <w:rsid w:val="005B7B34"/>
    <w:rsid w:val="005C26D2"/>
    <w:rsid w:val="005C3071"/>
    <w:rsid w:val="005C3BDA"/>
    <w:rsid w:val="005C4350"/>
    <w:rsid w:val="005C437D"/>
    <w:rsid w:val="005C51E1"/>
    <w:rsid w:val="005C540E"/>
    <w:rsid w:val="005C58C8"/>
    <w:rsid w:val="005C636C"/>
    <w:rsid w:val="005C6F49"/>
    <w:rsid w:val="005D058D"/>
    <w:rsid w:val="005D0657"/>
    <w:rsid w:val="005D0E49"/>
    <w:rsid w:val="005D1EA0"/>
    <w:rsid w:val="005D1F7C"/>
    <w:rsid w:val="005D27C9"/>
    <w:rsid w:val="005D2DF2"/>
    <w:rsid w:val="005D3306"/>
    <w:rsid w:val="005D391D"/>
    <w:rsid w:val="005D5262"/>
    <w:rsid w:val="005D6946"/>
    <w:rsid w:val="005D7148"/>
    <w:rsid w:val="005D7606"/>
    <w:rsid w:val="005D78A6"/>
    <w:rsid w:val="005D79E3"/>
    <w:rsid w:val="005D7C82"/>
    <w:rsid w:val="005E09DF"/>
    <w:rsid w:val="005E0C3F"/>
    <w:rsid w:val="005E1581"/>
    <w:rsid w:val="005E1BF9"/>
    <w:rsid w:val="005E2C8E"/>
    <w:rsid w:val="005E30B2"/>
    <w:rsid w:val="005E446E"/>
    <w:rsid w:val="005E4883"/>
    <w:rsid w:val="005E4CEA"/>
    <w:rsid w:val="005E6AA5"/>
    <w:rsid w:val="005E7DF8"/>
    <w:rsid w:val="005F0775"/>
    <w:rsid w:val="005F0DAB"/>
    <w:rsid w:val="005F2609"/>
    <w:rsid w:val="005F2A8D"/>
    <w:rsid w:val="005F411E"/>
    <w:rsid w:val="005F577C"/>
    <w:rsid w:val="005F6DC8"/>
    <w:rsid w:val="005F76C3"/>
    <w:rsid w:val="00600A48"/>
    <w:rsid w:val="00601B12"/>
    <w:rsid w:val="00601F0F"/>
    <w:rsid w:val="006036B7"/>
    <w:rsid w:val="00603A47"/>
    <w:rsid w:val="0060472D"/>
    <w:rsid w:val="006049B6"/>
    <w:rsid w:val="006056C4"/>
    <w:rsid w:val="00605756"/>
    <w:rsid w:val="00605EF2"/>
    <w:rsid w:val="006060D0"/>
    <w:rsid w:val="006065BA"/>
    <w:rsid w:val="00607643"/>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519"/>
    <w:rsid w:val="006166A7"/>
    <w:rsid w:val="00616BDC"/>
    <w:rsid w:val="00617612"/>
    <w:rsid w:val="00621388"/>
    <w:rsid w:val="006219C1"/>
    <w:rsid w:val="00621A32"/>
    <w:rsid w:val="00621BFC"/>
    <w:rsid w:val="00621F71"/>
    <w:rsid w:val="00622E2B"/>
    <w:rsid w:val="00623EAD"/>
    <w:rsid w:val="00624398"/>
    <w:rsid w:val="006254D3"/>
    <w:rsid w:val="00630315"/>
    <w:rsid w:val="00630EAD"/>
    <w:rsid w:val="00631202"/>
    <w:rsid w:val="006315E0"/>
    <w:rsid w:val="00631C52"/>
    <w:rsid w:val="00632256"/>
    <w:rsid w:val="006336B2"/>
    <w:rsid w:val="00633834"/>
    <w:rsid w:val="006338CF"/>
    <w:rsid w:val="00634919"/>
    <w:rsid w:val="00634A84"/>
    <w:rsid w:val="00634ABB"/>
    <w:rsid w:val="00634C03"/>
    <w:rsid w:val="0063512A"/>
    <w:rsid w:val="0063527A"/>
    <w:rsid w:val="00635B8A"/>
    <w:rsid w:val="00636B02"/>
    <w:rsid w:val="0063728F"/>
    <w:rsid w:val="00637B19"/>
    <w:rsid w:val="00637DBB"/>
    <w:rsid w:val="00640E94"/>
    <w:rsid w:val="00640EA0"/>
    <w:rsid w:val="00641675"/>
    <w:rsid w:val="00641CBB"/>
    <w:rsid w:val="0064220D"/>
    <w:rsid w:val="006423BF"/>
    <w:rsid w:val="00643350"/>
    <w:rsid w:val="00643E30"/>
    <w:rsid w:val="006450C5"/>
    <w:rsid w:val="006455A2"/>
    <w:rsid w:val="00646A22"/>
    <w:rsid w:val="00647710"/>
    <w:rsid w:val="00647EC4"/>
    <w:rsid w:val="00650CC9"/>
    <w:rsid w:val="006511CF"/>
    <w:rsid w:val="00652927"/>
    <w:rsid w:val="00652CDE"/>
    <w:rsid w:val="0065336B"/>
    <w:rsid w:val="0065388B"/>
    <w:rsid w:val="00653E0A"/>
    <w:rsid w:val="00654354"/>
    <w:rsid w:val="00654A70"/>
    <w:rsid w:val="00655A63"/>
    <w:rsid w:val="00655E60"/>
    <w:rsid w:val="00657F91"/>
    <w:rsid w:val="006604D2"/>
    <w:rsid w:val="0066089E"/>
    <w:rsid w:val="00660D21"/>
    <w:rsid w:val="00661220"/>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68FF"/>
    <w:rsid w:val="00676F65"/>
    <w:rsid w:val="0067782C"/>
    <w:rsid w:val="006806DF"/>
    <w:rsid w:val="00680A76"/>
    <w:rsid w:val="006811D1"/>
    <w:rsid w:val="006819F1"/>
    <w:rsid w:val="00681AF1"/>
    <w:rsid w:val="00681E92"/>
    <w:rsid w:val="00683198"/>
    <w:rsid w:val="006849CC"/>
    <w:rsid w:val="00684CEA"/>
    <w:rsid w:val="00685692"/>
    <w:rsid w:val="00685834"/>
    <w:rsid w:val="006863FB"/>
    <w:rsid w:val="00687122"/>
    <w:rsid w:val="006871DF"/>
    <w:rsid w:val="0068740D"/>
    <w:rsid w:val="006874DF"/>
    <w:rsid w:val="00687B3E"/>
    <w:rsid w:val="00687BB4"/>
    <w:rsid w:val="006902CB"/>
    <w:rsid w:val="006936D1"/>
    <w:rsid w:val="00693729"/>
    <w:rsid w:val="00693AE1"/>
    <w:rsid w:val="00693C4C"/>
    <w:rsid w:val="00693C60"/>
    <w:rsid w:val="00693F86"/>
    <w:rsid w:val="0069502F"/>
    <w:rsid w:val="00696255"/>
    <w:rsid w:val="006971DB"/>
    <w:rsid w:val="00697BE3"/>
    <w:rsid w:val="006A01EE"/>
    <w:rsid w:val="006A192F"/>
    <w:rsid w:val="006A1CA4"/>
    <w:rsid w:val="006A262E"/>
    <w:rsid w:val="006A26EC"/>
    <w:rsid w:val="006A2A87"/>
    <w:rsid w:val="006A31F3"/>
    <w:rsid w:val="006A36EB"/>
    <w:rsid w:val="006A3DBA"/>
    <w:rsid w:val="006A5744"/>
    <w:rsid w:val="006A716E"/>
    <w:rsid w:val="006A74F5"/>
    <w:rsid w:val="006A7DEB"/>
    <w:rsid w:val="006A7F43"/>
    <w:rsid w:val="006B0268"/>
    <w:rsid w:val="006B0F45"/>
    <w:rsid w:val="006B146E"/>
    <w:rsid w:val="006B16C0"/>
    <w:rsid w:val="006B2755"/>
    <w:rsid w:val="006B40A8"/>
    <w:rsid w:val="006B4712"/>
    <w:rsid w:val="006B4C1E"/>
    <w:rsid w:val="006B50D3"/>
    <w:rsid w:val="006B5757"/>
    <w:rsid w:val="006B79D5"/>
    <w:rsid w:val="006C03DD"/>
    <w:rsid w:val="006C1516"/>
    <w:rsid w:val="006C15B5"/>
    <w:rsid w:val="006C1BFE"/>
    <w:rsid w:val="006C25C2"/>
    <w:rsid w:val="006C2AE1"/>
    <w:rsid w:val="006C2ED2"/>
    <w:rsid w:val="006C35AC"/>
    <w:rsid w:val="006C3EAD"/>
    <w:rsid w:val="006C4F89"/>
    <w:rsid w:val="006C7507"/>
    <w:rsid w:val="006C793A"/>
    <w:rsid w:val="006C7E78"/>
    <w:rsid w:val="006D065D"/>
    <w:rsid w:val="006D07F2"/>
    <w:rsid w:val="006D0B59"/>
    <w:rsid w:val="006D3435"/>
    <w:rsid w:val="006D478A"/>
    <w:rsid w:val="006D48DF"/>
    <w:rsid w:val="006D5D2B"/>
    <w:rsid w:val="006D6D2C"/>
    <w:rsid w:val="006E034B"/>
    <w:rsid w:val="006E041D"/>
    <w:rsid w:val="006E08AF"/>
    <w:rsid w:val="006E159E"/>
    <w:rsid w:val="006E1B73"/>
    <w:rsid w:val="006E38DF"/>
    <w:rsid w:val="006E39DE"/>
    <w:rsid w:val="006E3A4D"/>
    <w:rsid w:val="006E3B59"/>
    <w:rsid w:val="006E3F70"/>
    <w:rsid w:val="006E42AB"/>
    <w:rsid w:val="006E4E94"/>
    <w:rsid w:val="006E5139"/>
    <w:rsid w:val="006E670F"/>
    <w:rsid w:val="006E73FB"/>
    <w:rsid w:val="006E7532"/>
    <w:rsid w:val="006F0464"/>
    <w:rsid w:val="006F0CA7"/>
    <w:rsid w:val="006F0EC2"/>
    <w:rsid w:val="006F0F09"/>
    <w:rsid w:val="006F1335"/>
    <w:rsid w:val="006F1665"/>
    <w:rsid w:val="006F268B"/>
    <w:rsid w:val="006F49CF"/>
    <w:rsid w:val="006F4B75"/>
    <w:rsid w:val="006F5553"/>
    <w:rsid w:val="006F58D6"/>
    <w:rsid w:val="006F741F"/>
    <w:rsid w:val="006F7D63"/>
    <w:rsid w:val="00700ABC"/>
    <w:rsid w:val="00700AF8"/>
    <w:rsid w:val="007027F0"/>
    <w:rsid w:val="00702F60"/>
    <w:rsid w:val="0070392A"/>
    <w:rsid w:val="00704232"/>
    <w:rsid w:val="00704B71"/>
    <w:rsid w:val="007068E6"/>
    <w:rsid w:val="00706B06"/>
    <w:rsid w:val="00706C38"/>
    <w:rsid w:val="007112A2"/>
    <w:rsid w:val="00711ECD"/>
    <w:rsid w:val="00711F8C"/>
    <w:rsid w:val="00713452"/>
    <w:rsid w:val="007134DF"/>
    <w:rsid w:val="00713509"/>
    <w:rsid w:val="007138BD"/>
    <w:rsid w:val="00714AFD"/>
    <w:rsid w:val="0071570C"/>
    <w:rsid w:val="00716292"/>
    <w:rsid w:val="00717052"/>
    <w:rsid w:val="007175A8"/>
    <w:rsid w:val="00720429"/>
    <w:rsid w:val="0072162E"/>
    <w:rsid w:val="00722EC7"/>
    <w:rsid w:val="0072310A"/>
    <w:rsid w:val="007234D6"/>
    <w:rsid w:val="00723BF3"/>
    <w:rsid w:val="0072459E"/>
    <w:rsid w:val="00724B12"/>
    <w:rsid w:val="00724C25"/>
    <w:rsid w:val="007259B3"/>
    <w:rsid w:val="00726952"/>
    <w:rsid w:val="007272EF"/>
    <w:rsid w:val="007274CD"/>
    <w:rsid w:val="00730C4A"/>
    <w:rsid w:val="0073104F"/>
    <w:rsid w:val="007324FB"/>
    <w:rsid w:val="0073473E"/>
    <w:rsid w:val="007347E6"/>
    <w:rsid w:val="00734EBA"/>
    <w:rsid w:val="0073748D"/>
    <w:rsid w:val="00740802"/>
    <w:rsid w:val="00741A4C"/>
    <w:rsid w:val="00741D0C"/>
    <w:rsid w:val="0074206F"/>
    <w:rsid w:val="00742AAF"/>
    <w:rsid w:val="00743A49"/>
    <w:rsid w:val="00745606"/>
    <w:rsid w:val="00745B9C"/>
    <w:rsid w:val="007464C7"/>
    <w:rsid w:val="0074780F"/>
    <w:rsid w:val="007479D7"/>
    <w:rsid w:val="00747E79"/>
    <w:rsid w:val="007500C0"/>
    <w:rsid w:val="0075114A"/>
    <w:rsid w:val="00751275"/>
    <w:rsid w:val="0075223F"/>
    <w:rsid w:val="00752492"/>
    <w:rsid w:val="00752EBB"/>
    <w:rsid w:val="00754552"/>
    <w:rsid w:val="007547FF"/>
    <w:rsid w:val="0075570F"/>
    <w:rsid w:val="00756AAC"/>
    <w:rsid w:val="00760094"/>
    <w:rsid w:val="007608D1"/>
    <w:rsid w:val="00761068"/>
    <w:rsid w:val="0076163B"/>
    <w:rsid w:val="00761722"/>
    <w:rsid w:val="007617F5"/>
    <w:rsid w:val="00761E8E"/>
    <w:rsid w:val="00761FDD"/>
    <w:rsid w:val="007630E5"/>
    <w:rsid w:val="007634AB"/>
    <w:rsid w:val="0076353F"/>
    <w:rsid w:val="00764DAF"/>
    <w:rsid w:val="007655DA"/>
    <w:rsid w:val="00765BC2"/>
    <w:rsid w:val="00766E6C"/>
    <w:rsid w:val="007706E4"/>
    <w:rsid w:val="00770765"/>
    <w:rsid w:val="00771706"/>
    <w:rsid w:val="00771ADE"/>
    <w:rsid w:val="00771B62"/>
    <w:rsid w:val="0077270E"/>
    <w:rsid w:val="00772CF4"/>
    <w:rsid w:val="0077386A"/>
    <w:rsid w:val="00774547"/>
    <w:rsid w:val="00774F17"/>
    <w:rsid w:val="0077523D"/>
    <w:rsid w:val="007754FB"/>
    <w:rsid w:val="007773E2"/>
    <w:rsid w:val="00777698"/>
    <w:rsid w:val="007777E6"/>
    <w:rsid w:val="00777CEF"/>
    <w:rsid w:val="00777E1F"/>
    <w:rsid w:val="00780212"/>
    <w:rsid w:val="0078087C"/>
    <w:rsid w:val="0078122C"/>
    <w:rsid w:val="007816E1"/>
    <w:rsid w:val="0078192B"/>
    <w:rsid w:val="007824BC"/>
    <w:rsid w:val="0078337F"/>
    <w:rsid w:val="00783B6C"/>
    <w:rsid w:val="00784F4E"/>
    <w:rsid w:val="007851CE"/>
    <w:rsid w:val="007853ED"/>
    <w:rsid w:val="00785BD9"/>
    <w:rsid w:val="00786F84"/>
    <w:rsid w:val="00787117"/>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96F02"/>
    <w:rsid w:val="00797F7B"/>
    <w:rsid w:val="007A0359"/>
    <w:rsid w:val="007A038A"/>
    <w:rsid w:val="007A09DE"/>
    <w:rsid w:val="007A1265"/>
    <w:rsid w:val="007A1C62"/>
    <w:rsid w:val="007A494F"/>
    <w:rsid w:val="007A50D7"/>
    <w:rsid w:val="007A5685"/>
    <w:rsid w:val="007B0D7A"/>
    <w:rsid w:val="007B105B"/>
    <w:rsid w:val="007B1A40"/>
    <w:rsid w:val="007B330C"/>
    <w:rsid w:val="007B33B7"/>
    <w:rsid w:val="007B3B09"/>
    <w:rsid w:val="007B4DA0"/>
    <w:rsid w:val="007B5128"/>
    <w:rsid w:val="007B6691"/>
    <w:rsid w:val="007B7275"/>
    <w:rsid w:val="007B7744"/>
    <w:rsid w:val="007B796B"/>
    <w:rsid w:val="007C0025"/>
    <w:rsid w:val="007C06D7"/>
    <w:rsid w:val="007C0F09"/>
    <w:rsid w:val="007C14BE"/>
    <w:rsid w:val="007C1CE4"/>
    <w:rsid w:val="007C341F"/>
    <w:rsid w:val="007C3BA4"/>
    <w:rsid w:val="007C3DA2"/>
    <w:rsid w:val="007C4069"/>
    <w:rsid w:val="007C4EEE"/>
    <w:rsid w:val="007C56FC"/>
    <w:rsid w:val="007C6142"/>
    <w:rsid w:val="007C7110"/>
    <w:rsid w:val="007C7EDA"/>
    <w:rsid w:val="007C7F4B"/>
    <w:rsid w:val="007D0116"/>
    <w:rsid w:val="007D1AE8"/>
    <w:rsid w:val="007D1FD1"/>
    <w:rsid w:val="007D2984"/>
    <w:rsid w:val="007D2AFF"/>
    <w:rsid w:val="007D385E"/>
    <w:rsid w:val="007D38A6"/>
    <w:rsid w:val="007D38C7"/>
    <w:rsid w:val="007D422A"/>
    <w:rsid w:val="007D4D04"/>
    <w:rsid w:val="007D4E77"/>
    <w:rsid w:val="007D56A5"/>
    <w:rsid w:val="007D7052"/>
    <w:rsid w:val="007D728F"/>
    <w:rsid w:val="007D792A"/>
    <w:rsid w:val="007D7C2F"/>
    <w:rsid w:val="007E00FF"/>
    <w:rsid w:val="007E026B"/>
    <w:rsid w:val="007E09D2"/>
    <w:rsid w:val="007E1066"/>
    <w:rsid w:val="007E1502"/>
    <w:rsid w:val="007E1589"/>
    <w:rsid w:val="007E28A2"/>
    <w:rsid w:val="007E36BD"/>
    <w:rsid w:val="007E37E0"/>
    <w:rsid w:val="007E4303"/>
    <w:rsid w:val="007E43B3"/>
    <w:rsid w:val="007E45D1"/>
    <w:rsid w:val="007E5687"/>
    <w:rsid w:val="007E572D"/>
    <w:rsid w:val="007E5D84"/>
    <w:rsid w:val="007E5F4F"/>
    <w:rsid w:val="007E6292"/>
    <w:rsid w:val="007E637E"/>
    <w:rsid w:val="007E64EB"/>
    <w:rsid w:val="007E652E"/>
    <w:rsid w:val="007E689E"/>
    <w:rsid w:val="007E692E"/>
    <w:rsid w:val="007E7301"/>
    <w:rsid w:val="007E76AC"/>
    <w:rsid w:val="007E78AF"/>
    <w:rsid w:val="007E7DB7"/>
    <w:rsid w:val="007F06EF"/>
    <w:rsid w:val="007F1060"/>
    <w:rsid w:val="007F1B32"/>
    <w:rsid w:val="007F1C42"/>
    <w:rsid w:val="007F1DA1"/>
    <w:rsid w:val="007F274C"/>
    <w:rsid w:val="007F2833"/>
    <w:rsid w:val="007F3EA4"/>
    <w:rsid w:val="007F4174"/>
    <w:rsid w:val="007F4487"/>
    <w:rsid w:val="007F588F"/>
    <w:rsid w:val="007F6A9D"/>
    <w:rsid w:val="007F6C03"/>
    <w:rsid w:val="007F7E67"/>
    <w:rsid w:val="00801927"/>
    <w:rsid w:val="00802407"/>
    <w:rsid w:val="00802ACC"/>
    <w:rsid w:val="008033A1"/>
    <w:rsid w:val="0080382F"/>
    <w:rsid w:val="008045DC"/>
    <w:rsid w:val="00804F08"/>
    <w:rsid w:val="008061CB"/>
    <w:rsid w:val="00806549"/>
    <w:rsid w:val="008069EB"/>
    <w:rsid w:val="00806FD6"/>
    <w:rsid w:val="0080732C"/>
    <w:rsid w:val="00807920"/>
    <w:rsid w:val="00807DC6"/>
    <w:rsid w:val="008108AB"/>
    <w:rsid w:val="008110A5"/>
    <w:rsid w:val="0081126A"/>
    <w:rsid w:val="0081183A"/>
    <w:rsid w:val="00812215"/>
    <w:rsid w:val="008122C6"/>
    <w:rsid w:val="00812D69"/>
    <w:rsid w:val="00813661"/>
    <w:rsid w:val="00813CC7"/>
    <w:rsid w:val="00814B2E"/>
    <w:rsid w:val="008171E7"/>
    <w:rsid w:val="00817414"/>
    <w:rsid w:val="00821648"/>
    <w:rsid w:val="00821C61"/>
    <w:rsid w:val="00822FAA"/>
    <w:rsid w:val="008232C8"/>
    <w:rsid w:val="008244E3"/>
    <w:rsid w:val="008254AA"/>
    <w:rsid w:val="0082555B"/>
    <w:rsid w:val="008261C3"/>
    <w:rsid w:val="008272EF"/>
    <w:rsid w:val="00827622"/>
    <w:rsid w:val="008279D0"/>
    <w:rsid w:val="008300E7"/>
    <w:rsid w:val="00830547"/>
    <w:rsid w:val="00831B3D"/>
    <w:rsid w:val="00831C37"/>
    <w:rsid w:val="0083228E"/>
    <w:rsid w:val="00832B64"/>
    <w:rsid w:val="00834814"/>
    <w:rsid w:val="00834A08"/>
    <w:rsid w:val="008355D2"/>
    <w:rsid w:val="00835D28"/>
    <w:rsid w:val="008360C6"/>
    <w:rsid w:val="0083638D"/>
    <w:rsid w:val="00836702"/>
    <w:rsid w:val="00837E3B"/>
    <w:rsid w:val="00840CFB"/>
    <w:rsid w:val="00841812"/>
    <w:rsid w:val="008418FE"/>
    <w:rsid w:val="008426C6"/>
    <w:rsid w:val="00843E53"/>
    <w:rsid w:val="00844ABF"/>
    <w:rsid w:val="00845A09"/>
    <w:rsid w:val="00846025"/>
    <w:rsid w:val="0084663C"/>
    <w:rsid w:val="0084669B"/>
    <w:rsid w:val="00847364"/>
    <w:rsid w:val="00850210"/>
    <w:rsid w:val="00850735"/>
    <w:rsid w:val="008507D1"/>
    <w:rsid w:val="00851207"/>
    <w:rsid w:val="0085187B"/>
    <w:rsid w:val="00851D77"/>
    <w:rsid w:val="008520E5"/>
    <w:rsid w:val="00852A67"/>
    <w:rsid w:val="008552BC"/>
    <w:rsid w:val="008554E1"/>
    <w:rsid w:val="008560AA"/>
    <w:rsid w:val="008578AC"/>
    <w:rsid w:val="00857BD0"/>
    <w:rsid w:val="00857C4F"/>
    <w:rsid w:val="00861015"/>
    <w:rsid w:val="008622E6"/>
    <w:rsid w:val="00862C8F"/>
    <w:rsid w:val="00863939"/>
    <w:rsid w:val="00863A3D"/>
    <w:rsid w:val="00863AE4"/>
    <w:rsid w:val="00864908"/>
    <w:rsid w:val="00864D19"/>
    <w:rsid w:val="00864D3F"/>
    <w:rsid w:val="008658CA"/>
    <w:rsid w:val="008659FF"/>
    <w:rsid w:val="00865CB6"/>
    <w:rsid w:val="00865FB3"/>
    <w:rsid w:val="008664D0"/>
    <w:rsid w:val="00866641"/>
    <w:rsid w:val="008675E3"/>
    <w:rsid w:val="008702B7"/>
    <w:rsid w:val="00870468"/>
    <w:rsid w:val="008707B7"/>
    <w:rsid w:val="00871BA3"/>
    <w:rsid w:val="00872887"/>
    <w:rsid w:val="0087325E"/>
    <w:rsid w:val="00873862"/>
    <w:rsid w:val="00874669"/>
    <w:rsid w:val="00876DA2"/>
    <w:rsid w:val="00877BC0"/>
    <w:rsid w:val="00881A27"/>
    <w:rsid w:val="00881C60"/>
    <w:rsid w:val="00882659"/>
    <w:rsid w:val="008827A7"/>
    <w:rsid w:val="00884379"/>
    <w:rsid w:val="0088470E"/>
    <w:rsid w:val="00884985"/>
    <w:rsid w:val="00885BEC"/>
    <w:rsid w:val="00885F68"/>
    <w:rsid w:val="00886451"/>
    <w:rsid w:val="008906F3"/>
    <w:rsid w:val="0089212C"/>
    <w:rsid w:val="00892520"/>
    <w:rsid w:val="0089433E"/>
    <w:rsid w:val="008948DC"/>
    <w:rsid w:val="0089595B"/>
    <w:rsid w:val="00895F7C"/>
    <w:rsid w:val="00896299"/>
    <w:rsid w:val="00896CD7"/>
    <w:rsid w:val="008978DD"/>
    <w:rsid w:val="00897A6D"/>
    <w:rsid w:val="008A0B3E"/>
    <w:rsid w:val="008A1B85"/>
    <w:rsid w:val="008A1F10"/>
    <w:rsid w:val="008A288C"/>
    <w:rsid w:val="008A2EDB"/>
    <w:rsid w:val="008A3D79"/>
    <w:rsid w:val="008A5E4E"/>
    <w:rsid w:val="008A606D"/>
    <w:rsid w:val="008A61EE"/>
    <w:rsid w:val="008A66A7"/>
    <w:rsid w:val="008A6B5F"/>
    <w:rsid w:val="008A70F5"/>
    <w:rsid w:val="008A7CA1"/>
    <w:rsid w:val="008A7F35"/>
    <w:rsid w:val="008B0C45"/>
    <w:rsid w:val="008B0D24"/>
    <w:rsid w:val="008B25E3"/>
    <w:rsid w:val="008B3609"/>
    <w:rsid w:val="008B3D6F"/>
    <w:rsid w:val="008B42DE"/>
    <w:rsid w:val="008B44CD"/>
    <w:rsid w:val="008B66C3"/>
    <w:rsid w:val="008B6B95"/>
    <w:rsid w:val="008B7304"/>
    <w:rsid w:val="008B7A42"/>
    <w:rsid w:val="008B7B64"/>
    <w:rsid w:val="008B7CEE"/>
    <w:rsid w:val="008C0615"/>
    <w:rsid w:val="008C0ECF"/>
    <w:rsid w:val="008C10C0"/>
    <w:rsid w:val="008C1BAC"/>
    <w:rsid w:val="008C20FF"/>
    <w:rsid w:val="008C2399"/>
    <w:rsid w:val="008C4586"/>
    <w:rsid w:val="008C4AE3"/>
    <w:rsid w:val="008C5422"/>
    <w:rsid w:val="008C589D"/>
    <w:rsid w:val="008C5A08"/>
    <w:rsid w:val="008C5DCB"/>
    <w:rsid w:val="008C5F34"/>
    <w:rsid w:val="008C69DB"/>
    <w:rsid w:val="008C7983"/>
    <w:rsid w:val="008C79FE"/>
    <w:rsid w:val="008D03EA"/>
    <w:rsid w:val="008D06F8"/>
    <w:rsid w:val="008D0918"/>
    <w:rsid w:val="008D0A55"/>
    <w:rsid w:val="008D1AC1"/>
    <w:rsid w:val="008D3FE1"/>
    <w:rsid w:val="008D428E"/>
    <w:rsid w:val="008D4C23"/>
    <w:rsid w:val="008D5499"/>
    <w:rsid w:val="008D5784"/>
    <w:rsid w:val="008D712B"/>
    <w:rsid w:val="008D746F"/>
    <w:rsid w:val="008D7AEA"/>
    <w:rsid w:val="008E005F"/>
    <w:rsid w:val="008E00EF"/>
    <w:rsid w:val="008E0AD5"/>
    <w:rsid w:val="008E1390"/>
    <w:rsid w:val="008E13BF"/>
    <w:rsid w:val="008E1824"/>
    <w:rsid w:val="008E1C03"/>
    <w:rsid w:val="008E24DE"/>
    <w:rsid w:val="008E4520"/>
    <w:rsid w:val="008E4B09"/>
    <w:rsid w:val="008E5C68"/>
    <w:rsid w:val="008E61BB"/>
    <w:rsid w:val="008E7A0D"/>
    <w:rsid w:val="008E7D08"/>
    <w:rsid w:val="008E7EDC"/>
    <w:rsid w:val="008F0360"/>
    <w:rsid w:val="008F1DFD"/>
    <w:rsid w:val="008F1F8B"/>
    <w:rsid w:val="008F21F0"/>
    <w:rsid w:val="008F2CAF"/>
    <w:rsid w:val="008F2DD6"/>
    <w:rsid w:val="008F3187"/>
    <w:rsid w:val="008F4C14"/>
    <w:rsid w:val="008F69EA"/>
    <w:rsid w:val="008F7306"/>
    <w:rsid w:val="008F739E"/>
    <w:rsid w:val="008F7F79"/>
    <w:rsid w:val="009013D9"/>
    <w:rsid w:val="00901CBC"/>
    <w:rsid w:val="00902AA1"/>
    <w:rsid w:val="00903C1E"/>
    <w:rsid w:val="009041B6"/>
    <w:rsid w:val="00904733"/>
    <w:rsid w:val="00904AC7"/>
    <w:rsid w:val="00906383"/>
    <w:rsid w:val="009067E4"/>
    <w:rsid w:val="009075DC"/>
    <w:rsid w:val="0090760E"/>
    <w:rsid w:val="00907E95"/>
    <w:rsid w:val="00910E4B"/>
    <w:rsid w:val="00911969"/>
    <w:rsid w:val="00911D1B"/>
    <w:rsid w:val="00912ACA"/>
    <w:rsid w:val="009139C3"/>
    <w:rsid w:val="00914544"/>
    <w:rsid w:val="00914617"/>
    <w:rsid w:val="0091508E"/>
    <w:rsid w:val="009225E7"/>
    <w:rsid w:val="009235FB"/>
    <w:rsid w:val="0092367C"/>
    <w:rsid w:val="009243DE"/>
    <w:rsid w:val="0092464B"/>
    <w:rsid w:val="00924F80"/>
    <w:rsid w:val="0092521F"/>
    <w:rsid w:val="00925EB8"/>
    <w:rsid w:val="00926395"/>
    <w:rsid w:val="00926838"/>
    <w:rsid w:val="00926BB5"/>
    <w:rsid w:val="00926F84"/>
    <w:rsid w:val="00931117"/>
    <w:rsid w:val="00931AF0"/>
    <w:rsid w:val="0093256C"/>
    <w:rsid w:val="00932723"/>
    <w:rsid w:val="00932DD3"/>
    <w:rsid w:val="00933FCC"/>
    <w:rsid w:val="0093478A"/>
    <w:rsid w:val="00935C3E"/>
    <w:rsid w:val="0093659D"/>
    <w:rsid w:val="009367D5"/>
    <w:rsid w:val="00936BE4"/>
    <w:rsid w:val="00937640"/>
    <w:rsid w:val="00937D5A"/>
    <w:rsid w:val="00937EDB"/>
    <w:rsid w:val="00940C67"/>
    <w:rsid w:val="00941237"/>
    <w:rsid w:val="00941681"/>
    <w:rsid w:val="009426F1"/>
    <w:rsid w:val="0094299F"/>
    <w:rsid w:val="0094330C"/>
    <w:rsid w:val="00943479"/>
    <w:rsid w:val="00945AF1"/>
    <w:rsid w:val="00947B74"/>
    <w:rsid w:val="00947F23"/>
    <w:rsid w:val="00951391"/>
    <w:rsid w:val="009517DD"/>
    <w:rsid w:val="00951DBF"/>
    <w:rsid w:val="00954312"/>
    <w:rsid w:val="0095467F"/>
    <w:rsid w:val="009546D9"/>
    <w:rsid w:val="00955116"/>
    <w:rsid w:val="00955380"/>
    <w:rsid w:val="00955A06"/>
    <w:rsid w:val="00955F63"/>
    <w:rsid w:val="00956581"/>
    <w:rsid w:val="009576BE"/>
    <w:rsid w:val="009579ED"/>
    <w:rsid w:val="00957BF0"/>
    <w:rsid w:val="00960171"/>
    <w:rsid w:val="00961855"/>
    <w:rsid w:val="00961E05"/>
    <w:rsid w:val="00963942"/>
    <w:rsid w:val="009647FA"/>
    <w:rsid w:val="00966474"/>
    <w:rsid w:val="00966588"/>
    <w:rsid w:val="00966681"/>
    <w:rsid w:val="00966B10"/>
    <w:rsid w:val="00966C81"/>
    <w:rsid w:val="00966F57"/>
    <w:rsid w:val="00966FC0"/>
    <w:rsid w:val="00967449"/>
    <w:rsid w:val="00970FDE"/>
    <w:rsid w:val="00971C72"/>
    <w:rsid w:val="00972197"/>
    <w:rsid w:val="0097229E"/>
    <w:rsid w:val="009722A3"/>
    <w:rsid w:val="00972D2E"/>
    <w:rsid w:val="00973C5B"/>
    <w:rsid w:val="00973F19"/>
    <w:rsid w:val="00975004"/>
    <w:rsid w:val="009755C3"/>
    <w:rsid w:val="00975BAB"/>
    <w:rsid w:val="009760D8"/>
    <w:rsid w:val="009773FF"/>
    <w:rsid w:val="009775C7"/>
    <w:rsid w:val="00980834"/>
    <w:rsid w:val="00980A58"/>
    <w:rsid w:val="0098299A"/>
    <w:rsid w:val="00982ACC"/>
    <w:rsid w:val="00983DD9"/>
    <w:rsid w:val="00984A44"/>
    <w:rsid w:val="00985F35"/>
    <w:rsid w:val="00987389"/>
    <w:rsid w:val="00987423"/>
    <w:rsid w:val="00987C56"/>
    <w:rsid w:val="00990297"/>
    <w:rsid w:val="00990591"/>
    <w:rsid w:val="00991A60"/>
    <w:rsid w:val="0099224E"/>
    <w:rsid w:val="00993BD7"/>
    <w:rsid w:val="00995BC5"/>
    <w:rsid w:val="0099661A"/>
    <w:rsid w:val="00996D61"/>
    <w:rsid w:val="009971D2"/>
    <w:rsid w:val="009973D1"/>
    <w:rsid w:val="009A0AD1"/>
    <w:rsid w:val="009A10FB"/>
    <w:rsid w:val="009A11B5"/>
    <w:rsid w:val="009A1F59"/>
    <w:rsid w:val="009A1FF8"/>
    <w:rsid w:val="009A3260"/>
    <w:rsid w:val="009A33B2"/>
    <w:rsid w:val="009A38A4"/>
    <w:rsid w:val="009A3CFC"/>
    <w:rsid w:val="009A46CE"/>
    <w:rsid w:val="009A51F6"/>
    <w:rsid w:val="009A597A"/>
    <w:rsid w:val="009A6969"/>
    <w:rsid w:val="009A6C57"/>
    <w:rsid w:val="009A6D11"/>
    <w:rsid w:val="009A6E26"/>
    <w:rsid w:val="009A717C"/>
    <w:rsid w:val="009A7BEE"/>
    <w:rsid w:val="009A7DB9"/>
    <w:rsid w:val="009B0DB9"/>
    <w:rsid w:val="009B0E8E"/>
    <w:rsid w:val="009B0EB2"/>
    <w:rsid w:val="009B0EB3"/>
    <w:rsid w:val="009B1184"/>
    <w:rsid w:val="009B1285"/>
    <w:rsid w:val="009B4BA8"/>
    <w:rsid w:val="009B5733"/>
    <w:rsid w:val="009B67C5"/>
    <w:rsid w:val="009B7DD4"/>
    <w:rsid w:val="009C109B"/>
    <w:rsid w:val="009C12C0"/>
    <w:rsid w:val="009C17B4"/>
    <w:rsid w:val="009C1C81"/>
    <w:rsid w:val="009C1DF9"/>
    <w:rsid w:val="009C28B1"/>
    <w:rsid w:val="009C3E90"/>
    <w:rsid w:val="009C467C"/>
    <w:rsid w:val="009C5049"/>
    <w:rsid w:val="009C55D9"/>
    <w:rsid w:val="009C6207"/>
    <w:rsid w:val="009C6355"/>
    <w:rsid w:val="009C6452"/>
    <w:rsid w:val="009C68F0"/>
    <w:rsid w:val="009C6B2A"/>
    <w:rsid w:val="009C6D50"/>
    <w:rsid w:val="009D0AC1"/>
    <w:rsid w:val="009D0C0D"/>
    <w:rsid w:val="009D0FDD"/>
    <w:rsid w:val="009D102F"/>
    <w:rsid w:val="009D172E"/>
    <w:rsid w:val="009D1CD4"/>
    <w:rsid w:val="009D1F78"/>
    <w:rsid w:val="009D2CBD"/>
    <w:rsid w:val="009D2F06"/>
    <w:rsid w:val="009D3FAD"/>
    <w:rsid w:val="009D439C"/>
    <w:rsid w:val="009D4767"/>
    <w:rsid w:val="009D60D0"/>
    <w:rsid w:val="009D6245"/>
    <w:rsid w:val="009D6790"/>
    <w:rsid w:val="009D7FA2"/>
    <w:rsid w:val="009E01FD"/>
    <w:rsid w:val="009E0B51"/>
    <w:rsid w:val="009E27EB"/>
    <w:rsid w:val="009E2A77"/>
    <w:rsid w:val="009E2B56"/>
    <w:rsid w:val="009E40D0"/>
    <w:rsid w:val="009E5A09"/>
    <w:rsid w:val="009E61C5"/>
    <w:rsid w:val="009E758A"/>
    <w:rsid w:val="009F0584"/>
    <w:rsid w:val="009F16F6"/>
    <w:rsid w:val="009F2286"/>
    <w:rsid w:val="009F303B"/>
    <w:rsid w:val="009F3A4C"/>
    <w:rsid w:val="009F3C94"/>
    <w:rsid w:val="009F3D88"/>
    <w:rsid w:val="009F50CE"/>
    <w:rsid w:val="009F5360"/>
    <w:rsid w:val="009F6332"/>
    <w:rsid w:val="00A004F0"/>
    <w:rsid w:val="00A0051F"/>
    <w:rsid w:val="00A00A07"/>
    <w:rsid w:val="00A02DD0"/>
    <w:rsid w:val="00A031E6"/>
    <w:rsid w:val="00A03318"/>
    <w:rsid w:val="00A0341E"/>
    <w:rsid w:val="00A03C2C"/>
    <w:rsid w:val="00A0488E"/>
    <w:rsid w:val="00A04911"/>
    <w:rsid w:val="00A100C2"/>
    <w:rsid w:val="00A10F73"/>
    <w:rsid w:val="00A130CD"/>
    <w:rsid w:val="00A13807"/>
    <w:rsid w:val="00A1390B"/>
    <w:rsid w:val="00A148EB"/>
    <w:rsid w:val="00A14A3F"/>
    <w:rsid w:val="00A14DBA"/>
    <w:rsid w:val="00A1527A"/>
    <w:rsid w:val="00A1562D"/>
    <w:rsid w:val="00A15921"/>
    <w:rsid w:val="00A159EF"/>
    <w:rsid w:val="00A16FBB"/>
    <w:rsid w:val="00A1796F"/>
    <w:rsid w:val="00A17F87"/>
    <w:rsid w:val="00A20177"/>
    <w:rsid w:val="00A21717"/>
    <w:rsid w:val="00A2288B"/>
    <w:rsid w:val="00A22B03"/>
    <w:rsid w:val="00A23B45"/>
    <w:rsid w:val="00A24DEB"/>
    <w:rsid w:val="00A24F0A"/>
    <w:rsid w:val="00A25C65"/>
    <w:rsid w:val="00A27109"/>
    <w:rsid w:val="00A27290"/>
    <w:rsid w:val="00A27461"/>
    <w:rsid w:val="00A27F45"/>
    <w:rsid w:val="00A27F4D"/>
    <w:rsid w:val="00A301B4"/>
    <w:rsid w:val="00A321D0"/>
    <w:rsid w:val="00A325DB"/>
    <w:rsid w:val="00A33803"/>
    <w:rsid w:val="00A3393C"/>
    <w:rsid w:val="00A339F5"/>
    <w:rsid w:val="00A3415A"/>
    <w:rsid w:val="00A354F2"/>
    <w:rsid w:val="00A35C7F"/>
    <w:rsid w:val="00A36F59"/>
    <w:rsid w:val="00A370FB"/>
    <w:rsid w:val="00A3719C"/>
    <w:rsid w:val="00A373A2"/>
    <w:rsid w:val="00A37C23"/>
    <w:rsid w:val="00A41041"/>
    <w:rsid w:val="00A42875"/>
    <w:rsid w:val="00A4310D"/>
    <w:rsid w:val="00A472D4"/>
    <w:rsid w:val="00A47A93"/>
    <w:rsid w:val="00A50417"/>
    <w:rsid w:val="00A52A23"/>
    <w:rsid w:val="00A52CE9"/>
    <w:rsid w:val="00A52FBE"/>
    <w:rsid w:val="00A55CD4"/>
    <w:rsid w:val="00A56D01"/>
    <w:rsid w:val="00A57080"/>
    <w:rsid w:val="00A57BFE"/>
    <w:rsid w:val="00A635F6"/>
    <w:rsid w:val="00A643B3"/>
    <w:rsid w:val="00A65D42"/>
    <w:rsid w:val="00A67509"/>
    <w:rsid w:val="00A679F1"/>
    <w:rsid w:val="00A706E6"/>
    <w:rsid w:val="00A71999"/>
    <w:rsid w:val="00A72C03"/>
    <w:rsid w:val="00A7387A"/>
    <w:rsid w:val="00A7487B"/>
    <w:rsid w:val="00A74955"/>
    <w:rsid w:val="00A75BCB"/>
    <w:rsid w:val="00A75C01"/>
    <w:rsid w:val="00A76BF9"/>
    <w:rsid w:val="00A76E2F"/>
    <w:rsid w:val="00A77505"/>
    <w:rsid w:val="00A77667"/>
    <w:rsid w:val="00A8078F"/>
    <w:rsid w:val="00A81093"/>
    <w:rsid w:val="00A81383"/>
    <w:rsid w:val="00A817DE"/>
    <w:rsid w:val="00A82B18"/>
    <w:rsid w:val="00A83E17"/>
    <w:rsid w:val="00A84915"/>
    <w:rsid w:val="00A85394"/>
    <w:rsid w:val="00A860B7"/>
    <w:rsid w:val="00A87832"/>
    <w:rsid w:val="00A925E6"/>
    <w:rsid w:val="00A92F14"/>
    <w:rsid w:val="00A93B3B"/>
    <w:rsid w:val="00A942AD"/>
    <w:rsid w:val="00A943DE"/>
    <w:rsid w:val="00A950BE"/>
    <w:rsid w:val="00A9627B"/>
    <w:rsid w:val="00A962D0"/>
    <w:rsid w:val="00A96BA8"/>
    <w:rsid w:val="00A96FF2"/>
    <w:rsid w:val="00A973C5"/>
    <w:rsid w:val="00AA0A33"/>
    <w:rsid w:val="00AA0EF4"/>
    <w:rsid w:val="00AA0F3E"/>
    <w:rsid w:val="00AA2435"/>
    <w:rsid w:val="00AA2591"/>
    <w:rsid w:val="00AA3023"/>
    <w:rsid w:val="00AA3271"/>
    <w:rsid w:val="00AA3302"/>
    <w:rsid w:val="00AA3626"/>
    <w:rsid w:val="00AA5546"/>
    <w:rsid w:val="00AA63DC"/>
    <w:rsid w:val="00AB1B73"/>
    <w:rsid w:val="00AB246C"/>
    <w:rsid w:val="00AB3379"/>
    <w:rsid w:val="00AB511C"/>
    <w:rsid w:val="00AB5202"/>
    <w:rsid w:val="00AB5889"/>
    <w:rsid w:val="00AB5D04"/>
    <w:rsid w:val="00AB5F0F"/>
    <w:rsid w:val="00AB6B68"/>
    <w:rsid w:val="00AB6DAC"/>
    <w:rsid w:val="00AB75F7"/>
    <w:rsid w:val="00AB7AC0"/>
    <w:rsid w:val="00AC0EFD"/>
    <w:rsid w:val="00AC3234"/>
    <w:rsid w:val="00AC5FC7"/>
    <w:rsid w:val="00AC6912"/>
    <w:rsid w:val="00AC6E75"/>
    <w:rsid w:val="00AC78A7"/>
    <w:rsid w:val="00AC7AED"/>
    <w:rsid w:val="00AC7C43"/>
    <w:rsid w:val="00AD03A4"/>
    <w:rsid w:val="00AD0A2C"/>
    <w:rsid w:val="00AD17A6"/>
    <w:rsid w:val="00AD202A"/>
    <w:rsid w:val="00AD212A"/>
    <w:rsid w:val="00AD34D4"/>
    <w:rsid w:val="00AD3516"/>
    <w:rsid w:val="00AD36AA"/>
    <w:rsid w:val="00AD6ACE"/>
    <w:rsid w:val="00AD6E2D"/>
    <w:rsid w:val="00AD6F59"/>
    <w:rsid w:val="00AD72F4"/>
    <w:rsid w:val="00AE0C14"/>
    <w:rsid w:val="00AE125B"/>
    <w:rsid w:val="00AE1753"/>
    <w:rsid w:val="00AE2220"/>
    <w:rsid w:val="00AE29D0"/>
    <w:rsid w:val="00AE2C62"/>
    <w:rsid w:val="00AE32F8"/>
    <w:rsid w:val="00AE3316"/>
    <w:rsid w:val="00AE3CC8"/>
    <w:rsid w:val="00AE3CFA"/>
    <w:rsid w:val="00AE466B"/>
    <w:rsid w:val="00AE4C18"/>
    <w:rsid w:val="00AE517C"/>
    <w:rsid w:val="00AE5502"/>
    <w:rsid w:val="00AE6554"/>
    <w:rsid w:val="00AE6853"/>
    <w:rsid w:val="00AE78FE"/>
    <w:rsid w:val="00AF052B"/>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5CD2"/>
    <w:rsid w:val="00B0701E"/>
    <w:rsid w:val="00B07E93"/>
    <w:rsid w:val="00B105AD"/>
    <w:rsid w:val="00B10D55"/>
    <w:rsid w:val="00B1463B"/>
    <w:rsid w:val="00B14D9B"/>
    <w:rsid w:val="00B14DE9"/>
    <w:rsid w:val="00B15EDE"/>
    <w:rsid w:val="00B17F8A"/>
    <w:rsid w:val="00B20BBF"/>
    <w:rsid w:val="00B2223B"/>
    <w:rsid w:val="00B223B9"/>
    <w:rsid w:val="00B22DF8"/>
    <w:rsid w:val="00B23136"/>
    <w:rsid w:val="00B23A48"/>
    <w:rsid w:val="00B249EE"/>
    <w:rsid w:val="00B24CBD"/>
    <w:rsid w:val="00B266D7"/>
    <w:rsid w:val="00B27039"/>
    <w:rsid w:val="00B278E8"/>
    <w:rsid w:val="00B30725"/>
    <w:rsid w:val="00B31C09"/>
    <w:rsid w:val="00B32C85"/>
    <w:rsid w:val="00B342A0"/>
    <w:rsid w:val="00B3467C"/>
    <w:rsid w:val="00B3683E"/>
    <w:rsid w:val="00B36A6E"/>
    <w:rsid w:val="00B36ED5"/>
    <w:rsid w:val="00B373B1"/>
    <w:rsid w:val="00B42DA0"/>
    <w:rsid w:val="00B444F7"/>
    <w:rsid w:val="00B44620"/>
    <w:rsid w:val="00B4519A"/>
    <w:rsid w:val="00B4527B"/>
    <w:rsid w:val="00B45BFA"/>
    <w:rsid w:val="00B4622E"/>
    <w:rsid w:val="00B46243"/>
    <w:rsid w:val="00B46B5F"/>
    <w:rsid w:val="00B50B31"/>
    <w:rsid w:val="00B51D81"/>
    <w:rsid w:val="00B5217C"/>
    <w:rsid w:val="00B52B32"/>
    <w:rsid w:val="00B5424C"/>
    <w:rsid w:val="00B5579B"/>
    <w:rsid w:val="00B55D6C"/>
    <w:rsid w:val="00B566E6"/>
    <w:rsid w:val="00B56E59"/>
    <w:rsid w:val="00B57332"/>
    <w:rsid w:val="00B57BEC"/>
    <w:rsid w:val="00B61E3F"/>
    <w:rsid w:val="00B62952"/>
    <w:rsid w:val="00B62B61"/>
    <w:rsid w:val="00B62D23"/>
    <w:rsid w:val="00B63675"/>
    <w:rsid w:val="00B63A0E"/>
    <w:rsid w:val="00B645E3"/>
    <w:rsid w:val="00B64BF6"/>
    <w:rsid w:val="00B64EDA"/>
    <w:rsid w:val="00B64F79"/>
    <w:rsid w:val="00B6526D"/>
    <w:rsid w:val="00B658A6"/>
    <w:rsid w:val="00B67D2F"/>
    <w:rsid w:val="00B7150D"/>
    <w:rsid w:val="00B7217C"/>
    <w:rsid w:val="00B72B8E"/>
    <w:rsid w:val="00B73F34"/>
    <w:rsid w:val="00B73FBB"/>
    <w:rsid w:val="00B74FBA"/>
    <w:rsid w:val="00B7633E"/>
    <w:rsid w:val="00B763E8"/>
    <w:rsid w:val="00B773FF"/>
    <w:rsid w:val="00B77EA2"/>
    <w:rsid w:val="00B81471"/>
    <w:rsid w:val="00B81686"/>
    <w:rsid w:val="00B82AC0"/>
    <w:rsid w:val="00B83055"/>
    <w:rsid w:val="00B86397"/>
    <w:rsid w:val="00B86876"/>
    <w:rsid w:val="00B874A3"/>
    <w:rsid w:val="00B87598"/>
    <w:rsid w:val="00B906AA"/>
    <w:rsid w:val="00B92453"/>
    <w:rsid w:val="00B924B7"/>
    <w:rsid w:val="00B93265"/>
    <w:rsid w:val="00B94A1E"/>
    <w:rsid w:val="00B94C91"/>
    <w:rsid w:val="00B952EC"/>
    <w:rsid w:val="00B95CE4"/>
    <w:rsid w:val="00B97BA8"/>
    <w:rsid w:val="00BA0156"/>
    <w:rsid w:val="00BA01EC"/>
    <w:rsid w:val="00BA0530"/>
    <w:rsid w:val="00BA120F"/>
    <w:rsid w:val="00BA17EA"/>
    <w:rsid w:val="00BA18DA"/>
    <w:rsid w:val="00BA19B2"/>
    <w:rsid w:val="00BA2852"/>
    <w:rsid w:val="00BA2D49"/>
    <w:rsid w:val="00BA34B2"/>
    <w:rsid w:val="00BA4435"/>
    <w:rsid w:val="00BA4618"/>
    <w:rsid w:val="00BA49FE"/>
    <w:rsid w:val="00BA6566"/>
    <w:rsid w:val="00BA6F03"/>
    <w:rsid w:val="00BA7B3C"/>
    <w:rsid w:val="00BB068C"/>
    <w:rsid w:val="00BB0E95"/>
    <w:rsid w:val="00BB1386"/>
    <w:rsid w:val="00BB154B"/>
    <w:rsid w:val="00BB2842"/>
    <w:rsid w:val="00BB3655"/>
    <w:rsid w:val="00BB3B79"/>
    <w:rsid w:val="00BB56E2"/>
    <w:rsid w:val="00BB58AE"/>
    <w:rsid w:val="00BB6297"/>
    <w:rsid w:val="00BB6B94"/>
    <w:rsid w:val="00BB71E9"/>
    <w:rsid w:val="00BB75FC"/>
    <w:rsid w:val="00BC0C2B"/>
    <w:rsid w:val="00BC1B7D"/>
    <w:rsid w:val="00BC263B"/>
    <w:rsid w:val="00BC29F7"/>
    <w:rsid w:val="00BC2D15"/>
    <w:rsid w:val="00BC3351"/>
    <w:rsid w:val="00BC4460"/>
    <w:rsid w:val="00BC45CD"/>
    <w:rsid w:val="00BC48B1"/>
    <w:rsid w:val="00BC5A31"/>
    <w:rsid w:val="00BC5F77"/>
    <w:rsid w:val="00BC6B8F"/>
    <w:rsid w:val="00BD050D"/>
    <w:rsid w:val="00BD094A"/>
    <w:rsid w:val="00BD0976"/>
    <w:rsid w:val="00BD0C04"/>
    <w:rsid w:val="00BD0FA2"/>
    <w:rsid w:val="00BD1824"/>
    <w:rsid w:val="00BD265A"/>
    <w:rsid w:val="00BD3447"/>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45"/>
    <w:rsid w:val="00BE57AC"/>
    <w:rsid w:val="00BE5DDC"/>
    <w:rsid w:val="00BE7A11"/>
    <w:rsid w:val="00BE7C9B"/>
    <w:rsid w:val="00BF16FF"/>
    <w:rsid w:val="00BF274B"/>
    <w:rsid w:val="00BF2AEF"/>
    <w:rsid w:val="00BF2C19"/>
    <w:rsid w:val="00BF303C"/>
    <w:rsid w:val="00BF328C"/>
    <w:rsid w:val="00BF3792"/>
    <w:rsid w:val="00BF3A9D"/>
    <w:rsid w:val="00BF3BA0"/>
    <w:rsid w:val="00BF4C8F"/>
    <w:rsid w:val="00BF5129"/>
    <w:rsid w:val="00BF5CBB"/>
    <w:rsid w:val="00BF65D6"/>
    <w:rsid w:val="00BF742B"/>
    <w:rsid w:val="00BF774D"/>
    <w:rsid w:val="00C004F0"/>
    <w:rsid w:val="00C00B5E"/>
    <w:rsid w:val="00C017CB"/>
    <w:rsid w:val="00C01DCE"/>
    <w:rsid w:val="00C0338C"/>
    <w:rsid w:val="00C03D0A"/>
    <w:rsid w:val="00C05B97"/>
    <w:rsid w:val="00C062FD"/>
    <w:rsid w:val="00C07256"/>
    <w:rsid w:val="00C0752B"/>
    <w:rsid w:val="00C07B3D"/>
    <w:rsid w:val="00C1018E"/>
    <w:rsid w:val="00C10B0E"/>
    <w:rsid w:val="00C10DC6"/>
    <w:rsid w:val="00C10E3E"/>
    <w:rsid w:val="00C11A4B"/>
    <w:rsid w:val="00C12ADD"/>
    <w:rsid w:val="00C12C7D"/>
    <w:rsid w:val="00C12DB5"/>
    <w:rsid w:val="00C14D1F"/>
    <w:rsid w:val="00C15F53"/>
    <w:rsid w:val="00C16C86"/>
    <w:rsid w:val="00C17442"/>
    <w:rsid w:val="00C20DD3"/>
    <w:rsid w:val="00C21220"/>
    <w:rsid w:val="00C216CC"/>
    <w:rsid w:val="00C21A59"/>
    <w:rsid w:val="00C22377"/>
    <w:rsid w:val="00C22D7C"/>
    <w:rsid w:val="00C230B8"/>
    <w:rsid w:val="00C2328D"/>
    <w:rsid w:val="00C23367"/>
    <w:rsid w:val="00C23566"/>
    <w:rsid w:val="00C236BE"/>
    <w:rsid w:val="00C25F56"/>
    <w:rsid w:val="00C26188"/>
    <w:rsid w:val="00C26681"/>
    <w:rsid w:val="00C269BA"/>
    <w:rsid w:val="00C301B5"/>
    <w:rsid w:val="00C31DDE"/>
    <w:rsid w:val="00C32CE6"/>
    <w:rsid w:val="00C3307F"/>
    <w:rsid w:val="00C34E59"/>
    <w:rsid w:val="00C362B1"/>
    <w:rsid w:val="00C36E56"/>
    <w:rsid w:val="00C40456"/>
    <w:rsid w:val="00C406BD"/>
    <w:rsid w:val="00C40716"/>
    <w:rsid w:val="00C409D7"/>
    <w:rsid w:val="00C40B5E"/>
    <w:rsid w:val="00C40D2D"/>
    <w:rsid w:val="00C4132D"/>
    <w:rsid w:val="00C41D80"/>
    <w:rsid w:val="00C4262F"/>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07F"/>
    <w:rsid w:val="00C5786C"/>
    <w:rsid w:val="00C6018D"/>
    <w:rsid w:val="00C60B91"/>
    <w:rsid w:val="00C60C58"/>
    <w:rsid w:val="00C6327D"/>
    <w:rsid w:val="00C63444"/>
    <w:rsid w:val="00C63D7A"/>
    <w:rsid w:val="00C64106"/>
    <w:rsid w:val="00C6421A"/>
    <w:rsid w:val="00C64910"/>
    <w:rsid w:val="00C64F37"/>
    <w:rsid w:val="00C65285"/>
    <w:rsid w:val="00C65753"/>
    <w:rsid w:val="00C65A08"/>
    <w:rsid w:val="00C662FA"/>
    <w:rsid w:val="00C6667C"/>
    <w:rsid w:val="00C66948"/>
    <w:rsid w:val="00C6713F"/>
    <w:rsid w:val="00C70068"/>
    <w:rsid w:val="00C707EF"/>
    <w:rsid w:val="00C70AD4"/>
    <w:rsid w:val="00C725AD"/>
    <w:rsid w:val="00C736E6"/>
    <w:rsid w:val="00C73C6C"/>
    <w:rsid w:val="00C757B3"/>
    <w:rsid w:val="00C75CDD"/>
    <w:rsid w:val="00C760A1"/>
    <w:rsid w:val="00C7683A"/>
    <w:rsid w:val="00C8021D"/>
    <w:rsid w:val="00C807B6"/>
    <w:rsid w:val="00C80B6B"/>
    <w:rsid w:val="00C8119A"/>
    <w:rsid w:val="00C8229C"/>
    <w:rsid w:val="00C83D1D"/>
    <w:rsid w:val="00C842F8"/>
    <w:rsid w:val="00C843DC"/>
    <w:rsid w:val="00C85070"/>
    <w:rsid w:val="00C8543C"/>
    <w:rsid w:val="00C854E1"/>
    <w:rsid w:val="00C85C34"/>
    <w:rsid w:val="00C86A84"/>
    <w:rsid w:val="00C86ED6"/>
    <w:rsid w:val="00C914FC"/>
    <w:rsid w:val="00C91AAE"/>
    <w:rsid w:val="00C9205A"/>
    <w:rsid w:val="00C92CD7"/>
    <w:rsid w:val="00C93694"/>
    <w:rsid w:val="00C93962"/>
    <w:rsid w:val="00C94219"/>
    <w:rsid w:val="00C9450A"/>
    <w:rsid w:val="00C94774"/>
    <w:rsid w:val="00C948B1"/>
    <w:rsid w:val="00C949EB"/>
    <w:rsid w:val="00C9502E"/>
    <w:rsid w:val="00C968F0"/>
    <w:rsid w:val="00C970FA"/>
    <w:rsid w:val="00CA012D"/>
    <w:rsid w:val="00CA1F02"/>
    <w:rsid w:val="00CA3B3D"/>
    <w:rsid w:val="00CA4F24"/>
    <w:rsid w:val="00CA54B6"/>
    <w:rsid w:val="00CA5B05"/>
    <w:rsid w:val="00CA6C90"/>
    <w:rsid w:val="00CA6F2E"/>
    <w:rsid w:val="00CA7F28"/>
    <w:rsid w:val="00CB02CF"/>
    <w:rsid w:val="00CB0501"/>
    <w:rsid w:val="00CB089E"/>
    <w:rsid w:val="00CB0A6C"/>
    <w:rsid w:val="00CB0C61"/>
    <w:rsid w:val="00CB1780"/>
    <w:rsid w:val="00CB1F21"/>
    <w:rsid w:val="00CB25A6"/>
    <w:rsid w:val="00CB26FE"/>
    <w:rsid w:val="00CB4611"/>
    <w:rsid w:val="00CB5240"/>
    <w:rsid w:val="00CB52AF"/>
    <w:rsid w:val="00CB5CB9"/>
    <w:rsid w:val="00CB6B51"/>
    <w:rsid w:val="00CB6E01"/>
    <w:rsid w:val="00CB70CB"/>
    <w:rsid w:val="00CB7AE4"/>
    <w:rsid w:val="00CC04BC"/>
    <w:rsid w:val="00CC06B8"/>
    <w:rsid w:val="00CC1227"/>
    <w:rsid w:val="00CC177D"/>
    <w:rsid w:val="00CC1BCD"/>
    <w:rsid w:val="00CC216D"/>
    <w:rsid w:val="00CC29C6"/>
    <w:rsid w:val="00CC2B6B"/>
    <w:rsid w:val="00CC55C8"/>
    <w:rsid w:val="00CC59ED"/>
    <w:rsid w:val="00CC63B9"/>
    <w:rsid w:val="00CC6CDE"/>
    <w:rsid w:val="00CC771C"/>
    <w:rsid w:val="00CC7E24"/>
    <w:rsid w:val="00CD029F"/>
    <w:rsid w:val="00CD0DC1"/>
    <w:rsid w:val="00CD1A65"/>
    <w:rsid w:val="00CD1B48"/>
    <w:rsid w:val="00CD2306"/>
    <w:rsid w:val="00CD3F12"/>
    <w:rsid w:val="00CD40C8"/>
    <w:rsid w:val="00CD5217"/>
    <w:rsid w:val="00CD525E"/>
    <w:rsid w:val="00CD5328"/>
    <w:rsid w:val="00CD56C6"/>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E653F"/>
    <w:rsid w:val="00CF0530"/>
    <w:rsid w:val="00CF098F"/>
    <w:rsid w:val="00CF0C5D"/>
    <w:rsid w:val="00CF1119"/>
    <w:rsid w:val="00CF1E44"/>
    <w:rsid w:val="00CF358D"/>
    <w:rsid w:val="00CF4153"/>
    <w:rsid w:val="00CF5213"/>
    <w:rsid w:val="00CF7001"/>
    <w:rsid w:val="00CF7048"/>
    <w:rsid w:val="00CF74F3"/>
    <w:rsid w:val="00D00D4C"/>
    <w:rsid w:val="00D010BD"/>
    <w:rsid w:val="00D01773"/>
    <w:rsid w:val="00D01B6A"/>
    <w:rsid w:val="00D0230E"/>
    <w:rsid w:val="00D04205"/>
    <w:rsid w:val="00D04B40"/>
    <w:rsid w:val="00D04E42"/>
    <w:rsid w:val="00D04F24"/>
    <w:rsid w:val="00D051AB"/>
    <w:rsid w:val="00D065AC"/>
    <w:rsid w:val="00D0665D"/>
    <w:rsid w:val="00D0672D"/>
    <w:rsid w:val="00D067AE"/>
    <w:rsid w:val="00D071D9"/>
    <w:rsid w:val="00D07350"/>
    <w:rsid w:val="00D077DA"/>
    <w:rsid w:val="00D07D2C"/>
    <w:rsid w:val="00D10057"/>
    <w:rsid w:val="00D10C82"/>
    <w:rsid w:val="00D111AF"/>
    <w:rsid w:val="00D125BF"/>
    <w:rsid w:val="00D1284F"/>
    <w:rsid w:val="00D1395F"/>
    <w:rsid w:val="00D13EBA"/>
    <w:rsid w:val="00D1407E"/>
    <w:rsid w:val="00D15781"/>
    <w:rsid w:val="00D173FD"/>
    <w:rsid w:val="00D1798E"/>
    <w:rsid w:val="00D203D3"/>
    <w:rsid w:val="00D20DFA"/>
    <w:rsid w:val="00D21686"/>
    <w:rsid w:val="00D22E5B"/>
    <w:rsid w:val="00D231AA"/>
    <w:rsid w:val="00D242CA"/>
    <w:rsid w:val="00D24501"/>
    <w:rsid w:val="00D2528A"/>
    <w:rsid w:val="00D2568C"/>
    <w:rsid w:val="00D274CF"/>
    <w:rsid w:val="00D27F9C"/>
    <w:rsid w:val="00D307C6"/>
    <w:rsid w:val="00D3158F"/>
    <w:rsid w:val="00D3229D"/>
    <w:rsid w:val="00D33228"/>
    <w:rsid w:val="00D34790"/>
    <w:rsid w:val="00D34B7B"/>
    <w:rsid w:val="00D34F29"/>
    <w:rsid w:val="00D35801"/>
    <w:rsid w:val="00D4067A"/>
    <w:rsid w:val="00D41FFC"/>
    <w:rsid w:val="00D430CB"/>
    <w:rsid w:val="00D43B6E"/>
    <w:rsid w:val="00D45FEB"/>
    <w:rsid w:val="00D463A0"/>
    <w:rsid w:val="00D50DD9"/>
    <w:rsid w:val="00D510C9"/>
    <w:rsid w:val="00D51351"/>
    <w:rsid w:val="00D51CAB"/>
    <w:rsid w:val="00D521A6"/>
    <w:rsid w:val="00D5240F"/>
    <w:rsid w:val="00D53982"/>
    <w:rsid w:val="00D53EC5"/>
    <w:rsid w:val="00D56473"/>
    <w:rsid w:val="00D5747F"/>
    <w:rsid w:val="00D60E8B"/>
    <w:rsid w:val="00D613AC"/>
    <w:rsid w:val="00D62AE4"/>
    <w:rsid w:val="00D63BF5"/>
    <w:rsid w:val="00D65113"/>
    <w:rsid w:val="00D6547D"/>
    <w:rsid w:val="00D65CC4"/>
    <w:rsid w:val="00D66B96"/>
    <w:rsid w:val="00D6728D"/>
    <w:rsid w:val="00D701D2"/>
    <w:rsid w:val="00D70205"/>
    <w:rsid w:val="00D70E42"/>
    <w:rsid w:val="00D70F47"/>
    <w:rsid w:val="00D7337C"/>
    <w:rsid w:val="00D733E9"/>
    <w:rsid w:val="00D74BE2"/>
    <w:rsid w:val="00D7575D"/>
    <w:rsid w:val="00D7577A"/>
    <w:rsid w:val="00D76783"/>
    <w:rsid w:val="00D80B2D"/>
    <w:rsid w:val="00D82B01"/>
    <w:rsid w:val="00D82F5E"/>
    <w:rsid w:val="00D83BD3"/>
    <w:rsid w:val="00D83F66"/>
    <w:rsid w:val="00D847C4"/>
    <w:rsid w:val="00D8483D"/>
    <w:rsid w:val="00D85EAE"/>
    <w:rsid w:val="00D863C2"/>
    <w:rsid w:val="00D90FF4"/>
    <w:rsid w:val="00D93122"/>
    <w:rsid w:val="00D93CB6"/>
    <w:rsid w:val="00D940EB"/>
    <w:rsid w:val="00D94101"/>
    <w:rsid w:val="00D95151"/>
    <w:rsid w:val="00D969C7"/>
    <w:rsid w:val="00D97E81"/>
    <w:rsid w:val="00DA0153"/>
    <w:rsid w:val="00DA0331"/>
    <w:rsid w:val="00DA3F28"/>
    <w:rsid w:val="00DA5026"/>
    <w:rsid w:val="00DA509F"/>
    <w:rsid w:val="00DA6161"/>
    <w:rsid w:val="00DA719E"/>
    <w:rsid w:val="00DA7469"/>
    <w:rsid w:val="00DA7D3D"/>
    <w:rsid w:val="00DB073B"/>
    <w:rsid w:val="00DB08C0"/>
    <w:rsid w:val="00DB0A6C"/>
    <w:rsid w:val="00DB0E0E"/>
    <w:rsid w:val="00DB2869"/>
    <w:rsid w:val="00DB301E"/>
    <w:rsid w:val="00DB4568"/>
    <w:rsid w:val="00DB5488"/>
    <w:rsid w:val="00DB589D"/>
    <w:rsid w:val="00DB64DC"/>
    <w:rsid w:val="00DB6710"/>
    <w:rsid w:val="00DB6949"/>
    <w:rsid w:val="00DB707C"/>
    <w:rsid w:val="00DB7C27"/>
    <w:rsid w:val="00DC35E5"/>
    <w:rsid w:val="00DC3C34"/>
    <w:rsid w:val="00DC3C8C"/>
    <w:rsid w:val="00DC3F6F"/>
    <w:rsid w:val="00DC5696"/>
    <w:rsid w:val="00DC6CA9"/>
    <w:rsid w:val="00DC78A5"/>
    <w:rsid w:val="00DD0029"/>
    <w:rsid w:val="00DD0489"/>
    <w:rsid w:val="00DD07FD"/>
    <w:rsid w:val="00DD0ACB"/>
    <w:rsid w:val="00DD0E02"/>
    <w:rsid w:val="00DD0EA5"/>
    <w:rsid w:val="00DD1DA9"/>
    <w:rsid w:val="00DD1DCF"/>
    <w:rsid w:val="00DD2250"/>
    <w:rsid w:val="00DD233F"/>
    <w:rsid w:val="00DD2A43"/>
    <w:rsid w:val="00DD3BEB"/>
    <w:rsid w:val="00DD4985"/>
    <w:rsid w:val="00DD4EF5"/>
    <w:rsid w:val="00DD68D1"/>
    <w:rsid w:val="00DD70D7"/>
    <w:rsid w:val="00DD7B30"/>
    <w:rsid w:val="00DE15BE"/>
    <w:rsid w:val="00DE2318"/>
    <w:rsid w:val="00DE37B3"/>
    <w:rsid w:val="00DE424E"/>
    <w:rsid w:val="00DE46B2"/>
    <w:rsid w:val="00DE47F6"/>
    <w:rsid w:val="00DE4F77"/>
    <w:rsid w:val="00DE69DD"/>
    <w:rsid w:val="00DE6A65"/>
    <w:rsid w:val="00DE7E98"/>
    <w:rsid w:val="00DF1108"/>
    <w:rsid w:val="00DF1E8A"/>
    <w:rsid w:val="00DF20AA"/>
    <w:rsid w:val="00DF279F"/>
    <w:rsid w:val="00DF3335"/>
    <w:rsid w:val="00DF5529"/>
    <w:rsid w:val="00DF55B2"/>
    <w:rsid w:val="00DF5AC8"/>
    <w:rsid w:val="00DF5C77"/>
    <w:rsid w:val="00DF5D71"/>
    <w:rsid w:val="00DF6BA9"/>
    <w:rsid w:val="00DF7CB8"/>
    <w:rsid w:val="00DF7DCA"/>
    <w:rsid w:val="00E00ABE"/>
    <w:rsid w:val="00E02CD1"/>
    <w:rsid w:val="00E02DCE"/>
    <w:rsid w:val="00E02F66"/>
    <w:rsid w:val="00E034F1"/>
    <w:rsid w:val="00E03641"/>
    <w:rsid w:val="00E0439A"/>
    <w:rsid w:val="00E0477C"/>
    <w:rsid w:val="00E04CE3"/>
    <w:rsid w:val="00E05014"/>
    <w:rsid w:val="00E054D8"/>
    <w:rsid w:val="00E060DE"/>
    <w:rsid w:val="00E078C5"/>
    <w:rsid w:val="00E104A8"/>
    <w:rsid w:val="00E10EF1"/>
    <w:rsid w:val="00E12256"/>
    <w:rsid w:val="00E140EF"/>
    <w:rsid w:val="00E147DB"/>
    <w:rsid w:val="00E14ABA"/>
    <w:rsid w:val="00E14ECB"/>
    <w:rsid w:val="00E15A67"/>
    <w:rsid w:val="00E1655C"/>
    <w:rsid w:val="00E168D4"/>
    <w:rsid w:val="00E172F7"/>
    <w:rsid w:val="00E1747D"/>
    <w:rsid w:val="00E17ED9"/>
    <w:rsid w:val="00E20737"/>
    <w:rsid w:val="00E22C54"/>
    <w:rsid w:val="00E23A46"/>
    <w:rsid w:val="00E2622B"/>
    <w:rsid w:val="00E26E5A"/>
    <w:rsid w:val="00E2712A"/>
    <w:rsid w:val="00E275E4"/>
    <w:rsid w:val="00E27937"/>
    <w:rsid w:val="00E3143B"/>
    <w:rsid w:val="00E32941"/>
    <w:rsid w:val="00E32B44"/>
    <w:rsid w:val="00E332F6"/>
    <w:rsid w:val="00E33738"/>
    <w:rsid w:val="00E338FC"/>
    <w:rsid w:val="00E35091"/>
    <w:rsid w:val="00E3529D"/>
    <w:rsid w:val="00E36103"/>
    <w:rsid w:val="00E361D9"/>
    <w:rsid w:val="00E369CA"/>
    <w:rsid w:val="00E3736A"/>
    <w:rsid w:val="00E378CE"/>
    <w:rsid w:val="00E37D53"/>
    <w:rsid w:val="00E37E5D"/>
    <w:rsid w:val="00E411AC"/>
    <w:rsid w:val="00E41290"/>
    <w:rsid w:val="00E4193E"/>
    <w:rsid w:val="00E42118"/>
    <w:rsid w:val="00E4232C"/>
    <w:rsid w:val="00E423A8"/>
    <w:rsid w:val="00E4294C"/>
    <w:rsid w:val="00E42E09"/>
    <w:rsid w:val="00E42E37"/>
    <w:rsid w:val="00E432EB"/>
    <w:rsid w:val="00E43439"/>
    <w:rsid w:val="00E43C09"/>
    <w:rsid w:val="00E44025"/>
    <w:rsid w:val="00E454A5"/>
    <w:rsid w:val="00E46085"/>
    <w:rsid w:val="00E46107"/>
    <w:rsid w:val="00E4629B"/>
    <w:rsid w:val="00E462EF"/>
    <w:rsid w:val="00E504E3"/>
    <w:rsid w:val="00E51B87"/>
    <w:rsid w:val="00E52355"/>
    <w:rsid w:val="00E52F45"/>
    <w:rsid w:val="00E53AC8"/>
    <w:rsid w:val="00E54077"/>
    <w:rsid w:val="00E54542"/>
    <w:rsid w:val="00E552DC"/>
    <w:rsid w:val="00E55608"/>
    <w:rsid w:val="00E557AC"/>
    <w:rsid w:val="00E56EC1"/>
    <w:rsid w:val="00E607EC"/>
    <w:rsid w:val="00E60934"/>
    <w:rsid w:val="00E635B7"/>
    <w:rsid w:val="00E63C00"/>
    <w:rsid w:val="00E65581"/>
    <w:rsid w:val="00E6776D"/>
    <w:rsid w:val="00E67F64"/>
    <w:rsid w:val="00E70958"/>
    <w:rsid w:val="00E712C4"/>
    <w:rsid w:val="00E71B57"/>
    <w:rsid w:val="00E72224"/>
    <w:rsid w:val="00E73AC1"/>
    <w:rsid w:val="00E73F8D"/>
    <w:rsid w:val="00E74183"/>
    <w:rsid w:val="00E74F74"/>
    <w:rsid w:val="00E75AE2"/>
    <w:rsid w:val="00E764C6"/>
    <w:rsid w:val="00E76535"/>
    <w:rsid w:val="00E76B40"/>
    <w:rsid w:val="00E77D12"/>
    <w:rsid w:val="00E77E8A"/>
    <w:rsid w:val="00E803A7"/>
    <w:rsid w:val="00E80D95"/>
    <w:rsid w:val="00E80F1A"/>
    <w:rsid w:val="00E82136"/>
    <w:rsid w:val="00E82709"/>
    <w:rsid w:val="00E828EB"/>
    <w:rsid w:val="00E82D45"/>
    <w:rsid w:val="00E82EF6"/>
    <w:rsid w:val="00E84717"/>
    <w:rsid w:val="00E84C08"/>
    <w:rsid w:val="00E8668A"/>
    <w:rsid w:val="00E8781B"/>
    <w:rsid w:val="00E9069D"/>
    <w:rsid w:val="00E9070E"/>
    <w:rsid w:val="00E90BF6"/>
    <w:rsid w:val="00E91311"/>
    <w:rsid w:val="00E91718"/>
    <w:rsid w:val="00E920C8"/>
    <w:rsid w:val="00E920DB"/>
    <w:rsid w:val="00E9290E"/>
    <w:rsid w:val="00E9506C"/>
    <w:rsid w:val="00E956C2"/>
    <w:rsid w:val="00E9590B"/>
    <w:rsid w:val="00E9590E"/>
    <w:rsid w:val="00E95C49"/>
    <w:rsid w:val="00E96B31"/>
    <w:rsid w:val="00E96E4D"/>
    <w:rsid w:val="00E97DC0"/>
    <w:rsid w:val="00EA0871"/>
    <w:rsid w:val="00EA10BF"/>
    <w:rsid w:val="00EA12D0"/>
    <w:rsid w:val="00EA1534"/>
    <w:rsid w:val="00EA1825"/>
    <w:rsid w:val="00EA1B09"/>
    <w:rsid w:val="00EA22D8"/>
    <w:rsid w:val="00EA2C27"/>
    <w:rsid w:val="00EA5149"/>
    <w:rsid w:val="00EA6B61"/>
    <w:rsid w:val="00EA724E"/>
    <w:rsid w:val="00EB07F5"/>
    <w:rsid w:val="00EB0B86"/>
    <w:rsid w:val="00EB41E1"/>
    <w:rsid w:val="00EB43E3"/>
    <w:rsid w:val="00EB4A70"/>
    <w:rsid w:val="00EB4F3B"/>
    <w:rsid w:val="00EB5CCA"/>
    <w:rsid w:val="00EB5F02"/>
    <w:rsid w:val="00EB7B25"/>
    <w:rsid w:val="00EC0779"/>
    <w:rsid w:val="00EC09D6"/>
    <w:rsid w:val="00EC0D89"/>
    <w:rsid w:val="00EC0F4B"/>
    <w:rsid w:val="00EC1677"/>
    <w:rsid w:val="00EC1761"/>
    <w:rsid w:val="00EC24CC"/>
    <w:rsid w:val="00EC2CB1"/>
    <w:rsid w:val="00EC36C4"/>
    <w:rsid w:val="00EC42A0"/>
    <w:rsid w:val="00EC4855"/>
    <w:rsid w:val="00EC5596"/>
    <w:rsid w:val="00EC61B9"/>
    <w:rsid w:val="00EC6538"/>
    <w:rsid w:val="00ED1644"/>
    <w:rsid w:val="00ED1CFE"/>
    <w:rsid w:val="00ED1FC6"/>
    <w:rsid w:val="00ED300B"/>
    <w:rsid w:val="00ED3116"/>
    <w:rsid w:val="00ED3D8A"/>
    <w:rsid w:val="00ED423F"/>
    <w:rsid w:val="00ED5637"/>
    <w:rsid w:val="00ED58ED"/>
    <w:rsid w:val="00ED5C89"/>
    <w:rsid w:val="00ED6024"/>
    <w:rsid w:val="00ED687B"/>
    <w:rsid w:val="00ED6A6E"/>
    <w:rsid w:val="00ED74D1"/>
    <w:rsid w:val="00EE0B22"/>
    <w:rsid w:val="00EE12F6"/>
    <w:rsid w:val="00EE1538"/>
    <w:rsid w:val="00EE1640"/>
    <w:rsid w:val="00EE195F"/>
    <w:rsid w:val="00EE1AC4"/>
    <w:rsid w:val="00EE1EA9"/>
    <w:rsid w:val="00EE21E9"/>
    <w:rsid w:val="00EE25F2"/>
    <w:rsid w:val="00EE2746"/>
    <w:rsid w:val="00EE2E35"/>
    <w:rsid w:val="00EE3900"/>
    <w:rsid w:val="00EE4294"/>
    <w:rsid w:val="00EE42BF"/>
    <w:rsid w:val="00EE4613"/>
    <w:rsid w:val="00EE4813"/>
    <w:rsid w:val="00EE4FC6"/>
    <w:rsid w:val="00EE5E3B"/>
    <w:rsid w:val="00EE66DE"/>
    <w:rsid w:val="00EE779D"/>
    <w:rsid w:val="00EE7A5D"/>
    <w:rsid w:val="00EF00EC"/>
    <w:rsid w:val="00EF0976"/>
    <w:rsid w:val="00EF14F9"/>
    <w:rsid w:val="00EF2085"/>
    <w:rsid w:val="00EF2448"/>
    <w:rsid w:val="00EF2AD7"/>
    <w:rsid w:val="00EF3B62"/>
    <w:rsid w:val="00EF4FC8"/>
    <w:rsid w:val="00EF5C09"/>
    <w:rsid w:val="00EF5CC2"/>
    <w:rsid w:val="00EF6F01"/>
    <w:rsid w:val="00F00047"/>
    <w:rsid w:val="00F003F6"/>
    <w:rsid w:val="00F00D55"/>
    <w:rsid w:val="00F01262"/>
    <w:rsid w:val="00F01467"/>
    <w:rsid w:val="00F01C6A"/>
    <w:rsid w:val="00F04ABF"/>
    <w:rsid w:val="00F04E1C"/>
    <w:rsid w:val="00F058B9"/>
    <w:rsid w:val="00F06178"/>
    <w:rsid w:val="00F06D30"/>
    <w:rsid w:val="00F06FFD"/>
    <w:rsid w:val="00F10165"/>
    <w:rsid w:val="00F11216"/>
    <w:rsid w:val="00F11FB9"/>
    <w:rsid w:val="00F1300E"/>
    <w:rsid w:val="00F138E6"/>
    <w:rsid w:val="00F139A3"/>
    <w:rsid w:val="00F144A1"/>
    <w:rsid w:val="00F151DF"/>
    <w:rsid w:val="00F1744A"/>
    <w:rsid w:val="00F177D6"/>
    <w:rsid w:val="00F17EC7"/>
    <w:rsid w:val="00F20204"/>
    <w:rsid w:val="00F20A4E"/>
    <w:rsid w:val="00F21BFD"/>
    <w:rsid w:val="00F21D3A"/>
    <w:rsid w:val="00F21D5C"/>
    <w:rsid w:val="00F22DBA"/>
    <w:rsid w:val="00F233B1"/>
    <w:rsid w:val="00F23A83"/>
    <w:rsid w:val="00F24383"/>
    <w:rsid w:val="00F2608F"/>
    <w:rsid w:val="00F262C1"/>
    <w:rsid w:val="00F26518"/>
    <w:rsid w:val="00F269B2"/>
    <w:rsid w:val="00F26B15"/>
    <w:rsid w:val="00F275A7"/>
    <w:rsid w:val="00F27986"/>
    <w:rsid w:val="00F27CB4"/>
    <w:rsid w:val="00F31A91"/>
    <w:rsid w:val="00F31ADF"/>
    <w:rsid w:val="00F32561"/>
    <w:rsid w:val="00F3275D"/>
    <w:rsid w:val="00F347D5"/>
    <w:rsid w:val="00F347DC"/>
    <w:rsid w:val="00F358B9"/>
    <w:rsid w:val="00F37067"/>
    <w:rsid w:val="00F37B02"/>
    <w:rsid w:val="00F400E2"/>
    <w:rsid w:val="00F40232"/>
    <w:rsid w:val="00F40918"/>
    <w:rsid w:val="00F409F5"/>
    <w:rsid w:val="00F41ADA"/>
    <w:rsid w:val="00F41B35"/>
    <w:rsid w:val="00F421F5"/>
    <w:rsid w:val="00F42412"/>
    <w:rsid w:val="00F438F3"/>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1E5"/>
    <w:rsid w:val="00F56256"/>
    <w:rsid w:val="00F57641"/>
    <w:rsid w:val="00F57882"/>
    <w:rsid w:val="00F60BF1"/>
    <w:rsid w:val="00F60FE9"/>
    <w:rsid w:val="00F6120A"/>
    <w:rsid w:val="00F617A0"/>
    <w:rsid w:val="00F61E32"/>
    <w:rsid w:val="00F637CB"/>
    <w:rsid w:val="00F63A44"/>
    <w:rsid w:val="00F6607A"/>
    <w:rsid w:val="00F668C7"/>
    <w:rsid w:val="00F66F62"/>
    <w:rsid w:val="00F67109"/>
    <w:rsid w:val="00F67965"/>
    <w:rsid w:val="00F7257D"/>
    <w:rsid w:val="00F7294B"/>
    <w:rsid w:val="00F73D9F"/>
    <w:rsid w:val="00F74892"/>
    <w:rsid w:val="00F74A2A"/>
    <w:rsid w:val="00F74A9E"/>
    <w:rsid w:val="00F7519D"/>
    <w:rsid w:val="00F757BB"/>
    <w:rsid w:val="00F7641D"/>
    <w:rsid w:val="00F76A25"/>
    <w:rsid w:val="00F76D62"/>
    <w:rsid w:val="00F76D9B"/>
    <w:rsid w:val="00F80B4C"/>
    <w:rsid w:val="00F80FF6"/>
    <w:rsid w:val="00F82476"/>
    <w:rsid w:val="00F8418D"/>
    <w:rsid w:val="00F848A5"/>
    <w:rsid w:val="00F852B4"/>
    <w:rsid w:val="00F857A6"/>
    <w:rsid w:val="00F85A35"/>
    <w:rsid w:val="00F85D5F"/>
    <w:rsid w:val="00F85F00"/>
    <w:rsid w:val="00F86385"/>
    <w:rsid w:val="00F865BE"/>
    <w:rsid w:val="00F86691"/>
    <w:rsid w:val="00F87670"/>
    <w:rsid w:val="00F87E98"/>
    <w:rsid w:val="00F90CF4"/>
    <w:rsid w:val="00F91105"/>
    <w:rsid w:val="00F92EA1"/>
    <w:rsid w:val="00F939B7"/>
    <w:rsid w:val="00F94661"/>
    <w:rsid w:val="00F9505F"/>
    <w:rsid w:val="00F95911"/>
    <w:rsid w:val="00F95977"/>
    <w:rsid w:val="00F962FF"/>
    <w:rsid w:val="00F96AE4"/>
    <w:rsid w:val="00F96CB9"/>
    <w:rsid w:val="00F96E34"/>
    <w:rsid w:val="00F97854"/>
    <w:rsid w:val="00FA093D"/>
    <w:rsid w:val="00FA1491"/>
    <w:rsid w:val="00FA22CD"/>
    <w:rsid w:val="00FA29D5"/>
    <w:rsid w:val="00FA2F6E"/>
    <w:rsid w:val="00FA32E9"/>
    <w:rsid w:val="00FA3672"/>
    <w:rsid w:val="00FA37CF"/>
    <w:rsid w:val="00FA4134"/>
    <w:rsid w:val="00FA4290"/>
    <w:rsid w:val="00FA42D7"/>
    <w:rsid w:val="00FA4699"/>
    <w:rsid w:val="00FA5143"/>
    <w:rsid w:val="00FA6A03"/>
    <w:rsid w:val="00FA6A69"/>
    <w:rsid w:val="00FA7423"/>
    <w:rsid w:val="00FA7797"/>
    <w:rsid w:val="00FA7E08"/>
    <w:rsid w:val="00FB0C7B"/>
    <w:rsid w:val="00FB0D7F"/>
    <w:rsid w:val="00FB1380"/>
    <w:rsid w:val="00FB1952"/>
    <w:rsid w:val="00FB1985"/>
    <w:rsid w:val="00FB1F00"/>
    <w:rsid w:val="00FB203C"/>
    <w:rsid w:val="00FB3234"/>
    <w:rsid w:val="00FB4B89"/>
    <w:rsid w:val="00FB5474"/>
    <w:rsid w:val="00FB5708"/>
    <w:rsid w:val="00FB6120"/>
    <w:rsid w:val="00FB6E1E"/>
    <w:rsid w:val="00FC172E"/>
    <w:rsid w:val="00FC295F"/>
    <w:rsid w:val="00FC2F39"/>
    <w:rsid w:val="00FC5841"/>
    <w:rsid w:val="00FC5E02"/>
    <w:rsid w:val="00FC605C"/>
    <w:rsid w:val="00FC6D07"/>
    <w:rsid w:val="00FC730A"/>
    <w:rsid w:val="00FC7384"/>
    <w:rsid w:val="00FC73B6"/>
    <w:rsid w:val="00FC7BFE"/>
    <w:rsid w:val="00FD00D4"/>
    <w:rsid w:val="00FD0E40"/>
    <w:rsid w:val="00FD1025"/>
    <w:rsid w:val="00FD1570"/>
    <w:rsid w:val="00FD2477"/>
    <w:rsid w:val="00FD309A"/>
    <w:rsid w:val="00FD43FD"/>
    <w:rsid w:val="00FD4622"/>
    <w:rsid w:val="00FD4F62"/>
    <w:rsid w:val="00FD5488"/>
    <w:rsid w:val="00FD5B44"/>
    <w:rsid w:val="00FD6113"/>
    <w:rsid w:val="00FD7ACD"/>
    <w:rsid w:val="00FD7BB7"/>
    <w:rsid w:val="00FE1824"/>
    <w:rsid w:val="00FE2CFD"/>
    <w:rsid w:val="00FE3862"/>
    <w:rsid w:val="00FE41DF"/>
    <w:rsid w:val="00FE4E26"/>
    <w:rsid w:val="00FE7709"/>
    <w:rsid w:val="00FF02F2"/>
    <w:rsid w:val="00FF08C2"/>
    <w:rsid w:val="00FF13E8"/>
    <w:rsid w:val="00FF2050"/>
    <w:rsid w:val="00FF2326"/>
    <w:rsid w:val="00FF3435"/>
    <w:rsid w:val="00FF3714"/>
    <w:rsid w:val="00FF3D0A"/>
    <w:rsid w:val="00FF43A0"/>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1C30"/>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qFormat/>
    <w:rsid w:val="00771706"/>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locked/>
    <w:rsid w:val="00771706"/>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ar,fn,f,1"/>
    <w:basedOn w:val="single"/>
    <w:link w:val="FootnoteTextChar"/>
    <w:uiPriority w:val="99"/>
    <w:qFormat/>
    <w:rsid w:val="00021C30"/>
    <w:pPr>
      <w:spacing w:before="60" w:after="60"/>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
    <w:basedOn w:val="DefaultParagraphFont"/>
    <w:link w:val="FootnoteText"/>
    <w:uiPriority w:val="99"/>
    <w:locked/>
    <w:rsid w:val="00021C30"/>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Appel note de bas de p,Style 124,FR,Footnote Reference/"/>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1215EF"/>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763E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1215EF"/>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WUTCParagraph">
    <w:name w:val="WUTC Paragraph"/>
    <w:basedOn w:val="Normal"/>
    <w:rsid w:val="00FB5708"/>
    <w:pPr>
      <w:numPr>
        <w:numId w:val="25"/>
      </w:numPr>
      <w:tabs>
        <w:tab w:val="left" w:pos="1440"/>
      </w:tabs>
      <w:spacing w:line="480" w:lineRule="auto"/>
    </w:pPr>
    <w:rPr>
      <w:szCs w:val="24"/>
      <w:lang w:eastAsia="en-US"/>
    </w:rPr>
  </w:style>
  <w:style w:type="paragraph" w:customStyle="1" w:styleId="QuickA">
    <w:name w:val="Quick A."/>
    <w:basedOn w:val="Normal"/>
    <w:rsid w:val="00FB5708"/>
    <w:pPr>
      <w:widowControl w:val="0"/>
      <w:numPr>
        <w:numId w:val="26"/>
      </w:numPr>
      <w:spacing w:line="240" w:lineRule="auto"/>
      <w:ind w:firstLine="0"/>
    </w:pPr>
    <w:rPr>
      <w:lang w:eastAsia="en-US"/>
    </w:rPr>
  </w:style>
  <w:style w:type="paragraph" w:customStyle="1" w:styleId="Answer-Testimony">
    <w:name w:val="Answer - Testimony"/>
    <w:basedOn w:val="Normal"/>
    <w:link w:val="Answer-TestimonyChar"/>
    <w:rsid w:val="005020AE"/>
    <w:pPr>
      <w:spacing w:line="480" w:lineRule="auto"/>
      <w:ind w:left="720" w:hanging="720"/>
    </w:pPr>
    <w:rPr>
      <w:rFonts w:ascii="CG Times (WN)" w:eastAsia="Calibri" w:hAnsi="CG Times (WN)"/>
      <w:szCs w:val="24"/>
      <w:lang w:val="x-none" w:eastAsia="x-none"/>
    </w:rPr>
  </w:style>
  <w:style w:type="character" w:customStyle="1" w:styleId="Answer-TestimonyChar">
    <w:name w:val="Answer - Testimony Char"/>
    <w:link w:val="Answer-Testimony"/>
    <w:locked/>
    <w:rsid w:val="005020AE"/>
    <w:rPr>
      <w:rFonts w:eastAsia="Calibri"/>
      <w:sz w:val="24"/>
      <w:szCs w:val="24"/>
      <w:lang w:val="x-none" w:eastAsia="x-none"/>
    </w:rPr>
  </w:style>
  <w:style w:type="paragraph" w:customStyle="1" w:styleId="Answerh">
    <w:name w:val="Answerh"/>
    <w:basedOn w:val="ListParagraph"/>
    <w:qFormat/>
    <w:rsid w:val="00777E1F"/>
    <w:pPr>
      <w:spacing w:line="480" w:lineRule="auto"/>
      <w:ind w:hanging="720"/>
    </w:pPr>
    <w:rPr>
      <w:rFonts w:eastAsia="SimSun"/>
    </w:rPr>
  </w:style>
  <w:style w:type="paragraph" w:styleId="Quote">
    <w:name w:val="Quote"/>
    <w:basedOn w:val="Normal"/>
    <w:next w:val="Normal"/>
    <w:link w:val="QuoteChar"/>
    <w:uiPriority w:val="29"/>
    <w:qFormat/>
    <w:rsid w:val="00C842F8"/>
    <w:pPr>
      <w:spacing w:before="60" w:after="60" w:line="240" w:lineRule="auto"/>
      <w:ind w:left="1440" w:right="720" w:firstLine="0"/>
    </w:pPr>
    <w:rPr>
      <w:iCs/>
      <w:color w:val="000000" w:themeColor="text1"/>
    </w:rPr>
  </w:style>
  <w:style w:type="character" w:customStyle="1" w:styleId="QuoteChar">
    <w:name w:val="Quote Char"/>
    <w:basedOn w:val="DefaultParagraphFont"/>
    <w:link w:val="Quote"/>
    <w:uiPriority w:val="29"/>
    <w:rsid w:val="00C842F8"/>
    <w:rPr>
      <w:rFonts w:ascii="Times New Roman" w:hAnsi="Times New Roman"/>
      <w:iCs/>
      <w:color w:val="000000" w:themeColor="text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1C30"/>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qFormat/>
    <w:rsid w:val="00771706"/>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locked/>
    <w:rsid w:val="00771706"/>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ar,fn,f,1"/>
    <w:basedOn w:val="single"/>
    <w:link w:val="FootnoteTextChar"/>
    <w:uiPriority w:val="99"/>
    <w:qFormat/>
    <w:rsid w:val="00021C30"/>
    <w:pPr>
      <w:spacing w:before="60" w:after="60"/>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
    <w:basedOn w:val="DefaultParagraphFont"/>
    <w:link w:val="FootnoteText"/>
    <w:uiPriority w:val="99"/>
    <w:locked/>
    <w:rsid w:val="00021C30"/>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Appel note de bas de p,Style 124,FR,Footnote Reference/"/>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1215EF"/>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763E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1215EF"/>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WUTCParagraph">
    <w:name w:val="WUTC Paragraph"/>
    <w:basedOn w:val="Normal"/>
    <w:rsid w:val="00FB5708"/>
    <w:pPr>
      <w:numPr>
        <w:numId w:val="25"/>
      </w:numPr>
      <w:tabs>
        <w:tab w:val="left" w:pos="1440"/>
      </w:tabs>
      <w:spacing w:line="480" w:lineRule="auto"/>
    </w:pPr>
    <w:rPr>
      <w:szCs w:val="24"/>
      <w:lang w:eastAsia="en-US"/>
    </w:rPr>
  </w:style>
  <w:style w:type="paragraph" w:customStyle="1" w:styleId="QuickA">
    <w:name w:val="Quick A."/>
    <w:basedOn w:val="Normal"/>
    <w:rsid w:val="00FB5708"/>
    <w:pPr>
      <w:widowControl w:val="0"/>
      <w:numPr>
        <w:numId w:val="26"/>
      </w:numPr>
      <w:spacing w:line="240" w:lineRule="auto"/>
      <w:ind w:firstLine="0"/>
    </w:pPr>
    <w:rPr>
      <w:lang w:eastAsia="en-US"/>
    </w:rPr>
  </w:style>
  <w:style w:type="paragraph" w:customStyle="1" w:styleId="Answer-Testimony">
    <w:name w:val="Answer - Testimony"/>
    <w:basedOn w:val="Normal"/>
    <w:link w:val="Answer-TestimonyChar"/>
    <w:rsid w:val="005020AE"/>
    <w:pPr>
      <w:spacing w:line="480" w:lineRule="auto"/>
      <w:ind w:left="720" w:hanging="720"/>
    </w:pPr>
    <w:rPr>
      <w:rFonts w:ascii="CG Times (WN)" w:eastAsia="Calibri" w:hAnsi="CG Times (WN)"/>
      <w:szCs w:val="24"/>
      <w:lang w:val="x-none" w:eastAsia="x-none"/>
    </w:rPr>
  </w:style>
  <w:style w:type="character" w:customStyle="1" w:styleId="Answer-TestimonyChar">
    <w:name w:val="Answer - Testimony Char"/>
    <w:link w:val="Answer-Testimony"/>
    <w:locked/>
    <w:rsid w:val="005020AE"/>
    <w:rPr>
      <w:rFonts w:eastAsia="Calibri"/>
      <w:sz w:val="24"/>
      <w:szCs w:val="24"/>
      <w:lang w:val="x-none" w:eastAsia="x-none"/>
    </w:rPr>
  </w:style>
  <w:style w:type="paragraph" w:customStyle="1" w:styleId="Answerh">
    <w:name w:val="Answerh"/>
    <w:basedOn w:val="ListParagraph"/>
    <w:qFormat/>
    <w:rsid w:val="00777E1F"/>
    <w:pPr>
      <w:spacing w:line="480" w:lineRule="auto"/>
      <w:ind w:hanging="720"/>
    </w:pPr>
    <w:rPr>
      <w:rFonts w:eastAsia="SimSun"/>
    </w:rPr>
  </w:style>
  <w:style w:type="paragraph" w:styleId="Quote">
    <w:name w:val="Quote"/>
    <w:basedOn w:val="Normal"/>
    <w:next w:val="Normal"/>
    <w:link w:val="QuoteChar"/>
    <w:uiPriority w:val="29"/>
    <w:qFormat/>
    <w:rsid w:val="00C842F8"/>
    <w:pPr>
      <w:spacing w:before="60" w:after="60" w:line="240" w:lineRule="auto"/>
      <w:ind w:left="1440" w:right="720" w:firstLine="0"/>
    </w:pPr>
    <w:rPr>
      <w:iCs/>
      <w:color w:val="000000" w:themeColor="text1"/>
    </w:rPr>
  </w:style>
  <w:style w:type="character" w:customStyle="1" w:styleId="QuoteChar">
    <w:name w:val="Quote Char"/>
    <w:basedOn w:val="DefaultParagraphFont"/>
    <w:link w:val="Quote"/>
    <w:uiPriority w:val="29"/>
    <w:rsid w:val="00C842F8"/>
    <w:rPr>
      <w:rFonts w:ascii="Times New Roman" w:hAnsi="Times New Roman"/>
      <w:iCs/>
      <w:color w:val="000000" w:themeColor="text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501">
      <w:bodyDiv w:val="1"/>
      <w:marLeft w:val="0"/>
      <w:marRight w:val="0"/>
      <w:marTop w:val="0"/>
      <w:marBottom w:val="0"/>
      <w:divBdr>
        <w:top w:val="none" w:sz="0" w:space="0" w:color="auto"/>
        <w:left w:val="none" w:sz="0" w:space="0" w:color="auto"/>
        <w:bottom w:val="none" w:sz="0" w:space="0" w:color="auto"/>
        <w:right w:val="none" w:sz="0" w:space="0" w:color="auto"/>
      </w:divBdr>
    </w:div>
    <w:div w:id="181751761">
      <w:bodyDiv w:val="1"/>
      <w:marLeft w:val="0"/>
      <w:marRight w:val="0"/>
      <w:marTop w:val="0"/>
      <w:marBottom w:val="0"/>
      <w:divBdr>
        <w:top w:val="none" w:sz="0" w:space="0" w:color="auto"/>
        <w:left w:val="none" w:sz="0" w:space="0" w:color="auto"/>
        <w:bottom w:val="none" w:sz="0" w:space="0" w:color="auto"/>
        <w:right w:val="none" w:sz="0" w:space="0" w:color="auto"/>
      </w:divBdr>
    </w:div>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16432102">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391419874">
      <w:bodyDiv w:val="1"/>
      <w:marLeft w:val="0"/>
      <w:marRight w:val="0"/>
      <w:marTop w:val="0"/>
      <w:marBottom w:val="0"/>
      <w:divBdr>
        <w:top w:val="none" w:sz="0" w:space="0" w:color="auto"/>
        <w:left w:val="none" w:sz="0" w:space="0" w:color="auto"/>
        <w:bottom w:val="none" w:sz="0" w:space="0" w:color="auto"/>
        <w:right w:val="none" w:sz="0" w:space="0" w:color="auto"/>
      </w:divBdr>
    </w:div>
    <w:div w:id="1714571281">
      <w:bodyDiv w:val="1"/>
      <w:marLeft w:val="0"/>
      <w:marRight w:val="0"/>
      <w:marTop w:val="0"/>
      <w:marBottom w:val="0"/>
      <w:divBdr>
        <w:top w:val="none" w:sz="0" w:space="0" w:color="auto"/>
        <w:left w:val="none" w:sz="0" w:space="0" w:color="auto"/>
        <w:bottom w:val="none" w:sz="0" w:space="0" w:color="auto"/>
        <w:right w:val="none" w:sz="0" w:space="0" w:color="auto"/>
      </w:divBdr>
    </w:div>
    <w:div w:id="1740667434">
      <w:bodyDiv w:val="1"/>
      <w:marLeft w:val="0"/>
      <w:marRight w:val="0"/>
      <w:marTop w:val="0"/>
      <w:marBottom w:val="0"/>
      <w:divBdr>
        <w:top w:val="none" w:sz="0" w:space="0" w:color="auto"/>
        <w:left w:val="none" w:sz="0" w:space="0" w:color="auto"/>
        <w:bottom w:val="none" w:sz="0" w:space="0" w:color="auto"/>
        <w:right w:val="none" w:sz="0" w:space="0" w:color="auto"/>
      </w:divBdr>
    </w:div>
    <w:div w:id="1955091568">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A120D8C-D774-4ED9-924C-F7DD4BEC676C}">
  <ds:schemaRefs>
    <ds:schemaRef ds:uri="http://schemas.openxmlformats.org/officeDocument/2006/bibliography"/>
  </ds:schemaRefs>
</ds:datastoreItem>
</file>

<file path=customXml/itemProps2.xml><?xml version="1.0" encoding="utf-8"?>
<ds:datastoreItem xmlns:ds="http://schemas.openxmlformats.org/officeDocument/2006/customXml" ds:itemID="{20710635-67C4-4723-AB5B-FE4AF15E6397}"/>
</file>

<file path=customXml/itemProps3.xml><?xml version="1.0" encoding="utf-8"?>
<ds:datastoreItem xmlns:ds="http://schemas.openxmlformats.org/officeDocument/2006/customXml" ds:itemID="{5E6F3280-7AD4-46CD-9F65-D983A1384596}"/>
</file>

<file path=customXml/itemProps4.xml><?xml version="1.0" encoding="utf-8"?>
<ds:datastoreItem xmlns:ds="http://schemas.openxmlformats.org/officeDocument/2006/customXml" ds:itemID="{C2034EBF-7F8E-4213-A5D0-6CABE54567F2}"/>
</file>

<file path=customXml/itemProps5.xml><?xml version="1.0" encoding="utf-8"?>
<ds:datastoreItem xmlns:ds="http://schemas.openxmlformats.org/officeDocument/2006/customXml" ds:itemID="{B7A0175C-75C3-4100-97F0-207AEF7870F2}"/>
</file>

<file path=docProps/app.xml><?xml version="1.0" encoding="utf-8"?>
<Properties xmlns="http://schemas.openxmlformats.org/officeDocument/2006/extended-properties" xmlns:vt="http://schemas.openxmlformats.org/officeDocument/2006/docPropsVTypes">
  <Template>Normal.dotm</Template>
  <TotalTime>502</TotalTime>
  <Pages>110</Pages>
  <Words>21656</Words>
  <Characters>123440</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144807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Kathie</dc:creator>
  <cp:lastModifiedBy>No Name</cp:lastModifiedBy>
  <cp:revision>24</cp:revision>
  <cp:lastPrinted>2017-08-09T16:56:00Z</cp:lastPrinted>
  <dcterms:created xsi:type="dcterms:W3CDTF">2017-08-07T23:35:00Z</dcterms:created>
  <dcterms:modified xsi:type="dcterms:W3CDTF">2017-08-09T16:57:00Z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