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AF" w:rsidRDefault="00B169AF">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9D2CB8" w:rsidRDefault="009D2C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FB0E86" w:rsidRPr="00160E4F" w:rsidRDefault="00FB0E86" w:rsidP="001C28A0">
      <w:pPr>
        <w:pStyle w:val="BodyTextIndent"/>
        <w:keepNext/>
        <w:tabs>
          <w:tab w:val="clear" w:pos="0"/>
          <w:tab w:val="clear" w:pos="720"/>
          <w:tab w:val="left" w:pos="1260"/>
          <w:tab w:val="left" w:pos="1440"/>
          <w:tab w:val="left" w:pos="2160"/>
          <w:tab w:val="left" w:pos="2880"/>
          <w:tab w:val="left" w:pos="3600"/>
        </w:tabs>
        <w:spacing w:line="240" w:lineRule="auto"/>
        <w:jc w:val="center"/>
        <w:outlineLvl w:val="0"/>
        <w:rPr>
          <w:b/>
          <w:bCs/>
        </w:rPr>
      </w:pPr>
      <w:r w:rsidRPr="00160E4F">
        <w:rPr>
          <w:b/>
          <w:bCs/>
        </w:rPr>
        <w:t>BEFORE THE</w:t>
      </w:r>
    </w:p>
    <w:p w:rsidR="00FB0E86" w:rsidRPr="00160E4F" w:rsidRDefault="00FB0E86" w:rsidP="0086781B">
      <w:pPr>
        <w:pStyle w:val="BodyTextIndent"/>
        <w:keepNext/>
        <w:tabs>
          <w:tab w:val="clear" w:pos="0"/>
          <w:tab w:val="clear" w:pos="720"/>
          <w:tab w:val="left" w:pos="1260"/>
          <w:tab w:val="left" w:pos="1440"/>
          <w:tab w:val="left" w:pos="2160"/>
          <w:tab w:val="left" w:pos="2880"/>
          <w:tab w:val="left" w:pos="3600"/>
        </w:tabs>
        <w:spacing w:line="240" w:lineRule="auto"/>
        <w:jc w:val="center"/>
        <w:outlineLvl w:val="0"/>
        <w:rPr>
          <w:b/>
          <w:bCs/>
        </w:rPr>
      </w:pPr>
      <w:smartTag w:uri="urn:schemas-microsoft-com:office:smarttags" w:element="place">
        <w:smartTag w:uri="urn:schemas-microsoft-com:office:smarttags" w:element="State">
          <w:r w:rsidRPr="00160E4F">
            <w:rPr>
              <w:b/>
              <w:bCs/>
            </w:rPr>
            <w:t>WASHINGTON</w:t>
          </w:r>
        </w:smartTag>
      </w:smartTag>
      <w:r w:rsidRPr="00160E4F">
        <w:rPr>
          <w:b/>
          <w:bCs/>
        </w:rPr>
        <w:t xml:space="preserve"> UTILITIES </w:t>
      </w:r>
      <w:smartTag w:uri="urn:schemas-microsoft-com:office:smarttags" w:element="stockticker">
        <w:r w:rsidRPr="00160E4F">
          <w:rPr>
            <w:b/>
            <w:bCs/>
          </w:rPr>
          <w:t>AND</w:t>
        </w:r>
      </w:smartTag>
      <w:r w:rsidRPr="00160E4F">
        <w:rPr>
          <w:b/>
          <w:bCs/>
        </w:rPr>
        <w:t xml:space="preserve"> TRANSPORTATION COMMISSION</w:t>
      </w:r>
    </w:p>
    <w:p w:rsidR="00FB0E86" w:rsidRPr="00086DE3" w:rsidRDefault="00FB0E86">
      <w:pPr>
        <w:pStyle w:val="BodyTextIndent"/>
        <w:keepNext/>
        <w:tabs>
          <w:tab w:val="clear" w:pos="0"/>
          <w:tab w:val="clear" w:pos="720"/>
          <w:tab w:val="left" w:pos="1260"/>
          <w:tab w:val="left" w:pos="1440"/>
          <w:tab w:val="left" w:pos="2160"/>
          <w:tab w:val="left" w:pos="2880"/>
          <w:tab w:val="left" w:pos="3600"/>
        </w:tabs>
        <w:ind w:firstLine="720"/>
        <w:outlineLvl w:val="0"/>
      </w:pPr>
    </w:p>
    <w:p w:rsidR="00FB0E86" w:rsidRPr="00086DE3" w:rsidRDefault="005C2151">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rsidRPr="00086DE3">
            <w:t>WASHINGTON</w:t>
          </w:r>
        </w:smartTag>
      </w:smartTag>
      <w:r w:rsidRPr="00086DE3">
        <w:t xml:space="preserve"> UTILITIES </w:t>
      </w:r>
      <w:smartTag w:uri="urn:schemas-microsoft-com:office:smarttags" w:element="stockticker">
        <w:r w:rsidRPr="00086DE3">
          <w:t>AND</w:t>
        </w:r>
      </w:smartTag>
      <w:r w:rsidRPr="00086DE3">
        <w:tab/>
      </w:r>
      <w:r w:rsidR="00FB0E86" w:rsidRPr="00086DE3">
        <w:tab/>
        <w:t>)</w:t>
      </w:r>
      <w:r w:rsidR="00FB0E86" w:rsidRPr="00086DE3">
        <w:tab/>
      </w:r>
    </w:p>
    <w:p w:rsidR="005C2151" w:rsidRPr="00086DE3" w:rsidRDefault="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TRANSPORTATION COMMISSION</w:t>
      </w:r>
      <w:r w:rsidR="00FB0E86" w:rsidRPr="00086DE3">
        <w:tab/>
        <w:t>)</w:t>
      </w:r>
      <w:r w:rsidR="00FB0E86" w:rsidRPr="00086DE3">
        <w:tab/>
      </w:r>
      <w:r w:rsidR="0086781B" w:rsidRPr="00086DE3">
        <w:t xml:space="preserve">DOCKET </w:t>
      </w:r>
      <w:r w:rsidR="0086781B" w:rsidRPr="00086DE3">
        <w:rPr>
          <w:lang w:val="fr-FR"/>
        </w:rPr>
        <w:t>UE-</w:t>
      </w:r>
      <w:r w:rsidR="0086781B">
        <w:rPr>
          <w:lang w:val="fr-FR"/>
        </w:rPr>
        <w:t>120436</w:t>
      </w:r>
    </w:p>
    <w:p w:rsidR="005C2151" w:rsidRPr="00086DE3" w:rsidRDefault="005C2151">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sidRPr="00086DE3">
        <w:rPr>
          <w:lang w:val="fr-FR"/>
        </w:rPr>
        <w:tab/>
      </w:r>
      <w:r w:rsidRPr="00086DE3">
        <w:rPr>
          <w:lang w:val="fr-FR"/>
        </w:rPr>
        <w:tab/>
      </w:r>
      <w:r w:rsidRPr="00086DE3">
        <w:rPr>
          <w:lang w:val="fr-FR"/>
        </w:rPr>
        <w:tab/>
      </w:r>
      <w:r w:rsidRPr="00086DE3">
        <w:rPr>
          <w:lang w:val="fr-FR"/>
        </w:rPr>
        <w:tab/>
      </w:r>
      <w:r w:rsidRPr="00086DE3">
        <w:rPr>
          <w:lang w:val="fr-FR"/>
        </w:rPr>
        <w:tab/>
      </w:r>
      <w:r w:rsidRPr="00086DE3">
        <w:rPr>
          <w:lang w:val="fr-FR"/>
        </w:rPr>
        <w:tab/>
      </w:r>
      <w:r w:rsidR="00FB0E86" w:rsidRPr="00086DE3">
        <w:rPr>
          <w:lang w:val="fr-FR"/>
        </w:rPr>
        <w:t>)</w:t>
      </w:r>
      <w:r w:rsidR="00FB0E86" w:rsidRPr="00086DE3">
        <w:rPr>
          <w:lang w:val="fr-FR"/>
        </w:rPr>
        <w:tab/>
      </w:r>
      <w:r w:rsidR="0086781B" w:rsidRPr="00086DE3">
        <w:rPr>
          <w:lang w:val="fr-FR"/>
        </w:rPr>
        <w:t>and</w:t>
      </w:r>
    </w:p>
    <w:p w:rsidR="00FB0E86" w:rsidRPr="00086DE3" w:rsidRDefault="00420F85">
      <w:pPr>
        <w:pStyle w:val="BodyTextIndent"/>
        <w:keepNext/>
        <w:tabs>
          <w:tab w:val="clear" w:pos="0"/>
          <w:tab w:val="clear" w:pos="720"/>
          <w:tab w:val="left" w:pos="1260"/>
          <w:tab w:val="left" w:pos="1440"/>
          <w:tab w:val="left" w:pos="2160"/>
          <w:tab w:val="left" w:pos="2880"/>
          <w:tab w:val="left" w:pos="3600"/>
        </w:tabs>
        <w:spacing w:line="240" w:lineRule="auto"/>
        <w:outlineLvl w:val="0"/>
      </w:pPr>
      <w:r>
        <w:rPr>
          <w:lang w:val="fr-FR"/>
        </w:rPr>
        <w:tab/>
      </w:r>
      <w:proofErr w:type="spellStart"/>
      <w:r w:rsidR="005C2151" w:rsidRPr="00086DE3">
        <w:rPr>
          <w:lang w:val="fr-FR"/>
        </w:rPr>
        <w:t>Complainant</w:t>
      </w:r>
      <w:proofErr w:type="spellEnd"/>
      <w:r w:rsidR="005C2151" w:rsidRPr="00086DE3">
        <w:rPr>
          <w:lang w:val="fr-FR"/>
        </w:rPr>
        <w:t>,</w:t>
      </w:r>
      <w:r w:rsidR="005C2151" w:rsidRPr="00086DE3">
        <w:rPr>
          <w:lang w:val="fr-FR"/>
        </w:rPr>
        <w:tab/>
      </w:r>
      <w:r w:rsidR="00FB0E86" w:rsidRPr="00086DE3">
        <w:rPr>
          <w:lang w:val="fr-FR"/>
        </w:rPr>
        <w:tab/>
      </w:r>
      <w:r>
        <w:rPr>
          <w:lang w:val="fr-FR"/>
        </w:rPr>
        <w:tab/>
      </w:r>
      <w:r w:rsidR="00FB0E86" w:rsidRPr="00086DE3">
        <w:rPr>
          <w:lang w:val="fr-FR"/>
        </w:rPr>
        <w:t>)</w:t>
      </w:r>
      <w:r w:rsidR="00FB0E86" w:rsidRPr="00086DE3">
        <w:rPr>
          <w:lang w:val="fr-FR"/>
        </w:rPr>
        <w:tab/>
      </w:r>
      <w:r w:rsidR="0086781B">
        <w:t>DOCKET UG-120437</w:t>
      </w:r>
    </w:p>
    <w:p w:rsidR="005C2151" w:rsidRPr="00086DE3" w:rsidRDefault="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r>
      <w:r w:rsidRPr="00086DE3">
        <w:rPr>
          <w:lang w:val="fr-FR"/>
        </w:rPr>
        <w:t>)</w:t>
      </w:r>
      <w:r w:rsidRPr="00086DE3">
        <w:rPr>
          <w:lang w:val="fr-FR"/>
        </w:rPr>
        <w:tab/>
      </w:r>
    </w:p>
    <w:p w:rsidR="005C2151" w:rsidRPr="00086DE3" w:rsidRDefault="005C2151"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v</w:t>
      </w:r>
      <w:r w:rsidR="00951673" w:rsidRPr="00086DE3">
        <w:t>.</w:t>
      </w:r>
      <w:r w:rsidRPr="00086DE3">
        <w:tab/>
      </w:r>
      <w:r w:rsidRPr="00086DE3">
        <w:tab/>
      </w:r>
      <w:r w:rsidRPr="00086DE3">
        <w:tab/>
      </w:r>
      <w:r w:rsidRPr="00086DE3">
        <w:tab/>
      </w:r>
      <w:r w:rsidRPr="00086DE3">
        <w:tab/>
      </w:r>
      <w:r w:rsidRPr="00086DE3">
        <w:tab/>
      </w:r>
      <w:r w:rsidR="00FB0E86" w:rsidRPr="00086DE3">
        <w:t>)</w:t>
      </w:r>
    </w:p>
    <w:p w:rsidR="005C2151" w:rsidRPr="00086DE3" w:rsidRDefault="00764A09"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t>)</w:t>
      </w:r>
      <w:r>
        <w:tab/>
      </w:r>
      <w:r w:rsidR="0086781B">
        <w:t>AVISTA CORPORATION’S MOTION</w:t>
      </w:r>
    </w:p>
    <w:p w:rsidR="005C2151" w:rsidRPr="00086DE3" w:rsidRDefault="005C2151"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AVISTA CORPORATION d/b/a</w:t>
      </w:r>
      <w:r w:rsidRPr="00086DE3">
        <w:tab/>
      </w:r>
      <w:r w:rsidRPr="00086DE3">
        <w:tab/>
        <w:t>)</w:t>
      </w:r>
      <w:r w:rsidRPr="00086DE3">
        <w:tab/>
      </w:r>
      <w:r w:rsidR="0086781B">
        <w:t>FOR LEAVE TO FILE SUPPLEMENTAL</w:t>
      </w:r>
    </w:p>
    <w:p w:rsidR="005C2151" w:rsidRPr="00086DE3" w:rsidRDefault="005C2151"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AVISTA UTILITIES</w:t>
      </w:r>
      <w:r w:rsidR="00FB0E86" w:rsidRPr="00086DE3">
        <w:tab/>
      </w:r>
      <w:r w:rsidRPr="00086DE3">
        <w:tab/>
      </w:r>
      <w:r w:rsidRPr="00086DE3">
        <w:tab/>
      </w:r>
      <w:r w:rsidRPr="00086DE3">
        <w:tab/>
        <w:t>)</w:t>
      </w:r>
      <w:r w:rsidR="005F1714">
        <w:tab/>
      </w:r>
      <w:r w:rsidR="0086781B">
        <w:t>AND REVISED TESTIMONY AND</w:t>
      </w:r>
      <w:r w:rsidR="005F1714">
        <w:t xml:space="preserve"> </w:t>
      </w:r>
    </w:p>
    <w:p w:rsidR="005C2151" w:rsidRPr="00086DE3" w:rsidRDefault="005C2151"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t>)</w:t>
      </w:r>
      <w:r w:rsidR="005F1714">
        <w:tab/>
      </w:r>
      <w:r w:rsidR="0086781B">
        <w:t>EXHIBITS</w:t>
      </w:r>
    </w:p>
    <w:p w:rsidR="0086781B" w:rsidRDefault="00420F85" w:rsidP="0086781B">
      <w:pPr>
        <w:pStyle w:val="BodyTextIndent"/>
        <w:keepNext/>
        <w:tabs>
          <w:tab w:val="clear" w:pos="0"/>
          <w:tab w:val="clear" w:pos="720"/>
          <w:tab w:val="left" w:pos="1260"/>
          <w:tab w:val="left" w:pos="1440"/>
          <w:tab w:val="left" w:pos="2160"/>
          <w:tab w:val="left" w:pos="2880"/>
          <w:tab w:val="left" w:pos="3600"/>
        </w:tabs>
        <w:spacing w:line="240" w:lineRule="auto"/>
        <w:jc w:val="left"/>
        <w:outlineLvl w:val="0"/>
      </w:pPr>
      <w:r>
        <w:tab/>
      </w:r>
      <w:r w:rsidR="005C2151" w:rsidRPr="00086DE3">
        <w:t>Respondent</w:t>
      </w:r>
      <w:r w:rsidR="00F47F69" w:rsidRPr="00086DE3">
        <w:t>.</w:t>
      </w:r>
      <w:r w:rsidR="005C2151" w:rsidRPr="00086DE3">
        <w:tab/>
      </w:r>
      <w:r w:rsidR="005C2151" w:rsidRPr="00086DE3">
        <w:tab/>
      </w:r>
      <w:r>
        <w:tab/>
      </w:r>
      <w:r w:rsidR="005C2151" w:rsidRPr="00086DE3">
        <w:t>)</w:t>
      </w:r>
    </w:p>
    <w:p w:rsidR="005C2151" w:rsidRDefault="005C2151" w:rsidP="0086781B">
      <w:pPr>
        <w:pStyle w:val="BodyTextIndent"/>
        <w:keepNext/>
        <w:tabs>
          <w:tab w:val="clear" w:pos="0"/>
          <w:tab w:val="clear" w:pos="720"/>
          <w:tab w:val="left" w:pos="1260"/>
          <w:tab w:val="left" w:pos="1440"/>
          <w:tab w:val="left" w:pos="2160"/>
          <w:tab w:val="left" w:pos="2880"/>
          <w:tab w:val="left" w:pos="3600"/>
        </w:tabs>
        <w:spacing w:line="240" w:lineRule="auto"/>
        <w:jc w:val="left"/>
        <w:outlineLvl w:val="0"/>
      </w:pPr>
      <w:r w:rsidRPr="00086DE3">
        <w:t>………………………………………………)</w:t>
      </w:r>
      <w:r w:rsidR="005F1714">
        <w:tab/>
      </w:r>
    </w:p>
    <w:p w:rsidR="005F1714" w:rsidRPr="00086DE3" w:rsidRDefault="005F1714">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5C2151" w:rsidRPr="00086DE3" w:rsidRDefault="005C2151" w:rsidP="005C2151">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890137" w:rsidRDefault="00607A3B" w:rsidP="00A11C28">
      <w:pPr>
        <w:pStyle w:val="BodyTextIndent"/>
        <w:keepNext/>
        <w:tabs>
          <w:tab w:val="clear" w:pos="0"/>
          <w:tab w:val="left" w:pos="2160"/>
          <w:tab w:val="left" w:pos="2880"/>
          <w:tab w:val="left" w:pos="3600"/>
        </w:tabs>
        <w:ind w:hanging="720"/>
        <w:outlineLvl w:val="0"/>
      </w:pPr>
      <w:r w:rsidRPr="00607A3B">
        <w:rPr>
          <w:i/>
          <w:iCs/>
        </w:rPr>
        <w:t>1</w:t>
      </w:r>
      <w:r w:rsidR="005F1714">
        <w:tab/>
      </w:r>
      <w:r w:rsidR="00FC5041">
        <w:tab/>
      </w:r>
      <w:r w:rsidR="005F1714">
        <w:t>Pursuant to WAC 480-07-37</w:t>
      </w:r>
      <w:r w:rsidR="00A5293A">
        <w:t>5</w:t>
      </w:r>
      <w:r w:rsidR="005F1714">
        <w:t>(1)(d) and 480-07-4</w:t>
      </w:r>
      <w:r w:rsidR="00A5293A">
        <w:t>6</w:t>
      </w:r>
      <w:r w:rsidR="005F1714">
        <w:t>0(b)(ii), Avista Corporation (“Avista” or “the Company”)</w:t>
      </w:r>
      <w:r w:rsidR="008934C8">
        <w:t>,</w:t>
      </w:r>
      <w:r w:rsidR="005F1714">
        <w:t xml:space="preserve"> hereby requests that the Commission grant it leave to file the supplemental </w:t>
      </w:r>
      <w:r w:rsidR="00A11A62">
        <w:t xml:space="preserve">and revised </w:t>
      </w:r>
      <w:proofErr w:type="spellStart"/>
      <w:r w:rsidR="005F1714">
        <w:t>prefiled</w:t>
      </w:r>
      <w:proofErr w:type="spellEnd"/>
      <w:r w:rsidR="005F1714">
        <w:t xml:space="preserve"> direct testimony and exhibits submitted with this motion.  </w:t>
      </w:r>
    </w:p>
    <w:p w:rsidR="0044647B" w:rsidRPr="004C2658" w:rsidRDefault="00C1019C" w:rsidP="00A11C28">
      <w:pPr>
        <w:pStyle w:val="BodyTextIndent"/>
        <w:keepNext/>
        <w:tabs>
          <w:tab w:val="clear" w:pos="0"/>
          <w:tab w:val="left" w:pos="2160"/>
          <w:tab w:val="left" w:pos="2880"/>
          <w:tab w:val="left" w:pos="3600"/>
        </w:tabs>
        <w:ind w:hanging="720"/>
        <w:outlineLvl w:val="0"/>
        <w:rPr>
          <w:rStyle w:val="LineNumber"/>
          <w:b/>
          <w:bCs/>
        </w:rPr>
      </w:pPr>
      <w:r>
        <w:rPr>
          <w:i/>
          <w:iCs/>
        </w:rPr>
        <w:t>2</w:t>
      </w:r>
      <w:r>
        <w:rPr>
          <w:iCs/>
        </w:rPr>
        <w:tab/>
      </w:r>
      <w:r w:rsidR="00FC5041">
        <w:rPr>
          <w:iCs/>
        </w:rPr>
        <w:tab/>
      </w:r>
      <w:r>
        <w:rPr>
          <w:iCs/>
        </w:rPr>
        <w:t>The purpose of these revisions is to correct for a computational error in the attrition analysis prepared by Company witness Dr. Lowry, related to the use of certain logarithmic growth factor</w:t>
      </w:r>
      <w:r w:rsidR="00764A09">
        <w:rPr>
          <w:iCs/>
        </w:rPr>
        <w:t>s</w:t>
      </w:r>
      <w:r>
        <w:rPr>
          <w:iCs/>
        </w:rPr>
        <w:t xml:space="preserve"> in his trending analysis.  </w:t>
      </w:r>
      <w:r w:rsidR="00764A09">
        <w:rPr>
          <w:iCs/>
        </w:rPr>
        <w:t xml:space="preserve">These changes will not change the Company’s requested revenue requirement.  </w:t>
      </w:r>
      <w:r>
        <w:rPr>
          <w:iCs/>
        </w:rPr>
        <w:t>More specifically, t</w:t>
      </w:r>
      <w:r w:rsidR="0044647B" w:rsidRPr="004C2658">
        <w:rPr>
          <w:rStyle w:val="LineNumber"/>
        </w:rPr>
        <w:t xml:space="preserve">he attrition-adjusted </w:t>
      </w:r>
      <w:r w:rsidR="00F0480B">
        <w:rPr>
          <w:rStyle w:val="LineNumber"/>
        </w:rPr>
        <w:t>subtotal</w:t>
      </w:r>
      <w:r w:rsidR="00F0480B" w:rsidRPr="00F0480B">
        <w:rPr>
          <w:rStyle w:val="FootnoteReference"/>
          <w:vertAlign w:val="superscript"/>
        </w:rPr>
        <w:footnoteReference w:id="1"/>
      </w:r>
      <w:r w:rsidR="00F0480B">
        <w:rPr>
          <w:rStyle w:val="LineNumber"/>
        </w:rPr>
        <w:t xml:space="preserve"> of the </w:t>
      </w:r>
      <w:r w:rsidR="0044647B" w:rsidRPr="004C2658">
        <w:rPr>
          <w:rStyle w:val="LineNumber"/>
        </w:rPr>
        <w:t>revenue</w:t>
      </w:r>
      <w:r w:rsidR="00F0480B">
        <w:rPr>
          <w:rStyle w:val="LineNumber"/>
        </w:rPr>
        <w:t xml:space="preserve"> </w:t>
      </w:r>
      <w:r w:rsidR="0044647B" w:rsidRPr="004C2658">
        <w:rPr>
          <w:rStyle w:val="LineNumber"/>
        </w:rPr>
        <w:t>requirement of $41.502 million was originally developed using Dr. Lowry’s attrition</w:t>
      </w:r>
      <w:r>
        <w:rPr>
          <w:rStyle w:val="LineNumber"/>
        </w:rPr>
        <w:t xml:space="preserve"> </w:t>
      </w:r>
      <w:r w:rsidR="0044647B" w:rsidRPr="004C2658">
        <w:rPr>
          <w:rStyle w:val="LineNumber"/>
        </w:rPr>
        <w:t xml:space="preserve">adjustment of $20.5 million, as included in his direct testimony (Exhibit No. ___MNL-1T) and Exhibit No. ____(MNL-5) filed on April 2, 2012.  Since then, however, </w:t>
      </w:r>
      <w:r w:rsidR="00F0480B">
        <w:rPr>
          <w:rStyle w:val="LineNumber"/>
        </w:rPr>
        <w:t>Dr. Lowry</w:t>
      </w:r>
      <w:r w:rsidR="0044647B" w:rsidRPr="004C2658">
        <w:rPr>
          <w:rStyle w:val="LineNumber"/>
        </w:rPr>
        <w:t xml:space="preserve"> has made necessary revisions to reflect the effect of converting from logarithmic growth factors to arithmetic growth </w:t>
      </w:r>
      <w:r w:rsidR="0044647B" w:rsidRPr="004C2658">
        <w:rPr>
          <w:rStyle w:val="LineNumber"/>
        </w:rPr>
        <w:lastRenderedPageBreak/>
        <w:t xml:space="preserve">factors for the two year escalation rates that are used to </w:t>
      </w:r>
      <w:r w:rsidR="0022570D">
        <w:rPr>
          <w:rStyle w:val="LineNumber"/>
        </w:rPr>
        <w:t>t</w:t>
      </w:r>
      <w:r w:rsidR="0044647B" w:rsidRPr="004C2658">
        <w:rPr>
          <w:rStyle w:val="LineNumber"/>
        </w:rPr>
        <w:t xml:space="preserve">rend the 2011 base year amounts to the 2013 rate year amounts in his attrition study.  The conversion was inadvertently overlooked when preparing </w:t>
      </w:r>
      <w:r w:rsidR="00F0480B">
        <w:rPr>
          <w:rStyle w:val="LineNumber"/>
        </w:rPr>
        <w:t>his</w:t>
      </w:r>
      <w:r w:rsidR="0044647B" w:rsidRPr="004C2658">
        <w:rPr>
          <w:rStyle w:val="LineNumber"/>
        </w:rPr>
        <w:t xml:space="preserve"> original exhibit</w:t>
      </w:r>
      <w:r w:rsidR="0022570D">
        <w:rPr>
          <w:rStyle w:val="LineNumber"/>
        </w:rPr>
        <w:t xml:space="preserve"> (MNL-5).</w:t>
      </w:r>
      <w:r w:rsidR="0044647B" w:rsidRPr="004C2658">
        <w:rPr>
          <w:rStyle w:val="LineNumber"/>
        </w:rPr>
        <w:t xml:space="preserve">  The result of</w:t>
      </w:r>
      <w:r w:rsidR="00F0480B">
        <w:rPr>
          <w:rStyle w:val="LineNumber"/>
        </w:rPr>
        <w:t xml:space="preserve"> the change is to increase the a</w:t>
      </w:r>
      <w:r w:rsidR="0044647B" w:rsidRPr="004C2658">
        <w:rPr>
          <w:rStyle w:val="LineNumber"/>
        </w:rPr>
        <w:t>ttrition</w:t>
      </w:r>
      <w:r w:rsidR="00F0480B">
        <w:rPr>
          <w:rStyle w:val="LineNumber"/>
        </w:rPr>
        <w:t>-a</w:t>
      </w:r>
      <w:r w:rsidR="0044647B" w:rsidRPr="004C2658">
        <w:rPr>
          <w:rStyle w:val="LineNumber"/>
        </w:rPr>
        <w:t xml:space="preserve">djusted </w:t>
      </w:r>
      <w:r w:rsidR="00F0480B">
        <w:rPr>
          <w:rStyle w:val="LineNumber"/>
        </w:rPr>
        <w:t>subtotal of the r</w:t>
      </w:r>
      <w:r w:rsidR="0044647B" w:rsidRPr="004C2658">
        <w:rPr>
          <w:rStyle w:val="LineNumber"/>
        </w:rPr>
        <w:t xml:space="preserve">evenue </w:t>
      </w:r>
      <w:r w:rsidR="00F0480B">
        <w:rPr>
          <w:rStyle w:val="LineNumber"/>
        </w:rPr>
        <w:t>r</w:t>
      </w:r>
      <w:r w:rsidR="0044647B" w:rsidRPr="004C2658">
        <w:rPr>
          <w:rStyle w:val="LineNumber"/>
        </w:rPr>
        <w:t>equirement from $41.502 million to $42.569 million.  This revision is shown in Dr. Lowry’s supplemental exhibit (Exhibit No ___(MNL-5)(Supp.</w:t>
      </w:r>
      <w:r w:rsidR="00F5594C">
        <w:rPr>
          <w:rStyle w:val="LineNumber"/>
        </w:rPr>
        <w:t>), at page 2, column J, line 56).</w:t>
      </w:r>
    </w:p>
    <w:p w:rsidR="0044647B" w:rsidRDefault="00F41A47" w:rsidP="00A11C28">
      <w:pPr>
        <w:pStyle w:val="BodyTextIndent"/>
        <w:ind w:hanging="720"/>
        <w:rPr>
          <w:rStyle w:val="LineNumber"/>
        </w:rPr>
      </w:pPr>
      <w:r>
        <w:rPr>
          <w:i/>
          <w:iCs/>
        </w:rPr>
        <w:t>3</w:t>
      </w:r>
      <w:r w:rsidR="00C73E9F">
        <w:rPr>
          <w:i/>
          <w:iCs/>
        </w:rPr>
        <w:tab/>
      </w:r>
      <w:r w:rsidR="0044647B">
        <w:rPr>
          <w:rStyle w:val="LineNumber"/>
        </w:rPr>
        <w:tab/>
      </w:r>
      <w:r w:rsidR="00F0480B">
        <w:rPr>
          <w:rStyle w:val="LineNumber"/>
        </w:rPr>
        <w:t xml:space="preserve">The Company, however, </w:t>
      </w:r>
      <w:r w:rsidR="0044647B" w:rsidRPr="004C2658">
        <w:rPr>
          <w:rStyle w:val="LineNumber"/>
        </w:rPr>
        <w:t xml:space="preserve">is </w:t>
      </w:r>
      <w:r w:rsidR="0044647B" w:rsidRPr="0022570D">
        <w:rPr>
          <w:rStyle w:val="LineNumber"/>
          <w:u w:val="single"/>
        </w:rPr>
        <w:t>not</w:t>
      </w:r>
      <w:r w:rsidR="0044647B" w:rsidRPr="004C2658">
        <w:rPr>
          <w:rStyle w:val="LineNumber"/>
        </w:rPr>
        <w:t xml:space="preserve"> proposing to increase its filed-for revenue requirement (or modify its proposed tariffs) to reflect Dr. Lowry’s revised calculations as shown in his Exhibit No. ___ (MNL-5)(Supp.).  The effect of his revisions would have increased the attrition adjustment from $20.5 million to $21.6 million, thereby increasing the attrition</w:t>
      </w:r>
      <w:r w:rsidR="0022570D">
        <w:rPr>
          <w:rStyle w:val="LineNumber"/>
        </w:rPr>
        <w:t>-</w:t>
      </w:r>
      <w:r w:rsidR="0044647B" w:rsidRPr="004C2658">
        <w:rPr>
          <w:rStyle w:val="LineNumber"/>
        </w:rPr>
        <w:t xml:space="preserve">adjusted </w:t>
      </w:r>
      <w:r w:rsidR="0022570D">
        <w:rPr>
          <w:rStyle w:val="LineNumber"/>
        </w:rPr>
        <w:t>subtotal for the</w:t>
      </w:r>
      <w:r w:rsidR="0044647B" w:rsidRPr="004C2658">
        <w:rPr>
          <w:rStyle w:val="LineNumber"/>
        </w:rPr>
        <w:t xml:space="preserve"> revenue requirement from $41.502 millio</w:t>
      </w:r>
      <w:r w:rsidR="00A17806">
        <w:rPr>
          <w:rStyle w:val="LineNumber"/>
        </w:rPr>
        <w:t>n to $42.569 million.  Company W</w:t>
      </w:r>
      <w:r w:rsidR="0044647B" w:rsidRPr="004C2658">
        <w:rPr>
          <w:rStyle w:val="LineNumber"/>
        </w:rPr>
        <w:t>itness Andrew’s derivation of the requested revenue requirement, however, still makes use of Dr. Lowry’s original attrition adjustment of $20.5 million in arriving at her “Attrition Adjusted Total” in Exhibit No. ___ EMA-2, p.9, Col. AA-</w:t>
      </w:r>
      <w:proofErr w:type="spellStart"/>
      <w:r w:rsidR="0044647B" w:rsidRPr="004C2658">
        <w:rPr>
          <w:rStyle w:val="LineNumber"/>
        </w:rPr>
        <w:t>Ttl</w:t>
      </w:r>
      <w:proofErr w:type="spellEnd"/>
      <w:r w:rsidR="0044647B" w:rsidRPr="004C2658">
        <w:rPr>
          <w:rStyle w:val="LineNumber"/>
        </w:rPr>
        <w:t>, line 50.</w:t>
      </w:r>
      <w:r w:rsidR="0022570D" w:rsidRPr="0022570D">
        <w:rPr>
          <w:rStyle w:val="FootnoteReference"/>
          <w:vertAlign w:val="superscript"/>
        </w:rPr>
        <w:footnoteReference w:id="2"/>
      </w:r>
    </w:p>
    <w:p w:rsidR="00C1019C" w:rsidRDefault="00F41A47" w:rsidP="00A11C28">
      <w:pPr>
        <w:pStyle w:val="BodyTextIndent"/>
        <w:tabs>
          <w:tab w:val="clear" w:pos="720"/>
          <w:tab w:val="left" w:pos="630"/>
        </w:tabs>
        <w:ind w:hanging="720"/>
        <w:rPr>
          <w:rStyle w:val="LineNumber"/>
        </w:rPr>
      </w:pPr>
      <w:r>
        <w:rPr>
          <w:i/>
          <w:iCs/>
        </w:rPr>
        <w:t>4</w:t>
      </w:r>
      <w:r w:rsidR="00C1019C">
        <w:rPr>
          <w:rStyle w:val="LineNumber"/>
        </w:rPr>
        <w:tab/>
      </w:r>
      <w:r w:rsidR="00C73E9F">
        <w:rPr>
          <w:rStyle w:val="LineNumber"/>
        </w:rPr>
        <w:tab/>
      </w:r>
      <w:r w:rsidR="00C1019C">
        <w:rPr>
          <w:rStyle w:val="LineNumber"/>
        </w:rPr>
        <w:t xml:space="preserve">Accordingly, this correction has necessitated the following changes to the </w:t>
      </w:r>
      <w:proofErr w:type="spellStart"/>
      <w:r w:rsidR="00C1019C">
        <w:rPr>
          <w:rStyle w:val="LineNumber"/>
        </w:rPr>
        <w:t>prefiled</w:t>
      </w:r>
      <w:proofErr w:type="spellEnd"/>
      <w:r w:rsidR="00C1019C">
        <w:rPr>
          <w:rStyle w:val="LineNumber"/>
        </w:rPr>
        <w:t xml:space="preserve"> direct testimony </w:t>
      </w:r>
      <w:r w:rsidR="0022570D">
        <w:rPr>
          <w:rStyle w:val="LineNumber"/>
        </w:rPr>
        <w:t xml:space="preserve">and exhibits </w:t>
      </w:r>
      <w:r w:rsidR="00C1019C">
        <w:rPr>
          <w:rStyle w:val="LineNumber"/>
        </w:rPr>
        <w:t>of</w:t>
      </w:r>
      <w:r w:rsidR="0022570D">
        <w:rPr>
          <w:rStyle w:val="LineNumber"/>
        </w:rPr>
        <w:t xml:space="preserve"> various witnesses [attached to this motion]:</w:t>
      </w:r>
    </w:p>
    <w:p w:rsidR="00A11A62" w:rsidRDefault="00607A3B" w:rsidP="00A11C28">
      <w:pPr>
        <w:ind w:left="720" w:right="-450" w:hanging="720"/>
        <w:rPr>
          <w:iCs/>
        </w:rPr>
      </w:pPr>
      <w:r>
        <w:rPr>
          <w:i/>
          <w:iCs/>
        </w:rPr>
        <w:tab/>
      </w:r>
      <w:r w:rsidR="00F436D8">
        <w:rPr>
          <w:iCs/>
        </w:rPr>
        <w:t xml:space="preserve">●  </w:t>
      </w:r>
      <w:r w:rsidR="0044647B">
        <w:rPr>
          <w:iCs/>
        </w:rPr>
        <w:t>Revised Direct Testimony of Scott L. Morris (Exhibit No.___ SLM-1T), page 31</w:t>
      </w:r>
    </w:p>
    <w:p w:rsidR="0044647B" w:rsidRPr="00062BDF" w:rsidRDefault="0044647B" w:rsidP="00A11C28">
      <w:pPr>
        <w:ind w:right="-450" w:firstLine="720"/>
        <w:rPr>
          <w:iCs/>
          <w:szCs w:val="24"/>
        </w:rPr>
      </w:pPr>
      <w:r>
        <w:rPr>
          <w:iCs/>
        </w:rPr>
        <w:t>●</w:t>
      </w:r>
      <w:r w:rsidR="00F41A47">
        <w:rPr>
          <w:iCs/>
        </w:rPr>
        <w:t xml:space="preserve"> </w:t>
      </w:r>
      <w:r w:rsidR="00F436D8">
        <w:rPr>
          <w:iCs/>
        </w:rPr>
        <w:t xml:space="preserve"> </w:t>
      </w:r>
      <w:r w:rsidRPr="00062BDF">
        <w:rPr>
          <w:iCs/>
          <w:szCs w:val="24"/>
        </w:rPr>
        <w:t xml:space="preserve">Revised Direct Testimony of </w:t>
      </w:r>
      <w:r w:rsidR="00F436D8" w:rsidRPr="00062BDF">
        <w:rPr>
          <w:iCs/>
          <w:szCs w:val="24"/>
        </w:rPr>
        <w:t>Kelly O. Norwood (Exhibit No.__</w:t>
      </w:r>
      <w:r w:rsidRPr="00062BDF">
        <w:rPr>
          <w:iCs/>
          <w:szCs w:val="24"/>
        </w:rPr>
        <w:t>KON-1T), pages 10, 21-26</w:t>
      </w:r>
    </w:p>
    <w:p w:rsidR="0044647B" w:rsidRDefault="0044647B" w:rsidP="00A11C28">
      <w:pPr>
        <w:ind w:right="-450" w:firstLine="720"/>
        <w:rPr>
          <w:iCs/>
        </w:rPr>
      </w:pPr>
      <w:r>
        <w:rPr>
          <w:iCs/>
        </w:rPr>
        <w:t>●  Revised Direct Testimony of Mark N. Lowry (Exhibit No.___MNL-1T), pages 3, 22-23</w:t>
      </w:r>
    </w:p>
    <w:p w:rsidR="0044647B" w:rsidRDefault="0044647B" w:rsidP="00A11C28">
      <w:pPr>
        <w:ind w:right="-450" w:firstLine="720"/>
        <w:rPr>
          <w:iCs/>
        </w:rPr>
      </w:pPr>
      <w:r>
        <w:rPr>
          <w:iCs/>
        </w:rPr>
        <w:t>●  Supplemental Exhibi</w:t>
      </w:r>
      <w:r w:rsidR="007B2E9F">
        <w:rPr>
          <w:iCs/>
        </w:rPr>
        <w:t>t of Mark N. Lowry (Exhibit No.</w:t>
      </w:r>
      <w:r>
        <w:rPr>
          <w:iCs/>
        </w:rPr>
        <w:t>___MNL-5)(Supp.))</w:t>
      </w:r>
    </w:p>
    <w:p w:rsidR="0044647B" w:rsidRDefault="0044647B" w:rsidP="00A11C28">
      <w:pPr>
        <w:ind w:right="-450" w:firstLine="720"/>
        <w:rPr>
          <w:iCs/>
        </w:rPr>
      </w:pPr>
      <w:r>
        <w:rPr>
          <w:iCs/>
        </w:rPr>
        <w:t>●  Revised Direct Testimony of Elizabeth M. Andrews (Exhibit No.___EMA-1T), page 35</w:t>
      </w:r>
    </w:p>
    <w:p w:rsidR="006F3228" w:rsidRDefault="006F3228" w:rsidP="00A11C28">
      <w:pPr>
        <w:ind w:right="-450" w:firstLine="720"/>
        <w:jc w:val="both"/>
        <w:rPr>
          <w:iCs/>
        </w:rPr>
      </w:pPr>
    </w:p>
    <w:p w:rsidR="00C1019C" w:rsidRDefault="00F41A47" w:rsidP="00A11C28">
      <w:pPr>
        <w:spacing w:line="480" w:lineRule="auto"/>
        <w:ind w:left="-90" w:hanging="630"/>
        <w:jc w:val="both"/>
        <w:rPr>
          <w:iCs/>
        </w:rPr>
      </w:pPr>
      <w:r>
        <w:rPr>
          <w:i/>
          <w:iCs/>
        </w:rPr>
        <w:t>5</w:t>
      </w:r>
      <w:r w:rsidR="00C1019C">
        <w:rPr>
          <w:iCs/>
        </w:rPr>
        <w:tab/>
      </w:r>
      <w:r w:rsidR="00EB0DC3">
        <w:rPr>
          <w:iCs/>
        </w:rPr>
        <w:tab/>
      </w:r>
      <w:r w:rsidR="00A11C28">
        <w:rPr>
          <w:iCs/>
        </w:rPr>
        <w:tab/>
      </w:r>
      <w:r w:rsidR="00C1019C">
        <w:rPr>
          <w:iCs/>
        </w:rPr>
        <w:t>In addition, the Company is submitting the supplem</w:t>
      </w:r>
      <w:r w:rsidR="006F3228">
        <w:rPr>
          <w:iCs/>
        </w:rPr>
        <w:t xml:space="preserve">ental testimony and exhibit of </w:t>
      </w:r>
      <w:r w:rsidR="006F3228">
        <w:rPr>
          <w:iCs/>
        </w:rPr>
        <w:lastRenderedPageBreak/>
        <w:t>W</w:t>
      </w:r>
      <w:r w:rsidR="00C1019C">
        <w:rPr>
          <w:iCs/>
        </w:rPr>
        <w:t>itness Elizabeth Andrews, providing further analysis supporting her demonstrat</w:t>
      </w:r>
      <w:r>
        <w:rPr>
          <w:iCs/>
        </w:rPr>
        <w:t>ion of the impact of attrition o</w:t>
      </w:r>
      <w:r w:rsidR="00C1019C">
        <w:rPr>
          <w:iCs/>
        </w:rPr>
        <w:t xml:space="preserve">n the Company’s natural gas business. </w:t>
      </w:r>
    </w:p>
    <w:p w:rsidR="0044647B" w:rsidRPr="0044647B" w:rsidRDefault="00F41A47" w:rsidP="00A11C28">
      <w:pPr>
        <w:suppressAutoHyphens/>
        <w:spacing w:line="480" w:lineRule="auto"/>
        <w:ind w:left="-90" w:hanging="630"/>
        <w:jc w:val="both"/>
      </w:pPr>
      <w:r>
        <w:rPr>
          <w:i/>
          <w:iCs/>
        </w:rPr>
        <w:t>6</w:t>
      </w:r>
      <w:r w:rsidR="0044647B">
        <w:rPr>
          <w:bCs/>
          <w:i/>
          <w:iCs/>
          <w:szCs w:val="24"/>
        </w:rPr>
        <w:tab/>
      </w:r>
      <w:r w:rsidR="0044647B">
        <w:rPr>
          <w:bCs/>
          <w:i/>
          <w:iCs/>
          <w:szCs w:val="24"/>
        </w:rPr>
        <w:tab/>
      </w:r>
      <w:r w:rsidR="00A11C28">
        <w:rPr>
          <w:bCs/>
          <w:i/>
          <w:iCs/>
          <w:szCs w:val="24"/>
        </w:rPr>
        <w:tab/>
      </w:r>
      <w:r w:rsidR="0044647B" w:rsidRPr="0044647B">
        <w:t xml:space="preserve">In </w:t>
      </w:r>
      <w:r w:rsidR="0044647B">
        <w:t>her</w:t>
      </w:r>
      <w:r w:rsidR="0044647B" w:rsidRPr="0044647B">
        <w:t xml:space="preserve"> pre-filed direct testimony (Exhibit No. ___(EMA-1T), pages 56-60), </w:t>
      </w:r>
      <w:r>
        <w:t>C</w:t>
      </w:r>
      <w:r w:rsidR="007B2E9F">
        <w:t xml:space="preserve">ompany </w:t>
      </w:r>
      <w:r w:rsidR="006F3228">
        <w:t>W</w:t>
      </w:r>
      <w:r w:rsidR="007B2E9F">
        <w:t xml:space="preserve">itness Andrews </w:t>
      </w:r>
      <w:r w:rsidR="0044647B" w:rsidRPr="0044647B">
        <w:t xml:space="preserve"> addressed the erosion in earnings in the Company’s natural gas distribution business resulting from planned capital additions in 2012 and 2013.  As on the electric side of its business, the Company is also experiencing earnings attrition with respect to its natural gas business.  Not only did</w:t>
      </w:r>
      <w:r w:rsidR="0044647B">
        <w:t xml:space="preserve"> she</w:t>
      </w:r>
      <w:r w:rsidR="0044647B" w:rsidRPr="0044647B">
        <w:t xml:space="preserve"> demonstrate how the natural gas rate base authorized in rates “lags” behind the actual level of rate base dedicated to ser</w:t>
      </w:r>
      <w:r w:rsidR="00C1019C">
        <w:t>ving customers in prior years, she</w:t>
      </w:r>
      <w:r w:rsidR="0044647B" w:rsidRPr="0044647B">
        <w:t xml:space="preserve"> also demonstrated the continued erosion in earnings (“attrition”) resulting from capital additions in 2012 and 2013.  </w:t>
      </w:r>
      <w:r w:rsidR="00C1019C">
        <w:t>She</w:t>
      </w:r>
      <w:r w:rsidR="0044647B" w:rsidRPr="0044647B">
        <w:t xml:space="preserve"> calculated that the Company will experience approximately $2.7 million of earnings erosion, or “attrition” if planned capital additions are not included in rate base.</w:t>
      </w:r>
      <w:r w:rsidR="006F3228">
        <w:t xml:space="preserve">   </w:t>
      </w:r>
      <w:r w:rsidR="0044647B" w:rsidRPr="0044647B">
        <w:t>(</w:t>
      </w:r>
      <w:r w:rsidR="0044647B" w:rsidRPr="0044647B">
        <w:rPr>
          <w:u w:val="single"/>
        </w:rPr>
        <w:t>Id</w:t>
      </w:r>
      <w:r w:rsidR="0044647B" w:rsidRPr="0044647B">
        <w:t xml:space="preserve">. at 59)  </w:t>
      </w:r>
    </w:p>
    <w:p w:rsidR="0044647B" w:rsidRDefault="00F41A47" w:rsidP="00A11C28">
      <w:pPr>
        <w:suppressAutoHyphens/>
        <w:spacing w:line="480" w:lineRule="auto"/>
        <w:ind w:hanging="720"/>
        <w:jc w:val="both"/>
      </w:pPr>
      <w:r>
        <w:rPr>
          <w:i/>
          <w:iCs/>
        </w:rPr>
        <w:t>7</w:t>
      </w:r>
      <w:r w:rsidR="0044647B" w:rsidRPr="0044647B">
        <w:tab/>
      </w:r>
      <w:r>
        <w:tab/>
      </w:r>
      <w:r w:rsidR="0044647B" w:rsidRPr="0044647B">
        <w:t xml:space="preserve">The purpose of </w:t>
      </w:r>
      <w:r w:rsidR="00C1019C">
        <w:t>her</w:t>
      </w:r>
      <w:r w:rsidR="0044647B" w:rsidRPr="0044647B">
        <w:t xml:space="preserve"> supplemental testimony is to further corroborate </w:t>
      </w:r>
      <w:r w:rsidR="007B2E9F">
        <w:t>her</w:t>
      </w:r>
      <w:r w:rsidR="0044647B" w:rsidRPr="0044647B">
        <w:t xml:space="preserve"> finding</w:t>
      </w:r>
      <w:r w:rsidR="007B2E9F">
        <w:t>s</w:t>
      </w:r>
      <w:r w:rsidR="0044647B" w:rsidRPr="0044647B">
        <w:t xml:space="preserve"> of attrition, by means of a separate analysis, using the </w:t>
      </w:r>
      <w:r w:rsidR="007B2E9F">
        <w:t xml:space="preserve">same </w:t>
      </w:r>
      <w:r w:rsidR="0044647B" w:rsidRPr="0044647B">
        <w:t>techniques employed by Dr. Lowry in his electric at</w:t>
      </w:r>
      <w:r>
        <w:t xml:space="preserve">trition study for the Company.  </w:t>
      </w:r>
      <w:r w:rsidR="0044647B" w:rsidRPr="0044647B">
        <w:t>This analysis demonstrates an attrition</w:t>
      </w:r>
      <w:r w:rsidR="007B2E9F">
        <w:t>-</w:t>
      </w:r>
      <w:r w:rsidR="0044647B" w:rsidRPr="0044647B">
        <w:t>adjusted</w:t>
      </w:r>
      <w:r w:rsidR="00FB6B8E">
        <w:t xml:space="preserve"> subtotal for the</w:t>
      </w:r>
      <w:r w:rsidR="0044647B" w:rsidRPr="0044647B">
        <w:t xml:space="preserve"> revenue requirement for the 2013 rate year of $10.528 million, which is $0.952 million higher than the attrition</w:t>
      </w:r>
      <w:r w:rsidR="00FB6B8E">
        <w:t>-</w:t>
      </w:r>
      <w:r w:rsidR="0044647B" w:rsidRPr="0044647B">
        <w:t xml:space="preserve">adjusted </w:t>
      </w:r>
      <w:r w:rsidR="00FB6B8E">
        <w:t xml:space="preserve">subtotal of the </w:t>
      </w:r>
      <w:r w:rsidR="0044647B" w:rsidRPr="0044647B">
        <w:t xml:space="preserve">revenue requirement of $9.576 million shown on </w:t>
      </w:r>
      <w:r w:rsidR="00441E94">
        <w:t>Ms. Andrew’s</w:t>
      </w:r>
      <w:r w:rsidR="0044647B" w:rsidRPr="0044647B">
        <w:t xml:space="preserve"> Exhibit No. ___(EMA-3), page 9</w:t>
      </w:r>
      <w:r w:rsidR="00AB5C27">
        <w:t xml:space="preserve"> </w:t>
      </w:r>
      <w:r w:rsidR="0044647B" w:rsidRPr="0044647B">
        <w:t xml:space="preserve">of 9, column </w:t>
      </w:r>
      <w:proofErr w:type="spellStart"/>
      <w:r w:rsidR="0044647B" w:rsidRPr="0044647B">
        <w:t>ADJ-T</w:t>
      </w:r>
      <w:r w:rsidR="00217FD3">
        <w:t>tl</w:t>
      </w:r>
      <w:proofErr w:type="spellEnd"/>
      <w:r w:rsidR="0044647B" w:rsidRPr="0044647B">
        <w:t xml:space="preserve">, line 49, and explained in </w:t>
      </w:r>
      <w:r w:rsidR="00441E94">
        <w:t>her</w:t>
      </w:r>
      <w:r w:rsidR="0044647B" w:rsidRPr="0044647B">
        <w:t xml:space="preserve"> earlier direct testimony.</w:t>
      </w:r>
      <w:r w:rsidR="00A43888" w:rsidRPr="00A43888">
        <w:rPr>
          <w:rStyle w:val="FootnoteReference"/>
          <w:vertAlign w:val="superscript"/>
        </w:rPr>
        <w:footnoteReference w:id="3"/>
      </w:r>
      <w:r w:rsidR="0044647B" w:rsidRPr="00A43888">
        <w:rPr>
          <w:vertAlign w:val="superscript"/>
        </w:rPr>
        <w:t xml:space="preserve"> </w:t>
      </w:r>
      <w:r w:rsidR="0044647B" w:rsidRPr="0044647B">
        <w:t xml:space="preserve"> While the Company is </w:t>
      </w:r>
      <w:r w:rsidR="0044647B" w:rsidRPr="00441E94">
        <w:rPr>
          <w:u w:val="single"/>
        </w:rPr>
        <w:t>not</w:t>
      </w:r>
      <w:r w:rsidR="0044647B" w:rsidRPr="0044647B">
        <w:t xml:space="preserve"> increasing its filed-for revenue requirement as a result</w:t>
      </w:r>
      <w:r w:rsidR="00441E94">
        <w:t xml:space="preserve"> of this additional analysis, its purpose</w:t>
      </w:r>
      <w:r w:rsidR="0044647B" w:rsidRPr="0044647B">
        <w:t xml:space="preserve"> </w:t>
      </w:r>
      <w:r w:rsidR="00441E94">
        <w:t xml:space="preserve">is </w:t>
      </w:r>
      <w:r w:rsidR="0044647B" w:rsidRPr="0044647B">
        <w:t xml:space="preserve">to further corroborate </w:t>
      </w:r>
      <w:r w:rsidR="00A43888">
        <w:lastRenderedPageBreak/>
        <w:t>the</w:t>
      </w:r>
      <w:r w:rsidR="0044647B" w:rsidRPr="0044647B">
        <w:t xml:space="preserve"> attrition analysis provided in </w:t>
      </w:r>
      <w:r w:rsidR="00A43888">
        <w:t xml:space="preserve">Ms. Andrew’s </w:t>
      </w:r>
      <w:r w:rsidR="0044647B" w:rsidRPr="0044647B">
        <w:t>direct testimony</w:t>
      </w:r>
      <w:r w:rsidR="00247DEE">
        <w:t xml:space="preserve">, by using the same trending techniques used by Dr. Lowry in his electric study.  </w:t>
      </w:r>
      <w:r w:rsidR="0044647B" w:rsidRPr="0044647B">
        <w:t xml:space="preserve">As such, it will provide </w:t>
      </w:r>
      <w:r w:rsidR="00A43888">
        <w:t xml:space="preserve">further </w:t>
      </w:r>
      <w:r w:rsidR="0044647B" w:rsidRPr="0044647B">
        <w:t>useful information for the Commission to consider, as it deliberates on the issue of attrition.</w:t>
      </w:r>
      <w:r w:rsidR="00A43888">
        <w:t xml:space="preserve">  </w:t>
      </w:r>
      <w:r w:rsidR="00C73E9F">
        <w:t xml:space="preserve">Accordingly, the following supplemental testimony </w:t>
      </w:r>
      <w:r w:rsidR="00A43888">
        <w:t>and exhibit are being submitted [attached to this motion]:</w:t>
      </w:r>
    </w:p>
    <w:p w:rsidR="00C73E9F" w:rsidRDefault="00C73E9F" w:rsidP="00247DEE">
      <w:pPr>
        <w:suppressAutoHyphens/>
        <w:ind w:firstLine="720"/>
        <w:jc w:val="both"/>
      </w:pPr>
      <w:r>
        <w:t>●  Supplemental Testimony of Elizabeth M. Andrews (Exhibit No. ___EMA-5T)</w:t>
      </w:r>
    </w:p>
    <w:p w:rsidR="00C73E9F" w:rsidRDefault="00C73E9F" w:rsidP="00247DEE">
      <w:pPr>
        <w:suppressAutoHyphens/>
        <w:ind w:firstLine="720"/>
        <w:jc w:val="both"/>
      </w:pPr>
      <w:r>
        <w:t>●  Supplemental Exhibit of Elizabeth M. Andrews (Exhibit No. ___EMA-6)</w:t>
      </w:r>
    </w:p>
    <w:p w:rsidR="00247DEE" w:rsidRPr="0044647B" w:rsidRDefault="00247DEE" w:rsidP="00247DEE">
      <w:pPr>
        <w:suppressAutoHyphens/>
        <w:ind w:firstLine="720"/>
        <w:jc w:val="both"/>
      </w:pPr>
    </w:p>
    <w:p w:rsidR="009B0797" w:rsidRDefault="00F41A47" w:rsidP="00A11C28">
      <w:pPr>
        <w:tabs>
          <w:tab w:val="left" w:pos="0"/>
        </w:tabs>
        <w:spacing w:line="480" w:lineRule="auto"/>
        <w:ind w:hanging="720"/>
        <w:jc w:val="both"/>
        <w:rPr>
          <w:bCs/>
          <w:szCs w:val="24"/>
        </w:rPr>
      </w:pPr>
      <w:r>
        <w:rPr>
          <w:bCs/>
          <w:i/>
          <w:iCs/>
          <w:szCs w:val="24"/>
        </w:rPr>
        <w:t>8</w:t>
      </w:r>
      <w:r w:rsidR="00607A3B">
        <w:rPr>
          <w:bCs/>
          <w:i/>
          <w:iCs/>
          <w:szCs w:val="24"/>
        </w:rPr>
        <w:tab/>
      </w:r>
      <w:r w:rsidR="00607A3B">
        <w:rPr>
          <w:bCs/>
          <w:i/>
          <w:iCs/>
          <w:szCs w:val="24"/>
        </w:rPr>
        <w:tab/>
      </w:r>
      <w:r w:rsidR="009B0797">
        <w:rPr>
          <w:bCs/>
          <w:szCs w:val="24"/>
        </w:rPr>
        <w:t xml:space="preserve">The Commission’s procedural rules require Avista to seek leave for filing its proposed supplemental </w:t>
      </w:r>
      <w:r w:rsidR="00A43888">
        <w:rPr>
          <w:bCs/>
          <w:szCs w:val="24"/>
        </w:rPr>
        <w:t xml:space="preserve">and revised </w:t>
      </w:r>
      <w:r w:rsidR="009B0797">
        <w:rPr>
          <w:bCs/>
          <w:szCs w:val="24"/>
        </w:rPr>
        <w:t>direct testimony and exhibits because they go beyond revisions to correct mistakes:</w:t>
      </w:r>
    </w:p>
    <w:p w:rsidR="009B0797" w:rsidRDefault="009B0797" w:rsidP="00691F59">
      <w:pPr>
        <w:tabs>
          <w:tab w:val="left" w:pos="720"/>
        </w:tabs>
        <w:ind w:left="1440" w:right="720"/>
        <w:jc w:val="both"/>
        <w:rPr>
          <w:bCs/>
          <w:szCs w:val="24"/>
        </w:rPr>
      </w:pPr>
      <w:r>
        <w:rPr>
          <w:bCs/>
          <w:szCs w:val="24"/>
        </w:rPr>
        <w:t xml:space="preserve">Parties must seek leave from the presiding officer by written motion if they wish to submit testimony that includes substantive changes other than to simply correct errors of fact asserted by a witness.  </w:t>
      </w:r>
      <w:r w:rsidR="00EF69F1">
        <w:rPr>
          <w:bCs/>
          <w:szCs w:val="24"/>
        </w:rPr>
        <w:t>A party proposing such changes may submit the proposed revisions with its motion.</w:t>
      </w:r>
    </w:p>
    <w:p w:rsidR="00A1507C" w:rsidRDefault="00A1507C" w:rsidP="00A1507C">
      <w:pPr>
        <w:tabs>
          <w:tab w:val="left" w:pos="720"/>
        </w:tabs>
        <w:ind w:left="720" w:firstLine="720"/>
        <w:jc w:val="both"/>
        <w:rPr>
          <w:bCs/>
          <w:szCs w:val="24"/>
        </w:rPr>
      </w:pPr>
    </w:p>
    <w:p w:rsidR="00EF69F1" w:rsidRDefault="00EF69F1" w:rsidP="00A11C28">
      <w:pPr>
        <w:tabs>
          <w:tab w:val="left" w:pos="720"/>
        </w:tabs>
        <w:spacing w:line="480" w:lineRule="auto"/>
        <w:ind w:hanging="720"/>
        <w:jc w:val="both"/>
        <w:rPr>
          <w:bCs/>
          <w:szCs w:val="24"/>
        </w:rPr>
      </w:pPr>
      <w:r>
        <w:rPr>
          <w:bCs/>
          <w:szCs w:val="24"/>
        </w:rPr>
        <w:tab/>
        <w:t>WAC 480-07-460(1)(b)(ii).  Avista therefore files this motion seeking such leave.</w:t>
      </w:r>
    </w:p>
    <w:p w:rsidR="00EF69F1" w:rsidRDefault="00F41A47" w:rsidP="00A11C28">
      <w:pPr>
        <w:tabs>
          <w:tab w:val="left" w:pos="0"/>
        </w:tabs>
        <w:spacing w:line="480" w:lineRule="auto"/>
        <w:ind w:hanging="720"/>
        <w:jc w:val="both"/>
        <w:rPr>
          <w:bCs/>
          <w:szCs w:val="24"/>
        </w:rPr>
      </w:pPr>
      <w:r>
        <w:rPr>
          <w:bCs/>
          <w:i/>
          <w:iCs/>
          <w:szCs w:val="24"/>
        </w:rPr>
        <w:t>9</w:t>
      </w:r>
      <w:r w:rsidR="00607A3B">
        <w:rPr>
          <w:bCs/>
          <w:i/>
          <w:iCs/>
          <w:szCs w:val="24"/>
        </w:rPr>
        <w:tab/>
      </w:r>
      <w:r w:rsidR="00607A3B">
        <w:rPr>
          <w:bCs/>
          <w:i/>
          <w:iCs/>
          <w:szCs w:val="24"/>
        </w:rPr>
        <w:tab/>
      </w:r>
      <w:r w:rsidR="00EF69F1">
        <w:rPr>
          <w:bCs/>
          <w:szCs w:val="24"/>
        </w:rPr>
        <w:t>Avista’s motion should be granted</w:t>
      </w:r>
      <w:r w:rsidR="00BB5323">
        <w:rPr>
          <w:bCs/>
          <w:szCs w:val="24"/>
        </w:rPr>
        <w:t xml:space="preserve">.  Avista seeks to add to the record </w:t>
      </w:r>
      <w:r w:rsidR="00A43888">
        <w:rPr>
          <w:bCs/>
          <w:szCs w:val="24"/>
        </w:rPr>
        <w:t xml:space="preserve">corrections and </w:t>
      </w:r>
      <w:r w:rsidR="00BB5323">
        <w:rPr>
          <w:bCs/>
          <w:szCs w:val="24"/>
        </w:rPr>
        <w:t xml:space="preserve">supplemental evidence that will more accurately reflect </w:t>
      </w:r>
      <w:r w:rsidR="00DA68D9">
        <w:rPr>
          <w:bCs/>
          <w:szCs w:val="24"/>
        </w:rPr>
        <w:t>the impact of attrition on its electric and natural gas business for the period that retail rates will be in effect at the conclusion of this proceeding</w:t>
      </w:r>
      <w:r w:rsidR="00BB5323">
        <w:rPr>
          <w:bCs/>
          <w:szCs w:val="24"/>
        </w:rPr>
        <w:t xml:space="preserve">.  Avista has sought to prepare and present its </w:t>
      </w:r>
      <w:r w:rsidR="00A43888">
        <w:rPr>
          <w:bCs/>
          <w:szCs w:val="24"/>
        </w:rPr>
        <w:t xml:space="preserve">corrections and </w:t>
      </w:r>
      <w:r w:rsidR="00BB5323">
        <w:rPr>
          <w:bCs/>
          <w:szCs w:val="24"/>
        </w:rPr>
        <w:t xml:space="preserve">supplemental evidence in a manner that makes it easy for other parties to understand the required changes from Avista’s </w:t>
      </w:r>
      <w:proofErr w:type="spellStart"/>
      <w:r w:rsidR="00BB5323">
        <w:rPr>
          <w:bCs/>
          <w:szCs w:val="24"/>
        </w:rPr>
        <w:t>prefiled</w:t>
      </w:r>
      <w:proofErr w:type="spellEnd"/>
      <w:r w:rsidR="00BB5323">
        <w:rPr>
          <w:bCs/>
          <w:szCs w:val="24"/>
        </w:rPr>
        <w:t xml:space="preserve"> direct evidence.  Allowing Avista to supplement </w:t>
      </w:r>
      <w:r w:rsidR="00A43888">
        <w:rPr>
          <w:bCs/>
          <w:szCs w:val="24"/>
        </w:rPr>
        <w:t xml:space="preserve">and correct </w:t>
      </w:r>
      <w:r w:rsidR="00BB5323">
        <w:rPr>
          <w:bCs/>
          <w:szCs w:val="24"/>
        </w:rPr>
        <w:t>its evidence now will reduce the burden on other parties that would result from having to attempt to update or correct Avista’s original filing themselves</w:t>
      </w:r>
      <w:r w:rsidR="00A43888">
        <w:rPr>
          <w:bCs/>
          <w:szCs w:val="24"/>
        </w:rPr>
        <w:t>,</w:t>
      </w:r>
      <w:r w:rsidR="00BB5323">
        <w:rPr>
          <w:bCs/>
          <w:szCs w:val="24"/>
        </w:rPr>
        <w:t xml:space="preserve"> based on information made available to them in </w:t>
      </w:r>
      <w:r w:rsidR="000C69FF">
        <w:rPr>
          <w:bCs/>
          <w:szCs w:val="24"/>
        </w:rPr>
        <w:t xml:space="preserve">subsequent </w:t>
      </w:r>
      <w:r w:rsidR="00BB5323">
        <w:rPr>
          <w:bCs/>
          <w:szCs w:val="24"/>
        </w:rPr>
        <w:t>data request responses.  Submission of the supplemental</w:t>
      </w:r>
      <w:r w:rsidR="000C69FF">
        <w:rPr>
          <w:bCs/>
          <w:szCs w:val="24"/>
        </w:rPr>
        <w:t xml:space="preserve"> and corrected</w:t>
      </w:r>
      <w:r w:rsidR="00BB5323">
        <w:rPr>
          <w:bCs/>
          <w:szCs w:val="24"/>
        </w:rPr>
        <w:t xml:space="preserve"> testimony at this time also provides the other parties the opportunity to address the </w:t>
      </w:r>
      <w:r w:rsidR="000C69FF">
        <w:rPr>
          <w:bCs/>
          <w:szCs w:val="24"/>
        </w:rPr>
        <w:t>revised</w:t>
      </w:r>
      <w:r w:rsidR="00BB5323">
        <w:rPr>
          <w:bCs/>
          <w:szCs w:val="24"/>
        </w:rPr>
        <w:t xml:space="preserve"> information in their response </w:t>
      </w:r>
      <w:r w:rsidR="00BB5323">
        <w:rPr>
          <w:bCs/>
          <w:szCs w:val="24"/>
        </w:rPr>
        <w:lastRenderedPageBreak/>
        <w:t>testimonies (due September 1</w:t>
      </w:r>
      <w:r w:rsidR="00DA68D9">
        <w:rPr>
          <w:bCs/>
          <w:szCs w:val="24"/>
        </w:rPr>
        <w:t>9</w:t>
      </w:r>
      <w:r w:rsidR="00BB5323">
        <w:rPr>
          <w:bCs/>
          <w:szCs w:val="24"/>
        </w:rPr>
        <w:t>, 20</w:t>
      </w:r>
      <w:r w:rsidR="00DA68D9">
        <w:rPr>
          <w:bCs/>
          <w:szCs w:val="24"/>
        </w:rPr>
        <w:t>12</w:t>
      </w:r>
      <w:r w:rsidR="00BB5323">
        <w:rPr>
          <w:bCs/>
          <w:szCs w:val="24"/>
        </w:rPr>
        <w:t xml:space="preserve">), which would not be possible if Avista first provided this information </w:t>
      </w:r>
      <w:r w:rsidR="000C69FF">
        <w:rPr>
          <w:bCs/>
          <w:szCs w:val="24"/>
        </w:rPr>
        <w:t xml:space="preserve">only </w:t>
      </w:r>
      <w:r w:rsidR="00BB5323">
        <w:rPr>
          <w:bCs/>
          <w:szCs w:val="24"/>
        </w:rPr>
        <w:t xml:space="preserve">in Avista’s rebuttal testimony.  Finally, </w:t>
      </w:r>
      <w:r w:rsidR="00DA68D9">
        <w:rPr>
          <w:bCs/>
          <w:szCs w:val="24"/>
        </w:rPr>
        <w:t>Avista b</w:t>
      </w:r>
      <w:r w:rsidR="00BB5323">
        <w:rPr>
          <w:bCs/>
          <w:szCs w:val="24"/>
        </w:rPr>
        <w:t xml:space="preserve">elieves that the parties to this proceeding </w:t>
      </w:r>
      <w:r w:rsidR="00DA68D9">
        <w:rPr>
          <w:bCs/>
          <w:szCs w:val="24"/>
        </w:rPr>
        <w:t xml:space="preserve">will not be disadvantaged by this filing, inasmuch as they </w:t>
      </w:r>
      <w:r>
        <w:rPr>
          <w:bCs/>
          <w:szCs w:val="24"/>
        </w:rPr>
        <w:t>will have three and one-half (3</w:t>
      </w:r>
      <w:r w:rsidR="00DA68D9">
        <w:rPr>
          <w:bCs/>
          <w:szCs w:val="24"/>
        </w:rPr>
        <w:t xml:space="preserve">½) months to conduct any additional discovery with respect to </w:t>
      </w:r>
      <w:r w:rsidR="000C69FF">
        <w:rPr>
          <w:bCs/>
          <w:szCs w:val="24"/>
        </w:rPr>
        <w:t>these rather brief</w:t>
      </w:r>
      <w:r w:rsidR="00DA68D9">
        <w:rPr>
          <w:bCs/>
          <w:szCs w:val="24"/>
        </w:rPr>
        <w:t xml:space="preserve"> supplemental submission</w:t>
      </w:r>
      <w:r w:rsidR="000C69FF">
        <w:rPr>
          <w:bCs/>
          <w:szCs w:val="24"/>
        </w:rPr>
        <w:t>s</w:t>
      </w:r>
      <w:r w:rsidR="00DA68D9">
        <w:rPr>
          <w:bCs/>
          <w:szCs w:val="24"/>
        </w:rPr>
        <w:t>, before their responsive testimony is due on September 19, 2012.</w:t>
      </w:r>
    </w:p>
    <w:p w:rsidR="000C69FF" w:rsidRPr="000C69FF" w:rsidRDefault="00F41A47" w:rsidP="00A11C28">
      <w:pPr>
        <w:spacing w:line="480" w:lineRule="auto"/>
        <w:ind w:hanging="720"/>
        <w:jc w:val="both"/>
        <w:rPr>
          <w:bCs/>
          <w:szCs w:val="24"/>
        </w:rPr>
      </w:pPr>
      <w:r>
        <w:rPr>
          <w:bCs/>
          <w:i/>
          <w:iCs/>
          <w:szCs w:val="24"/>
        </w:rPr>
        <w:t>10</w:t>
      </w:r>
      <w:r w:rsidR="000C69FF">
        <w:rPr>
          <w:bCs/>
          <w:i/>
          <w:iCs/>
          <w:szCs w:val="24"/>
        </w:rPr>
        <w:tab/>
      </w:r>
      <w:r w:rsidR="000C69FF">
        <w:rPr>
          <w:bCs/>
          <w:i/>
          <w:iCs/>
          <w:szCs w:val="24"/>
        </w:rPr>
        <w:tab/>
      </w:r>
      <w:r w:rsidR="000C69FF">
        <w:rPr>
          <w:bCs/>
          <w:iCs/>
          <w:szCs w:val="24"/>
        </w:rPr>
        <w:t>Avista understands that the Commission’s interest in having a full record with the best available evidence upon which to base its decisions must be balanced against the parties’ needs to have an adequate opportunity to conduct discovery and prepare their own testimony and exhibits.  As noted, Avista’s supplemental testimony and exhibits is submitted well in advance</w:t>
      </w:r>
      <w:r>
        <w:rPr>
          <w:bCs/>
          <w:iCs/>
          <w:szCs w:val="24"/>
        </w:rPr>
        <w:t xml:space="preserve"> of the current filing deadline of</w:t>
      </w:r>
      <w:r w:rsidR="00F5594C">
        <w:rPr>
          <w:bCs/>
          <w:iCs/>
          <w:szCs w:val="24"/>
        </w:rPr>
        <w:t xml:space="preserve"> September 19</w:t>
      </w:r>
      <w:r w:rsidR="000C69FF">
        <w:rPr>
          <w:bCs/>
          <w:iCs/>
          <w:szCs w:val="24"/>
        </w:rPr>
        <w:t>, 2012</w:t>
      </w:r>
      <w:r>
        <w:rPr>
          <w:bCs/>
          <w:iCs/>
          <w:szCs w:val="24"/>
        </w:rPr>
        <w:t>,</w:t>
      </w:r>
      <w:r w:rsidR="000C69FF">
        <w:rPr>
          <w:bCs/>
          <w:iCs/>
          <w:szCs w:val="24"/>
        </w:rPr>
        <w:t xml:space="preserve"> for responsive testimony, so the parties should have an adequate opportunity to conduct discovery.  Moreover, Avista’s supplemental and revised testimony and exhibits are accompanied by workpapers which should aid in expediting the discovery process on the supplemental testimony.</w:t>
      </w:r>
    </w:p>
    <w:p w:rsidR="00BB5323" w:rsidRDefault="00F41A47" w:rsidP="00A11C28">
      <w:pPr>
        <w:tabs>
          <w:tab w:val="left" w:pos="720"/>
        </w:tabs>
        <w:spacing w:line="480" w:lineRule="auto"/>
        <w:ind w:hanging="720"/>
        <w:jc w:val="both"/>
        <w:rPr>
          <w:bCs/>
          <w:szCs w:val="24"/>
        </w:rPr>
      </w:pPr>
      <w:r>
        <w:rPr>
          <w:bCs/>
          <w:i/>
          <w:iCs/>
          <w:szCs w:val="24"/>
        </w:rPr>
        <w:t>11</w:t>
      </w:r>
      <w:r w:rsidR="00607A3B">
        <w:rPr>
          <w:bCs/>
          <w:i/>
          <w:iCs/>
          <w:szCs w:val="24"/>
        </w:rPr>
        <w:tab/>
      </w:r>
      <w:r w:rsidR="00607A3B">
        <w:rPr>
          <w:bCs/>
          <w:i/>
          <w:iCs/>
          <w:szCs w:val="24"/>
        </w:rPr>
        <w:tab/>
      </w:r>
      <w:r w:rsidR="00BB5323">
        <w:rPr>
          <w:bCs/>
          <w:szCs w:val="24"/>
        </w:rPr>
        <w:t xml:space="preserve">In Puget Sound Energy, Inc.’s (“PSE”) </w:t>
      </w:r>
      <w:r w:rsidR="000C69FF">
        <w:rPr>
          <w:bCs/>
          <w:szCs w:val="24"/>
        </w:rPr>
        <w:t xml:space="preserve">prior </w:t>
      </w:r>
      <w:r w:rsidR="00BB5323">
        <w:rPr>
          <w:bCs/>
          <w:szCs w:val="24"/>
        </w:rPr>
        <w:t>general rate case (Docket UE-072300 and UG-072301), PSE was granted leave to file supplemental testimony.  (</w:t>
      </w:r>
      <w:r w:rsidR="00B65C17">
        <w:rPr>
          <w:bCs/>
          <w:szCs w:val="24"/>
          <w:u w:val="single"/>
        </w:rPr>
        <w:t>S</w:t>
      </w:r>
      <w:r w:rsidR="00BB5323" w:rsidRPr="00BB5323">
        <w:rPr>
          <w:bCs/>
          <w:szCs w:val="24"/>
          <w:u w:val="single"/>
        </w:rPr>
        <w:t>ee</w:t>
      </w:r>
      <w:r w:rsidR="00BB5323">
        <w:rPr>
          <w:bCs/>
          <w:szCs w:val="24"/>
        </w:rPr>
        <w:t xml:space="preserve"> Order 08</w:t>
      </w:r>
      <w:r w:rsidR="005611C8">
        <w:rPr>
          <w:bCs/>
          <w:szCs w:val="24"/>
        </w:rPr>
        <w:t>, dated May 5, 2008</w:t>
      </w:r>
      <w:r w:rsidR="00BB5323">
        <w:rPr>
          <w:bCs/>
          <w:szCs w:val="24"/>
        </w:rPr>
        <w:t xml:space="preserve">)  In his Order, </w:t>
      </w:r>
      <w:r w:rsidR="00BB5323" w:rsidRPr="00BB5323">
        <w:rPr>
          <w:bCs/>
          <w:szCs w:val="24"/>
          <w:u w:val="single"/>
        </w:rPr>
        <w:t>supra</w:t>
      </w:r>
      <w:r w:rsidR="00BB5323">
        <w:rPr>
          <w:bCs/>
          <w:szCs w:val="24"/>
        </w:rPr>
        <w:t xml:space="preserve">, at </w:t>
      </w:r>
      <w:proofErr w:type="spellStart"/>
      <w:r w:rsidR="00BB5323">
        <w:rPr>
          <w:bCs/>
          <w:szCs w:val="24"/>
        </w:rPr>
        <w:t>para</w:t>
      </w:r>
      <w:proofErr w:type="spellEnd"/>
      <w:r w:rsidR="00BB5323">
        <w:rPr>
          <w:bCs/>
          <w:szCs w:val="24"/>
        </w:rPr>
        <w:t>. 10, Administrative Law Judge, Dennis J. Moss noted as follows:</w:t>
      </w:r>
    </w:p>
    <w:p w:rsidR="00C73E9F" w:rsidRDefault="00BB5323" w:rsidP="00A11C28">
      <w:pPr>
        <w:tabs>
          <w:tab w:val="left" w:pos="720"/>
          <w:tab w:val="left" w:pos="8640"/>
        </w:tabs>
        <w:ind w:left="1440"/>
        <w:jc w:val="both"/>
        <w:rPr>
          <w:bCs/>
          <w:szCs w:val="24"/>
        </w:rPr>
      </w:pPr>
      <w:r>
        <w:rPr>
          <w:bCs/>
          <w:szCs w:val="24"/>
        </w:rPr>
        <w:t>The Commission’s paramount interest is in having a full record with the best available evidence upon which to base its decisions.  When the Company offers supplemental evidence, as here, the Commission balances its interest in having up-to-date information against the needs of the parties to have adequate opportunities for discovery and the development of their own testimony and exhibits…</w:t>
      </w:r>
      <w:r w:rsidR="005611C8">
        <w:rPr>
          <w:bCs/>
          <w:szCs w:val="24"/>
        </w:rPr>
        <w:t>.</w:t>
      </w:r>
    </w:p>
    <w:p w:rsidR="00C73E9F" w:rsidRDefault="00C73E9F" w:rsidP="00A11C28">
      <w:pPr>
        <w:tabs>
          <w:tab w:val="left" w:pos="720"/>
          <w:tab w:val="left" w:pos="8640"/>
        </w:tabs>
        <w:ind w:left="1440"/>
        <w:jc w:val="both"/>
        <w:rPr>
          <w:bCs/>
          <w:szCs w:val="24"/>
        </w:rPr>
      </w:pPr>
    </w:p>
    <w:p w:rsidR="00C73E9F" w:rsidRDefault="00F41A47" w:rsidP="00A11C28">
      <w:pPr>
        <w:tabs>
          <w:tab w:val="left" w:pos="720"/>
        </w:tabs>
        <w:spacing w:line="480" w:lineRule="auto"/>
        <w:ind w:hanging="720"/>
        <w:jc w:val="both"/>
        <w:rPr>
          <w:bCs/>
          <w:szCs w:val="24"/>
        </w:rPr>
      </w:pPr>
      <w:r>
        <w:rPr>
          <w:bCs/>
          <w:i/>
          <w:iCs/>
          <w:szCs w:val="24"/>
        </w:rPr>
        <w:t>12</w:t>
      </w:r>
      <w:r>
        <w:rPr>
          <w:bCs/>
          <w:i/>
          <w:iCs/>
          <w:szCs w:val="24"/>
        </w:rPr>
        <w:tab/>
      </w:r>
      <w:r>
        <w:rPr>
          <w:bCs/>
          <w:i/>
          <w:iCs/>
          <w:szCs w:val="24"/>
        </w:rPr>
        <w:tab/>
      </w:r>
      <w:r w:rsidR="00BB5323">
        <w:rPr>
          <w:bCs/>
          <w:szCs w:val="24"/>
        </w:rPr>
        <w:t xml:space="preserve">For the reasons </w:t>
      </w:r>
      <w:r w:rsidR="00607A3B">
        <w:rPr>
          <w:bCs/>
          <w:szCs w:val="24"/>
        </w:rPr>
        <w:t>expressed</w:t>
      </w:r>
      <w:r w:rsidR="00BB5323">
        <w:rPr>
          <w:bCs/>
          <w:szCs w:val="24"/>
        </w:rPr>
        <w:t xml:space="preserve"> above, Avista </w:t>
      </w:r>
      <w:r w:rsidR="00B65C17">
        <w:rPr>
          <w:bCs/>
          <w:szCs w:val="24"/>
        </w:rPr>
        <w:t>believes that this reques</w:t>
      </w:r>
      <w:r w:rsidR="00C73E9F">
        <w:rPr>
          <w:bCs/>
          <w:szCs w:val="24"/>
        </w:rPr>
        <w:t>t to</w:t>
      </w:r>
      <w:r w:rsidR="00A11C28">
        <w:rPr>
          <w:bCs/>
          <w:szCs w:val="24"/>
        </w:rPr>
        <w:t xml:space="preserve"> </w:t>
      </w:r>
      <w:r w:rsidR="00B65C17">
        <w:rPr>
          <w:bCs/>
          <w:szCs w:val="24"/>
        </w:rPr>
        <w:t xml:space="preserve">supplement </w:t>
      </w:r>
      <w:r w:rsidR="000C69FF">
        <w:rPr>
          <w:bCs/>
          <w:szCs w:val="24"/>
        </w:rPr>
        <w:t xml:space="preserve">and correct </w:t>
      </w:r>
      <w:r w:rsidR="00B65C17">
        <w:rPr>
          <w:bCs/>
          <w:szCs w:val="24"/>
        </w:rPr>
        <w:t>its filing will allow for “a more orderly process and will promote fairness.” (</w:t>
      </w:r>
      <w:r w:rsidR="00B65C17">
        <w:rPr>
          <w:bCs/>
          <w:szCs w:val="24"/>
          <w:u w:val="single"/>
        </w:rPr>
        <w:t>S</w:t>
      </w:r>
      <w:r w:rsidR="00B65C17" w:rsidRPr="00B65C17">
        <w:rPr>
          <w:bCs/>
          <w:szCs w:val="24"/>
          <w:u w:val="single"/>
        </w:rPr>
        <w:t>ee</w:t>
      </w:r>
      <w:r w:rsidR="00B65C17">
        <w:rPr>
          <w:bCs/>
          <w:szCs w:val="24"/>
        </w:rPr>
        <w:t xml:space="preserve"> Order, </w:t>
      </w:r>
      <w:r w:rsidR="00B65C17" w:rsidRPr="00CE5904">
        <w:rPr>
          <w:bCs/>
          <w:szCs w:val="24"/>
          <w:u w:val="single"/>
        </w:rPr>
        <w:lastRenderedPageBreak/>
        <w:t>supra</w:t>
      </w:r>
      <w:r w:rsidR="00B65C17">
        <w:rPr>
          <w:bCs/>
          <w:szCs w:val="24"/>
        </w:rPr>
        <w:t>, para.9)</w:t>
      </w:r>
      <w:r w:rsidR="00B05F91">
        <w:rPr>
          <w:bCs/>
          <w:szCs w:val="24"/>
        </w:rPr>
        <w:t xml:space="preserve">.  Moreover, it will provide </w:t>
      </w:r>
      <w:r w:rsidR="000C69FF">
        <w:rPr>
          <w:bCs/>
          <w:szCs w:val="24"/>
        </w:rPr>
        <w:t>additional</w:t>
      </w:r>
      <w:r w:rsidR="00B05F91">
        <w:rPr>
          <w:bCs/>
          <w:szCs w:val="24"/>
        </w:rPr>
        <w:t xml:space="preserve"> corrections and analysis surrounding “attrition” – something that this Commission has recently expressed, on multiple occasions</w:t>
      </w:r>
      <w:r w:rsidR="00B35565">
        <w:rPr>
          <w:bCs/>
          <w:szCs w:val="24"/>
        </w:rPr>
        <w:t>,</w:t>
      </w:r>
      <w:r w:rsidR="00B05F91">
        <w:rPr>
          <w:bCs/>
          <w:szCs w:val="24"/>
        </w:rPr>
        <w:t xml:space="preserve"> an interest in exploring as a means to allow for timely and sufficient cost recovery.</w:t>
      </w:r>
      <w:r w:rsidR="000C69FF" w:rsidRPr="008C7697">
        <w:rPr>
          <w:rStyle w:val="FootnoteReference"/>
          <w:bCs/>
          <w:szCs w:val="24"/>
          <w:vertAlign w:val="superscript"/>
        </w:rPr>
        <w:footnoteReference w:id="4"/>
      </w:r>
    </w:p>
    <w:p w:rsidR="0052436E" w:rsidRPr="00607A3B" w:rsidRDefault="00F41A47" w:rsidP="00A11C28">
      <w:pPr>
        <w:tabs>
          <w:tab w:val="left" w:pos="720"/>
          <w:tab w:val="left" w:pos="8640"/>
        </w:tabs>
        <w:spacing w:line="480" w:lineRule="auto"/>
        <w:ind w:hanging="720"/>
        <w:jc w:val="both"/>
        <w:rPr>
          <w:bCs/>
          <w:szCs w:val="24"/>
        </w:rPr>
      </w:pPr>
      <w:r>
        <w:rPr>
          <w:bCs/>
          <w:i/>
          <w:iCs/>
          <w:szCs w:val="24"/>
        </w:rPr>
        <w:t>13</w:t>
      </w:r>
      <w:r w:rsidR="00607A3B">
        <w:rPr>
          <w:bCs/>
          <w:i/>
          <w:iCs/>
          <w:szCs w:val="24"/>
        </w:rPr>
        <w:tab/>
      </w:r>
      <w:r w:rsidR="008C7697">
        <w:rPr>
          <w:bCs/>
          <w:i/>
          <w:iCs/>
          <w:szCs w:val="24"/>
        </w:rPr>
        <w:tab/>
      </w:r>
      <w:r w:rsidR="004B6E8C">
        <w:rPr>
          <w:bCs/>
          <w:szCs w:val="24"/>
        </w:rPr>
        <w:t>Accordingly</w:t>
      </w:r>
      <w:r w:rsidR="000A3CF2">
        <w:rPr>
          <w:bCs/>
          <w:szCs w:val="24"/>
        </w:rPr>
        <w:t xml:space="preserve">, Avista respectfully requests </w:t>
      </w:r>
      <w:r w:rsidR="00691F59">
        <w:rPr>
          <w:bCs/>
          <w:szCs w:val="24"/>
        </w:rPr>
        <w:t xml:space="preserve">that the Commission enter an order granting Avista leave to supplement </w:t>
      </w:r>
      <w:r w:rsidR="00B05F91">
        <w:rPr>
          <w:bCs/>
          <w:szCs w:val="24"/>
        </w:rPr>
        <w:t xml:space="preserve">and otherwise revise </w:t>
      </w:r>
      <w:r w:rsidR="00691F59">
        <w:rPr>
          <w:bCs/>
          <w:szCs w:val="24"/>
        </w:rPr>
        <w:t xml:space="preserve">its </w:t>
      </w:r>
      <w:proofErr w:type="spellStart"/>
      <w:r w:rsidR="00691F59">
        <w:rPr>
          <w:bCs/>
          <w:szCs w:val="24"/>
        </w:rPr>
        <w:t>prefiled</w:t>
      </w:r>
      <w:proofErr w:type="spellEnd"/>
      <w:r w:rsidR="00691F59">
        <w:rPr>
          <w:bCs/>
          <w:szCs w:val="24"/>
        </w:rPr>
        <w:t xml:space="preserve"> evidence in this proceeding and accepting for filing the supplemental </w:t>
      </w:r>
      <w:r w:rsidR="00B05F91">
        <w:rPr>
          <w:bCs/>
          <w:szCs w:val="24"/>
        </w:rPr>
        <w:t xml:space="preserve">and revised </w:t>
      </w:r>
      <w:r w:rsidR="00691F59">
        <w:rPr>
          <w:bCs/>
          <w:szCs w:val="24"/>
        </w:rPr>
        <w:t>testimony and exhibits submitted with this motion.</w:t>
      </w:r>
    </w:p>
    <w:p w:rsidR="00A92347" w:rsidRDefault="00A1507C" w:rsidP="00A11C28">
      <w:pPr>
        <w:keepNext/>
        <w:spacing w:line="480" w:lineRule="auto"/>
        <w:jc w:val="both"/>
        <w:outlineLvl w:val="1"/>
        <w:rPr>
          <w:bCs/>
          <w:szCs w:val="24"/>
        </w:rPr>
      </w:pPr>
      <w:r>
        <w:rPr>
          <w:bCs/>
          <w:szCs w:val="24"/>
        </w:rPr>
        <w:tab/>
      </w:r>
      <w:r w:rsidR="003006CE">
        <w:rPr>
          <w:bCs/>
          <w:szCs w:val="24"/>
        </w:rPr>
        <w:t xml:space="preserve">Respectfully </w:t>
      </w:r>
      <w:r w:rsidR="00A11C28">
        <w:rPr>
          <w:bCs/>
          <w:szCs w:val="24"/>
        </w:rPr>
        <w:t>Submitted this____ day of May, 2012</w:t>
      </w:r>
    </w:p>
    <w:p w:rsidR="00A11C28" w:rsidRDefault="00A11C28" w:rsidP="003006CE">
      <w:pPr>
        <w:ind w:left="720" w:firstLine="720"/>
        <w:rPr>
          <w:szCs w:val="24"/>
        </w:rPr>
      </w:pPr>
    </w:p>
    <w:p w:rsidR="00A11C28" w:rsidRDefault="00A11C28" w:rsidP="003006CE">
      <w:pPr>
        <w:ind w:left="720" w:firstLine="720"/>
        <w:rPr>
          <w:szCs w:val="24"/>
        </w:rPr>
      </w:pPr>
    </w:p>
    <w:p w:rsidR="00A11C28" w:rsidRDefault="00A11C28" w:rsidP="003006CE">
      <w:pPr>
        <w:ind w:left="720" w:firstLine="720"/>
        <w:rPr>
          <w:szCs w:val="24"/>
        </w:rPr>
      </w:pPr>
    </w:p>
    <w:p w:rsidR="00A11C28" w:rsidRDefault="00A11C28" w:rsidP="003006CE">
      <w:pPr>
        <w:ind w:left="720" w:firstLine="720"/>
        <w:rPr>
          <w:szCs w:val="24"/>
        </w:rPr>
      </w:pPr>
    </w:p>
    <w:p w:rsidR="00A92347" w:rsidRPr="0063654B" w:rsidRDefault="00A92347" w:rsidP="003006CE">
      <w:pPr>
        <w:ind w:left="720" w:firstLine="720"/>
        <w:rPr>
          <w:szCs w:val="24"/>
          <w:u w:val="single"/>
        </w:rPr>
      </w:pPr>
      <w:r>
        <w:rPr>
          <w:szCs w:val="24"/>
        </w:rPr>
        <w:tab/>
      </w:r>
      <w:r>
        <w:rPr>
          <w:szCs w:val="24"/>
        </w:rPr>
        <w:tab/>
      </w:r>
      <w:r>
        <w:rPr>
          <w:szCs w:val="24"/>
        </w:rPr>
        <w:tab/>
      </w:r>
      <w:r w:rsidR="003006CE">
        <w:rPr>
          <w:szCs w:val="24"/>
        </w:rPr>
        <w:tab/>
        <w:t>_______</w:t>
      </w:r>
      <w:r w:rsidRPr="0063654B">
        <w:rPr>
          <w:szCs w:val="24"/>
        </w:rPr>
        <w:t>________________________________</w:t>
      </w:r>
    </w:p>
    <w:p w:rsidR="00A92347" w:rsidRPr="0063654B" w:rsidRDefault="00A92347" w:rsidP="003006CE">
      <w:pPr>
        <w:ind w:left="3600" w:firstLine="720"/>
        <w:rPr>
          <w:szCs w:val="24"/>
        </w:rPr>
      </w:pPr>
      <w:r w:rsidRPr="0063654B">
        <w:rPr>
          <w:szCs w:val="24"/>
        </w:rPr>
        <w:t>David J. Meyer</w:t>
      </w:r>
      <w:r w:rsidR="00AD53FC">
        <w:rPr>
          <w:szCs w:val="24"/>
        </w:rPr>
        <w:t>, Avista Corporation</w:t>
      </w:r>
    </w:p>
    <w:p w:rsidR="00B6343D" w:rsidRDefault="00A92347" w:rsidP="00A92347">
      <w:pPr>
        <w:ind w:left="4320"/>
        <w:rPr>
          <w:szCs w:val="24"/>
        </w:rPr>
      </w:pPr>
      <w:r w:rsidRPr="0063654B">
        <w:rPr>
          <w:szCs w:val="24"/>
        </w:rPr>
        <w:t>VP, Chief Counsel for Regulatory and Governmental Affairs</w:t>
      </w:r>
    </w:p>
    <w:sectPr w:rsidR="00B6343D" w:rsidSect="00A11C28">
      <w:headerReference w:type="default" r:id="rId8"/>
      <w:footerReference w:type="default" r:id="rId9"/>
      <w:endnotePr>
        <w:numFmt w:val="decimal"/>
      </w:endnotePr>
      <w:pgSz w:w="12240" w:h="15840" w:code="1"/>
      <w:pgMar w:top="1440" w:right="1440" w:bottom="1440" w:left="1440" w:header="144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89" w:rsidRDefault="00384889">
      <w:r>
        <w:separator/>
      </w:r>
    </w:p>
  </w:endnote>
  <w:endnote w:type="continuationSeparator" w:id="0">
    <w:p w:rsidR="00384889" w:rsidRDefault="00384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75" w:rsidRDefault="00842375" w:rsidP="00A1507C">
    <w:pPr>
      <w:pStyle w:val="Footer"/>
      <w:rPr>
        <w:rStyle w:val="PageNumber"/>
        <w:sz w:val="20"/>
      </w:rPr>
    </w:pPr>
    <w:r>
      <w:rPr>
        <w:sz w:val="20"/>
      </w:rPr>
      <w:t xml:space="preserve">AVISTA’S MOTION FOR LEAVE </w:t>
    </w:r>
    <w:r>
      <w:rPr>
        <w:rStyle w:val="PageNumber"/>
        <w:sz w:val="20"/>
      </w:rPr>
      <w:t xml:space="preserve">TO - PAGE </w:t>
    </w:r>
    <w:r w:rsidRPr="006E12F7">
      <w:rPr>
        <w:rStyle w:val="PageNumber"/>
        <w:sz w:val="20"/>
      </w:rPr>
      <w:t xml:space="preserve">- </w:t>
    </w:r>
    <w:r w:rsidR="00483508" w:rsidRPr="006E12F7">
      <w:rPr>
        <w:rStyle w:val="PageNumber"/>
        <w:sz w:val="20"/>
      </w:rPr>
      <w:fldChar w:fldCharType="begin"/>
    </w:r>
    <w:r w:rsidRPr="006E12F7">
      <w:rPr>
        <w:rStyle w:val="PageNumber"/>
        <w:sz w:val="20"/>
      </w:rPr>
      <w:instrText xml:space="preserve"> PAGE </w:instrText>
    </w:r>
    <w:r w:rsidR="00483508" w:rsidRPr="006E12F7">
      <w:rPr>
        <w:rStyle w:val="PageNumber"/>
        <w:sz w:val="20"/>
      </w:rPr>
      <w:fldChar w:fldCharType="separate"/>
    </w:r>
    <w:r w:rsidR="006E12F7">
      <w:rPr>
        <w:rStyle w:val="PageNumber"/>
        <w:noProof/>
        <w:sz w:val="20"/>
      </w:rPr>
      <w:t>1</w:t>
    </w:r>
    <w:r w:rsidR="00483508" w:rsidRPr="006E12F7">
      <w:rPr>
        <w:rStyle w:val="PageNumber"/>
        <w:sz w:val="20"/>
      </w:rPr>
      <w:fldChar w:fldCharType="end"/>
    </w:r>
  </w:p>
  <w:p w:rsidR="00842375" w:rsidRDefault="00AF72F7" w:rsidP="00A1507C">
    <w:pPr>
      <w:pStyle w:val="Footer"/>
      <w:rPr>
        <w:rStyle w:val="PageNumber"/>
        <w:sz w:val="20"/>
      </w:rPr>
    </w:pPr>
    <w:r>
      <w:rPr>
        <w:rStyle w:val="PageNumber"/>
        <w:sz w:val="20"/>
      </w:rPr>
      <w:t xml:space="preserve">FILE SUPPLEMENTAL </w:t>
    </w:r>
    <w:r w:rsidR="00A11A62">
      <w:rPr>
        <w:rStyle w:val="PageNumber"/>
        <w:sz w:val="20"/>
      </w:rPr>
      <w:t xml:space="preserve">AND REVISED </w:t>
    </w:r>
    <w:r w:rsidR="00842375">
      <w:rPr>
        <w:rStyle w:val="PageNumber"/>
        <w:sz w:val="20"/>
      </w:rPr>
      <w:t>TESTIMONY</w:t>
    </w:r>
    <w:r w:rsidR="00A11A62">
      <w:rPr>
        <w:rStyle w:val="PageNumber"/>
        <w:sz w:val="20"/>
      </w:rPr>
      <w:t xml:space="preserve"> </w:t>
    </w:r>
  </w:p>
  <w:p w:rsidR="00842375" w:rsidRPr="006718DF" w:rsidRDefault="00842375" w:rsidP="00A1507C">
    <w:pPr>
      <w:pStyle w:val="Footer"/>
      <w:rPr>
        <w:sz w:val="20"/>
      </w:rPr>
    </w:pPr>
    <w:r>
      <w:rPr>
        <w:rStyle w:val="PageNumber"/>
        <w:sz w:val="20"/>
      </w:rPr>
      <w:t>AND EXHIBITS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89" w:rsidRDefault="00384889">
      <w:r>
        <w:separator/>
      </w:r>
    </w:p>
  </w:footnote>
  <w:footnote w:type="continuationSeparator" w:id="0">
    <w:p w:rsidR="00384889" w:rsidRDefault="00384889">
      <w:r>
        <w:continuationSeparator/>
      </w:r>
    </w:p>
  </w:footnote>
  <w:footnote w:id="1">
    <w:p w:rsidR="00F0480B" w:rsidRDefault="00F0480B" w:rsidP="00F0480B">
      <w:pPr>
        <w:pStyle w:val="FootnoteText"/>
      </w:pPr>
      <w:r w:rsidRPr="00F0480B">
        <w:rPr>
          <w:rStyle w:val="FootnoteReference"/>
          <w:vertAlign w:val="superscript"/>
        </w:rPr>
        <w:footnoteRef/>
      </w:r>
      <w:r>
        <w:t xml:space="preserve"> This attrition-adjusted subtotal of $41.502 million appears at p. 9, col. AA-</w:t>
      </w:r>
      <w:proofErr w:type="spellStart"/>
      <w:r>
        <w:t>Ttl</w:t>
      </w:r>
      <w:proofErr w:type="spellEnd"/>
      <w:r>
        <w:t xml:space="preserve">, l. 50 of Exhibit No. ___(EMA-2).  After then giving effect to further adjustments for the retail revenue credit, the depreciation study, and other O&amp;M offsets, the </w:t>
      </w:r>
      <w:r w:rsidRPr="00C04A5B">
        <w:rPr>
          <w:u w:val="single"/>
        </w:rPr>
        <w:t>final</w:t>
      </w:r>
      <w:r>
        <w:t xml:space="preserve"> revenue requirement is $40.983 million, and is what the proposed tariffs seek to recover.  (See </w:t>
      </w:r>
      <w:proofErr w:type="spellStart"/>
      <w:r>
        <w:t>Exh</w:t>
      </w:r>
      <w:proofErr w:type="spellEnd"/>
      <w:r>
        <w:t xml:space="preserve"> No. ___ (EMA-2), p. 10, col. F-</w:t>
      </w:r>
      <w:proofErr w:type="spellStart"/>
      <w:r>
        <w:t>Ttl</w:t>
      </w:r>
      <w:proofErr w:type="spellEnd"/>
      <w:r>
        <w:t>, l. 50)</w:t>
      </w:r>
    </w:p>
  </w:footnote>
  <w:footnote w:id="2">
    <w:p w:rsidR="0022570D" w:rsidRDefault="0022570D">
      <w:pPr>
        <w:pStyle w:val="FootnoteText"/>
      </w:pPr>
      <w:r w:rsidRPr="0022570D">
        <w:rPr>
          <w:rStyle w:val="FootnoteReference"/>
          <w:vertAlign w:val="superscript"/>
        </w:rPr>
        <w:footnoteRef/>
      </w:r>
      <w:r w:rsidR="00F41A47">
        <w:t xml:space="preserve"> Because W</w:t>
      </w:r>
      <w:r>
        <w:t>itness An</w:t>
      </w:r>
      <w:r w:rsidR="00F41A47">
        <w:t>drews continues to make use of W</w:t>
      </w:r>
      <w:r>
        <w:t xml:space="preserve">itness Lowry’s original attrition adjustment of $20.5 million (not $21.6 million) for purposes of developing </w:t>
      </w:r>
      <w:r w:rsidR="00394BF2">
        <w:t xml:space="preserve">the overall revenue requirement </w:t>
      </w:r>
      <w:r>
        <w:t xml:space="preserve">upon which the proposed tariffs are based, the Company is still offering </w:t>
      </w:r>
      <w:r w:rsidR="00C04A5B">
        <w:t xml:space="preserve">into evidence </w:t>
      </w:r>
      <w:r>
        <w:t xml:space="preserve">the original </w:t>
      </w:r>
      <w:proofErr w:type="spellStart"/>
      <w:r>
        <w:t>Exh</w:t>
      </w:r>
      <w:proofErr w:type="spellEnd"/>
      <w:r>
        <w:t xml:space="preserve"> No. ___MNL-5 (containing the basis for the $20.5 million attrition adjustment</w:t>
      </w:r>
      <w:r w:rsidR="00394BF2">
        <w:t>), even though D</w:t>
      </w:r>
      <w:r>
        <w:t>r. Lowry’s supplemental exhibit (MNL-5 (Supp)) would show a slightly higher attrition adjustment of $21.6 million, after making certain corrections.</w:t>
      </w:r>
    </w:p>
  </w:footnote>
  <w:footnote w:id="3">
    <w:p w:rsidR="00A43888" w:rsidRDefault="00A43888" w:rsidP="00A43888">
      <w:pPr>
        <w:pStyle w:val="FootnoteText"/>
      </w:pPr>
      <w:r w:rsidRPr="00A43888">
        <w:rPr>
          <w:rStyle w:val="FootnoteReference"/>
          <w:vertAlign w:val="superscript"/>
        </w:rPr>
        <w:footnoteRef/>
      </w:r>
      <w:r w:rsidRPr="00A43888">
        <w:rPr>
          <w:vertAlign w:val="superscript"/>
        </w:rPr>
        <w:t xml:space="preserve"> </w:t>
      </w:r>
      <w:r>
        <w:t>This attrition-adjusted subtotal of $</w:t>
      </w:r>
      <w:r w:rsidR="00247DEE">
        <w:t>9.576</w:t>
      </w:r>
      <w:r>
        <w:t xml:space="preserve"> million appears at p. 9, col. </w:t>
      </w:r>
      <w:proofErr w:type="spellStart"/>
      <w:r w:rsidR="00247DEE">
        <w:t>ADJ-Ttl</w:t>
      </w:r>
      <w:proofErr w:type="spellEnd"/>
      <w:r w:rsidR="00247DEE">
        <w:t>,</w:t>
      </w:r>
      <w:r>
        <w:t xml:space="preserve"> l. </w:t>
      </w:r>
      <w:r w:rsidR="00247DEE">
        <w:t xml:space="preserve">49 </w:t>
      </w:r>
      <w:r w:rsidR="000147F1">
        <w:t>of Exhibit No. ___(EMA-3</w:t>
      </w:r>
      <w:r>
        <w:t>).  After then giving effect to further adjustments for the de</w:t>
      </w:r>
      <w:r w:rsidR="006F3228">
        <w:t>preciation study and other O</w:t>
      </w:r>
      <w:r w:rsidR="00247DEE">
        <w:t xml:space="preserve"> &amp; </w:t>
      </w:r>
      <w:r w:rsidR="006F3228">
        <w:t>M</w:t>
      </w:r>
      <w:r w:rsidR="00247DEE">
        <w:t xml:space="preserve"> </w:t>
      </w:r>
      <w:r>
        <w:t>offsets, the final revenue requirement is $</w:t>
      </w:r>
      <w:r w:rsidR="000147F1">
        <w:t>10.088</w:t>
      </w:r>
      <w:r>
        <w:t xml:space="preserve"> million, and is what the proposed tariffs seek to recover.  (See </w:t>
      </w:r>
      <w:proofErr w:type="spellStart"/>
      <w:r>
        <w:t>Exh</w:t>
      </w:r>
      <w:proofErr w:type="spellEnd"/>
      <w:r>
        <w:t xml:space="preserve"> No. ___ (EMA-</w:t>
      </w:r>
      <w:r w:rsidR="000147F1">
        <w:t>3</w:t>
      </w:r>
      <w:r>
        <w:t xml:space="preserve">), p. </w:t>
      </w:r>
      <w:r w:rsidR="000147F1">
        <w:t>9</w:t>
      </w:r>
      <w:r>
        <w:t>, col. F-</w:t>
      </w:r>
      <w:proofErr w:type="spellStart"/>
      <w:r>
        <w:t>Ttl</w:t>
      </w:r>
      <w:proofErr w:type="spellEnd"/>
      <w:r>
        <w:t xml:space="preserve">, l. </w:t>
      </w:r>
      <w:r w:rsidR="000147F1">
        <w:t>49</w:t>
      </w:r>
      <w:r>
        <w:t>)</w:t>
      </w:r>
    </w:p>
    <w:p w:rsidR="00A43888" w:rsidRDefault="00A43888">
      <w:pPr>
        <w:pStyle w:val="FootnoteText"/>
      </w:pPr>
    </w:p>
  </w:footnote>
  <w:footnote w:id="4">
    <w:p w:rsidR="000C69FF" w:rsidRDefault="000C69FF">
      <w:pPr>
        <w:pStyle w:val="FootnoteText"/>
      </w:pPr>
      <w:r w:rsidRPr="008C7697">
        <w:rPr>
          <w:rStyle w:val="FootnoteReference"/>
          <w:vertAlign w:val="superscript"/>
        </w:rPr>
        <w:footnoteRef/>
      </w:r>
      <w:r>
        <w:t xml:space="preserve"> See, </w:t>
      </w:r>
      <w:proofErr w:type="spellStart"/>
      <w:r>
        <w:t>e.q</w:t>
      </w:r>
      <w:proofErr w:type="spellEnd"/>
      <w:r>
        <w:t>.) WUTC v</w:t>
      </w:r>
      <w:r w:rsidR="0052436E">
        <w:t>.</w:t>
      </w:r>
      <w:r>
        <w:t xml:space="preserve"> Puget Sound Energy, Inc., Dockets UE-111048 and UG-111049, Order 08 at ¶¶</w:t>
      </w:r>
      <w:r w:rsidR="005313DD">
        <w:t xml:space="preserve"> 489-491</w:t>
      </w:r>
      <w:r w:rsidR="0052436E">
        <w:t xml:space="preserve"> (May 7, 2012); and WUTC v. Puget Sound Energy, Inc., Docket UG-110723, Order 07, fn. 40, at p.14.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75" w:rsidRDefault="0084237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012D"/>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51326F1"/>
    <w:multiLevelType w:val="multilevel"/>
    <w:tmpl w:val="0352E2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C87630C"/>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2D8D23A8"/>
    <w:multiLevelType w:val="hybridMultilevel"/>
    <w:tmpl w:val="503ECC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DC05F23"/>
    <w:multiLevelType w:val="hybridMultilevel"/>
    <w:tmpl w:val="0BC24D52"/>
    <w:lvl w:ilvl="0" w:tplc="08AC0CBE">
      <w:start w:val="1"/>
      <w:numFmt w:val="bullet"/>
      <w:lvlText w:val="–"/>
      <w:lvlJc w:val="left"/>
      <w:pPr>
        <w:tabs>
          <w:tab w:val="num" w:pos="4320"/>
        </w:tabs>
        <w:ind w:left="432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64246AF"/>
    <w:multiLevelType w:val="hybridMultilevel"/>
    <w:tmpl w:val="4BAC9CC4"/>
    <w:lvl w:ilvl="0" w:tplc="65BA2434">
      <w:start w:val="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7932F16"/>
    <w:multiLevelType w:val="hybridMultilevel"/>
    <w:tmpl w:val="305A3526"/>
    <w:lvl w:ilvl="0" w:tplc="3D8ED128">
      <w:start w:val="1"/>
      <w:numFmt w:val="decimal"/>
      <w:lvlText w:val="%1"/>
      <w:lvlJc w:val="left"/>
      <w:pPr>
        <w:tabs>
          <w:tab w:val="num" w:pos="360"/>
        </w:tabs>
        <w:ind w:left="360" w:hanging="936"/>
      </w:pPr>
      <w:rPr>
        <w:rFonts w:cs="Times New Roman" w:hint="default"/>
        <w:b w:val="0"/>
        <w:i/>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8623D39"/>
    <w:multiLevelType w:val="hybridMultilevel"/>
    <w:tmpl w:val="8AC41582"/>
    <w:lvl w:ilvl="0" w:tplc="8E98E018">
      <w:start w:val="1"/>
      <w:numFmt w:val="upperLetter"/>
      <w:lvlText w:val="%1."/>
      <w:lvlJc w:val="left"/>
      <w:pPr>
        <w:tabs>
          <w:tab w:val="num" w:pos="1260"/>
        </w:tabs>
        <w:ind w:left="1260" w:hanging="540"/>
      </w:pPr>
      <w:rPr>
        <w:rFonts w:cs="Times New Roman" w:hint="default"/>
      </w:rPr>
    </w:lvl>
    <w:lvl w:ilvl="1" w:tplc="60D2D9F8">
      <w:start w:val="1"/>
      <w:numFmt w:val="decimal"/>
      <w:lvlText w:val="(%2.)"/>
      <w:lvlJc w:val="left"/>
      <w:pPr>
        <w:tabs>
          <w:tab w:val="num" w:pos="3150"/>
        </w:tabs>
        <w:ind w:left="3150" w:hanging="171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F530847"/>
    <w:multiLevelType w:val="hybridMultilevel"/>
    <w:tmpl w:val="718801E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376"/>
        </w:tabs>
        <w:ind w:left="2376" w:hanging="360"/>
      </w:pPr>
      <w:rPr>
        <w:rFonts w:cs="Times New Roman"/>
      </w:rPr>
    </w:lvl>
    <w:lvl w:ilvl="2" w:tplc="0409001B">
      <w:start w:val="1"/>
      <w:numFmt w:val="lowerRoman"/>
      <w:lvlText w:val="%3."/>
      <w:lvlJc w:val="right"/>
      <w:pPr>
        <w:tabs>
          <w:tab w:val="num" w:pos="3096"/>
        </w:tabs>
        <w:ind w:left="3096" w:hanging="180"/>
      </w:pPr>
      <w:rPr>
        <w:rFonts w:cs="Times New Roman"/>
      </w:rPr>
    </w:lvl>
    <w:lvl w:ilvl="3" w:tplc="0409000F">
      <w:start w:val="1"/>
      <w:numFmt w:val="decimal"/>
      <w:lvlText w:val="%4."/>
      <w:lvlJc w:val="left"/>
      <w:pPr>
        <w:tabs>
          <w:tab w:val="num" w:pos="3816"/>
        </w:tabs>
        <w:ind w:left="3816" w:hanging="360"/>
      </w:pPr>
      <w:rPr>
        <w:rFonts w:cs="Times New Roman"/>
      </w:rPr>
    </w:lvl>
    <w:lvl w:ilvl="4" w:tplc="04090019">
      <w:start w:val="1"/>
      <w:numFmt w:val="lowerLetter"/>
      <w:lvlText w:val="%5."/>
      <w:lvlJc w:val="left"/>
      <w:pPr>
        <w:tabs>
          <w:tab w:val="num" w:pos="4536"/>
        </w:tabs>
        <w:ind w:left="4536" w:hanging="360"/>
      </w:pPr>
      <w:rPr>
        <w:rFonts w:cs="Times New Roman"/>
      </w:rPr>
    </w:lvl>
    <w:lvl w:ilvl="5" w:tplc="0409001B">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9">
    <w:nsid w:val="433D4A22"/>
    <w:multiLevelType w:val="hybridMultilevel"/>
    <w:tmpl w:val="718801E0"/>
    <w:lvl w:ilvl="0" w:tplc="3D8ED128">
      <w:start w:val="1"/>
      <w:numFmt w:val="decimal"/>
      <w:lvlText w:val="%1"/>
      <w:lvlJc w:val="left"/>
      <w:pPr>
        <w:tabs>
          <w:tab w:val="num" w:pos="360"/>
        </w:tabs>
        <w:ind w:left="360" w:hanging="936"/>
      </w:pPr>
      <w:rPr>
        <w:rFonts w:cs="Times New Roman" w:hint="default"/>
        <w:b w:val="0"/>
        <w:i/>
        <w:sz w:val="16"/>
      </w:rPr>
    </w:lvl>
    <w:lvl w:ilvl="1" w:tplc="04090019">
      <w:start w:val="1"/>
      <w:numFmt w:val="lowerLetter"/>
      <w:lvlText w:val="%2."/>
      <w:lvlJc w:val="left"/>
      <w:pPr>
        <w:tabs>
          <w:tab w:val="num" w:pos="1080"/>
        </w:tabs>
        <w:ind w:left="1080" w:hanging="360"/>
      </w:pPr>
      <w:rPr>
        <w:rFonts w:cs="Times New Roman"/>
      </w:rPr>
    </w:lvl>
    <w:lvl w:ilvl="2" w:tplc="3D8ED128">
      <w:start w:val="1"/>
      <w:numFmt w:val="decimal"/>
      <w:lvlText w:val="%3"/>
      <w:lvlJc w:val="left"/>
      <w:pPr>
        <w:tabs>
          <w:tab w:val="num" w:pos="360"/>
        </w:tabs>
        <w:ind w:left="360" w:hanging="936"/>
      </w:pPr>
      <w:rPr>
        <w:rFonts w:cs="Times New Roman" w:hint="default"/>
        <w:b w:val="0"/>
        <w:i/>
        <w:sz w:val="16"/>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459C3656"/>
    <w:multiLevelType w:val="hybridMultilevel"/>
    <w:tmpl w:val="76120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234611A"/>
    <w:multiLevelType w:val="hybridMultilevel"/>
    <w:tmpl w:val="E854887C"/>
    <w:lvl w:ilvl="0" w:tplc="47C495BC">
      <w:start w:val="5"/>
      <w:numFmt w:val="lowerRoman"/>
      <w:lvlText w:val="%1."/>
      <w:lvlJc w:val="left"/>
      <w:pPr>
        <w:tabs>
          <w:tab w:val="num" w:pos="4680"/>
        </w:tabs>
        <w:ind w:left="4680" w:hanging="43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DD49E0"/>
    <w:multiLevelType w:val="hybridMultilevel"/>
    <w:tmpl w:val="35240348"/>
    <w:lvl w:ilvl="0" w:tplc="A04E4354">
      <w:start w:val="1"/>
      <w:numFmt w:val="upperRoman"/>
      <w:lvlText w:val="%1."/>
      <w:lvlJc w:val="left"/>
      <w:pPr>
        <w:tabs>
          <w:tab w:val="num" w:pos="720"/>
        </w:tabs>
        <w:ind w:left="720" w:hanging="720"/>
      </w:pPr>
      <w:rPr>
        <w:rFonts w:cs="Times New Roman" w:hint="default"/>
      </w:rPr>
    </w:lvl>
    <w:lvl w:ilvl="1" w:tplc="38B60E0A">
      <w:start w:val="1"/>
      <w:numFmt w:val="decimal"/>
      <w:lvlText w:val="%2."/>
      <w:lvlJc w:val="left"/>
      <w:pPr>
        <w:tabs>
          <w:tab w:val="num" w:pos="1260"/>
        </w:tabs>
        <w:ind w:left="1260" w:hanging="540"/>
      </w:pPr>
      <w:rPr>
        <w:rFonts w:cs="Times New Roman" w:hint="default"/>
        <w:i/>
        <w:iCs/>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70A7440"/>
    <w:multiLevelType w:val="hybridMultilevel"/>
    <w:tmpl w:val="4DAAC514"/>
    <w:lvl w:ilvl="0" w:tplc="FFFFFFFF">
      <w:start w:val="2"/>
      <w:numFmt w:val="upperRoman"/>
      <w:lvlText w:val="%1."/>
      <w:lvlJc w:val="left"/>
      <w:pPr>
        <w:tabs>
          <w:tab w:val="num" w:pos="1440"/>
        </w:tabs>
        <w:ind w:left="1440" w:hanging="720"/>
      </w:pPr>
      <w:rPr>
        <w:rFonts w:cs="Times New Roman" w:hint="default"/>
      </w:rPr>
    </w:lvl>
    <w:lvl w:ilvl="1" w:tplc="FFFFFFFF">
      <w:start w:val="4"/>
      <w:numFmt w:val="decimal"/>
      <w:lvlText w:val="%2."/>
      <w:lvlJc w:val="left"/>
      <w:pPr>
        <w:tabs>
          <w:tab w:val="num" w:pos="1830"/>
        </w:tabs>
        <w:ind w:left="1830" w:hanging="39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64DF16FC"/>
    <w:multiLevelType w:val="hybridMultilevel"/>
    <w:tmpl w:val="EE2CB1F0"/>
    <w:lvl w:ilvl="0" w:tplc="146A8B2E">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D880B3C"/>
    <w:multiLevelType w:val="hybridMultilevel"/>
    <w:tmpl w:val="718801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num w:numId="1">
    <w:abstractNumId w:val="1"/>
  </w:num>
  <w:num w:numId="2">
    <w:abstractNumId w:val="13"/>
  </w:num>
  <w:num w:numId="3">
    <w:abstractNumId w:val="14"/>
  </w:num>
  <w:num w:numId="4">
    <w:abstractNumId w:val="9"/>
  </w:num>
  <w:num w:numId="5">
    <w:abstractNumId w:val="8"/>
  </w:num>
  <w:num w:numId="6">
    <w:abstractNumId w:val="10"/>
  </w:num>
  <w:num w:numId="7">
    <w:abstractNumId w:val="3"/>
  </w:num>
  <w:num w:numId="8">
    <w:abstractNumId w:val="15"/>
  </w:num>
  <w:num w:numId="9">
    <w:abstractNumId w:val="6"/>
  </w:num>
  <w:num w:numId="10">
    <w:abstractNumId w:val="2"/>
  </w:num>
  <w:num w:numId="11">
    <w:abstractNumId w:val="0"/>
  </w:num>
  <w:num w:numId="12">
    <w:abstractNumId w:val="11"/>
  </w:num>
  <w:num w:numId="13">
    <w:abstractNumId w:val="5"/>
  </w:num>
  <w:num w:numId="14">
    <w:abstractNumId w:val="12"/>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7409"/>
  </w:hdrShapeDefaults>
  <w:footnotePr>
    <w:footnote w:id="-1"/>
    <w:footnote w:id="0"/>
  </w:footnotePr>
  <w:endnotePr>
    <w:numFmt w:val="decimal"/>
    <w:endnote w:id="-1"/>
    <w:endnote w:id="0"/>
  </w:endnotePr>
  <w:compat/>
  <w:rsids>
    <w:rsidRoot w:val="005D544A"/>
    <w:rsid w:val="00002EC4"/>
    <w:rsid w:val="000147F1"/>
    <w:rsid w:val="0003434D"/>
    <w:rsid w:val="0003435D"/>
    <w:rsid w:val="00034927"/>
    <w:rsid w:val="000353E2"/>
    <w:rsid w:val="000368A7"/>
    <w:rsid w:val="000517BF"/>
    <w:rsid w:val="00062BDF"/>
    <w:rsid w:val="00086DE3"/>
    <w:rsid w:val="000A3CF2"/>
    <w:rsid w:val="000B612A"/>
    <w:rsid w:val="000C1C6E"/>
    <w:rsid w:val="000C2A64"/>
    <w:rsid w:val="000C69FF"/>
    <w:rsid w:val="00141ADD"/>
    <w:rsid w:val="001576FB"/>
    <w:rsid w:val="00160E4F"/>
    <w:rsid w:val="00164729"/>
    <w:rsid w:val="001911C9"/>
    <w:rsid w:val="0019616E"/>
    <w:rsid w:val="00196621"/>
    <w:rsid w:val="001971D5"/>
    <w:rsid w:val="001A4D02"/>
    <w:rsid w:val="001B239E"/>
    <w:rsid w:val="001B5576"/>
    <w:rsid w:val="001C28A0"/>
    <w:rsid w:val="001D2228"/>
    <w:rsid w:val="001E2B12"/>
    <w:rsid w:val="00217D9C"/>
    <w:rsid w:val="00217FD3"/>
    <w:rsid w:val="0022570D"/>
    <w:rsid w:val="00247DEE"/>
    <w:rsid w:val="00290810"/>
    <w:rsid w:val="002A1B2D"/>
    <w:rsid w:val="002A3974"/>
    <w:rsid w:val="002B3F29"/>
    <w:rsid w:val="002E1A99"/>
    <w:rsid w:val="003006CE"/>
    <w:rsid w:val="003109D9"/>
    <w:rsid w:val="003173A3"/>
    <w:rsid w:val="0032747B"/>
    <w:rsid w:val="00342F1D"/>
    <w:rsid w:val="00383783"/>
    <w:rsid w:val="00384889"/>
    <w:rsid w:val="0038640A"/>
    <w:rsid w:val="00387768"/>
    <w:rsid w:val="00394BF2"/>
    <w:rsid w:val="00397C17"/>
    <w:rsid w:val="003E3AD5"/>
    <w:rsid w:val="003F05D2"/>
    <w:rsid w:val="00420F85"/>
    <w:rsid w:val="004265C5"/>
    <w:rsid w:val="00441E94"/>
    <w:rsid w:val="0044647B"/>
    <w:rsid w:val="00461643"/>
    <w:rsid w:val="004744FE"/>
    <w:rsid w:val="00483508"/>
    <w:rsid w:val="004844BD"/>
    <w:rsid w:val="00485AFC"/>
    <w:rsid w:val="00492D0E"/>
    <w:rsid w:val="004B40F0"/>
    <w:rsid w:val="004B6E8C"/>
    <w:rsid w:val="004E18A2"/>
    <w:rsid w:val="004E202F"/>
    <w:rsid w:val="00500767"/>
    <w:rsid w:val="005051A8"/>
    <w:rsid w:val="0052436E"/>
    <w:rsid w:val="005313DD"/>
    <w:rsid w:val="005316BA"/>
    <w:rsid w:val="00532C32"/>
    <w:rsid w:val="005426D1"/>
    <w:rsid w:val="0054605D"/>
    <w:rsid w:val="005611C8"/>
    <w:rsid w:val="00563FE9"/>
    <w:rsid w:val="00592B13"/>
    <w:rsid w:val="005B03B0"/>
    <w:rsid w:val="005C2151"/>
    <w:rsid w:val="005C6591"/>
    <w:rsid w:val="005D544A"/>
    <w:rsid w:val="005F05A8"/>
    <w:rsid w:val="005F1714"/>
    <w:rsid w:val="005F3476"/>
    <w:rsid w:val="005F73E6"/>
    <w:rsid w:val="00607A3B"/>
    <w:rsid w:val="006241B3"/>
    <w:rsid w:val="00625105"/>
    <w:rsid w:val="00631A9E"/>
    <w:rsid w:val="0063654B"/>
    <w:rsid w:val="00660B9A"/>
    <w:rsid w:val="006718DF"/>
    <w:rsid w:val="0067775D"/>
    <w:rsid w:val="0068306E"/>
    <w:rsid w:val="00691F59"/>
    <w:rsid w:val="006A0529"/>
    <w:rsid w:val="006A4513"/>
    <w:rsid w:val="006A77F5"/>
    <w:rsid w:val="006C6F48"/>
    <w:rsid w:val="006E12F7"/>
    <w:rsid w:val="006E3F77"/>
    <w:rsid w:val="006E6007"/>
    <w:rsid w:val="006F1CDB"/>
    <w:rsid w:val="006F2381"/>
    <w:rsid w:val="006F3228"/>
    <w:rsid w:val="006F53C5"/>
    <w:rsid w:val="007011A9"/>
    <w:rsid w:val="00715456"/>
    <w:rsid w:val="00716436"/>
    <w:rsid w:val="00720C6D"/>
    <w:rsid w:val="00723122"/>
    <w:rsid w:val="00732DA2"/>
    <w:rsid w:val="007541CD"/>
    <w:rsid w:val="00763135"/>
    <w:rsid w:val="00764A09"/>
    <w:rsid w:val="00771C68"/>
    <w:rsid w:val="007723B4"/>
    <w:rsid w:val="007B2E9F"/>
    <w:rsid w:val="00800181"/>
    <w:rsid w:val="008120D5"/>
    <w:rsid w:val="0081769E"/>
    <w:rsid w:val="00823C70"/>
    <w:rsid w:val="00832339"/>
    <w:rsid w:val="00842375"/>
    <w:rsid w:val="008458E4"/>
    <w:rsid w:val="00866218"/>
    <w:rsid w:val="0086781B"/>
    <w:rsid w:val="008900FB"/>
    <w:rsid w:val="00890137"/>
    <w:rsid w:val="008934C8"/>
    <w:rsid w:val="008C7697"/>
    <w:rsid w:val="008E1AF6"/>
    <w:rsid w:val="00905245"/>
    <w:rsid w:val="00913FBD"/>
    <w:rsid w:val="00916B70"/>
    <w:rsid w:val="00920828"/>
    <w:rsid w:val="00921180"/>
    <w:rsid w:val="00931F97"/>
    <w:rsid w:val="009429FB"/>
    <w:rsid w:val="00951673"/>
    <w:rsid w:val="0096497F"/>
    <w:rsid w:val="009925D9"/>
    <w:rsid w:val="009A5E7C"/>
    <w:rsid w:val="009B0797"/>
    <w:rsid w:val="009B17DC"/>
    <w:rsid w:val="009B4364"/>
    <w:rsid w:val="009C2234"/>
    <w:rsid w:val="009D2CB8"/>
    <w:rsid w:val="009D3CCB"/>
    <w:rsid w:val="009D7885"/>
    <w:rsid w:val="009E6B72"/>
    <w:rsid w:val="009F1481"/>
    <w:rsid w:val="00A11A62"/>
    <w:rsid w:val="00A11C28"/>
    <w:rsid w:val="00A1507C"/>
    <w:rsid w:val="00A17806"/>
    <w:rsid w:val="00A43888"/>
    <w:rsid w:val="00A5293A"/>
    <w:rsid w:val="00A57F36"/>
    <w:rsid w:val="00A6446C"/>
    <w:rsid w:val="00A862E8"/>
    <w:rsid w:val="00A92347"/>
    <w:rsid w:val="00AA7CF0"/>
    <w:rsid w:val="00AB5C27"/>
    <w:rsid w:val="00AD53FC"/>
    <w:rsid w:val="00AD7149"/>
    <w:rsid w:val="00AF01EE"/>
    <w:rsid w:val="00AF72F7"/>
    <w:rsid w:val="00B04AA8"/>
    <w:rsid w:val="00B05F91"/>
    <w:rsid w:val="00B169AF"/>
    <w:rsid w:val="00B34CA3"/>
    <w:rsid w:val="00B35565"/>
    <w:rsid w:val="00B5309D"/>
    <w:rsid w:val="00B6343D"/>
    <w:rsid w:val="00B65C17"/>
    <w:rsid w:val="00B9764A"/>
    <w:rsid w:val="00BB5323"/>
    <w:rsid w:val="00BD0389"/>
    <w:rsid w:val="00BD3683"/>
    <w:rsid w:val="00BD380C"/>
    <w:rsid w:val="00BD5D9E"/>
    <w:rsid w:val="00BE206C"/>
    <w:rsid w:val="00C04A5B"/>
    <w:rsid w:val="00C1019C"/>
    <w:rsid w:val="00C15E15"/>
    <w:rsid w:val="00C317FD"/>
    <w:rsid w:val="00C3331E"/>
    <w:rsid w:val="00C606B1"/>
    <w:rsid w:val="00C73E9F"/>
    <w:rsid w:val="00CB5739"/>
    <w:rsid w:val="00CC28D5"/>
    <w:rsid w:val="00CD186A"/>
    <w:rsid w:val="00CE5904"/>
    <w:rsid w:val="00D047C9"/>
    <w:rsid w:val="00D1302D"/>
    <w:rsid w:val="00D13C39"/>
    <w:rsid w:val="00D228A8"/>
    <w:rsid w:val="00D40BA3"/>
    <w:rsid w:val="00D42BD9"/>
    <w:rsid w:val="00D55F15"/>
    <w:rsid w:val="00D6289B"/>
    <w:rsid w:val="00D73E0F"/>
    <w:rsid w:val="00DA5047"/>
    <w:rsid w:val="00DA68D9"/>
    <w:rsid w:val="00DF2606"/>
    <w:rsid w:val="00E055B8"/>
    <w:rsid w:val="00E15130"/>
    <w:rsid w:val="00E409DD"/>
    <w:rsid w:val="00E72CCF"/>
    <w:rsid w:val="00E926FA"/>
    <w:rsid w:val="00EA2027"/>
    <w:rsid w:val="00EB0DC3"/>
    <w:rsid w:val="00EF69F1"/>
    <w:rsid w:val="00F0480B"/>
    <w:rsid w:val="00F07BAC"/>
    <w:rsid w:val="00F2357C"/>
    <w:rsid w:val="00F256C0"/>
    <w:rsid w:val="00F37D70"/>
    <w:rsid w:val="00F41A47"/>
    <w:rsid w:val="00F436D8"/>
    <w:rsid w:val="00F47F69"/>
    <w:rsid w:val="00F5594C"/>
    <w:rsid w:val="00F61E72"/>
    <w:rsid w:val="00F760FC"/>
    <w:rsid w:val="00FA3B3A"/>
    <w:rsid w:val="00FB0E86"/>
    <w:rsid w:val="00FB3745"/>
    <w:rsid w:val="00FB6B8E"/>
    <w:rsid w:val="00FC5041"/>
    <w:rsid w:val="00FD604A"/>
    <w:rsid w:val="00FD7579"/>
    <w:rsid w:val="00FF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05D"/>
    <w:pPr>
      <w:widowControl w:val="0"/>
    </w:pPr>
    <w:rPr>
      <w:sz w:val="24"/>
    </w:rPr>
  </w:style>
  <w:style w:type="paragraph" w:styleId="Heading1">
    <w:name w:val="heading 1"/>
    <w:basedOn w:val="Normal"/>
    <w:next w:val="Normal"/>
    <w:qFormat/>
    <w:rsid w:val="0054605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54605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54605D"/>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54605D"/>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4605D"/>
    <w:rPr>
      <w:rFonts w:cs="Times New Roman"/>
    </w:rPr>
  </w:style>
  <w:style w:type="character" w:styleId="PageNumber">
    <w:name w:val="page number"/>
    <w:basedOn w:val="DefaultParagraphFont"/>
    <w:rsid w:val="0054605D"/>
    <w:rPr>
      <w:rFonts w:ascii="Times New Roman" w:hAnsi="Times New Roman" w:cs="Times New Roman"/>
      <w:sz w:val="24"/>
    </w:rPr>
  </w:style>
  <w:style w:type="paragraph" w:styleId="Header">
    <w:name w:val="header"/>
    <w:basedOn w:val="Normal"/>
    <w:rsid w:val="0054605D"/>
    <w:pPr>
      <w:tabs>
        <w:tab w:val="center" w:pos="4320"/>
        <w:tab w:val="right" w:pos="8640"/>
      </w:tabs>
    </w:pPr>
  </w:style>
  <w:style w:type="paragraph" w:styleId="Footer">
    <w:name w:val="footer"/>
    <w:basedOn w:val="Normal"/>
    <w:rsid w:val="0054605D"/>
    <w:pPr>
      <w:tabs>
        <w:tab w:val="center" w:pos="4320"/>
        <w:tab w:val="right" w:pos="8640"/>
      </w:tabs>
    </w:pPr>
  </w:style>
  <w:style w:type="paragraph" w:styleId="BodyTextIndent">
    <w:name w:val="Body Text Indent"/>
    <w:basedOn w:val="Normal"/>
    <w:rsid w:val="0054605D"/>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54605D"/>
    <w:pPr>
      <w:widowControl/>
      <w:tabs>
        <w:tab w:val="left" w:pos="1260"/>
      </w:tabs>
      <w:ind w:left="720" w:hanging="720"/>
      <w:jc w:val="both"/>
    </w:pPr>
  </w:style>
  <w:style w:type="paragraph" w:styleId="FootnoteText">
    <w:name w:val="footnote text"/>
    <w:basedOn w:val="Normal"/>
    <w:semiHidden/>
    <w:rsid w:val="0054605D"/>
    <w:rPr>
      <w:sz w:val="20"/>
    </w:rPr>
  </w:style>
  <w:style w:type="paragraph" w:styleId="BodyText">
    <w:name w:val="Body Text"/>
    <w:basedOn w:val="Normal"/>
    <w:rsid w:val="0054605D"/>
    <w:pPr>
      <w:widowControl/>
    </w:pPr>
  </w:style>
  <w:style w:type="character" w:styleId="LineNumber">
    <w:name w:val="line number"/>
    <w:basedOn w:val="DefaultParagraphFont"/>
    <w:uiPriority w:val="99"/>
    <w:rsid w:val="0054605D"/>
    <w:rPr>
      <w:rFonts w:cs="Times New Roman"/>
    </w:rPr>
  </w:style>
  <w:style w:type="paragraph" w:styleId="BodyTextIndent2">
    <w:name w:val="Body Text Indent 2"/>
    <w:basedOn w:val="Normal"/>
    <w:rsid w:val="0054605D"/>
    <w:pPr>
      <w:widowControl/>
      <w:tabs>
        <w:tab w:val="left" w:pos="1260"/>
      </w:tabs>
      <w:spacing w:line="360" w:lineRule="auto"/>
      <w:ind w:left="540" w:hanging="540"/>
      <w:jc w:val="both"/>
    </w:pPr>
  </w:style>
  <w:style w:type="paragraph" w:styleId="DocumentMap">
    <w:name w:val="Document Map"/>
    <w:basedOn w:val="Normal"/>
    <w:semiHidden/>
    <w:rsid w:val="0054605D"/>
    <w:pPr>
      <w:shd w:val="clear" w:color="auto" w:fill="000080"/>
    </w:pPr>
    <w:rPr>
      <w:rFonts w:ascii="Tahoma" w:hAnsi="Tahoma"/>
    </w:rPr>
  </w:style>
  <w:style w:type="paragraph" w:styleId="List2">
    <w:name w:val="List 2"/>
    <w:basedOn w:val="Normal"/>
    <w:rsid w:val="0054605D"/>
    <w:pPr>
      <w:ind w:left="720" w:hanging="360"/>
    </w:pPr>
  </w:style>
  <w:style w:type="paragraph" w:styleId="List3">
    <w:name w:val="List 3"/>
    <w:basedOn w:val="Normal"/>
    <w:rsid w:val="0054605D"/>
    <w:pPr>
      <w:ind w:left="1080" w:hanging="360"/>
    </w:pPr>
  </w:style>
  <w:style w:type="paragraph" w:styleId="Title">
    <w:name w:val="Title"/>
    <w:basedOn w:val="Normal"/>
    <w:qFormat/>
    <w:rsid w:val="0054605D"/>
    <w:pPr>
      <w:spacing w:before="240" w:after="60"/>
      <w:jc w:val="center"/>
      <w:outlineLvl w:val="0"/>
    </w:pPr>
    <w:rPr>
      <w:rFonts w:ascii="Arial" w:hAnsi="Arial" w:cs="Arial"/>
      <w:b/>
      <w:bCs/>
      <w:kern w:val="28"/>
      <w:sz w:val="32"/>
      <w:szCs w:val="32"/>
    </w:rPr>
  </w:style>
  <w:style w:type="paragraph" w:styleId="Subtitle">
    <w:name w:val="Subtitle"/>
    <w:basedOn w:val="Normal"/>
    <w:qFormat/>
    <w:rsid w:val="0054605D"/>
    <w:pPr>
      <w:spacing w:after="60"/>
      <w:jc w:val="center"/>
      <w:outlineLvl w:val="1"/>
    </w:pPr>
    <w:rPr>
      <w:rFonts w:ascii="Arial" w:hAnsi="Arial" w:cs="Arial"/>
      <w:szCs w:val="24"/>
    </w:rPr>
  </w:style>
  <w:style w:type="paragraph" w:styleId="NormalIndent">
    <w:name w:val="Normal Indent"/>
    <w:basedOn w:val="Normal"/>
    <w:rsid w:val="0054605D"/>
    <w:pPr>
      <w:ind w:left="720"/>
    </w:pPr>
  </w:style>
  <w:style w:type="paragraph" w:customStyle="1" w:styleId="ShortReturnAddress">
    <w:name w:val="Short Return Address"/>
    <w:basedOn w:val="Normal"/>
    <w:rsid w:val="0054605D"/>
  </w:style>
  <w:style w:type="paragraph" w:styleId="List">
    <w:name w:val="List"/>
    <w:basedOn w:val="Normal"/>
    <w:rsid w:val="0054605D"/>
    <w:pPr>
      <w:ind w:left="360" w:hanging="360"/>
    </w:pPr>
  </w:style>
  <w:style w:type="paragraph" w:customStyle="1" w:styleId="RomanHeader">
    <w:name w:val="Roman Header"/>
    <w:basedOn w:val="Normal"/>
    <w:rsid w:val="0054605D"/>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54605D"/>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764A09"/>
    <w:rPr>
      <w:sz w:val="20"/>
    </w:rPr>
  </w:style>
  <w:style w:type="character" w:customStyle="1" w:styleId="EndnoteTextChar">
    <w:name w:val="Endnote Text Char"/>
    <w:basedOn w:val="DefaultParagraphFont"/>
    <w:link w:val="EndnoteText"/>
    <w:rsid w:val="00764A09"/>
  </w:style>
  <w:style w:type="character" w:styleId="EndnoteReference">
    <w:name w:val="endnote reference"/>
    <w:basedOn w:val="DefaultParagraphFont"/>
    <w:rsid w:val="00764A09"/>
    <w:rPr>
      <w:vertAlign w:val="superscript"/>
    </w:rPr>
  </w:style>
  <w:style w:type="paragraph" w:styleId="BalloonText">
    <w:name w:val="Balloon Text"/>
    <w:basedOn w:val="Normal"/>
    <w:link w:val="BalloonTextChar"/>
    <w:rsid w:val="0086781B"/>
    <w:rPr>
      <w:rFonts w:ascii="Tahoma" w:hAnsi="Tahoma" w:cs="Tahoma"/>
      <w:sz w:val="16"/>
      <w:szCs w:val="16"/>
    </w:rPr>
  </w:style>
  <w:style w:type="character" w:customStyle="1" w:styleId="BalloonTextChar">
    <w:name w:val="Balloon Text Char"/>
    <w:basedOn w:val="DefaultParagraphFont"/>
    <w:link w:val="BalloonText"/>
    <w:rsid w:val="00867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41BD7-72B6-4B96-82D6-919C53F0C2C2}"/>
</file>

<file path=customXml/itemProps2.xml><?xml version="1.0" encoding="utf-8"?>
<ds:datastoreItem xmlns:ds="http://schemas.openxmlformats.org/officeDocument/2006/customXml" ds:itemID="{7789CB7A-03FF-4FA2-9DAE-A241EE57B17D}"/>
</file>

<file path=customXml/itemProps3.xml><?xml version="1.0" encoding="utf-8"?>
<ds:datastoreItem xmlns:ds="http://schemas.openxmlformats.org/officeDocument/2006/customXml" ds:itemID="{4CE5AA0F-373A-43AB-BEB8-97F9DCBC6F0E}"/>
</file>

<file path=customXml/itemProps4.xml><?xml version="1.0" encoding="utf-8"?>
<ds:datastoreItem xmlns:ds="http://schemas.openxmlformats.org/officeDocument/2006/customXml" ds:itemID="{FD19919D-1C85-4907-96F8-864EBBC8BD85}"/>
</file>

<file path=customXml/itemProps5.xml><?xml version="1.0" encoding="utf-8"?>
<ds:datastoreItem xmlns:ds="http://schemas.openxmlformats.org/officeDocument/2006/customXml" ds:itemID="{B8069BFE-EEEB-4F33-9F53-FD201EDC2D40}"/>
</file>

<file path=docProps/app.xml><?xml version="1.0" encoding="utf-8"?>
<Properties xmlns="http://schemas.openxmlformats.org/officeDocument/2006/extended-properties" xmlns:vt="http://schemas.openxmlformats.org/officeDocument/2006/docPropsVTypes">
  <Template>Normal.dotm</Template>
  <TotalTime>9</TotalTime>
  <Pages>6</Pages>
  <Words>1458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subject/>
  <dc:creator>Avista Corp Employee</dc:creator>
  <cp:keywords/>
  <dc:description/>
  <cp:lastModifiedBy>Avista - Patrick Ehrbar</cp:lastModifiedBy>
  <cp:revision>3</cp:revision>
  <cp:lastPrinted>2012-05-24T23:44:00Z</cp:lastPrinted>
  <dcterms:created xsi:type="dcterms:W3CDTF">2012-05-25T14:43:00Z</dcterms:created>
  <dcterms:modified xsi:type="dcterms:W3CDTF">2012-05-25T18:29:00Z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