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415F" w14:textId="5C44BBCC" w:rsidR="00EF65E2" w:rsidRPr="00AD3296" w:rsidRDefault="00EF65E2" w:rsidP="0004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bookmarkStart w:id="0" w:name="_GoBack"/>
      <w:bookmarkEnd w:id="0"/>
      <w:r w:rsidRPr="00AD3296">
        <w:rPr>
          <w:rFonts w:ascii="Times New Roman" w:hAnsi="Times New Roman"/>
          <w:sz w:val="24"/>
        </w:rPr>
        <w:t>Agenda Date:</w:t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="00EE7082">
        <w:rPr>
          <w:rFonts w:ascii="Times New Roman" w:hAnsi="Times New Roman"/>
          <w:sz w:val="24"/>
        </w:rPr>
        <w:t>November 30</w:t>
      </w:r>
      <w:r w:rsidR="0054131D" w:rsidRPr="00AD3296">
        <w:rPr>
          <w:rFonts w:ascii="Times New Roman" w:hAnsi="Times New Roman"/>
          <w:sz w:val="24"/>
        </w:rPr>
        <w:t>, 201</w:t>
      </w:r>
      <w:r w:rsidR="00115F72" w:rsidRPr="00AD3296">
        <w:rPr>
          <w:rFonts w:ascii="Times New Roman" w:hAnsi="Times New Roman"/>
          <w:sz w:val="24"/>
        </w:rPr>
        <w:t>7</w:t>
      </w:r>
      <w:r w:rsidR="0054131D" w:rsidRPr="00AD3296">
        <w:rPr>
          <w:rFonts w:ascii="Times New Roman" w:hAnsi="Times New Roman"/>
          <w:sz w:val="24"/>
        </w:rPr>
        <w:t xml:space="preserve"> </w:t>
      </w:r>
      <w:r w:rsidRPr="00AD3296">
        <w:rPr>
          <w:rFonts w:ascii="Times New Roman" w:hAnsi="Times New Roman"/>
          <w:sz w:val="24"/>
        </w:rPr>
        <w:tab/>
      </w:r>
    </w:p>
    <w:p w14:paraId="38F54160" w14:textId="663061A0" w:rsidR="00EF65E2" w:rsidRPr="00AD3296" w:rsidRDefault="00160103" w:rsidP="000474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t>Item Number</w:t>
      </w:r>
      <w:r w:rsidR="00D51A87">
        <w:rPr>
          <w:rFonts w:ascii="Times New Roman" w:hAnsi="Times New Roman"/>
          <w:sz w:val="24"/>
        </w:rPr>
        <w:t>s:</w:t>
      </w:r>
      <w:r w:rsidR="00D51A87">
        <w:rPr>
          <w:rFonts w:ascii="Times New Roman" w:hAnsi="Times New Roman"/>
          <w:sz w:val="24"/>
        </w:rPr>
        <w:tab/>
      </w:r>
      <w:r w:rsidR="00115F72" w:rsidRPr="002D00DA">
        <w:rPr>
          <w:rFonts w:ascii="Times New Roman" w:hAnsi="Times New Roman"/>
          <w:sz w:val="24"/>
        </w:rPr>
        <w:t>B</w:t>
      </w:r>
      <w:r w:rsidR="002D00DA" w:rsidRPr="002D00DA">
        <w:rPr>
          <w:rFonts w:ascii="Times New Roman" w:hAnsi="Times New Roman"/>
          <w:sz w:val="24"/>
        </w:rPr>
        <w:t>1 and B2</w:t>
      </w:r>
    </w:p>
    <w:p w14:paraId="38F54161" w14:textId="77777777" w:rsidR="00EF65E2" w:rsidRPr="00AD3296" w:rsidRDefault="00EF65E2" w:rsidP="000474FC">
      <w:pPr>
        <w:pStyle w:val="Heading3"/>
        <w:spacing w:line="240" w:lineRule="auto"/>
      </w:pPr>
    </w:p>
    <w:p w14:paraId="38F54162" w14:textId="14A429A3" w:rsidR="00EF65E2" w:rsidRPr="00AD3296" w:rsidRDefault="00EF65E2" w:rsidP="0032734B">
      <w:pPr>
        <w:pStyle w:val="Heading3"/>
        <w:spacing w:line="240" w:lineRule="auto"/>
      </w:pPr>
      <w:r w:rsidRPr="00AD3296">
        <w:t>Docket</w:t>
      </w:r>
      <w:r w:rsidR="00D51A87">
        <w:t>s</w:t>
      </w:r>
      <w:r w:rsidRPr="00AD3296">
        <w:t xml:space="preserve">: </w:t>
      </w:r>
      <w:r w:rsidRPr="00AD3296">
        <w:tab/>
      </w:r>
      <w:r w:rsidRPr="00AD3296">
        <w:tab/>
        <w:t>TG-</w:t>
      </w:r>
      <w:r w:rsidR="00217E6F" w:rsidRPr="00AD3296">
        <w:t>1</w:t>
      </w:r>
      <w:r w:rsidR="00632023" w:rsidRPr="00AD3296">
        <w:t>7</w:t>
      </w:r>
      <w:r w:rsidR="00ED697A">
        <w:t>0</w:t>
      </w:r>
      <w:r w:rsidR="00992CA6">
        <w:t>981 and TG-170982</w:t>
      </w:r>
    </w:p>
    <w:p w14:paraId="38F54163" w14:textId="27A32898" w:rsidR="00EF65E2" w:rsidRDefault="00EF65E2" w:rsidP="00920B04">
      <w:pPr>
        <w:ind w:left="2160" w:hanging="2160"/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t>Company Name:</w:t>
      </w:r>
      <w:r w:rsidRPr="00AD3296">
        <w:rPr>
          <w:rFonts w:ascii="Times New Roman" w:hAnsi="Times New Roman"/>
          <w:sz w:val="24"/>
        </w:rPr>
        <w:tab/>
      </w:r>
      <w:r w:rsidR="00E709DE">
        <w:rPr>
          <w:rFonts w:ascii="Times New Roman" w:hAnsi="Times New Roman"/>
          <w:sz w:val="24"/>
        </w:rPr>
        <w:t xml:space="preserve">Basin Disposal, Inc. </w:t>
      </w:r>
      <w:r w:rsidR="006F61DF" w:rsidRPr="00AD3296">
        <w:rPr>
          <w:rFonts w:ascii="Times New Roman" w:hAnsi="Times New Roman"/>
          <w:sz w:val="24"/>
        </w:rPr>
        <w:t>G-118</w:t>
      </w:r>
    </w:p>
    <w:p w14:paraId="2D347DA4" w14:textId="7F98ACA2" w:rsidR="00992CA6" w:rsidRPr="00AD3296" w:rsidRDefault="00992CA6" w:rsidP="00920B04">
      <w:pPr>
        <w:ind w:left="2160" w:hanging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Ed</w:t>
      </w:r>
      <w:r w:rsidR="00AE46E8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s Disposal, Inc. G-110</w:t>
      </w:r>
    </w:p>
    <w:p w14:paraId="38F54164" w14:textId="77777777" w:rsidR="00EF65E2" w:rsidRPr="00AD3296" w:rsidRDefault="00EF65E2" w:rsidP="008542DF">
      <w:pPr>
        <w:rPr>
          <w:rFonts w:ascii="Times New Roman" w:hAnsi="Times New Roman"/>
          <w:sz w:val="24"/>
        </w:rPr>
      </w:pPr>
      <w:bookmarkStart w:id="1" w:name="OLE_LINK1"/>
      <w:bookmarkStart w:id="2" w:name="OLE_LINK2"/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bookmarkEnd w:id="1"/>
      <w:bookmarkEnd w:id="2"/>
    </w:p>
    <w:p w14:paraId="38F54165" w14:textId="107F114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t>Staff:</w:t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="00115F72" w:rsidRPr="00AD3296">
        <w:rPr>
          <w:rFonts w:ascii="Times New Roman" w:hAnsi="Times New Roman"/>
          <w:sz w:val="24"/>
        </w:rPr>
        <w:t>Scott Sevall</w:t>
      </w:r>
      <w:r w:rsidRPr="00AD3296">
        <w:rPr>
          <w:rFonts w:ascii="Times New Roman" w:hAnsi="Times New Roman"/>
          <w:sz w:val="24"/>
        </w:rPr>
        <w:t>, Regulatory Analyst</w:t>
      </w:r>
    </w:p>
    <w:p w14:paraId="38F54166" w14:textId="32D08A1D" w:rsidR="00EF65E2" w:rsidRPr="00AD3296" w:rsidRDefault="00217E6F" w:rsidP="00160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Pr="00AD3296">
        <w:rPr>
          <w:rFonts w:ascii="Times New Roman" w:hAnsi="Times New Roman"/>
          <w:sz w:val="24"/>
        </w:rPr>
        <w:tab/>
      </w:r>
      <w:r w:rsidR="00960B6E">
        <w:rPr>
          <w:rFonts w:ascii="Times New Roman" w:hAnsi="Times New Roman"/>
          <w:sz w:val="24"/>
        </w:rPr>
        <w:t>John Cupp</w:t>
      </w:r>
      <w:r w:rsidR="00EF65E2" w:rsidRPr="00AD3296">
        <w:rPr>
          <w:rFonts w:ascii="Times New Roman" w:hAnsi="Times New Roman"/>
          <w:sz w:val="24"/>
        </w:rPr>
        <w:t>, Consumer Pro</w:t>
      </w:r>
      <w:r w:rsidR="004C6E77" w:rsidRPr="00AD3296">
        <w:rPr>
          <w:rFonts w:ascii="Times New Roman" w:hAnsi="Times New Roman"/>
          <w:sz w:val="24"/>
        </w:rPr>
        <w:t>tection Staff</w:t>
      </w:r>
    </w:p>
    <w:p w14:paraId="38F54167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8F54168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b/>
          <w:bCs/>
          <w:sz w:val="24"/>
          <w:u w:val="single"/>
        </w:rPr>
        <w:t>Recommendation</w:t>
      </w:r>
    </w:p>
    <w:p w14:paraId="38F54169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8F5416A" w14:textId="55D51741" w:rsidR="0050601F" w:rsidRPr="009D706C" w:rsidRDefault="00287432" w:rsidP="00E709DE">
      <w:pPr>
        <w:rPr>
          <w:sz w:val="24"/>
        </w:rPr>
      </w:pPr>
      <w:r w:rsidRPr="009D706C">
        <w:rPr>
          <w:rFonts w:ascii="Times New Roman" w:hAnsi="Times New Roman"/>
          <w:sz w:val="24"/>
        </w:rPr>
        <w:t>Allow the tariff revisions filed by Basin Disposal,</w:t>
      </w:r>
      <w:r w:rsidR="009556BD" w:rsidRPr="009D706C">
        <w:rPr>
          <w:rFonts w:ascii="Times New Roman" w:hAnsi="Times New Roman"/>
          <w:sz w:val="24"/>
        </w:rPr>
        <w:t xml:space="preserve"> Inc. </w:t>
      </w:r>
      <w:r w:rsidR="0017184B">
        <w:rPr>
          <w:rFonts w:ascii="Times New Roman" w:hAnsi="Times New Roman"/>
          <w:sz w:val="24"/>
        </w:rPr>
        <w:t xml:space="preserve">and Ed’s Disposal, Inc. </w:t>
      </w:r>
      <w:r w:rsidR="009556BD" w:rsidRPr="009D706C">
        <w:rPr>
          <w:rFonts w:ascii="Times New Roman" w:hAnsi="Times New Roman"/>
          <w:sz w:val="24"/>
        </w:rPr>
        <w:t>on September</w:t>
      </w:r>
      <w:r w:rsidRPr="009D706C">
        <w:rPr>
          <w:rFonts w:ascii="Times New Roman" w:hAnsi="Times New Roman"/>
          <w:sz w:val="24"/>
        </w:rPr>
        <w:t xml:space="preserve"> </w:t>
      </w:r>
      <w:r w:rsidR="009556BD" w:rsidRPr="009D706C">
        <w:rPr>
          <w:rFonts w:ascii="Times New Roman" w:hAnsi="Times New Roman"/>
          <w:sz w:val="24"/>
        </w:rPr>
        <w:t>15</w:t>
      </w:r>
      <w:r w:rsidRPr="009D706C">
        <w:rPr>
          <w:rFonts w:ascii="Times New Roman" w:hAnsi="Times New Roman"/>
          <w:sz w:val="24"/>
        </w:rPr>
        <w:t xml:space="preserve">, 2017, </w:t>
      </w:r>
      <w:r w:rsidR="006428F4">
        <w:rPr>
          <w:rFonts w:ascii="Times New Roman" w:hAnsi="Times New Roman"/>
          <w:sz w:val="24"/>
        </w:rPr>
        <w:t xml:space="preserve">and </w:t>
      </w:r>
      <w:r w:rsidRPr="009D706C">
        <w:rPr>
          <w:rFonts w:ascii="Times New Roman" w:hAnsi="Times New Roman"/>
          <w:sz w:val="24"/>
        </w:rPr>
        <w:t xml:space="preserve">as revised on </w:t>
      </w:r>
      <w:r w:rsidR="002D00DA" w:rsidRPr="009D706C">
        <w:rPr>
          <w:rFonts w:ascii="Times New Roman" w:hAnsi="Times New Roman"/>
          <w:sz w:val="24"/>
        </w:rPr>
        <w:t>Novembe</w:t>
      </w:r>
      <w:r w:rsidR="009556BD" w:rsidRPr="009D706C">
        <w:rPr>
          <w:rFonts w:ascii="Times New Roman" w:hAnsi="Times New Roman"/>
          <w:sz w:val="24"/>
        </w:rPr>
        <w:t>r</w:t>
      </w:r>
      <w:r w:rsidR="006F1E40" w:rsidRPr="009D706C">
        <w:rPr>
          <w:rFonts w:ascii="Times New Roman" w:hAnsi="Times New Roman"/>
          <w:sz w:val="24"/>
        </w:rPr>
        <w:t xml:space="preserve"> </w:t>
      </w:r>
      <w:r w:rsidR="00C978E4">
        <w:rPr>
          <w:rFonts w:ascii="Times New Roman" w:hAnsi="Times New Roman"/>
          <w:sz w:val="24"/>
        </w:rPr>
        <w:t>20</w:t>
      </w:r>
      <w:r w:rsidRPr="009D706C">
        <w:rPr>
          <w:rFonts w:ascii="Times New Roman" w:hAnsi="Times New Roman"/>
          <w:sz w:val="24"/>
        </w:rPr>
        <w:t xml:space="preserve">, 2017, to become effective on </w:t>
      </w:r>
      <w:r w:rsidR="002D00DA" w:rsidRPr="009D706C">
        <w:rPr>
          <w:rFonts w:ascii="Times New Roman" w:hAnsi="Times New Roman"/>
          <w:sz w:val="24"/>
        </w:rPr>
        <w:t>December</w:t>
      </w:r>
      <w:r w:rsidRPr="009D706C">
        <w:rPr>
          <w:rFonts w:ascii="Times New Roman" w:hAnsi="Times New Roman"/>
          <w:sz w:val="24"/>
        </w:rPr>
        <w:t xml:space="preserve"> 1, 2017, by operation of law.</w:t>
      </w:r>
    </w:p>
    <w:p w14:paraId="38F5416B" w14:textId="77777777" w:rsidR="00C84155" w:rsidRPr="00AD3296" w:rsidRDefault="00C84155" w:rsidP="00C84155">
      <w:pPr>
        <w:rPr>
          <w:rFonts w:ascii="Times New Roman" w:hAnsi="Times New Roman"/>
          <w:sz w:val="24"/>
        </w:rPr>
      </w:pPr>
    </w:p>
    <w:p w14:paraId="38F5416C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b/>
          <w:bCs/>
          <w:sz w:val="24"/>
          <w:u w:val="single"/>
        </w:rPr>
        <w:t>Discussion</w:t>
      </w:r>
    </w:p>
    <w:p w14:paraId="38F5416D" w14:textId="77777777" w:rsidR="00EF65E2" w:rsidRPr="00AD3296" w:rsidRDefault="00EF65E2" w:rsidP="003273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</w:rPr>
      </w:pPr>
    </w:p>
    <w:p w14:paraId="38F5416E" w14:textId="275136F2" w:rsidR="00EF65E2" w:rsidRPr="00E349E2" w:rsidRDefault="00EF65E2" w:rsidP="00DB71D9">
      <w:pPr>
        <w:rPr>
          <w:rFonts w:ascii="Times New Roman" w:hAnsi="Times New Roman"/>
          <w:sz w:val="24"/>
        </w:rPr>
      </w:pPr>
      <w:r w:rsidRPr="00E349E2">
        <w:rPr>
          <w:rFonts w:ascii="Times New Roman" w:hAnsi="Times New Roman"/>
          <w:sz w:val="24"/>
        </w:rPr>
        <w:t xml:space="preserve">On </w:t>
      </w:r>
      <w:r w:rsidR="00AE46E8">
        <w:rPr>
          <w:rFonts w:ascii="Times New Roman" w:hAnsi="Times New Roman"/>
          <w:sz w:val="24"/>
        </w:rPr>
        <w:t>September</w:t>
      </w:r>
      <w:r w:rsidR="006F61DF" w:rsidRPr="00E349E2">
        <w:rPr>
          <w:rFonts w:ascii="Times New Roman" w:hAnsi="Times New Roman"/>
          <w:sz w:val="24"/>
        </w:rPr>
        <w:t xml:space="preserve"> 1</w:t>
      </w:r>
      <w:r w:rsidR="00AE46E8">
        <w:rPr>
          <w:rFonts w:ascii="Times New Roman" w:hAnsi="Times New Roman"/>
          <w:sz w:val="24"/>
        </w:rPr>
        <w:t>5</w:t>
      </w:r>
      <w:r w:rsidR="003A168E" w:rsidRPr="00E349E2">
        <w:rPr>
          <w:rFonts w:ascii="Times New Roman" w:hAnsi="Times New Roman"/>
          <w:sz w:val="24"/>
        </w:rPr>
        <w:t>, 201</w:t>
      </w:r>
      <w:r w:rsidR="00115F72" w:rsidRPr="00E349E2">
        <w:rPr>
          <w:rFonts w:ascii="Times New Roman" w:hAnsi="Times New Roman"/>
          <w:sz w:val="24"/>
        </w:rPr>
        <w:t>7</w:t>
      </w:r>
      <w:r w:rsidR="00667709" w:rsidRPr="00E349E2">
        <w:rPr>
          <w:rFonts w:ascii="Times New Roman" w:hAnsi="Times New Roman"/>
          <w:sz w:val="24"/>
        </w:rPr>
        <w:t>, Basin</w:t>
      </w:r>
      <w:r w:rsidR="006F61DF" w:rsidRPr="00E349E2">
        <w:rPr>
          <w:rFonts w:ascii="Times New Roman" w:hAnsi="Times New Roman"/>
          <w:sz w:val="24"/>
        </w:rPr>
        <w:t xml:space="preserve"> Disposal, </w:t>
      </w:r>
      <w:r w:rsidR="001901EE" w:rsidRPr="00E349E2">
        <w:rPr>
          <w:rFonts w:ascii="Times New Roman" w:hAnsi="Times New Roman"/>
          <w:sz w:val="24"/>
        </w:rPr>
        <w:t>Inc.</w:t>
      </w:r>
      <w:r w:rsidR="00920B04" w:rsidRPr="00E349E2">
        <w:rPr>
          <w:rFonts w:ascii="Times New Roman" w:hAnsi="Times New Roman"/>
          <w:sz w:val="24"/>
        </w:rPr>
        <w:t xml:space="preserve"> </w:t>
      </w:r>
      <w:r w:rsidR="0013164B" w:rsidRPr="00E349E2">
        <w:rPr>
          <w:rFonts w:ascii="Times New Roman" w:hAnsi="Times New Roman"/>
          <w:sz w:val="24"/>
        </w:rPr>
        <w:t>(</w:t>
      </w:r>
      <w:r w:rsidR="00740796" w:rsidRPr="00E349E2">
        <w:rPr>
          <w:rFonts w:ascii="Times New Roman" w:hAnsi="Times New Roman"/>
          <w:sz w:val="24"/>
        </w:rPr>
        <w:t>BDI</w:t>
      </w:r>
      <w:r w:rsidR="0013164B" w:rsidRPr="00E349E2">
        <w:rPr>
          <w:rFonts w:ascii="Times New Roman" w:hAnsi="Times New Roman"/>
          <w:sz w:val="24"/>
        </w:rPr>
        <w:t>)</w:t>
      </w:r>
      <w:r w:rsidR="00AE46E8">
        <w:rPr>
          <w:rFonts w:ascii="Times New Roman" w:hAnsi="Times New Roman"/>
          <w:sz w:val="24"/>
        </w:rPr>
        <w:t xml:space="preserve"> and Ed’s Disposal, Inc. (Ed’s)</w:t>
      </w:r>
      <w:r w:rsidR="0013164B" w:rsidRPr="00E349E2">
        <w:rPr>
          <w:rFonts w:ascii="Times New Roman" w:hAnsi="Times New Roman"/>
          <w:sz w:val="24"/>
        </w:rPr>
        <w:t>,</w:t>
      </w:r>
      <w:r w:rsidRPr="00E349E2">
        <w:rPr>
          <w:rFonts w:ascii="Times New Roman" w:hAnsi="Times New Roman"/>
          <w:sz w:val="24"/>
        </w:rPr>
        <w:t xml:space="preserve"> filed </w:t>
      </w:r>
      <w:r w:rsidR="00FE5CDD" w:rsidRPr="00E349E2">
        <w:rPr>
          <w:rFonts w:ascii="Times New Roman" w:hAnsi="Times New Roman"/>
          <w:sz w:val="24"/>
        </w:rPr>
        <w:t>tariff revisions with the Utilities and Transportation Commission (commission)</w:t>
      </w:r>
      <w:r w:rsidR="00DE3E98" w:rsidRPr="00E349E2">
        <w:rPr>
          <w:rFonts w:ascii="Times New Roman" w:hAnsi="Times New Roman"/>
          <w:sz w:val="24"/>
        </w:rPr>
        <w:t xml:space="preserve"> that w</w:t>
      </w:r>
      <w:r w:rsidRPr="00E349E2">
        <w:rPr>
          <w:rFonts w:ascii="Times New Roman" w:hAnsi="Times New Roman"/>
          <w:sz w:val="24"/>
        </w:rPr>
        <w:t xml:space="preserve">ould </w:t>
      </w:r>
      <w:r w:rsidR="0013164B" w:rsidRPr="00E349E2">
        <w:rPr>
          <w:rFonts w:ascii="Times New Roman" w:hAnsi="Times New Roman"/>
          <w:sz w:val="24"/>
        </w:rPr>
        <w:t xml:space="preserve">generate </w:t>
      </w:r>
      <w:r w:rsidRPr="00E349E2">
        <w:rPr>
          <w:rFonts w:ascii="Times New Roman" w:hAnsi="Times New Roman"/>
          <w:sz w:val="24"/>
        </w:rPr>
        <w:t>approximately $</w:t>
      </w:r>
      <w:r w:rsidR="00AE46E8">
        <w:rPr>
          <w:rFonts w:ascii="Times New Roman" w:hAnsi="Times New Roman"/>
          <w:sz w:val="24"/>
        </w:rPr>
        <w:t>476</w:t>
      </w:r>
      <w:r w:rsidR="00740796" w:rsidRPr="00E349E2">
        <w:rPr>
          <w:rFonts w:ascii="Times New Roman" w:hAnsi="Times New Roman"/>
          <w:sz w:val="24"/>
        </w:rPr>
        <w:t>,000</w:t>
      </w:r>
      <w:r w:rsidRPr="00E349E2">
        <w:rPr>
          <w:rFonts w:ascii="Times New Roman" w:hAnsi="Times New Roman"/>
          <w:sz w:val="24"/>
        </w:rPr>
        <w:t xml:space="preserve"> (</w:t>
      </w:r>
      <w:r w:rsidR="00AE46E8">
        <w:rPr>
          <w:rFonts w:ascii="Times New Roman" w:hAnsi="Times New Roman"/>
          <w:sz w:val="24"/>
        </w:rPr>
        <w:t>7</w:t>
      </w:r>
      <w:r w:rsidR="00DB71D9" w:rsidRPr="00E349E2">
        <w:rPr>
          <w:rFonts w:ascii="Times New Roman" w:hAnsi="Times New Roman"/>
          <w:sz w:val="24"/>
        </w:rPr>
        <w:t>.</w:t>
      </w:r>
      <w:r w:rsidR="00AE46E8">
        <w:rPr>
          <w:rFonts w:ascii="Times New Roman" w:hAnsi="Times New Roman"/>
          <w:sz w:val="24"/>
        </w:rPr>
        <w:t>5</w:t>
      </w:r>
      <w:r w:rsidRPr="00E349E2">
        <w:rPr>
          <w:rFonts w:ascii="Times New Roman" w:hAnsi="Times New Roman"/>
          <w:sz w:val="24"/>
        </w:rPr>
        <w:t xml:space="preserve"> percent</w:t>
      </w:r>
      <w:r w:rsidR="000F1D91">
        <w:rPr>
          <w:rFonts w:ascii="Times New Roman" w:hAnsi="Times New Roman"/>
          <w:sz w:val="24"/>
        </w:rPr>
        <w:t xml:space="preserve"> BDI and Ed’s combined</w:t>
      </w:r>
      <w:r w:rsidRPr="00E349E2">
        <w:rPr>
          <w:rFonts w:ascii="Times New Roman" w:hAnsi="Times New Roman"/>
          <w:sz w:val="24"/>
        </w:rPr>
        <w:t>)</w:t>
      </w:r>
      <w:r w:rsidR="0013164B" w:rsidRPr="00E349E2">
        <w:rPr>
          <w:rFonts w:ascii="Times New Roman" w:hAnsi="Times New Roman"/>
          <w:sz w:val="24"/>
        </w:rPr>
        <w:t xml:space="preserve"> additional annu</w:t>
      </w:r>
      <w:r w:rsidR="0013164B" w:rsidRPr="00535EBD">
        <w:rPr>
          <w:rFonts w:ascii="Times New Roman" w:hAnsi="Times New Roman"/>
          <w:sz w:val="24"/>
        </w:rPr>
        <w:t>a</w:t>
      </w:r>
      <w:r w:rsidR="0013164B" w:rsidRPr="00E349E2">
        <w:rPr>
          <w:rFonts w:ascii="Times New Roman" w:hAnsi="Times New Roman"/>
          <w:sz w:val="24"/>
        </w:rPr>
        <w:t>l revenue</w:t>
      </w:r>
      <w:r w:rsidRPr="00E349E2">
        <w:rPr>
          <w:rFonts w:ascii="Times New Roman" w:hAnsi="Times New Roman"/>
          <w:sz w:val="24"/>
        </w:rPr>
        <w:t>.</w:t>
      </w:r>
      <w:r w:rsidR="00740796" w:rsidRPr="00E349E2">
        <w:rPr>
          <w:rFonts w:ascii="Times New Roman" w:hAnsi="Times New Roman"/>
          <w:sz w:val="24"/>
        </w:rPr>
        <w:t xml:space="preserve"> BDI</w:t>
      </w:r>
      <w:r w:rsidR="00C601A3" w:rsidRPr="00E349E2">
        <w:rPr>
          <w:rFonts w:ascii="Times New Roman" w:hAnsi="Times New Roman"/>
          <w:sz w:val="24"/>
        </w:rPr>
        <w:t xml:space="preserve"> </w:t>
      </w:r>
      <w:r w:rsidRPr="00E349E2">
        <w:rPr>
          <w:rFonts w:ascii="Times New Roman" w:hAnsi="Times New Roman"/>
          <w:sz w:val="24"/>
        </w:rPr>
        <w:t>serve</w:t>
      </w:r>
      <w:r w:rsidR="00600078" w:rsidRPr="00E349E2">
        <w:rPr>
          <w:rFonts w:ascii="Times New Roman" w:hAnsi="Times New Roman"/>
          <w:sz w:val="24"/>
        </w:rPr>
        <w:t>s</w:t>
      </w:r>
      <w:r w:rsidRPr="00E349E2">
        <w:rPr>
          <w:rFonts w:ascii="Times New Roman" w:hAnsi="Times New Roman"/>
          <w:sz w:val="24"/>
        </w:rPr>
        <w:t xml:space="preserve"> </w:t>
      </w:r>
      <w:r w:rsidR="00DD2FFF" w:rsidRPr="00E349E2">
        <w:rPr>
          <w:rFonts w:ascii="Times New Roman" w:hAnsi="Times New Roman"/>
          <w:sz w:val="24"/>
        </w:rPr>
        <w:t xml:space="preserve">approximately </w:t>
      </w:r>
      <w:r w:rsidR="00115F72" w:rsidRPr="00E349E2">
        <w:rPr>
          <w:rFonts w:ascii="Times New Roman" w:hAnsi="Times New Roman"/>
          <w:sz w:val="24"/>
        </w:rPr>
        <w:t>5</w:t>
      </w:r>
      <w:r w:rsidR="00EC1CDB" w:rsidRPr="00E349E2">
        <w:rPr>
          <w:rFonts w:ascii="Times New Roman" w:hAnsi="Times New Roman"/>
          <w:sz w:val="24"/>
        </w:rPr>
        <w:t>,</w:t>
      </w:r>
      <w:r w:rsidR="00115F72" w:rsidRPr="00E349E2">
        <w:rPr>
          <w:rFonts w:ascii="Times New Roman" w:hAnsi="Times New Roman"/>
          <w:sz w:val="24"/>
        </w:rPr>
        <w:t>5</w:t>
      </w:r>
      <w:r w:rsidR="00EC1CDB" w:rsidRPr="00E349E2">
        <w:rPr>
          <w:rFonts w:ascii="Times New Roman" w:hAnsi="Times New Roman"/>
          <w:sz w:val="24"/>
        </w:rPr>
        <w:t>00</w:t>
      </w:r>
      <w:r w:rsidR="00A4063C" w:rsidRPr="00E349E2">
        <w:rPr>
          <w:rFonts w:ascii="Times New Roman" w:hAnsi="Times New Roman"/>
          <w:sz w:val="24"/>
        </w:rPr>
        <w:t xml:space="preserve"> </w:t>
      </w:r>
      <w:r w:rsidRPr="00E349E2">
        <w:rPr>
          <w:rFonts w:ascii="Times New Roman" w:hAnsi="Times New Roman"/>
          <w:sz w:val="24"/>
        </w:rPr>
        <w:t>residen</w:t>
      </w:r>
      <w:r w:rsidRPr="00535EBD">
        <w:rPr>
          <w:rFonts w:ascii="Times New Roman" w:hAnsi="Times New Roman"/>
          <w:sz w:val="24"/>
        </w:rPr>
        <w:t xml:space="preserve">tial </w:t>
      </w:r>
      <w:r w:rsidR="00124FDB" w:rsidRPr="00535EBD">
        <w:rPr>
          <w:rFonts w:ascii="Times New Roman" w:hAnsi="Times New Roman"/>
          <w:sz w:val="24"/>
        </w:rPr>
        <w:t xml:space="preserve">and </w:t>
      </w:r>
      <w:r w:rsidRPr="00535EBD">
        <w:rPr>
          <w:rFonts w:ascii="Times New Roman" w:hAnsi="Times New Roman"/>
          <w:sz w:val="24"/>
        </w:rPr>
        <w:t>commercial customers</w:t>
      </w:r>
      <w:r w:rsidR="00EA1853">
        <w:rPr>
          <w:rFonts w:ascii="Times New Roman" w:hAnsi="Times New Roman"/>
          <w:sz w:val="24"/>
        </w:rPr>
        <w:t>;</w:t>
      </w:r>
      <w:r w:rsidR="00340026">
        <w:rPr>
          <w:rFonts w:ascii="Times New Roman" w:hAnsi="Times New Roman"/>
          <w:sz w:val="24"/>
        </w:rPr>
        <w:t xml:space="preserve"> Ed’s serves approximatley</w:t>
      </w:r>
      <w:r w:rsidRPr="00535EBD">
        <w:rPr>
          <w:rFonts w:ascii="Times New Roman" w:hAnsi="Times New Roman"/>
          <w:sz w:val="24"/>
        </w:rPr>
        <w:t xml:space="preserve"> </w:t>
      </w:r>
      <w:r w:rsidR="00E85DC8">
        <w:rPr>
          <w:rFonts w:ascii="Times New Roman" w:hAnsi="Times New Roman"/>
          <w:sz w:val="24"/>
        </w:rPr>
        <w:t>4,5</w:t>
      </w:r>
      <w:r w:rsidR="00340026">
        <w:rPr>
          <w:rFonts w:ascii="Times New Roman" w:hAnsi="Times New Roman"/>
          <w:sz w:val="24"/>
        </w:rPr>
        <w:t>00 residential and commercial customers</w:t>
      </w:r>
      <w:r w:rsidR="006428F4">
        <w:rPr>
          <w:rFonts w:ascii="Times New Roman" w:hAnsi="Times New Roman"/>
          <w:sz w:val="24"/>
        </w:rPr>
        <w:t>, both</w:t>
      </w:r>
      <w:r w:rsidR="00340026">
        <w:rPr>
          <w:rFonts w:ascii="Times New Roman" w:hAnsi="Times New Roman"/>
          <w:sz w:val="24"/>
        </w:rPr>
        <w:t xml:space="preserve"> </w:t>
      </w:r>
      <w:r w:rsidRPr="00535EBD">
        <w:rPr>
          <w:rFonts w:ascii="Times New Roman" w:hAnsi="Times New Roman"/>
          <w:sz w:val="24"/>
        </w:rPr>
        <w:t xml:space="preserve">in </w:t>
      </w:r>
      <w:r w:rsidR="00B10DE9" w:rsidRPr="00535EBD">
        <w:rPr>
          <w:rFonts w:ascii="Times New Roman" w:hAnsi="Times New Roman"/>
          <w:sz w:val="24"/>
        </w:rPr>
        <w:t>Benton</w:t>
      </w:r>
      <w:r w:rsidR="008E39C7">
        <w:rPr>
          <w:rFonts w:ascii="Times New Roman" w:hAnsi="Times New Roman"/>
          <w:sz w:val="24"/>
        </w:rPr>
        <w:t>,</w:t>
      </w:r>
      <w:r w:rsidR="00B10DE9" w:rsidRPr="00535EBD">
        <w:rPr>
          <w:rFonts w:ascii="Times New Roman" w:hAnsi="Times New Roman"/>
          <w:sz w:val="24"/>
        </w:rPr>
        <w:t xml:space="preserve"> Franklin</w:t>
      </w:r>
      <w:r w:rsidR="004459F7">
        <w:rPr>
          <w:rFonts w:ascii="Times New Roman" w:hAnsi="Times New Roman"/>
          <w:sz w:val="24"/>
        </w:rPr>
        <w:t>, and Walla Walla</w:t>
      </w:r>
      <w:r w:rsidR="00B10DE9" w:rsidRPr="00535EBD">
        <w:rPr>
          <w:rFonts w:ascii="Times New Roman" w:hAnsi="Times New Roman"/>
          <w:sz w:val="24"/>
        </w:rPr>
        <w:t xml:space="preserve"> counties</w:t>
      </w:r>
      <w:r w:rsidRPr="00535EBD">
        <w:rPr>
          <w:rFonts w:ascii="Times New Roman" w:hAnsi="Times New Roman"/>
          <w:sz w:val="24"/>
        </w:rPr>
        <w:t xml:space="preserve">. The </w:t>
      </w:r>
      <w:r w:rsidR="0013164B" w:rsidRPr="00535EBD">
        <w:rPr>
          <w:rFonts w:ascii="Times New Roman" w:hAnsi="Times New Roman"/>
          <w:sz w:val="24"/>
        </w:rPr>
        <w:t xml:space="preserve">filing is prompted by </w:t>
      </w:r>
      <w:r w:rsidR="00600078" w:rsidRPr="00535EBD">
        <w:rPr>
          <w:rFonts w:ascii="Times New Roman" w:hAnsi="Times New Roman"/>
          <w:sz w:val="24"/>
        </w:rPr>
        <w:t>increases</w:t>
      </w:r>
      <w:r w:rsidR="00D240D5">
        <w:rPr>
          <w:rFonts w:ascii="Times New Roman" w:hAnsi="Times New Roman"/>
          <w:sz w:val="24"/>
        </w:rPr>
        <w:t xml:space="preserve"> in</w:t>
      </w:r>
      <w:r w:rsidR="00B10DE9" w:rsidRPr="00E349E2">
        <w:rPr>
          <w:rFonts w:ascii="Times New Roman" w:hAnsi="Times New Roman"/>
          <w:sz w:val="24"/>
        </w:rPr>
        <w:t xml:space="preserve"> wages, benefits,</w:t>
      </w:r>
      <w:r w:rsidR="00D57587" w:rsidRPr="00E349E2">
        <w:rPr>
          <w:rFonts w:ascii="Times New Roman" w:hAnsi="Times New Roman"/>
          <w:sz w:val="24"/>
        </w:rPr>
        <w:t xml:space="preserve"> </w:t>
      </w:r>
      <w:r w:rsidR="00B10DE9" w:rsidRPr="00E349E2">
        <w:rPr>
          <w:rFonts w:ascii="Times New Roman" w:hAnsi="Times New Roman"/>
          <w:sz w:val="24"/>
        </w:rPr>
        <w:t>medical insurance,</w:t>
      </w:r>
      <w:r w:rsidR="00D240D5">
        <w:rPr>
          <w:rFonts w:ascii="Times New Roman" w:hAnsi="Times New Roman"/>
          <w:sz w:val="24"/>
        </w:rPr>
        <w:t xml:space="preserve"> new assets,</w:t>
      </w:r>
      <w:r w:rsidR="00B10DE9" w:rsidRPr="00E349E2">
        <w:rPr>
          <w:rFonts w:ascii="Times New Roman" w:hAnsi="Times New Roman"/>
          <w:sz w:val="24"/>
        </w:rPr>
        <w:t xml:space="preserve"> and</w:t>
      </w:r>
      <w:r w:rsidR="00D57587" w:rsidRPr="00E349E2">
        <w:rPr>
          <w:rFonts w:ascii="Times New Roman" w:hAnsi="Times New Roman"/>
          <w:sz w:val="24"/>
        </w:rPr>
        <w:t xml:space="preserve"> other general operating </w:t>
      </w:r>
      <w:r w:rsidR="00340026">
        <w:rPr>
          <w:rFonts w:ascii="Times New Roman" w:hAnsi="Times New Roman"/>
          <w:sz w:val="24"/>
        </w:rPr>
        <w:t>expenses</w:t>
      </w:r>
      <w:r w:rsidR="006428F4">
        <w:rPr>
          <w:rFonts w:ascii="Times New Roman" w:hAnsi="Times New Roman"/>
          <w:sz w:val="24"/>
        </w:rPr>
        <w:t>, and adjustments to overhead allocations</w:t>
      </w:r>
      <w:r w:rsidR="00340026">
        <w:rPr>
          <w:rFonts w:ascii="Times New Roman" w:hAnsi="Times New Roman"/>
          <w:sz w:val="24"/>
        </w:rPr>
        <w:t>. The</w:t>
      </w:r>
      <w:r w:rsidRPr="00E349E2">
        <w:rPr>
          <w:rFonts w:ascii="Times New Roman" w:hAnsi="Times New Roman"/>
          <w:sz w:val="24"/>
        </w:rPr>
        <w:t xml:space="preserve"> last general rate increase</w:t>
      </w:r>
      <w:r w:rsidR="00340026">
        <w:rPr>
          <w:rFonts w:ascii="Times New Roman" w:hAnsi="Times New Roman"/>
          <w:sz w:val="24"/>
        </w:rPr>
        <w:t xml:space="preserve"> for BDI became effective June 1, 2017</w:t>
      </w:r>
      <w:r w:rsidR="00EA1853">
        <w:rPr>
          <w:rFonts w:ascii="Times New Roman" w:hAnsi="Times New Roman"/>
          <w:sz w:val="24"/>
        </w:rPr>
        <w:t xml:space="preserve">, and </w:t>
      </w:r>
      <w:r w:rsidR="00340026">
        <w:rPr>
          <w:rFonts w:ascii="Times New Roman" w:hAnsi="Times New Roman"/>
          <w:sz w:val="24"/>
        </w:rPr>
        <w:t>Ed’s</w:t>
      </w:r>
      <w:r w:rsidRPr="00E349E2">
        <w:rPr>
          <w:rFonts w:ascii="Times New Roman" w:hAnsi="Times New Roman"/>
          <w:sz w:val="24"/>
        </w:rPr>
        <w:t xml:space="preserve"> became effective </w:t>
      </w:r>
      <w:r w:rsidR="00573FC9" w:rsidRPr="00E349E2">
        <w:rPr>
          <w:rFonts w:ascii="Times New Roman" w:hAnsi="Times New Roman"/>
          <w:sz w:val="24"/>
        </w:rPr>
        <w:t>on</w:t>
      </w:r>
      <w:r w:rsidRPr="00E349E2">
        <w:rPr>
          <w:rFonts w:ascii="Times New Roman" w:hAnsi="Times New Roman"/>
          <w:sz w:val="24"/>
        </w:rPr>
        <w:t xml:space="preserve"> </w:t>
      </w:r>
      <w:r w:rsidR="00340026">
        <w:rPr>
          <w:rFonts w:ascii="Times New Roman" w:hAnsi="Times New Roman"/>
          <w:sz w:val="24"/>
        </w:rPr>
        <w:t>August</w:t>
      </w:r>
      <w:r w:rsidR="00115F72" w:rsidRPr="00E349E2">
        <w:rPr>
          <w:rFonts w:ascii="Times New Roman" w:hAnsi="Times New Roman"/>
          <w:sz w:val="24"/>
        </w:rPr>
        <w:t xml:space="preserve"> 1, 20</w:t>
      </w:r>
      <w:r w:rsidR="00340026">
        <w:rPr>
          <w:rFonts w:ascii="Times New Roman" w:hAnsi="Times New Roman"/>
          <w:sz w:val="24"/>
        </w:rPr>
        <w:t>05</w:t>
      </w:r>
      <w:r w:rsidRPr="00E349E2">
        <w:rPr>
          <w:rFonts w:ascii="Times New Roman" w:hAnsi="Times New Roman"/>
          <w:sz w:val="24"/>
        </w:rPr>
        <w:t>.</w:t>
      </w:r>
    </w:p>
    <w:p w14:paraId="38F5416F" w14:textId="77777777" w:rsidR="00D378FE" w:rsidRPr="00E349E2" w:rsidRDefault="00D378FE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8F54170" w14:textId="42ED722E" w:rsidR="00A4747B" w:rsidRPr="00E349E2" w:rsidRDefault="00B941AE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E349E2">
        <w:rPr>
          <w:rFonts w:ascii="Times New Roman" w:hAnsi="Times New Roman"/>
          <w:sz w:val="24"/>
        </w:rPr>
        <w:t>Staff has comp</w:t>
      </w:r>
      <w:r w:rsidR="00EA1853">
        <w:rPr>
          <w:rFonts w:ascii="Times New Roman" w:hAnsi="Times New Roman"/>
          <w:sz w:val="24"/>
        </w:rPr>
        <w:t>leted its review of the companie</w:t>
      </w:r>
      <w:r w:rsidRPr="00E349E2">
        <w:rPr>
          <w:rFonts w:ascii="Times New Roman" w:hAnsi="Times New Roman"/>
          <w:sz w:val="24"/>
        </w:rPr>
        <w:t>s</w:t>
      </w:r>
      <w:r w:rsidR="00EA1853">
        <w:rPr>
          <w:rFonts w:ascii="Times New Roman" w:hAnsi="Times New Roman"/>
          <w:sz w:val="24"/>
        </w:rPr>
        <w:t>’</w:t>
      </w:r>
      <w:r w:rsidRPr="00E349E2">
        <w:rPr>
          <w:rFonts w:ascii="Times New Roman" w:hAnsi="Times New Roman"/>
          <w:sz w:val="24"/>
        </w:rPr>
        <w:t xml:space="preserve"> supporting financial documents, books and records. Staff’s review </w:t>
      </w:r>
      <w:r w:rsidR="004C57EB" w:rsidRPr="00E349E2">
        <w:rPr>
          <w:rFonts w:ascii="Times New Roman" w:hAnsi="Times New Roman"/>
          <w:sz w:val="24"/>
        </w:rPr>
        <w:t xml:space="preserve">found that the </w:t>
      </w:r>
      <w:r w:rsidR="00EA1853">
        <w:rPr>
          <w:rFonts w:ascii="Times New Roman" w:hAnsi="Times New Roman"/>
          <w:sz w:val="24"/>
        </w:rPr>
        <w:t>companie</w:t>
      </w:r>
      <w:r w:rsidR="00A6353A" w:rsidRPr="00E349E2">
        <w:rPr>
          <w:rFonts w:ascii="Times New Roman" w:hAnsi="Times New Roman"/>
          <w:sz w:val="24"/>
        </w:rPr>
        <w:t>s</w:t>
      </w:r>
      <w:r w:rsidR="00EA1853">
        <w:rPr>
          <w:rFonts w:ascii="Times New Roman" w:hAnsi="Times New Roman"/>
          <w:sz w:val="24"/>
        </w:rPr>
        <w:t>’</w:t>
      </w:r>
      <w:r w:rsidR="00A6353A" w:rsidRPr="00E349E2">
        <w:rPr>
          <w:rFonts w:ascii="Times New Roman" w:hAnsi="Times New Roman"/>
          <w:sz w:val="24"/>
        </w:rPr>
        <w:t xml:space="preserve"> </w:t>
      </w:r>
      <w:r w:rsidR="004C57EB" w:rsidRPr="00E349E2">
        <w:rPr>
          <w:rFonts w:ascii="Times New Roman" w:hAnsi="Times New Roman"/>
          <w:sz w:val="24"/>
        </w:rPr>
        <w:t xml:space="preserve">proposed rates </w:t>
      </w:r>
      <w:r w:rsidR="00DE3E98" w:rsidRPr="00E349E2">
        <w:rPr>
          <w:rFonts w:ascii="Times New Roman" w:hAnsi="Times New Roman"/>
          <w:sz w:val="24"/>
        </w:rPr>
        <w:t xml:space="preserve">would </w:t>
      </w:r>
      <w:r w:rsidR="00A4747B" w:rsidRPr="00E349E2">
        <w:rPr>
          <w:rFonts w:ascii="Times New Roman" w:hAnsi="Times New Roman"/>
          <w:sz w:val="24"/>
        </w:rPr>
        <w:t>result in exces</w:t>
      </w:r>
      <w:r w:rsidR="00EA1853">
        <w:rPr>
          <w:rFonts w:ascii="Times New Roman" w:hAnsi="Times New Roman"/>
          <w:sz w:val="24"/>
        </w:rPr>
        <w:t>s revenue. Staff and the companies</w:t>
      </w:r>
      <w:r w:rsidR="00A4747B" w:rsidRPr="00E349E2">
        <w:rPr>
          <w:rFonts w:ascii="Times New Roman" w:hAnsi="Times New Roman"/>
          <w:sz w:val="24"/>
        </w:rPr>
        <w:t xml:space="preserve"> agreed to a revised revenue requirement of </w:t>
      </w:r>
      <w:r w:rsidR="009C2511" w:rsidRPr="00E349E2">
        <w:rPr>
          <w:rFonts w:ascii="Times New Roman" w:hAnsi="Times New Roman"/>
          <w:sz w:val="24"/>
        </w:rPr>
        <w:t xml:space="preserve">approximately </w:t>
      </w:r>
      <w:r w:rsidR="00A4747B" w:rsidRPr="00535EBD">
        <w:rPr>
          <w:rFonts w:ascii="Times New Roman" w:hAnsi="Times New Roman"/>
          <w:sz w:val="24"/>
        </w:rPr>
        <w:t>$</w:t>
      </w:r>
      <w:r w:rsidR="002D00DA">
        <w:rPr>
          <w:rFonts w:ascii="Times New Roman" w:hAnsi="Times New Roman"/>
          <w:sz w:val="24"/>
        </w:rPr>
        <w:t>320,000</w:t>
      </w:r>
      <w:r w:rsidR="00A4747B" w:rsidRPr="00E349E2">
        <w:rPr>
          <w:rFonts w:ascii="Times New Roman" w:hAnsi="Times New Roman"/>
          <w:sz w:val="24"/>
        </w:rPr>
        <w:t xml:space="preserve"> (</w:t>
      </w:r>
      <w:r w:rsidR="000F1D91">
        <w:rPr>
          <w:rFonts w:ascii="Times New Roman" w:hAnsi="Times New Roman"/>
          <w:sz w:val="24"/>
        </w:rPr>
        <w:t>6.2 percent when BDI and ED’s are combined</w:t>
      </w:r>
      <w:r w:rsidR="00A4747B" w:rsidRPr="00E349E2">
        <w:rPr>
          <w:rFonts w:ascii="Times New Roman" w:hAnsi="Times New Roman"/>
          <w:sz w:val="24"/>
        </w:rPr>
        <w:t>) additional annual revenue</w:t>
      </w:r>
      <w:r w:rsidR="006428F4">
        <w:rPr>
          <w:rFonts w:ascii="Times New Roman" w:hAnsi="Times New Roman"/>
          <w:sz w:val="24"/>
        </w:rPr>
        <w:t>, with a reduction of $</w:t>
      </w:r>
      <w:r w:rsidR="008E39C7">
        <w:rPr>
          <w:rFonts w:ascii="Times New Roman" w:hAnsi="Times New Roman"/>
          <w:sz w:val="24"/>
        </w:rPr>
        <w:t>248,000</w:t>
      </w:r>
      <w:r w:rsidR="004459F7">
        <w:rPr>
          <w:rFonts w:ascii="Times New Roman" w:hAnsi="Times New Roman"/>
          <w:sz w:val="24"/>
        </w:rPr>
        <w:t xml:space="preserve"> (-6.1 percent)</w:t>
      </w:r>
      <w:r w:rsidR="008E39C7">
        <w:rPr>
          <w:rFonts w:ascii="Times New Roman" w:hAnsi="Times New Roman"/>
          <w:sz w:val="24"/>
        </w:rPr>
        <w:t xml:space="preserve"> </w:t>
      </w:r>
      <w:r w:rsidR="006428F4">
        <w:rPr>
          <w:rFonts w:ascii="Times New Roman" w:hAnsi="Times New Roman"/>
          <w:sz w:val="24"/>
        </w:rPr>
        <w:t>for Basin</w:t>
      </w:r>
      <w:r w:rsidR="00A4747B" w:rsidRPr="006F1E40">
        <w:rPr>
          <w:rFonts w:ascii="Times New Roman" w:hAnsi="Times New Roman"/>
          <w:sz w:val="24"/>
        </w:rPr>
        <w:t xml:space="preserve">. On </w:t>
      </w:r>
      <w:r w:rsidR="002D00DA">
        <w:rPr>
          <w:rFonts w:ascii="Times New Roman" w:hAnsi="Times New Roman"/>
          <w:sz w:val="24"/>
        </w:rPr>
        <w:t>November</w:t>
      </w:r>
      <w:r w:rsidR="00740796" w:rsidRPr="006F1E40">
        <w:rPr>
          <w:rFonts w:ascii="Times New Roman" w:hAnsi="Times New Roman"/>
          <w:sz w:val="24"/>
        </w:rPr>
        <w:t xml:space="preserve"> </w:t>
      </w:r>
      <w:r w:rsidR="00C978E4">
        <w:rPr>
          <w:rFonts w:ascii="Times New Roman" w:hAnsi="Times New Roman"/>
          <w:sz w:val="24"/>
        </w:rPr>
        <w:t>20</w:t>
      </w:r>
      <w:r w:rsidR="003A168E" w:rsidRPr="006F1E40">
        <w:rPr>
          <w:rFonts w:ascii="Times New Roman" w:hAnsi="Times New Roman"/>
          <w:sz w:val="24"/>
        </w:rPr>
        <w:t>, 201</w:t>
      </w:r>
      <w:r w:rsidR="00115F72" w:rsidRPr="006F1E40">
        <w:rPr>
          <w:rFonts w:ascii="Times New Roman" w:hAnsi="Times New Roman"/>
          <w:sz w:val="24"/>
        </w:rPr>
        <w:t>7</w:t>
      </w:r>
      <w:r w:rsidR="00667709" w:rsidRPr="006F1E40">
        <w:rPr>
          <w:rFonts w:ascii="Times New Roman" w:hAnsi="Times New Roman"/>
          <w:sz w:val="24"/>
        </w:rPr>
        <w:t>, BDI</w:t>
      </w:r>
      <w:r w:rsidR="00A4747B" w:rsidRPr="00E349E2">
        <w:rPr>
          <w:rFonts w:ascii="Times New Roman" w:hAnsi="Times New Roman"/>
          <w:sz w:val="24"/>
        </w:rPr>
        <w:t xml:space="preserve"> </w:t>
      </w:r>
      <w:r w:rsidR="0061654D">
        <w:rPr>
          <w:rFonts w:ascii="Times New Roman" w:hAnsi="Times New Roman"/>
          <w:sz w:val="24"/>
        </w:rPr>
        <w:t xml:space="preserve">and Ed’s </w:t>
      </w:r>
      <w:r w:rsidR="00A4747B" w:rsidRPr="00E349E2">
        <w:rPr>
          <w:rFonts w:ascii="Times New Roman" w:hAnsi="Times New Roman"/>
          <w:sz w:val="24"/>
        </w:rPr>
        <w:t xml:space="preserve">filed revised tariff pages with the </w:t>
      </w:r>
      <w:r w:rsidR="00D378FE" w:rsidRPr="00E349E2">
        <w:rPr>
          <w:rFonts w:ascii="Times New Roman" w:hAnsi="Times New Roman"/>
          <w:sz w:val="24"/>
        </w:rPr>
        <w:t xml:space="preserve">revised </w:t>
      </w:r>
      <w:r w:rsidR="00A4747B" w:rsidRPr="00E349E2">
        <w:rPr>
          <w:rFonts w:ascii="Times New Roman" w:hAnsi="Times New Roman"/>
          <w:sz w:val="24"/>
        </w:rPr>
        <w:t>proposed rat</w:t>
      </w:r>
      <w:r w:rsidR="00E349E2">
        <w:rPr>
          <w:rFonts w:ascii="Times New Roman" w:hAnsi="Times New Roman"/>
          <w:sz w:val="24"/>
        </w:rPr>
        <w:t>es at staff recommended levels.</w:t>
      </w:r>
    </w:p>
    <w:p w14:paraId="38F54171" w14:textId="77777777" w:rsidR="005159AC" w:rsidRPr="00E349E2" w:rsidRDefault="005159AC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73F9E280" w14:textId="06C2EC7D" w:rsidR="000A0810" w:rsidRPr="00AD3296" w:rsidRDefault="0061654D" w:rsidP="000A081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BDI and Ed’s filed </w:t>
      </w:r>
      <w:r w:rsidR="009F64C7">
        <w:rPr>
          <w:rFonts w:ascii="Times New Roman" w:hAnsi="Times New Roman"/>
          <w:sz w:val="24"/>
        </w:rPr>
        <w:t xml:space="preserve">concurrent </w:t>
      </w:r>
      <w:r>
        <w:rPr>
          <w:rFonts w:ascii="Times New Roman" w:hAnsi="Times New Roman"/>
          <w:sz w:val="24"/>
        </w:rPr>
        <w:t xml:space="preserve">rate cases because of the extent that both operations share </w:t>
      </w:r>
      <w:r w:rsidR="006428F4">
        <w:rPr>
          <w:rFonts w:ascii="Times New Roman" w:hAnsi="Times New Roman"/>
          <w:sz w:val="24"/>
        </w:rPr>
        <w:t xml:space="preserve">managerial, administrative </w:t>
      </w:r>
      <w:r>
        <w:rPr>
          <w:rFonts w:ascii="Times New Roman" w:hAnsi="Times New Roman"/>
          <w:sz w:val="24"/>
        </w:rPr>
        <w:t>personnel</w:t>
      </w:r>
      <w:r w:rsidR="006428F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and assets. In the past</w:t>
      </w:r>
      <w:r w:rsidR="00EA185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766A">
        <w:rPr>
          <w:rFonts w:ascii="Times New Roman" w:hAnsi="Times New Roman"/>
          <w:sz w:val="24"/>
        </w:rPr>
        <w:t>allocations of costs</w:t>
      </w:r>
      <w:r>
        <w:rPr>
          <w:rFonts w:ascii="Times New Roman" w:hAnsi="Times New Roman"/>
          <w:sz w:val="24"/>
        </w:rPr>
        <w:t xml:space="preserve"> caused one regulated business to subsidize the other. By filing a rate case </w:t>
      </w:r>
      <w:r w:rsidR="006428F4">
        <w:rPr>
          <w:rFonts w:ascii="Times New Roman" w:hAnsi="Times New Roman"/>
          <w:sz w:val="24"/>
        </w:rPr>
        <w:t>concurrently</w:t>
      </w:r>
      <w:r w:rsidR="00EA1853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1766A">
        <w:rPr>
          <w:rFonts w:ascii="Times New Roman" w:hAnsi="Times New Roman"/>
          <w:sz w:val="24"/>
        </w:rPr>
        <w:t>staff is able to create a single price</w:t>
      </w:r>
      <w:r>
        <w:rPr>
          <w:rFonts w:ascii="Times New Roman" w:hAnsi="Times New Roman"/>
          <w:sz w:val="24"/>
        </w:rPr>
        <w:t xml:space="preserve"> for each service</w:t>
      </w:r>
      <w:r w:rsidR="000A0810" w:rsidRPr="00AD3296">
        <w:rPr>
          <w:rFonts w:ascii="Times New Roman" w:hAnsi="Times New Roman"/>
          <w:sz w:val="24"/>
        </w:rPr>
        <w:t xml:space="preserve"> </w:t>
      </w:r>
      <w:r w:rsidR="0081766A">
        <w:rPr>
          <w:rFonts w:ascii="Times New Roman" w:hAnsi="Times New Roman"/>
          <w:sz w:val="24"/>
        </w:rPr>
        <w:t>thus</w:t>
      </w:r>
      <w:r w:rsidR="004459F7">
        <w:rPr>
          <w:rFonts w:ascii="Times New Roman" w:hAnsi="Times New Roman"/>
          <w:sz w:val="24"/>
        </w:rPr>
        <w:t xml:space="preserve"> eliminating</w:t>
      </w:r>
      <w:r w:rsidR="009F64C7">
        <w:rPr>
          <w:rFonts w:ascii="Times New Roman" w:hAnsi="Times New Roman"/>
          <w:sz w:val="24"/>
        </w:rPr>
        <w:t xml:space="preserve"> </w:t>
      </w:r>
      <w:r w:rsidR="0081766A">
        <w:rPr>
          <w:rFonts w:ascii="Times New Roman" w:hAnsi="Times New Roman"/>
          <w:sz w:val="24"/>
        </w:rPr>
        <w:t xml:space="preserve">any subsidy. This </w:t>
      </w:r>
      <w:r w:rsidR="006428F4">
        <w:rPr>
          <w:rFonts w:ascii="Times New Roman" w:hAnsi="Times New Roman"/>
          <w:sz w:val="24"/>
        </w:rPr>
        <w:t>results in</w:t>
      </w:r>
      <w:r w:rsidR="0081766A">
        <w:rPr>
          <w:rFonts w:ascii="Times New Roman" w:hAnsi="Times New Roman"/>
          <w:sz w:val="24"/>
        </w:rPr>
        <w:t xml:space="preserve">  BDI rates decreasing in this filing while Ed’s rates are increasing.</w:t>
      </w:r>
    </w:p>
    <w:p w14:paraId="1AC7CFDF" w14:textId="77777777" w:rsidR="006E3E63" w:rsidRDefault="006E3E63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92AC227" w14:textId="77544586" w:rsidR="009A7B1F" w:rsidRPr="00E349E2" w:rsidRDefault="00695CDC" w:rsidP="00212803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commission authorized </w:t>
      </w:r>
      <w:r w:rsidR="006428F4">
        <w:rPr>
          <w:rFonts w:ascii="Times New Roman" w:hAnsi="Times New Roman"/>
          <w:sz w:val="24"/>
        </w:rPr>
        <w:t xml:space="preserve">BDI to recover </w:t>
      </w:r>
      <w:r>
        <w:rPr>
          <w:rFonts w:ascii="Times New Roman" w:hAnsi="Times New Roman"/>
          <w:sz w:val="24"/>
        </w:rPr>
        <w:t xml:space="preserve">costs </w:t>
      </w:r>
      <w:r w:rsidR="006428F4">
        <w:rPr>
          <w:rFonts w:ascii="Times New Roman" w:hAnsi="Times New Roman"/>
          <w:sz w:val="24"/>
        </w:rPr>
        <w:t xml:space="preserve">related to the superfund clean-up site </w:t>
      </w:r>
      <w:r>
        <w:rPr>
          <w:rFonts w:ascii="Times New Roman" w:hAnsi="Times New Roman"/>
          <w:sz w:val="24"/>
        </w:rPr>
        <w:t xml:space="preserve">in </w:t>
      </w:r>
      <w:r w:rsidR="00E709DE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ocket TG-170189</w:t>
      </w:r>
      <w:r w:rsidR="00212803" w:rsidRPr="00212803">
        <w:rPr>
          <w:rStyle w:val="FootnoteReference"/>
          <w:rFonts w:ascii="Times New Roman" w:hAnsi="Times New Roman"/>
          <w:sz w:val="24"/>
          <w:vertAlign w:val="superscript"/>
        </w:rPr>
        <w:footnoteReference w:id="1"/>
      </w:r>
      <w:r w:rsidR="0021280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In the creation of the single price for service</w:t>
      </w:r>
      <w:r w:rsidR="006428F4">
        <w:rPr>
          <w:rFonts w:ascii="Times New Roman" w:hAnsi="Times New Roman"/>
          <w:sz w:val="24"/>
        </w:rPr>
        <w:t xml:space="preserve"> in the current filing</w:t>
      </w:r>
      <w:r>
        <w:rPr>
          <w:rFonts w:ascii="Times New Roman" w:hAnsi="Times New Roman"/>
          <w:sz w:val="24"/>
        </w:rPr>
        <w:t xml:space="preserve">, </w:t>
      </w:r>
      <w:r w:rsidR="006428F4">
        <w:rPr>
          <w:rFonts w:ascii="Times New Roman" w:hAnsi="Times New Roman"/>
          <w:sz w:val="24"/>
        </w:rPr>
        <w:t xml:space="preserve">those </w:t>
      </w:r>
      <w:r>
        <w:rPr>
          <w:rFonts w:ascii="Times New Roman" w:hAnsi="Times New Roman"/>
          <w:sz w:val="24"/>
        </w:rPr>
        <w:t>cost</w:t>
      </w:r>
      <w:r w:rsidR="006428F4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associated with </w:t>
      </w:r>
      <w:r w:rsidR="00212803">
        <w:rPr>
          <w:rFonts w:ascii="Times New Roman" w:hAnsi="Times New Roman"/>
          <w:sz w:val="24"/>
        </w:rPr>
        <w:t xml:space="preserve">superfund cleanup was </w:t>
      </w:r>
      <w:r w:rsidR="00EA1853">
        <w:rPr>
          <w:rFonts w:ascii="Times New Roman" w:hAnsi="Times New Roman"/>
          <w:sz w:val="24"/>
        </w:rPr>
        <w:t>pro-rated for ea</w:t>
      </w:r>
      <w:r w:rsidR="00212803">
        <w:rPr>
          <w:rFonts w:ascii="Times New Roman" w:hAnsi="Times New Roman"/>
          <w:sz w:val="24"/>
        </w:rPr>
        <w:t xml:space="preserve">ch service line </w:t>
      </w:r>
      <w:r w:rsidR="006428F4">
        <w:rPr>
          <w:rFonts w:ascii="Times New Roman" w:hAnsi="Times New Roman"/>
          <w:sz w:val="24"/>
        </w:rPr>
        <w:t xml:space="preserve">for </w:t>
      </w:r>
      <w:r w:rsidR="00212803">
        <w:rPr>
          <w:rFonts w:ascii="Times New Roman" w:hAnsi="Times New Roman"/>
          <w:sz w:val="24"/>
        </w:rPr>
        <w:t xml:space="preserve">BDI </w:t>
      </w:r>
      <w:r w:rsidR="006428F4">
        <w:rPr>
          <w:rFonts w:ascii="Times New Roman" w:hAnsi="Times New Roman"/>
          <w:sz w:val="24"/>
        </w:rPr>
        <w:t>customers only</w:t>
      </w:r>
      <w:r w:rsidR="00212803">
        <w:rPr>
          <w:rFonts w:ascii="Times New Roman" w:hAnsi="Times New Roman"/>
          <w:sz w:val="24"/>
        </w:rPr>
        <w:t xml:space="preserve">. </w:t>
      </w:r>
    </w:p>
    <w:p w14:paraId="5DE80945" w14:textId="133C61F0" w:rsidR="00B11862" w:rsidRPr="00AD3296" w:rsidRDefault="009A7B1F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AD3296">
        <w:rPr>
          <w:rFonts w:ascii="Times New Roman" w:hAnsi="Times New Roman"/>
          <w:sz w:val="24"/>
        </w:rPr>
        <w:lastRenderedPageBreak/>
        <w:t>The rate impacts</w:t>
      </w:r>
      <w:r w:rsidR="007A6074">
        <w:rPr>
          <w:rFonts w:ascii="Times New Roman" w:hAnsi="Times New Roman"/>
          <w:sz w:val="24"/>
        </w:rPr>
        <w:t xml:space="preserve"> of these</w:t>
      </w:r>
      <w:r w:rsidR="00765931" w:rsidRPr="00AD3296">
        <w:rPr>
          <w:rFonts w:ascii="Times New Roman" w:hAnsi="Times New Roman"/>
          <w:sz w:val="24"/>
        </w:rPr>
        <w:t xml:space="preserve"> filing</w:t>
      </w:r>
      <w:r w:rsidR="00EA1853">
        <w:rPr>
          <w:rFonts w:ascii="Times New Roman" w:hAnsi="Times New Roman"/>
          <w:sz w:val="24"/>
        </w:rPr>
        <w:t>s</w:t>
      </w:r>
      <w:r w:rsidRPr="00AD3296">
        <w:rPr>
          <w:rFonts w:ascii="Times New Roman" w:hAnsi="Times New Roman"/>
          <w:sz w:val="24"/>
        </w:rPr>
        <w:t xml:space="preserve"> are shown on the following table.</w:t>
      </w:r>
      <w:r w:rsidR="005349C1" w:rsidRPr="00AD3296">
        <w:rPr>
          <w:rFonts w:ascii="Times New Roman" w:hAnsi="Times New Roman"/>
          <w:sz w:val="24"/>
        </w:rPr>
        <w:t xml:space="preserve"> </w:t>
      </w:r>
    </w:p>
    <w:p w14:paraId="265362A7" w14:textId="77777777" w:rsidR="00B11862" w:rsidRDefault="00B11862" w:rsidP="00A4747B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8F54172" w14:textId="77777777" w:rsidR="00542E1E" w:rsidRPr="00542E1E" w:rsidRDefault="00542E1E" w:rsidP="00542E1E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Rate Comparison</w:t>
      </w:r>
    </w:p>
    <w:p w14:paraId="38F54173" w14:textId="77777777" w:rsidR="00542E1E" w:rsidRDefault="00542E1E" w:rsidP="0032734B">
      <w:pPr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9"/>
        <w:gridCol w:w="1057"/>
        <w:gridCol w:w="1425"/>
        <w:gridCol w:w="1421"/>
        <w:gridCol w:w="1388"/>
      </w:tblGrid>
      <w:tr w:rsidR="007539A8" w:rsidRPr="0053490F" w14:paraId="38F5417A" w14:textId="77777777" w:rsidTr="007539A8">
        <w:trPr>
          <w:trHeight w:val="292"/>
          <w:jc w:val="center"/>
        </w:trPr>
        <w:tc>
          <w:tcPr>
            <w:tcW w:w="5000" w:type="pct"/>
            <w:gridSpan w:val="5"/>
            <w:vAlign w:val="bottom"/>
          </w:tcPr>
          <w:p w14:paraId="38F54179" w14:textId="6416FBDD" w:rsidR="007539A8" w:rsidRPr="00D378FE" w:rsidRDefault="007539A8" w:rsidP="00D3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</w:t>
            </w:r>
            <w:r w:rsidR="00507CFC">
              <w:rPr>
                <w:rFonts w:ascii="Times New Roman" w:hAnsi="Times New Roman"/>
                <w:b/>
                <w:sz w:val="24"/>
              </w:rPr>
              <w:t>d</w:t>
            </w:r>
            <w:r>
              <w:rPr>
                <w:rFonts w:ascii="Times New Roman" w:hAnsi="Times New Roman"/>
                <w:b/>
                <w:sz w:val="24"/>
              </w:rPr>
              <w:t>’s Disposal</w:t>
            </w:r>
            <w:r w:rsidR="00507CFC">
              <w:rPr>
                <w:rFonts w:ascii="Times New Roman" w:hAnsi="Times New Roman"/>
                <w:b/>
                <w:sz w:val="24"/>
              </w:rPr>
              <w:t xml:space="preserve"> (ED’s)</w:t>
            </w:r>
          </w:p>
        </w:tc>
      </w:tr>
      <w:tr w:rsidR="007539A8" w:rsidRPr="0053490F" w14:paraId="0C29ABA6" w14:textId="77777777" w:rsidTr="007539A8">
        <w:trPr>
          <w:trHeight w:val="292"/>
          <w:jc w:val="center"/>
        </w:trPr>
        <w:tc>
          <w:tcPr>
            <w:tcW w:w="2171" w:type="pct"/>
            <w:vAlign w:val="bottom"/>
          </w:tcPr>
          <w:p w14:paraId="2FEDC097" w14:textId="77777777" w:rsidR="007539A8" w:rsidRPr="00DE3E98" w:rsidRDefault="007539A8" w:rsidP="00D223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</w:tc>
        <w:tc>
          <w:tcPr>
            <w:tcW w:w="565" w:type="pct"/>
            <w:vAlign w:val="center"/>
          </w:tcPr>
          <w:p w14:paraId="4F0240EA" w14:textId="5BF85FAA" w:rsidR="007539A8" w:rsidRPr="00D378FE" w:rsidRDefault="007539A8" w:rsidP="00D3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762" w:type="pct"/>
            <w:vAlign w:val="center"/>
          </w:tcPr>
          <w:p w14:paraId="2481259B" w14:textId="380F250C" w:rsidR="007539A8" w:rsidRPr="00D378FE" w:rsidRDefault="007539A8" w:rsidP="00D3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760" w:type="pct"/>
            <w:vAlign w:val="center"/>
          </w:tcPr>
          <w:p w14:paraId="098C618F" w14:textId="3AA2EF93" w:rsidR="007539A8" w:rsidRDefault="007539A8" w:rsidP="00D378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Revised </w:t>
            </w:r>
            <w:r w:rsidRPr="00D378FE">
              <w:rPr>
                <w:rFonts w:ascii="Times New Roman" w:hAnsi="Times New Roman"/>
                <w:b/>
                <w:sz w:val="24"/>
              </w:rPr>
              <w:t>Rate</w:t>
            </w:r>
          </w:p>
        </w:tc>
        <w:tc>
          <w:tcPr>
            <w:tcW w:w="742" w:type="pct"/>
            <w:vAlign w:val="center"/>
          </w:tcPr>
          <w:p w14:paraId="16F63B4D" w14:textId="77777777" w:rsidR="007539A8" w:rsidRPr="00D378FE" w:rsidRDefault="007539A8" w:rsidP="00753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Percent</w:t>
            </w:r>
          </w:p>
          <w:p w14:paraId="698771E7" w14:textId="7F4DC40C" w:rsidR="007539A8" w:rsidRPr="00D378FE" w:rsidRDefault="007539A8" w:rsidP="00753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Increase</w:t>
            </w:r>
          </w:p>
        </w:tc>
      </w:tr>
      <w:tr w:rsidR="00D22373" w:rsidRPr="0053490F" w14:paraId="11F570CB" w14:textId="77777777" w:rsidTr="007539A8">
        <w:trPr>
          <w:trHeight w:val="307"/>
          <w:jc w:val="center"/>
        </w:trPr>
        <w:tc>
          <w:tcPr>
            <w:tcW w:w="2171" w:type="pct"/>
          </w:tcPr>
          <w:p w14:paraId="36B07692" w14:textId="08B416CC" w:rsidR="00D22373" w:rsidRDefault="00D22373" w:rsidP="008163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Residential Monthly Rates</w:t>
            </w:r>
          </w:p>
        </w:tc>
        <w:tc>
          <w:tcPr>
            <w:tcW w:w="565" w:type="pct"/>
            <w:vAlign w:val="center"/>
          </w:tcPr>
          <w:p w14:paraId="2AC19D3A" w14:textId="77777777" w:rsidR="00D22373" w:rsidRDefault="00D22373" w:rsidP="002F4D7A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60B979E8" w14:textId="77777777" w:rsidR="00D22373" w:rsidRDefault="00D22373" w:rsidP="00A15435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4686B031" w14:textId="77777777" w:rsidR="00D22373" w:rsidRDefault="00D22373" w:rsidP="00CE1342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pct"/>
            <w:vAlign w:val="center"/>
          </w:tcPr>
          <w:p w14:paraId="38222BC2" w14:textId="77777777" w:rsidR="00D22373" w:rsidRDefault="00D22373" w:rsidP="006311BA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110E" w:rsidRPr="0053490F" w14:paraId="38F5418C" w14:textId="77777777" w:rsidTr="007539A8">
        <w:trPr>
          <w:trHeight w:val="307"/>
          <w:jc w:val="center"/>
        </w:trPr>
        <w:tc>
          <w:tcPr>
            <w:tcW w:w="2171" w:type="pct"/>
          </w:tcPr>
          <w:p w14:paraId="38F54187" w14:textId="6094B794" w:rsidR="00EC110E" w:rsidRPr="002A78A7" w:rsidRDefault="00EC110E" w:rsidP="00EC1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64-Gallon Tote Weekly Pick-Up</w:t>
            </w:r>
          </w:p>
        </w:tc>
        <w:tc>
          <w:tcPr>
            <w:tcW w:w="565" w:type="pct"/>
          </w:tcPr>
          <w:p w14:paraId="38F54188" w14:textId="4036BB29" w:rsidR="00EC110E" w:rsidRPr="002A78A7" w:rsidRDefault="00EC67EF" w:rsidP="00A15435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7539A8">
              <w:rPr>
                <w:rFonts w:ascii="Times New Roman" w:hAnsi="Times New Roman"/>
                <w:sz w:val="24"/>
              </w:rPr>
              <w:t>12.43</w:t>
            </w:r>
          </w:p>
        </w:tc>
        <w:tc>
          <w:tcPr>
            <w:tcW w:w="762" w:type="pct"/>
            <w:vAlign w:val="center"/>
          </w:tcPr>
          <w:p w14:paraId="38F54189" w14:textId="762AAD61" w:rsidR="00EC110E" w:rsidRPr="002A78A7" w:rsidRDefault="007539A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17.39</w:t>
            </w:r>
          </w:p>
        </w:tc>
        <w:tc>
          <w:tcPr>
            <w:tcW w:w="760" w:type="pct"/>
          </w:tcPr>
          <w:p w14:paraId="38F5418A" w14:textId="2844548D" w:rsidR="00EC110E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645C6" w:rsidRPr="007936C2">
              <w:rPr>
                <w:rFonts w:ascii="Times New Roman" w:hAnsi="Times New Roman"/>
                <w:sz w:val="24"/>
              </w:rPr>
              <w:t>$</w:t>
            </w:r>
            <w:r w:rsidR="00691922" w:rsidRPr="007936C2">
              <w:rPr>
                <w:rFonts w:ascii="Times New Roman" w:hAnsi="Times New Roman"/>
                <w:sz w:val="24"/>
              </w:rPr>
              <w:t>18.</w:t>
            </w:r>
            <w:r w:rsidR="002D00DA" w:rsidRPr="007936C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42" w:type="pct"/>
            <w:vAlign w:val="center"/>
          </w:tcPr>
          <w:p w14:paraId="38F5418B" w14:textId="0E8CE82F" w:rsidR="00EC110E" w:rsidRPr="002A78A7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46.8 </w:t>
            </w:r>
            <w:r w:rsidR="00EC110E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C110E" w:rsidRPr="0053490F" w14:paraId="38F54192" w14:textId="77777777" w:rsidTr="007539A8">
        <w:trPr>
          <w:trHeight w:val="292"/>
          <w:jc w:val="center"/>
        </w:trPr>
        <w:tc>
          <w:tcPr>
            <w:tcW w:w="2171" w:type="pct"/>
          </w:tcPr>
          <w:p w14:paraId="38F5418D" w14:textId="1B1E7339" w:rsidR="00EC110E" w:rsidRPr="00EC110E" w:rsidRDefault="007539A8" w:rsidP="00060E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96-Gallon Tote Weekly Pick-U</w:t>
            </w:r>
            <w:r w:rsidR="00EC110E"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565" w:type="pct"/>
          </w:tcPr>
          <w:p w14:paraId="38F5418E" w14:textId="330B6EF6" w:rsidR="00EC110E" w:rsidRPr="002A78A7" w:rsidRDefault="00EC67EF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7539A8">
              <w:rPr>
                <w:rFonts w:ascii="Times New Roman" w:hAnsi="Times New Roman"/>
                <w:sz w:val="24"/>
              </w:rPr>
              <w:t>14.61</w:t>
            </w:r>
          </w:p>
        </w:tc>
        <w:tc>
          <w:tcPr>
            <w:tcW w:w="762" w:type="pct"/>
          </w:tcPr>
          <w:p w14:paraId="38F5418F" w14:textId="5E4A5939" w:rsidR="00EC110E" w:rsidRPr="002A78A7" w:rsidRDefault="00EC110E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20.44</w:t>
            </w:r>
          </w:p>
        </w:tc>
        <w:tc>
          <w:tcPr>
            <w:tcW w:w="760" w:type="pct"/>
          </w:tcPr>
          <w:p w14:paraId="38F54190" w14:textId="3616EB0E" w:rsidR="00EC110E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645C6" w:rsidRPr="007936C2">
              <w:rPr>
                <w:rFonts w:ascii="Times New Roman" w:hAnsi="Times New Roman"/>
                <w:sz w:val="24"/>
              </w:rPr>
              <w:t>$</w:t>
            </w:r>
            <w:r w:rsidR="00691922" w:rsidRPr="007936C2">
              <w:rPr>
                <w:rFonts w:ascii="Times New Roman" w:hAnsi="Times New Roman"/>
                <w:sz w:val="24"/>
              </w:rPr>
              <w:t>2</w:t>
            </w:r>
            <w:r w:rsidR="002D00DA" w:rsidRPr="007936C2">
              <w:rPr>
                <w:rFonts w:ascii="Times New Roman" w:hAnsi="Times New Roman"/>
                <w:sz w:val="24"/>
              </w:rPr>
              <w:t>3</w:t>
            </w:r>
            <w:r w:rsidR="00691922" w:rsidRPr="007936C2">
              <w:rPr>
                <w:rFonts w:ascii="Times New Roman" w:hAnsi="Times New Roman"/>
                <w:sz w:val="24"/>
              </w:rPr>
              <w:t>.</w:t>
            </w:r>
            <w:r w:rsidR="002D00DA" w:rsidRPr="007936C2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742" w:type="pct"/>
            <w:vAlign w:val="center"/>
          </w:tcPr>
          <w:p w14:paraId="38F54191" w14:textId="528B5D48" w:rsidR="00EC110E" w:rsidRPr="002A78A7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57.4</w:t>
            </w:r>
            <w:r w:rsidR="00F3212F">
              <w:rPr>
                <w:rFonts w:ascii="Times New Roman" w:hAnsi="Times New Roman"/>
                <w:sz w:val="24"/>
              </w:rPr>
              <w:t xml:space="preserve"> </w:t>
            </w:r>
            <w:r w:rsidR="00EC110E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C110E" w:rsidRPr="0053490F" w14:paraId="38F5419E" w14:textId="77777777" w:rsidTr="007539A8">
        <w:trPr>
          <w:trHeight w:val="341"/>
          <w:jc w:val="center"/>
        </w:trPr>
        <w:tc>
          <w:tcPr>
            <w:tcW w:w="2171" w:type="pct"/>
          </w:tcPr>
          <w:p w14:paraId="38F54199" w14:textId="0F0E04AB" w:rsidR="00EC110E" w:rsidRPr="002A78A7" w:rsidRDefault="007539A8" w:rsidP="00753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Commercial Per Pick-Up</w:t>
            </w:r>
            <w:r w:rsidRPr="0080746A">
              <w:rPr>
                <w:rFonts w:ascii="Times New Roman" w:hAnsi="Times New Roman"/>
                <w:b/>
                <w:sz w:val="24"/>
              </w:rPr>
              <w:t xml:space="preserve"> Rates</w:t>
            </w:r>
          </w:p>
        </w:tc>
        <w:tc>
          <w:tcPr>
            <w:tcW w:w="565" w:type="pct"/>
            <w:vAlign w:val="center"/>
          </w:tcPr>
          <w:p w14:paraId="38F5419A" w14:textId="228FA2CA" w:rsidR="00EC110E" w:rsidRPr="002A78A7" w:rsidRDefault="00EC110E" w:rsidP="00816379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pct"/>
            <w:vAlign w:val="center"/>
          </w:tcPr>
          <w:p w14:paraId="38F5419B" w14:textId="3400ECF8" w:rsidR="00EC110E" w:rsidRPr="002A78A7" w:rsidRDefault="00EC110E" w:rsidP="004C258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14:paraId="38F5419C" w14:textId="233B4634" w:rsidR="00EC110E" w:rsidRPr="007936C2" w:rsidRDefault="00EC110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pct"/>
            <w:vAlign w:val="center"/>
          </w:tcPr>
          <w:p w14:paraId="38F5419D" w14:textId="5629919D" w:rsidR="00EC110E" w:rsidRPr="002A78A7" w:rsidRDefault="00EC110E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C073B" w:rsidRPr="008C4BE0" w14:paraId="38F541B1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AB" w14:textId="0B58D52F" w:rsidR="004C073B" w:rsidRPr="00853F5D" w:rsidRDefault="007539A8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2.0-</w:t>
            </w:r>
            <w:r w:rsidRPr="002A78A7">
              <w:rPr>
                <w:rFonts w:ascii="Times New Roman" w:hAnsi="Times New Roman"/>
                <w:sz w:val="24"/>
              </w:rPr>
              <w:t>Yard Container</w:t>
            </w:r>
            <w:r>
              <w:rPr>
                <w:rFonts w:ascii="Times New Roman" w:hAnsi="Times New Roman"/>
                <w:sz w:val="24"/>
              </w:rPr>
              <w:t xml:space="preserve"> First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AC" w14:textId="760ADD42" w:rsidR="004C073B" w:rsidRPr="002A78A7" w:rsidRDefault="007539A8" w:rsidP="00C0697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$32.00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AD" w14:textId="654DCAA1" w:rsidR="004C073B" w:rsidRPr="002A78A7" w:rsidRDefault="007539A8" w:rsidP="00C0697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23.42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AE" w14:textId="4F6D7B10" w:rsidR="004C073B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39A8" w:rsidRPr="007936C2">
              <w:rPr>
                <w:rFonts w:ascii="Times New Roman" w:hAnsi="Times New Roman"/>
                <w:sz w:val="24"/>
              </w:rPr>
              <w:t>$</w:t>
            </w:r>
            <w:r w:rsidR="008B633F" w:rsidRPr="007936C2">
              <w:rPr>
                <w:rFonts w:ascii="Times New Roman" w:hAnsi="Times New Roman"/>
                <w:sz w:val="24"/>
              </w:rPr>
              <w:t>2</w:t>
            </w:r>
            <w:r w:rsidR="002D00DA" w:rsidRPr="007936C2">
              <w:rPr>
                <w:rFonts w:ascii="Times New Roman" w:hAnsi="Times New Roman"/>
                <w:sz w:val="24"/>
              </w:rPr>
              <w:t>5</w:t>
            </w:r>
            <w:r w:rsidR="008B633F" w:rsidRPr="007936C2">
              <w:rPr>
                <w:rFonts w:ascii="Times New Roman" w:hAnsi="Times New Roman"/>
                <w:sz w:val="24"/>
              </w:rPr>
              <w:t>.</w:t>
            </w:r>
            <w:r w:rsidR="002D00DA" w:rsidRPr="007936C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B0" w14:textId="4786644E" w:rsidR="004C073B" w:rsidRPr="002A78A7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-20.3 </w:t>
            </w:r>
            <w:r w:rsidR="007539A8">
              <w:rPr>
                <w:rFonts w:ascii="Times New Roman" w:hAnsi="Times New Roman"/>
                <w:sz w:val="24"/>
              </w:rPr>
              <w:t>%</w:t>
            </w:r>
          </w:p>
        </w:tc>
      </w:tr>
      <w:tr w:rsidR="007539A8" w:rsidRPr="008C4BE0" w14:paraId="09B894FC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058" w14:textId="39EFAA7B" w:rsidR="007539A8" w:rsidRDefault="007539A8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2.0-</w:t>
            </w:r>
            <w:r w:rsidRPr="002A78A7">
              <w:rPr>
                <w:rFonts w:ascii="Times New Roman" w:hAnsi="Times New Roman"/>
                <w:sz w:val="24"/>
              </w:rPr>
              <w:t>Yard Container</w:t>
            </w:r>
            <w:r>
              <w:rPr>
                <w:rFonts w:ascii="Times New Roman" w:hAnsi="Times New Roman"/>
                <w:sz w:val="24"/>
              </w:rPr>
              <w:t xml:space="preserve"> Additional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C6F" w14:textId="470E0F1B" w:rsidR="007539A8" w:rsidRDefault="007539A8" w:rsidP="007539A8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$13.83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7E92" w14:textId="7463640B" w:rsidR="007539A8" w:rsidRDefault="007539A8" w:rsidP="00C0697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23.42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E68" w14:textId="7795F88F" w:rsidR="007539A8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39A8" w:rsidRPr="007936C2">
              <w:rPr>
                <w:rFonts w:ascii="Times New Roman" w:hAnsi="Times New Roman"/>
                <w:sz w:val="24"/>
              </w:rPr>
              <w:t>$</w:t>
            </w:r>
            <w:r w:rsidR="002D00DA" w:rsidRPr="007936C2">
              <w:rPr>
                <w:rFonts w:ascii="Times New Roman" w:hAnsi="Times New Roman"/>
                <w:sz w:val="24"/>
              </w:rPr>
              <w:t>25.50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4E6" w14:textId="09C2D350" w:rsidR="007539A8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84.4 </w:t>
            </w:r>
            <w:r w:rsidR="007539A8">
              <w:rPr>
                <w:rFonts w:ascii="Times New Roman" w:hAnsi="Times New Roman"/>
                <w:sz w:val="24"/>
              </w:rPr>
              <w:t>%</w:t>
            </w:r>
          </w:p>
        </w:tc>
      </w:tr>
      <w:tr w:rsidR="004C073B" w:rsidRPr="002A78A7" w14:paraId="38F541CA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1C5" w14:textId="13DAFACF" w:rsidR="004C073B" w:rsidRPr="002A78A7" w:rsidRDefault="008B633F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539A8">
              <w:rPr>
                <w:rFonts w:ascii="Times New Roman" w:hAnsi="Times New Roman"/>
                <w:sz w:val="24"/>
              </w:rPr>
              <w:t>.0-Yard Container First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6" w14:textId="7195EB71" w:rsidR="004C073B" w:rsidRPr="002A78A7" w:rsidRDefault="007539A8" w:rsidP="008B633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8B633F">
              <w:rPr>
                <w:rFonts w:ascii="Times New Roman" w:hAnsi="Times New Roman"/>
                <w:sz w:val="24"/>
              </w:rPr>
              <w:t>37</w:t>
            </w:r>
            <w:r>
              <w:rPr>
                <w:rFonts w:ascii="Times New Roman" w:hAnsi="Times New Roman"/>
                <w:sz w:val="24"/>
              </w:rPr>
              <w:t>.</w:t>
            </w:r>
            <w:r w:rsidR="008B633F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7" w14:textId="45CE2A66" w:rsidR="004C073B" w:rsidRPr="002A78A7" w:rsidRDefault="007539A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8B633F">
              <w:rPr>
                <w:rFonts w:ascii="Times New Roman" w:hAnsi="Times New Roman"/>
                <w:sz w:val="24"/>
              </w:rPr>
              <w:t>27.95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8" w14:textId="6BCB76B5" w:rsidR="004C073B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39A8" w:rsidRPr="007936C2">
              <w:rPr>
                <w:rFonts w:ascii="Times New Roman" w:hAnsi="Times New Roman"/>
                <w:sz w:val="24"/>
              </w:rPr>
              <w:t>$</w:t>
            </w:r>
            <w:r w:rsidR="002D00DA" w:rsidRPr="007936C2">
              <w:rPr>
                <w:rFonts w:ascii="Times New Roman" w:hAnsi="Times New Roman"/>
                <w:sz w:val="24"/>
              </w:rPr>
              <w:t>30.5</w:t>
            </w:r>
            <w:r w:rsidR="008B633F" w:rsidRPr="007936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9" w14:textId="123168C6" w:rsidR="004C073B" w:rsidRPr="002A78A7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-19.4 </w:t>
            </w:r>
            <w:r w:rsidR="007539A8">
              <w:rPr>
                <w:rFonts w:ascii="Times New Roman" w:hAnsi="Times New Roman"/>
                <w:sz w:val="24"/>
              </w:rPr>
              <w:t>%</w:t>
            </w:r>
          </w:p>
        </w:tc>
      </w:tr>
      <w:tr w:rsidR="007539A8" w:rsidRPr="002A78A7" w14:paraId="2A2C94E5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225" w14:textId="3DEA4B41" w:rsidR="007539A8" w:rsidRDefault="008B633F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539A8">
              <w:rPr>
                <w:rFonts w:ascii="Times New Roman" w:hAnsi="Times New Roman"/>
                <w:sz w:val="24"/>
              </w:rPr>
              <w:t>.0-Yard Container Additional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89D9" w14:textId="36B029F6" w:rsidR="007539A8" w:rsidRDefault="007539A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8B633F">
              <w:rPr>
                <w:rFonts w:ascii="Times New Roman" w:hAnsi="Times New Roman"/>
                <w:sz w:val="24"/>
              </w:rPr>
              <w:t>17.69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43D0" w14:textId="29799CFB" w:rsidR="007539A8" w:rsidRDefault="007539A8" w:rsidP="008B633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8B633F">
              <w:rPr>
                <w:rFonts w:ascii="Times New Roman" w:hAnsi="Times New Roman"/>
                <w:sz w:val="24"/>
              </w:rPr>
              <w:t>27.95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7AC" w14:textId="72BD8606" w:rsidR="007539A8" w:rsidRPr="007936C2" w:rsidRDefault="00E709DE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7539A8" w:rsidRPr="007936C2">
              <w:rPr>
                <w:rFonts w:ascii="Times New Roman" w:hAnsi="Times New Roman"/>
                <w:sz w:val="24"/>
              </w:rPr>
              <w:t>$</w:t>
            </w:r>
            <w:r w:rsidR="002D00DA" w:rsidRPr="007936C2">
              <w:rPr>
                <w:rFonts w:ascii="Times New Roman" w:hAnsi="Times New Roman"/>
                <w:sz w:val="24"/>
              </w:rPr>
              <w:t>30</w:t>
            </w:r>
            <w:r w:rsidR="008B633F" w:rsidRPr="007936C2">
              <w:rPr>
                <w:rFonts w:ascii="Times New Roman" w:hAnsi="Times New Roman"/>
                <w:sz w:val="24"/>
              </w:rPr>
              <w:t>.</w:t>
            </w:r>
            <w:r w:rsidR="002D00DA" w:rsidRPr="007936C2">
              <w:rPr>
                <w:rFonts w:ascii="Times New Roman" w:hAnsi="Times New Roman"/>
                <w:sz w:val="24"/>
              </w:rPr>
              <w:t>5</w:t>
            </w:r>
            <w:r w:rsidR="008B633F" w:rsidRPr="007936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FE17" w14:textId="0C8D3D10" w:rsidR="007539A8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72.4 </w:t>
            </w:r>
            <w:r w:rsidR="007539A8">
              <w:rPr>
                <w:rFonts w:ascii="Times New Roman" w:hAnsi="Times New Roman"/>
                <w:sz w:val="24"/>
              </w:rPr>
              <w:t>%</w:t>
            </w:r>
          </w:p>
        </w:tc>
      </w:tr>
      <w:tr w:rsidR="004B7348" w:rsidRPr="002A78A7" w14:paraId="38F541D0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1CB" w14:textId="27D5DCA7" w:rsidR="004B7348" w:rsidRPr="007539A8" w:rsidRDefault="007539A8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4"/>
              </w:rPr>
            </w:pPr>
            <w:r w:rsidRPr="007539A8">
              <w:rPr>
                <w:rFonts w:ascii="Times New Roman" w:hAnsi="Times New Roman"/>
                <w:b/>
                <w:sz w:val="24"/>
              </w:rPr>
              <w:t>Dropbox Per Pick-Up Rates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C" w14:textId="48B30DD1" w:rsidR="004B7348" w:rsidRDefault="004B734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D" w14:textId="308DF2E9" w:rsidR="004B7348" w:rsidRDefault="004B7348" w:rsidP="00EC67EF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E" w14:textId="5742EB93" w:rsidR="004B7348" w:rsidRPr="007936C2" w:rsidRDefault="004B7348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CF" w14:textId="4EB40CEB" w:rsidR="004B7348" w:rsidRDefault="004B7348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B7348" w:rsidRPr="002A78A7" w14:paraId="38F541DC" w14:textId="77777777" w:rsidTr="007539A8">
        <w:trPr>
          <w:trHeight w:val="292"/>
          <w:jc w:val="center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1D7" w14:textId="4EE23C35" w:rsidR="004B7348" w:rsidRDefault="007539A8" w:rsidP="00B0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Yard Container Per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D8" w14:textId="050A45F6" w:rsidR="004B7348" w:rsidRDefault="00EC67EF" w:rsidP="007539A8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90.00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D9" w14:textId="7828D3C3" w:rsidR="00715351" w:rsidRDefault="004B7348" w:rsidP="00715351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  <w:r w:rsidR="004E1652">
              <w:rPr>
                <w:rFonts w:ascii="Times New Roman" w:hAnsi="Times New Roman"/>
                <w:sz w:val="24"/>
              </w:rPr>
              <w:t>100</w:t>
            </w:r>
            <w:r w:rsidR="008B633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41DA" w14:textId="43037EEB" w:rsidR="00F3212F" w:rsidRPr="007936C2" w:rsidRDefault="004B7348" w:rsidP="00E709DE">
            <w:pPr>
              <w:tabs>
                <w:tab w:val="decimal" w:pos="63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</w:t>
            </w:r>
            <w:r w:rsidR="008B633F" w:rsidRPr="007936C2">
              <w:rPr>
                <w:rFonts w:ascii="Times New Roman" w:hAnsi="Times New Roman"/>
                <w:sz w:val="24"/>
              </w:rPr>
              <w:t>110.00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41DB" w14:textId="76408C6C" w:rsidR="004B7348" w:rsidRDefault="00E80D43" w:rsidP="00E709DE">
            <w:pPr>
              <w:tabs>
                <w:tab w:val="decimal" w:pos="74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22.2 </w:t>
            </w:r>
            <w:r w:rsidR="003E2A3C">
              <w:rPr>
                <w:rFonts w:ascii="Times New Roman" w:hAnsi="Times New Roman"/>
                <w:sz w:val="24"/>
              </w:rPr>
              <w:t>%</w:t>
            </w:r>
          </w:p>
        </w:tc>
      </w:tr>
    </w:tbl>
    <w:p w14:paraId="38F541E3" w14:textId="18409BE3" w:rsidR="00FB0BDC" w:rsidRDefault="00FB0BDC"/>
    <w:p w14:paraId="0D8A1B0E" w14:textId="77777777" w:rsidR="009145B8" w:rsidRDefault="009145B8" w:rsidP="009145B8">
      <w:pPr>
        <w:rPr>
          <w:rFonts w:ascii="Times New Roman" w:hAnsi="Times New Roman"/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1057"/>
        <w:gridCol w:w="1219"/>
        <w:gridCol w:w="1216"/>
        <w:gridCol w:w="1186"/>
        <w:gridCol w:w="1187"/>
      </w:tblGrid>
      <w:tr w:rsidR="009D706C" w:rsidRPr="00D378FE" w14:paraId="26FAA9BD" w14:textId="77777777" w:rsidTr="009D706C">
        <w:trPr>
          <w:trHeight w:val="292"/>
          <w:jc w:val="center"/>
        </w:trPr>
        <w:tc>
          <w:tcPr>
            <w:tcW w:w="5000" w:type="pct"/>
            <w:gridSpan w:val="6"/>
          </w:tcPr>
          <w:p w14:paraId="5561E0D2" w14:textId="6246CE47" w:rsidR="009D706C" w:rsidRPr="00D378FE" w:rsidRDefault="009D706C" w:rsidP="00507C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Basin Disposal (BDI)</w:t>
            </w:r>
          </w:p>
        </w:tc>
      </w:tr>
      <w:tr w:rsidR="005D099F" w:rsidRPr="00D378FE" w14:paraId="72BE2917" w14:textId="77777777" w:rsidTr="009D706C">
        <w:trPr>
          <w:trHeight w:val="292"/>
          <w:jc w:val="center"/>
        </w:trPr>
        <w:tc>
          <w:tcPr>
            <w:tcW w:w="1864" w:type="pct"/>
            <w:vAlign w:val="bottom"/>
          </w:tcPr>
          <w:p w14:paraId="794E7C24" w14:textId="77777777" w:rsidR="005D099F" w:rsidRPr="00DE3E98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b/>
                <w:sz w:val="24"/>
              </w:rPr>
            </w:pPr>
          </w:p>
        </w:tc>
        <w:tc>
          <w:tcPr>
            <w:tcW w:w="565" w:type="pct"/>
            <w:vAlign w:val="center"/>
          </w:tcPr>
          <w:p w14:paraId="52FD7207" w14:textId="77777777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Current Rate</w:t>
            </w:r>
          </w:p>
        </w:tc>
        <w:tc>
          <w:tcPr>
            <w:tcW w:w="652" w:type="pct"/>
            <w:vAlign w:val="center"/>
          </w:tcPr>
          <w:p w14:paraId="600C679C" w14:textId="77777777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Proposed Rate</w:t>
            </w:r>
          </w:p>
        </w:tc>
        <w:tc>
          <w:tcPr>
            <w:tcW w:w="650" w:type="pct"/>
            <w:vAlign w:val="center"/>
          </w:tcPr>
          <w:p w14:paraId="56EFA92E" w14:textId="5B04B947" w:rsidR="005D099F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Revised </w:t>
            </w:r>
            <w:r w:rsidRPr="00D378FE">
              <w:rPr>
                <w:rFonts w:ascii="Times New Roman" w:hAnsi="Times New Roman"/>
                <w:b/>
                <w:sz w:val="24"/>
              </w:rPr>
              <w:t>Rate</w:t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634" w:type="pct"/>
          </w:tcPr>
          <w:p w14:paraId="50002927" w14:textId="77777777" w:rsidR="005D099F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PLP</w:t>
            </w:r>
          </w:p>
          <w:p w14:paraId="58E69358" w14:textId="3B9505D0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Rate</w:t>
            </w:r>
          </w:p>
        </w:tc>
        <w:tc>
          <w:tcPr>
            <w:tcW w:w="634" w:type="pct"/>
            <w:vAlign w:val="center"/>
          </w:tcPr>
          <w:p w14:paraId="433A3DED" w14:textId="13590376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Percent</w:t>
            </w:r>
          </w:p>
          <w:p w14:paraId="2C667C60" w14:textId="77777777" w:rsidR="005D099F" w:rsidRPr="00D378FE" w:rsidRDefault="005D099F" w:rsidP="00AA7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Increase</w:t>
            </w:r>
          </w:p>
        </w:tc>
      </w:tr>
      <w:tr w:rsidR="005D099F" w14:paraId="0EE7E4B8" w14:textId="77777777" w:rsidTr="00E709DE">
        <w:trPr>
          <w:trHeight w:val="307"/>
          <w:jc w:val="center"/>
        </w:trPr>
        <w:tc>
          <w:tcPr>
            <w:tcW w:w="1864" w:type="pct"/>
            <w:vAlign w:val="bottom"/>
          </w:tcPr>
          <w:p w14:paraId="043B5CBB" w14:textId="31378FD1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 w:rsidRPr="00D378FE">
              <w:rPr>
                <w:rFonts w:ascii="Times New Roman" w:hAnsi="Times New Roman"/>
                <w:b/>
                <w:sz w:val="24"/>
              </w:rPr>
              <w:t>Residential Monthly Rates</w:t>
            </w:r>
          </w:p>
        </w:tc>
        <w:tc>
          <w:tcPr>
            <w:tcW w:w="565" w:type="pct"/>
            <w:vAlign w:val="center"/>
          </w:tcPr>
          <w:p w14:paraId="746131B2" w14:textId="77777777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pct"/>
            <w:vAlign w:val="center"/>
          </w:tcPr>
          <w:p w14:paraId="4FBC699B" w14:textId="77777777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0A2C478A" w14:textId="77777777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</w:tcPr>
          <w:p w14:paraId="04795308" w14:textId="77777777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vAlign w:val="center"/>
          </w:tcPr>
          <w:p w14:paraId="5FC11FA5" w14:textId="20AF69C4" w:rsidR="005D099F" w:rsidRDefault="005D099F" w:rsidP="00AA70E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099F" w:rsidRPr="002A78A7" w14:paraId="5387D899" w14:textId="77777777" w:rsidTr="00E709DE">
        <w:trPr>
          <w:trHeight w:val="307"/>
          <w:jc w:val="center"/>
        </w:trPr>
        <w:tc>
          <w:tcPr>
            <w:tcW w:w="1864" w:type="pct"/>
            <w:vAlign w:val="bottom"/>
          </w:tcPr>
          <w:p w14:paraId="713E3045" w14:textId="77777777" w:rsidR="005D099F" w:rsidRPr="002A78A7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64-Gallon Tote Weekly Pick-Up</w:t>
            </w:r>
          </w:p>
        </w:tc>
        <w:tc>
          <w:tcPr>
            <w:tcW w:w="565" w:type="pct"/>
            <w:vAlign w:val="bottom"/>
          </w:tcPr>
          <w:p w14:paraId="79CEC791" w14:textId="1CC2E872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$20.25</w:t>
            </w:r>
          </w:p>
        </w:tc>
        <w:tc>
          <w:tcPr>
            <w:tcW w:w="652" w:type="pct"/>
            <w:vAlign w:val="bottom"/>
          </w:tcPr>
          <w:p w14:paraId="0CCAF34D" w14:textId="147308D0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$19.24</w:t>
            </w:r>
          </w:p>
        </w:tc>
        <w:tc>
          <w:tcPr>
            <w:tcW w:w="650" w:type="pct"/>
            <w:vAlign w:val="bottom"/>
          </w:tcPr>
          <w:p w14:paraId="60E47A8E" w14:textId="6FC936AD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$18.25</w:t>
            </w:r>
          </w:p>
        </w:tc>
        <w:tc>
          <w:tcPr>
            <w:tcW w:w="634" w:type="pct"/>
            <w:vAlign w:val="bottom"/>
          </w:tcPr>
          <w:p w14:paraId="0253B496" w14:textId="2F16FFE3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$0.09</w:t>
            </w:r>
          </w:p>
        </w:tc>
        <w:tc>
          <w:tcPr>
            <w:tcW w:w="634" w:type="pct"/>
            <w:vAlign w:val="bottom"/>
          </w:tcPr>
          <w:p w14:paraId="383E9285" w14:textId="53E557A7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-9.4 %</w:t>
            </w:r>
          </w:p>
        </w:tc>
      </w:tr>
      <w:tr w:rsidR="005D099F" w:rsidRPr="002A78A7" w14:paraId="16979B70" w14:textId="77777777" w:rsidTr="00E709DE">
        <w:trPr>
          <w:trHeight w:val="292"/>
          <w:jc w:val="center"/>
        </w:trPr>
        <w:tc>
          <w:tcPr>
            <w:tcW w:w="1864" w:type="pct"/>
            <w:vAlign w:val="bottom"/>
          </w:tcPr>
          <w:p w14:paraId="1D8D4F15" w14:textId="77777777" w:rsidR="005D099F" w:rsidRPr="00EC110E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One 96-Gallon Tote Weekly Pick-Up</w:t>
            </w:r>
          </w:p>
        </w:tc>
        <w:tc>
          <w:tcPr>
            <w:tcW w:w="565" w:type="pct"/>
            <w:vAlign w:val="bottom"/>
          </w:tcPr>
          <w:p w14:paraId="511FA8E0" w14:textId="161A652C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$25.00</w:t>
            </w:r>
          </w:p>
        </w:tc>
        <w:tc>
          <w:tcPr>
            <w:tcW w:w="652" w:type="pct"/>
            <w:vAlign w:val="bottom"/>
          </w:tcPr>
          <w:p w14:paraId="469E87D2" w14:textId="1C25D0E5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$23.84</w:t>
            </w:r>
          </w:p>
        </w:tc>
        <w:tc>
          <w:tcPr>
            <w:tcW w:w="650" w:type="pct"/>
            <w:vAlign w:val="bottom"/>
          </w:tcPr>
          <w:p w14:paraId="4ACD5316" w14:textId="154371BA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$23.00</w:t>
            </w:r>
          </w:p>
        </w:tc>
        <w:tc>
          <w:tcPr>
            <w:tcW w:w="634" w:type="pct"/>
            <w:vAlign w:val="bottom"/>
          </w:tcPr>
          <w:p w14:paraId="1CC4D771" w14:textId="3DF65B3D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$0.13</w:t>
            </w:r>
          </w:p>
        </w:tc>
        <w:tc>
          <w:tcPr>
            <w:tcW w:w="634" w:type="pct"/>
            <w:vAlign w:val="bottom"/>
          </w:tcPr>
          <w:p w14:paraId="41F95DFD" w14:textId="60439C02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-7.5 %</w:t>
            </w:r>
          </w:p>
        </w:tc>
      </w:tr>
      <w:tr w:rsidR="005D099F" w:rsidRPr="002A78A7" w14:paraId="5E9EE545" w14:textId="77777777" w:rsidTr="00E709DE">
        <w:trPr>
          <w:trHeight w:val="341"/>
          <w:jc w:val="center"/>
        </w:trPr>
        <w:tc>
          <w:tcPr>
            <w:tcW w:w="1864" w:type="pct"/>
            <w:vAlign w:val="bottom"/>
          </w:tcPr>
          <w:p w14:paraId="5132DA13" w14:textId="77777777" w:rsidR="005D099F" w:rsidRPr="002A78A7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Commercial Per Pick-Up</w:t>
            </w:r>
            <w:r w:rsidRPr="0080746A">
              <w:rPr>
                <w:rFonts w:ascii="Times New Roman" w:hAnsi="Times New Roman"/>
                <w:b/>
                <w:sz w:val="24"/>
              </w:rPr>
              <w:t xml:space="preserve"> Rates</w:t>
            </w:r>
          </w:p>
        </w:tc>
        <w:tc>
          <w:tcPr>
            <w:tcW w:w="565" w:type="pct"/>
            <w:vAlign w:val="bottom"/>
          </w:tcPr>
          <w:p w14:paraId="26E4E232" w14:textId="77777777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pct"/>
            <w:vAlign w:val="bottom"/>
          </w:tcPr>
          <w:p w14:paraId="35C66318" w14:textId="77777777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vAlign w:val="bottom"/>
          </w:tcPr>
          <w:p w14:paraId="16D45BC6" w14:textId="77777777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vAlign w:val="bottom"/>
          </w:tcPr>
          <w:p w14:paraId="2E5548EA" w14:textId="77777777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vAlign w:val="bottom"/>
          </w:tcPr>
          <w:p w14:paraId="6BD17C6A" w14:textId="4689C4F2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099F" w:rsidRPr="002A78A7" w14:paraId="4C0FA734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5E2A" w14:textId="77777777" w:rsidR="005D099F" w:rsidRPr="00853F5D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2.0-</w:t>
            </w:r>
            <w:r w:rsidRPr="002A78A7">
              <w:rPr>
                <w:rFonts w:ascii="Times New Roman" w:hAnsi="Times New Roman"/>
                <w:sz w:val="24"/>
              </w:rPr>
              <w:t>Yard Container</w:t>
            </w:r>
            <w:r>
              <w:rPr>
                <w:rFonts w:ascii="Times New Roman" w:hAnsi="Times New Roman"/>
                <w:sz w:val="24"/>
              </w:rPr>
              <w:t xml:space="preserve"> First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F196B" w14:textId="164FAB19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$26.00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F057F" w14:textId="71CB9B4C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$23.42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2BAFE" w14:textId="576EAF2E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$25.50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76B50" w14:textId="3A03C702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$0.14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C84CF" w14:textId="18DAFA0C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-1.4 %</w:t>
            </w:r>
          </w:p>
        </w:tc>
      </w:tr>
      <w:tr w:rsidR="005D099F" w14:paraId="4E9DA9DD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63F7" w14:textId="77777777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2.0-</w:t>
            </w:r>
            <w:r w:rsidRPr="002A78A7">
              <w:rPr>
                <w:rFonts w:ascii="Times New Roman" w:hAnsi="Times New Roman"/>
                <w:sz w:val="24"/>
              </w:rPr>
              <w:t>Yard Container</w:t>
            </w:r>
            <w:r>
              <w:rPr>
                <w:rFonts w:ascii="Times New Roman" w:hAnsi="Times New Roman"/>
                <w:sz w:val="24"/>
              </w:rPr>
              <w:t xml:space="preserve"> Additional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DA7AF" w14:textId="66AFE1CD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$26.00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6E42E" w14:textId="2B119A59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$23.42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7900" w14:textId="4C4363E8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$25.50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D6EB8" w14:textId="3AE338B8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$0.14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AC8FE" w14:textId="4E9CA471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-1.4 %</w:t>
            </w:r>
          </w:p>
        </w:tc>
      </w:tr>
      <w:tr w:rsidR="005D099F" w:rsidRPr="002A78A7" w14:paraId="4DB0CE1D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6B37" w14:textId="2BA2DD67" w:rsidR="005D099F" w:rsidRPr="002A78A7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3.0-Yard Container First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CDFD" w14:textId="70D0971A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$31.00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E0E71" w14:textId="4D656980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$27.95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F358" w14:textId="505CA036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$30.50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941DF" w14:textId="7F0E3D8D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$0.2</w:t>
            </w:r>
            <w:r w:rsidR="00C978E4" w:rsidRPr="007936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5F32" w14:textId="1D6D89B9" w:rsidR="005D099F" w:rsidRPr="002A78A7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-1.0 %</w:t>
            </w:r>
          </w:p>
        </w:tc>
      </w:tr>
      <w:tr w:rsidR="005D099F" w14:paraId="559D20C7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01D48" w14:textId="060E6FC3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3.0-Yard Container Additional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1877" w14:textId="0D41AD78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$31.00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767BE" w14:textId="468D26BF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$27.95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3CE0C" w14:textId="0C7B04CC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$30.50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51AA9" w14:textId="605C57FC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$0.2</w:t>
            </w:r>
            <w:r w:rsidR="00C978E4" w:rsidRPr="007936C2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47D06" w14:textId="2B70BC50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-1.0 %</w:t>
            </w:r>
          </w:p>
        </w:tc>
      </w:tr>
      <w:tr w:rsidR="005D099F" w14:paraId="222E88C0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F44B8" w14:textId="77777777" w:rsidR="005D099F" w:rsidRPr="007539A8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b/>
                <w:sz w:val="24"/>
              </w:rPr>
            </w:pPr>
            <w:r w:rsidRPr="007539A8">
              <w:rPr>
                <w:rFonts w:ascii="Times New Roman" w:hAnsi="Times New Roman"/>
                <w:b/>
                <w:sz w:val="24"/>
              </w:rPr>
              <w:t>Dropbox Per Pick-Up Rates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BF2D3" w14:textId="77777777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F7A64" w14:textId="77777777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74432" w14:textId="77777777" w:rsidR="005D099F" w:rsidRPr="007936C2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8FF46" w14:textId="77777777" w:rsidR="005D099F" w:rsidRPr="007936C2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FDAEE" w14:textId="206073A4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D099F" w14:paraId="09DC4423" w14:textId="77777777" w:rsidTr="00E709DE">
        <w:trPr>
          <w:trHeight w:val="292"/>
          <w:jc w:val="center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0DF46" w14:textId="77777777" w:rsidR="005D099F" w:rsidRDefault="005D099F" w:rsidP="00E709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Yard Container Per Pick-Up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2831B" w14:textId="76FAED5F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$115.00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C7441" w14:textId="66D3C68A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$100.00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4CC76" w14:textId="65748AF3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$110.00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33B3" w14:textId="42DACAB4" w:rsidR="005D099F" w:rsidRPr="007936C2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 w:rsidRPr="007936C2">
              <w:rPr>
                <w:rFonts w:ascii="Times New Roman" w:hAnsi="Times New Roman"/>
                <w:sz w:val="24"/>
              </w:rPr>
              <w:t>$0.96 per ton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4A575" w14:textId="2F41297B" w:rsidR="005D099F" w:rsidRDefault="005D099F" w:rsidP="00E709DE">
            <w:pPr>
              <w:tabs>
                <w:tab w:val="decimal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25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-4.3 %</w:t>
            </w:r>
          </w:p>
        </w:tc>
      </w:tr>
    </w:tbl>
    <w:p w14:paraId="23E4985D" w14:textId="5D8E82F3" w:rsidR="00507CFC" w:rsidRPr="00691922" w:rsidRDefault="00691922" w:rsidP="00691922">
      <w:pPr>
        <w:rPr>
          <w:rFonts w:ascii="Times New Roman" w:hAnsi="Times New Roman"/>
          <w:color w:val="000000"/>
          <w:sz w:val="24"/>
        </w:rPr>
      </w:pPr>
      <w:r w:rsidRPr="00691922">
        <w:rPr>
          <w:rFonts w:ascii="Times New Roman" w:hAnsi="Times New Roman"/>
          <w:color w:val="000000"/>
          <w:sz w:val="24"/>
        </w:rPr>
        <w:t>*The difference in</w:t>
      </w:r>
      <w:r w:rsidR="00E80D43">
        <w:rPr>
          <w:rFonts w:ascii="Times New Roman" w:hAnsi="Times New Roman"/>
          <w:color w:val="000000"/>
          <w:sz w:val="24"/>
        </w:rPr>
        <w:t xml:space="preserve"> the BDI and ED’s</w:t>
      </w:r>
      <w:r w:rsidRPr="00691922">
        <w:rPr>
          <w:rFonts w:ascii="Times New Roman" w:hAnsi="Times New Roman"/>
          <w:color w:val="000000"/>
          <w:sz w:val="24"/>
        </w:rPr>
        <w:t xml:space="preserve"> rates is the cost associated with the superfund process.</w:t>
      </w:r>
    </w:p>
    <w:p w14:paraId="063C9AAB" w14:textId="77777777" w:rsidR="009145B8" w:rsidRDefault="009145B8" w:rsidP="009145B8">
      <w:pPr>
        <w:rPr>
          <w:rFonts w:ascii="Times New Roman" w:hAnsi="Times New Roman"/>
          <w:color w:val="000000"/>
          <w:sz w:val="24"/>
        </w:rPr>
      </w:pPr>
    </w:p>
    <w:p w14:paraId="51A851DC" w14:textId="77777777" w:rsidR="007936C2" w:rsidRDefault="007936C2" w:rsidP="009145B8">
      <w:pPr>
        <w:rPr>
          <w:rFonts w:ascii="Times New Roman" w:hAnsi="Times New Roman"/>
          <w:color w:val="000000"/>
          <w:sz w:val="24"/>
        </w:rPr>
      </w:pPr>
    </w:p>
    <w:p w14:paraId="415953AB" w14:textId="77777777" w:rsidR="007936C2" w:rsidRDefault="007936C2" w:rsidP="009145B8">
      <w:pPr>
        <w:rPr>
          <w:rFonts w:ascii="Times New Roman" w:hAnsi="Times New Roman"/>
          <w:color w:val="000000"/>
          <w:sz w:val="24"/>
        </w:rPr>
      </w:pPr>
    </w:p>
    <w:p w14:paraId="1AEB8C6F" w14:textId="77777777" w:rsidR="007936C2" w:rsidRDefault="007936C2" w:rsidP="009145B8">
      <w:pPr>
        <w:rPr>
          <w:rFonts w:ascii="Times New Roman" w:hAnsi="Times New Roman"/>
          <w:color w:val="000000"/>
          <w:sz w:val="24"/>
        </w:rPr>
      </w:pPr>
    </w:p>
    <w:p w14:paraId="59773279" w14:textId="77777777" w:rsidR="007936C2" w:rsidRDefault="007936C2" w:rsidP="009145B8">
      <w:pPr>
        <w:rPr>
          <w:rFonts w:ascii="Times New Roman" w:hAnsi="Times New Roman"/>
          <w:color w:val="000000"/>
          <w:sz w:val="24"/>
        </w:rPr>
      </w:pPr>
    </w:p>
    <w:p w14:paraId="05493F49" w14:textId="3131689A" w:rsidR="000004DC" w:rsidRPr="000004DC" w:rsidRDefault="000004DC" w:rsidP="009145B8">
      <w:pPr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>Customer Comments</w:t>
      </w:r>
    </w:p>
    <w:p w14:paraId="660D8EF0" w14:textId="293C0C53" w:rsidR="000004DC" w:rsidRDefault="001531A5" w:rsidP="009145B8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7736EC36" w14:textId="4B97F349" w:rsidR="001531A5" w:rsidRPr="001531A5" w:rsidRDefault="00EA1853" w:rsidP="001531A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On Oct. 2, 2017, the companies</w:t>
      </w:r>
      <w:r w:rsidR="001531A5" w:rsidRPr="001531A5">
        <w:rPr>
          <w:rFonts w:ascii="Times New Roman" w:hAnsi="Times New Roman"/>
          <w:color w:val="000000"/>
          <w:sz w:val="24"/>
        </w:rPr>
        <w:t xml:space="preserve"> notified its customers by mail of the proposed rate </w:t>
      </w:r>
      <w:r w:rsidR="00E06933">
        <w:rPr>
          <w:rFonts w:ascii="Times New Roman" w:hAnsi="Times New Roman"/>
          <w:color w:val="000000"/>
          <w:sz w:val="24"/>
        </w:rPr>
        <w:t>changes</w:t>
      </w:r>
      <w:r w:rsidR="001531A5" w:rsidRPr="001531A5">
        <w:rPr>
          <w:rFonts w:ascii="Times New Roman" w:hAnsi="Times New Roman"/>
          <w:color w:val="000000"/>
          <w:sz w:val="24"/>
        </w:rPr>
        <w:t>. Customers were notified that they may acce</w:t>
      </w:r>
      <w:r>
        <w:rPr>
          <w:rFonts w:ascii="Times New Roman" w:hAnsi="Times New Roman"/>
          <w:color w:val="000000"/>
          <w:sz w:val="24"/>
        </w:rPr>
        <w:t>s</w:t>
      </w:r>
      <w:r w:rsidR="00586E6D">
        <w:rPr>
          <w:rFonts w:ascii="Times New Roman" w:hAnsi="Times New Roman"/>
          <w:color w:val="000000"/>
          <w:sz w:val="24"/>
        </w:rPr>
        <w:t>s relevant documents about the</w:t>
      </w:r>
      <w:r w:rsidR="001531A5" w:rsidRPr="001531A5">
        <w:rPr>
          <w:rFonts w:ascii="Times New Roman" w:hAnsi="Times New Roman"/>
          <w:color w:val="000000"/>
          <w:sz w:val="24"/>
        </w:rPr>
        <w:t xml:space="preserve"> </w:t>
      </w:r>
      <w:r w:rsidR="00E06933">
        <w:rPr>
          <w:rFonts w:ascii="Times New Roman" w:hAnsi="Times New Roman"/>
          <w:color w:val="000000"/>
          <w:sz w:val="24"/>
        </w:rPr>
        <w:t>filings</w:t>
      </w:r>
      <w:r w:rsidR="001531A5" w:rsidRPr="001531A5">
        <w:rPr>
          <w:rFonts w:ascii="Times New Roman" w:hAnsi="Times New Roman"/>
          <w:color w:val="000000"/>
          <w:sz w:val="24"/>
        </w:rPr>
        <w:t xml:space="preserve"> on the commission’s website, and that they may contact John Cupp at 1-888-333-9882 or jcupp@utc.wa.gov with questions or concerns. Staff received 10 consumer comments regarding</w:t>
      </w:r>
      <w:r w:rsidR="00EE7082">
        <w:rPr>
          <w:rFonts w:ascii="Times New Roman" w:hAnsi="Times New Roman"/>
          <w:color w:val="000000"/>
          <w:sz w:val="24"/>
        </w:rPr>
        <w:t xml:space="preserve"> Ed’s</w:t>
      </w:r>
      <w:r w:rsidR="00E709DE">
        <w:rPr>
          <w:rFonts w:ascii="Times New Roman" w:hAnsi="Times New Roman"/>
          <w:color w:val="000000"/>
          <w:sz w:val="24"/>
        </w:rPr>
        <w:t xml:space="preserve"> </w:t>
      </w:r>
      <w:r w:rsidR="001531A5" w:rsidRPr="001531A5">
        <w:rPr>
          <w:rFonts w:ascii="Times New Roman" w:hAnsi="Times New Roman"/>
          <w:color w:val="000000"/>
          <w:sz w:val="24"/>
        </w:rPr>
        <w:t>proposed rate increase</w:t>
      </w:r>
      <w:r w:rsidR="00586E6D">
        <w:rPr>
          <w:rFonts w:ascii="Times New Roman" w:hAnsi="Times New Roman"/>
          <w:color w:val="000000"/>
          <w:sz w:val="24"/>
        </w:rPr>
        <w:t>;</w:t>
      </w:r>
      <w:r w:rsidR="001531A5" w:rsidRPr="001531A5">
        <w:rPr>
          <w:rFonts w:ascii="Times New Roman" w:hAnsi="Times New Roman"/>
          <w:color w:val="000000"/>
          <w:sz w:val="24"/>
        </w:rPr>
        <w:t xml:space="preserve"> nine opposed</w:t>
      </w:r>
      <w:r w:rsidR="00586E6D">
        <w:rPr>
          <w:rFonts w:ascii="Times New Roman" w:hAnsi="Times New Roman"/>
          <w:color w:val="000000"/>
          <w:sz w:val="24"/>
        </w:rPr>
        <w:t>,</w:t>
      </w:r>
      <w:r w:rsidR="001531A5" w:rsidRPr="001531A5">
        <w:rPr>
          <w:rFonts w:ascii="Times New Roman" w:hAnsi="Times New Roman"/>
          <w:color w:val="000000"/>
          <w:sz w:val="24"/>
        </w:rPr>
        <w:t xml:space="preserve"> and one in favor.</w:t>
      </w:r>
    </w:p>
    <w:p w14:paraId="68849D53" w14:textId="77777777" w:rsidR="00E709DE" w:rsidRDefault="00E709DE" w:rsidP="001531A5">
      <w:pPr>
        <w:rPr>
          <w:rFonts w:ascii="Times New Roman" w:hAnsi="Times New Roman"/>
          <w:b/>
          <w:color w:val="000000"/>
          <w:sz w:val="24"/>
          <w:u w:val="single"/>
        </w:rPr>
      </w:pPr>
    </w:p>
    <w:p w14:paraId="4C1DC6A0" w14:textId="77777777" w:rsidR="001531A5" w:rsidRPr="001531A5" w:rsidRDefault="001531A5" w:rsidP="001531A5">
      <w:pPr>
        <w:rPr>
          <w:rFonts w:ascii="Times New Roman" w:hAnsi="Times New Roman"/>
          <w:sz w:val="24"/>
          <w:u w:val="single"/>
        </w:rPr>
      </w:pPr>
      <w:r w:rsidRPr="001531A5">
        <w:rPr>
          <w:rFonts w:ascii="Times New Roman" w:hAnsi="Times New Roman"/>
          <w:b/>
          <w:color w:val="000000"/>
          <w:sz w:val="24"/>
          <w:u w:val="single"/>
        </w:rPr>
        <w:t>General Comments</w:t>
      </w:r>
    </w:p>
    <w:p w14:paraId="1110D3D3" w14:textId="77777777" w:rsidR="001531A5" w:rsidRPr="001531A5" w:rsidRDefault="001531A5" w:rsidP="009145B8">
      <w:pPr>
        <w:rPr>
          <w:rFonts w:ascii="Times New Roman" w:hAnsi="Times New Roman"/>
          <w:color w:val="000000"/>
          <w:sz w:val="24"/>
        </w:rPr>
      </w:pPr>
    </w:p>
    <w:p w14:paraId="56DB1DC9" w14:textId="77777777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color w:val="000000"/>
          <w:sz w:val="24"/>
        </w:rPr>
      </w:pPr>
      <w:r w:rsidRPr="001531A5">
        <w:rPr>
          <w:rFonts w:ascii="Times New Roman" w:hAnsi="Times New Roman"/>
          <w:color w:val="000000"/>
          <w:sz w:val="24"/>
        </w:rPr>
        <w:t>One customer stated the company’s notice did not provide enough information for a complete analysis of the proposed increase.</w:t>
      </w:r>
    </w:p>
    <w:p w14:paraId="2F129ABC" w14:textId="77777777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color w:val="000000"/>
          <w:sz w:val="24"/>
        </w:rPr>
      </w:pPr>
    </w:p>
    <w:p w14:paraId="62CA05AF" w14:textId="77777777" w:rsidR="001531A5" w:rsidRPr="001531A5" w:rsidRDefault="001531A5" w:rsidP="001531A5">
      <w:pPr>
        <w:ind w:left="719"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color w:val="000000"/>
          <w:sz w:val="24"/>
        </w:rPr>
        <w:tab/>
      </w:r>
      <w:r w:rsidRPr="001531A5">
        <w:rPr>
          <w:rFonts w:ascii="Times New Roman" w:hAnsi="Times New Roman"/>
          <w:b/>
          <w:color w:val="000000"/>
          <w:sz w:val="24"/>
        </w:rPr>
        <w:t>Staff Response</w:t>
      </w:r>
    </w:p>
    <w:p w14:paraId="77C6FBA8" w14:textId="757CD270" w:rsidR="001531A5" w:rsidRPr="001531A5" w:rsidRDefault="001531A5" w:rsidP="001531A5">
      <w:pPr>
        <w:widowControl/>
        <w:autoSpaceDE/>
        <w:autoSpaceDN/>
        <w:adjustRightInd/>
        <w:ind w:left="719"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sz w:val="24"/>
        </w:rPr>
        <w:tab/>
        <w:t>Staff explained the process used in its investigation into rate requests.</w:t>
      </w:r>
    </w:p>
    <w:p w14:paraId="75651F04" w14:textId="77777777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D9ED015" w14:textId="41DFD248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sz w:val="24"/>
        </w:rPr>
        <w:t xml:space="preserve">Nearly all the commenters believe the amount of the proposed increase is excessive. Five customers said </w:t>
      </w:r>
      <w:r w:rsidR="00EE7082">
        <w:rPr>
          <w:rFonts w:ascii="Times New Roman" w:hAnsi="Times New Roman"/>
          <w:sz w:val="24"/>
        </w:rPr>
        <w:t>Ed’s</w:t>
      </w:r>
      <w:r w:rsidRPr="001531A5">
        <w:rPr>
          <w:rFonts w:ascii="Times New Roman" w:hAnsi="Times New Roman"/>
          <w:sz w:val="24"/>
        </w:rPr>
        <w:t xml:space="preserve"> already received an increase this year. Two customers did not provide a reason for opposing the increase.</w:t>
      </w:r>
    </w:p>
    <w:p w14:paraId="6DD935A1" w14:textId="77777777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40EB4BBD" w14:textId="6630746D" w:rsidR="001531A5" w:rsidRPr="001531A5" w:rsidRDefault="001531A5" w:rsidP="001531A5">
      <w:pPr>
        <w:widowControl/>
        <w:autoSpaceDE/>
        <w:autoSpaceDN/>
        <w:adjustRightInd/>
        <w:rPr>
          <w:rFonts w:ascii="Times New Roman" w:hAnsi="Times New Roman"/>
          <w:b/>
          <w:color w:val="000000"/>
          <w:sz w:val="24"/>
        </w:rPr>
      </w:pPr>
      <w:r w:rsidRPr="001531A5">
        <w:rPr>
          <w:rFonts w:ascii="Times New Roman" w:hAnsi="Times New Roman"/>
          <w:sz w:val="24"/>
        </w:rPr>
        <w:tab/>
      </w:r>
      <w:r w:rsidRPr="001531A5">
        <w:rPr>
          <w:rFonts w:ascii="Times New Roman" w:hAnsi="Times New Roman"/>
          <w:b/>
          <w:color w:val="000000"/>
          <w:sz w:val="24"/>
        </w:rPr>
        <w:t>Staff Response</w:t>
      </w:r>
    </w:p>
    <w:p w14:paraId="641C4DB6" w14:textId="44C22EA7" w:rsidR="001531A5" w:rsidRPr="001531A5" w:rsidRDefault="001531A5" w:rsidP="001531A5">
      <w:pPr>
        <w:ind w:left="720"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sz w:val="24"/>
        </w:rPr>
        <w:t>Staff explained the company’s rates went up Feb</w:t>
      </w:r>
      <w:r w:rsidR="00E709DE">
        <w:rPr>
          <w:rFonts w:ascii="Times New Roman" w:hAnsi="Times New Roman"/>
          <w:sz w:val="24"/>
        </w:rPr>
        <w:t>ruary</w:t>
      </w:r>
      <w:r w:rsidRPr="001531A5">
        <w:rPr>
          <w:rFonts w:ascii="Times New Roman" w:hAnsi="Times New Roman"/>
          <w:sz w:val="24"/>
        </w:rPr>
        <w:t xml:space="preserve"> 1, due to an increase in disposal fees, and the company’s last general rate increase was in 2005.</w:t>
      </w:r>
    </w:p>
    <w:p w14:paraId="6394F0F4" w14:textId="77777777" w:rsidR="001531A5" w:rsidRPr="001531A5" w:rsidRDefault="001531A5" w:rsidP="001531A5">
      <w:pPr>
        <w:ind w:left="720"/>
        <w:rPr>
          <w:rFonts w:ascii="Times New Roman" w:hAnsi="Times New Roman"/>
          <w:sz w:val="24"/>
        </w:rPr>
      </w:pPr>
    </w:p>
    <w:p w14:paraId="4363DD2E" w14:textId="1DFC812B" w:rsidR="001531A5" w:rsidRPr="001531A5" w:rsidRDefault="001531A5" w:rsidP="001531A5">
      <w:pPr>
        <w:ind w:left="720"/>
        <w:rPr>
          <w:rFonts w:ascii="Times New Roman" w:hAnsi="Times New Roman"/>
          <w:sz w:val="24"/>
        </w:rPr>
      </w:pPr>
      <w:r w:rsidRPr="001531A5">
        <w:rPr>
          <w:rFonts w:ascii="Times New Roman" w:hAnsi="Times New Roman"/>
          <w:sz w:val="24"/>
        </w:rPr>
        <w:t>The customers were advised that state law requires rates to be fair, just, reasonable and sufficient to allow the company to recover reasonable operating expenses and the opportunity to earn a reasonable return on its investment. Regulatory staff reviews filings to ensure that all rates and fees are appropriate.</w:t>
      </w:r>
    </w:p>
    <w:p w14:paraId="2D59D898" w14:textId="77777777" w:rsidR="001531A5" w:rsidRDefault="001531A5" w:rsidP="009145B8">
      <w:pPr>
        <w:rPr>
          <w:rFonts w:ascii="Times New Roman" w:hAnsi="Times New Roman"/>
          <w:color w:val="000000"/>
          <w:sz w:val="24"/>
        </w:rPr>
      </w:pPr>
    </w:p>
    <w:p w14:paraId="38F541EE" w14:textId="77777777" w:rsidR="00636A22" w:rsidRDefault="00636A22" w:rsidP="00636A22">
      <w:pPr>
        <w:rPr>
          <w:rFonts w:ascii="Times New Roman" w:hAnsi="Times New Roman"/>
          <w:sz w:val="24"/>
        </w:rPr>
      </w:pPr>
    </w:p>
    <w:p w14:paraId="41DB2B32" w14:textId="4C6A5716" w:rsidR="000537D2" w:rsidRDefault="000537D2" w:rsidP="00053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Conclusion</w:t>
      </w:r>
    </w:p>
    <w:p w14:paraId="126F21A4" w14:textId="77777777" w:rsidR="000537D2" w:rsidRDefault="000537D2" w:rsidP="00053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bCs/>
          <w:sz w:val="24"/>
          <w:u w:val="single"/>
        </w:rPr>
      </w:pPr>
    </w:p>
    <w:p w14:paraId="38F541EF" w14:textId="3173EB87" w:rsidR="00636A22" w:rsidRPr="0071140B" w:rsidRDefault="0071140B" w:rsidP="00E709DE">
      <w:pPr>
        <w:rPr>
          <w:sz w:val="24"/>
        </w:rPr>
      </w:pPr>
      <w:r w:rsidRPr="009D706C">
        <w:rPr>
          <w:rFonts w:ascii="Times New Roman" w:hAnsi="Times New Roman"/>
          <w:sz w:val="24"/>
        </w:rPr>
        <w:t xml:space="preserve">Allow the tariff revisions filed by Basin Disposal, Inc. </w:t>
      </w:r>
      <w:r>
        <w:rPr>
          <w:rFonts w:ascii="Times New Roman" w:hAnsi="Times New Roman"/>
          <w:sz w:val="24"/>
        </w:rPr>
        <w:t xml:space="preserve">and Ed’s Disposal, Inc. </w:t>
      </w:r>
      <w:r w:rsidRPr="009D706C">
        <w:rPr>
          <w:rFonts w:ascii="Times New Roman" w:hAnsi="Times New Roman"/>
          <w:sz w:val="24"/>
        </w:rPr>
        <w:t xml:space="preserve">on September 15, 2017, </w:t>
      </w:r>
      <w:r>
        <w:rPr>
          <w:rFonts w:ascii="Times New Roman" w:hAnsi="Times New Roman"/>
          <w:sz w:val="24"/>
        </w:rPr>
        <w:t xml:space="preserve">and </w:t>
      </w:r>
      <w:r w:rsidRPr="009D706C">
        <w:rPr>
          <w:rFonts w:ascii="Times New Roman" w:hAnsi="Times New Roman"/>
          <w:sz w:val="24"/>
        </w:rPr>
        <w:t xml:space="preserve">as revised on November </w:t>
      </w:r>
      <w:r>
        <w:rPr>
          <w:rFonts w:ascii="Times New Roman" w:hAnsi="Times New Roman"/>
          <w:sz w:val="24"/>
        </w:rPr>
        <w:t>20</w:t>
      </w:r>
      <w:r w:rsidRPr="009D706C">
        <w:rPr>
          <w:rFonts w:ascii="Times New Roman" w:hAnsi="Times New Roman"/>
          <w:sz w:val="24"/>
        </w:rPr>
        <w:t>, 2017, to become effective on December 1, 2017, by operation of law.</w:t>
      </w:r>
    </w:p>
    <w:sectPr w:rsidR="00636A22" w:rsidRPr="0071140B" w:rsidSect="000E251E">
      <w:headerReference w:type="default" r:id="rId11"/>
      <w:headerReference w:type="first" r:id="rId12"/>
      <w:endnotePr>
        <w:numFmt w:val="decimal"/>
      </w:endnotePr>
      <w:pgSz w:w="12240" w:h="15840"/>
      <w:pgMar w:top="1440" w:right="1440" w:bottom="1440" w:left="1440" w:header="1296" w:footer="1138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38D9A" w14:textId="77777777" w:rsidR="00E66333" w:rsidRDefault="00E66333">
      <w:r>
        <w:separator/>
      </w:r>
    </w:p>
  </w:endnote>
  <w:endnote w:type="continuationSeparator" w:id="0">
    <w:p w14:paraId="6DF20C57" w14:textId="77777777" w:rsidR="00E66333" w:rsidRDefault="00E6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819A3" w14:textId="77777777" w:rsidR="00E66333" w:rsidRDefault="00E66333">
      <w:r>
        <w:separator/>
      </w:r>
    </w:p>
  </w:footnote>
  <w:footnote w:type="continuationSeparator" w:id="0">
    <w:p w14:paraId="1F676678" w14:textId="77777777" w:rsidR="00E66333" w:rsidRDefault="00E66333">
      <w:r>
        <w:continuationSeparator/>
      </w:r>
    </w:p>
  </w:footnote>
  <w:footnote w:id="1">
    <w:p w14:paraId="3DEE1759" w14:textId="3D7AEF13" w:rsidR="00212803" w:rsidRPr="00960B6E" w:rsidRDefault="00212803">
      <w:pPr>
        <w:pStyle w:val="FootnoteText"/>
        <w:rPr>
          <w:rFonts w:ascii="Times New Roman" w:hAnsi="Times New Roman"/>
        </w:rPr>
      </w:pPr>
      <w:r w:rsidRPr="00960B6E">
        <w:rPr>
          <w:rStyle w:val="FootnoteReference"/>
          <w:rFonts w:ascii="Times New Roman" w:hAnsi="Times New Roman"/>
        </w:rPr>
        <w:footnoteRef/>
      </w:r>
      <w:r w:rsidRPr="00960B6E">
        <w:rPr>
          <w:rFonts w:ascii="Times New Roman" w:hAnsi="Times New Roman"/>
        </w:rPr>
        <w:t xml:space="preserve"> See TG-170189 Memo 01 and TG-170189 Order 01.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541F6" w14:textId="166AD965" w:rsidR="003E2A3C" w:rsidRPr="00802478" w:rsidRDefault="003E2A3C">
    <w:pPr>
      <w:pStyle w:val="Header"/>
      <w:rPr>
        <w:rFonts w:ascii="Times New Roman" w:hAnsi="Times New Roman"/>
        <w:szCs w:val="20"/>
      </w:rPr>
    </w:pPr>
    <w:r w:rsidRPr="00802478">
      <w:rPr>
        <w:rFonts w:ascii="Times New Roman" w:hAnsi="Times New Roman"/>
        <w:szCs w:val="20"/>
      </w:rPr>
      <w:t>Docket</w:t>
    </w:r>
    <w:r w:rsidR="00D51A87">
      <w:rPr>
        <w:rFonts w:ascii="Times New Roman" w:hAnsi="Times New Roman"/>
        <w:szCs w:val="20"/>
      </w:rPr>
      <w:t>s</w:t>
    </w:r>
    <w:r w:rsidRPr="00802478">
      <w:rPr>
        <w:rFonts w:ascii="Times New Roman" w:hAnsi="Times New Roman"/>
        <w:szCs w:val="20"/>
      </w:rPr>
      <w:t xml:space="preserve"> </w:t>
    </w:r>
    <w:r>
      <w:rPr>
        <w:rFonts w:ascii="Times New Roman" w:hAnsi="Times New Roman"/>
        <w:szCs w:val="20"/>
      </w:rPr>
      <w:t>TG</w:t>
    </w:r>
    <w:r w:rsidRPr="00802478">
      <w:rPr>
        <w:rFonts w:ascii="Times New Roman" w:hAnsi="Times New Roman"/>
        <w:szCs w:val="20"/>
      </w:rPr>
      <w:t>-</w:t>
    </w:r>
    <w:r>
      <w:rPr>
        <w:rFonts w:ascii="Times New Roman" w:hAnsi="Times New Roman"/>
        <w:szCs w:val="20"/>
      </w:rPr>
      <w:t>1</w:t>
    </w:r>
    <w:r w:rsidR="004E1652">
      <w:rPr>
        <w:rFonts w:ascii="Times New Roman" w:hAnsi="Times New Roman"/>
        <w:szCs w:val="20"/>
      </w:rPr>
      <w:t>70981 and TG-170982</w:t>
    </w:r>
  </w:p>
  <w:p w14:paraId="38F541F8" w14:textId="7492869B" w:rsidR="003E2A3C" w:rsidRPr="00802478" w:rsidRDefault="00E80D43">
    <w:pPr>
      <w:pStyle w:val="Header"/>
      <w:rPr>
        <w:rStyle w:val="PageNumber"/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>November 30</w:t>
    </w:r>
    <w:r w:rsidR="003E2A3C">
      <w:rPr>
        <w:rFonts w:ascii="Times New Roman" w:hAnsi="Times New Roman"/>
        <w:szCs w:val="20"/>
      </w:rPr>
      <w:t>, 201</w:t>
    </w:r>
    <w:r w:rsidR="00654084">
      <w:rPr>
        <w:rFonts w:ascii="Times New Roman" w:hAnsi="Times New Roman"/>
        <w:szCs w:val="20"/>
      </w:rPr>
      <w:t>7</w:t>
    </w:r>
  </w:p>
  <w:p w14:paraId="38F541F9" w14:textId="7CE66744" w:rsidR="003E2A3C" w:rsidRPr="00802478" w:rsidRDefault="00E709DE">
    <w:pPr>
      <w:pStyle w:val="Header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 xml:space="preserve">Page </w:t>
    </w:r>
    <w:r w:rsidRPr="00E709DE">
      <w:rPr>
        <w:rFonts w:ascii="Times New Roman" w:hAnsi="Times New Roman"/>
        <w:szCs w:val="20"/>
      </w:rPr>
      <w:fldChar w:fldCharType="begin"/>
    </w:r>
    <w:r w:rsidRPr="00E709DE">
      <w:rPr>
        <w:rFonts w:ascii="Times New Roman" w:hAnsi="Times New Roman"/>
        <w:szCs w:val="20"/>
      </w:rPr>
      <w:instrText xml:space="preserve"> PAGE   \* MERGEFORMAT </w:instrText>
    </w:r>
    <w:r w:rsidRPr="00E709DE">
      <w:rPr>
        <w:rFonts w:ascii="Times New Roman" w:hAnsi="Times New Roman"/>
        <w:szCs w:val="20"/>
      </w:rPr>
      <w:fldChar w:fldCharType="separate"/>
    </w:r>
    <w:r w:rsidR="0067662C">
      <w:rPr>
        <w:rFonts w:ascii="Times New Roman" w:hAnsi="Times New Roman"/>
        <w:noProof/>
        <w:szCs w:val="20"/>
      </w:rPr>
      <w:t>2</w:t>
    </w:r>
    <w:r w:rsidRPr="00E709DE">
      <w:rPr>
        <w:rFonts w:ascii="Times New Roman" w:hAnsi="Times New Roman"/>
        <w:noProof/>
        <w:szCs w:val="20"/>
      </w:rPr>
      <w:fldChar w:fldCharType="end"/>
    </w:r>
  </w:p>
  <w:p w14:paraId="38F541FA" w14:textId="77777777" w:rsidR="003E2A3C" w:rsidRDefault="003E2A3C"/>
  <w:p w14:paraId="6AE51E05" w14:textId="77777777" w:rsidR="00E709DE" w:rsidRDefault="00E709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541FB" w14:textId="77777777" w:rsidR="003E2A3C" w:rsidRPr="00CB78EB" w:rsidRDefault="003E2A3C">
    <w:pPr>
      <w:pStyle w:val="Header"/>
      <w:rPr>
        <w:rFonts w:ascii="Times New Roman" w:hAnsi="Times New Roman"/>
        <w:i/>
        <w:sz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4F56A6F"/>
    <w:multiLevelType w:val="hybridMultilevel"/>
    <w:tmpl w:val="E7647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F61"/>
    <w:multiLevelType w:val="hybridMultilevel"/>
    <w:tmpl w:val="60227E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EF7A7A"/>
    <w:multiLevelType w:val="hybridMultilevel"/>
    <w:tmpl w:val="CB74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7A1"/>
    <w:multiLevelType w:val="hybridMultilevel"/>
    <w:tmpl w:val="0406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16DD3"/>
    <w:multiLevelType w:val="hybridMultilevel"/>
    <w:tmpl w:val="0406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D0E7D"/>
    <w:multiLevelType w:val="hybridMultilevel"/>
    <w:tmpl w:val="073CE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7B69"/>
    <w:multiLevelType w:val="hybridMultilevel"/>
    <w:tmpl w:val="707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2299"/>
    <w:multiLevelType w:val="hybridMultilevel"/>
    <w:tmpl w:val="BF34BA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46569"/>
    <w:multiLevelType w:val="hybridMultilevel"/>
    <w:tmpl w:val="0406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90109"/>
    <w:multiLevelType w:val="hybridMultilevel"/>
    <w:tmpl w:val="2690D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856E6"/>
    <w:multiLevelType w:val="hybridMultilevel"/>
    <w:tmpl w:val="47B0B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551D0"/>
    <w:multiLevelType w:val="hybridMultilevel"/>
    <w:tmpl w:val="C53878AA"/>
    <w:lvl w:ilvl="0" w:tplc="6D2EDA12">
      <w:start w:val="1"/>
      <w:numFmt w:val="decimal"/>
      <w:lvlText w:val="%1"/>
      <w:lvlJc w:val="left"/>
      <w:pPr>
        <w:tabs>
          <w:tab w:val="num" w:pos="0"/>
        </w:tabs>
        <w:ind w:hanging="720"/>
      </w:pPr>
      <w:rPr>
        <w:rFonts w:ascii="Palatino Linotype" w:hAnsi="Palatino Linotype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7266B6"/>
    <w:multiLevelType w:val="hybridMultilevel"/>
    <w:tmpl w:val="0406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F4E7C"/>
    <w:multiLevelType w:val="hybridMultilevel"/>
    <w:tmpl w:val="F764815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10"/>
  </w:num>
  <w:num w:numId="7">
    <w:abstractNumId w:val="13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15"/>
  </w:num>
  <w:num w:numId="13">
    <w:abstractNumId w:val="7"/>
  </w:num>
  <w:num w:numId="14">
    <w:abstractNumId w:val="6"/>
  </w:num>
  <w:num w:numId="15">
    <w:abstractNumId w:val="16"/>
  </w:num>
  <w:num w:numId="16">
    <w:abstractNumId w:val="1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C5"/>
    <w:rsid w:val="000004DC"/>
    <w:rsid w:val="00003888"/>
    <w:rsid w:val="00004559"/>
    <w:rsid w:val="000048D4"/>
    <w:rsid w:val="00006A59"/>
    <w:rsid w:val="000135EC"/>
    <w:rsid w:val="0001373A"/>
    <w:rsid w:val="00021DA7"/>
    <w:rsid w:val="00021FE1"/>
    <w:rsid w:val="00022FCB"/>
    <w:rsid w:val="00024434"/>
    <w:rsid w:val="00045BC8"/>
    <w:rsid w:val="00046FB7"/>
    <w:rsid w:val="000474FC"/>
    <w:rsid w:val="000537D2"/>
    <w:rsid w:val="000563BB"/>
    <w:rsid w:val="00060E1B"/>
    <w:rsid w:val="000673A0"/>
    <w:rsid w:val="00074CBA"/>
    <w:rsid w:val="0007541D"/>
    <w:rsid w:val="000908B8"/>
    <w:rsid w:val="00091C00"/>
    <w:rsid w:val="00097153"/>
    <w:rsid w:val="000974C8"/>
    <w:rsid w:val="000A0810"/>
    <w:rsid w:val="000A437F"/>
    <w:rsid w:val="000A6BDC"/>
    <w:rsid w:val="000B428F"/>
    <w:rsid w:val="000B4782"/>
    <w:rsid w:val="000C30CA"/>
    <w:rsid w:val="000C3738"/>
    <w:rsid w:val="000D1607"/>
    <w:rsid w:val="000D19C1"/>
    <w:rsid w:val="000D1BF1"/>
    <w:rsid w:val="000D1C96"/>
    <w:rsid w:val="000D51B4"/>
    <w:rsid w:val="000D5C0E"/>
    <w:rsid w:val="000E251E"/>
    <w:rsid w:val="000E3F45"/>
    <w:rsid w:val="000E5AB6"/>
    <w:rsid w:val="000F1D91"/>
    <w:rsid w:val="000F2F99"/>
    <w:rsid w:val="000F41C9"/>
    <w:rsid w:val="0011016F"/>
    <w:rsid w:val="00113B98"/>
    <w:rsid w:val="00115F72"/>
    <w:rsid w:val="00124FDB"/>
    <w:rsid w:val="0013164B"/>
    <w:rsid w:val="001436D5"/>
    <w:rsid w:val="0014499E"/>
    <w:rsid w:val="001531A5"/>
    <w:rsid w:val="001540FE"/>
    <w:rsid w:val="00160103"/>
    <w:rsid w:val="001641ED"/>
    <w:rsid w:val="001645C6"/>
    <w:rsid w:val="001701E5"/>
    <w:rsid w:val="0017184B"/>
    <w:rsid w:val="001753C6"/>
    <w:rsid w:val="00181313"/>
    <w:rsid w:val="001827CF"/>
    <w:rsid w:val="00185486"/>
    <w:rsid w:val="001901EE"/>
    <w:rsid w:val="0019752A"/>
    <w:rsid w:val="001A3C79"/>
    <w:rsid w:val="001A78EB"/>
    <w:rsid w:val="001B221D"/>
    <w:rsid w:val="001B7BF5"/>
    <w:rsid w:val="001C059D"/>
    <w:rsid w:val="001C3DF7"/>
    <w:rsid w:val="001C4123"/>
    <w:rsid w:val="001C7B06"/>
    <w:rsid w:val="001D0136"/>
    <w:rsid w:val="001D4931"/>
    <w:rsid w:val="001D4C6A"/>
    <w:rsid w:val="001E4493"/>
    <w:rsid w:val="001E70D9"/>
    <w:rsid w:val="001E79BB"/>
    <w:rsid w:val="001F7129"/>
    <w:rsid w:val="00202B67"/>
    <w:rsid w:val="00204E23"/>
    <w:rsid w:val="002050CB"/>
    <w:rsid w:val="00206337"/>
    <w:rsid w:val="00212803"/>
    <w:rsid w:val="002139A3"/>
    <w:rsid w:val="00214DED"/>
    <w:rsid w:val="00215B3D"/>
    <w:rsid w:val="00217E6F"/>
    <w:rsid w:val="002278A4"/>
    <w:rsid w:val="002318E3"/>
    <w:rsid w:val="002343E8"/>
    <w:rsid w:val="002373EF"/>
    <w:rsid w:val="002409FC"/>
    <w:rsid w:val="00250B0C"/>
    <w:rsid w:val="00263D55"/>
    <w:rsid w:val="00272AFE"/>
    <w:rsid w:val="00272F93"/>
    <w:rsid w:val="00282BE0"/>
    <w:rsid w:val="0028426C"/>
    <w:rsid w:val="00287432"/>
    <w:rsid w:val="00291E8F"/>
    <w:rsid w:val="002A0279"/>
    <w:rsid w:val="002A06AA"/>
    <w:rsid w:val="002A0D28"/>
    <w:rsid w:val="002A652B"/>
    <w:rsid w:val="002A78A7"/>
    <w:rsid w:val="002B098F"/>
    <w:rsid w:val="002B3721"/>
    <w:rsid w:val="002B42B8"/>
    <w:rsid w:val="002C0084"/>
    <w:rsid w:val="002C1256"/>
    <w:rsid w:val="002C558A"/>
    <w:rsid w:val="002D00DA"/>
    <w:rsid w:val="002D3BE8"/>
    <w:rsid w:val="002D66B2"/>
    <w:rsid w:val="002E34AD"/>
    <w:rsid w:val="002F1EBA"/>
    <w:rsid w:val="002F4322"/>
    <w:rsid w:val="002F4D7A"/>
    <w:rsid w:val="002F529F"/>
    <w:rsid w:val="00300727"/>
    <w:rsid w:val="00302DD2"/>
    <w:rsid w:val="00310143"/>
    <w:rsid w:val="00314B94"/>
    <w:rsid w:val="0032020E"/>
    <w:rsid w:val="00321F32"/>
    <w:rsid w:val="00322159"/>
    <w:rsid w:val="00325F88"/>
    <w:rsid w:val="00326403"/>
    <w:rsid w:val="00326F84"/>
    <w:rsid w:val="003271E0"/>
    <w:rsid w:val="0032734B"/>
    <w:rsid w:val="003353A4"/>
    <w:rsid w:val="00340026"/>
    <w:rsid w:val="003477D4"/>
    <w:rsid w:val="00347BE2"/>
    <w:rsid w:val="003552FF"/>
    <w:rsid w:val="003575E8"/>
    <w:rsid w:val="00361587"/>
    <w:rsid w:val="00364765"/>
    <w:rsid w:val="00364F70"/>
    <w:rsid w:val="00367C91"/>
    <w:rsid w:val="00371BC7"/>
    <w:rsid w:val="00372218"/>
    <w:rsid w:val="0037428D"/>
    <w:rsid w:val="00374D88"/>
    <w:rsid w:val="00375049"/>
    <w:rsid w:val="00376E5A"/>
    <w:rsid w:val="00385E07"/>
    <w:rsid w:val="00390ACE"/>
    <w:rsid w:val="00393893"/>
    <w:rsid w:val="00394C39"/>
    <w:rsid w:val="003969CA"/>
    <w:rsid w:val="003A168E"/>
    <w:rsid w:val="003A349B"/>
    <w:rsid w:val="003A4C95"/>
    <w:rsid w:val="003A6523"/>
    <w:rsid w:val="003B0206"/>
    <w:rsid w:val="003B0D14"/>
    <w:rsid w:val="003B21CD"/>
    <w:rsid w:val="003C24E9"/>
    <w:rsid w:val="003D588F"/>
    <w:rsid w:val="003E2A3C"/>
    <w:rsid w:val="003F132F"/>
    <w:rsid w:val="003F27D8"/>
    <w:rsid w:val="003F4814"/>
    <w:rsid w:val="00403D08"/>
    <w:rsid w:val="00414E40"/>
    <w:rsid w:val="0043272A"/>
    <w:rsid w:val="00435828"/>
    <w:rsid w:val="00436C5C"/>
    <w:rsid w:val="004459F7"/>
    <w:rsid w:val="00445BC8"/>
    <w:rsid w:val="00455296"/>
    <w:rsid w:val="00460214"/>
    <w:rsid w:val="00472A1A"/>
    <w:rsid w:val="004935EB"/>
    <w:rsid w:val="00493F7C"/>
    <w:rsid w:val="004A3FA0"/>
    <w:rsid w:val="004A558D"/>
    <w:rsid w:val="004B2434"/>
    <w:rsid w:val="004B7348"/>
    <w:rsid w:val="004B73D0"/>
    <w:rsid w:val="004B7688"/>
    <w:rsid w:val="004C073B"/>
    <w:rsid w:val="004C2581"/>
    <w:rsid w:val="004C57EB"/>
    <w:rsid w:val="004C5EFE"/>
    <w:rsid w:val="004C64BF"/>
    <w:rsid w:val="004C6E77"/>
    <w:rsid w:val="004E1652"/>
    <w:rsid w:val="004E1C7A"/>
    <w:rsid w:val="004E2D6A"/>
    <w:rsid w:val="004E45C4"/>
    <w:rsid w:val="004E7DE9"/>
    <w:rsid w:val="004F106E"/>
    <w:rsid w:val="004F4E19"/>
    <w:rsid w:val="004F64B4"/>
    <w:rsid w:val="00500919"/>
    <w:rsid w:val="0050601F"/>
    <w:rsid w:val="00507CFC"/>
    <w:rsid w:val="005159AC"/>
    <w:rsid w:val="005205CA"/>
    <w:rsid w:val="0052333B"/>
    <w:rsid w:val="00526344"/>
    <w:rsid w:val="00527204"/>
    <w:rsid w:val="005349C1"/>
    <w:rsid w:val="00535EBD"/>
    <w:rsid w:val="0054131D"/>
    <w:rsid w:val="0054232F"/>
    <w:rsid w:val="005428D1"/>
    <w:rsid w:val="00542DDB"/>
    <w:rsid w:val="00542E1E"/>
    <w:rsid w:val="00546834"/>
    <w:rsid w:val="00546FE9"/>
    <w:rsid w:val="0055583E"/>
    <w:rsid w:val="00560DF8"/>
    <w:rsid w:val="00565C13"/>
    <w:rsid w:val="00567453"/>
    <w:rsid w:val="00571EEF"/>
    <w:rsid w:val="00573FC9"/>
    <w:rsid w:val="00574A65"/>
    <w:rsid w:val="00575B99"/>
    <w:rsid w:val="00577B99"/>
    <w:rsid w:val="00580723"/>
    <w:rsid w:val="00586E6D"/>
    <w:rsid w:val="005916EB"/>
    <w:rsid w:val="005A3B3B"/>
    <w:rsid w:val="005A7705"/>
    <w:rsid w:val="005B304F"/>
    <w:rsid w:val="005D099F"/>
    <w:rsid w:val="005D0D25"/>
    <w:rsid w:val="005D2B5A"/>
    <w:rsid w:val="005D4E50"/>
    <w:rsid w:val="005E2C71"/>
    <w:rsid w:val="005F2F2B"/>
    <w:rsid w:val="005F3DC2"/>
    <w:rsid w:val="005F5682"/>
    <w:rsid w:val="00600078"/>
    <w:rsid w:val="00603257"/>
    <w:rsid w:val="0061419D"/>
    <w:rsid w:val="0061654D"/>
    <w:rsid w:val="006269F8"/>
    <w:rsid w:val="006311BA"/>
    <w:rsid w:val="00632023"/>
    <w:rsid w:val="00635069"/>
    <w:rsid w:val="00636A22"/>
    <w:rsid w:val="006401F6"/>
    <w:rsid w:val="006428AC"/>
    <w:rsid w:val="006428F4"/>
    <w:rsid w:val="00646EC5"/>
    <w:rsid w:val="00650498"/>
    <w:rsid w:val="00654084"/>
    <w:rsid w:val="00662FA0"/>
    <w:rsid w:val="00663143"/>
    <w:rsid w:val="00665ABC"/>
    <w:rsid w:val="00667709"/>
    <w:rsid w:val="00673083"/>
    <w:rsid w:val="0067409A"/>
    <w:rsid w:val="00675AFC"/>
    <w:rsid w:val="0067662C"/>
    <w:rsid w:val="0068275C"/>
    <w:rsid w:val="00686F79"/>
    <w:rsid w:val="00691922"/>
    <w:rsid w:val="00692195"/>
    <w:rsid w:val="00695CDC"/>
    <w:rsid w:val="006A0AEA"/>
    <w:rsid w:val="006A3CBC"/>
    <w:rsid w:val="006A5BE3"/>
    <w:rsid w:val="006A639B"/>
    <w:rsid w:val="006B4007"/>
    <w:rsid w:val="006B5E9C"/>
    <w:rsid w:val="006B6780"/>
    <w:rsid w:val="006B6818"/>
    <w:rsid w:val="006C176A"/>
    <w:rsid w:val="006C69C7"/>
    <w:rsid w:val="006C75A5"/>
    <w:rsid w:val="006D2CDD"/>
    <w:rsid w:val="006D3E9F"/>
    <w:rsid w:val="006D5837"/>
    <w:rsid w:val="006D587A"/>
    <w:rsid w:val="006E3E63"/>
    <w:rsid w:val="006F1E40"/>
    <w:rsid w:val="006F500E"/>
    <w:rsid w:val="006F61DF"/>
    <w:rsid w:val="00702994"/>
    <w:rsid w:val="00702C15"/>
    <w:rsid w:val="007063BD"/>
    <w:rsid w:val="0071138F"/>
    <w:rsid w:val="0071140B"/>
    <w:rsid w:val="007140FD"/>
    <w:rsid w:val="00715351"/>
    <w:rsid w:val="007161CB"/>
    <w:rsid w:val="0071626D"/>
    <w:rsid w:val="00716A49"/>
    <w:rsid w:val="00722CA8"/>
    <w:rsid w:val="007279E1"/>
    <w:rsid w:val="00732FAE"/>
    <w:rsid w:val="00737094"/>
    <w:rsid w:val="0073773F"/>
    <w:rsid w:val="00740796"/>
    <w:rsid w:val="00740DAB"/>
    <w:rsid w:val="00743565"/>
    <w:rsid w:val="007469D0"/>
    <w:rsid w:val="00750BFC"/>
    <w:rsid w:val="00752D6D"/>
    <w:rsid w:val="007539A8"/>
    <w:rsid w:val="00755FEA"/>
    <w:rsid w:val="00757044"/>
    <w:rsid w:val="0075795D"/>
    <w:rsid w:val="007601AB"/>
    <w:rsid w:val="00762647"/>
    <w:rsid w:val="00765931"/>
    <w:rsid w:val="007759B5"/>
    <w:rsid w:val="0077612D"/>
    <w:rsid w:val="00777551"/>
    <w:rsid w:val="00780317"/>
    <w:rsid w:val="00787298"/>
    <w:rsid w:val="00791057"/>
    <w:rsid w:val="00791203"/>
    <w:rsid w:val="00791CA3"/>
    <w:rsid w:val="007936C2"/>
    <w:rsid w:val="0079547D"/>
    <w:rsid w:val="00797439"/>
    <w:rsid w:val="007A0672"/>
    <w:rsid w:val="007A6074"/>
    <w:rsid w:val="007A7BEB"/>
    <w:rsid w:val="007B52EF"/>
    <w:rsid w:val="007C214F"/>
    <w:rsid w:val="007C3240"/>
    <w:rsid w:val="007D7B88"/>
    <w:rsid w:val="007E29CA"/>
    <w:rsid w:val="007E340F"/>
    <w:rsid w:val="007E5BE0"/>
    <w:rsid w:val="007E5EE6"/>
    <w:rsid w:val="007F4386"/>
    <w:rsid w:val="00801559"/>
    <w:rsid w:val="00802478"/>
    <w:rsid w:val="0080746A"/>
    <w:rsid w:val="00810AF0"/>
    <w:rsid w:val="0081415A"/>
    <w:rsid w:val="0081519D"/>
    <w:rsid w:val="00816379"/>
    <w:rsid w:val="0081766A"/>
    <w:rsid w:val="008176B5"/>
    <w:rsid w:val="00823E79"/>
    <w:rsid w:val="0082543E"/>
    <w:rsid w:val="00827F6B"/>
    <w:rsid w:val="008302F3"/>
    <w:rsid w:val="00831FAF"/>
    <w:rsid w:val="0083310A"/>
    <w:rsid w:val="00844EE8"/>
    <w:rsid w:val="008459EC"/>
    <w:rsid w:val="00846D9A"/>
    <w:rsid w:val="00853F5D"/>
    <w:rsid w:val="008542DF"/>
    <w:rsid w:val="0085620F"/>
    <w:rsid w:val="00862F33"/>
    <w:rsid w:val="0086557B"/>
    <w:rsid w:val="00865F87"/>
    <w:rsid w:val="00874CF5"/>
    <w:rsid w:val="00881303"/>
    <w:rsid w:val="008826E6"/>
    <w:rsid w:val="00891DCB"/>
    <w:rsid w:val="008944BF"/>
    <w:rsid w:val="00895931"/>
    <w:rsid w:val="008B15EB"/>
    <w:rsid w:val="008B5393"/>
    <w:rsid w:val="008B57EA"/>
    <w:rsid w:val="008B633F"/>
    <w:rsid w:val="008B68B2"/>
    <w:rsid w:val="008C2195"/>
    <w:rsid w:val="008C485A"/>
    <w:rsid w:val="008C4BE0"/>
    <w:rsid w:val="008D085C"/>
    <w:rsid w:val="008D103D"/>
    <w:rsid w:val="008D21E0"/>
    <w:rsid w:val="008E0C61"/>
    <w:rsid w:val="008E12EE"/>
    <w:rsid w:val="008E296E"/>
    <w:rsid w:val="008E39C7"/>
    <w:rsid w:val="008E6649"/>
    <w:rsid w:val="008E78F7"/>
    <w:rsid w:val="008F797E"/>
    <w:rsid w:val="009018C1"/>
    <w:rsid w:val="00901D1F"/>
    <w:rsid w:val="00902C6E"/>
    <w:rsid w:val="009044EE"/>
    <w:rsid w:val="00910255"/>
    <w:rsid w:val="009145B8"/>
    <w:rsid w:val="0092040A"/>
    <w:rsid w:val="00920A70"/>
    <w:rsid w:val="00920B04"/>
    <w:rsid w:val="009252D4"/>
    <w:rsid w:val="00930B18"/>
    <w:rsid w:val="00943F59"/>
    <w:rsid w:val="00944349"/>
    <w:rsid w:val="00944B75"/>
    <w:rsid w:val="009469E9"/>
    <w:rsid w:val="00946CEF"/>
    <w:rsid w:val="009503C2"/>
    <w:rsid w:val="0095172F"/>
    <w:rsid w:val="009519E8"/>
    <w:rsid w:val="009547EC"/>
    <w:rsid w:val="009556BD"/>
    <w:rsid w:val="0095717E"/>
    <w:rsid w:val="00960B6E"/>
    <w:rsid w:val="0096222D"/>
    <w:rsid w:val="00970485"/>
    <w:rsid w:val="0097294E"/>
    <w:rsid w:val="0097631F"/>
    <w:rsid w:val="00977875"/>
    <w:rsid w:val="009807AC"/>
    <w:rsid w:val="00981595"/>
    <w:rsid w:val="009872B8"/>
    <w:rsid w:val="00992CA6"/>
    <w:rsid w:val="009A1334"/>
    <w:rsid w:val="009A198F"/>
    <w:rsid w:val="009A7B1F"/>
    <w:rsid w:val="009B0351"/>
    <w:rsid w:val="009C19C0"/>
    <w:rsid w:val="009C2511"/>
    <w:rsid w:val="009D3623"/>
    <w:rsid w:val="009D5FE8"/>
    <w:rsid w:val="009D706C"/>
    <w:rsid w:val="009F3E52"/>
    <w:rsid w:val="009F5741"/>
    <w:rsid w:val="009F61FD"/>
    <w:rsid w:val="009F64C7"/>
    <w:rsid w:val="00A00353"/>
    <w:rsid w:val="00A01C9C"/>
    <w:rsid w:val="00A103D5"/>
    <w:rsid w:val="00A12C60"/>
    <w:rsid w:val="00A137D0"/>
    <w:rsid w:val="00A143F3"/>
    <w:rsid w:val="00A14EF0"/>
    <w:rsid w:val="00A15253"/>
    <w:rsid w:val="00A15435"/>
    <w:rsid w:val="00A268DA"/>
    <w:rsid w:val="00A30BBD"/>
    <w:rsid w:val="00A33256"/>
    <w:rsid w:val="00A34C6C"/>
    <w:rsid w:val="00A4063C"/>
    <w:rsid w:val="00A43203"/>
    <w:rsid w:val="00A443CA"/>
    <w:rsid w:val="00A4747B"/>
    <w:rsid w:val="00A56267"/>
    <w:rsid w:val="00A61CF8"/>
    <w:rsid w:val="00A61FED"/>
    <w:rsid w:val="00A6353A"/>
    <w:rsid w:val="00A70D62"/>
    <w:rsid w:val="00A72C98"/>
    <w:rsid w:val="00A73011"/>
    <w:rsid w:val="00A732D0"/>
    <w:rsid w:val="00A73925"/>
    <w:rsid w:val="00A818F9"/>
    <w:rsid w:val="00A82A2E"/>
    <w:rsid w:val="00A87454"/>
    <w:rsid w:val="00A9729C"/>
    <w:rsid w:val="00AB3792"/>
    <w:rsid w:val="00AB4058"/>
    <w:rsid w:val="00AB652A"/>
    <w:rsid w:val="00AC30CE"/>
    <w:rsid w:val="00AC4B63"/>
    <w:rsid w:val="00AC6540"/>
    <w:rsid w:val="00AC6ED8"/>
    <w:rsid w:val="00AD3296"/>
    <w:rsid w:val="00AD4A08"/>
    <w:rsid w:val="00AE189A"/>
    <w:rsid w:val="00AE1A92"/>
    <w:rsid w:val="00AE46E8"/>
    <w:rsid w:val="00AE60CE"/>
    <w:rsid w:val="00AF22BF"/>
    <w:rsid w:val="00AF3A1F"/>
    <w:rsid w:val="00B03842"/>
    <w:rsid w:val="00B04320"/>
    <w:rsid w:val="00B07FDC"/>
    <w:rsid w:val="00B10100"/>
    <w:rsid w:val="00B10706"/>
    <w:rsid w:val="00B10DE9"/>
    <w:rsid w:val="00B11862"/>
    <w:rsid w:val="00B168B8"/>
    <w:rsid w:val="00B17BBA"/>
    <w:rsid w:val="00B22204"/>
    <w:rsid w:val="00B2536D"/>
    <w:rsid w:val="00B268C2"/>
    <w:rsid w:val="00B2691F"/>
    <w:rsid w:val="00B316D9"/>
    <w:rsid w:val="00B32579"/>
    <w:rsid w:val="00B42ABB"/>
    <w:rsid w:val="00B439C2"/>
    <w:rsid w:val="00B47382"/>
    <w:rsid w:val="00B47B7B"/>
    <w:rsid w:val="00B52FE4"/>
    <w:rsid w:val="00B53F9F"/>
    <w:rsid w:val="00B57E4F"/>
    <w:rsid w:val="00B610C5"/>
    <w:rsid w:val="00B724BF"/>
    <w:rsid w:val="00B73A3F"/>
    <w:rsid w:val="00B846F2"/>
    <w:rsid w:val="00B941AE"/>
    <w:rsid w:val="00B94BD4"/>
    <w:rsid w:val="00B9546A"/>
    <w:rsid w:val="00BA1979"/>
    <w:rsid w:val="00BA36E1"/>
    <w:rsid w:val="00BA4F13"/>
    <w:rsid w:val="00BA53F9"/>
    <w:rsid w:val="00BA7BF3"/>
    <w:rsid w:val="00BB1126"/>
    <w:rsid w:val="00BB3EEC"/>
    <w:rsid w:val="00BC0862"/>
    <w:rsid w:val="00BC16FE"/>
    <w:rsid w:val="00BC21EC"/>
    <w:rsid w:val="00BC4FE2"/>
    <w:rsid w:val="00BC592C"/>
    <w:rsid w:val="00BD2F88"/>
    <w:rsid w:val="00BD5624"/>
    <w:rsid w:val="00BD580B"/>
    <w:rsid w:val="00BD7961"/>
    <w:rsid w:val="00BE410F"/>
    <w:rsid w:val="00BE603B"/>
    <w:rsid w:val="00BF471F"/>
    <w:rsid w:val="00BF5F2B"/>
    <w:rsid w:val="00C00A74"/>
    <w:rsid w:val="00C04189"/>
    <w:rsid w:val="00C0697E"/>
    <w:rsid w:val="00C10942"/>
    <w:rsid w:val="00C154BA"/>
    <w:rsid w:val="00C230A4"/>
    <w:rsid w:val="00C24FBE"/>
    <w:rsid w:val="00C34632"/>
    <w:rsid w:val="00C352BE"/>
    <w:rsid w:val="00C41741"/>
    <w:rsid w:val="00C513A9"/>
    <w:rsid w:val="00C575CD"/>
    <w:rsid w:val="00C601A3"/>
    <w:rsid w:val="00C612B2"/>
    <w:rsid w:val="00C700DB"/>
    <w:rsid w:val="00C70B1D"/>
    <w:rsid w:val="00C76271"/>
    <w:rsid w:val="00C76BFD"/>
    <w:rsid w:val="00C77C95"/>
    <w:rsid w:val="00C8059D"/>
    <w:rsid w:val="00C81580"/>
    <w:rsid w:val="00C84155"/>
    <w:rsid w:val="00C84353"/>
    <w:rsid w:val="00C84D2B"/>
    <w:rsid w:val="00C95C6D"/>
    <w:rsid w:val="00C95F86"/>
    <w:rsid w:val="00C978E4"/>
    <w:rsid w:val="00C97E2E"/>
    <w:rsid w:val="00CA066F"/>
    <w:rsid w:val="00CA4813"/>
    <w:rsid w:val="00CA6D2A"/>
    <w:rsid w:val="00CA73F4"/>
    <w:rsid w:val="00CB504C"/>
    <w:rsid w:val="00CB78EB"/>
    <w:rsid w:val="00CC18DF"/>
    <w:rsid w:val="00CC2FDB"/>
    <w:rsid w:val="00CC4A9A"/>
    <w:rsid w:val="00CC4E56"/>
    <w:rsid w:val="00CC6CD3"/>
    <w:rsid w:val="00CD25D0"/>
    <w:rsid w:val="00CD3002"/>
    <w:rsid w:val="00CD3094"/>
    <w:rsid w:val="00CD65AC"/>
    <w:rsid w:val="00CE1342"/>
    <w:rsid w:val="00CE3AED"/>
    <w:rsid w:val="00CE69F7"/>
    <w:rsid w:val="00CF136D"/>
    <w:rsid w:val="00CF345F"/>
    <w:rsid w:val="00CF4107"/>
    <w:rsid w:val="00CF5617"/>
    <w:rsid w:val="00CF5BB9"/>
    <w:rsid w:val="00CF6D22"/>
    <w:rsid w:val="00D10E93"/>
    <w:rsid w:val="00D113A2"/>
    <w:rsid w:val="00D13026"/>
    <w:rsid w:val="00D22373"/>
    <w:rsid w:val="00D240D5"/>
    <w:rsid w:val="00D24C18"/>
    <w:rsid w:val="00D271F7"/>
    <w:rsid w:val="00D27731"/>
    <w:rsid w:val="00D3292C"/>
    <w:rsid w:val="00D356BF"/>
    <w:rsid w:val="00D378FE"/>
    <w:rsid w:val="00D451A7"/>
    <w:rsid w:val="00D474B7"/>
    <w:rsid w:val="00D47965"/>
    <w:rsid w:val="00D51A87"/>
    <w:rsid w:val="00D57587"/>
    <w:rsid w:val="00D70683"/>
    <w:rsid w:val="00D7366F"/>
    <w:rsid w:val="00D74DB6"/>
    <w:rsid w:val="00D858AF"/>
    <w:rsid w:val="00D91931"/>
    <w:rsid w:val="00D97092"/>
    <w:rsid w:val="00DA0E52"/>
    <w:rsid w:val="00DA10D0"/>
    <w:rsid w:val="00DA4999"/>
    <w:rsid w:val="00DB2A4A"/>
    <w:rsid w:val="00DB71D9"/>
    <w:rsid w:val="00DC2D32"/>
    <w:rsid w:val="00DC58EC"/>
    <w:rsid w:val="00DC7AC3"/>
    <w:rsid w:val="00DD0F52"/>
    <w:rsid w:val="00DD2FFF"/>
    <w:rsid w:val="00DD6F4C"/>
    <w:rsid w:val="00DE3620"/>
    <w:rsid w:val="00DE3E98"/>
    <w:rsid w:val="00DE5575"/>
    <w:rsid w:val="00E03419"/>
    <w:rsid w:val="00E03474"/>
    <w:rsid w:val="00E0589D"/>
    <w:rsid w:val="00E06933"/>
    <w:rsid w:val="00E07FA8"/>
    <w:rsid w:val="00E1626A"/>
    <w:rsid w:val="00E2069D"/>
    <w:rsid w:val="00E27D41"/>
    <w:rsid w:val="00E349E2"/>
    <w:rsid w:val="00E41A0D"/>
    <w:rsid w:val="00E4248A"/>
    <w:rsid w:val="00E43699"/>
    <w:rsid w:val="00E438A6"/>
    <w:rsid w:val="00E453B0"/>
    <w:rsid w:val="00E46699"/>
    <w:rsid w:val="00E51FF4"/>
    <w:rsid w:val="00E52FC7"/>
    <w:rsid w:val="00E5437B"/>
    <w:rsid w:val="00E55B81"/>
    <w:rsid w:val="00E56A9A"/>
    <w:rsid w:val="00E640D1"/>
    <w:rsid w:val="00E66333"/>
    <w:rsid w:val="00E709DE"/>
    <w:rsid w:val="00E76BD3"/>
    <w:rsid w:val="00E7793C"/>
    <w:rsid w:val="00E80D43"/>
    <w:rsid w:val="00E84969"/>
    <w:rsid w:val="00E85DC8"/>
    <w:rsid w:val="00E87FAA"/>
    <w:rsid w:val="00E92E89"/>
    <w:rsid w:val="00E94B8A"/>
    <w:rsid w:val="00E94DFB"/>
    <w:rsid w:val="00E96129"/>
    <w:rsid w:val="00E9757B"/>
    <w:rsid w:val="00EA07D0"/>
    <w:rsid w:val="00EA1853"/>
    <w:rsid w:val="00EA24E0"/>
    <w:rsid w:val="00EA4700"/>
    <w:rsid w:val="00EB1ADE"/>
    <w:rsid w:val="00EB3E68"/>
    <w:rsid w:val="00EC0124"/>
    <w:rsid w:val="00EC110E"/>
    <w:rsid w:val="00EC1CDB"/>
    <w:rsid w:val="00EC2883"/>
    <w:rsid w:val="00EC3B37"/>
    <w:rsid w:val="00EC3F5E"/>
    <w:rsid w:val="00EC4168"/>
    <w:rsid w:val="00EC67EF"/>
    <w:rsid w:val="00ED0904"/>
    <w:rsid w:val="00ED2AE7"/>
    <w:rsid w:val="00ED3A17"/>
    <w:rsid w:val="00ED697A"/>
    <w:rsid w:val="00EE6817"/>
    <w:rsid w:val="00EE7082"/>
    <w:rsid w:val="00EF0992"/>
    <w:rsid w:val="00EF16F3"/>
    <w:rsid w:val="00EF3A8E"/>
    <w:rsid w:val="00EF5014"/>
    <w:rsid w:val="00EF5724"/>
    <w:rsid w:val="00EF5E03"/>
    <w:rsid w:val="00EF65E2"/>
    <w:rsid w:val="00EF6799"/>
    <w:rsid w:val="00EF7B70"/>
    <w:rsid w:val="00F0539A"/>
    <w:rsid w:val="00F1274E"/>
    <w:rsid w:val="00F22D59"/>
    <w:rsid w:val="00F265E8"/>
    <w:rsid w:val="00F27572"/>
    <w:rsid w:val="00F3212F"/>
    <w:rsid w:val="00F347F9"/>
    <w:rsid w:val="00F34E03"/>
    <w:rsid w:val="00F36FAA"/>
    <w:rsid w:val="00F43B27"/>
    <w:rsid w:val="00F44ACA"/>
    <w:rsid w:val="00F468D9"/>
    <w:rsid w:val="00F55CBD"/>
    <w:rsid w:val="00F61ED8"/>
    <w:rsid w:val="00F64320"/>
    <w:rsid w:val="00F64C51"/>
    <w:rsid w:val="00F65D78"/>
    <w:rsid w:val="00F71E26"/>
    <w:rsid w:val="00F74351"/>
    <w:rsid w:val="00F775AD"/>
    <w:rsid w:val="00F9134A"/>
    <w:rsid w:val="00F941D4"/>
    <w:rsid w:val="00F9688E"/>
    <w:rsid w:val="00FA0439"/>
    <w:rsid w:val="00FA0C00"/>
    <w:rsid w:val="00FB0BDC"/>
    <w:rsid w:val="00FB13B6"/>
    <w:rsid w:val="00FB3E42"/>
    <w:rsid w:val="00FC1F5D"/>
    <w:rsid w:val="00FC22BA"/>
    <w:rsid w:val="00FC5724"/>
    <w:rsid w:val="00FC5897"/>
    <w:rsid w:val="00FD1FF7"/>
    <w:rsid w:val="00FD5CA1"/>
    <w:rsid w:val="00FD6D65"/>
    <w:rsid w:val="00FE122A"/>
    <w:rsid w:val="00FE5AD7"/>
    <w:rsid w:val="00FE5CDD"/>
    <w:rsid w:val="00FF1AE4"/>
    <w:rsid w:val="00FF2FC0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8F54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27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link w:val="Heading1Char"/>
    <w:qFormat/>
    <w:rsid w:val="00F43B27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5" w:lineRule="auto"/>
      <w:ind w:left="2160" w:hanging="216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F43B27"/>
    <w:pPr>
      <w:keepNext/>
      <w:tabs>
        <w:tab w:val="left" w:pos="510"/>
        <w:tab w:val="left" w:pos="2250"/>
        <w:tab w:val="left" w:pos="4410"/>
        <w:tab w:val="right" w:pos="5040"/>
        <w:tab w:val="left" w:pos="6030"/>
        <w:tab w:val="left" w:pos="6120"/>
        <w:tab w:val="right" w:pos="6750"/>
        <w:tab w:val="left" w:pos="7170"/>
        <w:tab w:val="right" w:pos="8070"/>
        <w:tab w:val="left" w:pos="8640"/>
        <w:tab w:val="left" w:pos="9360"/>
      </w:tabs>
      <w:spacing w:line="218" w:lineRule="auto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43B2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18" w:lineRule="auto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3310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83310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3310A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semiHidden/>
    <w:rsid w:val="00F43B27"/>
    <w:rPr>
      <w:rFonts w:cs="Times New Roman"/>
    </w:rPr>
  </w:style>
  <w:style w:type="paragraph" w:styleId="Header">
    <w:name w:val="header"/>
    <w:basedOn w:val="Normal"/>
    <w:link w:val="HeaderChar"/>
    <w:rsid w:val="00F43B2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3310A"/>
    <w:rPr>
      <w:rFonts w:ascii="Courier New" w:hAnsi="Courier New" w:cs="Times New Roman"/>
      <w:sz w:val="24"/>
      <w:szCs w:val="24"/>
    </w:rPr>
  </w:style>
  <w:style w:type="paragraph" w:styleId="Footer">
    <w:name w:val="footer"/>
    <w:basedOn w:val="Normal"/>
    <w:link w:val="FooterChar"/>
    <w:rsid w:val="00F43B2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3310A"/>
    <w:rPr>
      <w:rFonts w:ascii="Courier New" w:hAnsi="Courier New" w:cs="Times New Roman"/>
      <w:sz w:val="24"/>
      <w:szCs w:val="24"/>
    </w:rPr>
  </w:style>
  <w:style w:type="character" w:styleId="PageNumber">
    <w:name w:val="page number"/>
    <w:rsid w:val="00F43B2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C0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3310A"/>
    <w:rPr>
      <w:rFonts w:cs="Times New Roman"/>
      <w:sz w:val="2"/>
    </w:rPr>
  </w:style>
  <w:style w:type="paragraph" w:styleId="BodyText">
    <w:name w:val="Body Text"/>
    <w:basedOn w:val="Normal"/>
    <w:link w:val="BodyTextChar"/>
    <w:rsid w:val="00702994"/>
    <w:rPr>
      <w:rFonts w:ascii="Courier" w:hAnsi="Courier"/>
      <w:sz w:val="24"/>
    </w:rPr>
  </w:style>
  <w:style w:type="character" w:customStyle="1" w:styleId="BodyTextChar">
    <w:name w:val="Body Text Char"/>
    <w:link w:val="BodyText"/>
    <w:semiHidden/>
    <w:locked/>
    <w:rsid w:val="0083310A"/>
    <w:rPr>
      <w:rFonts w:ascii="Courier New" w:hAnsi="Courier New" w:cs="Times New Roman"/>
      <w:sz w:val="24"/>
      <w:szCs w:val="24"/>
    </w:rPr>
  </w:style>
  <w:style w:type="table" w:styleId="TableGrid">
    <w:name w:val="Table Grid"/>
    <w:basedOn w:val="TableNormal"/>
    <w:rsid w:val="007029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76E5A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unhideWhenUsed/>
    <w:rsid w:val="00E543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37B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C60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01A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601A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C60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01A3"/>
    <w:rPr>
      <w:rFonts w:ascii="Courier New" w:hAnsi="Courier New"/>
      <w:b/>
      <w:bCs/>
    </w:rPr>
  </w:style>
  <w:style w:type="paragraph" w:customStyle="1" w:styleId="Default">
    <w:name w:val="Default"/>
    <w:rsid w:val="00C95C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8E664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664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2017-09-15T07:00:00+00:00</OpenedDate>
    <Date1 xmlns="dc463f71-b30c-4ab2-9473-d307f9d35888">2017-11-30T08:00:00+00:00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170981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822F8D1132A94CA849FB0BBD56B271" ma:contentTypeVersion="104" ma:contentTypeDescription="" ma:contentTypeScope="" ma:versionID="747971dca8135900bc5b820b252072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8884DE4-6AE5-47F4-B0CF-C53DACF2249B}">
  <ds:schemaRefs>
    <ds:schemaRef ds:uri="http://purl.org/dc/elements/1.1/"/>
    <ds:schemaRef ds:uri="http://purl.org/dc/terms/"/>
    <ds:schemaRef ds:uri="6514CEEA-80B1-46DE-99A7-B3761B5F4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1276d0-61bc-4dad-b75c-21dfd12630a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C7163A-6247-4747-B767-9F1823DE2A34}"/>
</file>

<file path=customXml/itemProps3.xml><?xml version="1.0" encoding="utf-8"?>
<ds:datastoreItem xmlns:ds="http://schemas.openxmlformats.org/officeDocument/2006/customXml" ds:itemID="{F3632F4E-A556-4FDD-84A7-CBC33ED81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9DB26-A639-4251-B06F-94673784E5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BBF461-003D-4F7A-8012-84F884F09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2017-11-27T22:28:00Z</dcterms:created>
  <dcterms:modified xsi:type="dcterms:W3CDTF">2017-11-27T22:28:00Z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0x0101006E56B4D1795A2E4DB2F0B01679ED314A00B4822F8D1132A94CA849FB0BBD56B271</vt:lpwstr>
  </property>
  <property fmtid="{D5CDD505-2E9C-101B-9397-08002B2CF9AE}" pid="3" name="ItemID">
    <vt:lpwstr>B01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