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F1A" w:rsidRPr="00097F1A" w:rsidRDefault="00097F1A" w:rsidP="00097F1A">
      <w:pPr>
        <w:spacing w:after="0"/>
        <w:jc w:val="center"/>
        <w:rPr>
          <w:rFonts w:ascii="Times New Roman" w:hAnsi="Times New Roman" w:cs="Times New Roman"/>
          <w:i/>
          <w:sz w:val="24"/>
          <w:szCs w:val="24"/>
        </w:rPr>
      </w:pPr>
      <w:r w:rsidRPr="00097F1A">
        <w:rPr>
          <w:rFonts w:ascii="Times New Roman" w:hAnsi="Times New Roman" w:cs="Times New Roman"/>
          <w:i/>
          <w:sz w:val="27"/>
          <w:szCs w:val="27"/>
        </w:rPr>
        <w:t>Annual Energy and Emissions Intensity Metrics Report</w:t>
      </w:r>
      <w:r w:rsidRPr="00097F1A">
        <w:rPr>
          <w:rFonts w:ascii="Times New Roman" w:hAnsi="Times New Roman" w:cs="Times New Roman"/>
          <w:i/>
          <w:sz w:val="27"/>
          <w:szCs w:val="27"/>
        </w:rPr>
        <w:br/>
      </w:r>
      <w:r w:rsidRPr="00097F1A">
        <w:rPr>
          <w:rFonts w:ascii="Times New Roman" w:hAnsi="Times New Roman" w:cs="Times New Roman"/>
          <w:i/>
          <w:sz w:val="24"/>
          <w:szCs w:val="24"/>
        </w:rPr>
        <w:t>Pursuant to WAC 480-109-300</w:t>
      </w:r>
    </w:p>
    <w:p w:rsidR="00097F1A" w:rsidRPr="00097F1A" w:rsidRDefault="003F45EA" w:rsidP="00097F1A">
      <w:pPr>
        <w:spacing w:after="120"/>
        <w:jc w:val="center"/>
        <w:rPr>
          <w:rFonts w:ascii="Times New Roman" w:hAnsi="Times New Roman" w:cs="Times New Roman"/>
          <w:i/>
          <w:sz w:val="24"/>
          <w:szCs w:val="24"/>
        </w:rPr>
      </w:pPr>
      <w:bookmarkStart w:id="0" w:name="_GoBack"/>
      <w:bookmarkEnd w:id="0"/>
      <w:r>
        <w:rPr>
          <w:rFonts w:ascii="Times New Roman" w:hAnsi="Times New Roman" w:cs="Times New Roman"/>
          <w:i/>
          <w:sz w:val="24"/>
          <w:szCs w:val="24"/>
        </w:rPr>
        <w:t>Revised December 23, 2016</w:t>
      </w:r>
    </w:p>
    <w:p w:rsidR="00097F1A" w:rsidRDefault="00097F1A">
      <w:pPr>
        <w:rPr>
          <w:rFonts w:ascii="Times New Roman" w:hAnsi="Times New Roman" w:cs="Times New Roman"/>
          <w:b/>
          <w:sz w:val="27"/>
          <w:szCs w:val="27"/>
        </w:rPr>
      </w:pPr>
    </w:p>
    <w:p w:rsidR="00097F1A" w:rsidRDefault="00097F1A">
      <w:pPr>
        <w:rPr>
          <w:rFonts w:ascii="Times New Roman" w:hAnsi="Times New Roman" w:cs="Times New Roman"/>
          <w:b/>
          <w:sz w:val="32"/>
          <w:szCs w:val="27"/>
          <w:u w:val="single"/>
        </w:rPr>
      </w:pPr>
    </w:p>
    <w:p w:rsidR="00097F1A" w:rsidRPr="00097F1A" w:rsidRDefault="00097F1A">
      <w:pPr>
        <w:rPr>
          <w:rFonts w:ascii="Times New Roman" w:hAnsi="Times New Roman" w:cs="Times New Roman"/>
          <w:b/>
          <w:sz w:val="32"/>
          <w:szCs w:val="27"/>
          <w:u w:val="single"/>
        </w:rPr>
      </w:pPr>
      <w:r w:rsidRPr="00097F1A">
        <w:rPr>
          <w:rFonts w:ascii="Times New Roman" w:hAnsi="Times New Roman" w:cs="Times New Roman"/>
          <w:b/>
          <w:sz w:val="32"/>
          <w:szCs w:val="27"/>
          <w:u w:val="single"/>
        </w:rPr>
        <w:t xml:space="preserve">Table of Contents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1 – Executive Summary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2 – Metrics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3 – Trends &amp; Analysis </w:t>
      </w:r>
    </w:p>
    <w:p w:rsidR="00097F1A" w:rsidRDefault="00097F1A">
      <w:pPr>
        <w:rPr>
          <w:rFonts w:ascii="Times New Roman" w:hAnsi="Times New Roman" w:cs="Times New Roman"/>
          <w:b/>
          <w:sz w:val="32"/>
          <w:szCs w:val="27"/>
        </w:rPr>
      </w:pPr>
    </w:p>
    <w:p w:rsidR="00097F1A" w:rsidRDefault="00097F1A">
      <w:pPr>
        <w:rPr>
          <w:rFonts w:ascii="Times New Roman" w:hAnsi="Times New Roman" w:cs="Times New Roman"/>
          <w:b/>
          <w:sz w:val="32"/>
          <w:szCs w:val="27"/>
        </w:rPr>
      </w:pPr>
      <w:r>
        <w:rPr>
          <w:rFonts w:ascii="Times New Roman" w:hAnsi="Times New Roman" w:cs="Times New Roman"/>
          <w:b/>
          <w:sz w:val="32"/>
          <w:szCs w:val="27"/>
        </w:rPr>
        <w:t xml:space="preserve">Section 4 – Appendices </w:t>
      </w:r>
    </w:p>
    <w:p w:rsidR="00097F1A" w:rsidRDefault="00097F1A">
      <w:pPr>
        <w:rPr>
          <w:rFonts w:ascii="Times New Roman" w:hAnsi="Times New Roman" w:cs="Times New Roman"/>
          <w:b/>
          <w:sz w:val="32"/>
          <w:szCs w:val="27"/>
        </w:rPr>
      </w:pPr>
    </w:p>
    <w:p w:rsidR="007D1D5A" w:rsidRDefault="00097F1A">
      <w:pPr>
        <w:rPr>
          <w:rFonts w:ascii="Times New Roman" w:hAnsi="Times New Roman" w:cs="Times New Roman"/>
          <w:b/>
          <w:sz w:val="32"/>
          <w:szCs w:val="27"/>
        </w:rPr>
      </w:pPr>
      <w:r>
        <w:rPr>
          <w:rFonts w:ascii="Times New Roman" w:hAnsi="Times New Roman" w:cs="Times New Roman"/>
          <w:b/>
          <w:sz w:val="32"/>
          <w:szCs w:val="27"/>
        </w:rPr>
        <w:t xml:space="preserve">Attachment A – Raw Data and Charts </w:t>
      </w:r>
    </w:p>
    <w:p w:rsidR="00097F1A" w:rsidRDefault="00097F1A">
      <w:pPr>
        <w:rPr>
          <w:rFonts w:ascii="Times New Roman" w:hAnsi="Times New Roman" w:cs="Times New Roman"/>
          <w:b/>
          <w:sz w:val="27"/>
          <w:szCs w:val="27"/>
        </w:rPr>
      </w:pPr>
      <w:r>
        <w:rPr>
          <w:rFonts w:ascii="Times New Roman" w:hAnsi="Times New Roman" w:cs="Times New Roman"/>
          <w:b/>
          <w:sz w:val="27"/>
          <w:szCs w:val="27"/>
        </w:rPr>
        <w:br w:type="page"/>
      </w:r>
    </w:p>
    <w:p w:rsidR="00DA2B48" w:rsidRPr="00F654A5" w:rsidRDefault="00F654A5" w:rsidP="00F654A5">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Section 1:  </w:t>
      </w:r>
      <w:r w:rsidR="00DA2B48" w:rsidRPr="00F654A5">
        <w:rPr>
          <w:rFonts w:ascii="Times New Roman" w:hAnsi="Times New Roman" w:cs="Times New Roman"/>
          <w:b/>
          <w:sz w:val="24"/>
          <w:szCs w:val="24"/>
        </w:rPr>
        <w:t>Executive Summary</w:t>
      </w:r>
    </w:p>
    <w:p w:rsidR="00097F1A" w:rsidRDefault="00097F1A" w:rsidP="0049407C">
      <w:pPr>
        <w:rPr>
          <w:rFonts w:ascii="Times New Roman" w:hAnsi="Times New Roman" w:cs="Times New Roman"/>
          <w:sz w:val="24"/>
          <w:szCs w:val="24"/>
        </w:rPr>
      </w:pPr>
    </w:p>
    <w:p w:rsidR="0049407C" w:rsidRPr="00355916" w:rsidRDefault="00331F86" w:rsidP="0049407C">
      <w:pPr>
        <w:rPr>
          <w:rFonts w:ascii="Times New Roman" w:hAnsi="Times New Roman" w:cs="Times New Roman"/>
          <w:sz w:val="24"/>
          <w:szCs w:val="24"/>
        </w:rPr>
      </w:pPr>
      <w:r w:rsidRPr="00355916">
        <w:rPr>
          <w:rFonts w:ascii="Times New Roman" w:hAnsi="Times New Roman" w:cs="Times New Roman"/>
          <w:sz w:val="24"/>
          <w:szCs w:val="24"/>
        </w:rPr>
        <w:t xml:space="preserve">Per the requirements of WAC 480-109-300, </w:t>
      </w:r>
      <w:r w:rsidR="0049407C" w:rsidRPr="00355916">
        <w:rPr>
          <w:rFonts w:ascii="Times New Roman" w:hAnsi="Times New Roman" w:cs="Times New Roman"/>
          <w:sz w:val="24"/>
          <w:szCs w:val="24"/>
        </w:rPr>
        <w:t>Puget Sound Energy (“</w:t>
      </w:r>
      <w:r w:rsidRPr="00355916">
        <w:rPr>
          <w:rFonts w:ascii="Times New Roman" w:hAnsi="Times New Roman" w:cs="Times New Roman"/>
          <w:sz w:val="24"/>
          <w:szCs w:val="24"/>
        </w:rPr>
        <w:t>PSE</w:t>
      </w:r>
      <w:r w:rsidR="0049407C" w:rsidRPr="00355916">
        <w:rPr>
          <w:rFonts w:ascii="Times New Roman" w:hAnsi="Times New Roman" w:cs="Times New Roman"/>
          <w:sz w:val="24"/>
          <w:szCs w:val="24"/>
        </w:rPr>
        <w:t>”)</w:t>
      </w:r>
      <w:r w:rsidRPr="00355916">
        <w:rPr>
          <w:rFonts w:ascii="Times New Roman" w:hAnsi="Times New Roman" w:cs="Times New Roman"/>
          <w:sz w:val="24"/>
          <w:szCs w:val="24"/>
        </w:rPr>
        <w:t xml:space="preserve"> submits the following </w:t>
      </w:r>
      <w:r w:rsidR="004C3C9E" w:rsidRPr="00355916">
        <w:rPr>
          <w:rFonts w:ascii="Times New Roman" w:hAnsi="Times New Roman" w:cs="Times New Roman"/>
          <w:sz w:val="24"/>
          <w:szCs w:val="24"/>
        </w:rPr>
        <w:t>report outlining its energy and emissions intensity metrics for the previous 10 years</w:t>
      </w:r>
      <w:r w:rsidR="0049407C" w:rsidRPr="00355916">
        <w:rPr>
          <w:rFonts w:ascii="Times New Roman" w:hAnsi="Times New Roman" w:cs="Times New Roman"/>
          <w:sz w:val="24"/>
          <w:szCs w:val="24"/>
        </w:rPr>
        <w:t xml:space="preserve"> (“reporting period”)</w:t>
      </w:r>
      <w:r w:rsidR="00B2608C">
        <w:rPr>
          <w:rFonts w:ascii="Times New Roman" w:hAnsi="Times New Roman" w:cs="Times New Roman"/>
          <w:sz w:val="24"/>
          <w:szCs w:val="24"/>
        </w:rPr>
        <w:t>.  This</w:t>
      </w:r>
      <w:r w:rsidR="004C3C9E" w:rsidRPr="00355916">
        <w:rPr>
          <w:rFonts w:ascii="Times New Roman" w:hAnsi="Times New Roman" w:cs="Times New Roman"/>
          <w:sz w:val="24"/>
          <w:szCs w:val="24"/>
        </w:rPr>
        <w:t xml:space="preserve"> report includes </w:t>
      </w:r>
      <w:r w:rsidR="0049407C" w:rsidRPr="00355916">
        <w:rPr>
          <w:rFonts w:ascii="Times New Roman" w:hAnsi="Times New Roman" w:cs="Times New Roman"/>
          <w:sz w:val="24"/>
          <w:szCs w:val="24"/>
        </w:rPr>
        <w:t xml:space="preserve">the following metrics for all </w:t>
      </w:r>
      <w:r w:rsidR="00355916">
        <w:rPr>
          <w:rFonts w:ascii="Times New Roman" w:hAnsi="Times New Roman" w:cs="Times New Roman"/>
          <w:sz w:val="24"/>
          <w:szCs w:val="24"/>
        </w:rPr>
        <w:t xml:space="preserve">PSE </w:t>
      </w:r>
      <w:r w:rsidR="0049407C" w:rsidRPr="00355916">
        <w:rPr>
          <w:rFonts w:ascii="Times New Roman" w:hAnsi="Times New Roman" w:cs="Times New Roman"/>
          <w:sz w:val="24"/>
          <w:szCs w:val="24"/>
        </w:rPr>
        <w:t xml:space="preserve">generating resources serving Washington State customers: </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 xml:space="preserve">Average </w:t>
      </w:r>
      <w:r w:rsidR="003E7EE6">
        <w:rPr>
          <w:rFonts w:ascii="Times New Roman" w:hAnsi="Times New Roman" w:cs="Times New Roman"/>
          <w:sz w:val="24"/>
          <w:szCs w:val="24"/>
        </w:rPr>
        <w:t>megawatt hours (</w:t>
      </w:r>
      <w:r w:rsidR="00FF1078">
        <w:rPr>
          <w:rFonts w:ascii="Times New Roman" w:hAnsi="Times New Roman" w:cs="Times New Roman"/>
          <w:sz w:val="24"/>
          <w:szCs w:val="24"/>
        </w:rPr>
        <w:t>a</w:t>
      </w:r>
      <w:r w:rsidRPr="00355916">
        <w:rPr>
          <w:rFonts w:ascii="Times New Roman" w:hAnsi="Times New Roman" w:cs="Times New Roman"/>
          <w:sz w:val="24"/>
          <w:szCs w:val="24"/>
        </w:rPr>
        <w:t>MWh</w:t>
      </w:r>
      <w:r w:rsidR="003E7EE6">
        <w:rPr>
          <w:rFonts w:ascii="Times New Roman" w:hAnsi="Times New Roman" w:cs="Times New Roman"/>
          <w:sz w:val="24"/>
          <w:szCs w:val="24"/>
        </w:rPr>
        <w:t>)</w:t>
      </w:r>
      <w:r w:rsidRPr="00355916">
        <w:rPr>
          <w:rFonts w:ascii="Times New Roman" w:hAnsi="Times New Roman" w:cs="Times New Roman"/>
          <w:sz w:val="24"/>
          <w:szCs w:val="24"/>
        </w:rPr>
        <w:t xml:space="preserve"> per residential customer</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 xml:space="preserve">Average </w:t>
      </w:r>
      <w:r w:rsidR="003E7EE6">
        <w:rPr>
          <w:rFonts w:ascii="Times New Roman" w:hAnsi="Times New Roman" w:cs="Times New Roman"/>
          <w:sz w:val="24"/>
          <w:szCs w:val="24"/>
        </w:rPr>
        <w:t>megawatt hours (</w:t>
      </w:r>
      <w:r w:rsidR="00FF1078">
        <w:rPr>
          <w:rFonts w:ascii="Times New Roman" w:hAnsi="Times New Roman" w:cs="Times New Roman"/>
          <w:sz w:val="24"/>
          <w:szCs w:val="24"/>
        </w:rPr>
        <w:t>a</w:t>
      </w:r>
      <w:r w:rsidRPr="00355916">
        <w:rPr>
          <w:rFonts w:ascii="Times New Roman" w:hAnsi="Times New Roman" w:cs="Times New Roman"/>
          <w:sz w:val="24"/>
          <w:szCs w:val="24"/>
        </w:rPr>
        <w:t>MWh</w:t>
      </w:r>
      <w:r w:rsidR="003E7EE6">
        <w:rPr>
          <w:rFonts w:ascii="Times New Roman" w:hAnsi="Times New Roman" w:cs="Times New Roman"/>
          <w:sz w:val="24"/>
          <w:szCs w:val="24"/>
        </w:rPr>
        <w:t>)</w:t>
      </w:r>
      <w:r w:rsidRPr="00355916">
        <w:rPr>
          <w:rFonts w:ascii="Times New Roman" w:hAnsi="Times New Roman" w:cs="Times New Roman"/>
          <w:sz w:val="24"/>
          <w:szCs w:val="24"/>
        </w:rPr>
        <w:t xml:space="preserve"> per commercial customer</w:t>
      </w:r>
    </w:p>
    <w:p w:rsidR="0049407C" w:rsidRPr="00355916" w:rsidRDefault="003E7EE6" w:rsidP="004940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Megawatt hours (</w:t>
      </w:r>
      <w:r w:rsidR="0049407C" w:rsidRPr="00355916">
        <w:rPr>
          <w:rFonts w:ascii="Times New Roman" w:hAnsi="Times New Roman" w:cs="Times New Roman"/>
          <w:sz w:val="24"/>
          <w:szCs w:val="24"/>
        </w:rPr>
        <w:t>MWh</w:t>
      </w:r>
      <w:r>
        <w:rPr>
          <w:rFonts w:ascii="Times New Roman" w:hAnsi="Times New Roman" w:cs="Times New Roman"/>
          <w:sz w:val="24"/>
          <w:szCs w:val="24"/>
        </w:rPr>
        <w:t>)</w:t>
      </w:r>
      <w:r w:rsidR="0049407C" w:rsidRPr="00355916">
        <w:rPr>
          <w:rFonts w:ascii="Times New Roman" w:hAnsi="Times New Roman" w:cs="Times New Roman"/>
          <w:sz w:val="24"/>
          <w:szCs w:val="24"/>
        </w:rPr>
        <w:t xml:space="preserve"> per capita</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 xml:space="preserve">Annual </w:t>
      </w:r>
      <w:r w:rsidR="003E7EE6">
        <w:rPr>
          <w:rFonts w:ascii="Times New Roman" w:hAnsi="Times New Roman" w:cs="Times New Roman"/>
          <w:sz w:val="24"/>
          <w:szCs w:val="24"/>
        </w:rPr>
        <w:t>carbon dioxide (</w:t>
      </w:r>
      <w:r w:rsidRPr="00355916">
        <w:rPr>
          <w:rFonts w:ascii="Times New Roman" w:hAnsi="Times New Roman" w:cs="Times New Roman"/>
          <w:sz w:val="24"/>
          <w:szCs w:val="24"/>
        </w:rPr>
        <w:t>CO</w:t>
      </w:r>
      <w:r w:rsidRPr="00355916">
        <w:rPr>
          <w:rFonts w:ascii="Times New Roman" w:hAnsi="Times New Roman" w:cs="Times New Roman"/>
          <w:sz w:val="24"/>
          <w:szCs w:val="24"/>
          <w:vertAlign w:val="subscript"/>
        </w:rPr>
        <w:t>2</w:t>
      </w:r>
      <w:r w:rsidR="003E7EE6" w:rsidRPr="003E7EE6">
        <w:rPr>
          <w:rFonts w:ascii="Times New Roman" w:hAnsi="Times New Roman" w:cs="Times New Roman"/>
          <w:sz w:val="24"/>
          <w:szCs w:val="24"/>
        </w:rPr>
        <w:t>)</w:t>
      </w:r>
      <w:r w:rsidR="003E7EE6">
        <w:rPr>
          <w:rFonts w:ascii="Times New Roman" w:hAnsi="Times New Roman" w:cs="Times New Roman"/>
          <w:sz w:val="24"/>
          <w:szCs w:val="24"/>
          <w:vertAlign w:val="subscript"/>
        </w:rPr>
        <w:t xml:space="preserve"> </w:t>
      </w:r>
      <w:r w:rsidRPr="00355916">
        <w:rPr>
          <w:rFonts w:ascii="Times New Roman" w:hAnsi="Times New Roman" w:cs="Times New Roman"/>
          <w:sz w:val="24"/>
          <w:szCs w:val="24"/>
        </w:rPr>
        <w:t xml:space="preserve">emissions </w:t>
      </w:r>
      <w:r w:rsidR="003E7EE6">
        <w:rPr>
          <w:rFonts w:ascii="Times New Roman" w:hAnsi="Times New Roman" w:cs="Times New Roman"/>
          <w:sz w:val="24"/>
          <w:szCs w:val="24"/>
        </w:rPr>
        <w:t>measured in short tons</w:t>
      </w:r>
    </w:p>
    <w:p w:rsidR="0049407C" w:rsidRPr="00355916" w:rsidRDefault="0049407C" w:rsidP="0049407C">
      <w:pPr>
        <w:pStyle w:val="ListParagraph"/>
        <w:numPr>
          <w:ilvl w:val="0"/>
          <w:numId w:val="1"/>
        </w:numPr>
        <w:rPr>
          <w:rFonts w:ascii="Times New Roman" w:hAnsi="Times New Roman" w:cs="Times New Roman"/>
          <w:sz w:val="24"/>
          <w:szCs w:val="24"/>
        </w:rPr>
      </w:pPr>
      <w:r w:rsidRPr="00355916">
        <w:rPr>
          <w:rFonts w:ascii="Times New Roman" w:hAnsi="Times New Roman" w:cs="Times New Roman"/>
          <w:sz w:val="24"/>
          <w:szCs w:val="24"/>
        </w:rPr>
        <w:t>Ratio of Annual CO</w:t>
      </w:r>
      <w:r w:rsidRPr="00355916">
        <w:rPr>
          <w:rFonts w:ascii="Times New Roman" w:hAnsi="Times New Roman" w:cs="Times New Roman"/>
          <w:sz w:val="24"/>
          <w:szCs w:val="24"/>
          <w:vertAlign w:val="subscript"/>
        </w:rPr>
        <w:t xml:space="preserve">2 </w:t>
      </w:r>
      <w:r w:rsidRPr="00355916">
        <w:rPr>
          <w:rFonts w:ascii="Times New Roman" w:hAnsi="Times New Roman" w:cs="Times New Roman"/>
          <w:sz w:val="24"/>
          <w:szCs w:val="24"/>
        </w:rPr>
        <w:t>emissions to CO</w:t>
      </w:r>
      <w:r w:rsidRPr="00355916">
        <w:rPr>
          <w:rFonts w:ascii="Times New Roman" w:hAnsi="Times New Roman" w:cs="Times New Roman"/>
          <w:sz w:val="24"/>
          <w:szCs w:val="24"/>
          <w:vertAlign w:val="subscript"/>
        </w:rPr>
        <w:t xml:space="preserve">2 </w:t>
      </w:r>
      <w:r w:rsidRPr="00355916">
        <w:rPr>
          <w:rFonts w:ascii="Times New Roman" w:hAnsi="Times New Roman" w:cs="Times New Roman"/>
          <w:sz w:val="24"/>
          <w:szCs w:val="24"/>
        </w:rPr>
        <w:t>emissions in 1990</w:t>
      </w:r>
    </w:p>
    <w:p w:rsidR="0049407C" w:rsidRDefault="00355916" w:rsidP="0049407C">
      <w:pPr>
        <w:spacing w:after="0"/>
        <w:rPr>
          <w:rFonts w:ascii="Times New Roman" w:hAnsi="Times New Roman" w:cs="Times New Roman"/>
          <w:sz w:val="24"/>
          <w:szCs w:val="24"/>
        </w:rPr>
      </w:pPr>
      <w:r>
        <w:rPr>
          <w:rFonts w:ascii="Times New Roman" w:hAnsi="Times New Roman" w:cs="Times New Roman"/>
          <w:sz w:val="24"/>
          <w:szCs w:val="24"/>
        </w:rPr>
        <w:t xml:space="preserve">PSE and the other utilities purchase a percentage of their energy to serve </w:t>
      </w:r>
      <w:r w:rsidR="00D02097">
        <w:rPr>
          <w:rFonts w:ascii="Times New Roman" w:hAnsi="Times New Roman" w:cs="Times New Roman"/>
          <w:sz w:val="24"/>
          <w:szCs w:val="24"/>
        </w:rPr>
        <w:t xml:space="preserve">native </w:t>
      </w:r>
      <w:r>
        <w:rPr>
          <w:rFonts w:ascii="Times New Roman" w:hAnsi="Times New Roman" w:cs="Times New Roman"/>
          <w:sz w:val="24"/>
          <w:szCs w:val="24"/>
        </w:rPr>
        <w:t>load from the spot market</w:t>
      </w:r>
      <w:r w:rsidR="00D02097">
        <w:rPr>
          <w:rFonts w:ascii="Times New Roman" w:hAnsi="Times New Roman" w:cs="Times New Roman"/>
          <w:sz w:val="24"/>
          <w:szCs w:val="24"/>
        </w:rPr>
        <w:t>.  T</w:t>
      </w:r>
      <w:r>
        <w:rPr>
          <w:rFonts w:ascii="Times New Roman" w:hAnsi="Times New Roman" w:cs="Times New Roman"/>
          <w:sz w:val="24"/>
          <w:szCs w:val="24"/>
        </w:rPr>
        <w:t>he generation source</w:t>
      </w:r>
      <w:r w:rsidR="00E948FA">
        <w:rPr>
          <w:rFonts w:ascii="Times New Roman" w:hAnsi="Times New Roman" w:cs="Times New Roman"/>
          <w:sz w:val="24"/>
          <w:szCs w:val="24"/>
        </w:rPr>
        <w:t>s</w:t>
      </w:r>
      <w:r w:rsidR="00D02097">
        <w:rPr>
          <w:rFonts w:ascii="Times New Roman" w:hAnsi="Times New Roman" w:cs="Times New Roman"/>
          <w:sz w:val="24"/>
          <w:szCs w:val="24"/>
        </w:rPr>
        <w:t xml:space="preserve"> from purchases made on the spot market</w:t>
      </w:r>
      <w:r w:rsidR="00952225">
        <w:rPr>
          <w:rFonts w:ascii="Times New Roman" w:hAnsi="Times New Roman" w:cs="Times New Roman"/>
          <w:sz w:val="24"/>
          <w:szCs w:val="24"/>
        </w:rPr>
        <w:t xml:space="preserve"> are</w:t>
      </w:r>
      <w:r>
        <w:rPr>
          <w:rFonts w:ascii="Times New Roman" w:hAnsi="Times New Roman" w:cs="Times New Roman"/>
          <w:sz w:val="24"/>
          <w:szCs w:val="24"/>
        </w:rPr>
        <w:t xml:space="preserve"> unknown.  </w:t>
      </w:r>
      <w:r w:rsidR="00D02097">
        <w:rPr>
          <w:rFonts w:ascii="Times New Roman" w:hAnsi="Times New Roman" w:cs="Times New Roman"/>
          <w:sz w:val="24"/>
          <w:szCs w:val="24"/>
        </w:rPr>
        <w:t>Therefore, t</w:t>
      </w:r>
      <w:r>
        <w:rPr>
          <w:rFonts w:ascii="Times New Roman" w:hAnsi="Times New Roman" w:cs="Times New Roman"/>
          <w:sz w:val="24"/>
          <w:szCs w:val="24"/>
        </w:rPr>
        <w:t>his</w:t>
      </w:r>
      <w:r w:rsidR="0049407C" w:rsidRPr="00355916">
        <w:rPr>
          <w:rFonts w:ascii="Times New Roman" w:hAnsi="Times New Roman" w:cs="Times New Roman"/>
          <w:sz w:val="24"/>
          <w:szCs w:val="24"/>
        </w:rPr>
        <w:t xml:space="preserve"> </w:t>
      </w:r>
      <w:r>
        <w:rPr>
          <w:rFonts w:ascii="Times New Roman" w:hAnsi="Times New Roman" w:cs="Times New Roman"/>
          <w:sz w:val="24"/>
          <w:szCs w:val="24"/>
        </w:rPr>
        <w:t>r</w:t>
      </w:r>
      <w:r w:rsidR="0049407C" w:rsidRPr="00355916">
        <w:rPr>
          <w:rFonts w:ascii="Times New Roman" w:hAnsi="Times New Roman" w:cs="Times New Roman"/>
          <w:sz w:val="24"/>
          <w:szCs w:val="24"/>
        </w:rPr>
        <w:t xml:space="preserve">eport also includes </w:t>
      </w:r>
      <w:r w:rsidR="00D02097">
        <w:rPr>
          <w:rFonts w:ascii="Times New Roman" w:hAnsi="Times New Roman" w:cs="Times New Roman"/>
          <w:sz w:val="24"/>
          <w:szCs w:val="24"/>
        </w:rPr>
        <w:t xml:space="preserve">a subset of </w:t>
      </w:r>
      <w:r w:rsidR="0049407C" w:rsidRPr="00355916">
        <w:rPr>
          <w:rFonts w:ascii="Times New Roman" w:hAnsi="Times New Roman" w:cs="Times New Roman"/>
          <w:sz w:val="24"/>
          <w:szCs w:val="24"/>
        </w:rPr>
        <w:t>metrics</w:t>
      </w:r>
      <w:r w:rsidR="00E948FA">
        <w:rPr>
          <w:rFonts w:ascii="Times New Roman" w:hAnsi="Times New Roman" w:cs="Times New Roman"/>
          <w:sz w:val="24"/>
          <w:szCs w:val="24"/>
        </w:rPr>
        <w:t xml:space="preserve"> for spot market purchases based on average emission</w:t>
      </w:r>
      <w:r w:rsidR="006F3734">
        <w:rPr>
          <w:rFonts w:ascii="Times New Roman" w:hAnsi="Times New Roman" w:cs="Times New Roman"/>
          <w:sz w:val="24"/>
          <w:szCs w:val="24"/>
        </w:rPr>
        <w:t xml:space="preserve"> rate factors provided by the Washington State</w:t>
      </w:r>
      <w:r w:rsidR="00E948FA">
        <w:rPr>
          <w:rFonts w:ascii="Times New Roman" w:hAnsi="Times New Roman" w:cs="Times New Roman"/>
          <w:sz w:val="24"/>
          <w:szCs w:val="24"/>
        </w:rPr>
        <w:t xml:space="preserve"> Department of Commerce</w:t>
      </w:r>
      <w:r w:rsidR="00FF1078">
        <w:rPr>
          <w:rFonts w:ascii="Times New Roman" w:hAnsi="Times New Roman" w:cs="Times New Roman"/>
          <w:sz w:val="24"/>
          <w:szCs w:val="24"/>
        </w:rPr>
        <w:t xml:space="preserve"> (“Commerce”)</w:t>
      </w:r>
      <w:r w:rsidR="00E948FA">
        <w:rPr>
          <w:rFonts w:ascii="Times New Roman" w:hAnsi="Times New Roman" w:cs="Times New Roman"/>
          <w:sz w:val="24"/>
          <w:szCs w:val="24"/>
        </w:rPr>
        <w:t xml:space="preserve">.  Those metrics include: </w:t>
      </w:r>
      <w:r w:rsidR="00D02097">
        <w:rPr>
          <w:rFonts w:ascii="Times New Roman" w:hAnsi="Times New Roman" w:cs="Times New Roman"/>
          <w:sz w:val="24"/>
          <w:szCs w:val="24"/>
        </w:rPr>
        <w:t xml:space="preserve"> </w:t>
      </w:r>
    </w:p>
    <w:p w:rsidR="00D02097" w:rsidRPr="00355916" w:rsidRDefault="00D02097" w:rsidP="0049407C">
      <w:pPr>
        <w:spacing w:after="0"/>
        <w:rPr>
          <w:rFonts w:ascii="Times New Roman" w:hAnsi="Times New Roman" w:cs="Times New Roman"/>
          <w:sz w:val="24"/>
          <w:szCs w:val="24"/>
        </w:rPr>
      </w:pPr>
    </w:p>
    <w:p w:rsidR="00566A55" w:rsidRPr="00355916" w:rsidRDefault="00566A55" w:rsidP="00566A55">
      <w:pPr>
        <w:pStyle w:val="ListParagraph"/>
        <w:numPr>
          <w:ilvl w:val="0"/>
          <w:numId w:val="4"/>
        </w:numPr>
        <w:rPr>
          <w:rFonts w:ascii="Times New Roman" w:hAnsi="Times New Roman" w:cs="Times New Roman"/>
          <w:sz w:val="24"/>
          <w:szCs w:val="24"/>
        </w:rPr>
      </w:pPr>
      <w:r w:rsidRPr="00355916">
        <w:rPr>
          <w:rFonts w:ascii="Times New Roman" w:hAnsi="Times New Roman" w:cs="Times New Roman"/>
          <w:sz w:val="24"/>
          <w:szCs w:val="24"/>
        </w:rPr>
        <w:t>Annual CO</w:t>
      </w:r>
      <w:r w:rsidRPr="00355916">
        <w:rPr>
          <w:rFonts w:ascii="Times New Roman" w:hAnsi="Times New Roman" w:cs="Times New Roman"/>
          <w:sz w:val="24"/>
          <w:szCs w:val="24"/>
          <w:vertAlign w:val="subscript"/>
        </w:rPr>
        <w:t xml:space="preserve">2 </w:t>
      </w:r>
      <w:r w:rsidRPr="00355916">
        <w:rPr>
          <w:rFonts w:ascii="Times New Roman" w:hAnsi="Times New Roman" w:cs="Times New Roman"/>
          <w:sz w:val="24"/>
          <w:szCs w:val="24"/>
        </w:rPr>
        <w:t>emissions (short tons) from unknown generation sources</w:t>
      </w:r>
    </w:p>
    <w:p w:rsidR="00566A55" w:rsidRPr="00355916" w:rsidRDefault="00566A55" w:rsidP="00566A55">
      <w:pPr>
        <w:pStyle w:val="ListParagraph"/>
        <w:numPr>
          <w:ilvl w:val="0"/>
          <w:numId w:val="4"/>
        </w:numPr>
        <w:rPr>
          <w:rFonts w:ascii="Times New Roman" w:hAnsi="Times New Roman" w:cs="Times New Roman"/>
          <w:sz w:val="24"/>
          <w:szCs w:val="24"/>
        </w:rPr>
      </w:pPr>
      <w:r w:rsidRPr="00355916">
        <w:rPr>
          <w:rFonts w:ascii="Times New Roman" w:hAnsi="Times New Roman" w:cs="Times New Roman"/>
          <w:sz w:val="24"/>
          <w:szCs w:val="24"/>
        </w:rPr>
        <w:t xml:space="preserve">Annual </w:t>
      </w:r>
      <w:r w:rsidR="003E7EE6">
        <w:rPr>
          <w:rFonts w:ascii="Times New Roman" w:hAnsi="Times New Roman" w:cs="Times New Roman"/>
          <w:sz w:val="24"/>
          <w:szCs w:val="24"/>
        </w:rPr>
        <w:t>megawatt hours (</w:t>
      </w:r>
      <w:r w:rsidRPr="00355916">
        <w:rPr>
          <w:rFonts w:ascii="Times New Roman" w:hAnsi="Times New Roman" w:cs="Times New Roman"/>
          <w:sz w:val="24"/>
          <w:szCs w:val="24"/>
        </w:rPr>
        <w:t>MWh</w:t>
      </w:r>
      <w:r w:rsidR="003E7EE6">
        <w:rPr>
          <w:rFonts w:ascii="Times New Roman" w:hAnsi="Times New Roman" w:cs="Times New Roman"/>
          <w:sz w:val="24"/>
          <w:szCs w:val="24"/>
        </w:rPr>
        <w:t>)</w:t>
      </w:r>
      <w:r w:rsidRPr="00355916">
        <w:rPr>
          <w:rFonts w:ascii="Times New Roman" w:hAnsi="Times New Roman" w:cs="Times New Roman"/>
          <w:sz w:val="24"/>
          <w:szCs w:val="24"/>
        </w:rPr>
        <w:t xml:space="preserve"> delivered to retail customers from unknown generation sources</w:t>
      </w:r>
    </w:p>
    <w:p w:rsidR="00566A55" w:rsidRPr="00355916" w:rsidRDefault="00566A55" w:rsidP="00566A55">
      <w:pPr>
        <w:pStyle w:val="ListParagraph"/>
        <w:numPr>
          <w:ilvl w:val="0"/>
          <w:numId w:val="4"/>
        </w:numPr>
        <w:rPr>
          <w:rFonts w:ascii="Times New Roman" w:hAnsi="Times New Roman" w:cs="Times New Roman"/>
          <w:sz w:val="24"/>
          <w:szCs w:val="24"/>
        </w:rPr>
      </w:pPr>
      <w:r w:rsidRPr="00355916">
        <w:rPr>
          <w:rFonts w:ascii="Times New Roman" w:hAnsi="Times New Roman" w:cs="Times New Roman"/>
          <w:sz w:val="24"/>
          <w:szCs w:val="24"/>
        </w:rPr>
        <w:t>Percentage of load served by unknown generation sources</w:t>
      </w:r>
    </w:p>
    <w:p w:rsidR="00566A55" w:rsidRDefault="00D02097" w:rsidP="0049407C">
      <w:pPr>
        <w:spacing w:after="0"/>
        <w:rPr>
          <w:rFonts w:ascii="Times New Roman" w:hAnsi="Times New Roman" w:cs="Times New Roman"/>
          <w:sz w:val="24"/>
          <w:szCs w:val="24"/>
        </w:rPr>
      </w:pPr>
      <w:r>
        <w:rPr>
          <w:rFonts w:ascii="Times New Roman" w:hAnsi="Times New Roman" w:cs="Times New Roman"/>
          <w:sz w:val="24"/>
          <w:szCs w:val="24"/>
        </w:rPr>
        <w:t>In addition to the raw data included in</w:t>
      </w:r>
      <w:r w:rsidR="006F3734">
        <w:rPr>
          <w:rFonts w:ascii="Times New Roman" w:hAnsi="Times New Roman" w:cs="Times New Roman"/>
          <w:sz w:val="24"/>
          <w:szCs w:val="24"/>
        </w:rPr>
        <w:t xml:space="preserve"> Attachment A to</w:t>
      </w:r>
      <w:r>
        <w:rPr>
          <w:rFonts w:ascii="Times New Roman" w:hAnsi="Times New Roman" w:cs="Times New Roman"/>
          <w:sz w:val="24"/>
          <w:szCs w:val="24"/>
        </w:rPr>
        <w:t xml:space="preserve"> this report, </w:t>
      </w:r>
      <w:r w:rsidR="002614C9">
        <w:rPr>
          <w:rFonts w:ascii="Times New Roman" w:hAnsi="Times New Roman" w:cs="Times New Roman"/>
          <w:sz w:val="24"/>
          <w:szCs w:val="24"/>
        </w:rPr>
        <w:t>the tables and sections below provide</w:t>
      </w:r>
      <w:r>
        <w:rPr>
          <w:rFonts w:ascii="Times New Roman" w:hAnsi="Times New Roman" w:cs="Times New Roman"/>
          <w:sz w:val="24"/>
          <w:szCs w:val="24"/>
        </w:rPr>
        <w:t xml:space="preserve"> trend analysis, narrative descriptions and graphics to help contextualize </w:t>
      </w:r>
      <w:r w:rsidR="002614C9">
        <w:rPr>
          <w:rFonts w:ascii="Times New Roman" w:hAnsi="Times New Roman" w:cs="Times New Roman"/>
          <w:sz w:val="24"/>
          <w:szCs w:val="24"/>
        </w:rPr>
        <w:t>PSE’s</w:t>
      </w:r>
      <w:r w:rsidR="00F654A5">
        <w:rPr>
          <w:rFonts w:ascii="Times New Roman" w:hAnsi="Times New Roman" w:cs="Times New Roman"/>
          <w:sz w:val="24"/>
          <w:szCs w:val="24"/>
        </w:rPr>
        <w:t xml:space="preserve"> </w:t>
      </w:r>
      <w:r>
        <w:rPr>
          <w:rFonts w:ascii="Times New Roman" w:hAnsi="Times New Roman" w:cs="Times New Roman"/>
          <w:sz w:val="24"/>
          <w:szCs w:val="24"/>
        </w:rPr>
        <w:t>data and trends</w:t>
      </w:r>
      <w:r w:rsidR="00F654A5">
        <w:rPr>
          <w:rFonts w:ascii="Times New Roman" w:hAnsi="Times New Roman" w:cs="Times New Roman"/>
          <w:sz w:val="24"/>
          <w:szCs w:val="24"/>
        </w:rPr>
        <w:t xml:space="preserve"> for the </w:t>
      </w:r>
      <w:r w:rsidR="00952225">
        <w:rPr>
          <w:rFonts w:ascii="Times New Roman" w:hAnsi="Times New Roman" w:cs="Times New Roman"/>
          <w:sz w:val="24"/>
          <w:szCs w:val="24"/>
        </w:rPr>
        <w:t>reporting period</w:t>
      </w:r>
      <w:r>
        <w:rPr>
          <w:rFonts w:ascii="Times New Roman" w:hAnsi="Times New Roman" w:cs="Times New Roman"/>
          <w:sz w:val="24"/>
          <w:szCs w:val="24"/>
        </w:rPr>
        <w:t xml:space="preserve">.  </w:t>
      </w:r>
      <w:r w:rsidR="002614C9">
        <w:rPr>
          <w:rFonts w:ascii="Times New Roman" w:hAnsi="Times New Roman" w:cs="Times New Roman"/>
          <w:sz w:val="24"/>
          <w:szCs w:val="24"/>
        </w:rPr>
        <w:t xml:space="preserve">Table 1 below summarizes </w:t>
      </w:r>
      <w:r w:rsidR="00F654A5">
        <w:rPr>
          <w:rFonts w:ascii="Times New Roman" w:hAnsi="Times New Roman" w:cs="Times New Roman"/>
          <w:sz w:val="24"/>
          <w:szCs w:val="24"/>
        </w:rPr>
        <w:t>PSE</w:t>
      </w:r>
      <w:r w:rsidR="002614C9">
        <w:rPr>
          <w:rFonts w:ascii="Times New Roman" w:hAnsi="Times New Roman" w:cs="Times New Roman"/>
          <w:sz w:val="24"/>
          <w:szCs w:val="24"/>
        </w:rPr>
        <w:t>’s</w:t>
      </w:r>
      <w:r w:rsidR="00F654A5" w:rsidRPr="00B77F82">
        <w:rPr>
          <w:rFonts w:ascii="Times New Roman" w:hAnsi="Times New Roman" w:cs="Times New Roman"/>
          <w:sz w:val="24"/>
          <w:szCs w:val="24"/>
        </w:rPr>
        <w:t xml:space="preserve"> </w:t>
      </w:r>
      <w:r w:rsidR="00F654A5">
        <w:rPr>
          <w:rFonts w:ascii="Times New Roman" w:hAnsi="Times New Roman" w:cs="Times New Roman"/>
          <w:sz w:val="24"/>
          <w:szCs w:val="24"/>
        </w:rPr>
        <w:t xml:space="preserve">greenhouse gas (GHG) emissions intensity </w:t>
      </w:r>
      <w:r w:rsidR="00FF4F9C">
        <w:rPr>
          <w:rFonts w:ascii="Times New Roman" w:hAnsi="Times New Roman" w:cs="Times New Roman"/>
          <w:sz w:val="24"/>
          <w:szCs w:val="24"/>
        </w:rPr>
        <w:t xml:space="preserve">and energy </w:t>
      </w:r>
      <w:r w:rsidR="00F654A5">
        <w:rPr>
          <w:rFonts w:ascii="Times New Roman" w:hAnsi="Times New Roman" w:cs="Times New Roman"/>
          <w:sz w:val="24"/>
          <w:szCs w:val="24"/>
        </w:rPr>
        <w:t xml:space="preserve">metrics </w:t>
      </w:r>
      <w:r w:rsidR="00F654A5" w:rsidRPr="00B77F82">
        <w:rPr>
          <w:rFonts w:ascii="Times New Roman" w:hAnsi="Times New Roman" w:cs="Times New Roman"/>
          <w:sz w:val="24"/>
          <w:szCs w:val="24"/>
        </w:rPr>
        <w:t>for calendar year 201</w:t>
      </w:r>
      <w:r w:rsidR="00F654A5">
        <w:rPr>
          <w:rFonts w:ascii="Times New Roman" w:hAnsi="Times New Roman" w:cs="Times New Roman"/>
          <w:sz w:val="24"/>
          <w:szCs w:val="24"/>
        </w:rPr>
        <w:t>5.</w:t>
      </w:r>
      <w:r w:rsidR="002614C9">
        <w:rPr>
          <w:rFonts w:ascii="Times New Roman" w:hAnsi="Times New Roman" w:cs="Times New Roman"/>
          <w:sz w:val="24"/>
          <w:szCs w:val="24"/>
        </w:rPr>
        <w:t xml:space="preserve"> </w:t>
      </w:r>
      <w:r w:rsidR="00F654A5">
        <w:rPr>
          <w:rFonts w:ascii="Times New Roman" w:hAnsi="Times New Roman" w:cs="Times New Roman"/>
          <w:sz w:val="24"/>
          <w:szCs w:val="24"/>
        </w:rPr>
        <w:t xml:space="preserve"> </w:t>
      </w:r>
      <w:r w:rsidR="00FF4F9C">
        <w:rPr>
          <w:rFonts w:ascii="Times New Roman" w:hAnsi="Times New Roman" w:cs="Times New Roman"/>
          <w:sz w:val="24"/>
          <w:szCs w:val="24"/>
        </w:rPr>
        <w:t xml:space="preserve">Summaries of the previous nine years in the reporting period are included in Attachment A to this report.  </w:t>
      </w:r>
      <w:r w:rsidR="00F654A5">
        <w:rPr>
          <w:rFonts w:ascii="Times New Roman" w:hAnsi="Times New Roman" w:cs="Times New Roman"/>
          <w:sz w:val="24"/>
          <w:szCs w:val="24"/>
        </w:rPr>
        <w:t xml:space="preserve">Section 2 </w:t>
      </w:r>
      <w:r w:rsidR="00FF4F9C">
        <w:rPr>
          <w:rFonts w:ascii="Times New Roman" w:hAnsi="Times New Roman" w:cs="Times New Roman"/>
          <w:sz w:val="24"/>
          <w:szCs w:val="24"/>
        </w:rPr>
        <w:t xml:space="preserve">below </w:t>
      </w:r>
      <w:r w:rsidR="002614C9">
        <w:rPr>
          <w:rFonts w:ascii="Times New Roman" w:hAnsi="Times New Roman" w:cs="Times New Roman"/>
          <w:sz w:val="24"/>
          <w:szCs w:val="24"/>
        </w:rPr>
        <w:t>provides a 10-</w:t>
      </w:r>
      <w:r w:rsidR="00F654A5">
        <w:rPr>
          <w:rFonts w:ascii="Times New Roman" w:hAnsi="Times New Roman" w:cs="Times New Roman"/>
          <w:sz w:val="24"/>
          <w:szCs w:val="24"/>
        </w:rPr>
        <w:t>year “lookback” analysis</w:t>
      </w:r>
      <w:r w:rsidR="0092529E">
        <w:rPr>
          <w:rFonts w:ascii="Times New Roman" w:hAnsi="Times New Roman" w:cs="Times New Roman"/>
          <w:sz w:val="24"/>
          <w:szCs w:val="24"/>
        </w:rPr>
        <w:t xml:space="preserve"> of the reporting period</w:t>
      </w:r>
      <w:r w:rsidR="00F654A5">
        <w:rPr>
          <w:rFonts w:ascii="Times New Roman" w:hAnsi="Times New Roman" w:cs="Times New Roman"/>
          <w:sz w:val="24"/>
          <w:szCs w:val="24"/>
        </w:rPr>
        <w:t xml:space="preserve"> (to operating year 2006)</w:t>
      </w:r>
      <w:r w:rsidR="002614C9">
        <w:rPr>
          <w:rFonts w:ascii="Times New Roman" w:hAnsi="Times New Roman" w:cs="Times New Roman"/>
          <w:sz w:val="24"/>
          <w:szCs w:val="24"/>
        </w:rPr>
        <w:t xml:space="preserve"> of the metrics mentioned above, and </w:t>
      </w:r>
      <w:r w:rsidR="00F654A5">
        <w:rPr>
          <w:rFonts w:ascii="Times New Roman" w:hAnsi="Times New Roman" w:cs="Times New Roman"/>
          <w:sz w:val="24"/>
          <w:szCs w:val="24"/>
        </w:rPr>
        <w:t xml:space="preserve">benchmarks </w:t>
      </w:r>
      <w:r w:rsidR="002614C9">
        <w:rPr>
          <w:rFonts w:ascii="Times New Roman" w:hAnsi="Times New Roman" w:cs="Times New Roman"/>
          <w:sz w:val="24"/>
          <w:szCs w:val="24"/>
        </w:rPr>
        <w:t>those metrics to</w:t>
      </w:r>
      <w:r w:rsidR="00F654A5">
        <w:rPr>
          <w:rFonts w:ascii="Times New Roman" w:hAnsi="Times New Roman" w:cs="Times New Roman"/>
          <w:sz w:val="24"/>
          <w:szCs w:val="24"/>
        </w:rPr>
        <w:t xml:space="preserve"> </w:t>
      </w:r>
      <w:r w:rsidR="002614C9">
        <w:rPr>
          <w:rFonts w:ascii="Times New Roman" w:hAnsi="Times New Roman" w:cs="Times New Roman"/>
          <w:sz w:val="24"/>
          <w:szCs w:val="24"/>
        </w:rPr>
        <w:t>a</w:t>
      </w:r>
      <w:r w:rsidR="00F654A5">
        <w:rPr>
          <w:rFonts w:ascii="Times New Roman" w:hAnsi="Times New Roman" w:cs="Times New Roman"/>
          <w:sz w:val="24"/>
          <w:szCs w:val="24"/>
        </w:rPr>
        <w:t xml:space="preserve"> 1990</w:t>
      </w:r>
      <w:r w:rsidR="002614C9">
        <w:rPr>
          <w:rFonts w:ascii="Times New Roman" w:hAnsi="Times New Roman" w:cs="Times New Roman"/>
          <w:sz w:val="24"/>
          <w:szCs w:val="24"/>
        </w:rPr>
        <w:t xml:space="preserve"> emissions</w:t>
      </w:r>
      <w:r w:rsidR="00F654A5">
        <w:rPr>
          <w:rFonts w:ascii="Times New Roman" w:hAnsi="Times New Roman" w:cs="Times New Roman"/>
          <w:sz w:val="24"/>
          <w:szCs w:val="24"/>
        </w:rPr>
        <w:t xml:space="preserve"> baseline. </w:t>
      </w:r>
      <w:r w:rsidR="002614C9">
        <w:rPr>
          <w:rFonts w:ascii="Times New Roman" w:hAnsi="Times New Roman" w:cs="Times New Roman"/>
          <w:sz w:val="24"/>
          <w:szCs w:val="24"/>
        </w:rPr>
        <w:t xml:space="preserve"> </w:t>
      </w:r>
      <w:r w:rsidR="00F654A5">
        <w:rPr>
          <w:rFonts w:ascii="Times New Roman" w:hAnsi="Times New Roman" w:cs="Times New Roman"/>
          <w:sz w:val="24"/>
          <w:szCs w:val="24"/>
        </w:rPr>
        <w:t>Section 3 provides a discussion of the trends observed</w:t>
      </w:r>
      <w:r w:rsidR="002614C9">
        <w:rPr>
          <w:rFonts w:ascii="Times New Roman" w:hAnsi="Times New Roman" w:cs="Times New Roman"/>
          <w:sz w:val="24"/>
          <w:szCs w:val="24"/>
        </w:rPr>
        <w:t xml:space="preserve"> in the metrics</w:t>
      </w:r>
      <w:r w:rsidR="006F3734">
        <w:rPr>
          <w:rFonts w:ascii="Times New Roman" w:hAnsi="Times New Roman" w:cs="Times New Roman"/>
          <w:sz w:val="24"/>
          <w:szCs w:val="24"/>
        </w:rPr>
        <w:t xml:space="preserve"> and the broader regional market</w:t>
      </w:r>
      <w:r w:rsidR="00F654A5">
        <w:rPr>
          <w:rFonts w:ascii="Times New Roman" w:hAnsi="Times New Roman" w:cs="Times New Roman"/>
          <w:sz w:val="24"/>
          <w:szCs w:val="24"/>
        </w:rPr>
        <w:t xml:space="preserve">. </w:t>
      </w:r>
      <w:r>
        <w:rPr>
          <w:rFonts w:ascii="Times New Roman" w:hAnsi="Times New Roman" w:cs="Times New Roman"/>
          <w:sz w:val="24"/>
          <w:szCs w:val="24"/>
        </w:rPr>
        <w:t xml:space="preserve"> </w:t>
      </w:r>
      <w:r w:rsidR="00FF4F9C">
        <w:rPr>
          <w:rFonts w:ascii="Times New Roman" w:hAnsi="Times New Roman" w:cs="Times New Roman"/>
          <w:sz w:val="24"/>
          <w:szCs w:val="24"/>
        </w:rPr>
        <w:t>Section 4 includes appendices that provide more det</w:t>
      </w:r>
      <w:r w:rsidR="006F3734">
        <w:rPr>
          <w:rFonts w:ascii="Times New Roman" w:hAnsi="Times New Roman" w:cs="Times New Roman"/>
          <w:sz w:val="24"/>
          <w:szCs w:val="24"/>
        </w:rPr>
        <w:t>ail on methodologies used in this</w:t>
      </w:r>
      <w:r w:rsidR="00FF4F9C">
        <w:rPr>
          <w:rFonts w:ascii="Times New Roman" w:hAnsi="Times New Roman" w:cs="Times New Roman"/>
          <w:sz w:val="24"/>
          <w:szCs w:val="24"/>
        </w:rPr>
        <w:t xml:space="preserve"> report.</w:t>
      </w:r>
    </w:p>
    <w:p w:rsidR="00F654A5" w:rsidRDefault="00F654A5">
      <w:pPr>
        <w:rPr>
          <w:rFonts w:ascii="Times New Roman" w:hAnsi="Times New Roman" w:cs="Times New Roman"/>
          <w:sz w:val="24"/>
          <w:szCs w:val="24"/>
        </w:rPr>
      </w:pPr>
      <w:r>
        <w:rPr>
          <w:rFonts w:ascii="Times New Roman" w:hAnsi="Times New Roman" w:cs="Times New Roman"/>
          <w:sz w:val="24"/>
          <w:szCs w:val="24"/>
        </w:rPr>
        <w:br w:type="page"/>
      </w:r>
    </w:p>
    <w:p w:rsidR="00F654A5" w:rsidRDefault="00F654A5" w:rsidP="0049407C">
      <w:pPr>
        <w:spacing w:after="0"/>
        <w:rPr>
          <w:rFonts w:ascii="Times New Roman" w:hAnsi="Times New Roman" w:cs="Times New Roman"/>
          <w:sz w:val="24"/>
          <w:szCs w:val="24"/>
        </w:rPr>
      </w:pPr>
    </w:p>
    <w:p w:rsidR="00F654A5" w:rsidRPr="002614C9" w:rsidRDefault="00F654A5" w:rsidP="0049407C">
      <w:pPr>
        <w:spacing w:after="0"/>
        <w:rPr>
          <w:rFonts w:ascii="Times New Roman" w:hAnsi="Times New Roman" w:cs="Times New Roman"/>
          <w:b/>
          <w:sz w:val="28"/>
          <w:szCs w:val="28"/>
        </w:rPr>
      </w:pPr>
      <w:r w:rsidRPr="002614C9">
        <w:rPr>
          <w:rFonts w:ascii="Times New Roman" w:hAnsi="Times New Roman" w:cs="Times New Roman"/>
          <w:b/>
          <w:sz w:val="28"/>
          <w:szCs w:val="28"/>
        </w:rPr>
        <w:t>Table 1- 2015 Report</w:t>
      </w:r>
      <w:r w:rsidR="002614C9" w:rsidRPr="002614C9">
        <w:rPr>
          <w:rFonts w:ascii="Times New Roman" w:hAnsi="Times New Roman" w:cs="Times New Roman"/>
          <w:b/>
          <w:sz w:val="28"/>
          <w:szCs w:val="28"/>
        </w:rPr>
        <w:t xml:space="preserve"> – Summary of Energy and Emissions Intensity Metrics</w:t>
      </w:r>
    </w:p>
    <w:tbl>
      <w:tblPr>
        <w:tblW w:w="8899" w:type="dxa"/>
        <w:tblInd w:w="93" w:type="dxa"/>
        <w:tblLook w:val="04A0" w:firstRow="1" w:lastRow="0" w:firstColumn="1" w:lastColumn="0" w:noHBand="0" w:noVBand="1"/>
      </w:tblPr>
      <w:tblGrid>
        <w:gridCol w:w="295"/>
        <w:gridCol w:w="1099"/>
        <w:gridCol w:w="917"/>
        <w:gridCol w:w="1230"/>
        <w:gridCol w:w="1439"/>
        <w:gridCol w:w="1338"/>
        <w:gridCol w:w="1354"/>
        <w:gridCol w:w="1227"/>
      </w:tblGrid>
      <w:tr w:rsidR="00F654A5" w:rsidRPr="00901F5C" w:rsidTr="003E7EE6">
        <w:trPr>
          <w:trHeight w:val="341"/>
        </w:trPr>
        <w:tc>
          <w:tcPr>
            <w:tcW w:w="6318" w:type="dxa"/>
            <w:gridSpan w:val="6"/>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b/>
                <w:bCs/>
                <w:color w:val="000000"/>
                <w:sz w:val="28"/>
                <w:szCs w:val="28"/>
              </w:rPr>
            </w:pPr>
          </w:p>
        </w:tc>
        <w:tc>
          <w:tcPr>
            <w:tcW w:w="1354"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r>
      <w:tr w:rsidR="00F654A5" w:rsidRPr="00901F5C" w:rsidTr="003E7EE6">
        <w:trPr>
          <w:trHeight w:val="284"/>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2016" w:type="dxa"/>
            <w:gridSpan w:val="2"/>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230"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439"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r>
      <w:tr w:rsidR="00F654A5" w:rsidRPr="00901F5C" w:rsidTr="00F654A5">
        <w:trPr>
          <w:trHeight w:val="274"/>
        </w:trPr>
        <w:tc>
          <w:tcPr>
            <w:tcW w:w="295" w:type="dxa"/>
            <w:tcBorders>
              <w:top w:val="single" w:sz="8" w:space="0" w:color="auto"/>
              <w:left w:val="single" w:sz="8" w:space="0" w:color="auto"/>
              <w:bottom w:val="single" w:sz="4" w:space="0" w:color="auto"/>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2016" w:type="dxa"/>
            <w:gridSpan w:val="2"/>
            <w:tcBorders>
              <w:top w:val="single" w:sz="8" w:space="0" w:color="auto"/>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ind w:right="-828"/>
              <w:jc w:val="center"/>
              <w:rPr>
                <w:rFonts w:ascii="Calibri" w:eastAsia="Times New Roman" w:hAnsi="Calibri" w:cs="Times New Roman"/>
                <w:color w:val="000000"/>
              </w:rPr>
            </w:pPr>
            <w:r w:rsidRPr="00901F5C">
              <w:rPr>
                <w:rFonts w:ascii="Calibri" w:eastAsia="Times New Roman" w:hAnsi="Calibri" w:cs="Times New Roman"/>
                <w:color w:val="000000"/>
              </w:rPr>
              <w:t>Utility :</w:t>
            </w:r>
          </w:p>
        </w:tc>
        <w:tc>
          <w:tcPr>
            <w:tcW w:w="2669" w:type="dxa"/>
            <w:gridSpan w:val="2"/>
            <w:tcBorders>
              <w:top w:val="single" w:sz="8" w:space="0" w:color="auto"/>
              <w:left w:val="single" w:sz="4" w:space="0" w:color="auto"/>
              <w:bottom w:val="single" w:sz="4" w:space="0" w:color="auto"/>
              <w:right w:val="single" w:sz="8" w:space="0" w:color="000000"/>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Puget Sound Energy</w:t>
            </w: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74"/>
        </w:trPr>
        <w:tc>
          <w:tcPr>
            <w:tcW w:w="231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Reporting for year :</w:t>
            </w:r>
          </w:p>
        </w:tc>
        <w:tc>
          <w:tcPr>
            <w:tcW w:w="1230"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2015</w:t>
            </w:r>
          </w:p>
        </w:tc>
        <w:tc>
          <w:tcPr>
            <w:tcW w:w="1439" w:type="dxa"/>
            <w:tcBorders>
              <w:top w:val="nil"/>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MWh per Capita</w:t>
            </w: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84"/>
        </w:trPr>
        <w:tc>
          <w:tcPr>
            <w:tcW w:w="2311"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Population Served :</w:t>
            </w:r>
          </w:p>
        </w:tc>
        <w:tc>
          <w:tcPr>
            <w:tcW w:w="1230" w:type="dxa"/>
            <w:tcBorders>
              <w:top w:val="nil"/>
              <w:left w:val="nil"/>
              <w:bottom w:val="single" w:sz="8" w:space="0" w:color="auto"/>
              <w:right w:val="single" w:sz="4" w:space="0" w:color="auto"/>
            </w:tcBorders>
            <w:shd w:val="clear" w:color="000000" w:fill="FFC000"/>
            <w:noWrap/>
            <w:vAlign w:val="center"/>
            <w:hideMark/>
          </w:tcPr>
          <w:p w:rsidR="00F654A5" w:rsidRPr="00901F5C" w:rsidRDefault="00F654A5" w:rsidP="00302DFF">
            <w:pPr>
              <w:spacing w:after="0" w:line="240" w:lineRule="auto"/>
              <w:jc w:val="center"/>
              <w:rPr>
                <w:rFonts w:ascii="Calibri" w:eastAsia="Times New Roman" w:hAnsi="Calibri" w:cs="Times New Roman"/>
                <w:b/>
              </w:rPr>
            </w:pPr>
            <w:r w:rsidRPr="00901F5C">
              <w:rPr>
                <w:rFonts w:ascii="Calibri" w:eastAsia="Times New Roman" w:hAnsi="Calibri" w:cs="Times New Roman"/>
                <w:b/>
              </w:rPr>
              <w:t>2,418,979</w:t>
            </w:r>
          </w:p>
        </w:tc>
        <w:tc>
          <w:tcPr>
            <w:tcW w:w="1439" w:type="dxa"/>
            <w:tcBorders>
              <w:top w:val="single" w:sz="4" w:space="0" w:color="auto"/>
              <w:left w:val="nil"/>
              <w:bottom w:val="single" w:sz="8"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8.48</w:t>
            </w: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74"/>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2016" w:type="dxa"/>
            <w:gridSpan w:val="2"/>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30"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353"/>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4685" w:type="dxa"/>
            <w:gridSpan w:val="4"/>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i/>
                <w:iCs/>
                <w:color w:val="000000"/>
                <w:sz w:val="28"/>
                <w:szCs w:val="28"/>
              </w:rPr>
            </w:pPr>
            <w:r w:rsidRPr="00901F5C">
              <w:rPr>
                <w:rFonts w:ascii="Calibri" w:eastAsia="Times New Roman" w:hAnsi="Calibri" w:cs="Times New Roman"/>
                <w:i/>
                <w:iCs/>
                <w:color w:val="000000"/>
                <w:sz w:val="28"/>
                <w:szCs w:val="28"/>
              </w:rPr>
              <w:t>Energy Intensity Metrics</w:t>
            </w: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74"/>
        </w:trPr>
        <w:tc>
          <w:tcPr>
            <w:tcW w:w="295" w:type="dxa"/>
            <w:tcBorders>
              <w:top w:val="single" w:sz="8" w:space="0" w:color="auto"/>
              <w:left w:val="single" w:sz="8" w:space="0" w:color="auto"/>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1099" w:type="dxa"/>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single" w:sz="8" w:space="0" w:color="auto"/>
              <w:left w:val="single" w:sz="4" w:space="0" w:color="auto"/>
              <w:bottom w:val="nil"/>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Customer</w:t>
            </w:r>
          </w:p>
        </w:tc>
        <w:tc>
          <w:tcPr>
            <w:tcW w:w="1227" w:type="dxa"/>
            <w:tcBorders>
              <w:top w:val="single" w:sz="8" w:space="0" w:color="auto"/>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MWh per</w:t>
            </w:r>
          </w:p>
        </w:tc>
      </w:tr>
      <w:tr w:rsidR="00F654A5" w:rsidRPr="00901F5C" w:rsidTr="003E7EE6">
        <w:trPr>
          <w:trHeight w:val="274"/>
        </w:trPr>
        <w:tc>
          <w:tcPr>
            <w:tcW w:w="295" w:type="dxa"/>
            <w:tcBorders>
              <w:top w:val="nil"/>
              <w:left w:val="single" w:sz="8" w:space="0" w:color="auto"/>
              <w:bottom w:val="single" w:sz="4" w:space="0" w:color="auto"/>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1099" w:type="dxa"/>
            <w:tcBorders>
              <w:top w:val="nil"/>
              <w:left w:val="nil"/>
              <w:bottom w:val="single" w:sz="4"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single" w:sz="4"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MWh at Meter</w:t>
            </w:r>
          </w:p>
        </w:tc>
        <w:tc>
          <w:tcPr>
            <w:tcW w:w="1338" w:type="dxa"/>
            <w:tcBorders>
              <w:top w:val="single" w:sz="4" w:space="0" w:color="auto"/>
              <w:left w:val="nil"/>
              <w:bottom w:val="single" w:sz="4"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MWh Proportion</w:t>
            </w:r>
          </w:p>
        </w:tc>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Count</w:t>
            </w:r>
          </w:p>
        </w:tc>
        <w:tc>
          <w:tcPr>
            <w:tcW w:w="1227" w:type="dxa"/>
            <w:tcBorders>
              <w:top w:val="nil"/>
              <w:left w:val="nil"/>
              <w:bottom w:val="single" w:sz="4"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Customer</w:t>
            </w:r>
          </w:p>
        </w:tc>
      </w:tr>
      <w:tr w:rsidR="00F654A5" w:rsidRPr="00901F5C" w:rsidTr="003E7EE6">
        <w:trPr>
          <w:trHeight w:val="274"/>
        </w:trPr>
        <w:tc>
          <w:tcPr>
            <w:tcW w:w="35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Residential Customers</w:t>
            </w:r>
          </w:p>
        </w:tc>
        <w:tc>
          <w:tcPr>
            <w:tcW w:w="1439"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10,164,709</w:t>
            </w:r>
          </w:p>
        </w:tc>
        <w:tc>
          <w:tcPr>
            <w:tcW w:w="1338"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49.6%</w:t>
            </w:r>
          </w:p>
        </w:tc>
        <w:tc>
          <w:tcPr>
            <w:tcW w:w="1354"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970,830</w:t>
            </w:r>
          </w:p>
        </w:tc>
        <w:tc>
          <w:tcPr>
            <w:tcW w:w="1227" w:type="dxa"/>
            <w:tcBorders>
              <w:top w:val="nil"/>
              <w:left w:val="nil"/>
              <w:bottom w:val="single" w:sz="4"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10.5</w:t>
            </w:r>
          </w:p>
        </w:tc>
      </w:tr>
      <w:tr w:rsidR="00F654A5" w:rsidRPr="00901F5C" w:rsidTr="003E7EE6">
        <w:trPr>
          <w:trHeight w:val="274"/>
        </w:trPr>
        <w:tc>
          <w:tcPr>
            <w:tcW w:w="35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Commercial Customers</w:t>
            </w:r>
          </w:p>
        </w:tc>
        <w:tc>
          <w:tcPr>
            <w:tcW w:w="1439"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9,087,102</w:t>
            </w:r>
          </w:p>
        </w:tc>
        <w:tc>
          <w:tcPr>
            <w:tcW w:w="1338"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44.3%</w:t>
            </w:r>
          </w:p>
        </w:tc>
        <w:tc>
          <w:tcPr>
            <w:tcW w:w="1354"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129,347</w:t>
            </w:r>
          </w:p>
        </w:tc>
        <w:tc>
          <w:tcPr>
            <w:tcW w:w="1227" w:type="dxa"/>
            <w:tcBorders>
              <w:top w:val="nil"/>
              <w:left w:val="nil"/>
              <w:bottom w:val="single" w:sz="4"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70.3</w:t>
            </w:r>
          </w:p>
        </w:tc>
      </w:tr>
      <w:tr w:rsidR="00F654A5" w:rsidRPr="00901F5C" w:rsidTr="003E7EE6">
        <w:trPr>
          <w:trHeight w:val="274"/>
        </w:trPr>
        <w:tc>
          <w:tcPr>
            <w:tcW w:w="35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Industrial Customers</w:t>
            </w:r>
          </w:p>
        </w:tc>
        <w:tc>
          <w:tcPr>
            <w:tcW w:w="1439" w:type="dxa"/>
            <w:tcBorders>
              <w:top w:val="nil"/>
              <w:left w:val="nil"/>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1,257,958</w:t>
            </w:r>
          </w:p>
        </w:tc>
        <w:tc>
          <w:tcPr>
            <w:tcW w:w="1338"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6.1%</w:t>
            </w: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84"/>
        </w:trPr>
        <w:tc>
          <w:tcPr>
            <w:tcW w:w="295" w:type="dxa"/>
            <w:tcBorders>
              <w:top w:val="nil"/>
              <w:left w:val="single" w:sz="8" w:space="0" w:color="auto"/>
              <w:bottom w:val="single" w:sz="8" w:space="0" w:color="auto"/>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3246" w:type="dxa"/>
            <w:gridSpan w:val="3"/>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Total Load Served</w:t>
            </w:r>
          </w:p>
        </w:tc>
        <w:tc>
          <w:tcPr>
            <w:tcW w:w="1439" w:type="dxa"/>
            <w:tcBorders>
              <w:top w:val="nil"/>
              <w:left w:val="nil"/>
              <w:bottom w:val="single" w:sz="8"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20,509,769</w:t>
            </w:r>
          </w:p>
        </w:tc>
        <w:tc>
          <w:tcPr>
            <w:tcW w:w="1338" w:type="dxa"/>
            <w:tcBorders>
              <w:top w:val="nil"/>
              <w:left w:val="nil"/>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single" w:sz="8"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84"/>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353"/>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4685" w:type="dxa"/>
            <w:gridSpan w:val="4"/>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i/>
                <w:iCs/>
                <w:color w:val="000000"/>
                <w:sz w:val="28"/>
                <w:szCs w:val="28"/>
              </w:rPr>
            </w:pPr>
            <w:r w:rsidRPr="00901F5C">
              <w:rPr>
                <w:rFonts w:ascii="Calibri" w:eastAsia="Times New Roman" w:hAnsi="Calibri" w:cs="Times New Roman"/>
                <w:i/>
                <w:iCs/>
                <w:color w:val="000000"/>
                <w:sz w:val="28"/>
                <w:szCs w:val="28"/>
              </w:rPr>
              <w:t>Emissions Intensity Metrics</w:t>
            </w: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74"/>
        </w:trPr>
        <w:tc>
          <w:tcPr>
            <w:tcW w:w="295" w:type="dxa"/>
            <w:tcBorders>
              <w:top w:val="single" w:sz="8" w:space="0" w:color="auto"/>
              <w:left w:val="single" w:sz="8" w:space="0" w:color="auto"/>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1099" w:type="dxa"/>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single" w:sz="8" w:space="0" w:color="auto"/>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single" w:sz="8" w:space="0" w:color="auto"/>
              <w:left w:val="single" w:sz="4" w:space="0" w:color="auto"/>
              <w:bottom w:val="nil"/>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Percent of</w:t>
            </w:r>
          </w:p>
        </w:tc>
        <w:tc>
          <w:tcPr>
            <w:tcW w:w="1354" w:type="dxa"/>
            <w:tcBorders>
              <w:top w:val="single" w:sz="8" w:space="0" w:color="auto"/>
              <w:left w:val="nil"/>
              <w:bottom w:val="nil"/>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Short</w:t>
            </w:r>
          </w:p>
        </w:tc>
        <w:tc>
          <w:tcPr>
            <w:tcW w:w="1227" w:type="dxa"/>
            <w:tcBorders>
              <w:top w:val="single" w:sz="8" w:space="0" w:color="auto"/>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96"/>
        </w:trPr>
        <w:tc>
          <w:tcPr>
            <w:tcW w:w="295" w:type="dxa"/>
            <w:tcBorders>
              <w:top w:val="nil"/>
              <w:left w:val="single" w:sz="8" w:space="0" w:color="auto"/>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109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single" w:sz="4" w:space="0" w:color="auto"/>
              <w:left w:val="single" w:sz="4" w:space="0" w:color="auto"/>
              <w:bottom w:val="single" w:sz="4"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Busbar MWh</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Total Load</w:t>
            </w:r>
          </w:p>
        </w:tc>
        <w:tc>
          <w:tcPr>
            <w:tcW w:w="1354"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Tons CO</w:t>
            </w:r>
            <w:r w:rsidRPr="00901F5C">
              <w:rPr>
                <w:rFonts w:ascii="Calibri" w:eastAsia="Times New Roman" w:hAnsi="Calibri" w:cs="Times New Roman"/>
                <w:b/>
                <w:bCs/>
                <w:color w:val="000000"/>
                <w:vertAlign w:val="subscript"/>
              </w:rPr>
              <w:t>2</w:t>
            </w:r>
          </w:p>
        </w:tc>
        <w:tc>
          <w:tcPr>
            <w:tcW w:w="1227" w:type="dxa"/>
            <w:tcBorders>
              <w:top w:val="nil"/>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84"/>
        </w:trPr>
        <w:tc>
          <w:tcPr>
            <w:tcW w:w="35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Known Resources Serving WA</w:t>
            </w:r>
          </w:p>
        </w:tc>
        <w:tc>
          <w:tcPr>
            <w:tcW w:w="1439"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18,582,396</w:t>
            </w:r>
          </w:p>
        </w:tc>
        <w:tc>
          <w:tcPr>
            <w:tcW w:w="1338"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84.3%</w:t>
            </w:r>
          </w:p>
        </w:tc>
        <w:tc>
          <w:tcPr>
            <w:tcW w:w="1354"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10,414,028</w:t>
            </w:r>
          </w:p>
        </w:tc>
        <w:tc>
          <w:tcPr>
            <w:tcW w:w="1227" w:type="dxa"/>
            <w:tcBorders>
              <w:top w:val="nil"/>
              <w:left w:val="nil"/>
              <w:bottom w:val="nil"/>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96"/>
        </w:trPr>
        <w:tc>
          <w:tcPr>
            <w:tcW w:w="354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Unknown Resources Serving WA</w:t>
            </w:r>
          </w:p>
        </w:tc>
        <w:tc>
          <w:tcPr>
            <w:tcW w:w="1439"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3,448,452</w:t>
            </w:r>
          </w:p>
        </w:tc>
        <w:tc>
          <w:tcPr>
            <w:tcW w:w="1338" w:type="dxa"/>
            <w:tcBorders>
              <w:top w:val="nil"/>
              <w:left w:val="nil"/>
              <w:bottom w:val="single" w:sz="4" w:space="0" w:color="auto"/>
              <w:right w:val="single" w:sz="4"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15.7%</w:t>
            </w:r>
          </w:p>
        </w:tc>
        <w:tc>
          <w:tcPr>
            <w:tcW w:w="1354" w:type="dxa"/>
            <w:tcBorders>
              <w:top w:val="nil"/>
              <w:left w:val="nil"/>
              <w:bottom w:val="single" w:sz="4"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1,200,541</w:t>
            </w:r>
          </w:p>
        </w:tc>
        <w:tc>
          <w:tcPr>
            <w:tcW w:w="122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 of 1990 CO</w:t>
            </w:r>
            <w:r w:rsidRPr="00901F5C">
              <w:rPr>
                <w:rFonts w:ascii="Calibri" w:eastAsia="Times New Roman" w:hAnsi="Calibri" w:cs="Times New Roman"/>
                <w:b/>
                <w:bCs/>
                <w:color w:val="000000"/>
                <w:vertAlign w:val="subscript"/>
              </w:rPr>
              <w:t>2</w:t>
            </w:r>
          </w:p>
        </w:tc>
      </w:tr>
      <w:tr w:rsidR="00F654A5" w:rsidRPr="00901F5C" w:rsidTr="003E7EE6">
        <w:trPr>
          <w:trHeight w:val="306"/>
        </w:trPr>
        <w:tc>
          <w:tcPr>
            <w:tcW w:w="295" w:type="dxa"/>
            <w:tcBorders>
              <w:top w:val="nil"/>
              <w:left w:val="single" w:sz="8" w:space="0" w:color="auto"/>
              <w:bottom w:val="single" w:sz="8" w:space="0" w:color="auto"/>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r w:rsidRPr="00901F5C">
              <w:rPr>
                <w:rFonts w:ascii="Calibri" w:eastAsia="Times New Roman" w:hAnsi="Calibri" w:cs="Times New Roman"/>
                <w:color w:val="000000"/>
              </w:rPr>
              <w:t> </w:t>
            </w:r>
          </w:p>
        </w:tc>
        <w:tc>
          <w:tcPr>
            <w:tcW w:w="1099" w:type="dxa"/>
            <w:tcBorders>
              <w:top w:val="nil"/>
              <w:left w:val="nil"/>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nil"/>
              <w:left w:val="single" w:sz="4" w:space="0" w:color="auto"/>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2015</w:t>
            </w:r>
          </w:p>
        </w:tc>
        <w:tc>
          <w:tcPr>
            <w:tcW w:w="1338" w:type="dxa"/>
            <w:tcBorders>
              <w:top w:val="nil"/>
              <w:left w:val="nil"/>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Tons CO</w:t>
            </w:r>
            <w:r w:rsidRPr="00901F5C">
              <w:rPr>
                <w:rFonts w:ascii="Calibri" w:eastAsia="Times New Roman" w:hAnsi="Calibri" w:cs="Times New Roman"/>
                <w:color w:val="000000"/>
                <w:vertAlign w:val="subscript"/>
              </w:rPr>
              <w:t>2</w:t>
            </w:r>
          </w:p>
        </w:tc>
        <w:tc>
          <w:tcPr>
            <w:tcW w:w="1354" w:type="dxa"/>
            <w:tcBorders>
              <w:top w:val="nil"/>
              <w:left w:val="single" w:sz="4" w:space="0" w:color="auto"/>
              <w:bottom w:val="single" w:sz="8" w:space="0" w:color="auto"/>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11,614,569</w:t>
            </w:r>
          </w:p>
        </w:tc>
        <w:tc>
          <w:tcPr>
            <w:tcW w:w="1227" w:type="dxa"/>
            <w:tcBorders>
              <w:top w:val="nil"/>
              <w:left w:val="single" w:sz="8" w:space="0" w:color="auto"/>
              <w:bottom w:val="single" w:sz="8" w:space="0" w:color="auto"/>
              <w:right w:val="single" w:sz="8" w:space="0" w:color="auto"/>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b/>
                <w:bCs/>
                <w:color w:val="000000"/>
              </w:rPr>
            </w:pPr>
            <w:r w:rsidRPr="00901F5C">
              <w:rPr>
                <w:rFonts w:ascii="Calibri" w:eastAsia="Times New Roman" w:hAnsi="Calibri" w:cs="Times New Roman"/>
                <w:b/>
                <w:bCs/>
                <w:color w:val="000000"/>
              </w:rPr>
              <w:t>167.2%</w:t>
            </w:r>
          </w:p>
        </w:tc>
      </w:tr>
      <w:tr w:rsidR="00F654A5" w:rsidRPr="00901F5C" w:rsidTr="003E7EE6">
        <w:trPr>
          <w:trHeight w:val="284"/>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227"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r>
      <w:tr w:rsidR="00F654A5" w:rsidRPr="00901F5C" w:rsidTr="003E7EE6">
        <w:trPr>
          <w:trHeight w:val="296"/>
        </w:trPr>
        <w:tc>
          <w:tcPr>
            <w:tcW w:w="295" w:type="dxa"/>
            <w:tcBorders>
              <w:top w:val="nil"/>
              <w:left w:val="nil"/>
              <w:bottom w:val="nil"/>
              <w:right w:val="nil"/>
            </w:tcBorders>
            <w:shd w:val="clear" w:color="auto" w:fill="auto"/>
            <w:noWrap/>
            <w:vAlign w:val="bottom"/>
            <w:hideMark/>
          </w:tcPr>
          <w:p w:rsidR="00F654A5" w:rsidRPr="00901F5C" w:rsidRDefault="00F654A5" w:rsidP="00302DFF">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2147" w:type="dxa"/>
            <w:gridSpan w:val="2"/>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439"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38"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p>
        </w:tc>
        <w:tc>
          <w:tcPr>
            <w:tcW w:w="1354" w:type="dxa"/>
            <w:tcBorders>
              <w:top w:val="nil"/>
              <w:left w:val="nil"/>
              <w:bottom w:val="nil"/>
              <w:right w:val="nil"/>
            </w:tcBorders>
            <w:shd w:val="clear" w:color="auto" w:fill="auto"/>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1990 Short Tons CO</w:t>
            </w:r>
            <w:r w:rsidRPr="00901F5C">
              <w:rPr>
                <w:rFonts w:ascii="Calibri" w:eastAsia="Times New Roman" w:hAnsi="Calibri" w:cs="Times New Roman"/>
                <w:color w:val="000000"/>
                <w:vertAlign w:val="subscript"/>
              </w:rPr>
              <w:t>2</w:t>
            </w:r>
          </w:p>
        </w:tc>
        <w:tc>
          <w:tcPr>
            <w:tcW w:w="122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F654A5" w:rsidRPr="00901F5C" w:rsidRDefault="00F654A5" w:rsidP="00302DFF">
            <w:pPr>
              <w:spacing w:after="0" w:line="240" w:lineRule="auto"/>
              <w:jc w:val="center"/>
              <w:rPr>
                <w:rFonts w:ascii="Calibri" w:eastAsia="Times New Roman" w:hAnsi="Calibri" w:cs="Times New Roman"/>
                <w:color w:val="000000"/>
              </w:rPr>
            </w:pPr>
            <w:r w:rsidRPr="00901F5C">
              <w:rPr>
                <w:rFonts w:ascii="Calibri" w:eastAsia="Times New Roman" w:hAnsi="Calibri" w:cs="Times New Roman"/>
                <w:color w:val="000000"/>
              </w:rPr>
              <w:t>6,946,064</w:t>
            </w:r>
          </w:p>
        </w:tc>
      </w:tr>
    </w:tbl>
    <w:p w:rsidR="00F654A5" w:rsidRDefault="00F654A5" w:rsidP="0049407C">
      <w:pPr>
        <w:spacing w:after="0"/>
        <w:rPr>
          <w:rFonts w:ascii="Times New Roman" w:hAnsi="Times New Roman" w:cs="Times New Roman"/>
          <w:sz w:val="24"/>
          <w:szCs w:val="24"/>
        </w:rPr>
      </w:pPr>
    </w:p>
    <w:p w:rsidR="00BA12DC" w:rsidRDefault="00BA12DC" w:rsidP="00BA12DC">
      <w:pPr>
        <w:rPr>
          <w:rFonts w:ascii="Times New Roman" w:hAnsi="Times New Roman" w:cs="Times New Roman"/>
          <w:sz w:val="24"/>
          <w:szCs w:val="24"/>
        </w:rPr>
      </w:pPr>
      <w:r>
        <w:rPr>
          <w:rFonts w:ascii="Times New Roman" w:hAnsi="Times New Roman" w:cs="Times New Roman"/>
          <w:sz w:val="24"/>
          <w:szCs w:val="24"/>
        </w:rPr>
        <w:t>Summarized in Table 1 above and narrative form below are</w:t>
      </w:r>
      <w:r w:rsidRPr="00BA12DC">
        <w:rPr>
          <w:rFonts w:ascii="Times New Roman" w:hAnsi="Times New Roman" w:cs="Times New Roman"/>
          <w:sz w:val="24"/>
          <w:szCs w:val="24"/>
        </w:rPr>
        <w:t xml:space="preserve"> PSE’s </w:t>
      </w:r>
      <w:r w:rsidR="00FF4F9C">
        <w:rPr>
          <w:rFonts w:ascii="Times New Roman" w:hAnsi="Times New Roman" w:cs="Times New Roman"/>
          <w:sz w:val="24"/>
          <w:szCs w:val="24"/>
        </w:rPr>
        <w:t xml:space="preserve">2015 energy and intensity </w:t>
      </w:r>
      <w:r w:rsidRPr="00BA12DC">
        <w:rPr>
          <w:rFonts w:ascii="Times New Roman" w:hAnsi="Times New Roman" w:cs="Times New Roman"/>
          <w:sz w:val="24"/>
          <w:szCs w:val="24"/>
        </w:rPr>
        <w:t>metrics.</w:t>
      </w:r>
      <w:r w:rsidR="00952225">
        <w:rPr>
          <w:rFonts w:ascii="Times New Roman" w:hAnsi="Times New Roman" w:cs="Times New Roman"/>
          <w:sz w:val="24"/>
          <w:szCs w:val="24"/>
        </w:rPr>
        <w:t xml:space="preserve"> </w:t>
      </w:r>
      <w:r w:rsidRPr="00BA12DC">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938"/>
      </w:tblGrid>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10.5</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Average MWh per residential customer</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70.3</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Average MWh per commercial customer</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8.48</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MWh per capita</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11,614,569</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Annual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(short tons)</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167.2%</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Ratio of Annual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to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in 1990</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1,200,541</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Annual CO</w:t>
            </w:r>
            <w:r w:rsidRPr="00BA12DC">
              <w:rPr>
                <w:rFonts w:ascii="Times New Roman" w:hAnsi="Times New Roman" w:cs="Times New Roman"/>
                <w:sz w:val="24"/>
                <w:szCs w:val="24"/>
                <w:vertAlign w:val="subscript"/>
              </w:rPr>
              <w:t xml:space="preserve">2 </w:t>
            </w:r>
            <w:r w:rsidRPr="00BA12DC">
              <w:rPr>
                <w:rFonts w:ascii="Times New Roman" w:hAnsi="Times New Roman" w:cs="Times New Roman"/>
                <w:sz w:val="24"/>
                <w:szCs w:val="24"/>
              </w:rPr>
              <w:t>emissions (short tons) from unknown generation sources</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3,448,452</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Annual MWh delivered to retail customers from unknown generation sources</w:t>
            </w:r>
          </w:p>
        </w:tc>
      </w:tr>
      <w:tr w:rsidR="003E7EE6" w:rsidTr="003E7EE6">
        <w:tc>
          <w:tcPr>
            <w:tcW w:w="1638" w:type="dxa"/>
          </w:tcPr>
          <w:p w:rsidR="003E7EE6" w:rsidRDefault="003E7EE6" w:rsidP="00BA12DC">
            <w:pPr>
              <w:rPr>
                <w:rFonts w:ascii="Times New Roman" w:hAnsi="Times New Roman" w:cs="Times New Roman"/>
                <w:sz w:val="24"/>
                <w:szCs w:val="24"/>
              </w:rPr>
            </w:pPr>
            <w:r>
              <w:rPr>
                <w:rFonts w:ascii="Times New Roman" w:hAnsi="Times New Roman" w:cs="Times New Roman"/>
                <w:sz w:val="24"/>
                <w:szCs w:val="24"/>
              </w:rPr>
              <w:t xml:space="preserve">15.7% </w:t>
            </w:r>
          </w:p>
        </w:tc>
        <w:tc>
          <w:tcPr>
            <w:tcW w:w="7938" w:type="dxa"/>
          </w:tcPr>
          <w:p w:rsidR="003E7EE6" w:rsidRDefault="003E7EE6" w:rsidP="00BA12DC">
            <w:pPr>
              <w:rPr>
                <w:rFonts w:ascii="Times New Roman" w:hAnsi="Times New Roman" w:cs="Times New Roman"/>
                <w:sz w:val="24"/>
                <w:szCs w:val="24"/>
              </w:rPr>
            </w:pPr>
            <w:r w:rsidRPr="00BA12DC">
              <w:rPr>
                <w:rFonts w:ascii="Times New Roman" w:hAnsi="Times New Roman" w:cs="Times New Roman"/>
                <w:sz w:val="24"/>
                <w:szCs w:val="24"/>
              </w:rPr>
              <w:t>Percentage of load served by unknown generation sources</w:t>
            </w:r>
          </w:p>
        </w:tc>
      </w:tr>
    </w:tbl>
    <w:p w:rsidR="00BA12DC" w:rsidRDefault="00BA12DC" w:rsidP="0049407C">
      <w:pPr>
        <w:spacing w:after="0"/>
        <w:rPr>
          <w:rFonts w:ascii="Times New Roman" w:hAnsi="Times New Roman" w:cs="Times New Roman"/>
          <w:sz w:val="24"/>
          <w:szCs w:val="24"/>
        </w:rPr>
      </w:pPr>
    </w:p>
    <w:p w:rsidR="00F654A5" w:rsidRDefault="00F654A5">
      <w:pPr>
        <w:rPr>
          <w:rFonts w:ascii="Times New Roman" w:hAnsi="Times New Roman" w:cs="Times New Roman"/>
          <w:sz w:val="24"/>
          <w:szCs w:val="24"/>
        </w:rPr>
      </w:pPr>
      <w:r>
        <w:rPr>
          <w:rFonts w:ascii="Times New Roman" w:hAnsi="Times New Roman" w:cs="Times New Roman"/>
          <w:sz w:val="24"/>
          <w:szCs w:val="24"/>
        </w:rPr>
        <w:br w:type="page"/>
      </w:r>
    </w:p>
    <w:p w:rsidR="0049407C" w:rsidRPr="0049407C" w:rsidRDefault="0049407C" w:rsidP="0049407C">
      <w:pPr>
        <w:spacing w:after="0"/>
        <w:rPr>
          <w:rFonts w:ascii="Times New Roman" w:hAnsi="Times New Roman" w:cs="Times New Roman"/>
          <w:sz w:val="24"/>
          <w:szCs w:val="24"/>
        </w:rPr>
      </w:pPr>
    </w:p>
    <w:p w:rsidR="00EC086A" w:rsidRDefault="00F654A5" w:rsidP="00F654A5">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rPr>
        <w:t xml:space="preserve">Section 2:  </w:t>
      </w:r>
      <w:r w:rsidR="00DA2B48" w:rsidRPr="00DA2B48">
        <w:rPr>
          <w:rFonts w:ascii="Times New Roman" w:hAnsi="Times New Roman" w:cs="Times New Roman"/>
          <w:b/>
          <w:sz w:val="24"/>
          <w:szCs w:val="24"/>
        </w:rPr>
        <w:t>Prior 10-year annual metrics for all generating resourc</w:t>
      </w:r>
      <w:r w:rsidR="00EC086A">
        <w:rPr>
          <w:rFonts w:ascii="Times New Roman" w:hAnsi="Times New Roman" w:cs="Times New Roman"/>
          <w:b/>
          <w:sz w:val="24"/>
          <w:szCs w:val="24"/>
        </w:rPr>
        <w:t>es serving Washington customers</w:t>
      </w:r>
    </w:p>
    <w:p w:rsidR="000C2004" w:rsidRDefault="000C2004" w:rsidP="00DA2B48">
      <w:pPr>
        <w:pStyle w:val="ListParagraph"/>
        <w:spacing w:after="0"/>
        <w:ind w:left="360"/>
        <w:rPr>
          <w:rFonts w:ascii="Times New Roman" w:hAnsi="Times New Roman" w:cs="Times New Roman"/>
          <w:sz w:val="24"/>
          <w:szCs w:val="24"/>
        </w:rPr>
      </w:pPr>
    </w:p>
    <w:p w:rsidR="003E7EE6" w:rsidRDefault="003E7EE6" w:rsidP="00097F1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Figure 1 provides </w:t>
      </w:r>
      <w:r w:rsidR="006F3734">
        <w:rPr>
          <w:rFonts w:ascii="Times New Roman" w:hAnsi="Times New Roman" w:cs="Times New Roman"/>
          <w:sz w:val="24"/>
          <w:szCs w:val="24"/>
        </w:rPr>
        <w:t>a comparison of annual PSE CO</w:t>
      </w:r>
      <w:r w:rsidR="00A87932" w:rsidRPr="00A87932">
        <w:rPr>
          <w:rFonts w:ascii="Times New Roman" w:hAnsi="Times New Roman" w:cs="Times New Roman"/>
          <w:sz w:val="24"/>
          <w:szCs w:val="24"/>
          <w:vertAlign w:val="subscript"/>
        </w:rPr>
        <w:t>2</w:t>
      </w:r>
      <w:r w:rsidR="00A87932">
        <w:rPr>
          <w:rFonts w:ascii="Times New Roman" w:hAnsi="Times New Roman" w:cs="Times New Roman"/>
          <w:sz w:val="24"/>
          <w:szCs w:val="24"/>
          <w:vertAlign w:val="subscript"/>
        </w:rPr>
        <w:t xml:space="preserve"> </w:t>
      </w:r>
      <w:r w:rsidR="00A87932">
        <w:rPr>
          <w:rFonts w:ascii="Times New Roman" w:hAnsi="Times New Roman" w:cs="Times New Roman"/>
          <w:sz w:val="24"/>
          <w:szCs w:val="24"/>
        </w:rPr>
        <w:t xml:space="preserve">emissions measured in short tons from known generation sources for the previous 10 years.  Figure 1 also includes a 1990 emissions baseline and a 10 year trend showing PSE’s population served.  </w:t>
      </w:r>
      <w:r w:rsidR="00FF4F9C">
        <w:rPr>
          <w:rFonts w:ascii="Times New Roman" w:hAnsi="Times New Roman" w:cs="Times New Roman"/>
          <w:sz w:val="24"/>
          <w:szCs w:val="24"/>
        </w:rPr>
        <w:t xml:space="preserve">Further discussion on PSE’s methodology to calculate population is provided in Appendix 1.  </w:t>
      </w:r>
    </w:p>
    <w:p w:rsidR="00A87932" w:rsidRDefault="00A87932" w:rsidP="00DA2B48">
      <w:pPr>
        <w:pStyle w:val="ListParagraph"/>
        <w:spacing w:after="0"/>
        <w:ind w:left="360"/>
        <w:rPr>
          <w:rFonts w:ascii="Times New Roman" w:hAnsi="Times New Roman" w:cs="Times New Roman"/>
          <w:b/>
          <w:sz w:val="24"/>
          <w:szCs w:val="24"/>
        </w:rPr>
      </w:pPr>
    </w:p>
    <w:p w:rsidR="00A87932" w:rsidRPr="00A87932" w:rsidRDefault="00A87932" w:rsidP="00DA2B48">
      <w:pPr>
        <w:pStyle w:val="ListParagraph"/>
        <w:spacing w:after="0"/>
        <w:ind w:left="360"/>
        <w:rPr>
          <w:rFonts w:ascii="Times New Roman" w:hAnsi="Times New Roman" w:cs="Times New Roman"/>
          <w:b/>
          <w:sz w:val="24"/>
          <w:szCs w:val="24"/>
        </w:rPr>
      </w:pPr>
      <w:r w:rsidRPr="00A87932">
        <w:rPr>
          <w:rFonts w:ascii="Times New Roman" w:hAnsi="Times New Roman" w:cs="Times New Roman"/>
          <w:b/>
          <w:sz w:val="24"/>
          <w:szCs w:val="24"/>
        </w:rPr>
        <w:t>Figure 1</w:t>
      </w:r>
    </w:p>
    <w:p w:rsidR="00EC086A" w:rsidRDefault="003E7EE6" w:rsidP="00DA2B48">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968F3E" wp14:editId="6501F8CA">
            <wp:extent cx="5838902" cy="53001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4767" cy="5305457"/>
                    </a:xfrm>
                    <a:prstGeom prst="rect">
                      <a:avLst/>
                    </a:prstGeom>
                    <a:noFill/>
                  </pic:spPr>
                </pic:pic>
              </a:graphicData>
            </a:graphic>
          </wp:inline>
        </w:drawing>
      </w:r>
    </w:p>
    <w:p w:rsidR="00EC086A" w:rsidRDefault="00EC086A" w:rsidP="00DA2B48">
      <w:pPr>
        <w:pStyle w:val="ListParagraph"/>
        <w:spacing w:after="0"/>
        <w:ind w:left="360"/>
        <w:rPr>
          <w:rFonts w:ascii="Times New Roman" w:hAnsi="Times New Roman" w:cs="Times New Roman"/>
          <w:sz w:val="24"/>
          <w:szCs w:val="24"/>
        </w:rPr>
      </w:pPr>
    </w:p>
    <w:p w:rsidR="000C73BA" w:rsidRDefault="000C73BA">
      <w:pPr>
        <w:rPr>
          <w:rFonts w:ascii="Times New Roman" w:hAnsi="Times New Roman" w:cs="Times New Roman"/>
          <w:sz w:val="24"/>
          <w:szCs w:val="24"/>
        </w:rPr>
      </w:pPr>
      <w:r>
        <w:rPr>
          <w:rFonts w:ascii="Times New Roman" w:hAnsi="Times New Roman" w:cs="Times New Roman"/>
          <w:sz w:val="24"/>
          <w:szCs w:val="24"/>
        </w:rPr>
        <w:br w:type="page"/>
      </w:r>
    </w:p>
    <w:p w:rsidR="00A87932" w:rsidRDefault="00A87932" w:rsidP="00097F1A">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lastRenderedPageBreak/>
        <w:t>Figure 2</w:t>
      </w:r>
      <w:r w:rsidR="000C73BA">
        <w:rPr>
          <w:rFonts w:ascii="Times New Roman" w:hAnsi="Times New Roman" w:cs="Times New Roman"/>
          <w:sz w:val="24"/>
          <w:szCs w:val="24"/>
        </w:rPr>
        <w:t xml:space="preserve"> provides a comparison of the average MWh per residential customer, average MWh per commercial customer, and MWh per capita</w:t>
      </w:r>
      <w:r>
        <w:rPr>
          <w:rFonts w:ascii="Times New Roman" w:hAnsi="Times New Roman" w:cs="Times New Roman"/>
          <w:sz w:val="24"/>
          <w:szCs w:val="24"/>
        </w:rPr>
        <w:t xml:space="preserve"> </w:t>
      </w:r>
      <w:r w:rsidR="000314A7">
        <w:rPr>
          <w:rFonts w:ascii="Times New Roman" w:hAnsi="Times New Roman" w:cs="Times New Roman"/>
          <w:sz w:val="24"/>
          <w:szCs w:val="24"/>
        </w:rPr>
        <w:t xml:space="preserve">delivered in each of </w:t>
      </w:r>
      <w:r w:rsidR="000C73BA">
        <w:rPr>
          <w:rFonts w:ascii="Times New Roman" w:hAnsi="Times New Roman" w:cs="Times New Roman"/>
          <w:sz w:val="24"/>
          <w:szCs w:val="24"/>
        </w:rPr>
        <w:t xml:space="preserve">the </w:t>
      </w:r>
      <w:r w:rsidR="00FF4F9C">
        <w:rPr>
          <w:rFonts w:ascii="Times New Roman" w:hAnsi="Times New Roman" w:cs="Times New Roman"/>
          <w:sz w:val="24"/>
          <w:szCs w:val="24"/>
        </w:rPr>
        <w:t>years during the reporting period</w:t>
      </w:r>
      <w:r w:rsidR="000C73BA">
        <w:rPr>
          <w:rFonts w:ascii="Times New Roman" w:hAnsi="Times New Roman" w:cs="Times New Roman"/>
          <w:sz w:val="24"/>
          <w:szCs w:val="24"/>
        </w:rPr>
        <w:t xml:space="preserve"> in PSE’s service territory.</w:t>
      </w:r>
      <w:r>
        <w:rPr>
          <w:rFonts w:ascii="Times New Roman" w:hAnsi="Times New Roman" w:cs="Times New Roman"/>
          <w:sz w:val="24"/>
          <w:szCs w:val="24"/>
        </w:rPr>
        <w:t xml:space="preserve">  </w:t>
      </w:r>
    </w:p>
    <w:p w:rsidR="00A87932" w:rsidRDefault="00A87932" w:rsidP="00A87932">
      <w:pPr>
        <w:pStyle w:val="ListParagraph"/>
        <w:spacing w:after="0"/>
        <w:ind w:left="360"/>
        <w:rPr>
          <w:rFonts w:ascii="Times New Roman" w:hAnsi="Times New Roman" w:cs="Times New Roman"/>
          <w:b/>
          <w:sz w:val="24"/>
          <w:szCs w:val="24"/>
        </w:rPr>
      </w:pPr>
    </w:p>
    <w:p w:rsidR="000C73BA" w:rsidRPr="000C73BA" w:rsidRDefault="000C73BA" w:rsidP="000C73BA">
      <w:pPr>
        <w:pStyle w:val="ListParagraph"/>
        <w:spacing w:after="0"/>
        <w:ind w:left="360"/>
        <w:rPr>
          <w:rFonts w:ascii="Times New Roman" w:hAnsi="Times New Roman" w:cs="Times New Roman"/>
          <w:b/>
          <w:sz w:val="24"/>
          <w:szCs w:val="24"/>
        </w:rPr>
      </w:pPr>
      <w:r w:rsidRPr="000C73BA">
        <w:rPr>
          <w:rFonts w:ascii="Times New Roman" w:hAnsi="Times New Roman" w:cs="Times New Roman"/>
          <w:b/>
          <w:sz w:val="24"/>
          <w:szCs w:val="24"/>
        </w:rPr>
        <w:t xml:space="preserve">Figure 2 </w:t>
      </w:r>
    </w:p>
    <w:p w:rsidR="00A87932" w:rsidRPr="00EC086A" w:rsidRDefault="000C73BA" w:rsidP="00DA2B48">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313794" wp14:editId="332DDD24">
            <wp:extent cx="5435600" cy="564973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3782" cy="5668630"/>
                    </a:xfrm>
                    <a:prstGeom prst="rect">
                      <a:avLst/>
                    </a:prstGeom>
                    <a:noFill/>
                  </pic:spPr>
                </pic:pic>
              </a:graphicData>
            </a:graphic>
          </wp:inline>
        </w:drawing>
      </w:r>
    </w:p>
    <w:p w:rsidR="000C73BA" w:rsidRDefault="000C73BA" w:rsidP="00F654A5">
      <w:pPr>
        <w:pStyle w:val="ListParagraph"/>
        <w:ind w:left="0"/>
        <w:rPr>
          <w:rFonts w:ascii="Times New Roman" w:hAnsi="Times New Roman" w:cs="Times New Roman"/>
          <w:b/>
          <w:sz w:val="24"/>
          <w:szCs w:val="24"/>
        </w:rPr>
      </w:pPr>
    </w:p>
    <w:p w:rsidR="000C73BA" w:rsidRDefault="000C73BA">
      <w:pPr>
        <w:rPr>
          <w:rFonts w:ascii="Times New Roman" w:hAnsi="Times New Roman" w:cs="Times New Roman"/>
          <w:b/>
          <w:sz w:val="24"/>
          <w:szCs w:val="24"/>
        </w:rPr>
      </w:pPr>
      <w:r>
        <w:rPr>
          <w:rFonts w:ascii="Times New Roman" w:hAnsi="Times New Roman" w:cs="Times New Roman"/>
          <w:b/>
          <w:sz w:val="24"/>
          <w:szCs w:val="24"/>
        </w:rPr>
        <w:br w:type="page"/>
      </w:r>
    </w:p>
    <w:p w:rsidR="000C73BA" w:rsidRPr="000C73BA" w:rsidRDefault="000C73BA" w:rsidP="00097F1A">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Figure 3 provides a comparison of the ratios of PSE’s annual CO</w:t>
      </w:r>
      <w:r w:rsidRPr="000C73BA">
        <w:rPr>
          <w:rFonts w:ascii="Times New Roman" w:hAnsi="Times New Roman" w:cs="Times New Roman"/>
          <w:sz w:val="24"/>
          <w:szCs w:val="24"/>
          <w:vertAlign w:val="subscript"/>
        </w:rPr>
        <w:t>2</w:t>
      </w:r>
      <w:r>
        <w:rPr>
          <w:rFonts w:ascii="Times New Roman" w:hAnsi="Times New Roman" w:cs="Times New Roman"/>
          <w:sz w:val="24"/>
          <w:szCs w:val="24"/>
        </w:rPr>
        <w:t xml:space="preserve"> emissions from known sources for the </w:t>
      </w:r>
      <w:r w:rsidR="00FF4F9C">
        <w:rPr>
          <w:rFonts w:ascii="Times New Roman" w:hAnsi="Times New Roman" w:cs="Times New Roman"/>
          <w:sz w:val="24"/>
          <w:szCs w:val="24"/>
        </w:rPr>
        <w:t>reporting</w:t>
      </w:r>
      <w:r>
        <w:rPr>
          <w:rFonts w:ascii="Times New Roman" w:hAnsi="Times New Roman" w:cs="Times New Roman"/>
          <w:sz w:val="24"/>
          <w:szCs w:val="24"/>
        </w:rPr>
        <w:t xml:space="preserve"> period compared to CO</w:t>
      </w:r>
      <w:r w:rsidRPr="000C73BA">
        <w:rPr>
          <w:rFonts w:ascii="Times New Roman" w:hAnsi="Times New Roman" w:cs="Times New Roman"/>
          <w:sz w:val="24"/>
          <w:szCs w:val="24"/>
          <w:vertAlign w:val="subscript"/>
        </w:rPr>
        <w:t>2</w:t>
      </w:r>
      <w:r>
        <w:rPr>
          <w:rFonts w:ascii="Times New Roman" w:hAnsi="Times New Roman" w:cs="Times New Roman"/>
          <w:sz w:val="24"/>
          <w:szCs w:val="24"/>
        </w:rPr>
        <w:t xml:space="preserve"> emission in 1990 </w:t>
      </w:r>
    </w:p>
    <w:p w:rsidR="000C73BA" w:rsidRDefault="000C73BA" w:rsidP="00F654A5">
      <w:pPr>
        <w:pStyle w:val="ListParagraph"/>
        <w:ind w:left="0"/>
        <w:rPr>
          <w:rFonts w:ascii="Times New Roman" w:hAnsi="Times New Roman" w:cs="Times New Roman"/>
          <w:b/>
          <w:sz w:val="24"/>
          <w:szCs w:val="24"/>
        </w:rPr>
      </w:pPr>
    </w:p>
    <w:p w:rsidR="000C73BA" w:rsidRDefault="000C73BA" w:rsidP="00F654A5">
      <w:pPr>
        <w:pStyle w:val="ListParagraph"/>
        <w:ind w:left="0"/>
        <w:rPr>
          <w:rFonts w:ascii="Times New Roman" w:hAnsi="Times New Roman" w:cs="Times New Roman"/>
          <w:b/>
          <w:sz w:val="24"/>
          <w:szCs w:val="24"/>
        </w:rPr>
      </w:pPr>
      <w:r>
        <w:rPr>
          <w:rFonts w:ascii="Times New Roman" w:hAnsi="Times New Roman" w:cs="Times New Roman"/>
          <w:b/>
          <w:sz w:val="24"/>
          <w:szCs w:val="24"/>
        </w:rPr>
        <w:t>Figure 3</w:t>
      </w:r>
    </w:p>
    <w:p w:rsidR="000C73BA" w:rsidRDefault="000C73BA" w:rsidP="00F654A5">
      <w:pPr>
        <w:pStyle w:val="ListParagraph"/>
        <w:ind w:left="0"/>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5AC6664B" wp14:editId="084F2264">
            <wp:extent cx="5477933" cy="4766734"/>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9975" cy="4777213"/>
                    </a:xfrm>
                    <a:prstGeom prst="rect">
                      <a:avLst/>
                    </a:prstGeom>
                    <a:noFill/>
                  </pic:spPr>
                </pic:pic>
              </a:graphicData>
            </a:graphic>
          </wp:inline>
        </w:drawing>
      </w:r>
    </w:p>
    <w:p w:rsidR="000C73BA" w:rsidRDefault="000C73BA" w:rsidP="00F654A5">
      <w:pPr>
        <w:pStyle w:val="ListParagraph"/>
        <w:ind w:left="0"/>
        <w:rPr>
          <w:rFonts w:ascii="Times New Roman" w:hAnsi="Times New Roman" w:cs="Times New Roman"/>
          <w:b/>
          <w:sz w:val="24"/>
          <w:szCs w:val="24"/>
        </w:rPr>
      </w:pPr>
    </w:p>
    <w:p w:rsidR="000314A7" w:rsidRDefault="000314A7">
      <w:pPr>
        <w:rPr>
          <w:rFonts w:ascii="Times New Roman" w:hAnsi="Times New Roman" w:cs="Times New Roman"/>
          <w:sz w:val="24"/>
          <w:szCs w:val="24"/>
        </w:rPr>
      </w:pPr>
      <w:r>
        <w:rPr>
          <w:rFonts w:ascii="Times New Roman" w:hAnsi="Times New Roman" w:cs="Times New Roman"/>
          <w:sz w:val="24"/>
          <w:szCs w:val="24"/>
        </w:rPr>
        <w:br w:type="page"/>
      </w:r>
    </w:p>
    <w:p w:rsidR="000C73BA" w:rsidRPr="000314A7" w:rsidRDefault="000C73BA" w:rsidP="00F654A5">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Figure 4 </w:t>
      </w:r>
      <w:r w:rsidR="000314A7">
        <w:rPr>
          <w:rFonts w:ascii="Times New Roman" w:hAnsi="Times New Roman" w:cs="Times New Roman"/>
          <w:sz w:val="24"/>
          <w:szCs w:val="24"/>
        </w:rPr>
        <w:t xml:space="preserve">provides a 10-year comparison of generation delivered to PSE from unknown sources and the attributed emissions. </w:t>
      </w:r>
      <w:r w:rsidR="006F3734">
        <w:rPr>
          <w:rFonts w:ascii="Times New Roman" w:hAnsi="Times New Roman" w:cs="Times New Roman"/>
          <w:sz w:val="24"/>
          <w:szCs w:val="24"/>
        </w:rPr>
        <w:t xml:space="preserve"> </w:t>
      </w:r>
      <w:r w:rsidR="000314A7">
        <w:rPr>
          <w:rFonts w:ascii="Times New Roman" w:hAnsi="Times New Roman" w:cs="Times New Roman"/>
          <w:sz w:val="24"/>
          <w:szCs w:val="24"/>
        </w:rPr>
        <w:t>Those metrics include annual CO</w:t>
      </w:r>
      <w:r w:rsidR="000314A7" w:rsidRPr="000314A7">
        <w:rPr>
          <w:rFonts w:ascii="Times New Roman" w:hAnsi="Times New Roman" w:cs="Times New Roman"/>
          <w:sz w:val="24"/>
          <w:szCs w:val="24"/>
          <w:vertAlign w:val="subscript"/>
        </w:rPr>
        <w:t>2</w:t>
      </w:r>
      <w:r w:rsidR="000314A7">
        <w:rPr>
          <w:rFonts w:ascii="Times New Roman" w:hAnsi="Times New Roman" w:cs="Times New Roman"/>
          <w:sz w:val="24"/>
          <w:szCs w:val="24"/>
          <w:vertAlign w:val="subscript"/>
        </w:rPr>
        <w:t xml:space="preserve"> </w:t>
      </w:r>
      <w:r w:rsidR="000314A7">
        <w:rPr>
          <w:rFonts w:ascii="Times New Roman" w:hAnsi="Times New Roman" w:cs="Times New Roman"/>
          <w:sz w:val="24"/>
          <w:szCs w:val="24"/>
        </w:rPr>
        <w:t xml:space="preserve">emissions (short tons), annual MWh delivered to retail customers, and the percentage of load served.  </w:t>
      </w:r>
      <w:r w:rsidR="006F3734">
        <w:rPr>
          <w:rFonts w:ascii="Times New Roman" w:hAnsi="Times New Roman" w:cs="Times New Roman"/>
          <w:sz w:val="24"/>
          <w:szCs w:val="24"/>
        </w:rPr>
        <w:t>As discussed in the executive summary, the generation sources and attributed emissions for spot market purcha</w:t>
      </w:r>
      <w:r w:rsidR="00952225">
        <w:rPr>
          <w:rFonts w:ascii="Times New Roman" w:hAnsi="Times New Roman" w:cs="Times New Roman"/>
          <w:sz w:val="24"/>
          <w:szCs w:val="24"/>
        </w:rPr>
        <w:t>ses are unknown, and therefore</w:t>
      </w:r>
      <w:r w:rsidR="006F3734">
        <w:rPr>
          <w:rFonts w:ascii="Times New Roman" w:hAnsi="Times New Roman" w:cs="Times New Roman"/>
          <w:sz w:val="24"/>
          <w:szCs w:val="24"/>
        </w:rPr>
        <w:t xml:space="preserve"> Commerce provided emissions factors for each of the previous 10 years</w:t>
      </w:r>
      <w:r w:rsidR="00952225">
        <w:rPr>
          <w:rFonts w:ascii="Times New Roman" w:hAnsi="Times New Roman" w:cs="Times New Roman"/>
          <w:sz w:val="24"/>
          <w:szCs w:val="24"/>
        </w:rPr>
        <w:t xml:space="preserve"> in the reporting period</w:t>
      </w:r>
      <w:r w:rsidR="006F3734">
        <w:rPr>
          <w:rFonts w:ascii="Times New Roman" w:hAnsi="Times New Roman" w:cs="Times New Roman"/>
          <w:sz w:val="24"/>
          <w:szCs w:val="24"/>
        </w:rPr>
        <w:t>.  PSE is unclear of the methodolo</w:t>
      </w:r>
      <w:r w:rsidR="00952225">
        <w:rPr>
          <w:rFonts w:ascii="Times New Roman" w:hAnsi="Times New Roman" w:cs="Times New Roman"/>
          <w:sz w:val="24"/>
          <w:szCs w:val="24"/>
        </w:rPr>
        <w:t xml:space="preserve">gy used by </w:t>
      </w:r>
      <w:r w:rsidR="006F3734">
        <w:rPr>
          <w:rFonts w:ascii="Times New Roman" w:hAnsi="Times New Roman" w:cs="Times New Roman"/>
          <w:sz w:val="24"/>
          <w:szCs w:val="24"/>
        </w:rPr>
        <w:t>Commerce to calculate those</w:t>
      </w:r>
      <w:r w:rsidR="00493960">
        <w:rPr>
          <w:rFonts w:ascii="Times New Roman" w:hAnsi="Times New Roman" w:cs="Times New Roman"/>
          <w:sz w:val="24"/>
          <w:szCs w:val="24"/>
        </w:rPr>
        <w:t xml:space="preserve"> emissions</w:t>
      </w:r>
      <w:r w:rsidR="006F3734">
        <w:rPr>
          <w:rFonts w:ascii="Times New Roman" w:hAnsi="Times New Roman" w:cs="Times New Roman"/>
          <w:sz w:val="24"/>
          <w:szCs w:val="24"/>
        </w:rPr>
        <w:t xml:space="preserve"> factors.  </w:t>
      </w:r>
      <w:r w:rsidR="00493960">
        <w:rPr>
          <w:rFonts w:ascii="Times New Roman" w:hAnsi="Times New Roman" w:cs="Times New Roman"/>
          <w:sz w:val="24"/>
          <w:szCs w:val="24"/>
        </w:rPr>
        <w:t xml:space="preserve">Nonetheless, they are included in PSE’s analysis in Attachment A and Figure 4 below.  For comparison purposes only, PSE has included in </w:t>
      </w:r>
      <w:r w:rsidR="00952225">
        <w:rPr>
          <w:rFonts w:ascii="Times New Roman" w:hAnsi="Times New Roman" w:cs="Times New Roman"/>
          <w:sz w:val="24"/>
          <w:szCs w:val="24"/>
        </w:rPr>
        <w:t>A</w:t>
      </w:r>
      <w:r w:rsidR="00493960">
        <w:rPr>
          <w:rFonts w:ascii="Times New Roman" w:hAnsi="Times New Roman" w:cs="Times New Roman"/>
          <w:sz w:val="24"/>
          <w:szCs w:val="24"/>
        </w:rPr>
        <w:t>ppendix 2 a similar analysis to Figure 4 but calculates emissions factors using publically available source data from the Northwest Power Pool eGrid tool and the Fuel Mix Disclosure reports from Commerce.  P</w:t>
      </w:r>
      <w:r w:rsidR="00B12E1C">
        <w:rPr>
          <w:rFonts w:ascii="Times New Roman" w:hAnsi="Times New Roman" w:cs="Times New Roman"/>
          <w:sz w:val="24"/>
          <w:szCs w:val="24"/>
        </w:rPr>
        <w:t xml:space="preserve">SE’s analysis in Appendix 2 compares the impacts of using the different emissions factors from both sources.  </w:t>
      </w:r>
      <w:r w:rsidR="00493960">
        <w:rPr>
          <w:rFonts w:ascii="Times New Roman" w:hAnsi="Times New Roman" w:cs="Times New Roman"/>
          <w:sz w:val="24"/>
          <w:szCs w:val="24"/>
        </w:rPr>
        <w:t xml:space="preserve"> </w:t>
      </w:r>
    </w:p>
    <w:p w:rsidR="000C73BA" w:rsidRDefault="000C73BA" w:rsidP="00F654A5">
      <w:pPr>
        <w:pStyle w:val="ListParagraph"/>
        <w:ind w:left="0"/>
        <w:rPr>
          <w:rFonts w:ascii="Times New Roman" w:hAnsi="Times New Roman" w:cs="Times New Roman"/>
          <w:b/>
          <w:sz w:val="24"/>
          <w:szCs w:val="24"/>
        </w:rPr>
      </w:pPr>
    </w:p>
    <w:p w:rsidR="000C73BA" w:rsidRDefault="000C73BA" w:rsidP="00F654A5">
      <w:pPr>
        <w:pStyle w:val="ListParagraph"/>
        <w:ind w:left="0"/>
        <w:rPr>
          <w:rFonts w:ascii="Times New Roman" w:hAnsi="Times New Roman" w:cs="Times New Roman"/>
          <w:b/>
          <w:sz w:val="24"/>
          <w:szCs w:val="24"/>
        </w:rPr>
      </w:pPr>
      <w:r>
        <w:rPr>
          <w:rFonts w:ascii="Times New Roman" w:hAnsi="Times New Roman" w:cs="Times New Roman"/>
          <w:b/>
          <w:sz w:val="24"/>
          <w:szCs w:val="24"/>
        </w:rPr>
        <w:t>Figure 4</w:t>
      </w:r>
    </w:p>
    <w:p w:rsidR="000314A7" w:rsidRDefault="000314A7" w:rsidP="00F654A5">
      <w:pPr>
        <w:pStyle w:val="ListParagraph"/>
        <w:ind w:left="0"/>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5DC9C3A5" wp14:editId="2063829C">
            <wp:extent cx="5828683" cy="5020733"/>
            <wp:effectExtent l="0" t="0" r="63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9222" cy="5029811"/>
                    </a:xfrm>
                    <a:prstGeom prst="rect">
                      <a:avLst/>
                    </a:prstGeom>
                    <a:noFill/>
                  </pic:spPr>
                </pic:pic>
              </a:graphicData>
            </a:graphic>
          </wp:inline>
        </w:drawing>
      </w:r>
    </w:p>
    <w:p w:rsidR="00B12E1C" w:rsidRDefault="00B12E1C">
      <w:pPr>
        <w:rPr>
          <w:rFonts w:ascii="Times New Roman" w:hAnsi="Times New Roman" w:cs="Times New Roman"/>
          <w:b/>
          <w:sz w:val="24"/>
          <w:szCs w:val="24"/>
        </w:rPr>
      </w:pPr>
      <w:r>
        <w:rPr>
          <w:rFonts w:ascii="Times New Roman" w:hAnsi="Times New Roman" w:cs="Times New Roman"/>
          <w:b/>
          <w:sz w:val="24"/>
          <w:szCs w:val="24"/>
        </w:rPr>
        <w:br w:type="page"/>
      </w:r>
    </w:p>
    <w:p w:rsidR="00EA2E3A" w:rsidRDefault="00EA2E3A" w:rsidP="00F654A5">
      <w:pPr>
        <w:pStyle w:val="ListParagraph"/>
        <w:ind w:left="0"/>
        <w:rPr>
          <w:rFonts w:ascii="Times New Roman" w:hAnsi="Times New Roman" w:cs="Times New Roman"/>
          <w:b/>
          <w:sz w:val="24"/>
          <w:szCs w:val="24"/>
        </w:rPr>
      </w:pPr>
    </w:p>
    <w:p w:rsidR="00EC086A" w:rsidRPr="00EC086A" w:rsidRDefault="00F654A5" w:rsidP="00F654A5">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Section 3:  </w:t>
      </w:r>
      <w:r w:rsidR="00DA2B48" w:rsidRPr="00EC086A">
        <w:rPr>
          <w:rFonts w:ascii="Times New Roman" w:hAnsi="Times New Roman" w:cs="Times New Roman"/>
          <w:b/>
          <w:sz w:val="24"/>
          <w:szCs w:val="24"/>
        </w:rPr>
        <w:t>Trend analysis</w:t>
      </w:r>
      <w:r w:rsidR="00EA2E3A">
        <w:rPr>
          <w:rFonts w:ascii="Times New Roman" w:hAnsi="Times New Roman" w:cs="Times New Roman"/>
          <w:b/>
          <w:sz w:val="24"/>
          <w:szCs w:val="24"/>
        </w:rPr>
        <w:t>,</w:t>
      </w:r>
      <w:r w:rsidR="00DA2B48" w:rsidRPr="00EC086A">
        <w:rPr>
          <w:rFonts w:ascii="Times New Roman" w:hAnsi="Times New Roman" w:cs="Times New Roman"/>
          <w:b/>
          <w:sz w:val="24"/>
          <w:szCs w:val="24"/>
        </w:rPr>
        <w:t xml:space="preserve"> </w:t>
      </w:r>
      <w:r w:rsidR="00EA2E3A">
        <w:rPr>
          <w:rFonts w:ascii="Times New Roman" w:hAnsi="Times New Roman" w:cs="Times New Roman"/>
          <w:b/>
          <w:sz w:val="24"/>
          <w:szCs w:val="24"/>
        </w:rPr>
        <w:t>narrative, findings</w:t>
      </w:r>
      <w:r w:rsidR="00DA2B48" w:rsidRPr="00EC086A">
        <w:rPr>
          <w:rFonts w:ascii="Times New Roman" w:hAnsi="Times New Roman" w:cs="Times New Roman"/>
          <w:b/>
          <w:sz w:val="24"/>
          <w:szCs w:val="24"/>
        </w:rPr>
        <w:t xml:space="preserve"> and graphics</w:t>
      </w:r>
    </w:p>
    <w:p w:rsidR="000C2004" w:rsidRDefault="000C2004" w:rsidP="00EC086A">
      <w:pPr>
        <w:pStyle w:val="ListParagraph"/>
        <w:ind w:left="360"/>
        <w:rPr>
          <w:rFonts w:ascii="Times New Roman" w:hAnsi="Times New Roman" w:cs="Times New Roman"/>
          <w:sz w:val="24"/>
          <w:szCs w:val="24"/>
        </w:rPr>
      </w:pPr>
    </w:p>
    <w:p w:rsidR="0043119C" w:rsidRDefault="00EA2E3A" w:rsidP="00D32B5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This section addresses the requirement in WAC 480-109-300(4) to include </w:t>
      </w:r>
      <w:r w:rsidR="0043119C" w:rsidRPr="003213EA">
        <w:rPr>
          <w:rFonts w:ascii="Times New Roman" w:hAnsi="Times New Roman" w:cs="Times New Roman"/>
          <w:sz w:val="24"/>
          <w:szCs w:val="24"/>
        </w:rPr>
        <w:t xml:space="preserve">narrative </w:t>
      </w:r>
      <w:r>
        <w:rPr>
          <w:rFonts w:ascii="Times New Roman" w:hAnsi="Times New Roman" w:cs="Times New Roman"/>
          <w:sz w:val="24"/>
          <w:szCs w:val="24"/>
        </w:rPr>
        <w:t xml:space="preserve">text </w:t>
      </w:r>
      <w:r w:rsidR="0043119C" w:rsidRPr="003213EA">
        <w:rPr>
          <w:rFonts w:ascii="Times New Roman" w:hAnsi="Times New Roman" w:cs="Times New Roman"/>
          <w:sz w:val="24"/>
          <w:szCs w:val="24"/>
        </w:rPr>
        <w:t xml:space="preserve">describing </w:t>
      </w:r>
      <w:r>
        <w:rPr>
          <w:rFonts w:ascii="Times New Roman" w:hAnsi="Times New Roman" w:cs="Times New Roman"/>
          <w:sz w:val="24"/>
          <w:szCs w:val="24"/>
        </w:rPr>
        <w:t>trends and an</w:t>
      </w:r>
      <w:r w:rsidR="0043119C" w:rsidRPr="003213EA">
        <w:rPr>
          <w:rFonts w:ascii="Times New Roman" w:hAnsi="Times New Roman" w:cs="Times New Roman"/>
          <w:sz w:val="24"/>
          <w:szCs w:val="24"/>
        </w:rPr>
        <w:t xml:space="preserve"> analysis </w:t>
      </w:r>
      <w:r>
        <w:rPr>
          <w:rFonts w:ascii="Times New Roman" w:hAnsi="Times New Roman" w:cs="Times New Roman"/>
          <w:sz w:val="24"/>
          <w:szCs w:val="24"/>
        </w:rPr>
        <w:t xml:space="preserve">of the </w:t>
      </w:r>
      <w:r w:rsidR="0043119C" w:rsidRPr="003213EA">
        <w:rPr>
          <w:rFonts w:ascii="Times New Roman" w:hAnsi="Times New Roman" w:cs="Times New Roman"/>
          <w:sz w:val="24"/>
          <w:szCs w:val="24"/>
        </w:rPr>
        <w:t>likely causes of changes, or lack of c</w:t>
      </w:r>
      <w:r>
        <w:rPr>
          <w:rFonts w:ascii="Times New Roman" w:hAnsi="Times New Roman" w:cs="Times New Roman"/>
          <w:sz w:val="24"/>
          <w:szCs w:val="24"/>
        </w:rPr>
        <w:t>hanges, in the metrics</w:t>
      </w:r>
      <w:r w:rsidR="0043119C" w:rsidRPr="003213EA">
        <w:rPr>
          <w:rFonts w:ascii="Times New Roman" w:hAnsi="Times New Roman" w:cs="Times New Roman"/>
          <w:sz w:val="24"/>
          <w:szCs w:val="24"/>
        </w:rPr>
        <w:t xml:space="preserve">.  </w:t>
      </w:r>
    </w:p>
    <w:p w:rsidR="00EA2E3A" w:rsidRDefault="00EA2E3A" w:rsidP="0043119C">
      <w:pPr>
        <w:pStyle w:val="ListParagraph"/>
        <w:spacing w:after="0"/>
        <w:ind w:left="360"/>
        <w:rPr>
          <w:rFonts w:ascii="Times New Roman" w:hAnsi="Times New Roman" w:cs="Times New Roman"/>
          <w:sz w:val="24"/>
          <w:szCs w:val="24"/>
        </w:rPr>
      </w:pPr>
    </w:p>
    <w:p w:rsidR="00EA2E3A" w:rsidRPr="000F235D" w:rsidRDefault="00EA2E3A" w:rsidP="00D32B5D">
      <w:pPr>
        <w:ind w:firstLine="360"/>
        <w:rPr>
          <w:rFonts w:ascii="Times New Roman" w:hAnsi="Times New Roman" w:cs="Times New Roman"/>
          <w:i/>
          <w:sz w:val="24"/>
          <w:szCs w:val="24"/>
        </w:rPr>
      </w:pPr>
      <w:r w:rsidRPr="000F235D">
        <w:rPr>
          <w:rFonts w:ascii="Times New Roman" w:hAnsi="Times New Roman" w:cs="Times New Roman"/>
          <w:i/>
          <w:sz w:val="24"/>
          <w:szCs w:val="24"/>
        </w:rPr>
        <w:t>PSE’s Emissions Follow Northwest Fluctuations</w:t>
      </w:r>
    </w:p>
    <w:p w:rsidR="00D32B5D" w:rsidRDefault="00D32B5D" w:rsidP="00D32B5D">
      <w:pPr>
        <w:rPr>
          <w:rFonts w:ascii="Times New Roman" w:hAnsi="Times New Roman" w:cs="Times New Roman"/>
          <w:sz w:val="24"/>
          <w:szCs w:val="24"/>
        </w:rPr>
      </w:pPr>
      <w:r w:rsidRPr="00ED271C">
        <w:rPr>
          <w:rFonts w:ascii="Times New Roman" w:hAnsi="Times New Roman" w:cs="Times New Roman"/>
          <w:sz w:val="24"/>
          <w:szCs w:val="24"/>
        </w:rPr>
        <w:t>In the Northwest, electric power emissions fluctuate significantly each year, and are inversely correlated to water supply. High water supply leads to increased hydroelectric generation which</w:t>
      </w:r>
      <w:r>
        <w:rPr>
          <w:rFonts w:ascii="Times New Roman" w:hAnsi="Times New Roman" w:cs="Times New Roman"/>
          <w:sz w:val="24"/>
          <w:szCs w:val="24"/>
        </w:rPr>
        <w:t xml:space="preserve">, all other factors held constant, </w:t>
      </w:r>
      <w:r w:rsidRPr="00ED271C">
        <w:rPr>
          <w:rFonts w:ascii="Times New Roman" w:hAnsi="Times New Roman" w:cs="Times New Roman"/>
          <w:sz w:val="24"/>
          <w:szCs w:val="24"/>
        </w:rPr>
        <w:t>reduces the need to operate</w:t>
      </w:r>
      <w:r>
        <w:rPr>
          <w:rFonts w:ascii="Times New Roman" w:hAnsi="Times New Roman" w:cs="Times New Roman"/>
          <w:sz w:val="24"/>
          <w:szCs w:val="24"/>
        </w:rPr>
        <w:t xml:space="preserve"> coal and natural gas units. This results in lower overall</w:t>
      </w:r>
      <w:r w:rsidRPr="00ED271C">
        <w:rPr>
          <w:rFonts w:ascii="Times New Roman" w:hAnsi="Times New Roman" w:cs="Times New Roman"/>
          <w:sz w:val="24"/>
          <w:szCs w:val="24"/>
        </w:rPr>
        <w:t xml:space="preserve"> emissi</w:t>
      </w:r>
      <w:r>
        <w:rPr>
          <w:rFonts w:ascii="Times New Roman" w:hAnsi="Times New Roman" w:cs="Times New Roman"/>
          <w:sz w:val="24"/>
          <w:szCs w:val="24"/>
        </w:rPr>
        <w:t>ons. This point is illustrated below in Figure 5, where total CO</w:t>
      </w:r>
      <w:r w:rsidRPr="00F02428">
        <w:rPr>
          <w:rFonts w:ascii="Times New Roman" w:hAnsi="Times New Roman" w:cs="Times New Roman"/>
          <w:sz w:val="24"/>
          <w:szCs w:val="24"/>
          <w:vertAlign w:val="subscript"/>
        </w:rPr>
        <w:t>2</w:t>
      </w:r>
      <w:r>
        <w:rPr>
          <w:rFonts w:ascii="Times New Roman" w:hAnsi="Times New Roman" w:cs="Times New Roman"/>
          <w:sz w:val="24"/>
          <w:szCs w:val="24"/>
        </w:rPr>
        <w:t xml:space="preserve"> emissions (from power generation in the Northwest) are plotted against </w:t>
      </w:r>
      <w:r w:rsidRPr="00ED271C">
        <w:rPr>
          <w:rFonts w:ascii="Times New Roman" w:hAnsi="Times New Roman" w:cs="Times New Roman"/>
          <w:sz w:val="24"/>
          <w:szCs w:val="24"/>
        </w:rPr>
        <w:t xml:space="preserve">water supply as a percent of average </w:t>
      </w:r>
      <w:r>
        <w:rPr>
          <w:rFonts w:ascii="Times New Roman" w:hAnsi="Times New Roman" w:cs="Times New Roman"/>
          <w:sz w:val="24"/>
          <w:szCs w:val="24"/>
        </w:rPr>
        <w:t>(</w:t>
      </w:r>
      <w:r w:rsidRPr="00ED271C">
        <w:rPr>
          <w:rFonts w:ascii="Times New Roman" w:hAnsi="Times New Roman" w:cs="Times New Roman"/>
          <w:sz w:val="24"/>
          <w:szCs w:val="24"/>
        </w:rPr>
        <w:t>right hand axis</w:t>
      </w:r>
      <w:r>
        <w:rPr>
          <w:rFonts w:ascii="Times New Roman" w:hAnsi="Times New Roman" w:cs="Times New Roman"/>
          <w:sz w:val="24"/>
          <w:szCs w:val="24"/>
        </w:rPr>
        <w:t>)</w:t>
      </w:r>
      <w:r w:rsidRPr="00ED271C">
        <w:rPr>
          <w:rFonts w:ascii="Times New Roman" w:hAnsi="Times New Roman" w:cs="Times New Roman"/>
          <w:sz w:val="24"/>
          <w:szCs w:val="24"/>
        </w:rPr>
        <w:t xml:space="preserve">.  Note that during high water years </w:t>
      </w:r>
      <w:r>
        <w:rPr>
          <w:rFonts w:ascii="Times New Roman" w:hAnsi="Times New Roman" w:cs="Times New Roman"/>
          <w:sz w:val="24"/>
          <w:szCs w:val="24"/>
        </w:rPr>
        <w:t>CO</w:t>
      </w:r>
      <w:r w:rsidRPr="00F02428">
        <w:rPr>
          <w:rFonts w:ascii="Times New Roman" w:hAnsi="Times New Roman" w:cs="Times New Roman"/>
          <w:sz w:val="24"/>
          <w:szCs w:val="24"/>
          <w:vertAlign w:val="subscript"/>
        </w:rPr>
        <w:t>2</w:t>
      </w:r>
      <w:r w:rsidRPr="00ED271C">
        <w:rPr>
          <w:rFonts w:ascii="Times New Roman" w:hAnsi="Times New Roman" w:cs="Times New Roman"/>
          <w:sz w:val="24"/>
          <w:szCs w:val="24"/>
        </w:rPr>
        <w:t xml:space="preserve"> emissions decline.</w:t>
      </w:r>
    </w:p>
    <w:p w:rsidR="00D32B5D" w:rsidRDefault="00D32B5D" w:rsidP="00D32B5D">
      <w:pPr>
        <w:rPr>
          <w:rFonts w:ascii="Times New Roman" w:hAnsi="Times New Roman" w:cs="Times New Roman"/>
          <w:sz w:val="24"/>
          <w:szCs w:val="24"/>
        </w:rPr>
      </w:pPr>
      <w:r w:rsidRPr="000F235D">
        <w:rPr>
          <w:rFonts w:ascii="Times New Roman" w:hAnsi="Times New Roman" w:cs="Times New Roman"/>
          <w:sz w:val="24"/>
          <w:szCs w:val="24"/>
        </w:rPr>
        <w:t>Hydroelectric generation is not the only driver of Northwest emissions.  Looking</w:t>
      </w:r>
      <w:r>
        <w:rPr>
          <w:rFonts w:ascii="Times New Roman" w:hAnsi="Times New Roman" w:cs="Times New Roman"/>
          <w:sz w:val="24"/>
          <w:szCs w:val="24"/>
        </w:rPr>
        <w:t xml:space="preserve"> at</w:t>
      </w:r>
      <w:r w:rsidRPr="000F235D">
        <w:rPr>
          <w:rFonts w:ascii="Times New Roman" w:hAnsi="Times New Roman" w:cs="Times New Roman"/>
          <w:sz w:val="24"/>
          <w:szCs w:val="24"/>
        </w:rPr>
        <w:t xml:space="preserve"> </w:t>
      </w:r>
      <w:r>
        <w:rPr>
          <w:rFonts w:ascii="Times New Roman" w:hAnsi="Times New Roman" w:cs="Times New Roman"/>
          <w:sz w:val="24"/>
          <w:szCs w:val="24"/>
        </w:rPr>
        <w:t>Figure 5</w:t>
      </w:r>
      <w:r w:rsidRPr="000F235D">
        <w:rPr>
          <w:rFonts w:ascii="Times New Roman" w:hAnsi="Times New Roman" w:cs="Times New Roman"/>
          <w:sz w:val="24"/>
          <w:szCs w:val="24"/>
        </w:rPr>
        <w:t>, 2001 emissions are slightly lower than 2008 emissions even though</w:t>
      </w:r>
      <w:r>
        <w:rPr>
          <w:rFonts w:ascii="Times New Roman" w:hAnsi="Times New Roman" w:cs="Times New Roman"/>
          <w:sz w:val="24"/>
          <w:szCs w:val="24"/>
        </w:rPr>
        <w:t xml:space="preserve"> 2001 was a lower water year. </w:t>
      </w:r>
      <w:r w:rsidRPr="000F235D">
        <w:rPr>
          <w:rFonts w:ascii="Times New Roman" w:hAnsi="Times New Roman" w:cs="Times New Roman"/>
          <w:sz w:val="24"/>
          <w:szCs w:val="24"/>
        </w:rPr>
        <w:t xml:space="preserve">This rise in emissions was in part due to increased demand for Northwest electricity, both inside and outside of the region.  In 2008 the Northwest produced over 25% more electricity than in 2001. Although much of the increased demand was met by hydroelectricity, some of the extra power was produced with natural gas, which increased total emissions. </w:t>
      </w:r>
      <w:r w:rsidRPr="008C4D0E">
        <w:rPr>
          <w:rFonts w:ascii="Times New Roman" w:hAnsi="Times New Roman" w:cs="Times New Roman"/>
          <w:sz w:val="20"/>
          <w:szCs w:val="20"/>
        </w:rPr>
        <w:t>(</w:t>
      </w:r>
      <w:r w:rsidRPr="008C4D0E">
        <w:rPr>
          <w:rFonts w:ascii="Times New Roman" w:hAnsi="Times New Roman" w:cs="Times New Roman"/>
          <w:i/>
          <w:sz w:val="20"/>
          <w:szCs w:val="20"/>
        </w:rPr>
        <w:t>Note - Figure 5 does not includ</w:t>
      </w:r>
      <w:r w:rsidR="002A5664">
        <w:rPr>
          <w:rFonts w:ascii="Times New Roman" w:hAnsi="Times New Roman" w:cs="Times New Roman"/>
          <w:i/>
          <w:sz w:val="20"/>
          <w:szCs w:val="20"/>
        </w:rPr>
        <w:t xml:space="preserve">e calendar years 2014 and 2015 because </w:t>
      </w:r>
      <w:r w:rsidRPr="008C4D0E">
        <w:rPr>
          <w:rFonts w:ascii="Times New Roman" w:hAnsi="Times New Roman" w:cs="Times New Roman"/>
          <w:i/>
          <w:sz w:val="20"/>
          <w:szCs w:val="20"/>
        </w:rPr>
        <w:t>regional emissions data were not available</w:t>
      </w:r>
      <w:r w:rsidR="002A5664">
        <w:rPr>
          <w:rFonts w:ascii="Times New Roman" w:hAnsi="Times New Roman" w:cs="Times New Roman"/>
          <w:i/>
          <w:sz w:val="20"/>
          <w:szCs w:val="20"/>
        </w:rPr>
        <w:t xml:space="preserve"> as of this filing</w:t>
      </w:r>
      <w:r w:rsidRPr="008C4D0E">
        <w:rPr>
          <w:rFonts w:ascii="Times New Roman" w:hAnsi="Times New Roman" w:cs="Times New Roman"/>
          <w:sz w:val="20"/>
          <w:szCs w:val="20"/>
        </w:rPr>
        <w:t>)</w:t>
      </w: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t>Figure 5.</w:t>
      </w:r>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DE6552" wp14:editId="06E1E4D1">
            <wp:extent cx="5477933" cy="3309952"/>
            <wp:effectExtent l="0" t="0" r="889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8560" cy="3316373"/>
                    </a:xfrm>
                    <a:prstGeom prst="rect">
                      <a:avLst/>
                    </a:prstGeom>
                    <a:noFill/>
                  </pic:spPr>
                </pic:pic>
              </a:graphicData>
            </a:graphic>
          </wp:inline>
        </w:drawing>
      </w:r>
    </w:p>
    <w:p w:rsidR="00D32B5D" w:rsidRDefault="00D32B5D" w:rsidP="00D32B5D">
      <w:pPr>
        <w:rPr>
          <w:rFonts w:ascii="Times New Roman" w:hAnsi="Times New Roman" w:cs="Times New Roman"/>
          <w:sz w:val="24"/>
          <w:szCs w:val="24"/>
        </w:rPr>
      </w:pPr>
    </w:p>
    <w:p w:rsidR="00D32B5D" w:rsidRDefault="00D32B5D" w:rsidP="00D32B5D">
      <w:pPr>
        <w:rPr>
          <w:rFonts w:ascii="Times New Roman" w:hAnsi="Times New Roman" w:cs="Times New Roman"/>
          <w:sz w:val="24"/>
          <w:szCs w:val="24"/>
        </w:rPr>
      </w:pPr>
      <w:r>
        <w:rPr>
          <w:rFonts w:ascii="Times New Roman" w:hAnsi="Times New Roman" w:cs="Times New Roman"/>
          <w:sz w:val="24"/>
          <w:szCs w:val="24"/>
        </w:rPr>
        <w:t>PSE emissions follow these same trends. From 2006 to 2013 PSE’s emissions match the northwest trend lines shown in Figure 5. This is illustrated in</w:t>
      </w:r>
      <w:r w:rsidR="00952225">
        <w:rPr>
          <w:rFonts w:ascii="Times New Roman" w:hAnsi="Times New Roman" w:cs="Times New Roman"/>
          <w:sz w:val="24"/>
          <w:szCs w:val="24"/>
        </w:rPr>
        <w:t xml:space="preserve"> PSE’s emissions and generation</w:t>
      </w:r>
      <w:r>
        <w:rPr>
          <w:rFonts w:ascii="Times New Roman" w:hAnsi="Times New Roman" w:cs="Times New Roman"/>
          <w:sz w:val="24"/>
          <w:szCs w:val="24"/>
        </w:rPr>
        <w:t xml:space="preserve"> summaries illustrated below in Figures 6, 7, 8, 9 and 10. PSE compared 2006 to 2013 to regional data because as noted above, regional emissions data for 2014 and 2015 were not available as of the filing deadline of this report. </w:t>
      </w: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t>Figure 6.</w:t>
      </w:r>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13DA4E" wp14:editId="4BAA948A">
            <wp:extent cx="5681133" cy="47249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93905" cy="4735616"/>
                    </a:xfrm>
                    <a:prstGeom prst="rect">
                      <a:avLst/>
                    </a:prstGeom>
                    <a:noFill/>
                  </pic:spPr>
                </pic:pic>
              </a:graphicData>
            </a:graphic>
          </wp:inline>
        </w:drawing>
      </w:r>
    </w:p>
    <w:p w:rsidR="00FF1078" w:rsidRDefault="00FF1078">
      <w:pPr>
        <w:rPr>
          <w:rFonts w:ascii="Times New Roman" w:hAnsi="Times New Roman" w:cs="Times New Roman"/>
          <w:b/>
          <w:sz w:val="27"/>
          <w:szCs w:val="27"/>
        </w:rPr>
      </w:pPr>
      <w:r>
        <w:rPr>
          <w:rFonts w:ascii="Times New Roman" w:hAnsi="Times New Roman" w:cs="Times New Roman"/>
          <w:b/>
          <w:sz w:val="27"/>
          <w:szCs w:val="27"/>
        </w:rPr>
        <w:br w:type="page"/>
      </w: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lastRenderedPageBreak/>
        <w:t>Figure 7.</w:t>
      </w:r>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11406E" wp14:editId="32E1B50C">
            <wp:extent cx="4986867" cy="3615589"/>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90991" cy="3618579"/>
                    </a:xfrm>
                    <a:prstGeom prst="rect">
                      <a:avLst/>
                    </a:prstGeom>
                    <a:noFill/>
                  </pic:spPr>
                </pic:pic>
              </a:graphicData>
            </a:graphic>
          </wp:inline>
        </w:drawing>
      </w:r>
    </w:p>
    <w:p w:rsidR="00D32B5D" w:rsidRDefault="00D32B5D" w:rsidP="00D32B5D">
      <w:pPr>
        <w:rPr>
          <w:rFonts w:ascii="Times New Roman" w:hAnsi="Times New Roman" w:cs="Times New Roman"/>
          <w:sz w:val="24"/>
          <w:szCs w:val="24"/>
        </w:rPr>
      </w:pP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t>Figure 8.</w:t>
      </w:r>
    </w:p>
    <w:p w:rsidR="00D32B5D" w:rsidRDefault="00D32B5D" w:rsidP="00D32B5D">
      <w:pPr>
        <w:pStyle w:val="ListParagraph"/>
        <w:spacing w:after="0"/>
        <w:ind w:left="0"/>
        <w:rPr>
          <w:rFonts w:ascii="Times New Roman" w:hAnsi="Times New Roman" w:cs="Times New Roman"/>
          <w:b/>
          <w:sz w:val="27"/>
          <w:szCs w:val="27"/>
        </w:rPr>
      </w:pPr>
      <w:r>
        <w:rPr>
          <w:rFonts w:ascii="Times New Roman" w:hAnsi="Times New Roman" w:cs="Times New Roman"/>
          <w:b/>
          <w:noProof/>
          <w:sz w:val="27"/>
          <w:szCs w:val="27"/>
        </w:rPr>
        <w:drawing>
          <wp:inline distT="0" distB="0" distL="0" distR="0" wp14:anchorId="17EB5538" wp14:editId="3A31003D">
            <wp:extent cx="4978400" cy="3609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8759" cy="3616960"/>
                    </a:xfrm>
                    <a:prstGeom prst="rect">
                      <a:avLst/>
                    </a:prstGeom>
                    <a:noFill/>
                  </pic:spPr>
                </pic:pic>
              </a:graphicData>
            </a:graphic>
          </wp:inline>
        </w:drawing>
      </w: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lastRenderedPageBreak/>
        <w:t>Figure 9.</w:t>
      </w:r>
    </w:p>
    <w:p w:rsidR="00D32B5D" w:rsidRDefault="00D32B5D" w:rsidP="00D32B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E2F529" wp14:editId="11E3E6EF">
            <wp:extent cx="4986867" cy="3615589"/>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0507" cy="3618228"/>
                    </a:xfrm>
                    <a:prstGeom prst="rect">
                      <a:avLst/>
                    </a:prstGeom>
                    <a:noFill/>
                  </pic:spPr>
                </pic:pic>
              </a:graphicData>
            </a:graphic>
          </wp:inline>
        </w:drawing>
      </w:r>
    </w:p>
    <w:p w:rsidR="00D32B5D" w:rsidRPr="00FF1078" w:rsidRDefault="00D32B5D" w:rsidP="00D32B5D">
      <w:pPr>
        <w:pStyle w:val="ListParagraph"/>
        <w:spacing w:after="0"/>
        <w:ind w:left="0"/>
        <w:rPr>
          <w:rFonts w:ascii="Times New Roman" w:hAnsi="Times New Roman" w:cs="Times New Roman"/>
          <w:b/>
          <w:sz w:val="24"/>
          <w:szCs w:val="27"/>
        </w:rPr>
      </w:pPr>
      <w:r w:rsidRPr="00FF1078">
        <w:rPr>
          <w:rFonts w:ascii="Times New Roman" w:hAnsi="Times New Roman" w:cs="Times New Roman"/>
          <w:b/>
          <w:sz w:val="24"/>
          <w:szCs w:val="27"/>
        </w:rPr>
        <w:t>Figure 10.</w:t>
      </w:r>
    </w:p>
    <w:p w:rsidR="00D32B5D" w:rsidRDefault="00D32B5D" w:rsidP="00D32B5D">
      <w:pPr>
        <w:pStyle w:val="ListParagraph"/>
        <w:spacing w:after="0"/>
        <w:ind w:left="0"/>
        <w:rPr>
          <w:rFonts w:ascii="Times New Roman" w:hAnsi="Times New Roman" w:cs="Times New Roman"/>
          <w:b/>
          <w:sz w:val="27"/>
          <w:szCs w:val="27"/>
        </w:rPr>
      </w:pPr>
      <w:r>
        <w:rPr>
          <w:rFonts w:ascii="Times New Roman" w:hAnsi="Times New Roman" w:cs="Times New Roman"/>
          <w:b/>
          <w:noProof/>
          <w:sz w:val="27"/>
          <w:szCs w:val="27"/>
        </w:rPr>
        <w:drawing>
          <wp:inline distT="0" distB="0" distL="0" distR="0" wp14:anchorId="6F1F2BC6" wp14:editId="19DF39AD">
            <wp:extent cx="4978400" cy="3609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7665" cy="3608916"/>
                    </a:xfrm>
                    <a:prstGeom prst="rect">
                      <a:avLst/>
                    </a:prstGeom>
                    <a:noFill/>
                  </pic:spPr>
                </pic:pic>
              </a:graphicData>
            </a:graphic>
          </wp:inline>
        </w:drawing>
      </w:r>
    </w:p>
    <w:p w:rsidR="00D32B5D" w:rsidRDefault="00D32B5D" w:rsidP="00D32B5D">
      <w:pPr>
        <w:rPr>
          <w:rFonts w:ascii="Times New Roman" w:hAnsi="Times New Roman" w:cs="Times New Roman"/>
          <w:sz w:val="24"/>
          <w:szCs w:val="24"/>
        </w:rPr>
      </w:pPr>
    </w:p>
    <w:p w:rsidR="00D32B5D" w:rsidRDefault="00D32B5D" w:rsidP="00D32B5D">
      <w:pPr>
        <w:rPr>
          <w:rFonts w:ascii="Times New Roman" w:hAnsi="Times New Roman" w:cs="Times New Roman"/>
          <w:i/>
          <w:sz w:val="24"/>
          <w:szCs w:val="24"/>
        </w:rPr>
      </w:pPr>
      <w:r w:rsidRPr="00F72D71">
        <w:rPr>
          <w:rFonts w:ascii="Times New Roman" w:hAnsi="Times New Roman" w:cs="Times New Roman"/>
          <w:i/>
          <w:sz w:val="24"/>
          <w:szCs w:val="24"/>
        </w:rPr>
        <w:lastRenderedPageBreak/>
        <w:t xml:space="preserve">PSE Thermal Fleet </w:t>
      </w:r>
    </w:p>
    <w:p w:rsidR="00D32B5D" w:rsidRDefault="00D32B5D" w:rsidP="00D32B5D">
      <w:pPr>
        <w:rPr>
          <w:rFonts w:ascii="Times New Roman" w:hAnsi="Times New Roman" w:cs="Times New Roman"/>
          <w:sz w:val="24"/>
          <w:szCs w:val="24"/>
        </w:rPr>
      </w:pPr>
      <w:r>
        <w:rPr>
          <w:rFonts w:ascii="Times New Roman" w:hAnsi="Times New Roman" w:cs="Times New Roman"/>
          <w:sz w:val="24"/>
          <w:szCs w:val="24"/>
        </w:rPr>
        <w:t>Between 2006 and 2015, 60</w:t>
      </w:r>
      <w:r w:rsidRPr="000A6044">
        <w:rPr>
          <w:rFonts w:ascii="Times New Roman" w:hAnsi="Times New Roman" w:cs="Times New Roman"/>
          <w:sz w:val="24"/>
          <w:szCs w:val="24"/>
        </w:rPr>
        <w:t xml:space="preserve">% of the </w:t>
      </w:r>
      <w:r w:rsidR="00952225">
        <w:rPr>
          <w:rFonts w:ascii="Times New Roman" w:hAnsi="Times New Roman" w:cs="Times New Roman"/>
          <w:sz w:val="24"/>
          <w:szCs w:val="24"/>
        </w:rPr>
        <w:t xml:space="preserve">thermal </w:t>
      </w:r>
      <w:r w:rsidRPr="000A6044">
        <w:rPr>
          <w:rFonts w:ascii="Times New Roman" w:hAnsi="Times New Roman" w:cs="Times New Roman"/>
          <w:sz w:val="24"/>
          <w:szCs w:val="24"/>
        </w:rPr>
        <w:t xml:space="preserve">electricity </w:t>
      </w:r>
      <w:r>
        <w:rPr>
          <w:rFonts w:ascii="Times New Roman" w:hAnsi="Times New Roman" w:cs="Times New Roman"/>
          <w:sz w:val="24"/>
          <w:szCs w:val="24"/>
        </w:rPr>
        <w:t xml:space="preserve">PSE </w:t>
      </w:r>
      <w:r w:rsidRPr="000A6044">
        <w:rPr>
          <w:rFonts w:ascii="Times New Roman" w:hAnsi="Times New Roman" w:cs="Times New Roman"/>
          <w:sz w:val="24"/>
          <w:szCs w:val="24"/>
        </w:rPr>
        <w:t>generate</w:t>
      </w:r>
      <w:r>
        <w:rPr>
          <w:rFonts w:ascii="Times New Roman" w:hAnsi="Times New Roman" w:cs="Times New Roman"/>
          <w:sz w:val="24"/>
          <w:szCs w:val="24"/>
        </w:rPr>
        <w:t>d</w:t>
      </w:r>
      <w:r w:rsidRPr="000A6044">
        <w:rPr>
          <w:rFonts w:ascii="Times New Roman" w:hAnsi="Times New Roman" w:cs="Times New Roman"/>
          <w:sz w:val="24"/>
          <w:szCs w:val="24"/>
        </w:rPr>
        <w:t xml:space="preserve"> c</w:t>
      </w:r>
      <w:r>
        <w:rPr>
          <w:rFonts w:ascii="Times New Roman" w:hAnsi="Times New Roman" w:cs="Times New Roman"/>
          <w:sz w:val="24"/>
          <w:szCs w:val="24"/>
        </w:rPr>
        <w:t xml:space="preserve">ame </w:t>
      </w:r>
      <w:r w:rsidRPr="000A6044">
        <w:rPr>
          <w:rFonts w:ascii="Times New Roman" w:hAnsi="Times New Roman" w:cs="Times New Roman"/>
          <w:sz w:val="24"/>
          <w:szCs w:val="24"/>
        </w:rPr>
        <w:t xml:space="preserve">from </w:t>
      </w:r>
      <w:r>
        <w:rPr>
          <w:rFonts w:ascii="Times New Roman" w:hAnsi="Times New Roman" w:cs="Times New Roman"/>
          <w:sz w:val="24"/>
          <w:szCs w:val="24"/>
        </w:rPr>
        <w:t>the Colstrip station,</w:t>
      </w:r>
      <w:r w:rsidRPr="000A6044">
        <w:rPr>
          <w:rFonts w:ascii="Times New Roman" w:hAnsi="Times New Roman" w:cs="Times New Roman"/>
          <w:sz w:val="24"/>
          <w:szCs w:val="24"/>
        </w:rPr>
        <w:t xml:space="preserve"> which has a high GHG emission intensity</w:t>
      </w:r>
      <w:r>
        <w:rPr>
          <w:rFonts w:ascii="Times New Roman" w:hAnsi="Times New Roman" w:cs="Times New Roman"/>
          <w:sz w:val="24"/>
          <w:szCs w:val="24"/>
        </w:rPr>
        <w:t xml:space="preserve"> </w:t>
      </w:r>
      <w:r w:rsidRPr="000A6044">
        <w:rPr>
          <w:rFonts w:ascii="Times New Roman" w:hAnsi="Times New Roman" w:cs="Times New Roman"/>
          <w:sz w:val="24"/>
          <w:szCs w:val="24"/>
        </w:rPr>
        <w:t xml:space="preserve">compared to natural gas. Of </w:t>
      </w:r>
      <w:r>
        <w:rPr>
          <w:rFonts w:ascii="Times New Roman" w:hAnsi="Times New Roman" w:cs="Times New Roman"/>
          <w:sz w:val="24"/>
          <w:szCs w:val="24"/>
        </w:rPr>
        <w:t xml:space="preserve">the </w:t>
      </w:r>
      <w:r w:rsidRPr="000A6044">
        <w:rPr>
          <w:rFonts w:ascii="Times New Roman" w:hAnsi="Times New Roman" w:cs="Times New Roman"/>
          <w:sz w:val="24"/>
          <w:szCs w:val="24"/>
        </w:rPr>
        <w:t>CO</w:t>
      </w:r>
      <w:r w:rsidRPr="000A6044">
        <w:rPr>
          <w:rFonts w:ascii="Times New Roman" w:hAnsi="Times New Roman" w:cs="Times New Roman"/>
          <w:sz w:val="24"/>
          <w:szCs w:val="24"/>
          <w:vertAlign w:val="subscript"/>
        </w:rPr>
        <w:t>2</w:t>
      </w:r>
      <w:r w:rsidRPr="000A6044">
        <w:rPr>
          <w:rFonts w:ascii="Times New Roman" w:hAnsi="Times New Roman" w:cs="Times New Roman"/>
          <w:sz w:val="24"/>
          <w:szCs w:val="24"/>
        </w:rPr>
        <w:t xml:space="preserve"> emissions from</w:t>
      </w:r>
      <w:r>
        <w:rPr>
          <w:rFonts w:ascii="Times New Roman" w:hAnsi="Times New Roman" w:cs="Times New Roman"/>
          <w:sz w:val="24"/>
          <w:szCs w:val="24"/>
        </w:rPr>
        <w:t xml:space="preserve"> </w:t>
      </w:r>
      <w:r w:rsidR="00952225">
        <w:rPr>
          <w:rFonts w:ascii="Times New Roman" w:hAnsi="Times New Roman" w:cs="Times New Roman"/>
          <w:sz w:val="24"/>
          <w:szCs w:val="24"/>
        </w:rPr>
        <w:t xml:space="preserve">thermal </w:t>
      </w:r>
      <w:r w:rsidRPr="000A6044">
        <w:rPr>
          <w:rFonts w:ascii="Times New Roman" w:hAnsi="Times New Roman" w:cs="Times New Roman"/>
          <w:sz w:val="24"/>
          <w:szCs w:val="24"/>
        </w:rPr>
        <w:t>electricity generated by</w:t>
      </w:r>
      <w:r>
        <w:rPr>
          <w:rFonts w:ascii="Times New Roman" w:hAnsi="Times New Roman" w:cs="Times New Roman"/>
          <w:sz w:val="24"/>
          <w:szCs w:val="24"/>
        </w:rPr>
        <w:t xml:space="preserve"> </w:t>
      </w:r>
      <w:r w:rsidRPr="000A6044">
        <w:rPr>
          <w:rFonts w:ascii="Times New Roman" w:hAnsi="Times New Roman" w:cs="Times New Roman"/>
          <w:sz w:val="24"/>
          <w:szCs w:val="24"/>
        </w:rPr>
        <w:t xml:space="preserve">PSE </w:t>
      </w:r>
      <w:r>
        <w:rPr>
          <w:rFonts w:ascii="Times New Roman" w:hAnsi="Times New Roman" w:cs="Times New Roman"/>
          <w:sz w:val="24"/>
          <w:szCs w:val="24"/>
        </w:rPr>
        <w:t xml:space="preserve">during that time </w:t>
      </w:r>
      <w:r w:rsidRPr="000A6044">
        <w:rPr>
          <w:rFonts w:ascii="Times New Roman" w:hAnsi="Times New Roman" w:cs="Times New Roman"/>
          <w:sz w:val="24"/>
          <w:szCs w:val="24"/>
        </w:rPr>
        <w:t>(</w:t>
      </w:r>
      <w:r>
        <w:rPr>
          <w:rFonts w:ascii="Times New Roman" w:hAnsi="Times New Roman" w:cs="Times New Roman"/>
          <w:sz w:val="24"/>
          <w:szCs w:val="24"/>
        </w:rPr>
        <w:t>Colstrip plus the entire owned and firm gas fleet</w:t>
      </w:r>
      <w:r w:rsidRPr="000A6044">
        <w:rPr>
          <w:rFonts w:ascii="Times New Roman" w:hAnsi="Times New Roman" w:cs="Times New Roman"/>
          <w:sz w:val="24"/>
          <w:szCs w:val="24"/>
        </w:rPr>
        <w:t xml:space="preserve">), </w:t>
      </w:r>
      <w:r>
        <w:rPr>
          <w:rFonts w:ascii="Times New Roman" w:hAnsi="Times New Roman" w:cs="Times New Roman"/>
          <w:sz w:val="24"/>
          <w:szCs w:val="24"/>
        </w:rPr>
        <w:t>74</w:t>
      </w:r>
      <w:r w:rsidRPr="000A6044">
        <w:rPr>
          <w:rFonts w:ascii="Times New Roman" w:hAnsi="Times New Roman" w:cs="Times New Roman"/>
          <w:sz w:val="24"/>
          <w:szCs w:val="24"/>
        </w:rPr>
        <w:t>%</w:t>
      </w:r>
      <w:r>
        <w:rPr>
          <w:rFonts w:ascii="Times New Roman" w:hAnsi="Times New Roman" w:cs="Times New Roman"/>
          <w:sz w:val="24"/>
          <w:szCs w:val="24"/>
        </w:rPr>
        <w:t xml:space="preserve"> of emissions were </w:t>
      </w:r>
      <w:r w:rsidRPr="000A6044">
        <w:rPr>
          <w:rFonts w:ascii="Times New Roman" w:hAnsi="Times New Roman" w:cs="Times New Roman"/>
          <w:sz w:val="24"/>
          <w:szCs w:val="24"/>
        </w:rPr>
        <w:t>from coal-combusti</w:t>
      </w:r>
      <w:r>
        <w:rPr>
          <w:rFonts w:ascii="Times New Roman" w:hAnsi="Times New Roman" w:cs="Times New Roman"/>
          <w:sz w:val="24"/>
          <w:szCs w:val="24"/>
        </w:rPr>
        <w:t xml:space="preserve">on. This factors heavily in the total emissions attributed to owned and firm purchases shown in Figures 6 and 7 above. </w:t>
      </w:r>
    </w:p>
    <w:p w:rsidR="00D32B5D" w:rsidRDefault="00D32B5D" w:rsidP="00D32B5D">
      <w:pPr>
        <w:rPr>
          <w:rFonts w:ascii="Times New Roman" w:hAnsi="Times New Roman" w:cs="Times New Roman"/>
          <w:sz w:val="24"/>
          <w:szCs w:val="24"/>
        </w:rPr>
      </w:pPr>
      <w:r w:rsidRPr="001D2C58">
        <w:rPr>
          <w:noProof/>
        </w:rPr>
        <w:drawing>
          <wp:inline distT="0" distB="0" distL="0" distR="0" wp14:anchorId="23B46729" wp14:editId="5AE6440B">
            <wp:extent cx="5943600" cy="2337793"/>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337793"/>
                    </a:xfrm>
                    <a:prstGeom prst="rect">
                      <a:avLst/>
                    </a:prstGeom>
                  </pic:spPr>
                </pic:pic>
              </a:graphicData>
            </a:graphic>
          </wp:inline>
        </w:drawing>
      </w:r>
    </w:p>
    <w:p w:rsidR="00D447A2" w:rsidRDefault="00D447A2" w:rsidP="00D32B5D">
      <w:pPr>
        <w:rPr>
          <w:rFonts w:ascii="Times New Roman" w:hAnsi="Times New Roman" w:cs="Times New Roman"/>
          <w:i/>
          <w:sz w:val="24"/>
          <w:szCs w:val="24"/>
        </w:rPr>
      </w:pPr>
    </w:p>
    <w:p w:rsidR="00D32B5D" w:rsidRDefault="00D447A2" w:rsidP="00D32B5D">
      <w:pPr>
        <w:rPr>
          <w:rFonts w:ascii="Times New Roman" w:hAnsi="Times New Roman" w:cs="Times New Roman"/>
          <w:i/>
          <w:sz w:val="24"/>
          <w:szCs w:val="24"/>
        </w:rPr>
      </w:pPr>
      <w:r>
        <w:rPr>
          <w:rFonts w:ascii="Times New Roman" w:hAnsi="Times New Roman" w:cs="Times New Roman"/>
          <w:i/>
          <w:sz w:val="24"/>
          <w:szCs w:val="24"/>
        </w:rPr>
        <w:t xml:space="preserve">Centralia Coal Transition Power </w:t>
      </w:r>
    </w:p>
    <w:p w:rsidR="00D447A2" w:rsidRPr="00D447A2" w:rsidRDefault="00D447A2" w:rsidP="00D447A2">
      <w:pPr>
        <w:rPr>
          <w:rFonts w:ascii="Times New Roman" w:hAnsi="Times New Roman" w:cs="Times New Roman"/>
          <w:sz w:val="24"/>
          <w:szCs w:val="24"/>
        </w:rPr>
      </w:pPr>
      <w:r>
        <w:rPr>
          <w:rFonts w:ascii="Times New Roman" w:hAnsi="Times New Roman" w:cs="Times New Roman"/>
          <w:sz w:val="24"/>
          <w:szCs w:val="24"/>
        </w:rPr>
        <w:t>It</w:t>
      </w:r>
      <w:r w:rsidR="003F45EA">
        <w:rPr>
          <w:rFonts w:ascii="Times New Roman" w:hAnsi="Times New Roman" w:cs="Times New Roman"/>
          <w:sz w:val="24"/>
          <w:szCs w:val="24"/>
        </w:rPr>
        <w:t xml:space="preserve"> is</w:t>
      </w:r>
      <w:r>
        <w:rPr>
          <w:rFonts w:ascii="Times New Roman" w:hAnsi="Times New Roman" w:cs="Times New Roman"/>
          <w:sz w:val="24"/>
          <w:szCs w:val="24"/>
        </w:rPr>
        <w:t xml:space="preserve"> important to distinguish between emissions from PSE’s thermal fleet above and the contract PSE signed with TransAlta for coal transition power from the Centralia power station (“Centralia”).  In this report, PSE</w:t>
      </w:r>
      <w:r w:rsidRPr="00D447A2">
        <w:rPr>
          <w:rFonts w:ascii="Times New Roman" w:hAnsi="Times New Roman" w:cs="Times New Roman"/>
          <w:sz w:val="24"/>
          <w:szCs w:val="24"/>
        </w:rPr>
        <w:t xml:space="preserve"> incorporate</w:t>
      </w:r>
      <w:r>
        <w:rPr>
          <w:rFonts w:ascii="Times New Roman" w:hAnsi="Times New Roman" w:cs="Times New Roman"/>
          <w:sz w:val="24"/>
          <w:szCs w:val="24"/>
        </w:rPr>
        <w:t>s</w:t>
      </w:r>
      <w:r w:rsidRPr="00D447A2">
        <w:rPr>
          <w:rFonts w:ascii="Times New Roman" w:hAnsi="Times New Roman" w:cs="Times New Roman"/>
          <w:sz w:val="24"/>
          <w:szCs w:val="24"/>
        </w:rPr>
        <w:t xml:space="preserve"> a breakdown of power </w:t>
      </w:r>
      <w:r>
        <w:rPr>
          <w:rFonts w:ascii="Times New Roman" w:hAnsi="Times New Roman" w:cs="Times New Roman"/>
          <w:sz w:val="24"/>
          <w:szCs w:val="24"/>
        </w:rPr>
        <w:t xml:space="preserve">and emissions </w:t>
      </w:r>
      <w:r w:rsidRPr="00D447A2">
        <w:rPr>
          <w:rFonts w:ascii="Times New Roman" w:hAnsi="Times New Roman" w:cs="Times New Roman"/>
          <w:sz w:val="24"/>
          <w:szCs w:val="24"/>
        </w:rPr>
        <w:t xml:space="preserve">from Centralia and differentiates Centralia generation and Centralia supply, which is power purchased by the owner of Centralia (TransAlta), and supplied to PSE.  </w:t>
      </w:r>
      <w:r>
        <w:rPr>
          <w:rFonts w:ascii="Times New Roman" w:hAnsi="Times New Roman" w:cs="Times New Roman"/>
          <w:sz w:val="24"/>
          <w:szCs w:val="24"/>
        </w:rPr>
        <w:t>PSE’s report will apply</w:t>
      </w:r>
      <w:r w:rsidRPr="00D447A2">
        <w:rPr>
          <w:rFonts w:ascii="Times New Roman" w:hAnsi="Times New Roman" w:cs="Times New Roman"/>
          <w:sz w:val="24"/>
          <w:szCs w:val="24"/>
        </w:rPr>
        <w:t xml:space="preserve"> different emissions factors for power supplied versus generated from Centralia </w:t>
      </w:r>
      <w:r>
        <w:rPr>
          <w:rFonts w:ascii="Times New Roman" w:hAnsi="Times New Roman" w:cs="Times New Roman"/>
          <w:sz w:val="24"/>
          <w:szCs w:val="24"/>
        </w:rPr>
        <w:t>in order to</w:t>
      </w:r>
      <w:r w:rsidRPr="00D447A2">
        <w:rPr>
          <w:rFonts w:ascii="Times New Roman" w:hAnsi="Times New Roman" w:cs="Times New Roman"/>
          <w:sz w:val="24"/>
          <w:szCs w:val="24"/>
        </w:rPr>
        <w:t xml:space="preserve"> more accurately reflect known sources of emissions.   </w:t>
      </w:r>
    </w:p>
    <w:p w:rsidR="00D447A2" w:rsidRPr="00D447A2" w:rsidRDefault="00D447A2" w:rsidP="00D447A2">
      <w:pPr>
        <w:rPr>
          <w:rFonts w:ascii="Times New Roman" w:hAnsi="Times New Roman" w:cs="Times New Roman"/>
          <w:sz w:val="24"/>
          <w:szCs w:val="24"/>
        </w:rPr>
      </w:pPr>
      <w:r w:rsidRPr="00D447A2">
        <w:rPr>
          <w:rFonts w:ascii="Times New Roman" w:hAnsi="Times New Roman" w:cs="Times New Roman"/>
          <w:sz w:val="24"/>
          <w:szCs w:val="24"/>
        </w:rPr>
        <w:t>PSE reports the difference between supplied and generated power each year from Centralia in its Annual Report of Energy Delivery to PSE from TransAlt</w:t>
      </w:r>
      <w:r w:rsidR="003F45EA">
        <w:rPr>
          <w:rFonts w:ascii="Times New Roman" w:hAnsi="Times New Roman" w:cs="Times New Roman"/>
          <w:sz w:val="24"/>
          <w:szCs w:val="24"/>
        </w:rPr>
        <w:t>a-Centralia Transition Coal in D</w:t>
      </w:r>
      <w:r w:rsidRPr="00D447A2">
        <w:rPr>
          <w:rFonts w:ascii="Times New Roman" w:hAnsi="Times New Roman" w:cs="Times New Roman"/>
          <w:sz w:val="24"/>
          <w:szCs w:val="24"/>
        </w:rPr>
        <w:t xml:space="preserve">ocket </w:t>
      </w:r>
      <w:r w:rsidR="003F45EA">
        <w:rPr>
          <w:rFonts w:ascii="Times New Roman" w:hAnsi="Times New Roman" w:cs="Times New Roman"/>
          <w:sz w:val="24"/>
          <w:szCs w:val="24"/>
        </w:rPr>
        <w:t xml:space="preserve">No. </w:t>
      </w:r>
      <w:r w:rsidRPr="00D447A2">
        <w:rPr>
          <w:rFonts w:ascii="Times New Roman" w:hAnsi="Times New Roman" w:cs="Times New Roman"/>
          <w:sz w:val="24"/>
          <w:szCs w:val="24"/>
        </w:rPr>
        <w:t xml:space="preserve">UE-121373 (“Coal Transition Report”).  PSE’s sources of Centralia generation and supply in </w:t>
      </w:r>
      <w:r w:rsidR="00E40D91">
        <w:rPr>
          <w:rFonts w:ascii="Times New Roman" w:hAnsi="Times New Roman" w:cs="Times New Roman"/>
          <w:sz w:val="24"/>
          <w:szCs w:val="24"/>
        </w:rPr>
        <w:t xml:space="preserve">this report </w:t>
      </w:r>
      <w:r w:rsidRPr="00D447A2">
        <w:rPr>
          <w:rFonts w:ascii="Times New Roman" w:hAnsi="Times New Roman" w:cs="Times New Roman"/>
          <w:sz w:val="24"/>
          <w:szCs w:val="24"/>
        </w:rPr>
        <w:t>are consistent with its Coal Transition Report.  For power generated from Centralia coal, PSE applied the assigned emissions factor of 2,407 pounds of carbon dioxide emissions per megawatt-hour (“lbs per CO</w:t>
      </w:r>
      <w:r w:rsidRPr="00D447A2">
        <w:rPr>
          <w:rFonts w:ascii="Times New Roman" w:hAnsi="Times New Roman" w:cs="Times New Roman"/>
          <w:sz w:val="24"/>
          <w:szCs w:val="24"/>
          <w:vertAlign w:val="subscript"/>
        </w:rPr>
        <w:t>2</w:t>
      </w:r>
      <w:r w:rsidRPr="00D447A2">
        <w:rPr>
          <w:rFonts w:ascii="Times New Roman" w:hAnsi="Times New Roman" w:cs="Times New Roman"/>
          <w:sz w:val="24"/>
          <w:szCs w:val="24"/>
        </w:rPr>
        <w:t>/MWh”, calculated).  For power supplied by Centralia, PSE applied the WA Department of Commerce (“Commerce”) 2015 system rate, which is 1,046 lbs per CO</w:t>
      </w:r>
      <w:r w:rsidRPr="00D447A2">
        <w:rPr>
          <w:rFonts w:ascii="Times New Roman" w:hAnsi="Times New Roman" w:cs="Times New Roman"/>
          <w:sz w:val="24"/>
          <w:szCs w:val="24"/>
          <w:vertAlign w:val="subscript"/>
        </w:rPr>
        <w:t>2</w:t>
      </w:r>
      <w:r w:rsidRPr="00D447A2">
        <w:rPr>
          <w:rFonts w:ascii="Times New Roman" w:hAnsi="Times New Roman" w:cs="Times New Roman"/>
          <w:sz w:val="24"/>
          <w:szCs w:val="24"/>
        </w:rPr>
        <w:t>/MWh.  PSE determined the Commerce system rate was reasonable because it provides consistency given the uncertainty of sources purchased by TransAlta from ot</w:t>
      </w:r>
      <w:r>
        <w:rPr>
          <w:rFonts w:ascii="Times New Roman" w:hAnsi="Times New Roman" w:cs="Times New Roman"/>
          <w:sz w:val="24"/>
          <w:szCs w:val="24"/>
        </w:rPr>
        <w:t xml:space="preserve">her Balancing </w:t>
      </w:r>
      <w:r>
        <w:rPr>
          <w:rFonts w:ascii="Times New Roman" w:hAnsi="Times New Roman" w:cs="Times New Roman"/>
          <w:sz w:val="24"/>
          <w:szCs w:val="24"/>
        </w:rPr>
        <w:lastRenderedPageBreak/>
        <w:t xml:space="preserve">Authority Areas.  </w:t>
      </w:r>
      <w:r w:rsidRPr="00D447A2">
        <w:rPr>
          <w:rFonts w:ascii="Times New Roman" w:hAnsi="Times New Roman" w:cs="Times New Roman"/>
          <w:sz w:val="24"/>
        </w:rPr>
        <w:t xml:space="preserve">PSE plans to use this same methodology to differentiate Centralia generation and supply in </w:t>
      </w:r>
      <w:r>
        <w:rPr>
          <w:rFonts w:ascii="Times New Roman" w:hAnsi="Times New Roman" w:cs="Times New Roman"/>
          <w:sz w:val="24"/>
        </w:rPr>
        <w:t>this report</w:t>
      </w:r>
      <w:r w:rsidRPr="00D447A2">
        <w:rPr>
          <w:rFonts w:ascii="Times New Roman" w:hAnsi="Times New Roman" w:cs="Times New Roman"/>
          <w:sz w:val="24"/>
        </w:rPr>
        <w:t xml:space="preserve"> for the duration of the Centralia coal transition contract.    </w:t>
      </w:r>
      <w:r w:rsidRPr="00CD4732">
        <w:rPr>
          <w:sz w:val="24"/>
        </w:rPr>
        <w:t xml:space="preserve"> </w:t>
      </w:r>
      <w:r>
        <w:rPr>
          <w:sz w:val="24"/>
        </w:rPr>
        <w:t xml:space="preserve">  </w:t>
      </w:r>
      <w:r w:rsidRPr="00CD4732">
        <w:rPr>
          <w:sz w:val="24"/>
        </w:rPr>
        <w:t>   </w:t>
      </w:r>
    </w:p>
    <w:p w:rsidR="00D447A2" w:rsidRDefault="00D447A2" w:rsidP="00D32B5D">
      <w:pPr>
        <w:rPr>
          <w:rFonts w:ascii="Times New Roman" w:hAnsi="Times New Roman" w:cs="Times New Roman"/>
          <w:i/>
          <w:sz w:val="24"/>
          <w:szCs w:val="24"/>
        </w:rPr>
      </w:pPr>
    </w:p>
    <w:p w:rsidR="00D32B5D" w:rsidRDefault="00D32B5D" w:rsidP="00D32B5D">
      <w:pPr>
        <w:rPr>
          <w:rFonts w:ascii="Times New Roman" w:hAnsi="Times New Roman" w:cs="Times New Roman"/>
          <w:i/>
          <w:sz w:val="24"/>
          <w:szCs w:val="24"/>
        </w:rPr>
      </w:pPr>
      <w:r w:rsidRPr="00F72D71">
        <w:rPr>
          <w:rFonts w:ascii="Times New Roman" w:hAnsi="Times New Roman" w:cs="Times New Roman"/>
          <w:i/>
          <w:sz w:val="24"/>
          <w:szCs w:val="24"/>
        </w:rPr>
        <w:t xml:space="preserve">Emission Rate Correlation </w:t>
      </w:r>
    </w:p>
    <w:p w:rsidR="00D32B5D" w:rsidRDefault="002A5664" w:rsidP="00D32B5D">
      <w:pPr>
        <w:rPr>
          <w:rFonts w:ascii="Times New Roman" w:hAnsi="Times New Roman" w:cs="Times New Roman"/>
          <w:sz w:val="24"/>
          <w:szCs w:val="24"/>
        </w:rPr>
      </w:pPr>
      <w:r>
        <w:rPr>
          <w:rFonts w:ascii="Times New Roman" w:hAnsi="Times New Roman" w:cs="Times New Roman"/>
          <w:sz w:val="24"/>
          <w:szCs w:val="24"/>
        </w:rPr>
        <w:t>PSE used r</w:t>
      </w:r>
      <w:r w:rsidR="00D32B5D">
        <w:rPr>
          <w:rFonts w:ascii="Times New Roman" w:hAnsi="Times New Roman" w:cs="Times New Roman"/>
          <w:sz w:val="24"/>
          <w:szCs w:val="24"/>
        </w:rPr>
        <w:t>egional av</w:t>
      </w:r>
      <w:r w:rsidR="00D32B5D" w:rsidRPr="000A6044">
        <w:rPr>
          <w:rFonts w:ascii="Times New Roman" w:hAnsi="Times New Roman" w:cs="Times New Roman"/>
          <w:sz w:val="24"/>
          <w:szCs w:val="24"/>
        </w:rPr>
        <w:t xml:space="preserve">erage emission factors </w:t>
      </w:r>
      <w:r>
        <w:rPr>
          <w:rFonts w:ascii="Times New Roman" w:hAnsi="Times New Roman" w:cs="Times New Roman"/>
          <w:sz w:val="24"/>
          <w:szCs w:val="24"/>
        </w:rPr>
        <w:t>(based on Northwest Power Pool data)</w:t>
      </w:r>
      <w:r w:rsidR="00D32B5D" w:rsidRPr="000A6044">
        <w:rPr>
          <w:rFonts w:ascii="Times New Roman" w:hAnsi="Times New Roman" w:cs="Times New Roman"/>
          <w:sz w:val="24"/>
          <w:szCs w:val="24"/>
        </w:rPr>
        <w:t xml:space="preserve"> to estimate </w:t>
      </w:r>
      <w:r w:rsidR="00D32B5D">
        <w:rPr>
          <w:rFonts w:ascii="Times New Roman" w:hAnsi="Times New Roman" w:cs="Times New Roman"/>
          <w:sz w:val="24"/>
          <w:szCs w:val="24"/>
        </w:rPr>
        <w:t xml:space="preserve">emissions from secondary </w:t>
      </w:r>
      <w:r w:rsidR="00D32B5D" w:rsidRPr="000A6044">
        <w:rPr>
          <w:rFonts w:ascii="Times New Roman" w:hAnsi="Times New Roman" w:cs="Times New Roman"/>
          <w:sz w:val="24"/>
          <w:szCs w:val="24"/>
        </w:rPr>
        <w:t>purchase</w:t>
      </w:r>
      <w:r w:rsidR="00D32B5D">
        <w:rPr>
          <w:rFonts w:ascii="Times New Roman" w:hAnsi="Times New Roman" w:cs="Times New Roman"/>
          <w:sz w:val="24"/>
          <w:szCs w:val="24"/>
        </w:rPr>
        <w:t>s</w:t>
      </w:r>
      <w:r w:rsidR="00D32B5D" w:rsidRPr="000A6044">
        <w:rPr>
          <w:rFonts w:ascii="Times New Roman" w:hAnsi="Times New Roman" w:cs="Times New Roman"/>
          <w:sz w:val="24"/>
          <w:szCs w:val="24"/>
        </w:rPr>
        <w:t xml:space="preserve"> </w:t>
      </w:r>
      <w:r w:rsidR="00D32B5D">
        <w:rPr>
          <w:rFonts w:ascii="Times New Roman" w:hAnsi="Times New Roman" w:cs="Times New Roman"/>
          <w:sz w:val="24"/>
          <w:szCs w:val="24"/>
        </w:rPr>
        <w:t xml:space="preserve">of </w:t>
      </w:r>
      <w:r w:rsidR="00D32B5D" w:rsidRPr="000A6044">
        <w:rPr>
          <w:rFonts w:ascii="Times New Roman" w:hAnsi="Times New Roman" w:cs="Times New Roman"/>
          <w:sz w:val="24"/>
          <w:szCs w:val="24"/>
        </w:rPr>
        <w:t xml:space="preserve">electricity. </w:t>
      </w:r>
      <w:r>
        <w:rPr>
          <w:rFonts w:ascii="Times New Roman" w:hAnsi="Times New Roman" w:cs="Times New Roman"/>
          <w:sz w:val="24"/>
          <w:szCs w:val="24"/>
        </w:rPr>
        <w:t xml:space="preserve"> It is difficult to track the source and type of electricity purchased on a </w:t>
      </w:r>
      <w:r w:rsidR="00D32B5D">
        <w:rPr>
          <w:rFonts w:ascii="Times New Roman" w:hAnsi="Times New Roman" w:cs="Times New Roman"/>
          <w:sz w:val="24"/>
          <w:szCs w:val="24"/>
        </w:rPr>
        <w:t>n</w:t>
      </w:r>
      <w:r w:rsidR="00D32B5D" w:rsidRPr="000A6044">
        <w:rPr>
          <w:rFonts w:ascii="Times New Roman" w:hAnsi="Times New Roman" w:cs="Times New Roman"/>
          <w:sz w:val="24"/>
          <w:szCs w:val="24"/>
        </w:rPr>
        <w:t>on-firm contract from different utilities a</w:t>
      </w:r>
      <w:r w:rsidR="00BE11ED">
        <w:rPr>
          <w:rFonts w:ascii="Times New Roman" w:hAnsi="Times New Roman" w:cs="Times New Roman"/>
          <w:sz w:val="24"/>
          <w:szCs w:val="24"/>
        </w:rPr>
        <w:t>nd non-utilities via the grid</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For instance, electricity purchased by a utility from an energy trader could</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 xml:space="preserve">have been purchased by </w:t>
      </w:r>
      <w:r w:rsidR="00D32B5D">
        <w:rPr>
          <w:rFonts w:ascii="Times New Roman" w:hAnsi="Times New Roman" w:cs="Times New Roman"/>
          <w:sz w:val="24"/>
          <w:szCs w:val="24"/>
        </w:rPr>
        <w:t>an</w:t>
      </w:r>
      <w:r w:rsidR="00D32B5D" w:rsidRPr="000A6044">
        <w:rPr>
          <w:rFonts w:ascii="Times New Roman" w:hAnsi="Times New Roman" w:cs="Times New Roman"/>
          <w:sz w:val="24"/>
          <w:szCs w:val="24"/>
        </w:rPr>
        <w:t xml:space="preserve"> energy trader from a hydroelectric facility</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near the utility's operational territory, or from a utility generating</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electricity using coal outside the utility's operational territory. The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emissions associated with the generation are not clearly known because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they could be significantly different for each source. Therefore, the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emissions associated with non-firm contract purchased electricity were</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calculated using reg</w:t>
      </w:r>
      <w:r w:rsidR="00D32B5D">
        <w:rPr>
          <w:rFonts w:ascii="Times New Roman" w:hAnsi="Times New Roman" w:cs="Times New Roman"/>
          <w:sz w:val="24"/>
          <w:szCs w:val="24"/>
        </w:rPr>
        <w:t>ional average emission factors t</w:t>
      </w:r>
      <w:r w:rsidR="00D32B5D" w:rsidRPr="000A6044">
        <w:rPr>
          <w:rFonts w:ascii="Times New Roman" w:hAnsi="Times New Roman" w:cs="Times New Roman"/>
          <w:sz w:val="24"/>
          <w:szCs w:val="24"/>
        </w:rPr>
        <w:t>hat generally reflect the suite of</w:t>
      </w:r>
      <w:r w:rsidR="00D32B5D">
        <w:rPr>
          <w:rFonts w:ascii="Times New Roman" w:hAnsi="Times New Roman" w:cs="Times New Roman"/>
          <w:sz w:val="24"/>
          <w:szCs w:val="24"/>
        </w:rPr>
        <w:t xml:space="preserve"> </w:t>
      </w:r>
      <w:r w:rsidR="00D32B5D" w:rsidRPr="000A6044">
        <w:rPr>
          <w:rFonts w:ascii="Times New Roman" w:hAnsi="Times New Roman" w:cs="Times New Roman"/>
          <w:sz w:val="24"/>
          <w:szCs w:val="24"/>
        </w:rPr>
        <w:t>generation sources that pro</w:t>
      </w:r>
      <w:r w:rsidR="00D32B5D">
        <w:rPr>
          <w:rFonts w:ascii="Times New Roman" w:hAnsi="Times New Roman" w:cs="Times New Roman"/>
          <w:sz w:val="24"/>
          <w:szCs w:val="24"/>
        </w:rPr>
        <w:t>duced the purchased electricity. However, similar to the total emission and regional hydropower supply corollary, the average emissions rates in the N</w:t>
      </w:r>
      <w:r w:rsidR="00BE11ED">
        <w:rPr>
          <w:rFonts w:ascii="Times New Roman" w:hAnsi="Times New Roman" w:cs="Times New Roman"/>
          <w:sz w:val="24"/>
          <w:szCs w:val="24"/>
        </w:rPr>
        <w:t xml:space="preserve">orthwest </w:t>
      </w:r>
      <w:r w:rsidR="00D32B5D">
        <w:rPr>
          <w:rFonts w:ascii="Times New Roman" w:hAnsi="Times New Roman" w:cs="Times New Roman"/>
          <w:sz w:val="24"/>
          <w:szCs w:val="24"/>
        </w:rPr>
        <w:t>P</w:t>
      </w:r>
      <w:r w:rsidR="00BE11ED">
        <w:rPr>
          <w:rFonts w:ascii="Times New Roman" w:hAnsi="Times New Roman" w:cs="Times New Roman"/>
          <w:sz w:val="24"/>
          <w:szCs w:val="24"/>
        </w:rPr>
        <w:t xml:space="preserve">ower </w:t>
      </w:r>
      <w:r w:rsidR="00D32B5D">
        <w:rPr>
          <w:rFonts w:ascii="Times New Roman" w:hAnsi="Times New Roman" w:cs="Times New Roman"/>
          <w:sz w:val="24"/>
          <w:szCs w:val="24"/>
        </w:rPr>
        <w:t>P</w:t>
      </w:r>
      <w:r w:rsidR="00BE11ED">
        <w:rPr>
          <w:rFonts w:ascii="Times New Roman" w:hAnsi="Times New Roman" w:cs="Times New Roman"/>
          <w:sz w:val="24"/>
          <w:szCs w:val="24"/>
        </w:rPr>
        <w:t>ool</w:t>
      </w:r>
      <w:r w:rsidR="00D32B5D">
        <w:rPr>
          <w:rFonts w:ascii="Times New Roman" w:hAnsi="Times New Roman" w:cs="Times New Roman"/>
          <w:sz w:val="24"/>
          <w:szCs w:val="24"/>
        </w:rPr>
        <w:t xml:space="preserve"> and the </w:t>
      </w:r>
      <w:r w:rsidR="00BE11ED">
        <w:rPr>
          <w:rFonts w:ascii="Times New Roman" w:hAnsi="Times New Roman" w:cs="Times New Roman"/>
          <w:sz w:val="24"/>
          <w:szCs w:val="24"/>
        </w:rPr>
        <w:t>Western Electricity Coordinating Council (</w:t>
      </w:r>
      <w:r w:rsidR="00A05ADF">
        <w:rPr>
          <w:rFonts w:ascii="Times New Roman" w:hAnsi="Times New Roman" w:cs="Times New Roman"/>
          <w:sz w:val="24"/>
          <w:szCs w:val="24"/>
        </w:rPr>
        <w:t>“</w:t>
      </w:r>
      <w:r w:rsidR="00D32B5D">
        <w:rPr>
          <w:rFonts w:ascii="Times New Roman" w:hAnsi="Times New Roman" w:cs="Times New Roman"/>
          <w:sz w:val="24"/>
          <w:szCs w:val="24"/>
        </w:rPr>
        <w:t>WECC</w:t>
      </w:r>
      <w:r w:rsidR="00A05ADF">
        <w:rPr>
          <w:rFonts w:ascii="Times New Roman" w:hAnsi="Times New Roman" w:cs="Times New Roman"/>
          <w:sz w:val="24"/>
          <w:szCs w:val="24"/>
        </w:rPr>
        <w:t>”</w:t>
      </w:r>
      <w:r w:rsidR="00BE11ED">
        <w:rPr>
          <w:rFonts w:ascii="Times New Roman" w:hAnsi="Times New Roman" w:cs="Times New Roman"/>
          <w:sz w:val="24"/>
          <w:szCs w:val="24"/>
        </w:rPr>
        <w:t>)</w:t>
      </w:r>
      <w:r w:rsidR="00D32B5D">
        <w:rPr>
          <w:rFonts w:ascii="Times New Roman" w:hAnsi="Times New Roman" w:cs="Times New Roman"/>
          <w:sz w:val="24"/>
          <w:szCs w:val="24"/>
        </w:rPr>
        <w:t xml:space="preserve"> are also strongly influenced by hydropower supply. </w:t>
      </w:r>
      <w:r w:rsidR="00BE11ED">
        <w:rPr>
          <w:rFonts w:ascii="Times New Roman" w:hAnsi="Times New Roman" w:cs="Times New Roman"/>
          <w:sz w:val="24"/>
          <w:szCs w:val="24"/>
        </w:rPr>
        <w:t xml:space="preserve"> </w:t>
      </w:r>
      <w:r w:rsidR="00D32B5D">
        <w:rPr>
          <w:rFonts w:ascii="Times New Roman" w:hAnsi="Times New Roman" w:cs="Times New Roman"/>
          <w:sz w:val="24"/>
          <w:szCs w:val="24"/>
        </w:rPr>
        <w:t>In years of high hyd</w:t>
      </w:r>
      <w:r w:rsidR="00BE11ED">
        <w:rPr>
          <w:rFonts w:ascii="Times New Roman" w:hAnsi="Times New Roman" w:cs="Times New Roman"/>
          <w:sz w:val="24"/>
          <w:szCs w:val="24"/>
        </w:rPr>
        <w:t>ropower supply, emission rate</w:t>
      </w:r>
      <w:r w:rsidR="00D32B5D">
        <w:rPr>
          <w:rFonts w:ascii="Times New Roman" w:hAnsi="Times New Roman" w:cs="Times New Roman"/>
          <w:sz w:val="24"/>
          <w:szCs w:val="24"/>
        </w:rPr>
        <w:t xml:space="preserve"> averages are slightly “diluted” by the large number </w:t>
      </w:r>
      <w:r w:rsidR="00BE11ED">
        <w:rPr>
          <w:rFonts w:ascii="Times New Roman" w:hAnsi="Times New Roman" w:cs="Times New Roman"/>
          <w:sz w:val="24"/>
          <w:szCs w:val="24"/>
        </w:rPr>
        <w:t>of non-emitting MWh that factor</w:t>
      </w:r>
      <w:r w:rsidR="00D32B5D">
        <w:rPr>
          <w:rFonts w:ascii="Times New Roman" w:hAnsi="Times New Roman" w:cs="Times New Roman"/>
          <w:sz w:val="24"/>
          <w:szCs w:val="24"/>
        </w:rPr>
        <w:t xml:space="preserve"> in</w:t>
      </w:r>
      <w:r w:rsidR="00BE11ED">
        <w:rPr>
          <w:rFonts w:ascii="Times New Roman" w:hAnsi="Times New Roman" w:cs="Times New Roman"/>
          <w:sz w:val="24"/>
          <w:szCs w:val="24"/>
        </w:rPr>
        <w:t>to</w:t>
      </w:r>
      <w:r w:rsidR="00D32B5D">
        <w:rPr>
          <w:rFonts w:ascii="Times New Roman" w:hAnsi="Times New Roman" w:cs="Times New Roman"/>
          <w:sz w:val="24"/>
          <w:szCs w:val="24"/>
        </w:rPr>
        <w:t xml:space="preserve"> the rate equation. </w:t>
      </w:r>
      <w:r w:rsidR="00BE11ED">
        <w:rPr>
          <w:rFonts w:ascii="Times New Roman" w:hAnsi="Times New Roman" w:cs="Times New Roman"/>
          <w:sz w:val="24"/>
          <w:szCs w:val="24"/>
        </w:rPr>
        <w:t xml:space="preserve"> </w:t>
      </w:r>
      <w:r w:rsidR="00D32B5D">
        <w:rPr>
          <w:rFonts w:ascii="Times New Roman" w:hAnsi="Times New Roman" w:cs="Times New Roman"/>
          <w:sz w:val="24"/>
          <w:szCs w:val="24"/>
        </w:rPr>
        <w:t>Conversely, in years of low hydro, thermal resources are dispatched more frequently WECC-wide, adding CO</w:t>
      </w:r>
      <w:r w:rsidR="00D32B5D" w:rsidRPr="00DC44F9">
        <w:rPr>
          <w:rFonts w:ascii="Times New Roman" w:hAnsi="Times New Roman" w:cs="Times New Roman"/>
          <w:sz w:val="24"/>
          <w:szCs w:val="24"/>
          <w:vertAlign w:val="subscript"/>
        </w:rPr>
        <w:t>2</w:t>
      </w:r>
      <w:r w:rsidR="00D32B5D">
        <w:rPr>
          <w:rFonts w:ascii="Times New Roman" w:hAnsi="Times New Roman" w:cs="Times New Roman"/>
          <w:sz w:val="24"/>
          <w:szCs w:val="24"/>
        </w:rPr>
        <w:t xml:space="preserve"> pounds to the numerator of the rate equation, resulting in a higher rate average. </w:t>
      </w:r>
      <w:r w:rsidR="00BE11ED">
        <w:rPr>
          <w:rFonts w:ascii="Times New Roman" w:hAnsi="Times New Roman" w:cs="Times New Roman"/>
          <w:sz w:val="24"/>
          <w:szCs w:val="24"/>
        </w:rPr>
        <w:t xml:space="preserve"> For example, note in the table below that 2005, 2009, 2010 and 2013 were l</w:t>
      </w:r>
      <w:r w:rsidR="00D32B5D">
        <w:rPr>
          <w:rFonts w:ascii="Times New Roman" w:hAnsi="Times New Roman" w:cs="Times New Roman"/>
          <w:sz w:val="24"/>
          <w:szCs w:val="24"/>
        </w:rPr>
        <w:t>ower t</w:t>
      </w:r>
      <w:r w:rsidR="00BE11ED">
        <w:rPr>
          <w:rFonts w:ascii="Times New Roman" w:hAnsi="Times New Roman" w:cs="Times New Roman"/>
          <w:sz w:val="24"/>
          <w:szCs w:val="24"/>
        </w:rPr>
        <w:t>han average hydro supply years which resulted</w:t>
      </w:r>
      <w:r w:rsidR="00D32B5D">
        <w:rPr>
          <w:rFonts w:ascii="Times New Roman" w:hAnsi="Times New Roman" w:cs="Times New Roman"/>
          <w:sz w:val="24"/>
          <w:szCs w:val="24"/>
        </w:rPr>
        <w:t xml:space="preserve"> in higher than average regional emission rate averages</w:t>
      </w:r>
      <w:r w:rsidR="00BE11ED">
        <w:rPr>
          <w:rFonts w:ascii="Times New Roman" w:hAnsi="Times New Roman" w:cs="Times New Roman"/>
          <w:sz w:val="24"/>
          <w:szCs w:val="24"/>
        </w:rPr>
        <w:t>.</w:t>
      </w:r>
    </w:p>
    <w:p w:rsidR="00D32B5D" w:rsidRPr="00DC44F9" w:rsidRDefault="00D32B5D" w:rsidP="00D32B5D">
      <w:pPr>
        <w:rPr>
          <w:rFonts w:ascii="Times New Roman" w:hAnsi="Times New Roman" w:cs="Times New Roman"/>
          <w:sz w:val="24"/>
          <w:szCs w:val="24"/>
        </w:rPr>
      </w:pPr>
      <w:r w:rsidRPr="00F72D71">
        <w:rPr>
          <w:noProof/>
        </w:rPr>
        <w:lastRenderedPageBreak/>
        <w:drawing>
          <wp:inline distT="0" distB="0" distL="0" distR="0" wp14:anchorId="4ECD4405" wp14:editId="33B74E7B">
            <wp:extent cx="5808133" cy="3242733"/>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16419" cy="3247359"/>
                    </a:xfrm>
                    <a:prstGeom prst="rect">
                      <a:avLst/>
                    </a:prstGeom>
                  </pic:spPr>
                </pic:pic>
              </a:graphicData>
            </a:graphic>
          </wp:inline>
        </w:drawing>
      </w:r>
    </w:p>
    <w:p w:rsidR="00D32B5D" w:rsidRDefault="00D32B5D" w:rsidP="00D32B5D">
      <w:pPr>
        <w:rPr>
          <w:rFonts w:ascii="Times New Roman" w:hAnsi="Times New Roman" w:cs="Times New Roman"/>
          <w:sz w:val="24"/>
          <w:szCs w:val="24"/>
        </w:rPr>
      </w:pPr>
    </w:p>
    <w:p w:rsidR="00523333" w:rsidRDefault="00523333">
      <w:pPr>
        <w:rPr>
          <w:rFonts w:ascii="Times New Roman" w:hAnsi="Times New Roman" w:cs="Times New Roman"/>
          <w:sz w:val="24"/>
          <w:szCs w:val="24"/>
        </w:rPr>
      </w:pPr>
      <w:r>
        <w:rPr>
          <w:rFonts w:ascii="Times New Roman" w:hAnsi="Times New Roman" w:cs="Times New Roman"/>
          <w:sz w:val="24"/>
          <w:szCs w:val="24"/>
        </w:rPr>
        <w:br w:type="page"/>
      </w:r>
    </w:p>
    <w:p w:rsidR="00654CEB" w:rsidRPr="00654CEB" w:rsidRDefault="00654CEB" w:rsidP="00EC086A">
      <w:pPr>
        <w:pStyle w:val="ListParagraph"/>
        <w:ind w:left="360"/>
        <w:rPr>
          <w:rFonts w:ascii="Times New Roman" w:hAnsi="Times New Roman" w:cs="Times New Roman"/>
          <w:i/>
          <w:sz w:val="24"/>
          <w:szCs w:val="24"/>
          <w:u w:val="single"/>
        </w:rPr>
      </w:pPr>
      <w:r w:rsidRPr="00654CEB">
        <w:rPr>
          <w:rFonts w:ascii="Times New Roman" w:hAnsi="Times New Roman" w:cs="Times New Roman"/>
          <w:i/>
          <w:sz w:val="24"/>
          <w:szCs w:val="24"/>
          <w:u w:val="single"/>
        </w:rPr>
        <w:lastRenderedPageBreak/>
        <w:t>Population Data</w:t>
      </w:r>
    </w:p>
    <w:p w:rsidR="00EC086A" w:rsidRDefault="00CB4D17" w:rsidP="00EC086A">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PSE tracks customers served by class of service but does not track the number of </w:t>
      </w:r>
      <w:r>
        <w:rPr>
          <w:rFonts w:ascii="Times New Roman" w:hAnsi="Times New Roman" w:cs="Times New Roman"/>
          <w:i/>
          <w:sz w:val="24"/>
          <w:szCs w:val="24"/>
        </w:rPr>
        <w:t>people</w:t>
      </w:r>
      <w:r>
        <w:rPr>
          <w:rFonts w:ascii="Times New Roman" w:hAnsi="Times New Roman" w:cs="Times New Roman"/>
          <w:sz w:val="24"/>
          <w:szCs w:val="24"/>
        </w:rPr>
        <w:t xml:space="preserve"> (population) served.  Therefore, population data in this report is estimated based upon met</w:t>
      </w:r>
      <w:r w:rsidR="00FF1078">
        <w:rPr>
          <w:rFonts w:ascii="Times New Roman" w:hAnsi="Times New Roman" w:cs="Times New Roman"/>
          <w:sz w:val="24"/>
          <w:szCs w:val="24"/>
        </w:rPr>
        <w:t>hodology agreed to by PSE, UTC S</w:t>
      </w:r>
      <w:r>
        <w:rPr>
          <w:rFonts w:ascii="Times New Roman" w:hAnsi="Times New Roman" w:cs="Times New Roman"/>
          <w:sz w:val="24"/>
          <w:szCs w:val="24"/>
        </w:rPr>
        <w:t xml:space="preserve">taff, and the other utilities.  </w:t>
      </w:r>
      <w:r w:rsidR="005B5C44">
        <w:rPr>
          <w:rFonts w:ascii="Times New Roman" w:hAnsi="Times New Roman" w:cs="Times New Roman"/>
          <w:sz w:val="24"/>
          <w:szCs w:val="24"/>
        </w:rPr>
        <w:t>Total service area p</w:t>
      </w:r>
      <w:r w:rsidR="001319EF">
        <w:rPr>
          <w:rFonts w:ascii="Times New Roman" w:hAnsi="Times New Roman" w:cs="Times New Roman"/>
          <w:sz w:val="24"/>
          <w:szCs w:val="24"/>
        </w:rPr>
        <w:t>opulation</w:t>
      </w:r>
      <w:r w:rsidR="005B5C44">
        <w:rPr>
          <w:rFonts w:ascii="Times New Roman" w:hAnsi="Times New Roman" w:cs="Times New Roman"/>
          <w:sz w:val="24"/>
          <w:szCs w:val="24"/>
        </w:rPr>
        <w:t xml:space="preserve"> for this report was estimated by multiplying</w:t>
      </w:r>
      <w:r w:rsidR="00654CEB">
        <w:rPr>
          <w:rFonts w:ascii="Times New Roman" w:hAnsi="Times New Roman" w:cs="Times New Roman"/>
          <w:sz w:val="24"/>
          <w:szCs w:val="24"/>
        </w:rPr>
        <w:t xml:space="preserve"> the total residential customers in PSE’s service area by</w:t>
      </w:r>
      <w:r w:rsidR="005B5C44">
        <w:rPr>
          <w:rFonts w:ascii="Times New Roman" w:hAnsi="Times New Roman" w:cs="Times New Roman"/>
          <w:sz w:val="24"/>
          <w:szCs w:val="24"/>
        </w:rPr>
        <w:t xml:space="preserve"> </w:t>
      </w:r>
      <w:r w:rsidR="00654CEB">
        <w:rPr>
          <w:rFonts w:ascii="Times New Roman" w:hAnsi="Times New Roman" w:cs="Times New Roman"/>
          <w:sz w:val="24"/>
          <w:szCs w:val="24"/>
        </w:rPr>
        <w:t xml:space="preserve">the average household size (AHS) of occupied homes, using data from the most recent five-year estimates (2010-2014) from the U.S. Census Bureau’s American Community Survey (ACS). </w:t>
      </w:r>
      <w:r w:rsidR="006825B8">
        <w:rPr>
          <w:rFonts w:ascii="Times New Roman" w:hAnsi="Times New Roman" w:cs="Times New Roman"/>
          <w:sz w:val="24"/>
          <w:szCs w:val="24"/>
        </w:rPr>
        <w:t xml:space="preserve"> </w:t>
      </w:r>
      <w:r w:rsidR="005C03ED">
        <w:rPr>
          <w:rFonts w:ascii="Times New Roman" w:hAnsi="Times New Roman" w:cs="Times New Roman"/>
          <w:sz w:val="24"/>
          <w:szCs w:val="24"/>
        </w:rPr>
        <w:t>PSE’s population data methodology is</w:t>
      </w:r>
      <w:r w:rsidR="006825B8">
        <w:rPr>
          <w:rFonts w:ascii="Times New Roman" w:hAnsi="Times New Roman" w:cs="Times New Roman"/>
          <w:sz w:val="24"/>
          <w:szCs w:val="24"/>
        </w:rPr>
        <w:t xml:space="preserve"> described in greater detail </w:t>
      </w:r>
      <w:r w:rsidR="00A05ADF">
        <w:rPr>
          <w:rFonts w:ascii="Times New Roman" w:hAnsi="Times New Roman" w:cs="Times New Roman"/>
          <w:sz w:val="24"/>
          <w:szCs w:val="24"/>
        </w:rPr>
        <w:t>in A</w:t>
      </w:r>
      <w:r w:rsidR="005C03ED">
        <w:rPr>
          <w:rFonts w:ascii="Times New Roman" w:hAnsi="Times New Roman" w:cs="Times New Roman"/>
          <w:sz w:val="24"/>
          <w:szCs w:val="24"/>
        </w:rPr>
        <w:t xml:space="preserve">ppendix 1.  </w:t>
      </w:r>
    </w:p>
    <w:p w:rsidR="001319EF" w:rsidRDefault="001319EF" w:rsidP="00EC086A">
      <w:pPr>
        <w:pStyle w:val="ListParagraph"/>
        <w:ind w:left="360"/>
        <w:rPr>
          <w:rFonts w:ascii="Times New Roman" w:hAnsi="Times New Roman" w:cs="Times New Roman"/>
          <w:sz w:val="24"/>
          <w:szCs w:val="24"/>
        </w:rPr>
      </w:pPr>
    </w:p>
    <w:p w:rsidR="0095016E" w:rsidRPr="0095016E" w:rsidRDefault="0095016E" w:rsidP="0095016E">
      <w:pPr>
        <w:spacing w:after="0"/>
        <w:ind w:left="360"/>
        <w:rPr>
          <w:rFonts w:ascii="Times New Roman" w:hAnsi="Times New Roman" w:cs="Times New Roman"/>
          <w:i/>
          <w:sz w:val="24"/>
          <w:szCs w:val="24"/>
          <w:u w:val="single"/>
        </w:rPr>
      </w:pPr>
      <w:r w:rsidRPr="0095016E">
        <w:rPr>
          <w:rFonts w:ascii="Times New Roman" w:hAnsi="Times New Roman" w:cs="Times New Roman"/>
          <w:i/>
          <w:sz w:val="24"/>
          <w:szCs w:val="24"/>
          <w:u w:val="single"/>
        </w:rPr>
        <w:t>Spot Market Purchases</w:t>
      </w:r>
    </w:p>
    <w:p w:rsidR="000503DB" w:rsidRPr="0095016E" w:rsidRDefault="00D64022" w:rsidP="0095016E">
      <w:pPr>
        <w:spacing w:after="0"/>
        <w:ind w:left="360"/>
        <w:rPr>
          <w:rFonts w:ascii="Times New Roman" w:hAnsi="Times New Roman" w:cs="Times New Roman"/>
          <w:sz w:val="24"/>
          <w:szCs w:val="24"/>
        </w:rPr>
      </w:pPr>
      <w:r w:rsidRPr="0095016E">
        <w:rPr>
          <w:rFonts w:ascii="Times New Roman" w:hAnsi="Times New Roman" w:cs="Times New Roman"/>
          <w:sz w:val="24"/>
          <w:szCs w:val="24"/>
        </w:rPr>
        <w:t xml:space="preserve">Included in this report is </w:t>
      </w:r>
      <w:r w:rsidR="000503DB" w:rsidRPr="0095016E">
        <w:rPr>
          <w:rFonts w:ascii="Times New Roman" w:hAnsi="Times New Roman" w:cs="Times New Roman"/>
          <w:sz w:val="24"/>
          <w:szCs w:val="24"/>
        </w:rPr>
        <w:t>energy</w:t>
      </w:r>
      <w:r w:rsidRPr="0095016E">
        <w:rPr>
          <w:rFonts w:ascii="Times New Roman" w:hAnsi="Times New Roman" w:cs="Times New Roman"/>
          <w:sz w:val="24"/>
          <w:szCs w:val="24"/>
        </w:rPr>
        <w:t xml:space="preserve"> that PSE has purchased</w:t>
      </w:r>
      <w:r w:rsidR="000503DB" w:rsidRPr="0095016E">
        <w:rPr>
          <w:rFonts w:ascii="Times New Roman" w:hAnsi="Times New Roman" w:cs="Times New Roman"/>
          <w:sz w:val="24"/>
          <w:szCs w:val="24"/>
        </w:rPr>
        <w:t xml:space="preserve"> from the spot market </w:t>
      </w:r>
      <w:r w:rsidR="00331F86" w:rsidRPr="0095016E">
        <w:rPr>
          <w:rFonts w:ascii="Times New Roman" w:hAnsi="Times New Roman" w:cs="Times New Roman"/>
          <w:sz w:val="24"/>
          <w:szCs w:val="24"/>
        </w:rPr>
        <w:t xml:space="preserve">associated with the corresponding generation year </w:t>
      </w:r>
      <w:r w:rsidR="000503DB" w:rsidRPr="0095016E">
        <w:rPr>
          <w:rFonts w:ascii="Times New Roman" w:hAnsi="Times New Roman" w:cs="Times New Roman"/>
          <w:sz w:val="24"/>
          <w:szCs w:val="24"/>
        </w:rPr>
        <w:t xml:space="preserve">where the actual generating unit is unknown.  </w:t>
      </w:r>
      <w:r w:rsidR="00331F86" w:rsidRPr="0095016E">
        <w:rPr>
          <w:rFonts w:ascii="Times New Roman" w:hAnsi="Times New Roman" w:cs="Times New Roman"/>
          <w:sz w:val="24"/>
          <w:szCs w:val="24"/>
        </w:rPr>
        <w:t>As stipulated in this rule</w:t>
      </w:r>
      <w:r w:rsidR="000503DB" w:rsidRPr="0095016E">
        <w:rPr>
          <w:rFonts w:ascii="Times New Roman" w:hAnsi="Times New Roman" w:cs="Times New Roman"/>
          <w:sz w:val="24"/>
          <w:szCs w:val="24"/>
        </w:rPr>
        <w:t xml:space="preserve">, PSE uses </w:t>
      </w:r>
      <w:r w:rsidR="004A4B8D" w:rsidRPr="0095016E">
        <w:rPr>
          <w:rFonts w:ascii="Times New Roman" w:hAnsi="Times New Roman" w:cs="Times New Roman"/>
          <w:sz w:val="24"/>
          <w:szCs w:val="24"/>
        </w:rPr>
        <w:t>a</w:t>
      </w:r>
      <w:r w:rsidR="000503DB" w:rsidRPr="0095016E">
        <w:rPr>
          <w:rFonts w:ascii="Times New Roman" w:hAnsi="Times New Roman" w:cs="Times New Roman"/>
          <w:sz w:val="24"/>
          <w:szCs w:val="24"/>
        </w:rPr>
        <w:t xml:space="preserve"> net system mix emissions rate for</w:t>
      </w:r>
      <w:r w:rsidR="004A4B8D" w:rsidRPr="0095016E">
        <w:rPr>
          <w:rFonts w:ascii="Times New Roman" w:hAnsi="Times New Roman" w:cs="Times New Roman"/>
          <w:sz w:val="24"/>
          <w:szCs w:val="24"/>
        </w:rPr>
        <w:t xml:space="preserve"> these</w:t>
      </w:r>
      <w:r w:rsidR="000503DB" w:rsidRPr="0095016E">
        <w:rPr>
          <w:rFonts w:ascii="Times New Roman" w:hAnsi="Times New Roman" w:cs="Times New Roman"/>
          <w:sz w:val="24"/>
          <w:szCs w:val="24"/>
        </w:rPr>
        <w:t xml:space="preserve"> </w:t>
      </w:r>
      <w:r w:rsidR="004A4B8D" w:rsidRPr="0095016E">
        <w:rPr>
          <w:rFonts w:ascii="Times New Roman" w:hAnsi="Times New Roman" w:cs="Times New Roman"/>
          <w:sz w:val="24"/>
          <w:szCs w:val="24"/>
        </w:rPr>
        <w:t>spot market purchases where the energy source is unknown</w:t>
      </w:r>
      <w:r w:rsidRPr="0095016E">
        <w:rPr>
          <w:rFonts w:ascii="Times New Roman" w:hAnsi="Times New Roman" w:cs="Times New Roman"/>
          <w:sz w:val="24"/>
          <w:szCs w:val="24"/>
        </w:rPr>
        <w:t xml:space="preserve"> (</w:t>
      </w:r>
      <w:hyperlink r:id="rId21" w:history="1">
        <w:r w:rsidRPr="0095016E">
          <w:rPr>
            <w:rStyle w:val="Hyperlink"/>
            <w:rFonts w:ascii="Times New Roman" w:hAnsi="Times New Roman" w:cs="Times New Roman"/>
            <w:color w:val="auto"/>
            <w:sz w:val="24"/>
            <w:szCs w:val="24"/>
          </w:rPr>
          <w:t>WAC 480-109-300(3</w:t>
        </w:r>
      </w:hyperlink>
      <w:r w:rsidRPr="0095016E">
        <w:rPr>
          <w:rFonts w:ascii="Times New Roman" w:hAnsi="Times New Roman" w:cs="Times New Roman"/>
          <w:sz w:val="24"/>
          <w:szCs w:val="24"/>
        </w:rPr>
        <w:t>))</w:t>
      </w:r>
      <w:r w:rsidR="000503DB" w:rsidRPr="0095016E">
        <w:rPr>
          <w:rFonts w:ascii="Times New Roman" w:hAnsi="Times New Roman" w:cs="Times New Roman"/>
          <w:sz w:val="24"/>
          <w:szCs w:val="24"/>
        </w:rPr>
        <w:t xml:space="preserve">. </w:t>
      </w:r>
      <w:r w:rsidRPr="0095016E">
        <w:rPr>
          <w:rFonts w:ascii="Times New Roman" w:hAnsi="Times New Roman" w:cs="Times New Roman"/>
          <w:sz w:val="24"/>
          <w:szCs w:val="24"/>
        </w:rPr>
        <w:t>The net system mix emissions rate</w:t>
      </w:r>
      <w:r w:rsidR="00331F86" w:rsidRPr="0095016E">
        <w:rPr>
          <w:rFonts w:ascii="Times New Roman" w:hAnsi="Times New Roman" w:cs="Times New Roman"/>
          <w:sz w:val="24"/>
          <w:szCs w:val="24"/>
        </w:rPr>
        <w:t>s</w:t>
      </w:r>
      <w:r w:rsidRPr="0095016E">
        <w:rPr>
          <w:rFonts w:ascii="Times New Roman" w:hAnsi="Times New Roman" w:cs="Times New Roman"/>
          <w:sz w:val="24"/>
          <w:szCs w:val="24"/>
        </w:rPr>
        <w:t xml:space="preserve"> for PSE</w:t>
      </w:r>
      <w:r w:rsidR="004A4B8D" w:rsidRPr="0095016E">
        <w:rPr>
          <w:rFonts w:ascii="Times New Roman" w:hAnsi="Times New Roman" w:cs="Times New Roman"/>
          <w:sz w:val="24"/>
          <w:szCs w:val="24"/>
        </w:rPr>
        <w:t xml:space="preserve"> and the other utilities</w:t>
      </w:r>
      <w:r w:rsidRPr="0095016E">
        <w:rPr>
          <w:rFonts w:ascii="Times New Roman" w:hAnsi="Times New Roman" w:cs="Times New Roman"/>
          <w:sz w:val="24"/>
          <w:szCs w:val="24"/>
        </w:rPr>
        <w:t xml:space="preserve"> </w:t>
      </w:r>
      <w:r w:rsidR="00331F86" w:rsidRPr="0095016E">
        <w:rPr>
          <w:rFonts w:ascii="Times New Roman" w:hAnsi="Times New Roman" w:cs="Times New Roman"/>
          <w:sz w:val="24"/>
          <w:szCs w:val="24"/>
        </w:rPr>
        <w:t xml:space="preserve">during the reporting period </w:t>
      </w:r>
      <w:r w:rsidRPr="0095016E">
        <w:rPr>
          <w:rFonts w:ascii="Times New Roman" w:hAnsi="Times New Roman" w:cs="Times New Roman"/>
          <w:sz w:val="24"/>
          <w:szCs w:val="24"/>
        </w:rPr>
        <w:t xml:space="preserve">has been calculated </w:t>
      </w:r>
      <w:r w:rsidR="004A4B8D" w:rsidRPr="0095016E">
        <w:rPr>
          <w:rFonts w:ascii="Times New Roman" w:hAnsi="Times New Roman" w:cs="Times New Roman"/>
          <w:sz w:val="24"/>
          <w:szCs w:val="24"/>
        </w:rPr>
        <w:t>and provided</w:t>
      </w:r>
      <w:r w:rsidRPr="0095016E">
        <w:rPr>
          <w:rFonts w:ascii="Times New Roman" w:hAnsi="Times New Roman" w:cs="Times New Roman"/>
          <w:sz w:val="24"/>
          <w:szCs w:val="24"/>
        </w:rPr>
        <w:t xml:space="preserve"> by Commerce.  </w:t>
      </w:r>
      <w:r w:rsidR="004A4B8D" w:rsidRPr="0095016E">
        <w:rPr>
          <w:rFonts w:ascii="Times New Roman" w:hAnsi="Times New Roman" w:cs="Times New Roman"/>
          <w:sz w:val="24"/>
          <w:szCs w:val="24"/>
        </w:rPr>
        <w:t>However, in this first report</w:t>
      </w:r>
      <w:r w:rsidR="007418EB" w:rsidRPr="0095016E">
        <w:rPr>
          <w:rFonts w:ascii="Times New Roman" w:hAnsi="Times New Roman" w:cs="Times New Roman"/>
          <w:sz w:val="24"/>
          <w:szCs w:val="24"/>
        </w:rPr>
        <w:t xml:space="preserve"> only,</w:t>
      </w:r>
      <w:r w:rsidR="004A4B8D" w:rsidRPr="0095016E">
        <w:rPr>
          <w:rFonts w:ascii="Times New Roman" w:hAnsi="Times New Roman" w:cs="Times New Roman"/>
          <w:sz w:val="24"/>
          <w:szCs w:val="24"/>
        </w:rPr>
        <w:t xml:space="preserve"> Commerce </w:t>
      </w:r>
      <w:r w:rsidR="00FF1078">
        <w:rPr>
          <w:rFonts w:ascii="Times New Roman" w:hAnsi="Times New Roman" w:cs="Times New Roman"/>
          <w:sz w:val="24"/>
          <w:szCs w:val="24"/>
        </w:rPr>
        <w:t xml:space="preserve">noted it </w:t>
      </w:r>
      <w:r w:rsidR="005A237F">
        <w:rPr>
          <w:rFonts w:ascii="Times New Roman" w:hAnsi="Times New Roman" w:cs="Times New Roman"/>
          <w:sz w:val="24"/>
          <w:szCs w:val="24"/>
        </w:rPr>
        <w:t>is</w:t>
      </w:r>
      <w:r w:rsidR="007418EB" w:rsidRPr="0095016E">
        <w:rPr>
          <w:rFonts w:ascii="Times New Roman" w:hAnsi="Times New Roman" w:cs="Times New Roman"/>
          <w:sz w:val="24"/>
          <w:szCs w:val="24"/>
        </w:rPr>
        <w:t xml:space="preserve"> not able</w:t>
      </w:r>
      <w:r w:rsidR="004A4B8D" w:rsidRPr="0095016E">
        <w:rPr>
          <w:rFonts w:ascii="Times New Roman" w:hAnsi="Times New Roman" w:cs="Times New Roman"/>
          <w:sz w:val="24"/>
          <w:szCs w:val="24"/>
        </w:rPr>
        <w:t xml:space="preserve"> </w:t>
      </w:r>
      <w:r w:rsidR="007418EB" w:rsidRPr="0095016E">
        <w:rPr>
          <w:rFonts w:ascii="Times New Roman" w:hAnsi="Times New Roman" w:cs="Times New Roman"/>
          <w:sz w:val="24"/>
          <w:szCs w:val="24"/>
        </w:rPr>
        <w:t xml:space="preserve">to provide the net system mix emission rate for 2015 due </w:t>
      </w:r>
      <w:r w:rsidR="005A237F">
        <w:rPr>
          <w:rFonts w:ascii="Times New Roman" w:hAnsi="Times New Roman" w:cs="Times New Roman"/>
          <w:sz w:val="24"/>
          <w:szCs w:val="24"/>
        </w:rPr>
        <w:t xml:space="preserve">to </w:t>
      </w:r>
      <w:r w:rsidR="007418EB" w:rsidRPr="0095016E">
        <w:rPr>
          <w:rFonts w:ascii="Times New Roman" w:hAnsi="Times New Roman" w:cs="Times New Roman"/>
          <w:sz w:val="24"/>
          <w:szCs w:val="24"/>
        </w:rPr>
        <w:t>technical difficulties with their</w:t>
      </w:r>
      <w:r w:rsidR="004A4B8D" w:rsidRPr="0095016E">
        <w:rPr>
          <w:rFonts w:ascii="Times New Roman" w:hAnsi="Times New Roman" w:cs="Times New Roman"/>
          <w:sz w:val="24"/>
          <w:szCs w:val="24"/>
        </w:rPr>
        <w:t xml:space="preserve"> new system for tracking and compiling data</w:t>
      </w:r>
      <w:r w:rsidR="007418EB" w:rsidRPr="0095016E">
        <w:rPr>
          <w:rFonts w:ascii="Times New Roman" w:hAnsi="Times New Roman" w:cs="Times New Roman"/>
          <w:sz w:val="24"/>
          <w:szCs w:val="24"/>
        </w:rPr>
        <w:t xml:space="preserve">. </w:t>
      </w:r>
      <w:r w:rsidR="004A4B8D" w:rsidRPr="0095016E">
        <w:rPr>
          <w:rFonts w:ascii="Times New Roman" w:hAnsi="Times New Roman" w:cs="Times New Roman"/>
          <w:sz w:val="24"/>
          <w:szCs w:val="24"/>
        </w:rPr>
        <w:t xml:space="preserve">  </w:t>
      </w:r>
      <w:r w:rsidR="007418EB" w:rsidRPr="0095016E">
        <w:rPr>
          <w:rFonts w:ascii="Times New Roman" w:hAnsi="Times New Roman" w:cs="Times New Roman"/>
          <w:sz w:val="24"/>
          <w:szCs w:val="24"/>
        </w:rPr>
        <w:t xml:space="preserve">To fill </w:t>
      </w:r>
      <w:r w:rsidR="004A4B8D" w:rsidRPr="0095016E">
        <w:rPr>
          <w:rFonts w:ascii="Times New Roman" w:hAnsi="Times New Roman" w:cs="Times New Roman"/>
          <w:sz w:val="24"/>
          <w:szCs w:val="24"/>
        </w:rPr>
        <w:t xml:space="preserve">this gap for 2015, Commerce staff will calculate and provide </w:t>
      </w:r>
      <w:r w:rsidR="007418EB" w:rsidRPr="0095016E">
        <w:rPr>
          <w:rFonts w:ascii="Times New Roman" w:hAnsi="Times New Roman" w:cs="Times New Roman"/>
          <w:sz w:val="24"/>
          <w:szCs w:val="24"/>
        </w:rPr>
        <w:t>each utility</w:t>
      </w:r>
      <w:r w:rsidR="004A4B8D" w:rsidRPr="0095016E">
        <w:rPr>
          <w:rFonts w:ascii="Times New Roman" w:hAnsi="Times New Roman" w:cs="Times New Roman"/>
          <w:sz w:val="24"/>
          <w:szCs w:val="24"/>
        </w:rPr>
        <w:t xml:space="preserve"> a 10-year weighted averag</w:t>
      </w:r>
      <w:r w:rsidR="007418EB" w:rsidRPr="0095016E">
        <w:rPr>
          <w:rFonts w:ascii="Times New Roman" w:hAnsi="Times New Roman" w:cs="Times New Roman"/>
          <w:sz w:val="24"/>
          <w:szCs w:val="24"/>
        </w:rPr>
        <w:t>e net system mix emissions rate</w:t>
      </w:r>
      <w:r w:rsidR="004A4B8D" w:rsidRPr="0095016E">
        <w:rPr>
          <w:rFonts w:ascii="Times New Roman" w:hAnsi="Times New Roman" w:cs="Times New Roman"/>
          <w:sz w:val="24"/>
          <w:szCs w:val="24"/>
        </w:rPr>
        <w:t xml:space="preserve"> for the period 2005 through 2014</w:t>
      </w:r>
      <w:r w:rsidR="007418EB" w:rsidRPr="0095016E">
        <w:rPr>
          <w:rFonts w:ascii="Times New Roman" w:hAnsi="Times New Roman" w:cs="Times New Roman"/>
          <w:sz w:val="24"/>
          <w:szCs w:val="24"/>
        </w:rPr>
        <w:t xml:space="preserve"> as a proxy for the </w:t>
      </w:r>
      <w:r w:rsidR="004A4B8D" w:rsidRPr="0095016E">
        <w:rPr>
          <w:rFonts w:ascii="Times New Roman" w:hAnsi="Times New Roman" w:cs="Times New Roman"/>
          <w:sz w:val="24"/>
          <w:szCs w:val="24"/>
        </w:rPr>
        <w:t xml:space="preserve">2015 net system mix emissions rate.  </w:t>
      </w:r>
      <w:r w:rsidR="007418EB" w:rsidRPr="0095016E">
        <w:rPr>
          <w:rFonts w:ascii="Times New Roman" w:hAnsi="Times New Roman" w:cs="Times New Roman"/>
          <w:sz w:val="24"/>
          <w:szCs w:val="24"/>
        </w:rPr>
        <w:t xml:space="preserve">In future reports, Commerce has indicted it will be able to provide the utilities with the net system mix emission rates for the full 10-year reporting period.  </w:t>
      </w:r>
      <w:r w:rsidR="00FF1078">
        <w:rPr>
          <w:rFonts w:ascii="Times New Roman" w:hAnsi="Times New Roman" w:cs="Times New Roman"/>
          <w:sz w:val="24"/>
          <w:szCs w:val="24"/>
        </w:rPr>
        <w:t>In addition, PSE was unclear on the methodology used by Commerce to calculate emissions factors from unknown resources.  Therefore, PSE provides a</w:t>
      </w:r>
      <w:r w:rsidR="00A05ADF">
        <w:rPr>
          <w:rFonts w:ascii="Times New Roman" w:hAnsi="Times New Roman" w:cs="Times New Roman"/>
          <w:sz w:val="24"/>
          <w:szCs w:val="24"/>
        </w:rPr>
        <w:t>n</w:t>
      </w:r>
      <w:r w:rsidR="00FF1078">
        <w:rPr>
          <w:rFonts w:ascii="Times New Roman" w:hAnsi="Times New Roman" w:cs="Times New Roman"/>
          <w:sz w:val="24"/>
          <w:szCs w:val="24"/>
        </w:rPr>
        <w:t xml:space="preserve"> analysis in Appendix 2 comparing emissions from unknown resources using the emissions factors provided by Commerce versus emissions factors developed using available data and methodologies from the Northwest Power Pool eGrid tool and Commerce Fuel Mix Disclosure reports.  </w:t>
      </w:r>
    </w:p>
    <w:p w:rsidR="00EC086A" w:rsidRDefault="00EC086A" w:rsidP="00EC086A">
      <w:pPr>
        <w:pStyle w:val="ListParagraph"/>
        <w:ind w:left="360"/>
        <w:rPr>
          <w:rFonts w:ascii="Times New Roman" w:hAnsi="Times New Roman" w:cs="Times New Roman"/>
          <w:sz w:val="24"/>
          <w:szCs w:val="24"/>
        </w:rPr>
      </w:pPr>
    </w:p>
    <w:p w:rsidR="00EC086A" w:rsidRDefault="00EC086A" w:rsidP="00EC086A">
      <w:pPr>
        <w:pStyle w:val="ListParagraph"/>
        <w:ind w:left="360"/>
        <w:rPr>
          <w:rFonts w:ascii="Times New Roman" w:hAnsi="Times New Roman" w:cs="Times New Roman"/>
          <w:sz w:val="24"/>
          <w:szCs w:val="24"/>
        </w:rPr>
      </w:pPr>
    </w:p>
    <w:p w:rsidR="00EC086A" w:rsidRDefault="00EC086A" w:rsidP="00EC086A">
      <w:pPr>
        <w:pStyle w:val="ListParagraph"/>
        <w:ind w:left="360"/>
        <w:rPr>
          <w:rFonts w:ascii="Times New Roman" w:hAnsi="Times New Roman" w:cs="Times New Roman"/>
          <w:sz w:val="24"/>
          <w:szCs w:val="24"/>
        </w:rPr>
      </w:pPr>
    </w:p>
    <w:p w:rsidR="00EC086A" w:rsidRPr="00EC086A" w:rsidRDefault="00EC086A" w:rsidP="00EC086A">
      <w:pPr>
        <w:pStyle w:val="ListParagraph"/>
        <w:ind w:left="360"/>
        <w:rPr>
          <w:rFonts w:ascii="Times New Roman" w:hAnsi="Times New Roman" w:cs="Times New Roman"/>
          <w:sz w:val="24"/>
          <w:szCs w:val="24"/>
        </w:rPr>
      </w:pPr>
    </w:p>
    <w:p w:rsidR="00EC086A" w:rsidRPr="00EC086A" w:rsidRDefault="00EC086A" w:rsidP="00EC086A">
      <w:pPr>
        <w:pStyle w:val="ListParagraph"/>
        <w:ind w:left="360"/>
        <w:rPr>
          <w:rFonts w:ascii="Times New Roman" w:hAnsi="Times New Roman" w:cs="Times New Roman"/>
          <w:sz w:val="24"/>
          <w:szCs w:val="24"/>
        </w:rPr>
      </w:pPr>
    </w:p>
    <w:p w:rsidR="00EC086A" w:rsidRPr="00EC086A" w:rsidRDefault="00EC086A" w:rsidP="00EC086A">
      <w:pPr>
        <w:pStyle w:val="ListParagraph"/>
        <w:ind w:left="360"/>
        <w:rPr>
          <w:rFonts w:ascii="Times New Roman" w:hAnsi="Times New Roman" w:cs="Times New Roman"/>
          <w:sz w:val="24"/>
          <w:szCs w:val="24"/>
        </w:rPr>
      </w:pPr>
    </w:p>
    <w:p w:rsidR="00DA2B48" w:rsidRPr="00EC086A" w:rsidRDefault="00DA2B48" w:rsidP="00EC086A">
      <w:pPr>
        <w:spacing w:after="0" w:line="240" w:lineRule="auto"/>
        <w:rPr>
          <w:rFonts w:ascii="Times New Roman" w:hAnsi="Times New Roman" w:cs="Times New Roman"/>
          <w:sz w:val="24"/>
          <w:szCs w:val="24"/>
        </w:rPr>
      </w:pPr>
    </w:p>
    <w:p w:rsidR="00DA2B48" w:rsidRDefault="00DA2B48">
      <w:pPr>
        <w:rPr>
          <w:rFonts w:ascii="Garamond" w:hAnsi="Garamond"/>
          <w:sz w:val="24"/>
          <w:szCs w:val="24"/>
        </w:rPr>
      </w:pPr>
      <w:r>
        <w:rPr>
          <w:rFonts w:ascii="Garamond" w:hAnsi="Garamond"/>
          <w:sz w:val="24"/>
          <w:szCs w:val="24"/>
        </w:rPr>
        <w:br w:type="page"/>
      </w:r>
    </w:p>
    <w:p w:rsidR="00DA2B48" w:rsidRPr="00DA2B48" w:rsidRDefault="00DA2B48" w:rsidP="00DA2B48">
      <w:pPr>
        <w:rPr>
          <w:rFonts w:ascii="Garamond" w:hAnsi="Garamond"/>
          <w:sz w:val="24"/>
          <w:szCs w:val="24"/>
        </w:rPr>
      </w:pPr>
    </w:p>
    <w:p w:rsidR="00DA2B48" w:rsidRDefault="00F654A5" w:rsidP="00F654A5">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Section 4:  </w:t>
      </w:r>
      <w:r w:rsidR="00DA2B48" w:rsidRPr="00EC086A">
        <w:rPr>
          <w:rFonts w:ascii="Times New Roman" w:hAnsi="Times New Roman" w:cs="Times New Roman"/>
          <w:b/>
          <w:sz w:val="24"/>
          <w:szCs w:val="24"/>
        </w:rPr>
        <w:t>Appendices</w:t>
      </w:r>
      <w:r w:rsidR="00DA2B48" w:rsidRPr="00EC086A">
        <w:rPr>
          <w:rFonts w:ascii="Times New Roman" w:hAnsi="Times New Roman" w:cs="Times New Roman"/>
          <w:sz w:val="24"/>
          <w:szCs w:val="24"/>
        </w:rPr>
        <w:t xml:space="preserve"> </w:t>
      </w:r>
    </w:p>
    <w:p w:rsidR="00EC086A" w:rsidRPr="000C2004" w:rsidRDefault="00EC086A" w:rsidP="00EC086A">
      <w:pPr>
        <w:pStyle w:val="ListParagraph"/>
        <w:ind w:left="360"/>
        <w:rPr>
          <w:rFonts w:ascii="Times New Roman" w:hAnsi="Times New Roman" w:cs="Times New Roman"/>
          <w:b/>
          <w:sz w:val="24"/>
          <w:szCs w:val="24"/>
        </w:rPr>
      </w:pPr>
    </w:p>
    <w:p w:rsidR="005C03ED" w:rsidRPr="005C03ED" w:rsidRDefault="005C03ED" w:rsidP="005C03ED">
      <w:pPr>
        <w:rPr>
          <w:rFonts w:ascii="Times New Roman" w:hAnsi="Times New Roman" w:cs="Times New Roman"/>
          <w:i/>
          <w:sz w:val="24"/>
          <w:szCs w:val="24"/>
          <w:u w:val="single"/>
          <w:lang w:val="en"/>
        </w:rPr>
      </w:pPr>
      <w:r>
        <w:rPr>
          <w:rFonts w:ascii="Times New Roman" w:hAnsi="Times New Roman" w:cs="Times New Roman"/>
          <w:i/>
          <w:sz w:val="24"/>
          <w:szCs w:val="24"/>
          <w:u w:val="single"/>
          <w:lang w:val="en"/>
        </w:rPr>
        <w:t xml:space="preserve">Appendix 1:  </w:t>
      </w:r>
      <w:r w:rsidRPr="005C03ED">
        <w:rPr>
          <w:rFonts w:ascii="Times New Roman" w:hAnsi="Times New Roman" w:cs="Times New Roman"/>
          <w:i/>
          <w:sz w:val="24"/>
          <w:szCs w:val="24"/>
          <w:u w:val="single"/>
          <w:lang w:val="en"/>
        </w:rPr>
        <w:t>Estimation of PSE Service Territory Population</w:t>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t xml:space="preserve">This appendix documents how </w:t>
      </w:r>
      <w:r w:rsidR="00A05ADF">
        <w:rPr>
          <w:rFonts w:ascii="Times New Roman" w:hAnsi="Times New Roman" w:cs="Times New Roman"/>
          <w:sz w:val="24"/>
          <w:szCs w:val="24"/>
          <w:lang w:val="en"/>
        </w:rPr>
        <w:t>PSE</w:t>
      </w:r>
      <w:r w:rsidR="005A237F">
        <w:rPr>
          <w:rFonts w:ascii="Times New Roman" w:hAnsi="Times New Roman" w:cs="Times New Roman"/>
          <w:sz w:val="24"/>
          <w:szCs w:val="24"/>
          <w:lang w:val="en"/>
        </w:rPr>
        <w:t xml:space="preserve"> estimated</w:t>
      </w:r>
      <w:r>
        <w:rPr>
          <w:rFonts w:ascii="Times New Roman" w:hAnsi="Times New Roman" w:cs="Times New Roman"/>
          <w:sz w:val="24"/>
          <w:szCs w:val="24"/>
          <w:lang w:val="en"/>
        </w:rPr>
        <w:t xml:space="preserve"> the population within its service territory to meet the reporting requirement of </w:t>
      </w:r>
      <w:r w:rsidRPr="00E17DE2">
        <w:rPr>
          <w:rFonts w:ascii="Times New Roman" w:hAnsi="Times New Roman" w:cs="Times New Roman"/>
          <w:sz w:val="24"/>
          <w:szCs w:val="24"/>
          <w:lang w:val="en"/>
        </w:rPr>
        <w:t>WAC 480-109-300(2)(c)</w:t>
      </w:r>
      <w:r>
        <w:rPr>
          <w:rFonts w:ascii="Times New Roman" w:hAnsi="Times New Roman" w:cs="Times New Roman"/>
          <w:sz w:val="24"/>
          <w:szCs w:val="24"/>
          <w:lang w:val="en"/>
        </w:rPr>
        <w:t xml:space="preserve">: </w:t>
      </w:r>
      <w:r w:rsidRPr="00B361C2">
        <w:rPr>
          <w:rFonts w:ascii="Times New Roman" w:hAnsi="Times New Roman" w:cs="Times New Roman"/>
          <w:sz w:val="24"/>
          <w:szCs w:val="24"/>
          <w:lang w:val="en"/>
        </w:rPr>
        <w:t>Megawatt-hours per capita</w:t>
      </w:r>
      <w:r>
        <w:rPr>
          <w:rFonts w:ascii="Times New Roman" w:hAnsi="Times New Roman" w:cs="Times New Roman"/>
          <w:sz w:val="24"/>
          <w:szCs w:val="24"/>
          <w:lang w:val="en"/>
        </w:rPr>
        <w:t>.  The estimated population for each re</w:t>
      </w:r>
      <w:r w:rsidR="005A237F">
        <w:rPr>
          <w:rFonts w:ascii="Times New Roman" w:hAnsi="Times New Roman" w:cs="Times New Roman"/>
          <w:sz w:val="24"/>
          <w:szCs w:val="24"/>
          <w:lang w:val="en"/>
        </w:rPr>
        <w:t xml:space="preserve">porting year is the product of </w:t>
      </w:r>
      <w:r>
        <w:rPr>
          <w:rFonts w:ascii="Times New Roman" w:hAnsi="Times New Roman" w:cs="Times New Roman"/>
          <w:sz w:val="24"/>
          <w:szCs w:val="24"/>
          <w:lang w:val="en"/>
        </w:rPr>
        <w:t>PSE residential customer count for the year multiplied by t</w:t>
      </w:r>
      <w:r w:rsidRPr="00182D8B">
        <w:rPr>
          <w:rFonts w:ascii="Times New Roman" w:hAnsi="Times New Roman" w:cs="Times New Roman"/>
          <w:sz w:val="24"/>
          <w:szCs w:val="24"/>
          <w:lang w:val="en"/>
        </w:rPr>
        <w:t xml:space="preserve">he </w:t>
      </w:r>
      <w:r>
        <w:rPr>
          <w:rFonts w:ascii="Times New Roman" w:hAnsi="Times New Roman" w:cs="Times New Roman"/>
          <w:sz w:val="24"/>
          <w:szCs w:val="24"/>
          <w:lang w:val="en"/>
        </w:rPr>
        <w:t xml:space="preserve">weighted </w:t>
      </w:r>
      <w:r w:rsidRPr="00182D8B">
        <w:rPr>
          <w:rFonts w:ascii="Times New Roman" w:hAnsi="Times New Roman" w:cs="Times New Roman"/>
          <w:sz w:val="24"/>
          <w:szCs w:val="24"/>
          <w:lang w:val="en"/>
        </w:rPr>
        <w:t xml:space="preserve">average </w:t>
      </w:r>
      <w:r>
        <w:rPr>
          <w:rFonts w:ascii="Times New Roman" w:hAnsi="Times New Roman" w:cs="Times New Roman"/>
          <w:sz w:val="24"/>
          <w:szCs w:val="24"/>
          <w:lang w:val="en"/>
        </w:rPr>
        <w:t xml:space="preserve">of </w:t>
      </w:r>
      <w:r w:rsidRPr="00182D8B">
        <w:rPr>
          <w:rFonts w:ascii="Times New Roman" w:hAnsi="Times New Roman" w:cs="Times New Roman"/>
          <w:sz w:val="24"/>
          <w:szCs w:val="24"/>
          <w:lang w:val="en"/>
        </w:rPr>
        <w:t xml:space="preserve">household size </w:t>
      </w:r>
      <w:r>
        <w:rPr>
          <w:rFonts w:ascii="Times New Roman" w:hAnsi="Times New Roman" w:cs="Times New Roman"/>
          <w:sz w:val="24"/>
          <w:szCs w:val="24"/>
          <w:lang w:val="en"/>
        </w:rPr>
        <w:t xml:space="preserve">of the counties that PSE provides electric service.  The methodology is consistent with the </w:t>
      </w:r>
      <w:r w:rsidRPr="00025506">
        <w:rPr>
          <w:rFonts w:ascii="Times New Roman" w:hAnsi="Times New Roman" w:cs="Times New Roman"/>
          <w:sz w:val="24"/>
          <w:szCs w:val="24"/>
          <w:lang w:val="en"/>
        </w:rPr>
        <w:t xml:space="preserve">preferred </w:t>
      </w:r>
      <w:r w:rsidRPr="00B361C2">
        <w:rPr>
          <w:rFonts w:ascii="Times New Roman" w:hAnsi="Times New Roman" w:cs="Times New Roman"/>
          <w:sz w:val="24"/>
          <w:szCs w:val="24"/>
          <w:lang w:val="en"/>
        </w:rPr>
        <w:t>Per Capita Methodology</w:t>
      </w:r>
      <w:r>
        <w:rPr>
          <w:rFonts w:ascii="Times New Roman" w:hAnsi="Times New Roman" w:cs="Times New Roman"/>
          <w:sz w:val="24"/>
          <w:szCs w:val="24"/>
          <w:lang w:val="en"/>
        </w:rPr>
        <w:t xml:space="preserve"> </w:t>
      </w:r>
      <w:r w:rsidRPr="00025506">
        <w:rPr>
          <w:rFonts w:ascii="Times New Roman" w:hAnsi="Times New Roman" w:cs="Times New Roman"/>
          <w:sz w:val="24"/>
          <w:szCs w:val="24"/>
          <w:lang w:val="en"/>
        </w:rPr>
        <w:t>describe</w:t>
      </w:r>
      <w:r>
        <w:rPr>
          <w:rFonts w:ascii="Times New Roman" w:hAnsi="Times New Roman" w:cs="Times New Roman"/>
          <w:sz w:val="24"/>
          <w:szCs w:val="24"/>
          <w:lang w:val="en"/>
        </w:rPr>
        <w:t>d in the UTC</w:t>
      </w:r>
      <w:r w:rsidRPr="00025506">
        <w:rPr>
          <w:rFonts w:ascii="Times New Roman" w:hAnsi="Times New Roman" w:cs="Times New Roman"/>
          <w:sz w:val="24"/>
          <w:szCs w:val="24"/>
          <w:lang w:val="en"/>
        </w:rPr>
        <w:t xml:space="preserve"> </w:t>
      </w:r>
      <w:r>
        <w:rPr>
          <w:rFonts w:ascii="Times New Roman" w:hAnsi="Times New Roman" w:cs="Times New Roman"/>
          <w:sz w:val="24"/>
          <w:szCs w:val="24"/>
          <w:lang w:val="en"/>
        </w:rPr>
        <w:t>Staff’s final report</w:t>
      </w:r>
      <w:r>
        <w:rPr>
          <w:rStyle w:val="FootnoteReference"/>
          <w:rFonts w:ascii="Times New Roman" w:hAnsi="Times New Roman" w:cs="Times New Roman"/>
          <w:sz w:val="24"/>
          <w:szCs w:val="24"/>
          <w:lang w:val="en"/>
        </w:rPr>
        <w:footnoteReference w:id="1"/>
      </w:r>
      <w:r>
        <w:rPr>
          <w:rFonts w:ascii="Times New Roman" w:hAnsi="Times New Roman" w:cs="Times New Roman"/>
          <w:sz w:val="24"/>
          <w:szCs w:val="24"/>
          <w:lang w:val="en"/>
        </w:rPr>
        <w:t xml:space="preserve"> and the Commission’s Final Order</w:t>
      </w:r>
      <w:r>
        <w:rPr>
          <w:rStyle w:val="FootnoteReference"/>
          <w:rFonts w:ascii="Times New Roman" w:hAnsi="Times New Roman" w:cs="Times New Roman"/>
          <w:sz w:val="24"/>
          <w:szCs w:val="24"/>
          <w:lang w:val="en"/>
        </w:rPr>
        <w:footnoteReference w:id="2"/>
      </w:r>
      <w:r>
        <w:rPr>
          <w:rFonts w:ascii="Times New Roman" w:hAnsi="Times New Roman" w:cs="Times New Roman"/>
          <w:sz w:val="24"/>
          <w:szCs w:val="24"/>
          <w:lang w:val="en"/>
        </w:rPr>
        <w:t xml:space="preserve"> on the </w:t>
      </w:r>
      <w:r w:rsidRPr="00025506">
        <w:rPr>
          <w:rFonts w:ascii="Times New Roman" w:hAnsi="Times New Roman" w:cs="Times New Roman"/>
          <w:sz w:val="24"/>
          <w:szCs w:val="24"/>
          <w:lang w:val="en"/>
        </w:rPr>
        <w:t>estimat</w:t>
      </w:r>
      <w:r>
        <w:rPr>
          <w:rFonts w:ascii="Times New Roman" w:hAnsi="Times New Roman" w:cs="Times New Roman"/>
          <w:sz w:val="24"/>
          <w:szCs w:val="24"/>
          <w:lang w:val="en"/>
        </w:rPr>
        <w:t xml:space="preserve">ion of </w:t>
      </w:r>
      <w:r w:rsidRPr="00025506">
        <w:rPr>
          <w:rFonts w:ascii="Times New Roman" w:hAnsi="Times New Roman" w:cs="Times New Roman"/>
          <w:sz w:val="24"/>
          <w:szCs w:val="24"/>
          <w:lang w:val="en"/>
        </w:rPr>
        <w:t>population in an electric utility service territory.</w:t>
      </w:r>
      <w:r>
        <w:rPr>
          <w:rFonts w:ascii="Times New Roman" w:hAnsi="Times New Roman" w:cs="Times New Roman"/>
          <w:sz w:val="24"/>
          <w:szCs w:val="24"/>
          <w:lang w:val="en"/>
        </w:rPr>
        <w:t xml:space="preserve">  As prescribed in the Commission’s Final Order</w:t>
      </w:r>
      <w:r w:rsidRPr="007F60C5">
        <w:rPr>
          <w:rFonts w:ascii="Times New Roman" w:hAnsi="Times New Roman" w:cs="Times New Roman"/>
          <w:sz w:val="24"/>
          <w:szCs w:val="24"/>
          <w:lang w:val="en"/>
        </w:rPr>
        <w:t xml:space="preserve"> </w:t>
      </w:r>
      <w:r>
        <w:rPr>
          <w:rFonts w:ascii="Times New Roman" w:hAnsi="Times New Roman" w:cs="Times New Roman"/>
          <w:sz w:val="24"/>
          <w:szCs w:val="24"/>
          <w:lang w:val="en"/>
        </w:rPr>
        <w:t>paragraph 17, “</w:t>
      </w:r>
      <w:r w:rsidRPr="008A4E8E">
        <w:rPr>
          <w:rFonts w:ascii="Times New Roman" w:hAnsi="Times New Roman" w:cs="Times New Roman"/>
          <w:sz w:val="24"/>
          <w:szCs w:val="24"/>
          <w:lang w:val="en"/>
        </w:rPr>
        <w:t>To produce the reports required by WAC 480-109-300(2)(c), the utilities should use the methodology agreed upon by stakeholders and described in the final report and this order.</w:t>
      </w:r>
      <w:r>
        <w:rPr>
          <w:rFonts w:ascii="Times New Roman" w:hAnsi="Times New Roman" w:cs="Times New Roman"/>
          <w:sz w:val="24"/>
          <w:szCs w:val="24"/>
          <w:lang w:val="en"/>
        </w:rPr>
        <w:t>”</w:t>
      </w:r>
      <w:r w:rsidRPr="008A4E8E">
        <w:rPr>
          <w:rStyle w:val="FootnoteReference"/>
          <w:rFonts w:ascii="Times New Roman" w:hAnsi="Times New Roman" w:cs="Times New Roman"/>
          <w:sz w:val="24"/>
          <w:szCs w:val="24"/>
          <w:lang w:val="en"/>
        </w:rPr>
        <w:t xml:space="preserve"> </w:t>
      </w:r>
      <w:r>
        <w:rPr>
          <w:rStyle w:val="FootnoteReference"/>
          <w:rFonts w:ascii="Times New Roman" w:hAnsi="Times New Roman" w:cs="Times New Roman"/>
          <w:sz w:val="24"/>
          <w:szCs w:val="24"/>
          <w:lang w:val="en"/>
        </w:rPr>
        <w:footnoteReference w:id="3"/>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t>PSE’s customer information system is the ultimate source of the annual residential customer count data which represents the number of households within PSE service territory.  These customer count data are as reported in PSE’s FERC</w:t>
      </w:r>
      <w:r>
        <w:rPr>
          <w:rStyle w:val="FootnoteReference"/>
          <w:rFonts w:ascii="Times New Roman" w:hAnsi="Times New Roman" w:cs="Times New Roman"/>
          <w:sz w:val="24"/>
          <w:szCs w:val="24"/>
          <w:lang w:val="en"/>
        </w:rPr>
        <w:footnoteReference w:id="4"/>
      </w:r>
      <w:r>
        <w:rPr>
          <w:rFonts w:ascii="Times New Roman" w:hAnsi="Times New Roman" w:cs="Times New Roman"/>
          <w:sz w:val="24"/>
          <w:szCs w:val="24"/>
          <w:lang w:val="en"/>
        </w:rPr>
        <w:t xml:space="preserve"> financial reporting Form No. 1: Annual Report of Major Electric Utilities, Licensees and Others.  Not all residents in a multi-family or mixed-use commercial and residential building are included in PSE’s residential customer count as this time.  PSE does not have reliable data to make a separate adjustment to account for the persons residing in </w:t>
      </w:r>
      <w:r w:rsidRPr="003C67C1">
        <w:rPr>
          <w:rFonts w:ascii="Times New Roman" w:hAnsi="Times New Roman" w:cs="Times New Roman"/>
          <w:sz w:val="24"/>
          <w:szCs w:val="24"/>
          <w:lang w:val="en"/>
        </w:rPr>
        <w:t>master-metered residential buildings</w:t>
      </w:r>
      <w:r>
        <w:rPr>
          <w:rFonts w:ascii="Times New Roman" w:hAnsi="Times New Roman" w:cs="Times New Roman"/>
          <w:sz w:val="24"/>
          <w:szCs w:val="24"/>
          <w:lang w:val="en"/>
        </w:rPr>
        <w:t>.</w:t>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t xml:space="preserve">The average household size used in PSE’s </w:t>
      </w:r>
      <w:r w:rsidRPr="004D0550">
        <w:rPr>
          <w:rFonts w:ascii="Times New Roman" w:hAnsi="Times New Roman" w:cs="Times New Roman"/>
          <w:sz w:val="24"/>
          <w:szCs w:val="24"/>
          <w:lang w:val="en"/>
        </w:rPr>
        <w:t>WAC 480-109-300</w:t>
      </w:r>
      <w:r>
        <w:rPr>
          <w:rFonts w:ascii="Times New Roman" w:hAnsi="Times New Roman" w:cs="Times New Roman"/>
          <w:sz w:val="24"/>
          <w:szCs w:val="24"/>
          <w:lang w:val="en"/>
        </w:rPr>
        <w:t xml:space="preserve">: </w:t>
      </w:r>
      <w:r w:rsidRPr="004D0550">
        <w:rPr>
          <w:rFonts w:ascii="Times New Roman" w:hAnsi="Times New Roman" w:cs="Times New Roman"/>
          <w:sz w:val="24"/>
          <w:szCs w:val="24"/>
          <w:lang w:val="en"/>
        </w:rPr>
        <w:t>Energy and emissions intensity metrics</w:t>
      </w:r>
      <w:r>
        <w:rPr>
          <w:rFonts w:ascii="Times New Roman" w:hAnsi="Times New Roman" w:cs="Times New Roman"/>
          <w:sz w:val="24"/>
          <w:szCs w:val="24"/>
          <w:lang w:val="en"/>
        </w:rPr>
        <w:t xml:space="preserve"> is 2.49.  This is the overall average number of persons per household for PSE’s service territory weighted by </w:t>
      </w:r>
      <w:r w:rsidRPr="00B72611">
        <w:rPr>
          <w:rFonts w:ascii="Times New Roman" w:hAnsi="Times New Roman" w:cs="Times New Roman"/>
          <w:sz w:val="24"/>
          <w:szCs w:val="24"/>
          <w:lang w:val="en"/>
        </w:rPr>
        <w:t>the population size for each of the counties</w:t>
      </w:r>
      <w:r>
        <w:rPr>
          <w:rFonts w:ascii="Times New Roman" w:hAnsi="Times New Roman" w:cs="Times New Roman"/>
          <w:sz w:val="24"/>
          <w:szCs w:val="24"/>
          <w:lang w:val="en"/>
        </w:rPr>
        <w:t xml:space="preserve"> for 2010-2014.  The source of the </w:t>
      </w:r>
      <w:r w:rsidRPr="0045736A">
        <w:rPr>
          <w:rFonts w:ascii="Times New Roman" w:hAnsi="Times New Roman" w:cs="Times New Roman"/>
          <w:sz w:val="24"/>
          <w:szCs w:val="24"/>
          <w:lang w:val="en"/>
        </w:rPr>
        <w:t xml:space="preserve">five-year average of county-level </w:t>
      </w:r>
      <w:r>
        <w:rPr>
          <w:rFonts w:ascii="Times New Roman" w:hAnsi="Times New Roman" w:cs="Times New Roman"/>
          <w:sz w:val="24"/>
          <w:szCs w:val="24"/>
          <w:lang w:val="en"/>
        </w:rPr>
        <w:t xml:space="preserve">data is </w:t>
      </w:r>
      <w:r w:rsidRPr="00B72611">
        <w:rPr>
          <w:rFonts w:ascii="Times New Roman" w:hAnsi="Times New Roman" w:cs="Times New Roman"/>
          <w:sz w:val="24"/>
          <w:szCs w:val="24"/>
          <w:lang w:val="en"/>
        </w:rPr>
        <w:t xml:space="preserve">the United States Census Bureau’s </w:t>
      </w:r>
      <w:r w:rsidRPr="00A87AC3">
        <w:rPr>
          <w:rFonts w:ascii="Times New Roman" w:hAnsi="Times New Roman" w:cs="Times New Roman"/>
          <w:i/>
          <w:sz w:val="24"/>
          <w:szCs w:val="24"/>
          <w:lang w:val="en"/>
        </w:rPr>
        <w:t>American Communities Survey</w:t>
      </w:r>
      <w:r>
        <w:rPr>
          <w:rFonts w:ascii="Times New Roman" w:hAnsi="Times New Roman" w:cs="Times New Roman"/>
          <w:sz w:val="24"/>
          <w:szCs w:val="24"/>
          <w:lang w:val="en"/>
        </w:rPr>
        <w:t xml:space="preserve">, which can be accessed using the Bureau’s web-based </w:t>
      </w:r>
      <w:r w:rsidRPr="0045736A">
        <w:rPr>
          <w:rFonts w:ascii="Times New Roman" w:hAnsi="Times New Roman" w:cs="Times New Roman"/>
          <w:sz w:val="24"/>
          <w:szCs w:val="24"/>
          <w:lang w:val="en"/>
        </w:rPr>
        <w:t>application QuickFacts</w:t>
      </w:r>
      <w:r>
        <w:rPr>
          <w:rFonts w:ascii="Times New Roman" w:hAnsi="Times New Roman" w:cs="Times New Roman"/>
          <w:sz w:val="24"/>
          <w:szCs w:val="24"/>
          <w:lang w:val="en"/>
        </w:rPr>
        <w:t xml:space="preserve"> at </w:t>
      </w:r>
      <w:hyperlink r:id="rId22" w:history="1">
        <w:r w:rsidRPr="00E56F18">
          <w:rPr>
            <w:rStyle w:val="Hyperlink"/>
            <w:rFonts w:ascii="Times New Roman" w:hAnsi="Times New Roman" w:cs="Times New Roman"/>
            <w:sz w:val="24"/>
            <w:szCs w:val="24"/>
            <w:lang w:val="en"/>
          </w:rPr>
          <w:t>http://www.census.gov/quickfacts/table/PST045215/00</w:t>
        </w:r>
      </w:hyperlink>
      <w:r>
        <w:rPr>
          <w:rFonts w:ascii="Times New Roman" w:hAnsi="Times New Roman" w:cs="Times New Roman"/>
          <w:sz w:val="24"/>
          <w:szCs w:val="24"/>
          <w:lang w:val="en"/>
        </w:rPr>
        <w:t xml:space="preserve">.  </w:t>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br w:type="page"/>
      </w:r>
    </w:p>
    <w:p w:rsidR="005C03ED" w:rsidRDefault="005C03ED" w:rsidP="005C03ED">
      <w:pPr>
        <w:rPr>
          <w:rFonts w:ascii="Times New Roman" w:hAnsi="Times New Roman" w:cs="Times New Roman"/>
          <w:sz w:val="24"/>
          <w:szCs w:val="24"/>
          <w:lang w:val="en"/>
        </w:rPr>
      </w:pPr>
      <w:r>
        <w:rPr>
          <w:rFonts w:ascii="Times New Roman" w:hAnsi="Times New Roman" w:cs="Times New Roman"/>
          <w:sz w:val="24"/>
          <w:szCs w:val="24"/>
          <w:lang w:val="en"/>
        </w:rPr>
        <w:lastRenderedPageBreak/>
        <w:t>The following table details the data and the calculation of the 2.49 persons a</w:t>
      </w:r>
      <w:r w:rsidRPr="00E17DE2">
        <w:rPr>
          <w:rFonts w:ascii="Times New Roman" w:hAnsi="Times New Roman" w:cs="Times New Roman"/>
          <w:sz w:val="24"/>
          <w:szCs w:val="24"/>
          <w:lang w:val="en"/>
        </w:rPr>
        <w:t>verage household size</w:t>
      </w:r>
      <w:r>
        <w:rPr>
          <w:rFonts w:ascii="Times New Roman" w:hAnsi="Times New Roman" w:cs="Times New Roman"/>
          <w:sz w:val="24"/>
          <w:szCs w:val="24"/>
          <w:lang w:val="en"/>
        </w:rPr>
        <w:t xml:space="preserve"> that used in the determination of </w:t>
      </w:r>
      <w:r w:rsidRPr="001E49EA">
        <w:rPr>
          <w:rFonts w:ascii="Times New Roman" w:hAnsi="Times New Roman" w:cs="Times New Roman"/>
          <w:sz w:val="24"/>
          <w:szCs w:val="24"/>
          <w:lang w:val="en"/>
        </w:rPr>
        <w:t xml:space="preserve">PSE </w:t>
      </w:r>
      <w:r>
        <w:rPr>
          <w:rFonts w:ascii="Times New Roman" w:hAnsi="Times New Roman" w:cs="Times New Roman"/>
          <w:sz w:val="24"/>
          <w:szCs w:val="24"/>
          <w:lang w:val="en"/>
        </w:rPr>
        <w:t>s</w:t>
      </w:r>
      <w:r w:rsidRPr="001E49EA">
        <w:rPr>
          <w:rFonts w:ascii="Times New Roman" w:hAnsi="Times New Roman" w:cs="Times New Roman"/>
          <w:sz w:val="24"/>
          <w:szCs w:val="24"/>
          <w:lang w:val="en"/>
        </w:rPr>
        <w:t xml:space="preserve">ervice </w:t>
      </w:r>
      <w:r>
        <w:rPr>
          <w:rFonts w:ascii="Times New Roman" w:hAnsi="Times New Roman" w:cs="Times New Roman"/>
          <w:sz w:val="24"/>
          <w:szCs w:val="24"/>
          <w:lang w:val="en"/>
        </w:rPr>
        <w:t>t</w:t>
      </w:r>
      <w:r w:rsidRPr="001E49EA">
        <w:rPr>
          <w:rFonts w:ascii="Times New Roman" w:hAnsi="Times New Roman" w:cs="Times New Roman"/>
          <w:sz w:val="24"/>
          <w:szCs w:val="24"/>
          <w:lang w:val="en"/>
        </w:rPr>
        <w:t xml:space="preserve">erritory </w:t>
      </w:r>
      <w:r>
        <w:rPr>
          <w:rFonts w:ascii="Times New Roman" w:hAnsi="Times New Roman" w:cs="Times New Roman"/>
          <w:sz w:val="24"/>
          <w:szCs w:val="24"/>
          <w:lang w:val="en"/>
        </w:rPr>
        <w:t>p</w:t>
      </w:r>
      <w:r w:rsidRPr="001E49EA">
        <w:rPr>
          <w:rFonts w:ascii="Times New Roman" w:hAnsi="Times New Roman" w:cs="Times New Roman"/>
          <w:sz w:val="24"/>
          <w:szCs w:val="24"/>
          <w:lang w:val="en"/>
        </w:rPr>
        <w:t>opulation</w:t>
      </w:r>
      <w:r>
        <w:rPr>
          <w:rFonts w:ascii="Times New Roman" w:hAnsi="Times New Roman" w:cs="Times New Roman"/>
          <w:sz w:val="24"/>
          <w:szCs w:val="24"/>
          <w:lang w:val="en"/>
        </w:rPr>
        <w:t xml:space="preserve"> for </w:t>
      </w:r>
      <w:r w:rsidRPr="0045736A">
        <w:rPr>
          <w:rFonts w:ascii="Times New Roman" w:hAnsi="Times New Roman" w:cs="Times New Roman"/>
          <w:sz w:val="24"/>
          <w:szCs w:val="24"/>
          <w:lang w:val="en"/>
        </w:rPr>
        <w:t>WAC 480</w:t>
      </w:r>
      <w:r>
        <w:rPr>
          <w:rFonts w:ascii="Times New Roman" w:hAnsi="Times New Roman" w:cs="Times New Roman"/>
          <w:sz w:val="24"/>
          <w:szCs w:val="24"/>
          <w:lang w:val="en"/>
        </w:rPr>
        <w:noBreakHyphen/>
      </w:r>
      <w:r w:rsidRPr="0045736A">
        <w:rPr>
          <w:rFonts w:ascii="Times New Roman" w:hAnsi="Times New Roman" w:cs="Times New Roman"/>
          <w:sz w:val="24"/>
          <w:szCs w:val="24"/>
          <w:lang w:val="en"/>
        </w:rPr>
        <w:t>109</w:t>
      </w:r>
      <w:r>
        <w:rPr>
          <w:rFonts w:ascii="Times New Roman" w:hAnsi="Times New Roman" w:cs="Times New Roman"/>
          <w:sz w:val="24"/>
          <w:szCs w:val="24"/>
          <w:lang w:val="en"/>
        </w:rPr>
        <w:noBreakHyphen/>
      </w:r>
      <w:r w:rsidRPr="0045736A">
        <w:rPr>
          <w:rFonts w:ascii="Times New Roman" w:hAnsi="Times New Roman" w:cs="Times New Roman"/>
          <w:sz w:val="24"/>
          <w:szCs w:val="24"/>
          <w:lang w:val="en"/>
        </w:rPr>
        <w:t xml:space="preserve">300(2)(c): Megawatt-hours per capita.  </w:t>
      </w:r>
    </w:p>
    <w:p w:rsidR="005C03ED" w:rsidRDefault="005C03ED" w:rsidP="005C03ED">
      <w:pPr>
        <w:rPr>
          <w:rFonts w:ascii="Times New Roman" w:hAnsi="Times New Roman" w:cs="Times New Roman"/>
          <w:sz w:val="24"/>
          <w:szCs w:val="24"/>
          <w:lang w:val="en"/>
        </w:rPr>
      </w:pPr>
      <w:r w:rsidRPr="00605718">
        <w:rPr>
          <w:noProof/>
        </w:rPr>
        <w:drawing>
          <wp:inline distT="0" distB="0" distL="0" distR="0" wp14:anchorId="391D77BA" wp14:editId="3A86FC81">
            <wp:extent cx="5837937" cy="3742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7937" cy="3742267"/>
                    </a:xfrm>
                    <a:prstGeom prst="rect">
                      <a:avLst/>
                    </a:prstGeom>
                    <a:noFill/>
                    <a:ln>
                      <a:noFill/>
                    </a:ln>
                  </pic:spPr>
                </pic:pic>
              </a:graphicData>
            </a:graphic>
          </wp:inline>
        </w:drawing>
      </w:r>
    </w:p>
    <w:p w:rsidR="00B12E1C" w:rsidRDefault="00B12E1C">
      <w:pPr>
        <w:rPr>
          <w:noProof/>
        </w:rPr>
      </w:pPr>
      <w:r>
        <w:rPr>
          <w:noProof/>
        </w:rPr>
        <w:br w:type="page"/>
      </w:r>
    </w:p>
    <w:p w:rsidR="000C2004" w:rsidRDefault="000C2004" w:rsidP="00B12E1C">
      <w:pPr>
        <w:rPr>
          <w:noProof/>
        </w:rPr>
      </w:pPr>
    </w:p>
    <w:p w:rsidR="00B12E1C" w:rsidRPr="005C03ED" w:rsidRDefault="00B12E1C" w:rsidP="00B12E1C">
      <w:pPr>
        <w:rPr>
          <w:rFonts w:ascii="Times New Roman" w:hAnsi="Times New Roman" w:cs="Times New Roman"/>
          <w:i/>
          <w:sz w:val="24"/>
          <w:szCs w:val="24"/>
          <w:u w:val="single"/>
          <w:lang w:val="en"/>
        </w:rPr>
      </w:pPr>
      <w:r>
        <w:rPr>
          <w:rFonts w:ascii="Times New Roman" w:hAnsi="Times New Roman" w:cs="Times New Roman"/>
          <w:i/>
          <w:sz w:val="24"/>
          <w:szCs w:val="24"/>
          <w:u w:val="single"/>
          <w:lang w:val="en"/>
        </w:rPr>
        <w:t>Appendix 2:  Comparison of Emissions from Unknown Sources using different methodologies</w:t>
      </w:r>
    </w:p>
    <w:p w:rsidR="00B12E1C" w:rsidRPr="000314A7" w:rsidRDefault="00B12E1C" w:rsidP="00B12E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As discussed above, generation sources and attributed emissions for spot market purchases are unknown, and therefore the WA Department of Commerce provided emissions factors for each of the previous 10 years.  PSE is unclear of the methodology used by the WA Department of Commerce to calculate those emissions factors.  Nonetheless, they are included in PSE’s analysis in Attachment A and Figure 4 above.  For comparison purposes only, PSE conducted a similar analysis to Figure 4 above but calculates the emissions factors using publically available source data from the Northwest Power Pool eGrid tool and Fuel Mix Disclosure reports from the WA Department of Commerce.  PSE’s analysis below compares the impacts of using the different emissions factors from both sources.   </w:t>
      </w:r>
    </w:p>
    <w:p w:rsidR="000C2004" w:rsidRPr="00B12E1C" w:rsidRDefault="00B12E1C" w:rsidP="00B12E1C">
      <w:pPr>
        <w:rPr>
          <w:rFonts w:ascii="Times New Roman" w:hAnsi="Times New Roman" w:cs="Times New Roman"/>
          <w:sz w:val="24"/>
          <w:szCs w:val="24"/>
        </w:rPr>
      </w:pPr>
      <w:r>
        <w:rPr>
          <w:noProof/>
        </w:rPr>
        <w:drawing>
          <wp:inline distT="0" distB="0" distL="0" distR="0" wp14:anchorId="04BC0DDD" wp14:editId="695712E3">
            <wp:extent cx="5825067" cy="5588000"/>
            <wp:effectExtent l="0" t="0" r="2349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825B8" w:rsidRDefault="006825B8" w:rsidP="00EC086A">
      <w:pPr>
        <w:pStyle w:val="ListParagraph"/>
        <w:ind w:left="360"/>
        <w:rPr>
          <w:rFonts w:ascii="Times New Roman" w:hAnsi="Times New Roman" w:cs="Times New Roman"/>
          <w:sz w:val="24"/>
          <w:szCs w:val="24"/>
        </w:rPr>
      </w:pPr>
    </w:p>
    <w:p w:rsidR="005A237F" w:rsidRDefault="005A237F" w:rsidP="00EC086A">
      <w:pPr>
        <w:pStyle w:val="ListParagraph"/>
        <w:ind w:left="360"/>
        <w:rPr>
          <w:rFonts w:ascii="Times New Roman" w:hAnsi="Times New Roman" w:cs="Times New Roman"/>
          <w:sz w:val="24"/>
          <w:szCs w:val="24"/>
        </w:rPr>
      </w:pPr>
    </w:p>
    <w:p w:rsidR="006825B8" w:rsidRDefault="006825B8" w:rsidP="00EC086A">
      <w:pPr>
        <w:pStyle w:val="ListParagraph"/>
        <w:ind w:left="360"/>
        <w:rPr>
          <w:rFonts w:ascii="Times New Roman" w:hAnsi="Times New Roman" w:cs="Times New Roman"/>
          <w:sz w:val="24"/>
          <w:szCs w:val="24"/>
        </w:rPr>
      </w:pPr>
    </w:p>
    <w:p w:rsidR="006825B8" w:rsidRDefault="006825B8" w:rsidP="00EC086A">
      <w:pPr>
        <w:pStyle w:val="ListParagraph"/>
        <w:ind w:left="360"/>
        <w:rPr>
          <w:rFonts w:ascii="Times New Roman" w:hAnsi="Times New Roman" w:cs="Times New Roman"/>
          <w:sz w:val="24"/>
          <w:szCs w:val="24"/>
        </w:rPr>
      </w:pPr>
    </w:p>
    <w:p w:rsidR="006825B8" w:rsidRDefault="006825B8" w:rsidP="006825B8">
      <w:pPr>
        <w:pStyle w:val="ListParagraph"/>
        <w:ind w:left="360"/>
        <w:jc w:val="center"/>
        <w:rPr>
          <w:rFonts w:ascii="Times New Roman" w:hAnsi="Times New Roman" w:cs="Times New Roman"/>
          <w:b/>
          <w:sz w:val="96"/>
          <w:szCs w:val="24"/>
        </w:rPr>
      </w:pPr>
    </w:p>
    <w:p w:rsidR="006825B8" w:rsidRDefault="006825B8" w:rsidP="006825B8">
      <w:pPr>
        <w:pStyle w:val="ListParagraph"/>
        <w:ind w:left="360"/>
        <w:jc w:val="center"/>
        <w:rPr>
          <w:rFonts w:ascii="Times New Roman" w:hAnsi="Times New Roman" w:cs="Times New Roman"/>
          <w:b/>
          <w:sz w:val="96"/>
          <w:szCs w:val="24"/>
        </w:rPr>
      </w:pPr>
    </w:p>
    <w:p w:rsidR="006825B8" w:rsidRPr="006825B8" w:rsidRDefault="006825B8" w:rsidP="006825B8">
      <w:pPr>
        <w:pStyle w:val="ListParagraph"/>
        <w:ind w:left="360"/>
        <w:jc w:val="center"/>
        <w:rPr>
          <w:rFonts w:ascii="Times New Roman" w:hAnsi="Times New Roman" w:cs="Times New Roman"/>
          <w:b/>
          <w:sz w:val="96"/>
          <w:szCs w:val="24"/>
        </w:rPr>
      </w:pPr>
      <w:r w:rsidRPr="006825B8">
        <w:rPr>
          <w:rFonts w:ascii="Times New Roman" w:hAnsi="Times New Roman" w:cs="Times New Roman"/>
          <w:b/>
          <w:sz w:val="96"/>
          <w:szCs w:val="24"/>
        </w:rPr>
        <w:t>Attachment A</w:t>
      </w:r>
    </w:p>
    <w:sectPr w:rsidR="006825B8" w:rsidRPr="006825B8">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2FD" w:rsidRDefault="002662FD" w:rsidP="00EC086A">
      <w:pPr>
        <w:spacing w:after="0" w:line="240" w:lineRule="auto"/>
      </w:pPr>
      <w:r>
        <w:separator/>
      </w:r>
    </w:p>
  </w:endnote>
  <w:endnote w:type="continuationSeparator" w:id="0">
    <w:p w:rsidR="002662FD" w:rsidRDefault="002662FD" w:rsidP="00EC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1C" w:rsidRDefault="00EC086A">
    <w:pPr>
      <w:pStyle w:val="Footer"/>
      <w:rPr>
        <w:rFonts w:ascii="Times New Roman" w:hAnsi="Times New Roman" w:cs="Times New Roman"/>
        <w:sz w:val="20"/>
        <w:szCs w:val="20"/>
      </w:rPr>
    </w:pPr>
    <w:r w:rsidRPr="00EC086A">
      <w:rPr>
        <w:rFonts w:ascii="Times New Roman" w:hAnsi="Times New Roman" w:cs="Times New Roman"/>
        <w:sz w:val="20"/>
        <w:szCs w:val="20"/>
      </w:rPr>
      <w:t>PSE’s</w:t>
    </w:r>
    <w:r w:rsidR="00EA7C64">
      <w:rPr>
        <w:rFonts w:ascii="Times New Roman" w:hAnsi="Times New Roman" w:cs="Times New Roman"/>
        <w:sz w:val="20"/>
        <w:szCs w:val="20"/>
      </w:rPr>
      <w:t xml:space="preserve"> Revised</w:t>
    </w:r>
    <w:r w:rsidRPr="00EC086A">
      <w:rPr>
        <w:rFonts w:ascii="Times New Roman" w:hAnsi="Times New Roman" w:cs="Times New Roman"/>
        <w:sz w:val="20"/>
        <w:szCs w:val="20"/>
      </w:rPr>
      <w:t xml:space="preserve"> Energy </w:t>
    </w:r>
    <w:r w:rsidR="000C2004">
      <w:rPr>
        <w:rFonts w:ascii="Times New Roman" w:hAnsi="Times New Roman" w:cs="Times New Roman"/>
        <w:sz w:val="20"/>
        <w:szCs w:val="20"/>
      </w:rPr>
      <w:t xml:space="preserve">and </w:t>
    </w:r>
  </w:p>
  <w:p w:rsidR="00EC086A" w:rsidRPr="00EC086A" w:rsidRDefault="000C2004">
    <w:pPr>
      <w:pStyle w:val="Footer"/>
      <w:rPr>
        <w:rFonts w:ascii="Times New Roman" w:hAnsi="Times New Roman" w:cs="Times New Roman"/>
        <w:sz w:val="20"/>
        <w:szCs w:val="20"/>
      </w:rPr>
    </w:pPr>
    <w:r>
      <w:rPr>
        <w:rFonts w:ascii="Times New Roman" w:hAnsi="Times New Roman" w:cs="Times New Roman"/>
        <w:sz w:val="20"/>
        <w:szCs w:val="20"/>
      </w:rPr>
      <w:t>Emissions Intensity</w:t>
    </w:r>
    <w:r w:rsidR="00EC086A" w:rsidRPr="00EC086A">
      <w:rPr>
        <w:rFonts w:ascii="Times New Roman" w:hAnsi="Times New Roman" w:cs="Times New Roman"/>
        <w:sz w:val="20"/>
        <w:szCs w:val="20"/>
      </w:rPr>
      <w:t xml:space="preserve"> Report</w:t>
    </w:r>
    <w:r w:rsidR="00B12E1C">
      <w:rPr>
        <w:rFonts w:ascii="Times New Roman" w:hAnsi="Times New Roman" w:cs="Times New Roman"/>
        <w:sz w:val="20"/>
        <w:szCs w:val="20"/>
      </w:rPr>
      <w:tab/>
    </w:r>
    <w:r w:rsidR="00B12E1C" w:rsidRPr="00EC086A">
      <w:rPr>
        <w:rFonts w:ascii="Times New Roman" w:hAnsi="Times New Roman" w:cs="Times New Roman"/>
        <w:sz w:val="20"/>
        <w:szCs w:val="20"/>
      </w:rPr>
      <w:t xml:space="preserve">Page </w:t>
    </w:r>
    <w:r w:rsidR="00B12E1C" w:rsidRPr="00EC086A">
      <w:rPr>
        <w:rFonts w:ascii="Times New Roman" w:hAnsi="Times New Roman" w:cs="Times New Roman"/>
        <w:sz w:val="20"/>
        <w:szCs w:val="20"/>
      </w:rPr>
      <w:fldChar w:fldCharType="begin"/>
    </w:r>
    <w:r w:rsidR="00B12E1C" w:rsidRPr="00EC086A">
      <w:rPr>
        <w:rFonts w:ascii="Times New Roman" w:hAnsi="Times New Roman" w:cs="Times New Roman"/>
        <w:sz w:val="20"/>
        <w:szCs w:val="20"/>
      </w:rPr>
      <w:instrText xml:space="preserve"> PAGE   \* MERGEFORMAT </w:instrText>
    </w:r>
    <w:r w:rsidR="00B12E1C" w:rsidRPr="00EC086A">
      <w:rPr>
        <w:rFonts w:ascii="Times New Roman" w:hAnsi="Times New Roman" w:cs="Times New Roman"/>
        <w:sz w:val="20"/>
        <w:szCs w:val="20"/>
      </w:rPr>
      <w:fldChar w:fldCharType="separate"/>
    </w:r>
    <w:r w:rsidR="001E12D3">
      <w:rPr>
        <w:rFonts w:ascii="Times New Roman" w:hAnsi="Times New Roman" w:cs="Times New Roman"/>
        <w:noProof/>
        <w:sz w:val="20"/>
        <w:szCs w:val="20"/>
      </w:rPr>
      <w:t>3</w:t>
    </w:r>
    <w:r w:rsidR="00B12E1C" w:rsidRPr="00EC086A">
      <w:rPr>
        <w:rFonts w:ascii="Times New Roman" w:hAnsi="Times New Roman" w:cs="Times New Roman"/>
        <w:noProof/>
        <w:sz w:val="20"/>
        <w:szCs w:val="20"/>
      </w:rPr>
      <w:fldChar w:fldCharType="end"/>
    </w:r>
    <w:r w:rsidR="00B12E1C">
      <w:rPr>
        <w:rFonts w:ascii="Times New Roman" w:hAnsi="Times New Roman" w:cs="Times New Roman"/>
        <w:noProof/>
        <w:sz w:val="20"/>
        <w:szCs w:val="20"/>
      </w:rPr>
      <w:tab/>
    </w:r>
    <w:r w:rsidR="00EA7C64">
      <w:rPr>
        <w:rFonts w:ascii="Times New Roman" w:hAnsi="Times New Roman" w:cs="Times New Roman"/>
        <w:noProof/>
        <w:sz w:val="20"/>
        <w:szCs w:val="20"/>
      </w:rPr>
      <w:t>December 23</w:t>
    </w:r>
    <w:r w:rsidR="00B12E1C">
      <w:rPr>
        <w:rFonts w:ascii="Times New Roman" w:hAnsi="Times New Roman" w:cs="Times New Roman"/>
        <w:sz w:val="20"/>
        <w:szCs w:val="20"/>
      </w:rPr>
      <w:t>, 2016</w:t>
    </w:r>
    <w:r w:rsidR="00EC086A" w:rsidRPr="00EC086A">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2FD" w:rsidRDefault="002662FD" w:rsidP="00EC086A">
      <w:pPr>
        <w:spacing w:after="0" w:line="240" w:lineRule="auto"/>
      </w:pPr>
      <w:r>
        <w:separator/>
      </w:r>
    </w:p>
  </w:footnote>
  <w:footnote w:type="continuationSeparator" w:id="0">
    <w:p w:rsidR="002662FD" w:rsidRDefault="002662FD" w:rsidP="00EC086A">
      <w:pPr>
        <w:spacing w:after="0" w:line="240" w:lineRule="auto"/>
      </w:pPr>
      <w:r>
        <w:continuationSeparator/>
      </w:r>
    </w:p>
  </w:footnote>
  <w:footnote w:id="1">
    <w:p w:rsidR="005C03ED" w:rsidRDefault="005C03ED" w:rsidP="005C03ED">
      <w:pPr>
        <w:pStyle w:val="FootnoteText"/>
      </w:pPr>
      <w:r>
        <w:rPr>
          <w:rStyle w:val="FootnoteReference"/>
        </w:rPr>
        <w:footnoteRef/>
      </w:r>
      <w:r>
        <w:t xml:space="preserve"> UE-131732</w:t>
      </w:r>
      <w:r w:rsidRPr="008A4E8E">
        <w:t xml:space="preserve"> Proposed EE Metrics Workgroup Results </w:t>
      </w:r>
      <w:r>
        <w:t>–</w:t>
      </w:r>
      <w:r w:rsidRPr="008A4E8E">
        <w:t xml:space="preserve"> Final</w:t>
      </w:r>
      <w:r>
        <w:t xml:space="preserve"> </w:t>
      </w:r>
      <w:r w:rsidRPr="0039130C">
        <w:t>Report</w:t>
      </w:r>
      <w:r>
        <w:t>, August 7, 2015,</w:t>
      </w:r>
      <w:r w:rsidRPr="0039130C">
        <w:t xml:space="preserve"> </w:t>
      </w:r>
      <w:r>
        <w:t>(</w:t>
      </w:r>
      <w:r w:rsidRPr="0039130C">
        <w:t>Report</w:t>
      </w:r>
      <w:r>
        <w:t xml:space="preserve"> at2-3)</w:t>
      </w:r>
      <w:r w:rsidRPr="0039130C">
        <w:t xml:space="preserve">.  </w:t>
      </w:r>
    </w:p>
  </w:footnote>
  <w:footnote w:id="2">
    <w:p w:rsidR="005C03ED" w:rsidRDefault="005C03ED" w:rsidP="005C03ED">
      <w:pPr>
        <w:pStyle w:val="FootnoteText"/>
      </w:pPr>
      <w:r>
        <w:rPr>
          <w:rStyle w:val="FootnoteReference"/>
        </w:rPr>
        <w:footnoteRef/>
      </w:r>
      <w:r>
        <w:t xml:space="preserve"> UE-131732, </w:t>
      </w:r>
      <w:r w:rsidRPr="008A4E8E">
        <w:t>Final Order</w:t>
      </w:r>
      <w:r>
        <w:t>,</w:t>
      </w:r>
      <w:r w:rsidRPr="008A4E8E">
        <w:t xml:space="preserve"> General Order R-581</w:t>
      </w:r>
      <w:r>
        <w:t>:</w:t>
      </w:r>
      <w:r w:rsidRPr="008A4E8E">
        <w:t xml:space="preserve"> Order Adopting Rule Permanently</w:t>
      </w:r>
      <w:r>
        <w:t xml:space="preserve">, September, 10, 2015, (Order at 6 </w:t>
      </w:r>
      <w:r>
        <w:rPr>
          <w:rFonts w:ascii="Arial" w:hAnsi="Arial" w:cs="Arial"/>
        </w:rPr>
        <w:t>§</w:t>
      </w:r>
      <w:r>
        <w:t xml:space="preserve">17). </w:t>
      </w:r>
    </w:p>
  </w:footnote>
  <w:footnote w:id="3">
    <w:p w:rsidR="005C03ED" w:rsidRDefault="005C03ED" w:rsidP="005C03ED">
      <w:pPr>
        <w:pStyle w:val="FootnoteText"/>
      </w:pPr>
      <w:r>
        <w:rPr>
          <w:rStyle w:val="FootnoteReference"/>
        </w:rPr>
        <w:footnoteRef/>
      </w:r>
      <w:r>
        <w:t xml:space="preserve"> UE-131732, </w:t>
      </w:r>
      <w:r w:rsidRPr="008A4E8E">
        <w:t>Final Order</w:t>
      </w:r>
      <w:r>
        <w:t>,</w:t>
      </w:r>
      <w:r w:rsidRPr="008A4E8E">
        <w:t xml:space="preserve"> General Order R-581</w:t>
      </w:r>
      <w:r>
        <w:t>:</w:t>
      </w:r>
      <w:r w:rsidRPr="008A4E8E">
        <w:t xml:space="preserve"> Order Adopting Rule Permanently</w:t>
      </w:r>
      <w:r>
        <w:t xml:space="preserve">, September, 10, 2015, (Order at 6 </w:t>
      </w:r>
      <w:r>
        <w:rPr>
          <w:rFonts w:ascii="Arial" w:hAnsi="Arial" w:cs="Arial"/>
        </w:rPr>
        <w:t>§</w:t>
      </w:r>
      <w:r>
        <w:t xml:space="preserve">17). </w:t>
      </w:r>
    </w:p>
  </w:footnote>
  <w:footnote w:id="4">
    <w:p w:rsidR="005C03ED" w:rsidRDefault="005C03ED" w:rsidP="005C03ED">
      <w:pPr>
        <w:pStyle w:val="FootnoteText"/>
      </w:pPr>
      <w:r>
        <w:rPr>
          <w:rStyle w:val="FootnoteReference"/>
        </w:rPr>
        <w:footnoteRef/>
      </w:r>
      <w:r>
        <w:t xml:space="preserve"> Federal Energy Regulatory Commission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22CF"/>
    <w:multiLevelType w:val="hybridMultilevel"/>
    <w:tmpl w:val="4FD86F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146A06"/>
    <w:multiLevelType w:val="hybridMultilevel"/>
    <w:tmpl w:val="45ECCD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2E068D"/>
    <w:multiLevelType w:val="hybridMultilevel"/>
    <w:tmpl w:val="A2982178"/>
    <w:lvl w:ilvl="0" w:tplc="6BA87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40195"/>
    <w:multiLevelType w:val="hybridMultilevel"/>
    <w:tmpl w:val="E5F0E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B603BC"/>
    <w:multiLevelType w:val="hybridMultilevel"/>
    <w:tmpl w:val="F376B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64"/>
    <w:rsid w:val="000314A7"/>
    <w:rsid w:val="000503DB"/>
    <w:rsid w:val="00097F1A"/>
    <w:rsid w:val="000C2004"/>
    <w:rsid w:val="000C73BA"/>
    <w:rsid w:val="001319EF"/>
    <w:rsid w:val="001E12D3"/>
    <w:rsid w:val="002614C9"/>
    <w:rsid w:val="002662FD"/>
    <w:rsid w:val="002A5664"/>
    <w:rsid w:val="003213EA"/>
    <w:rsid w:val="00331F86"/>
    <w:rsid w:val="00355916"/>
    <w:rsid w:val="003E7EE6"/>
    <w:rsid w:val="003F45EA"/>
    <w:rsid w:val="0043119C"/>
    <w:rsid w:val="00493960"/>
    <w:rsid w:val="0049407C"/>
    <w:rsid w:val="004A4B8D"/>
    <w:rsid w:val="004C3C9E"/>
    <w:rsid w:val="00523333"/>
    <w:rsid w:val="005243F6"/>
    <w:rsid w:val="00566A55"/>
    <w:rsid w:val="005A237F"/>
    <w:rsid w:val="005B5C44"/>
    <w:rsid w:val="005C03ED"/>
    <w:rsid w:val="00654CEB"/>
    <w:rsid w:val="006825B8"/>
    <w:rsid w:val="006F3734"/>
    <w:rsid w:val="007418EB"/>
    <w:rsid w:val="007D1D5A"/>
    <w:rsid w:val="00886B64"/>
    <w:rsid w:val="0092529E"/>
    <w:rsid w:val="0095016E"/>
    <w:rsid w:val="00952225"/>
    <w:rsid w:val="00A05ADF"/>
    <w:rsid w:val="00A87932"/>
    <w:rsid w:val="00B12E1C"/>
    <w:rsid w:val="00B2608C"/>
    <w:rsid w:val="00BA12DC"/>
    <w:rsid w:val="00BE11ED"/>
    <w:rsid w:val="00C57BA3"/>
    <w:rsid w:val="00CB4D17"/>
    <w:rsid w:val="00D02097"/>
    <w:rsid w:val="00D32B5D"/>
    <w:rsid w:val="00D447A2"/>
    <w:rsid w:val="00D64022"/>
    <w:rsid w:val="00D65561"/>
    <w:rsid w:val="00DA2B48"/>
    <w:rsid w:val="00E40D91"/>
    <w:rsid w:val="00E948FA"/>
    <w:rsid w:val="00EA2E3A"/>
    <w:rsid w:val="00EA7C64"/>
    <w:rsid w:val="00EC086A"/>
    <w:rsid w:val="00F654A5"/>
    <w:rsid w:val="00FF1078"/>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6B64"/>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6B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86B64"/>
    <w:rPr>
      <w:color w:val="2B674D"/>
      <w:u w:val="single"/>
    </w:rPr>
  </w:style>
  <w:style w:type="paragraph" w:styleId="ListParagraph">
    <w:name w:val="List Paragraph"/>
    <w:basedOn w:val="Normal"/>
    <w:uiPriority w:val="34"/>
    <w:qFormat/>
    <w:rsid w:val="00DA2B48"/>
    <w:pPr>
      <w:spacing w:after="160" w:line="259" w:lineRule="auto"/>
      <w:ind w:left="720"/>
      <w:contextualSpacing/>
    </w:pPr>
  </w:style>
  <w:style w:type="paragraph" w:styleId="Header">
    <w:name w:val="header"/>
    <w:basedOn w:val="Normal"/>
    <w:link w:val="HeaderChar"/>
    <w:uiPriority w:val="99"/>
    <w:unhideWhenUsed/>
    <w:rsid w:val="00EC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6A"/>
  </w:style>
  <w:style w:type="paragraph" w:styleId="Footer">
    <w:name w:val="footer"/>
    <w:basedOn w:val="Normal"/>
    <w:link w:val="FooterChar"/>
    <w:uiPriority w:val="99"/>
    <w:unhideWhenUsed/>
    <w:rsid w:val="00EC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6A"/>
  </w:style>
  <w:style w:type="character" w:styleId="FollowedHyperlink">
    <w:name w:val="FollowedHyperlink"/>
    <w:basedOn w:val="DefaultParagraphFont"/>
    <w:uiPriority w:val="99"/>
    <w:semiHidden/>
    <w:unhideWhenUsed/>
    <w:rsid w:val="00654CEB"/>
    <w:rPr>
      <w:color w:val="800080" w:themeColor="followedHyperlink"/>
      <w:u w:val="single"/>
    </w:rPr>
  </w:style>
  <w:style w:type="table" w:styleId="TableGrid">
    <w:name w:val="Table Grid"/>
    <w:basedOn w:val="TableNormal"/>
    <w:uiPriority w:val="59"/>
    <w:rsid w:val="003E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EE6"/>
    <w:rPr>
      <w:rFonts w:ascii="Tahoma" w:hAnsi="Tahoma" w:cs="Tahoma"/>
      <w:sz w:val="16"/>
      <w:szCs w:val="16"/>
    </w:rPr>
  </w:style>
  <w:style w:type="paragraph" w:styleId="FootnoteText">
    <w:name w:val="footnote text"/>
    <w:basedOn w:val="Normal"/>
    <w:link w:val="FootnoteTextChar"/>
    <w:uiPriority w:val="99"/>
    <w:semiHidden/>
    <w:unhideWhenUsed/>
    <w:rsid w:val="005C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3ED"/>
    <w:rPr>
      <w:sz w:val="20"/>
      <w:szCs w:val="20"/>
    </w:rPr>
  </w:style>
  <w:style w:type="character" w:styleId="FootnoteReference">
    <w:name w:val="footnote reference"/>
    <w:basedOn w:val="DefaultParagraphFont"/>
    <w:uiPriority w:val="99"/>
    <w:semiHidden/>
    <w:unhideWhenUsed/>
    <w:rsid w:val="005C03ED"/>
    <w:rPr>
      <w:vertAlign w:val="superscript"/>
    </w:rPr>
  </w:style>
  <w:style w:type="character" w:styleId="CommentReference">
    <w:name w:val="annotation reference"/>
    <w:basedOn w:val="DefaultParagraphFont"/>
    <w:uiPriority w:val="99"/>
    <w:semiHidden/>
    <w:unhideWhenUsed/>
    <w:rsid w:val="00FF1078"/>
    <w:rPr>
      <w:sz w:val="16"/>
      <w:szCs w:val="16"/>
    </w:rPr>
  </w:style>
  <w:style w:type="paragraph" w:styleId="CommentText">
    <w:name w:val="annotation text"/>
    <w:basedOn w:val="Normal"/>
    <w:link w:val="CommentTextChar"/>
    <w:uiPriority w:val="99"/>
    <w:semiHidden/>
    <w:unhideWhenUsed/>
    <w:rsid w:val="00FF1078"/>
    <w:pPr>
      <w:spacing w:line="240" w:lineRule="auto"/>
    </w:pPr>
    <w:rPr>
      <w:sz w:val="20"/>
      <w:szCs w:val="20"/>
    </w:rPr>
  </w:style>
  <w:style w:type="character" w:customStyle="1" w:styleId="CommentTextChar">
    <w:name w:val="Comment Text Char"/>
    <w:basedOn w:val="DefaultParagraphFont"/>
    <w:link w:val="CommentText"/>
    <w:uiPriority w:val="99"/>
    <w:semiHidden/>
    <w:rsid w:val="00FF1078"/>
    <w:rPr>
      <w:sz w:val="20"/>
      <w:szCs w:val="20"/>
    </w:rPr>
  </w:style>
  <w:style w:type="paragraph" w:styleId="CommentSubject">
    <w:name w:val="annotation subject"/>
    <w:basedOn w:val="CommentText"/>
    <w:next w:val="CommentText"/>
    <w:link w:val="CommentSubjectChar"/>
    <w:uiPriority w:val="99"/>
    <w:semiHidden/>
    <w:unhideWhenUsed/>
    <w:rsid w:val="00FF1078"/>
    <w:rPr>
      <w:b/>
      <w:bCs/>
    </w:rPr>
  </w:style>
  <w:style w:type="character" w:customStyle="1" w:styleId="CommentSubjectChar">
    <w:name w:val="Comment Subject Char"/>
    <w:basedOn w:val="CommentTextChar"/>
    <w:link w:val="CommentSubject"/>
    <w:uiPriority w:val="99"/>
    <w:semiHidden/>
    <w:rsid w:val="00FF10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86B64"/>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6B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86B64"/>
    <w:rPr>
      <w:color w:val="2B674D"/>
      <w:u w:val="single"/>
    </w:rPr>
  </w:style>
  <w:style w:type="paragraph" w:styleId="ListParagraph">
    <w:name w:val="List Paragraph"/>
    <w:basedOn w:val="Normal"/>
    <w:uiPriority w:val="34"/>
    <w:qFormat/>
    <w:rsid w:val="00DA2B48"/>
    <w:pPr>
      <w:spacing w:after="160" w:line="259" w:lineRule="auto"/>
      <w:ind w:left="720"/>
      <w:contextualSpacing/>
    </w:pPr>
  </w:style>
  <w:style w:type="paragraph" w:styleId="Header">
    <w:name w:val="header"/>
    <w:basedOn w:val="Normal"/>
    <w:link w:val="HeaderChar"/>
    <w:uiPriority w:val="99"/>
    <w:unhideWhenUsed/>
    <w:rsid w:val="00EC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86A"/>
  </w:style>
  <w:style w:type="paragraph" w:styleId="Footer">
    <w:name w:val="footer"/>
    <w:basedOn w:val="Normal"/>
    <w:link w:val="FooterChar"/>
    <w:uiPriority w:val="99"/>
    <w:unhideWhenUsed/>
    <w:rsid w:val="00EC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86A"/>
  </w:style>
  <w:style w:type="character" w:styleId="FollowedHyperlink">
    <w:name w:val="FollowedHyperlink"/>
    <w:basedOn w:val="DefaultParagraphFont"/>
    <w:uiPriority w:val="99"/>
    <w:semiHidden/>
    <w:unhideWhenUsed/>
    <w:rsid w:val="00654CEB"/>
    <w:rPr>
      <w:color w:val="800080" w:themeColor="followedHyperlink"/>
      <w:u w:val="single"/>
    </w:rPr>
  </w:style>
  <w:style w:type="table" w:styleId="TableGrid">
    <w:name w:val="Table Grid"/>
    <w:basedOn w:val="TableNormal"/>
    <w:uiPriority w:val="59"/>
    <w:rsid w:val="003E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EE6"/>
    <w:rPr>
      <w:rFonts w:ascii="Tahoma" w:hAnsi="Tahoma" w:cs="Tahoma"/>
      <w:sz w:val="16"/>
      <w:szCs w:val="16"/>
    </w:rPr>
  </w:style>
  <w:style w:type="paragraph" w:styleId="FootnoteText">
    <w:name w:val="footnote text"/>
    <w:basedOn w:val="Normal"/>
    <w:link w:val="FootnoteTextChar"/>
    <w:uiPriority w:val="99"/>
    <w:semiHidden/>
    <w:unhideWhenUsed/>
    <w:rsid w:val="005C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3ED"/>
    <w:rPr>
      <w:sz w:val="20"/>
      <w:szCs w:val="20"/>
    </w:rPr>
  </w:style>
  <w:style w:type="character" w:styleId="FootnoteReference">
    <w:name w:val="footnote reference"/>
    <w:basedOn w:val="DefaultParagraphFont"/>
    <w:uiPriority w:val="99"/>
    <w:semiHidden/>
    <w:unhideWhenUsed/>
    <w:rsid w:val="005C03ED"/>
    <w:rPr>
      <w:vertAlign w:val="superscript"/>
    </w:rPr>
  </w:style>
  <w:style w:type="character" w:styleId="CommentReference">
    <w:name w:val="annotation reference"/>
    <w:basedOn w:val="DefaultParagraphFont"/>
    <w:uiPriority w:val="99"/>
    <w:semiHidden/>
    <w:unhideWhenUsed/>
    <w:rsid w:val="00FF1078"/>
    <w:rPr>
      <w:sz w:val="16"/>
      <w:szCs w:val="16"/>
    </w:rPr>
  </w:style>
  <w:style w:type="paragraph" w:styleId="CommentText">
    <w:name w:val="annotation text"/>
    <w:basedOn w:val="Normal"/>
    <w:link w:val="CommentTextChar"/>
    <w:uiPriority w:val="99"/>
    <w:semiHidden/>
    <w:unhideWhenUsed/>
    <w:rsid w:val="00FF1078"/>
    <w:pPr>
      <w:spacing w:line="240" w:lineRule="auto"/>
    </w:pPr>
    <w:rPr>
      <w:sz w:val="20"/>
      <w:szCs w:val="20"/>
    </w:rPr>
  </w:style>
  <w:style w:type="character" w:customStyle="1" w:styleId="CommentTextChar">
    <w:name w:val="Comment Text Char"/>
    <w:basedOn w:val="DefaultParagraphFont"/>
    <w:link w:val="CommentText"/>
    <w:uiPriority w:val="99"/>
    <w:semiHidden/>
    <w:rsid w:val="00FF1078"/>
    <w:rPr>
      <w:sz w:val="20"/>
      <w:szCs w:val="20"/>
    </w:rPr>
  </w:style>
  <w:style w:type="paragraph" w:styleId="CommentSubject">
    <w:name w:val="annotation subject"/>
    <w:basedOn w:val="CommentText"/>
    <w:next w:val="CommentText"/>
    <w:link w:val="CommentSubjectChar"/>
    <w:uiPriority w:val="99"/>
    <w:semiHidden/>
    <w:unhideWhenUsed/>
    <w:rsid w:val="00FF1078"/>
    <w:rPr>
      <w:b/>
      <w:bCs/>
    </w:rPr>
  </w:style>
  <w:style w:type="character" w:customStyle="1" w:styleId="CommentSubjectChar">
    <w:name w:val="Comment Subject Char"/>
    <w:basedOn w:val="CommentTextChar"/>
    <w:link w:val="CommentSubject"/>
    <w:uiPriority w:val="99"/>
    <w:semiHidden/>
    <w:rsid w:val="00FF10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73949">
      <w:bodyDiv w:val="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1386372951">
              <w:marLeft w:val="0"/>
              <w:marRight w:val="0"/>
              <w:marTop w:val="0"/>
              <w:marBottom w:val="0"/>
              <w:divBdr>
                <w:top w:val="none" w:sz="0" w:space="0" w:color="auto"/>
                <w:left w:val="none" w:sz="0" w:space="0" w:color="auto"/>
                <w:bottom w:val="none" w:sz="0" w:space="0" w:color="auto"/>
                <w:right w:val="none" w:sz="0" w:space="0" w:color="auto"/>
              </w:divBdr>
              <w:divsChild>
                <w:div w:id="350032085">
                  <w:marLeft w:val="0"/>
                  <w:marRight w:val="0"/>
                  <w:marTop w:val="0"/>
                  <w:marBottom w:val="0"/>
                  <w:divBdr>
                    <w:top w:val="none" w:sz="0" w:space="12" w:color="auto"/>
                    <w:left w:val="none" w:sz="0" w:space="12" w:color="auto"/>
                    <w:bottom w:val="none" w:sz="0" w:space="12" w:color="auto"/>
                    <w:right w:val="none" w:sz="0" w:space="12" w:color="auto"/>
                  </w:divBdr>
                  <w:divsChild>
                    <w:div w:id="788937232">
                      <w:marLeft w:val="0"/>
                      <w:marRight w:val="0"/>
                      <w:marTop w:val="0"/>
                      <w:marBottom w:val="0"/>
                      <w:divBdr>
                        <w:top w:val="none" w:sz="0" w:space="12" w:color="auto"/>
                        <w:left w:val="none" w:sz="0" w:space="12" w:color="auto"/>
                        <w:bottom w:val="none" w:sz="0" w:space="12" w:color="auto"/>
                        <w:right w:val="none" w:sz="0" w:space="12" w:color="auto"/>
                      </w:divBdr>
                      <w:divsChild>
                        <w:div w:id="85658579">
                          <w:marLeft w:val="0"/>
                          <w:marRight w:val="0"/>
                          <w:marTop w:val="0"/>
                          <w:marBottom w:val="0"/>
                          <w:divBdr>
                            <w:top w:val="none" w:sz="0" w:space="0" w:color="auto"/>
                            <w:left w:val="none" w:sz="0" w:space="0" w:color="auto"/>
                            <w:bottom w:val="none" w:sz="0" w:space="0" w:color="auto"/>
                            <w:right w:val="none" w:sz="0" w:space="0" w:color="auto"/>
                          </w:divBdr>
                          <w:divsChild>
                            <w:div w:id="86125468">
                              <w:marLeft w:val="-225"/>
                              <w:marRight w:val="-225"/>
                              <w:marTop w:val="0"/>
                              <w:marBottom w:val="0"/>
                              <w:divBdr>
                                <w:top w:val="none" w:sz="0" w:space="0" w:color="auto"/>
                                <w:left w:val="none" w:sz="0" w:space="0" w:color="auto"/>
                                <w:bottom w:val="none" w:sz="0" w:space="0" w:color="auto"/>
                                <w:right w:val="none" w:sz="0" w:space="0" w:color="auto"/>
                              </w:divBdr>
                              <w:divsChild>
                                <w:div w:id="1460880439">
                                  <w:marLeft w:val="0"/>
                                  <w:marRight w:val="0"/>
                                  <w:marTop w:val="0"/>
                                  <w:marBottom w:val="0"/>
                                  <w:divBdr>
                                    <w:top w:val="none" w:sz="0" w:space="0" w:color="auto"/>
                                    <w:left w:val="none" w:sz="0" w:space="0" w:color="auto"/>
                                    <w:bottom w:val="none" w:sz="0" w:space="0" w:color="auto"/>
                                    <w:right w:val="none" w:sz="0" w:space="0" w:color="auto"/>
                                  </w:divBdr>
                                  <w:divsChild>
                                    <w:div w:id="1101952374">
                                      <w:marLeft w:val="0"/>
                                      <w:marRight w:val="0"/>
                                      <w:marTop w:val="0"/>
                                      <w:marBottom w:val="0"/>
                                      <w:divBdr>
                                        <w:top w:val="none" w:sz="0" w:space="0" w:color="auto"/>
                                        <w:left w:val="none" w:sz="0" w:space="0" w:color="auto"/>
                                        <w:bottom w:val="none" w:sz="0" w:space="0" w:color="auto"/>
                                        <w:right w:val="none" w:sz="0" w:space="0" w:color="auto"/>
                                      </w:divBdr>
                                      <w:divsChild>
                                        <w:div w:id="1899322182">
                                          <w:marLeft w:val="-225"/>
                                          <w:marRight w:val="-225"/>
                                          <w:marTop w:val="0"/>
                                          <w:marBottom w:val="0"/>
                                          <w:divBdr>
                                            <w:top w:val="none" w:sz="0" w:space="0" w:color="auto"/>
                                            <w:left w:val="none" w:sz="0" w:space="0" w:color="auto"/>
                                            <w:bottom w:val="none" w:sz="0" w:space="0" w:color="auto"/>
                                            <w:right w:val="none" w:sz="0" w:space="0" w:color="auto"/>
                                          </w:divBdr>
                                          <w:divsChild>
                                            <w:div w:id="331837584">
                                              <w:marLeft w:val="0"/>
                                              <w:marRight w:val="0"/>
                                              <w:marTop w:val="0"/>
                                              <w:marBottom w:val="0"/>
                                              <w:divBdr>
                                                <w:top w:val="none" w:sz="0" w:space="0" w:color="auto"/>
                                                <w:left w:val="none" w:sz="0" w:space="0" w:color="auto"/>
                                                <w:bottom w:val="none" w:sz="0" w:space="0" w:color="auto"/>
                                                <w:right w:val="none" w:sz="0" w:space="0" w:color="auto"/>
                                              </w:divBdr>
                                            </w:div>
                                          </w:divsChild>
                                        </w:div>
                                        <w:div w:id="934745761">
                                          <w:marLeft w:val="0"/>
                                          <w:marRight w:val="0"/>
                                          <w:marTop w:val="0"/>
                                          <w:marBottom w:val="0"/>
                                          <w:divBdr>
                                            <w:top w:val="none" w:sz="0" w:space="0" w:color="auto"/>
                                            <w:left w:val="none" w:sz="0" w:space="0" w:color="auto"/>
                                            <w:bottom w:val="none" w:sz="0" w:space="0" w:color="auto"/>
                                            <w:right w:val="none" w:sz="0" w:space="0" w:color="auto"/>
                                          </w:divBdr>
                                        </w:div>
                                        <w:div w:id="464742061">
                                          <w:marLeft w:val="0"/>
                                          <w:marRight w:val="0"/>
                                          <w:marTop w:val="0"/>
                                          <w:marBottom w:val="0"/>
                                          <w:divBdr>
                                            <w:top w:val="none" w:sz="0" w:space="0" w:color="auto"/>
                                            <w:left w:val="none" w:sz="0" w:space="0" w:color="auto"/>
                                            <w:bottom w:val="none" w:sz="0" w:space="0" w:color="auto"/>
                                            <w:right w:val="none" w:sz="0" w:space="0" w:color="auto"/>
                                          </w:divBdr>
                                        </w:div>
                                        <w:div w:id="444346810">
                                          <w:marLeft w:val="0"/>
                                          <w:marRight w:val="0"/>
                                          <w:marTop w:val="0"/>
                                          <w:marBottom w:val="0"/>
                                          <w:divBdr>
                                            <w:top w:val="none" w:sz="0" w:space="0" w:color="auto"/>
                                            <w:left w:val="none" w:sz="0" w:space="0" w:color="auto"/>
                                            <w:bottom w:val="none" w:sz="0" w:space="0" w:color="auto"/>
                                            <w:right w:val="none" w:sz="0" w:space="0" w:color="auto"/>
                                          </w:divBdr>
                                        </w:div>
                                        <w:div w:id="1099373454">
                                          <w:marLeft w:val="0"/>
                                          <w:marRight w:val="0"/>
                                          <w:marTop w:val="0"/>
                                          <w:marBottom w:val="0"/>
                                          <w:divBdr>
                                            <w:top w:val="none" w:sz="0" w:space="0" w:color="auto"/>
                                            <w:left w:val="none" w:sz="0" w:space="0" w:color="auto"/>
                                            <w:bottom w:val="none" w:sz="0" w:space="0" w:color="auto"/>
                                            <w:right w:val="none" w:sz="0" w:space="0" w:color="auto"/>
                                          </w:divBdr>
                                        </w:div>
                                        <w:div w:id="411391198">
                                          <w:marLeft w:val="0"/>
                                          <w:marRight w:val="0"/>
                                          <w:marTop w:val="0"/>
                                          <w:marBottom w:val="0"/>
                                          <w:divBdr>
                                            <w:top w:val="none" w:sz="0" w:space="0" w:color="auto"/>
                                            <w:left w:val="none" w:sz="0" w:space="0" w:color="auto"/>
                                            <w:bottom w:val="none" w:sz="0" w:space="0" w:color="auto"/>
                                            <w:right w:val="none" w:sz="0" w:space="0" w:color="auto"/>
                                          </w:divBdr>
                                        </w:div>
                                        <w:div w:id="2081518928">
                                          <w:marLeft w:val="0"/>
                                          <w:marRight w:val="0"/>
                                          <w:marTop w:val="0"/>
                                          <w:marBottom w:val="0"/>
                                          <w:divBdr>
                                            <w:top w:val="none" w:sz="0" w:space="0" w:color="auto"/>
                                            <w:left w:val="none" w:sz="0" w:space="0" w:color="auto"/>
                                            <w:bottom w:val="none" w:sz="0" w:space="0" w:color="auto"/>
                                            <w:right w:val="none" w:sz="0" w:space="0" w:color="auto"/>
                                          </w:divBdr>
                                        </w:div>
                                        <w:div w:id="666399600">
                                          <w:marLeft w:val="0"/>
                                          <w:marRight w:val="0"/>
                                          <w:marTop w:val="0"/>
                                          <w:marBottom w:val="0"/>
                                          <w:divBdr>
                                            <w:top w:val="none" w:sz="0" w:space="0" w:color="auto"/>
                                            <w:left w:val="none" w:sz="0" w:space="0" w:color="auto"/>
                                            <w:bottom w:val="none" w:sz="0" w:space="0" w:color="auto"/>
                                            <w:right w:val="none" w:sz="0" w:space="0" w:color="auto"/>
                                          </w:divBdr>
                                        </w:div>
                                        <w:div w:id="827983952">
                                          <w:marLeft w:val="0"/>
                                          <w:marRight w:val="0"/>
                                          <w:marTop w:val="0"/>
                                          <w:marBottom w:val="0"/>
                                          <w:divBdr>
                                            <w:top w:val="none" w:sz="0" w:space="0" w:color="auto"/>
                                            <w:left w:val="none" w:sz="0" w:space="0" w:color="auto"/>
                                            <w:bottom w:val="none" w:sz="0" w:space="0" w:color="auto"/>
                                            <w:right w:val="none" w:sz="0" w:space="0" w:color="auto"/>
                                          </w:divBdr>
                                        </w:div>
                                        <w:div w:id="1684474735">
                                          <w:marLeft w:val="0"/>
                                          <w:marRight w:val="0"/>
                                          <w:marTop w:val="0"/>
                                          <w:marBottom w:val="0"/>
                                          <w:divBdr>
                                            <w:top w:val="none" w:sz="0" w:space="0" w:color="auto"/>
                                            <w:left w:val="none" w:sz="0" w:space="0" w:color="auto"/>
                                            <w:bottom w:val="none" w:sz="0" w:space="0" w:color="auto"/>
                                            <w:right w:val="none" w:sz="0" w:space="0" w:color="auto"/>
                                          </w:divBdr>
                                        </w:div>
                                        <w:div w:id="965043967">
                                          <w:marLeft w:val="0"/>
                                          <w:marRight w:val="0"/>
                                          <w:marTop w:val="0"/>
                                          <w:marBottom w:val="0"/>
                                          <w:divBdr>
                                            <w:top w:val="none" w:sz="0" w:space="0" w:color="auto"/>
                                            <w:left w:val="none" w:sz="0" w:space="0" w:color="auto"/>
                                            <w:bottom w:val="none" w:sz="0" w:space="0" w:color="auto"/>
                                            <w:right w:val="none" w:sz="0" w:space="0" w:color="auto"/>
                                          </w:divBdr>
                                        </w:div>
                                        <w:div w:id="1838643152">
                                          <w:marLeft w:val="0"/>
                                          <w:marRight w:val="0"/>
                                          <w:marTop w:val="0"/>
                                          <w:marBottom w:val="0"/>
                                          <w:divBdr>
                                            <w:top w:val="none" w:sz="0" w:space="0" w:color="auto"/>
                                            <w:left w:val="none" w:sz="0" w:space="0" w:color="auto"/>
                                            <w:bottom w:val="none" w:sz="0" w:space="0" w:color="auto"/>
                                            <w:right w:val="none" w:sz="0" w:space="0" w:color="auto"/>
                                          </w:divBdr>
                                        </w:div>
                                        <w:div w:id="574122193">
                                          <w:marLeft w:val="0"/>
                                          <w:marRight w:val="0"/>
                                          <w:marTop w:val="0"/>
                                          <w:marBottom w:val="0"/>
                                          <w:divBdr>
                                            <w:top w:val="none" w:sz="0" w:space="0" w:color="auto"/>
                                            <w:left w:val="none" w:sz="0" w:space="0" w:color="auto"/>
                                            <w:bottom w:val="none" w:sz="0" w:space="0" w:color="auto"/>
                                            <w:right w:val="none" w:sz="0" w:space="0" w:color="auto"/>
                                          </w:divBdr>
                                        </w:div>
                                        <w:div w:id="10731161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072994">
      <w:bodyDiv w:val="1"/>
      <w:marLeft w:val="0"/>
      <w:marRight w:val="0"/>
      <w:marTop w:val="0"/>
      <w:marBottom w:val="0"/>
      <w:divBdr>
        <w:top w:val="none" w:sz="0" w:space="0" w:color="auto"/>
        <w:left w:val="none" w:sz="0" w:space="0" w:color="auto"/>
        <w:bottom w:val="none" w:sz="0" w:space="0" w:color="auto"/>
        <w:right w:val="none" w:sz="0" w:space="0" w:color="auto"/>
      </w:divBdr>
    </w:div>
    <w:div w:id="19295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pp.leg.wa.gov/WAC/default.aspx?cite=480-109-30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census.gov/quickfacts/table/PST045215/00" TargetMode="External"/><Relationship Id="rId27" Type="http://schemas.openxmlformats.org/officeDocument/2006/relationships/theme" Target="theme/theme1.xml"/><Relationship Id="rId30"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hill\AppData\Local\Microsoft\Windows\Temporary%20Internet%20Files\Content.Outlook\P222V0YC\Energy%20and%20Emissions%20Annual%20Report%20Spreadsheet%202006-2015%20%20Charts%20v5%20amend%20with%20new%20Secondary%20Rates%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Comparison of Emission from Unknown</a:t>
            </a:r>
            <a:r>
              <a:rPr lang="en-US" sz="1600" baseline="0"/>
              <a:t> Resources</a:t>
            </a:r>
            <a:r>
              <a:rPr lang="en-US" sz="1600"/>
              <a:t>: Commerce Fuel Mix Methodology versus eGrid (NWPP)</a:t>
            </a:r>
          </a:p>
        </c:rich>
      </c:tx>
      <c:overlay val="0"/>
    </c:title>
    <c:autoTitleDeleted val="0"/>
    <c:plotArea>
      <c:layout>
        <c:manualLayout>
          <c:layoutTarget val="inner"/>
          <c:xMode val="edge"/>
          <c:yMode val="edge"/>
          <c:x val="0.11681885762708223"/>
          <c:y val="0.11556058965975159"/>
          <c:w val="0.62792013561493554"/>
          <c:h val="0.83776848186686259"/>
        </c:manualLayout>
      </c:layout>
      <c:lineChart>
        <c:grouping val="standard"/>
        <c:varyColors val="0"/>
        <c:ser>
          <c:idx val="0"/>
          <c:order val="0"/>
          <c:tx>
            <c:strRef>
              <c:f>'Chart Data'!$B$40</c:f>
              <c:strCache>
                <c:ptCount val="1"/>
                <c:pt idx="0">
                  <c:v>Annual Emissions CO2 from Unknown Generation Using Commerce Spreadsheet (May 2016 Update)</c:v>
                </c:pt>
              </c:strCache>
            </c:strRef>
          </c:tx>
          <c:spPr>
            <a:ln>
              <a:solidFill>
                <a:srgbClr val="FF0000"/>
              </a:solidFill>
            </a:ln>
          </c:spPr>
          <c:marker>
            <c:symbol val="none"/>
          </c:marker>
          <c:cat>
            <c:numRef>
              <c:f>'Chart Data'!$C$39:$L$39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'Chart Data'!$C$40:$L$40</c:f>
              <c:numCache>
                <c:formatCode>_(* #,##0_);_(* \(#,##0\);_(* "-"??_);_(@_)</c:formatCode>
                <c:ptCount val="10"/>
                <c:pt idx="0">
                  <c:v>3101015.7505617333</c:v>
                </c:pt>
                <c:pt idx="1">
                  <c:v>3136942.2095350744</c:v>
                </c:pt>
                <c:pt idx="2">
                  <c:v>2787286.6950858752</c:v>
                </c:pt>
                <c:pt idx="3">
                  <c:v>2465915.3735550479</c:v>
                </c:pt>
                <c:pt idx="4">
                  <c:v>1897917.2298310385</c:v>
                </c:pt>
                <c:pt idx="5">
                  <c:v>3064415.2106302725</c:v>
                </c:pt>
                <c:pt idx="6">
                  <c:v>3489259.0462222076</c:v>
                </c:pt>
                <c:pt idx="7">
                  <c:v>3326881.3430049806</c:v>
                </c:pt>
                <c:pt idx="8">
                  <c:v>3167830.5051870598</c:v>
                </c:pt>
                <c:pt idx="9">
                  <c:v>1803187.2151795251</c:v>
                </c:pt>
              </c:numCache>
            </c:numRef>
          </c:val>
          <c:smooth val="0"/>
        </c:ser>
        <c:ser>
          <c:idx val="1"/>
          <c:order val="1"/>
          <c:tx>
            <c:strRef>
              <c:f>'Chart Data'!$B$41</c:f>
              <c:strCache>
                <c:ptCount val="1"/>
                <c:pt idx="0">
                  <c:v>Annual Emissions CO2 from Unknown Generation Using: eGrid (2007, 2009, 2010, 2012), Commerce Fuel Mix Disclosure (2013, 2014), and Average (2006, 2008, 2011)</c:v>
                </c:pt>
              </c:strCache>
            </c:strRef>
          </c:tx>
          <c:spPr>
            <a:ln>
              <a:solidFill>
                <a:srgbClr val="0070C0"/>
              </a:solidFill>
            </a:ln>
          </c:spPr>
          <c:marker>
            <c:symbol val="none"/>
          </c:marker>
          <c:cat>
            <c:numRef>
              <c:f>'Chart Data'!$C$39:$L$39</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'Chart Data'!$C$41:$L$41</c:f>
              <c:numCache>
                <c:formatCode>_(* #,##0_);_(* \(#,##0\);_(* "-"??_);_(@_)</c:formatCode>
                <c:ptCount val="10"/>
                <c:pt idx="0">
                  <c:v>2585442.7983331583</c:v>
                </c:pt>
                <c:pt idx="1">
                  <c:v>2241613.9021044001</c:v>
                </c:pt>
                <c:pt idx="2">
                  <c:v>2299768.2550151576</c:v>
                </c:pt>
                <c:pt idx="3">
                  <c:v>1805602.819442417</c:v>
                </c:pt>
                <c:pt idx="4">
                  <c:v>1341884.5941824578</c:v>
                </c:pt>
                <c:pt idx="5">
                  <c:v>2863282.1566843358</c:v>
                </c:pt>
                <c:pt idx="6">
                  <c:v>2572144.0660078051</c:v>
                </c:pt>
                <c:pt idx="7">
                  <c:v>3326881.3487041593</c:v>
                </c:pt>
                <c:pt idx="8">
                  <c:v>2154892.8063336676</c:v>
                </c:pt>
                <c:pt idx="9">
                  <c:v>1200540.525015417</c:v>
                </c:pt>
              </c:numCache>
            </c:numRef>
          </c:val>
          <c:smooth val="0"/>
        </c:ser>
        <c:dLbls>
          <c:showLegendKey val="0"/>
          <c:showVal val="0"/>
          <c:showCatName val="0"/>
          <c:showSerName val="0"/>
          <c:showPercent val="0"/>
          <c:showBubbleSize val="0"/>
        </c:dLbls>
        <c:marker val="1"/>
        <c:smooth val="0"/>
        <c:axId val="47609344"/>
        <c:axId val="47612288"/>
      </c:lineChart>
      <c:catAx>
        <c:axId val="47609344"/>
        <c:scaling>
          <c:orientation val="minMax"/>
        </c:scaling>
        <c:delete val="0"/>
        <c:axPos val="b"/>
        <c:numFmt formatCode="General" sourceLinked="1"/>
        <c:majorTickMark val="out"/>
        <c:minorTickMark val="none"/>
        <c:tickLblPos val="nextTo"/>
        <c:crossAx val="47612288"/>
        <c:crosses val="autoZero"/>
        <c:auto val="1"/>
        <c:lblAlgn val="ctr"/>
        <c:lblOffset val="100"/>
        <c:noMultiLvlLbl val="0"/>
      </c:catAx>
      <c:valAx>
        <c:axId val="47612288"/>
        <c:scaling>
          <c:orientation val="minMax"/>
        </c:scaling>
        <c:delete val="0"/>
        <c:axPos val="l"/>
        <c:majorGridlines/>
        <c:title>
          <c:tx>
            <c:rich>
              <a:bodyPr rot="-5400000" vert="horz"/>
              <a:lstStyle/>
              <a:p>
                <a:pPr>
                  <a:defRPr/>
                </a:pPr>
                <a:r>
                  <a:rPr lang="en-US"/>
                  <a:t>Total CO2 Emissions  from Secondary Sources (Short Tons)</a:t>
                </a:r>
              </a:p>
            </c:rich>
          </c:tx>
          <c:overlay val="0"/>
        </c:title>
        <c:numFmt formatCode="_(* #,##0_);_(* \(#,##0\);_(* &quot;-&quot;??_);_(@_)" sourceLinked="1"/>
        <c:majorTickMark val="out"/>
        <c:minorTickMark val="none"/>
        <c:tickLblPos val="nextTo"/>
        <c:crossAx val="47609344"/>
        <c:crosses val="autoZero"/>
        <c:crossBetween val="midCat"/>
      </c:valAx>
    </c:plotArea>
    <c:legend>
      <c:legendPos val="r"/>
      <c:layout>
        <c:manualLayout>
          <c:xMode val="edge"/>
          <c:yMode val="edge"/>
          <c:x val="0.7663102297801796"/>
          <c:y val="0.26942451261563871"/>
          <c:w val="0.23222442370344529"/>
          <c:h val="0.51576528391763132"/>
        </c:manualLayout>
      </c:layout>
      <c:overlay val="1"/>
      <c:spPr>
        <a:solidFill>
          <a:schemeClr val="bg1"/>
        </a:solidFill>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1C86174AA925446966526FCC9F94540" ma:contentTypeVersion="104" ma:contentTypeDescription="" ma:contentTypeScope="" ma:versionID="0e2ccf98cd13e2143c9e49173ee061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2016-12-23T08:00:00+00:00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7BE200-B257-4522-AD1E-668660BC6794}">
  <ds:schemaRefs>
    <ds:schemaRef ds:uri="http://schemas.openxmlformats.org/officeDocument/2006/bibliography"/>
  </ds:schemaRefs>
</ds:datastoreItem>
</file>

<file path=customXml/itemProps2.xml><?xml version="1.0" encoding="utf-8"?>
<ds:datastoreItem xmlns:ds="http://schemas.openxmlformats.org/officeDocument/2006/customXml" ds:itemID="{2FA30DEE-C92A-462C-84E3-336498319C12}"/>
</file>

<file path=customXml/itemProps3.xml><?xml version="1.0" encoding="utf-8"?>
<ds:datastoreItem xmlns:ds="http://schemas.openxmlformats.org/officeDocument/2006/customXml" ds:itemID="{D5960D1E-12EC-4FB2-AEBC-665D39F0490C}"/>
</file>

<file path=customXml/itemProps4.xml><?xml version="1.0" encoding="utf-8"?>
<ds:datastoreItem xmlns:ds="http://schemas.openxmlformats.org/officeDocument/2006/customXml" ds:itemID="{EF3D3657-1960-44C4-A52F-D86C51AF2872}"/>
</file>

<file path=customXml/itemProps5.xml><?xml version="1.0" encoding="utf-8"?>
<ds:datastoreItem xmlns:ds="http://schemas.openxmlformats.org/officeDocument/2006/customXml" ds:itemID="{07D134FC-EC37-4239-885D-3820D9CD463F}"/>
</file>

<file path=docProps/app.xml><?xml version="1.0" encoding="utf-8"?>
<Properties xmlns="http://schemas.openxmlformats.org/officeDocument/2006/extended-properties" xmlns:vt="http://schemas.openxmlformats.org/officeDocument/2006/docPropsVTypes">
  <Template>Normal.dotm</Template>
  <TotalTime>8</TotalTime>
  <Pages>19</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PSE</cp:lastModifiedBy>
  <cp:revision>4</cp:revision>
  <cp:lastPrinted>2016-12-23T23:56:00Z</cp:lastPrinted>
  <dcterms:created xsi:type="dcterms:W3CDTF">2016-12-23T23:46:00Z</dcterms:created>
  <dcterms:modified xsi:type="dcterms:W3CDTF">2016-12-23T23:59:00Z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0x0101006E56B4D1795A2E4DB2F0B01679ED314A00A1C86174AA925446966526FCC9F94540</vt:lpwstr>
  </property>
  <property fmtid="{D5CDD505-2E9C-101B-9397-08002B2CF9AE}" pid="3" name="_docset_NoMedatataSyncRequired">
    <vt:lpwstr>False</vt:lpwstr>
  </property>
</Properties>
</file>