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93A4C" w14:textId="2B0AEE32" w:rsidR="004574CF" w:rsidRDefault="008F3D71" w:rsidP="00764552">
      <w:pPr>
        <w:pStyle w:val="IRPtitl"/>
        <w:ind w:left="0" w:firstLine="0"/>
        <w:rPr>
          <w:sz w:val="48"/>
          <w:szCs w:val="48"/>
        </w:rPr>
      </w:pPr>
      <w:r>
        <w:rPr>
          <w:sz w:val="48"/>
          <w:szCs w:val="48"/>
        </w:rPr>
        <w:t>PLANNING ENVIRONMENT</w:t>
      </w:r>
      <w:r w:rsidR="00045148" w:rsidRPr="00045148">
        <w:rPr>
          <w:sz w:val="48"/>
          <w:szCs w:val="48"/>
        </w:rPr>
        <w:br/>
      </w:r>
      <w:r w:rsidR="00010708">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5F47B4E2" wp14:editId="120A2A71">
                <wp:simplePos x="0" y="0"/>
                <wp:positionH relativeFrom="margin">
                  <wp:posOffset>51435</wp:posOffset>
                </wp:positionH>
                <wp:positionV relativeFrom="line">
                  <wp:posOffset>220980</wp:posOffset>
                </wp:positionV>
                <wp:extent cx="3314700" cy="4340860"/>
                <wp:effectExtent l="0" t="0" r="12700" b="2540"/>
                <wp:wrapThrough wrapText="right">
                  <wp:wrapPolygon edited="0">
                    <wp:start x="0" y="0"/>
                    <wp:lineTo x="0" y="21486"/>
                    <wp:lineTo x="21517" y="21486"/>
                    <wp:lineTo x="21517"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340860"/>
                        </a:xfrm>
                        <a:prstGeom prst="rect">
                          <a:avLst/>
                        </a:prstGeom>
                        <a:solidFill>
                          <a:srgbClr val="71BB32"/>
                        </a:solidFill>
                        <a:ln>
                          <a:noFill/>
                        </a:ln>
                        <a:extLst/>
                      </wps:spPr>
                      <wps:txbx>
                        <w:txbxContent>
                          <w:p w14:paraId="6A61FE34" w14:textId="77777777" w:rsidR="00EC49E8" w:rsidRPr="00771D35" w:rsidRDefault="00EC49E8" w:rsidP="00601E72">
                            <w:pPr>
                              <w:pStyle w:val="IRPsub1"/>
                              <w:rPr>
                                <w:i w:val="0"/>
                                <w:sz w:val="32"/>
                                <w:szCs w:val="32"/>
                              </w:rPr>
                            </w:pPr>
                            <w:r w:rsidRPr="00771D35">
                              <w:rPr>
                                <w:i w:val="0"/>
                                <w:sz w:val="32"/>
                                <w:szCs w:val="32"/>
                              </w:rPr>
                              <w:t>Contents:</w:t>
                            </w:r>
                          </w:p>
                          <w:p w14:paraId="4C61FA64" w14:textId="77777777" w:rsidR="00EC49E8" w:rsidRDefault="00EC49E8" w:rsidP="00B12366">
                            <w:pPr>
                              <w:pStyle w:val="IRPsub1"/>
                              <w:spacing w:before="80" w:after="80"/>
                              <w:rPr>
                                <w:b/>
                                <w:color w:val="02265C"/>
                              </w:rPr>
                            </w:pPr>
                            <w:r>
                              <w:rPr>
                                <w:b/>
                                <w:color w:val="02265C"/>
                              </w:rPr>
                              <w:t>3-2. REGIONAL RESOURCE ADEQUACY</w:t>
                            </w:r>
                          </w:p>
                          <w:p w14:paraId="65CF9E93" w14:textId="77777777" w:rsidR="00EC49E8" w:rsidRDefault="00EC49E8" w:rsidP="00B12366">
                            <w:pPr>
                              <w:pStyle w:val="IRPsub1"/>
                              <w:spacing w:before="80" w:after="80"/>
                              <w:rPr>
                                <w:b/>
                                <w:color w:val="02265C"/>
                              </w:rPr>
                            </w:pPr>
                            <w:r>
                              <w:rPr>
                                <w:b/>
                                <w:color w:val="02265C"/>
                              </w:rPr>
                              <w:t xml:space="preserve">3-4. CONVERGENCE OF GAS AND  </w:t>
                            </w:r>
                            <w:r w:rsidR="00764552">
                              <w:rPr>
                                <w:b/>
                                <w:color w:val="02265C"/>
                              </w:rPr>
                              <w:t xml:space="preserve">  </w:t>
                            </w:r>
                            <w:r w:rsidR="00764552">
                              <w:rPr>
                                <w:b/>
                                <w:color w:val="02265C"/>
                              </w:rPr>
                              <w:br/>
                              <w:t xml:space="preserve">      </w:t>
                            </w:r>
                            <w:r>
                              <w:rPr>
                                <w:b/>
                                <w:color w:val="02265C"/>
                              </w:rPr>
                              <w:t>ELECTRIC MARKETS</w:t>
                            </w:r>
                          </w:p>
                          <w:p w14:paraId="69035BD8" w14:textId="77777777" w:rsidR="00EC49E8" w:rsidRPr="004C668B" w:rsidRDefault="00EC49E8" w:rsidP="00D510B2">
                            <w:pPr>
                              <w:pStyle w:val="IRPsub1"/>
                              <w:numPr>
                                <w:ilvl w:val="0"/>
                                <w:numId w:val="2"/>
                              </w:numPr>
                              <w:spacing w:before="80" w:after="80"/>
                              <w:rPr>
                                <w:color w:val="000000" w:themeColor="text1"/>
                              </w:rPr>
                            </w:pPr>
                            <w:r w:rsidRPr="004C668B">
                              <w:rPr>
                                <w:color w:val="000000" w:themeColor="text1"/>
                              </w:rPr>
                              <w:t>Operational Issues</w:t>
                            </w:r>
                          </w:p>
                          <w:p w14:paraId="40E763A2" w14:textId="77777777" w:rsidR="00EC49E8" w:rsidRPr="004C668B" w:rsidRDefault="00EC49E8" w:rsidP="00D510B2">
                            <w:pPr>
                              <w:pStyle w:val="IRPsub1"/>
                              <w:numPr>
                                <w:ilvl w:val="0"/>
                                <w:numId w:val="2"/>
                              </w:numPr>
                              <w:spacing w:before="80" w:after="80"/>
                              <w:rPr>
                                <w:color w:val="000000" w:themeColor="text1"/>
                              </w:rPr>
                            </w:pPr>
                            <w:r w:rsidRPr="004C668B">
                              <w:rPr>
                                <w:color w:val="000000" w:themeColor="text1"/>
                              </w:rPr>
                              <w:t>Long-term Planning Challenges</w:t>
                            </w:r>
                          </w:p>
                          <w:p w14:paraId="07E6027D" w14:textId="77777777" w:rsidR="00EC49E8" w:rsidRDefault="00EC49E8" w:rsidP="004C668B">
                            <w:pPr>
                              <w:pStyle w:val="IRPsub1"/>
                              <w:spacing w:before="80" w:after="80"/>
                              <w:rPr>
                                <w:b/>
                                <w:color w:val="02265C"/>
                              </w:rPr>
                            </w:pPr>
                            <w:r>
                              <w:rPr>
                                <w:b/>
                                <w:color w:val="02265C"/>
                              </w:rPr>
                              <w:t>3-7. GAS SUPPLIES AND PRICING</w:t>
                            </w:r>
                          </w:p>
                          <w:p w14:paraId="1DFA3793" w14:textId="77777777" w:rsidR="00EC49E8" w:rsidRPr="004C668B" w:rsidRDefault="00EC49E8" w:rsidP="004C668B">
                            <w:pPr>
                              <w:pStyle w:val="IRPsub1"/>
                              <w:numPr>
                                <w:ilvl w:val="0"/>
                                <w:numId w:val="2"/>
                              </w:numPr>
                              <w:spacing w:before="80" w:after="80"/>
                              <w:rPr>
                                <w:color w:val="000000" w:themeColor="text1"/>
                              </w:rPr>
                            </w:pPr>
                            <w:r w:rsidRPr="004C668B">
                              <w:rPr>
                                <w:color w:val="000000" w:themeColor="text1"/>
                              </w:rPr>
                              <w:t>Pipeline Transportation and Storage</w:t>
                            </w:r>
                          </w:p>
                          <w:p w14:paraId="2332C4CA" w14:textId="77777777" w:rsidR="00EC49E8" w:rsidRPr="004C668B" w:rsidRDefault="00EC49E8" w:rsidP="004C668B">
                            <w:pPr>
                              <w:pStyle w:val="IRPsub1"/>
                              <w:numPr>
                                <w:ilvl w:val="0"/>
                                <w:numId w:val="2"/>
                              </w:numPr>
                              <w:spacing w:before="80" w:after="80"/>
                              <w:rPr>
                                <w:color w:val="000000" w:themeColor="text1"/>
                              </w:rPr>
                            </w:pPr>
                            <w:r w:rsidRPr="004C668B">
                              <w:rPr>
                                <w:color w:val="000000" w:themeColor="text1"/>
                              </w:rPr>
                              <w:t>Gas for the Transportation Sector</w:t>
                            </w:r>
                          </w:p>
                          <w:p w14:paraId="6DB450AC" w14:textId="77777777" w:rsidR="00EC49E8" w:rsidRDefault="00EC49E8" w:rsidP="000D3DFF">
                            <w:pPr>
                              <w:pStyle w:val="IRPsub1"/>
                              <w:spacing w:before="80" w:after="80"/>
                              <w:rPr>
                                <w:b/>
                                <w:color w:val="02265C"/>
                              </w:rPr>
                            </w:pPr>
                            <w:r>
                              <w:rPr>
                                <w:b/>
                                <w:color w:val="02265C"/>
                              </w:rPr>
                              <w:t>3-9. SYSTEM FLEXIBILITY</w:t>
                            </w:r>
                          </w:p>
                          <w:p w14:paraId="3987C7C7" w14:textId="77777777" w:rsidR="00EC49E8" w:rsidRPr="000D3DFF" w:rsidRDefault="00EC49E8" w:rsidP="004C668B">
                            <w:pPr>
                              <w:pStyle w:val="IRPsub1"/>
                              <w:numPr>
                                <w:ilvl w:val="0"/>
                                <w:numId w:val="40"/>
                              </w:numPr>
                              <w:rPr>
                                <w:color w:val="000000" w:themeColor="text1"/>
                              </w:rPr>
                            </w:pPr>
                            <w:r w:rsidRPr="000D3DFF">
                              <w:rPr>
                                <w:color w:val="000000" w:themeColor="text1"/>
                              </w:rPr>
                              <w:t>Balancing Authority Challenges</w:t>
                            </w:r>
                          </w:p>
                          <w:p w14:paraId="2907E959" w14:textId="77777777" w:rsidR="00EC49E8" w:rsidRPr="000D3DFF" w:rsidRDefault="00EC49E8" w:rsidP="004C668B">
                            <w:pPr>
                              <w:pStyle w:val="IRPsub1"/>
                              <w:numPr>
                                <w:ilvl w:val="0"/>
                                <w:numId w:val="40"/>
                              </w:numPr>
                              <w:rPr>
                                <w:color w:val="000000" w:themeColor="text1"/>
                              </w:rPr>
                            </w:pPr>
                            <w:r w:rsidRPr="000D3DFF">
                              <w:rPr>
                                <w:color w:val="000000" w:themeColor="text1"/>
                              </w:rPr>
                              <w:t>Energy Imbalance Market</w:t>
                            </w:r>
                          </w:p>
                          <w:p w14:paraId="2F8FBCD2" w14:textId="77777777" w:rsidR="00EC49E8" w:rsidRDefault="00EC49E8" w:rsidP="004C668B">
                            <w:pPr>
                              <w:pStyle w:val="IRPsub1"/>
                              <w:spacing w:before="80" w:after="80"/>
                              <w:rPr>
                                <w:b/>
                                <w:color w:val="02265C"/>
                              </w:rPr>
                            </w:pPr>
                            <w:r>
                              <w:rPr>
                                <w:b/>
                                <w:color w:val="02265C"/>
                              </w:rPr>
                              <w:t>3-11. ENVIRONMENTAL REGULATION</w:t>
                            </w:r>
                          </w:p>
                          <w:p w14:paraId="384B94B0" w14:textId="77777777" w:rsidR="00EC49E8" w:rsidRDefault="009F37D7" w:rsidP="004C668B">
                            <w:pPr>
                              <w:pStyle w:val="IRPsub1"/>
                              <w:spacing w:before="80" w:after="80"/>
                              <w:rPr>
                                <w:b/>
                                <w:color w:val="02265C"/>
                              </w:rPr>
                            </w:pPr>
                            <w:r>
                              <w:rPr>
                                <w:b/>
                                <w:color w:val="02265C"/>
                              </w:rPr>
                              <w:t>3-12</w:t>
                            </w:r>
                            <w:r w:rsidR="00EC49E8">
                              <w:rPr>
                                <w:b/>
                                <w:color w:val="02265C"/>
                              </w:rPr>
                              <w:t>. DEMAND-SIDE RESOURCES</w:t>
                            </w:r>
                          </w:p>
                          <w:p w14:paraId="4693F9F5" w14:textId="77777777" w:rsidR="00EC49E8" w:rsidRDefault="009F37D7" w:rsidP="004C668B">
                            <w:pPr>
                              <w:pStyle w:val="IRPsub1"/>
                              <w:spacing w:before="80" w:after="80"/>
                              <w:rPr>
                                <w:b/>
                                <w:color w:val="02265C"/>
                              </w:rPr>
                            </w:pPr>
                            <w:r>
                              <w:rPr>
                                <w:b/>
                                <w:color w:val="02265C"/>
                              </w:rPr>
                              <w:t>3-14</w:t>
                            </w:r>
                            <w:r w:rsidR="00EC49E8">
                              <w:rPr>
                                <w:b/>
                                <w:color w:val="02265C"/>
                              </w:rPr>
                              <w:t>. RENEWABLE PORTFOLIO STANDARDS</w:t>
                            </w:r>
                          </w:p>
                          <w:p w14:paraId="35E8F390" w14:textId="77777777" w:rsidR="00151CD4" w:rsidRDefault="009F37D7" w:rsidP="004C668B">
                            <w:pPr>
                              <w:pStyle w:val="IRPsub1"/>
                              <w:spacing w:before="80" w:after="80"/>
                              <w:rPr>
                                <w:b/>
                                <w:color w:val="02265C"/>
                              </w:rPr>
                            </w:pPr>
                            <w:r>
                              <w:rPr>
                                <w:b/>
                                <w:color w:val="02265C"/>
                              </w:rPr>
                              <w:t>3-15</w:t>
                            </w:r>
                            <w:r w:rsidR="00EC49E8">
                              <w:rPr>
                                <w:b/>
                                <w:color w:val="02265C"/>
                              </w:rPr>
                              <w:t>. ELECTRIC RESOURCE ACQUISITION</w:t>
                            </w:r>
                            <w:r w:rsidR="000220CD">
                              <w:rPr>
                                <w:b/>
                                <w:color w:val="02265C"/>
                              </w:rPr>
                              <w:t>S</w:t>
                            </w:r>
                          </w:p>
                          <w:p w14:paraId="44D4A0B2" w14:textId="77777777" w:rsidR="00151CD4" w:rsidRPr="00151CD4" w:rsidRDefault="00151CD4" w:rsidP="00151CD4">
                            <w:pPr>
                              <w:pStyle w:val="IRPsub1"/>
                              <w:numPr>
                                <w:ilvl w:val="0"/>
                                <w:numId w:val="46"/>
                              </w:numPr>
                              <w:spacing w:before="80" w:after="80"/>
                              <w:rPr>
                                <w:color w:val="02265C"/>
                              </w:rPr>
                            </w:pPr>
                            <w:r w:rsidRPr="00151CD4">
                              <w:rPr>
                                <w:color w:val="02265C"/>
                              </w:rPr>
                              <w:t>The Acquisition Process</w:t>
                            </w:r>
                          </w:p>
                          <w:p w14:paraId="2C25AE26" w14:textId="77777777" w:rsidR="00EC49E8" w:rsidRPr="00151CD4" w:rsidRDefault="00151CD4" w:rsidP="00151CD4">
                            <w:pPr>
                              <w:pStyle w:val="IRPsub1"/>
                              <w:numPr>
                                <w:ilvl w:val="0"/>
                                <w:numId w:val="46"/>
                              </w:numPr>
                              <w:spacing w:before="80" w:after="80"/>
                              <w:rPr>
                                <w:color w:val="02265C"/>
                              </w:rPr>
                            </w:pPr>
                            <w:r w:rsidRPr="00151CD4">
                              <w:rPr>
                                <w:color w:val="02265C"/>
                              </w:rPr>
                              <w:t>How Resource Size Is Determined</w:t>
                            </w:r>
                          </w:p>
                          <w:p w14:paraId="3C96A758" w14:textId="77777777" w:rsidR="00EC49E8" w:rsidRPr="00D013FE" w:rsidRDefault="00EC49E8" w:rsidP="004C668B">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margin-left:4.05pt;margin-top:17.4pt;width:261pt;height:341.8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" fillcolor="#71bb32" stroked="f">
                <v:textbox inset="14.4pt,7.2pt,,7.2pt">
                  <w:txbxContent>
                    <w:p w14:paraId="6A61FE34" w14:textId="77777777" w:rsidR="00EC49E8" w:rsidRPr="00771D35" w:rsidRDefault="00EC49E8" w:rsidP="00601E72">
                      <w:pPr>
                        <w:pStyle w:val="IRPsub1"/>
                        <w:rPr>
                          <w:i w:val="0"/>
                          <w:sz w:val="32"/>
                          <w:szCs w:val="32"/>
                        </w:rPr>
                      </w:pPr>
                      <w:r w:rsidRPr="00771D35">
                        <w:rPr>
                          <w:i w:val="0"/>
                          <w:sz w:val="32"/>
                          <w:szCs w:val="32"/>
                        </w:rPr>
                        <w:t>Contents:</w:t>
                      </w:r>
                    </w:p>
                    <w:p w14:paraId="4C61FA64" w14:textId="77777777" w:rsidR="00EC49E8" w:rsidRDefault="00EC49E8" w:rsidP="00B12366">
                      <w:pPr>
                        <w:pStyle w:val="IRPsub1"/>
                        <w:spacing w:before="80" w:after="80"/>
                        <w:rPr>
                          <w:b/>
                          <w:color w:val="02265C"/>
                        </w:rPr>
                      </w:pPr>
                      <w:r>
                        <w:rPr>
                          <w:b/>
                          <w:color w:val="02265C"/>
                        </w:rPr>
                        <w:t>3-2. REGIONAL RESOURCE ADEQUACY</w:t>
                      </w:r>
                    </w:p>
                    <w:p w14:paraId="65CF9E93" w14:textId="77777777" w:rsidR="00EC49E8" w:rsidRDefault="00EC49E8" w:rsidP="00B12366">
                      <w:pPr>
                        <w:pStyle w:val="IRPsub1"/>
                        <w:spacing w:before="80" w:after="80"/>
                        <w:rPr>
                          <w:b/>
                          <w:color w:val="02265C"/>
                        </w:rPr>
                      </w:pPr>
                      <w:r>
                        <w:rPr>
                          <w:b/>
                          <w:color w:val="02265C"/>
                        </w:rPr>
                        <w:t xml:space="preserve">3-4. CONVERGENCE OF GAS AND  </w:t>
                      </w:r>
                      <w:r w:rsidR="00764552">
                        <w:rPr>
                          <w:b/>
                          <w:color w:val="02265C"/>
                        </w:rPr>
                        <w:t xml:space="preserve">  </w:t>
                      </w:r>
                      <w:r w:rsidR="00764552">
                        <w:rPr>
                          <w:b/>
                          <w:color w:val="02265C"/>
                        </w:rPr>
                        <w:br/>
                        <w:t xml:space="preserve">      </w:t>
                      </w:r>
                      <w:r>
                        <w:rPr>
                          <w:b/>
                          <w:color w:val="02265C"/>
                        </w:rPr>
                        <w:t>ELECTRIC MARKETS</w:t>
                      </w:r>
                    </w:p>
                    <w:p w14:paraId="69035BD8" w14:textId="77777777" w:rsidR="00EC49E8" w:rsidRPr="004C668B" w:rsidRDefault="00EC49E8" w:rsidP="00D510B2">
                      <w:pPr>
                        <w:pStyle w:val="IRPsub1"/>
                        <w:numPr>
                          <w:ilvl w:val="0"/>
                          <w:numId w:val="2"/>
                        </w:numPr>
                        <w:spacing w:before="80" w:after="80"/>
                        <w:rPr>
                          <w:color w:val="000000" w:themeColor="text1"/>
                        </w:rPr>
                      </w:pPr>
                      <w:r w:rsidRPr="004C668B">
                        <w:rPr>
                          <w:color w:val="000000" w:themeColor="text1"/>
                        </w:rPr>
                        <w:t>Operational Issues</w:t>
                      </w:r>
                    </w:p>
                    <w:p w14:paraId="40E763A2" w14:textId="77777777" w:rsidR="00EC49E8" w:rsidRPr="004C668B" w:rsidRDefault="00EC49E8" w:rsidP="00D510B2">
                      <w:pPr>
                        <w:pStyle w:val="IRPsub1"/>
                        <w:numPr>
                          <w:ilvl w:val="0"/>
                          <w:numId w:val="2"/>
                        </w:numPr>
                        <w:spacing w:before="80" w:after="80"/>
                        <w:rPr>
                          <w:color w:val="000000" w:themeColor="text1"/>
                        </w:rPr>
                      </w:pPr>
                      <w:r w:rsidRPr="004C668B">
                        <w:rPr>
                          <w:color w:val="000000" w:themeColor="text1"/>
                        </w:rPr>
                        <w:t>Long-term Planning Challenges</w:t>
                      </w:r>
                    </w:p>
                    <w:p w14:paraId="07E6027D" w14:textId="77777777" w:rsidR="00EC49E8" w:rsidRDefault="00EC49E8" w:rsidP="004C668B">
                      <w:pPr>
                        <w:pStyle w:val="IRPsub1"/>
                        <w:spacing w:before="80" w:after="80"/>
                        <w:rPr>
                          <w:b/>
                          <w:color w:val="02265C"/>
                        </w:rPr>
                      </w:pPr>
                      <w:r>
                        <w:rPr>
                          <w:b/>
                          <w:color w:val="02265C"/>
                        </w:rPr>
                        <w:t>3-7. GAS SUPPLIES AND PRICING</w:t>
                      </w:r>
                    </w:p>
                    <w:p w14:paraId="1DFA3793" w14:textId="77777777" w:rsidR="00EC49E8" w:rsidRPr="004C668B" w:rsidRDefault="00EC49E8" w:rsidP="004C668B">
                      <w:pPr>
                        <w:pStyle w:val="IRPsub1"/>
                        <w:numPr>
                          <w:ilvl w:val="0"/>
                          <w:numId w:val="2"/>
                        </w:numPr>
                        <w:spacing w:before="80" w:after="80"/>
                        <w:rPr>
                          <w:color w:val="000000" w:themeColor="text1"/>
                        </w:rPr>
                      </w:pPr>
                      <w:r w:rsidRPr="004C668B">
                        <w:rPr>
                          <w:color w:val="000000" w:themeColor="text1"/>
                        </w:rPr>
                        <w:t>Pipeline Transportation and Storage</w:t>
                      </w:r>
                    </w:p>
                    <w:p w14:paraId="2332C4CA" w14:textId="77777777" w:rsidR="00EC49E8" w:rsidRPr="004C668B" w:rsidRDefault="00EC49E8" w:rsidP="004C668B">
                      <w:pPr>
                        <w:pStyle w:val="IRPsub1"/>
                        <w:numPr>
                          <w:ilvl w:val="0"/>
                          <w:numId w:val="2"/>
                        </w:numPr>
                        <w:spacing w:before="80" w:after="80"/>
                        <w:rPr>
                          <w:color w:val="000000" w:themeColor="text1"/>
                        </w:rPr>
                      </w:pPr>
                      <w:r w:rsidRPr="004C668B">
                        <w:rPr>
                          <w:color w:val="000000" w:themeColor="text1"/>
                        </w:rPr>
                        <w:t>Gas for the Transportation Sector</w:t>
                      </w:r>
                    </w:p>
                    <w:p w14:paraId="6DB450AC" w14:textId="77777777" w:rsidR="00EC49E8" w:rsidRDefault="00EC49E8" w:rsidP="000D3DFF">
                      <w:pPr>
                        <w:pStyle w:val="IRPsub1"/>
                        <w:spacing w:before="80" w:after="80"/>
                        <w:rPr>
                          <w:b/>
                          <w:color w:val="02265C"/>
                        </w:rPr>
                      </w:pPr>
                      <w:r>
                        <w:rPr>
                          <w:b/>
                          <w:color w:val="02265C"/>
                        </w:rPr>
                        <w:t>3-9. SYSTEM FLEXIBILITY</w:t>
                      </w:r>
                    </w:p>
                    <w:p w14:paraId="3987C7C7" w14:textId="77777777" w:rsidR="00EC49E8" w:rsidRPr="000D3DFF" w:rsidRDefault="00EC49E8" w:rsidP="004C668B">
                      <w:pPr>
                        <w:pStyle w:val="IRPsub1"/>
                        <w:numPr>
                          <w:ilvl w:val="0"/>
                          <w:numId w:val="40"/>
                        </w:numPr>
                        <w:rPr>
                          <w:color w:val="000000" w:themeColor="text1"/>
                        </w:rPr>
                      </w:pPr>
                      <w:r w:rsidRPr="000D3DFF">
                        <w:rPr>
                          <w:color w:val="000000" w:themeColor="text1"/>
                        </w:rPr>
                        <w:t>Balancing Authority Challenges</w:t>
                      </w:r>
                    </w:p>
                    <w:p w14:paraId="2907E959" w14:textId="77777777" w:rsidR="00EC49E8" w:rsidRPr="000D3DFF" w:rsidRDefault="00EC49E8" w:rsidP="004C668B">
                      <w:pPr>
                        <w:pStyle w:val="IRPsub1"/>
                        <w:numPr>
                          <w:ilvl w:val="0"/>
                          <w:numId w:val="40"/>
                        </w:numPr>
                        <w:rPr>
                          <w:color w:val="000000" w:themeColor="text1"/>
                        </w:rPr>
                      </w:pPr>
                      <w:r w:rsidRPr="000D3DFF">
                        <w:rPr>
                          <w:color w:val="000000" w:themeColor="text1"/>
                        </w:rPr>
                        <w:t>Energy Imbalance Market</w:t>
                      </w:r>
                    </w:p>
                    <w:p w14:paraId="2F8FBCD2" w14:textId="77777777" w:rsidR="00EC49E8" w:rsidRDefault="00EC49E8" w:rsidP="004C668B">
                      <w:pPr>
                        <w:pStyle w:val="IRPsub1"/>
                        <w:spacing w:before="80" w:after="80"/>
                        <w:rPr>
                          <w:b/>
                          <w:color w:val="02265C"/>
                        </w:rPr>
                      </w:pPr>
                      <w:r>
                        <w:rPr>
                          <w:b/>
                          <w:color w:val="02265C"/>
                        </w:rPr>
                        <w:t>3-11. ENVIRONMENTAL REGULATION</w:t>
                      </w:r>
                    </w:p>
                    <w:p w14:paraId="384B94B0" w14:textId="77777777" w:rsidR="00EC49E8" w:rsidRDefault="009F37D7" w:rsidP="004C668B">
                      <w:pPr>
                        <w:pStyle w:val="IRPsub1"/>
                        <w:spacing w:before="80" w:after="80"/>
                        <w:rPr>
                          <w:b/>
                          <w:color w:val="02265C"/>
                        </w:rPr>
                      </w:pPr>
                      <w:r>
                        <w:rPr>
                          <w:b/>
                          <w:color w:val="02265C"/>
                        </w:rPr>
                        <w:t>3-12</w:t>
                      </w:r>
                      <w:r w:rsidR="00EC49E8">
                        <w:rPr>
                          <w:b/>
                          <w:color w:val="02265C"/>
                        </w:rPr>
                        <w:t>. DEMAND-SIDE RESOURCES</w:t>
                      </w:r>
                    </w:p>
                    <w:p w14:paraId="4693F9F5" w14:textId="77777777" w:rsidR="00EC49E8" w:rsidRDefault="009F37D7" w:rsidP="004C668B">
                      <w:pPr>
                        <w:pStyle w:val="IRPsub1"/>
                        <w:spacing w:before="80" w:after="80"/>
                        <w:rPr>
                          <w:b/>
                          <w:color w:val="02265C"/>
                        </w:rPr>
                      </w:pPr>
                      <w:r>
                        <w:rPr>
                          <w:b/>
                          <w:color w:val="02265C"/>
                        </w:rPr>
                        <w:t>3-14</w:t>
                      </w:r>
                      <w:r w:rsidR="00EC49E8">
                        <w:rPr>
                          <w:b/>
                          <w:color w:val="02265C"/>
                        </w:rPr>
                        <w:t>. RENEWABLE PORTFOLIO STANDARDS</w:t>
                      </w:r>
                    </w:p>
                    <w:p w14:paraId="35E8F390" w14:textId="77777777" w:rsidR="00151CD4" w:rsidRDefault="009F37D7" w:rsidP="004C668B">
                      <w:pPr>
                        <w:pStyle w:val="IRPsub1"/>
                        <w:spacing w:before="80" w:after="80"/>
                        <w:rPr>
                          <w:b/>
                          <w:color w:val="02265C"/>
                        </w:rPr>
                      </w:pPr>
                      <w:r>
                        <w:rPr>
                          <w:b/>
                          <w:color w:val="02265C"/>
                        </w:rPr>
                        <w:t>3-15</w:t>
                      </w:r>
                      <w:r w:rsidR="00EC49E8">
                        <w:rPr>
                          <w:b/>
                          <w:color w:val="02265C"/>
                        </w:rPr>
                        <w:t>. ELECTRIC RESOURCE ACQUISITION</w:t>
                      </w:r>
                      <w:r w:rsidR="000220CD">
                        <w:rPr>
                          <w:b/>
                          <w:color w:val="02265C"/>
                        </w:rPr>
                        <w:t>S</w:t>
                      </w:r>
                    </w:p>
                    <w:p w14:paraId="44D4A0B2" w14:textId="77777777" w:rsidR="00151CD4" w:rsidRPr="00151CD4" w:rsidRDefault="00151CD4" w:rsidP="00151CD4">
                      <w:pPr>
                        <w:pStyle w:val="IRPsub1"/>
                        <w:numPr>
                          <w:ilvl w:val="0"/>
                          <w:numId w:val="46"/>
                        </w:numPr>
                        <w:spacing w:before="80" w:after="80"/>
                        <w:rPr>
                          <w:color w:val="02265C"/>
                        </w:rPr>
                      </w:pPr>
                      <w:r w:rsidRPr="00151CD4">
                        <w:rPr>
                          <w:color w:val="02265C"/>
                        </w:rPr>
                        <w:t>The Acquisition Process</w:t>
                      </w:r>
                    </w:p>
                    <w:p w14:paraId="2C25AE26" w14:textId="77777777" w:rsidR="00EC49E8" w:rsidRPr="00151CD4" w:rsidRDefault="00151CD4" w:rsidP="00151CD4">
                      <w:pPr>
                        <w:pStyle w:val="IRPsub1"/>
                        <w:numPr>
                          <w:ilvl w:val="0"/>
                          <w:numId w:val="46"/>
                        </w:numPr>
                        <w:spacing w:before="80" w:after="80"/>
                        <w:rPr>
                          <w:color w:val="02265C"/>
                        </w:rPr>
                      </w:pPr>
                      <w:r w:rsidRPr="00151CD4">
                        <w:rPr>
                          <w:color w:val="02265C"/>
                        </w:rPr>
                        <w:t>How Resource Size Is Determined</w:t>
                      </w:r>
                    </w:p>
                    <w:p w14:paraId="3C96A758" w14:textId="77777777" w:rsidR="00EC49E8" w:rsidRPr="00D013FE" w:rsidRDefault="00EC49E8" w:rsidP="004C668B">
                      <w:pPr>
                        <w:pStyle w:val="IRPsub1"/>
                      </w:pPr>
                    </w:p>
                  </w:txbxContent>
                </v:textbox>
                <w10:wrap type="through" side="right" anchorx="margin" anchory="line"/>
              </v:shape>
            </w:pict>
          </mc:Fallback>
        </mc:AlternateContent>
      </w:r>
    </w:p>
    <w:p w14:paraId="726E3A64" w14:textId="77777777" w:rsidR="008139F0" w:rsidRPr="004574CF" w:rsidRDefault="00674AD7" w:rsidP="004574CF">
      <w:pPr>
        <w:pStyle w:val="IRPtitl"/>
        <w:spacing w:line="360" w:lineRule="auto"/>
        <w:ind w:left="0" w:firstLine="0"/>
        <w:rPr>
          <w:sz w:val="48"/>
          <w:szCs w:val="48"/>
        </w:rPr>
      </w:pPr>
      <w:r>
        <w:rPr>
          <w:rFonts w:ascii="Palatino Linotype"/>
          <w:i/>
          <w:sz w:val="28"/>
        </w:rPr>
        <w:t>These are the conditions</w:t>
      </w:r>
      <w:r>
        <w:rPr>
          <w:rFonts w:ascii="Palatino Linotype"/>
          <w:i/>
          <w:spacing w:val="-9"/>
          <w:sz w:val="28"/>
        </w:rPr>
        <w:t xml:space="preserve"> </w:t>
      </w:r>
      <w:r>
        <w:rPr>
          <w:rFonts w:ascii="Palatino Linotype"/>
          <w:i/>
          <w:sz w:val="28"/>
        </w:rPr>
        <w:t>that</w:t>
      </w:r>
      <w:r>
        <w:rPr>
          <w:rFonts w:ascii="Palatino Linotype" w:eastAsia="Palatino Linotype" w:hAnsi="Palatino Linotype" w:cs="Palatino Linotype"/>
          <w:sz w:val="28"/>
          <w:szCs w:val="28"/>
        </w:rPr>
        <w:t xml:space="preserve"> </w:t>
      </w:r>
      <w:r>
        <w:rPr>
          <w:rFonts w:ascii="Palatino Linotype"/>
          <w:i/>
          <w:sz w:val="28"/>
        </w:rPr>
        <w:t>defined</w:t>
      </w:r>
      <w:r>
        <w:rPr>
          <w:rFonts w:ascii="Palatino Linotype"/>
          <w:i/>
          <w:spacing w:val="-11"/>
          <w:sz w:val="28"/>
        </w:rPr>
        <w:t xml:space="preserve"> </w:t>
      </w:r>
      <w:r>
        <w:rPr>
          <w:rFonts w:ascii="Palatino Linotype"/>
          <w:i/>
          <w:sz w:val="28"/>
        </w:rPr>
        <w:t>the</w:t>
      </w:r>
      <w:r>
        <w:rPr>
          <w:rFonts w:ascii="Palatino Linotype"/>
          <w:i/>
          <w:spacing w:val="-10"/>
          <w:sz w:val="28"/>
        </w:rPr>
        <w:t xml:space="preserve"> </w:t>
      </w:r>
      <w:r>
        <w:rPr>
          <w:rFonts w:ascii="Palatino Linotype"/>
          <w:i/>
          <w:sz w:val="28"/>
        </w:rPr>
        <w:t>planning</w:t>
      </w:r>
      <w:r>
        <w:rPr>
          <w:rFonts w:ascii="Palatino Linotype"/>
          <w:i/>
          <w:spacing w:val="-10"/>
          <w:sz w:val="28"/>
        </w:rPr>
        <w:t xml:space="preserve"> </w:t>
      </w:r>
      <w:r>
        <w:rPr>
          <w:rFonts w:ascii="Palatino Linotype"/>
          <w:i/>
          <w:sz w:val="28"/>
        </w:rPr>
        <w:t>context</w:t>
      </w:r>
      <w:r>
        <w:rPr>
          <w:rFonts w:ascii="Palatino Linotype"/>
          <w:i/>
          <w:w w:val="99"/>
          <w:sz w:val="28"/>
        </w:rPr>
        <w:t xml:space="preserve"> </w:t>
      </w:r>
      <w:r>
        <w:rPr>
          <w:rFonts w:ascii="Palatino Linotype"/>
          <w:i/>
          <w:sz w:val="28"/>
        </w:rPr>
        <w:t>for</w:t>
      </w:r>
      <w:r>
        <w:rPr>
          <w:rFonts w:ascii="Palatino Linotype"/>
          <w:i/>
          <w:spacing w:val="-6"/>
          <w:sz w:val="28"/>
        </w:rPr>
        <w:t xml:space="preserve"> </w:t>
      </w:r>
      <w:r>
        <w:rPr>
          <w:rFonts w:ascii="Palatino Linotype"/>
          <w:i/>
          <w:sz w:val="28"/>
        </w:rPr>
        <w:t>the</w:t>
      </w:r>
      <w:r>
        <w:rPr>
          <w:rFonts w:ascii="Palatino Linotype"/>
          <w:i/>
          <w:spacing w:val="-6"/>
          <w:sz w:val="28"/>
        </w:rPr>
        <w:t xml:space="preserve"> </w:t>
      </w:r>
      <w:r>
        <w:rPr>
          <w:rFonts w:ascii="Palatino Linotype"/>
          <w:i/>
          <w:sz w:val="28"/>
        </w:rPr>
        <w:t>2015</w:t>
      </w:r>
      <w:r>
        <w:rPr>
          <w:rFonts w:ascii="Palatino Linotype"/>
          <w:i/>
          <w:spacing w:val="-6"/>
          <w:sz w:val="28"/>
        </w:rPr>
        <w:t xml:space="preserve"> </w:t>
      </w:r>
      <w:r>
        <w:rPr>
          <w:rFonts w:ascii="Palatino Linotype"/>
          <w:i/>
          <w:sz w:val="28"/>
        </w:rPr>
        <w:t>IRP.</w:t>
      </w:r>
    </w:p>
    <w:p w14:paraId="09C304CB" w14:textId="77777777" w:rsidR="008139F0" w:rsidRDefault="008139F0" w:rsidP="000D3DFF">
      <w:pPr>
        <w:spacing w:line="292" w:lineRule="auto"/>
        <w:ind w:left="4770" w:right="664"/>
        <w:rPr>
          <w:rFonts w:ascii="Palatino Linotype"/>
          <w:i/>
          <w:sz w:val="28"/>
        </w:rPr>
      </w:pPr>
    </w:p>
    <w:p w14:paraId="199B99F8" w14:textId="77777777" w:rsidR="00882098" w:rsidRDefault="00882098" w:rsidP="00601E72">
      <w:pPr>
        <w:pStyle w:val="IRPsanstext"/>
      </w:pPr>
    </w:p>
    <w:p w14:paraId="016E77BE" w14:textId="77777777" w:rsidR="004574CF" w:rsidRDefault="004574CF">
      <w:pPr>
        <w:rPr>
          <w:rFonts w:ascii="Arial" w:hAnsi="Arial" w:cs="Arial"/>
          <w:b/>
          <w:color w:val="006C71"/>
          <w:sz w:val="32"/>
          <w:szCs w:val="32"/>
        </w:rPr>
      </w:pPr>
      <w:r>
        <w:br w:type="page"/>
      </w:r>
    </w:p>
    <w:p w14:paraId="05F473CB" w14:textId="77777777" w:rsidR="00882098" w:rsidRDefault="00674AD7" w:rsidP="00882098">
      <w:pPr>
        <w:pStyle w:val="IRPsecthead2sans"/>
      </w:pPr>
      <w:r>
        <w:lastRenderedPageBreak/>
        <w:t>REGIONAL RESOURCE ADEQUACY</w:t>
      </w:r>
    </w:p>
    <w:p w14:paraId="0E0AD5F8" w14:textId="77777777" w:rsidR="00674AD7" w:rsidRPr="00674AD7" w:rsidRDefault="00674AD7" w:rsidP="00674AD7">
      <w:pPr>
        <w:spacing w:line="300" w:lineRule="auto"/>
        <w:rPr>
          <w:rFonts w:ascii="Arial" w:hAnsi="Arial"/>
          <w:sz w:val="20"/>
          <w:szCs w:val="20"/>
        </w:rPr>
      </w:pPr>
    </w:p>
    <w:p w14:paraId="50BF31F0" w14:textId="77777777" w:rsidR="00674AD7" w:rsidRPr="00674AD7" w:rsidRDefault="00674AD7" w:rsidP="004C668B">
      <w:pPr>
        <w:pStyle w:val="IRPsanstext"/>
      </w:pPr>
      <w:r w:rsidRPr="00674AD7">
        <w:t>The long-term load/resource studies developed by the region’s major energy organizations, NPCC, PNUCC and BPA,</w:t>
      </w:r>
      <w:r w:rsidRPr="00674AD7">
        <w:rPr>
          <w:rStyle w:val="FootnoteReference"/>
        </w:rPr>
        <w:footnoteReference w:id="1"/>
      </w:r>
      <w:r w:rsidRPr="00674AD7">
        <w:t xml:space="preserve"> differ in some details, but </w:t>
      </w:r>
      <w:r w:rsidR="00B800A1">
        <w:t>most</w:t>
      </w:r>
      <w:r w:rsidRPr="00674AD7">
        <w:t xml:space="preserve"> of the forecasts point in the same direction: The </w:t>
      </w:r>
      <w:r w:rsidR="003C667F">
        <w:t xml:space="preserve">current </w:t>
      </w:r>
      <w:r w:rsidRPr="00674AD7">
        <w:t xml:space="preserve">Pacific Northwest (PNW) energy and capacity surplus will cross over to deficit at some point in the next decade </w:t>
      </w:r>
      <w:r w:rsidR="00B800A1">
        <w:t>–</w:t>
      </w:r>
      <w:r w:rsidR="003C667F">
        <w:t xml:space="preserve"> </w:t>
      </w:r>
      <w:r w:rsidRPr="00674AD7">
        <w:t xml:space="preserve">unless new resources are developed. Based upon current information, and assuming that all independently owned generation will be available to serve peak </w:t>
      </w:r>
      <w:r w:rsidR="003C667F">
        <w:t>PNW</w:t>
      </w:r>
      <w:r w:rsidRPr="00674AD7">
        <w:t xml:space="preserve"> loads, the region will transition from a winter peak surplus of 1,975 MW in 2016 to a winter peak deficit of 3,110 MW in 2025.</w:t>
      </w:r>
      <w:r w:rsidRPr="00674AD7">
        <w:rPr>
          <w:rStyle w:val="FootnoteReference"/>
        </w:rPr>
        <w:footnoteReference w:id="2"/>
      </w:r>
      <w:r w:rsidRPr="00674AD7">
        <w:t xml:space="preserve"> </w:t>
      </w:r>
    </w:p>
    <w:p w14:paraId="51EBB084" w14:textId="77777777" w:rsidR="00674AD7" w:rsidRPr="00674AD7" w:rsidRDefault="00674AD7" w:rsidP="004C668B">
      <w:pPr>
        <w:pStyle w:val="IRPsanstext"/>
      </w:pPr>
    </w:p>
    <w:p w14:paraId="59DF8C52" w14:textId="77777777" w:rsidR="00674AD7" w:rsidRPr="00674AD7" w:rsidRDefault="00674AD7" w:rsidP="004C668B">
      <w:pPr>
        <w:pStyle w:val="IRPsanstext"/>
        <w:rPr>
          <w:rFonts w:cs="Arial"/>
        </w:rPr>
      </w:pPr>
      <w:r w:rsidRPr="00674AD7">
        <w:t xml:space="preserve">For more than a decade, the region’s surplus has kept wholesale market power and capacity prices low, and made these existing resources a lower cost alternative to filling PSE’s peak capacity need than building new generation. </w:t>
      </w:r>
      <w:r w:rsidRPr="00674AD7">
        <w:rPr>
          <w:rFonts w:cs="Arial"/>
        </w:rPr>
        <w:t>Currently, PSE relies on more than 1,600 MW of wholesale market purchases to meet winter peak obligations,</w:t>
      </w:r>
      <w:r w:rsidRPr="00674AD7">
        <w:rPr>
          <w:rStyle w:val="FootnoteReference"/>
          <w:rFonts w:cs="Arial"/>
        </w:rPr>
        <w:footnoteReference w:id="3"/>
      </w:r>
      <w:r w:rsidRPr="00674AD7">
        <w:rPr>
          <w:rFonts w:cs="Arial"/>
        </w:rPr>
        <w:t xml:space="preserve"> but </w:t>
      </w:r>
      <w:r w:rsidRPr="00674AD7">
        <w:t xml:space="preserve">now that the planning environment is changing, </w:t>
      </w:r>
      <w:r w:rsidR="004574CF">
        <w:t>this</w:t>
      </w:r>
      <w:r w:rsidRPr="00674AD7">
        <w:t xml:space="preserve"> strategy needs to be re-evaluated. </w:t>
      </w:r>
      <w:r w:rsidRPr="00674AD7">
        <w:rPr>
          <w:rFonts w:cs="Arial"/>
        </w:rPr>
        <w:t xml:space="preserve">The financial and physical risks of continuing such a high degree of reliance on wholesale market purchases in deficit conditions are substantial. </w:t>
      </w:r>
    </w:p>
    <w:p w14:paraId="701713DB" w14:textId="77777777" w:rsidR="00674AD7" w:rsidRPr="00674AD7" w:rsidRDefault="00674AD7" w:rsidP="004C668B">
      <w:pPr>
        <w:pStyle w:val="IRPsanstext"/>
        <w:rPr>
          <w:rFonts w:cs="Arial"/>
        </w:rPr>
      </w:pPr>
    </w:p>
    <w:p w14:paraId="4061B23E" w14:textId="77777777" w:rsidR="00674AD7" w:rsidRPr="00674AD7" w:rsidRDefault="00674AD7" w:rsidP="004C668B">
      <w:pPr>
        <w:pStyle w:val="IRPsanstext"/>
      </w:pPr>
      <w:r w:rsidRPr="00674AD7">
        <w:t>Two factors are of particular concern in relying on the wholesale market to meet winter peak power demand: 1) the physical availability of wholesale power</w:t>
      </w:r>
      <w:r w:rsidR="002B4198">
        <w:t>;</w:t>
      </w:r>
      <w:r w:rsidRPr="00674AD7">
        <w:t xml:space="preserve"> and 2) rising prices as the supplies grow scarcer. Under certain conditions described in the regional forecasts, it is possible that there may not physically be enough energy and capacity available within the Pacific Northwest – even including spot market imports from California – to meet all of the region’s winter firm loads. So, one or more PNW load-serving entities would be forced to curtail service to customers. Since PSE is one of the largest – if not </w:t>
      </w:r>
      <w:r w:rsidRPr="00674AD7">
        <w:rPr>
          <w:i/>
        </w:rPr>
        <w:t>the</w:t>
      </w:r>
      <w:r w:rsidRPr="00674AD7">
        <w:t xml:space="preserve"> largest – purchaser of winter capacity in the region, PSE’s customers would be </w:t>
      </w:r>
      <w:r w:rsidR="002B4198">
        <w:t>particular</w:t>
      </w:r>
      <w:r w:rsidR="002B4198" w:rsidRPr="00674AD7">
        <w:t xml:space="preserve">ly </w:t>
      </w:r>
      <w:r w:rsidRPr="00674AD7">
        <w:t xml:space="preserve">exposed during regional curtailment events, because large portions of the energy and capacity that PSE was counting on to purchase </w:t>
      </w:r>
      <w:r w:rsidR="002B4198">
        <w:t>may</w:t>
      </w:r>
      <w:r w:rsidR="002B4198" w:rsidRPr="00674AD7">
        <w:t xml:space="preserve"> </w:t>
      </w:r>
      <w:r w:rsidRPr="00674AD7">
        <w:t xml:space="preserve">simply not be available. </w:t>
      </w:r>
    </w:p>
    <w:p w14:paraId="7EFFCDC2" w14:textId="77777777" w:rsidR="007477FF" w:rsidRDefault="007477FF">
      <w:pPr>
        <w:rPr>
          <w:rFonts w:ascii="Arial" w:hAnsi="Arial"/>
          <w:sz w:val="20"/>
          <w:szCs w:val="20"/>
        </w:rPr>
      </w:pPr>
      <w:r>
        <w:br w:type="page"/>
      </w:r>
    </w:p>
    <w:p w14:paraId="3685987E" w14:textId="77777777" w:rsidR="00674AD7" w:rsidRPr="00674AD7" w:rsidRDefault="00674AD7" w:rsidP="004C668B">
      <w:pPr>
        <w:pStyle w:val="IRPsanstext"/>
      </w:pPr>
      <w:r w:rsidRPr="00674AD7">
        <w:lastRenderedPageBreak/>
        <w:t xml:space="preserve">Certain characteristics of the WECC (Western Electricity Coordinating Council) wholesale marketplace also contribute to the risk profile in deficit conditions. Three are particularly important: 1) Many transactions are financially firm but not physically firm; 2) any wholesale power sale is subject to curtailment; and (3) aside from paying liquidated damages, the non-performing party has no obligation to replace the physical supply of power to the buyer, so the buyer must locate and contract for replacement power. Since prices can rise dramatically in times of scarcity and there are many exceptions to the current WECC wholesale market price cap of $1,000 per MWh, PSE could be </w:t>
      </w:r>
      <w:r w:rsidR="00C54BA2">
        <w:t xml:space="preserve">subject to very high costs </w:t>
      </w:r>
      <w:r w:rsidRPr="00674AD7">
        <w:t xml:space="preserve">to meet load and reserve obligations. </w:t>
      </w:r>
    </w:p>
    <w:p w14:paraId="3E37EDEB" w14:textId="77777777" w:rsidR="00674AD7" w:rsidRPr="00674AD7" w:rsidRDefault="00674AD7" w:rsidP="004C668B">
      <w:pPr>
        <w:pStyle w:val="IRPsanstext"/>
        <w:rPr>
          <w:rFonts w:cs="Arial"/>
        </w:rPr>
      </w:pPr>
    </w:p>
    <w:p w14:paraId="02AF298A" w14:textId="77777777" w:rsidR="00674AD7" w:rsidRPr="00674AD7" w:rsidRDefault="00674AD7" w:rsidP="004C668B">
      <w:pPr>
        <w:pStyle w:val="IRPsanstext"/>
        <w:rPr>
          <w:rFonts w:cs="Arial"/>
        </w:rPr>
      </w:pPr>
      <w:r w:rsidRPr="00674AD7">
        <w:rPr>
          <w:rFonts w:cs="Arial"/>
        </w:rPr>
        <w:t xml:space="preserve">Appendix G, Wholesale Market Risk, discusses the risks associated with the wholesale electric market exposure in more detail. </w:t>
      </w:r>
    </w:p>
    <w:p w14:paraId="14D94C75" w14:textId="77777777" w:rsidR="007477FF" w:rsidRDefault="007477FF">
      <w:pPr>
        <w:rPr>
          <w:rFonts w:ascii="Arial" w:hAnsi="Arial"/>
          <w:w w:val="105"/>
          <w:sz w:val="20"/>
          <w:szCs w:val="20"/>
        </w:rPr>
      </w:pPr>
      <w:r>
        <w:rPr>
          <w:w w:val="105"/>
        </w:rPr>
        <w:br w:type="page"/>
      </w:r>
    </w:p>
    <w:p w14:paraId="6F56D642" w14:textId="77777777" w:rsidR="007477FF" w:rsidRDefault="007477FF" w:rsidP="007477FF">
      <w:pPr>
        <w:pStyle w:val="IRPsecthead2sans"/>
      </w:pPr>
      <w:r>
        <w:lastRenderedPageBreak/>
        <w:t xml:space="preserve">CONVERGENCE OF GAS AND ELECTRIC </w:t>
      </w:r>
      <w:r w:rsidRPr="007477FF">
        <w:t>MARKETS</w:t>
      </w:r>
    </w:p>
    <w:p w14:paraId="716683D5" w14:textId="77777777" w:rsidR="00674AD7" w:rsidRPr="00674AD7" w:rsidRDefault="00674AD7" w:rsidP="004C668B">
      <w:pPr>
        <w:pStyle w:val="IRPsanstext"/>
        <w:rPr>
          <w:rFonts w:eastAsia="Palatino Linotype" w:cs="Palatino Linotype"/>
        </w:rPr>
      </w:pPr>
    </w:p>
    <w:p w14:paraId="04DC64EA" w14:textId="77777777" w:rsidR="00674AD7" w:rsidRPr="00674AD7" w:rsidRDefault="00674AD7" w:rsidP="004C668B">
      <w:pPr>
        <w:pStyle w:val="IRPsanstext"/>
      </w:pPr>
      <w:r w:rsidRPr="00674AD7">
        <w:rPr>
          <w:w w:val="105"/>
        </w:rPr>
        <w:t>The</w:t>
      </w:r>
      <w:r w:rsidRPr="00674AD7">
        <w:rPr>
          <w:spacing w:val="-10"/>
          <w:w w:val="105"/>
        </w:rPr>
        <w:t xml:space="preserve"> </w:t>
      </w:r>
      <w:r w:rsidRPr="00674AD7">
        <w:rPr>
          <w:w w:val="105"/>
        </w:rPr>
        <w:t>increasing</w:t>
      </w:r>
      <w:r w:rsidRPr="00674AD7">
        <w:rPr>
          <w:spacing w:val="-9"/>
          <w:w w:val="105"/>
        </w:rPr>
        <w:t xml:space="preserve"> </w:t>
      </w:r>
      <w:r w:rsidRPr="00674AD7">
        <w:rPr>
          <w:w w:val="105"/>
        </w:rPr>
        <w:t>use</w:t>
      </w:r>
      <w:r w:rsidRPr="00674AD7">
        <w:rPr>
          <w:spacing w:val="-9"/>
          <w:w w:val="105"/>
        </w:rPr>
        <w:t xml:space="preserve"> </w:t>
      </w:r>
      <w:r w:rsidRPr="00674AD7">
        <w:rPr>
          <w:w w:val="105"/>
        </w:rPr>
        <w:t>of</w:t>
      </w:r>
      <w:r w:rsidRPr="00674AD7">
        <w:rPr>
          <w:spacing w:val="-10"/>
          <w:w w:val="105"/>
        </w:rPr>
        <w:t xml:space="preserve"> </w:t>
      </w:r>
      <w:r w:rsidRPr="00674AD7">
        <w:rPr>
          <w:w w:val="105"/>
        </w:rPr>
        <w:t>natural</w:t>
      </w:r>
      <w:r w:rsidRPr="00674AD7">
        <w:rPr>
          <w:spacing w:val="-10"/>
          <w:w w:val="105"/>
        </w:rPr>
        <w:t xml:space="preserve"> </w:t>
      </w:r>
      <w:r w:rsidRPr="00674AD7">
        <w:rPr>
          <w:w w:val="105"/>
        </w:rPr>
        <w:t>gas</w:t>
      </w:r>
      <w:r w:rsidRPr="00674AD7">
        <w:rPr>
          <w:spacing w:val="-9"/>
          <w:w w:val="105"/>
        </w:rPr>
        <w:t xml:space="preserve"> </w:t>
      </w:r>
      <w:r w:rsidRPr="00674AD7">
        <w:rPr>
          <w:w w:val="105"/>
        </w:rPr>
        <w:t>for</w:t>
      </w:r>
      <w:r w:rsidRPr="00674AD7">
        <w:rPr>
          <w:spacing w:val="-10"/>
          <w:w w:val="105"/>
        </w:rPr>
        <w:t xml:space="preserve"> </w:t>
      </w:r>
      <w:r w:rsidRPr="00674AD7">
        <w:rPr>
          <w:w w:val="105"/>
        </w:rPr>
        <w:t>electric</w:t>
      </w:r>
      <w:r w:rsidRPr="00674AD7">
        <w:rPr>
          <w:spacing w:val="-9"/>
          <w:w w:val="105"/>
        </w:rPr>
        <w:t xml:space="preserve"> </w:t>
      </w:r>
      <w:r w:rsidRPr="00674AD7">
        <w:rPr>
          <w:w w:val="105"/>
        </w:rPr>
        <w:t>generation</w:t>
      </w:r>
      <w:r w:rsidRPr="00674AD7">
        <w:rPr>
          <w:spacing w:val="-10"/>
          <w:w w:val="105"/>
        </w:rPr>
        <w:t xml:space="preserve"> </w:t>
      </w:r>
      <w:r w:rsidRPr="00674AD7">
        <w:rPr>
          <w:w w:val="105"/>
        </w:rPr>
        <w:t>has</w:t>
      </w:r>
      <w:r w:rsidRPr="00674AD7">
        <w:rPr>
          <w:spacing w:val="-9"/>
          <w:w w:val="105"/>
        </w:rPr>
        <w:t xml:space="preserve"> </w:t>
      </w:r>
      <w:r w:rsidRPr="00674AD7">
        <w:rPr>
          <w:w w:val="105"/>
        </w:rPr>
        <w:t>also</w:t>
      </w:r>
      <w:r w:rsidRPr="00674AD7">
        <w:rPr>
          <w:spacing w:val="-9"/>
          <w:w w:val="105"/>
        </w:rPr>
        <w:t xml:space="preserve"> </w:t>
      </w:r>
      <w:r w:rsidRPr="00674AD7">
        <w:rPr>
          <w:w w:val="105"/>
        </w:rPr>
        <w:t>increased</w:t>
      </w:r>
      <w:r w:rsidRPr="00674AD7">
        <w:rPr>
          <w:spacing w:val="-9"/>
          <w:w w:val="105"/>
        </w:rPr>
        <w:t xml:space="preserve"> </w:t>
      </w:r>
      <w:r w:rsidRPr="00674AD7">
        <w:rPr>
          <w:spacing w:val="1"/>
          <w:w w:val="105"/>
        </w:rPr>
        <w:t>awareness</w:t>
      </w:r>
      <w:r w:rsidRPr="00674AD7">
        <w:rPr>
          <w:spacing w:val="-9"/>
          <w:w w:val="105"/>
        </w:rPr>
        <w:t xml:space="preserve"> </w:t>
      </w:r>
      <w:r w:rsidRPr="00674AD7">
        <w:rPr>
          <w:w w:val="105"/>
        </w:rPr>
        <w:t>of the</w:t>
      </w:r>
      <w:r w:rsidRPr="00674AD7">
        <w:rPr>
          <w:spacing w:val="-10"/>
          <w:w w:val="105"/>
        </w:rPr>
        <w:t xml:space="preserve"> </w:t>
      </w:r>
      <w:r w:rsidRPr="00674AD7">
        <w:rPr>
          <w:w w:val="105"/>
        </w:rPr>
        <w:t>need</w:t>
      </w:r>
      <w:r w:rsidRPr="00674AD7">
        <w:rPr>
          <w:spacing w:val="-10"/>
          <w:w w:val="105"/>
        </w:rPr>
        <w:t xml:space="preserve"> </w:t>
      </w:r>
      <w:r w:rsidRPr="00674AD7">
        <w:rPr>
          <w:w w:val="105"/>
        </w:rPr>
        <w:t>for</w:t>
      </w:r>
      <w:r w:rsidRPr="00674AD7">
        <w:rPr>
          <w:spacing w:val="-10"/>
          <w:w w:val="105"/>
        </w:rPr>
        <w:t xml:space="preserve"> </w:t>
      </w:r>
      <w:r w:rsidRPr="00674AD7">
        <w:rPr>
          <w:w w:val="105"/>
        </w:rPr>
        <w:t>coordination</w:t>
      </w:r>
      <w:r w:rsidRPr="00674AD7">
        <w:rPr>
          <w:spacing w:val="-10"/>
          <w:w w:val="105"/>
        </w:rPr>
        <w:t xml:space="preserve"> </w:t>
      </w:r>
      <w:r w:rsidRPr="00674AD7">
        <w:rPr>
          <w:w w:val="105"/>
        </w:rPr>
        <w:t>between</w:t>
      </w:r>
      <w:r w:rsidRPr="00674AD7">
        <w:rPr>
          <w:spacing w:val="-10"/>
          <w:w w:val="105"/>
        </w:rPr>
        <w:t xml:space="preserve"> </w:t>
      </w:r>
      <w:r w:rsidRPr="00674AD7">
        <w:rPr>
          <w:w w:val="105"/>
        </w:rPr>
        <w:t>the</w:t>
      </w:r>
      <w:r w:rsidRPr="00674AD7">
        <w:rPr>
          <w:spacing w:val="-10"/>
          <w:w w:val="105"/>
        </w:rPr>
        <w:t xml:space="preserve"> </w:t>
      </w:r>
      <w:r w:rsidRPr="00674AD7">
        <w:rPr>
          <w:w w:val="105"/>
        </w:rPr>
        <w:t>two</w:t>
      </w:r>
      <w:r w:rsidRPr="00674AD7">
        <w:rPr>
          <w:spacing w:val="-10"/>
          <w:w w:val="105"/>
        </w:rPr>
        <w:t xml:space="preserve"> </w:t>
      </w:r>
      <w:r w:rsidRPr="00674AD7">
        <w:rPr>
          <w:w w:val="105"/>
        </w:rPr>
        <w:t>industries.</w:t>
      </w:r>
      <w:r w:rsidRPr="00674AD7">
        <w:rPr>
          <w:spacing w:val="-10"/>
          <w:w w:val="105"/>
        </w:rPr>
        <w:t xml:space="preserve"> </w:t>
      </w:r>
      <w:r w:rsidRPr="00674AD7">
        <w:rPr>
          <w:w w:val="105"/>
        </w:rPr>
        <w:t>Both</w:t>
      </w:r>
      <w:r w:rsidRPr="00674AD7">
        <w:rPr>
          <w:spacing w:val="-10"/>
          <w:w w:val="105"/>
        </w:rPr>
        <w:t xml:space="preserve"> </w:t>
      </w:r>
      <w:r w:rsidRPr="00674AD7">
        <w:rPr>
          <w:w w:val="105"/>
        </w:rPr>
        <w:t>sectors and</w:t>
      </w:r>
      <w:r w:rsidRPr="00674AD7">
        <w:rPr>
          <w:spacing w:val="-13"/>
          <w:w w:val="105"/>
        </w:rPr>
        <w:t xml:space="preserve"> </w:t>
      </w:r>
      <w:r w:rsidRPr="00674AD7">
        <w:rPr>
          <w:w w:val="105"/>
        </w:rPr>
        <w:t>several</w:t>
      </w:r>
      <w:r w:rsidRPr="00674AD7">
        <w:rPr>
          <w:spacing w:val="-13"/>
          <w:w w:val="105"/>
        </w:rPr>
        <w:t xml:space="preserve"> </w:t>
      </w:r>
      <w:r w:rsidRPr="00674AD7">
        <w:rPr>
          <w:spacing w:val="1"/>
          <w:w w:val="105"/>
        </w:rPr>
        <w:t>government</w:t>
      </w:r>
      <w:r w:rsidRPr="00674AD7">
        <w:rPr>
          <w:spacing w:val="-13"/>
          <w:w w:val="105"/>
        </w:rPr>
        <w:t xml:space="preserve"> </w:t>
      </w:r>
      <w:r w:rsidRPr="00674AD7">
        <w:rPr>
          <w:w w:val="105"/>
        </w:rPr>
        <w:t>agencies</w:t>
      </w:r>
      <w:r w:rsidRPr="00674AD7">
        <w:rPr>
          <w:spacing w:val="-12"/>
          <w:w w:val="105"/>
        </w:rPr>
        <w:t xml:space="preserve"> </w:t>
      </w:r>
      <w:r w:rsidRPr="00674AD7">
        <w:rPr>
          <w:w w:val="105"/>
        </w:rPr>
        <w:t>are</w:t>
      </w:r>
      <w:r w:rsidRPr="00674AD7">
        <w:rPr>
          <w:spacing w:val="-12"/>
          <w:w w:val="105"/>
        </w:rPr>
        <w:t xml:space="preserve"> </w:t>
      </w:r>
      <w:r w:rsidRPr="00674AD7">
        <w:rPr>
          <w:w w:val="105"/>
        </w:rPr>
        <w:t>working</w:t>
      </w:r>
      <w:r w:rsidRPr="00674AD7">
        <w:rPr>
          <w:spacing w:val="-13"/>
          <w:w w:val="105"/>
        </w:rPr>
        <w:t xml:space="preserve"> </w:t>
      </w:r>
      <w:r w:rsidRPr="00674AD7">
        <w:rPr>
          <w:w w:val="105"/>
        </w:rPr>
        <w:t>to</w:t>
      </w:r>
      <w:r w:rsidRPr="00674AD7">
        <w:rPr>
          <w:spacing w:val="-11"/>
          <w:w w:val="105"/>
        </w:rPr>
        <w:t xml:space="preserve"> </w:t>
      </w:r>
      <w:r w:rsidRPr="00674AD7">
        <w:rPr>
          <w:w w:val="105"/>
        </w:rPr>
        <w:t>address</w:t>
      </w:r>
      <w:r w:rsidRPr="00674AD7">
        <w:rPr>
          <w:spacing w:val="-12"/>
          <w:w w:val="105"/>
        </w:rPr>
        <w:t xml:space="preserve"> </w:t>
      </w:r>
      <w:r w:rsidRPr="00674AD7">
        <w:rPr>
          <w:w w:val="105"/>
        </w:rPr>
        <w:t>the</w:t>
      </w:r>
      <w:r w:rsidRPr="00674AD7">
        <w:rPr>
          <w:spacing w:val="-13"/>
          <w:w w:val="105"/>
        </w:rPr>
        <w:t xml:space="preserve"> </w:t>
      </w:r>
      <w:r w:rsidRPr="00674AD7">
        <w:rPr>
          <w:w w:val="105"/>
        </w:rPr>
        <w:t>growing</w:t>
      </w:r>
      <w:r w:rsidRPr="00674AD7">
        <w:rPr>
          <w:spacing w:val="-12"/>
          <w:w w:val="105"/>
        </w:rPr>
        <w:t xml:space="preserve"> </w:t>
      </w:r>
      <w:r w:rsidRPr="00674AD7">
        <w:rPr>
          <w:w w:val="105"/>
        </w:rPr>
        <w:t>interdependence and</w:t>
      </w:r>
      <w:r w:rsidRPr="00674AD7">
        <w:rPr>
          <w:spacing w:val="-9"/>
          <w:w w:val="105"/>
        </w:rPr>
        <w:t xml:space="preserve"> </w:t>
      </w:r>
      <w:r w:rsidRPr="00674AD7">
        <w:rPr>
          <w:w w:val="105"/>
        </w:rPr>
        <w:t>avoid</w:t>
      </w:r>
      <w:r w:rsidRPr="00674AD7">
        <w:rPr>
          <w:spacing w:val="-8"/>
          <w:w w:val="105"/>
        </w:rPr>
        <w:t xml:space="preserve"> </w:t>
      </w:r>
      <w:r w:rsidRPr="00674AD7">
        <w:rPr>
          <w:w w:val="105"/>
        </w:rPr>
        <w:t>a</w:t>
      </w:r>
      <w:r w:rsidRPr="00674AD7">
        <w:rPr>
          <w:spacing w:val="-8"/>
          <w:w w:val="105"/>
        </w:rPr>
        <w:t xml:space="preserve"> </w:t>
      </w:r>
      <w:r w:rsidRPr="00674AD7">
        <w:rPr>
          <w:w w:val="105"/>
        </w:rPr>
        <w:t>crisis.</w:t>
      </w:r>
      <w:r w:rsidRPr="00674AD7">
        <w:rPr>
          <w:spacing w:val="37"/>
          <w:w w:val="105"/>
        </w:rPr>
        <w:t xml:space="preserve"> </w:t>
      </w:r>
      <w:r w:rsidRPr="00674AD7">
        <w:rPr>
          <w:w w:val="105"/>
        </w:rPr>
        <w:t>Generally,</w:t>
      </w:r>
      <w:r w:rsidRPr="00674AD7">
        <w:rPr>
          <w:spacing w:val="-13"/>
          <w:w w:val="105"/>
        </w:rPr>
        <w:t xml:space="preserve"> </w:t>
      </w:r>
      <w:r w:rsidRPr="00674AD7">
        <w:rPr>
          <w:w w:val="105"/>
        </w:rPr>
        <w:t>two</w:t>
      </w:r>
      <w:r w:rsidRPr="00674AD7">
        <w:rPr>
          <w:spacing w:val="-12"/>
          <w:w w:val="105"/>
        </w:rPr>
        <w:t xml:space="preserve"> </w:t>
      </w:r>
      <w:r w:rsidRPr="00674AD7">
        <w:rPr>
          <w:w w:val="105"/>
        </w:rPr>
        <w:t>aspects</w:t>
      </w:r>
      <w:r w:rsidRPr="00674AD7">
        <w:rPr>
          <w:spacing w:val="-12"/>
          <w:w w:val="105"/>
        </w:rPr>
        <w:t xml:space="preserve"> </w:t>
      </w:r>
      <w:r w:rsidRPr="00674AD7">
        <w:rPr>
          <w:w w:val="105"/>
        </w:rPr>
        <w:t>of</w:t>
      </w:r>
      <w:r w:rsidRPr="00674AD7">
        <w:rPr>
          <w:spacing w:val="-13"/>
          <w:w w:val="105"/>
        </w:rPr>
        <w:t xml:space="preserve"> </w:t>
      </w:r>
      <w:r w:rsidRPr="00674AD7">
        <w:rPr>
          <w:w w:val="105"/>
        </w:rPr>
        <w:t>the</w:t>
      </w:r>
      <w:r w:rsidRPr="00674AD7">
        <w:rPr>
          <w:spacing w:val="-12"/>
          <w:w w:val="105"/>
        </w:rPr>
        <w:t xml:space="preserve"> </w:t>
      </w:r>
      <w:r w:rsidRPr="00674AD7">
        <w:rPr>
          <w:w w:val="105"/>
        </w:rPr>
        <w:t>convergence</w:t>
      </w:r>
      <w:r w:rsidRPr="00674AD7">
        <w:rPr>
          <w:spacing w:val="-12"/>
          <w:w w:val="105"/>
        </w:rPr>
        <w:t xml:space="preserve"> </w:t>
      </w:r>
      <w:r w:rsidRPr="00674AD7">
        <w:rPr>
          <w:w w:val="105"/>
        </w:rPr>
        <w:t>are</w:t>
      </w:r>
      <w:r w:rsidRPr="00674AD7">
        <w:rPr>
          <w:spacing w:val="-14"/>
          <w:w w:val="105"/>
        </w:rPr>
        <w:t xml:space="preserve"> </w:t>
      </w:r>
      <w:r w:rsidRPr="00674AD7">
        <w:rPr>
          <w:w w:val="105"/>
        </w:rPr>
        <w:t>attracting</w:t>
      </w:r>
      <w:r w:rsidRPr="00674AD7">
        <w:rPr>
          <w:spacing w:val="-12"/>
          <w:w w:val="105"/>
        </w:rPr>
        <w:t xml:space="preserve"> </w:t>
      </w:r>
      <w:r w:rsidRPr="00674AD7">
        <w:rPr>
          <w:w w:val="105"/>
        </w:rPr>
        <w:t>concern:</w:t>
      </w:r>
      <w:r w:rsidRPr="00674AD7">
        <w:rPr>
          <w:spacing w:val="-13"/>
          <w:w w:val="105"/>
        </w:rPr>
        <w:t xml:space="preserve"> </w:t>
      </w:r>
      <w:r w:rsidRPr="00674AD7">
        <w:rPr>
          <w:w w:val="105"/>
        </w:rPr>
        <w:t>operational</w:t>
      </w:r>
      <w:r w:rsidRPr="00674AD7">
        <w:rPr>
          <w:spacing w:val="-13"/>
          <w:w w:val="105"/>
        </w:rPr>
        <w:t xml:space="preserve"> </w:t>
      </w:r>
      <w:r w:rsidRPr="00674AD7">
        <w:rPr>
          <w:w w:val="105"/>
        </w:rPr>
        <w:t>issues and</w:t>
      </w:r>
      <w:r w:rsidRPr="00674AD7">
        <w:rPr>
          <w:spacing w:val="-18"/>
          <w:w w:val="105"/>
        </w:rPr>
        <w:t xml:space="preserve"> </w:t>
      </w:r>
      <w:r w:rsidRPr="00674AD7">
        <w:rPr>
          <w:w w:val="105"/>
        </w:rPr>
        <w:t>long-term</w:t>
      </w:r>
      <w:r w:rsidRPr="00674AD7">
        <w:rPr>
          <w:spacing w:val="-17"/>
          <w:w w:val="105"/>
        </w:rPr>
        <w:t xml:space="preserve"> </w:t>
      </w:r>
      <w:r w:rsidRPr="00674AD7">
        <w:rPr>
          <w:w w:val="105"/>
        </w:rPr>
        <w:t>planning.</w:t>
      </w:r>
    </w:p>
    <w:p w14:paraId="16181317" w14:textId="77777777" w:rsidR="00674AD7" w:rsidRPr="007477FF" w:rsidRDefault="00674AD7" w:rsidP="004C668B">
      <w:pPr>
        <w:pStyle w:val="IRPsanstext"/>
        <w:rPr>
          <w:rFonts w:eastAsia="Arial" w:cs="Arial"/>
          <w:sz w:val="32"/>
          <w:szCs w:val="32"/>
        </w:rPr>
      </w:pPr>
    </w:p>
    <w:p w14:paraId="34A12808" w14:textId="77777777" w:rsidR="00674AD7" w:rsidRPr="007477FF" w:rsidRDefault="00674AD7" w:rsidP="007477FF">
      <w:pPr>
        <w:pStyle w:val="IRPsanstext"/>
        <w:spacing w:before="120"/>
        <w:rPr>
          <w:w w:val="105"/>
          <w:sz w:val="32"/>
          <w:szCs w:val="32"/>
        </w:rPr>
      </w:pPr>
      <w:r w:rsidRPr="007477FF">
        <w:rPr>
          <w:w w:val="105"/>
          <w:sz w:val="32"/>
          <w:szCs w:val="32"/>
        </w:rPr>
        <w:t xml:space="preserve">Operational Issues  </w:t>
      </w:r>
    </w:p>
    <w:p w14:paraId="25898A1B" w14:textId="77777777" w:rsidR="00674AD7" w:rsidRPr="00674AD7" w:rsidRDefault="00674AD7" w:rsidP="004C668B">
      <w:pPr>
        <w:pStyle w:val="IRPsanstext"/>
        <w:rPr>
          <w:w w:val="105"/>
        </w:rPr>
      </w:pPr>
    </w:p>
    <w:p w14:paraId="2884076D" w14:textId="77777777" w:rsidR="00674AD7" w:rsidRPr="00674AD7" w:rsidRDefault="00674AD7" w:rsidP="004C668B">
      <w:pPr>
        <w:pStyle w:val="IRPsanstext"/>
        <w:rPr>
          <w:w w:val="105"/>
        </w:rPr>
      </w:pPr>
      <w:r w:rsidRPr="00674AD7">
        <w:rPr>
          <w:w w:val="105"/>
        </w:rPr>
        <w:t>The gas and electric markets have different trading days and hours, and this presents significant obstacles to coordination. Gas</w:t>
      </w:r>
      <w:r w:rsidRPr="00674AD7">
        <w:rPr>
          <w:spacing w:val="-10"/>
          <w:w w:val="105"/>
        </w:rPr>
        <w:t xml:space="preserve"> </w:t>
      </w:r>
      <w:r w:rsidRPr="00674AD7">
        <w:rPr>
          <w:w w:val="105"/>
        </w:rPr>
        <w:t>markets</w:t>
      </w:r>
      <w:r w:rsidRPr="00674AD7">
        <w:rPr>
          <w:spacing w:val="-10"/>
          <w:w w:val="105"/>
        </w:rPr>
        <w:t xml:space="preserve"> </w:t>
      </w:r>
      <w:r w:rsidRPr="00674AD7">
        <w:rPr>
          <w:w w:val="105"/>
        </w:rPr>
        <w:t>conduct business</w:t>
      </w:r>
      <w:r w:rsidRPr="00674AD7">
        <w:rPr>
          <w:spacing w:val="-9"/>
          <w:w w:val="105"/>
        </w:rPr>
        <w:t xml:space="preserve"> </w:t>
      </w:r>
      <w:r w:rsidRPr="00674AD7">
        <w:rPr>
          <w:w w:val="105"/>
        </w:rPr>
        <w:t>on</w:t>
      </w:r>
      <w:r w:rsidRPr="00674AD7">
        <w:rPr>
          <w:spacing w:val="-10"/>
          <w:w w:val="105"/>
        </w:rPr>
        <w:t xml:space="preserve"> </w:t>
      </w:r>
      <w:r w:rsidRPr="00674AD7">
        <w:rPr>
          <w:w w:val="105"/>
        </w:rPr>
        <w:t>a</w:t>
      </w:r>
      <w:r w:rsidRPr="00674AD7">
        <w:rPr>
          <w:spacing w:val="-9"/>
          <w:w w:val="105"/>
        </w:rPr>
        <w:t xml:space="preserve"> </w:t>
      </w:r>
      <w:r w:rsidRPr="00674AD7">
        <w:rPr>
          <w:w w:val="105"/>
        </w:rPr>
        <w:t>standard nationwide “gas day.”</w:t>
      </w:r>
      <w:r w:rsidRPr="00674AD7">
        <w:rPr>
          <w:spacing w:val="-10"/>
          <w:w w:val="105"/>
        </w:rPr>
        <w:t xml:space="preserve"> R</w:t>
      </w:r>
      <w:r w:rsidRPr="00674AD7">
        <w:rPr>
          <w:w w:val="105"/>
        </w:rPr>
        <w:t>egional</w:t>
      </w:r>
      <w:r w:rsidRPr="00674AD7">
        <w:rPr>
          <w:spacing w:val="-11"/>
          <w:w w:val="105"/>
        </w:rPr>
        <w:t xml:space="preserve"> </w:t>
      </w:r>
      <w:r w:rsidRPr="00674AD7">
        <w:rPr>
          <w:w w:val="105"/>
        </w:rPr>
        <w:t>electric</w:t>
      </w:r>
      <w:r w:rsidRPr="00674AD7">
        <w:rPr>
          <w:spacing w:val="-10"/>
          <w:w w:val="105"/>
        </w:rPr>
        <w:t xml:space="preserve"> </w:t>
      </w:r>
      <w:r w:rsidRPr="00674AD7">
        <w:rPr>
          <w:spacing w:val="1"/>
          <w:w w:val="105"/>
        </w:rPr>
        <w:t>markets</w:t>
      </w:r>
      <w:r w:rsidRPr="00674AD7">
        <w:rPr>
          <w:spacing w:val="-10"/>
          <w:w w:val="105"/>
        </w:rPr>
        <w:t xml:space="preserve"> </w:t>
      </w:r>
      <w:r w:rsidRPr="00674AD7">
        <w:rPr>
          <w:w w:val="105"/>
        </w:rPr>
        <w:t>conduct business</w:t>
      </w:r>
      <w:r w:rsidRPr="00674AD7">
        <w:rPr>
          <w:spacing w:val="-10"/>
          <w:w w:val="105"/>
        </w:rPr>
        <w:t xml:space="preserve"> </w:t>
      </w:r>
      <w:r w:rsidRPr="00674AD7">
        <w:rPr>
          <w:w w:val="105"/>
        </w:rPr>
        <w:t>on</w:t>
      </w:r>
      <w:r w:rsidRPr="00674AD7">
        <w:rPr>
          <w:spacing w:val="-11"/>
          <w:w w:val="105"/>
        </w:rPr>
        <w:t xml:space="preserve"> </w:t>
      </w:r>
      <w:r w:rsidRPr="00674AD7">
        <w:rPr>
          <w:w w:val="105"/>
        </w:rPr>
        <w:t>a</w:t>
      </w:r>
      <w:r w:rsidRPr="00674AD7">
        <w:rPr>
          <w:spacing w:val="-10"/>
          <w:w w:val="105"/>
        </w:rPr>
        <w:t xml:space="preserve"> </w:t>
      </w:r>
      <w:r w:rsidRPr="00674AD7">
        <w:rPr>
          <w:w w:val="105"/>
        </w:rPr>
        <w:t>calendar-day</w:t>
      </w:r>
      <w:r w:rsidRPr="00674AD7">
        <w:rPr>
          <w:spacing w:val="-10"/>
          <w:w w:val="105"/>
        </w:rPr>
        <w:t xml:space="preserve"> </w:t>
      </w:r>
      <w:r w:rsidRPr="00674AD7">
        <w:rPr>
          <w:w w:val="105"/>
        </w:rPr>
        <w:t xml:space="preserve">basis, and they also operate in hourly and sub-hourly increments. This mismatch between trading days and hours creates challenges for electric generation operators who are trying to line up supply across time zones. </w:t>
      </w:r>
    </w:p>
    <w:p w14:paraId="6C1D9D5D" w14:textId="77777777" w:rsidR="00674AD7" w:rsidRPr="00674AD7" w:rsidRDefault="00674AD7" w:rsidP="004C668B">
      <w:pPr>
        <w:pStyle w:val="IRPsanstext"/>
        <w:rPr>
          <w:w w:val="105"/>
        </w:rPr>
      </w:pPr>
    </w:p>
    <w:p w14:paraId="472ADE8A" w14:textId="77777777" w:rsidR="00674AD7" w:rsidRPr="00674AD7" w:rsidRDefault="00674AD7" w:rsidP="004C668B">
      <w:pPr>
        <w:pStyle w:val="IRPsanstext"/>
        <w:rPr>
          <w:w w:val="105"/>
        </w:rPr>
      </w:pPr>
      <w:r w:rsidRPr="00674AD7">
        <w:rPr>
          <w:w w:val="105"/>
        </w:rPr>
        <w:t>In 2014, FERC published a Notice of Proposed Rulemaking (Docket No. RM14-2)</w:t>
      </w:r>
      <w:r w:rsidR="00C54BA2">
        <w:rPr>
          <w:w w:val="105"/>
        </w:rPr>
        <w:t>, in which</w:t>
      </w:r>
      <w:r w:rsidRPr="00674AD7">
        <w:rPr>
          <w:w w:val="105"/>
        </w:rPr>
        <w:t xml:space="preserve"> </w:t>
      </w:r>
      <w:r w:rsidR="00C54BA2">
        <w:rPr>
          <w:w w:val="105"/>
        </w:rPr>
        <w:t>i</w:t>
      </w:r>
      <w:r w:rsidRPr="00674AD7">
        <w:rPr>
          <w:w w:val="105"/>
        </w:rPr>
        <w:t>t proposed an aggressive set of changes to the timing of the gas day and scheduling of natural gas intended to improve coordination between the gas and electric industries. In response, the two industries came together under the guidance of the NAESB (North American Energy Standards Board) and recommended adoption of an expanded and better-coordinated daily gas nomination schedule and no change to the gas day. While FERC had proposed the change in the gas day in an effort to improve access to gas supplies in certain organized markets, the vast majority of the gas industry participants and many electric generating interests opposed the change.  FERC, in its Order No. 809,</w:t>
      </w:r>
      <w:r w:rsidRPr="00674AD7">
        <w:rPr>
          <w:rStyle w:val="FootnoteReference"/>
          <w:w w:val="105"/>
        </w:rPr>
        <w:footnoteReference w:id="4"/>
      </w:r>
      <w:r w:rsidRPr="00674AD7">
        <w:rPr>
          <w:w w:val="105"/>
        </w:rPr>
        <w:t xml:space="preserve"> dated April 16, 2015, adopted the NAESB proposed gas nomination schedule and accepted NAESB’s recommendation to leave the gas day unchanged. PSE was actively engaged in the NAESB gas day/gas scheduling process and remains heavily involved in ongoing regional and national efforts to facilitate better gas/electric coordination.</w:t>
      </w:r>
    </w:p>
    <w:p w14:paraId="52A82162" w14:textId="77777777" w:rsidR="00674AD7" w:rsidRPr="00674AD7" w:rsidRDefault="00674AD7" w:rsidP="004C668B">
      <w:pPr>
        <w:pStyle w:val="IRPsanstext"/>
        <w:rPr>
          <w:w w:val="105"/>
        </w:rPr>
      </w:pPr>
    </w:p>
    <w:p w14:paraId="171590DC" w14:textId="77777777" w:rsidR="00674AD7" w:rsidRPr="007477FF" w:rsidRDefault="00674AD7" w:rsidP="007477FF">
      <w:pPr>
        <w:pStyle w:val="IRPsanstext"/>
        <w:rPr>
          <w:spacing w:val="1"/>
          <w:w w:val="105"/>
        </w:rPr>
      </w:pPr>
      <w:r w:rsidRPr="00674AD7">
        <w:rPr>
          <w:w w:val="105"/>
        </w:rPr>
        <w:t>Another</w:t>
      </w:r>
      <w:r w:rsidRPr="00674AD7">
        <w:rPr>
          <w:spacing w:val="-10"/>
          <w:w w:val="105"/>
        </w:rPr>
        <w:t xml:space="preserve"> </w:t>
      </w:r>
      <w:r w:rsidRPr="00674AD7">
        <w:rPr>
          <w:w w:val="105"/>
        </w:rPr>
        <w:t>operational</w:t>
      </w:r>
      <w:r w:rsidRPr="00674AD7">
        <w:rPr>
          <w:spacing w:val="-11"/>
          <w:w w:val="105"/>
        </w:rPr>
        <w:t xml:space="preserve"> </w:t>
      </w:r>
      <w:r w:rsidRPr="00674AD7">
        <w:rPr>
          <w:w w:val="105"/>
        </w:rPr>
        <w:t>challenge</w:t>
      </w:r>
      <w:r w:rsidRPr="00674AD7">
        <w:rPr>
          <w:spacing w:val="-10"/>
          <w:w w:val="105"/>
        </w:rPr>
        <w:t xml:space="preserve"> </w:t>
      </w:r>
      <w:r w:rsidRPr="00674AD7">
        <w:rPr>
          <w:w w:val="105"/>
        </w:rPr>
        <w:t>is the</w:t>
      </w:r>
      <w:r w:rsidRPr="00674AD7">
        <w:rPr>
          <w:spacing w:val="-10"/>
          <w:w w:val="105"/>
        </w:rPr>
        <w:t xml:space="preserve"> </w:t>
      </w:r>
      <w:r w:rsidRPr="00674AD7">
        <w:rPr>
          <w:w w:val="105"/>
        </w:rPr>
        <w:t>need</w:t>
      </w:r>
      <w:r w:rsidRPr="00674AD7">
        <w:rPr>
          <w:spacing w:val="-10"/>
          <w:w w:val="105"/>
        </w:rPr>
        <w:t xml:space="preserve"> </w:t>
      </w:r>
      <w:r w:rsidRPr="00674AD7">
        <w:rPr>
          <w:w w:val="105"/>
        </w:rPr>
        <w:t>for</w:t>
      </w:r>
      <w:r w:rsidRPr="00674AD7">
        <w:rPr>
          <w:spacing w:val="-10"/>
          <w:w w:val="105"/>
        </w:rPr>
        <w:t xml:space="preserve"> </w:t>
      </w:r>
      <w:r w:rsidRPr="00674AD7">
        <w:rPr>
          <w:w w:val="105"/>
        </w:rPr>
        <w:t>gas and electric industries</w:t>
      </w:r>
      <w:r w:rsidRPr="00674AD7">
        <w:rPr>
          <w:spacing w:val="-9"/>
          <w:w w:val="105"/>
        </w:rPr>
        <w:t xml:space="preserve"> </w:t>
      </w:r>
      <w:r w:rsidRPr="00674AD7">
        <w:rPr>
          <w:w w:val="105"/>
        </w:rPr>
        <w:t>to</w:t>
      </w:r>
      <w:r w:rsidRPr="00674AD7">
        <w:rPr>
          <w:spacing w:val="-10"/>
          <w:w w:val="105"/>
        </w:rPr>
        <w:t xml:space="preserve"> </w:t>
      </w:r>
      <w:r w:rsidRPr="00674AD7">
        <w:rPr>
          <w:w w:val="105"/>
        </w:rPr>
        <w:t>coordinate</w:t>
      </w:r>
      <w:r w:rsidRPr="00674AD7">
        <w:rPr>
          <w:spacing w:val="-9"/>
          <w:w w:val="105"/>
        </w:rPr>
        <w:t xml:space="preserve"> </w:t>
      </w:r>
      <w:r w:rsidRPr="00674AD7">
        <w:rPr>
          <w:w w:val="105"/>
        </w:rPr>
        <w:t>communication</w:t>
      </w:r>
      <w:r w:rsidRPr="00674AD7">
        <w:rPr>
          <w:spacing w:val="-10"/>
          <w:w w:val="105"/>
        </w:rPr>
        <w:t xml:space="preserve"> </w:t>
      </w:r>
      <w:r w:rsidRPr="00674AD7">
        <w:rPr>
          <w:w w:val="105"/>
        </w:rPr>
        <w:t>and</w:t>
      </w:r>
      <w:r w:rsidRPr="00674AD7">
        <w:rPr>
          <w:spacing w:val="-9"/>
          <w:w w:val="105"/>
        </w:rPr>
        <w:t xml:space="preserve"> </w:t>
      </w:r>
      <w:r w:rsidRPr="00674AD7">
        <w:rPr>
          <w:w w:val="105"/>
        </w:rPr>
        <w:t>actions</w:t>
      </w:r>
      <w:r w:rsidRPr="00674AD7">
        <w:rPr>
          <w:spacing w:val="-10"/>
          <w:w w:val="105"/>
        </w:rPr>
        <w:t xml:space="preserve"> </w:t>
      </w:r>
      <w:r w:rsidRPr="00674AD7">
        <w:rPr>
          <w:w w:val="105"/>
        </w:rPr>
        <w:t>in</w:t>
      </w:r>
      <w:r w:rsidRPr="00674AD7">
        <w:rPr>
          <w:spacing w:val="-9"/>
          <w:w w:val="105"/>
        </w:rPr>
        <w:t xml:space="preserve"> </w:t>
      </w:r>
      <w:r w:rsidRPr="00674AD7">
        <w:rPr>
          <w:spacing w:val="1"/>
          <w:w w:val="105"/>
        </w:rPr>
        <w:t>emergency</w:t>
      </w:r>
      <w:r w:rsidRPr="00674AD7">
        <w:rPr>
          <w:spacing w:val="-11"/>
          <w:w w:val="105"/>
        </w:rPr>
        <w:t xml:space="preserve"> </w:t>
      </w:r>
      <w:r w:rsidRPr="00674AD7">
        <w:rPr>
          <w:w w:val="105"/>
        </w:rPr>
        <w:t>situations.</w:t>
      </w:r>
      <w:r w:rsidRPr="00674AD7">
        <w:rPr>
          <w:spacing w:val="-12"/>
          <w:w w:val="105"/>
        </w:rPr>
        <w:t xml:space="preserve"> </w:t>
      </w:r>
      <w:r w:rsidRPr="00674AD7">
        <w:rPr>
          <w:spacing w:val="1"/>
          <w:w w:val="105"/>
        </w:rPr>
        <w:t>PSE</w:t>
      </w:r>
      <w:r w:rsidRPr="00674AD7">
        <w:rPr>
          <w:spacing w:val="-10"/>
          <w:w w:val="105"/>
        </w:rPr>
        <w:t xml:space="preserve"> </w:t>
      </w:r>
      <w:r w:rsidRPr="00674AD7">
        <w:rPr>
          <w:w w:val="105"/>
        </w:rPr>
        <w:t>has</w:t>
      </w:r>
      <w:r w:rsidRPr="00674AD7">
        <w:rPr>
          <w:spacing w:val="-11"/>
          <w:w w:val="105"/>
        </w:rPr>
        <w:t xml:space="preserve"> </w:t>
      </w:r>
      <w:r w:rsidRPr="00674AD7">
        <w:rPr>
          <w:w w:val="105"/>
        </w:rPr>
        <w:t>led</w:t>
      </w:r>
      <w:r w:rsidRPr="00674AD7">
        <w:rPr>
          <w:spacing w:val="-11"/>
          <w:w w:val="105"/>
        </w:rPr>
        <w:t xml:space="preserve"> </w:t>
      </w:r>
      <w:r w:rsidRPr="00674AD7">
        <w:rPr>
          <w:w w:val="105"/>
        </w:rPr>
        <w:t>the</w:t>
      </w:r>
      <w:r w:rsidRPr="00674AD7">
        <w:rPr>
          <w:spacing w:val="-10"/>
          <w:w w:val="105"/>
        </w:rPr>
        <w:t xml:space="preserve"> </w:t>
      </w:r>
      <w:r w:rsidRPr="00674AD7">
        <w:rPr>
          <w:w w:val="105"/>
        </w:rPr>
        <w:t>effort</w:t>
      </w:r>
      <w:r w:rsidRPr="00674AD7">
        <w:rPr>
          <w:spacing w:val="-12"/>
          <w:w w:val="105"/>
        </w:rPr>
        <w:t xml:space="preserve"> </w:t>
      </w:r>
      <w:r w:rsidRPr="00674AD7">
        <w:rPr>
          <w:w w:val="105"/>
        </w:rPr>
        <w:t>to</w:t>
      </w:r>
      <w:r w:rsidRPr="00674AD7">
        <w:rPr>
          <w:spacing w:val="-10"/>
          <w:w w:val="105"/>
        </w:rPr>
        <w:t xml:space="preserve"> </w:t>
      </w:r>
      <w:r w:rsidRPr="00674AD7">
        <w:rPr>
          <w:w w:val="105"/>
        </w:rPr>
        <w:t>address</w:t>
      </w:r>
      <w:r w:rsidRPr="00674AD7">
        <w:rPr>
          <w:spacing w:val="-11"/>
          <w:w w:val="105"/>
        </w:rPr>
        <w:t xml:space="preserve"> </w:t>
      </w:r>
      <w:r w:rsidRPr="00674AD7">
        <w:rPr>
          <w:w w:val="105"/>
        </w:rPr>
        <w:t>this issue</w:t>
      </w:r>
      <w:r w:rsidRPr="00674AD7">
        <w:rPr>
          <w:spacing w:val="-10"/>
          <w:w w:val="105"/>
        </w:rPr>
        <w:t xml:space="preserve"> </w:t>
      </w:r>
      <w:r w:rsidRPr="00674AD7">
        <w:rPr>
          <w:w w:val="105"/>
        </w:rPr>
        <w:t>through development</w:t>
      </w:r>
      <w:r w:rsidRPr="00674AD7">
        <w:rPr>
          <w:spacing w:val="-12"/>
          <w:w w:val="105"/>
        </w:rPr>
        <w:t xml:space="preserve"> </w:t>
      </w:r>
      <w:r w:rsidRPr="00674AD7">
        <w:rPr>
          <w:w w:val="105"/>
        </w:rPr>
        <w:t>of</w:t>
      </w:r>
      <w:r w:rsidRPr="00674AD7">
        <w:rPr>
          <w:spacing w:val="-12"/>
          <w:w w:val="105"/>
        </w:rPr>
        <w:t xml:space="preserve"> </w:t>
      </w:r>
      <w:r w:rsidRPr="00674AD7">
        <w:rPr>
          <w:w w:val="105"/>
        </w:rPr>
        <w:t>the</w:t>
      </w:r>
      <w:r w:rsidRPr="00674AD7">
        <w:rPr>
          <w:spacing w:val="-11"/>
          <w:w w:val="105"/>
        </w:rPr>
        <w:t xml:space="preserve"> </w:t>
      </w:r>
      <w:r w:rsidRPr="00674AD7">
        <w:rPr>
          <w:spacing w:val="1"/>
          <w:w w:val="105"/>
        </w:rPr>
        <w:t>Northwest</w:t>
      </w:r>
      <w:r w:rsidRPr="00674AD7">
        <w:rPr>
          <w:spacing w:val="-11"/>
          <w:w w:val="105"/>
        </w:rPr>
        <w:t xml:space="preserve"> </w:t>
      </w:r>
      <w:r w:rsidRPr="00674AD7">
        <w:rPr>
          <w:w w:val="105"/>
        </w:rPr>
        <w:t>Mutual</w:t>
      </w:r>
      <w:r w:rsidRPr="00674AD7">
        <w:rPr>
          <w:spacing w:val="-12"/>
          <w:w w:val="105"/>
        </w:rPr>
        <w:t xml:space="preserve"> </w:t>
      </w:r>
      <w:r w:rsidRPr="00674AD7">
        <w:rPr>
          <w:w w:val="105"/>
        </w:rPr>
        <w:t>Assistance</w:t>
      </w:r>
      <w:r w:rsidRPr="00674AD7">
        <w:rPr>
          <w:spacing w:val="-11"/>
          <w:w w:val="105"/>
        </w:rPr>
        <w:t xml:space="preserve"> </w:t>
      </w:r>
      <w:r w:rsidRPr="00674AD7">
        <w:rPr>
          <w:spacing w:val="1"/>
          <w:w w:val="105"/>
        </w:rPr>
        <w:t>A</w:t>
      </w:r>
      <w:r w:rsidR="004574CF">
        <w:rPr>
          <w:spacing w:val="1"/>
          <w:w w:val="105"/>
        </w:rPr>
        <w:t>greement (NMAA). The NMAA</w:t>
      </w:r>
      <w:r w:rsidRPr="00674AD7">
        <w:rPr>
          <w:spacing w:val="1"/>
          <w:w w:val="105"/>
        </w:rPr>
        <w:t xml:space="preserve"> provides for communication among regional gas utilities and power generators during emergency situations on the gas system,</w:t>
      </w:r>
      <w:r w:rsidR="004574CF">
        <w:rPr>
          <w:spacing w:val="1"/>
          <w:w w:val="105"/>
        </w:rPr>
        <w:t xml:space="preserve"> and</w:t>
      </w:r>
      <w:r w:rsidRPr="00674AD7">
        <w:rPr>
          <w:spacing w:val="1"/>
          <w:w w:val="105"/>
        </w:rPr>
        <w:t xml:space="preserve"> </w:t>
      </w:r>
      <w:r w:rsidR="004574CF" w:rsidRPr="004574CF">
        <w:rPr>
          <w:spacing w:val="1"/>
          <w:w w:val="105"/>
        </w:rPr>
        <w:t>it tests this capability</w:t>
      </w:r>
      <w:r w:rsidRPr="004574CF">
        <w:rPr>
          <w:spacing w:val="1"/>
          <w:w w:val="105"/>
        </w:rPr>
        <w:t xml:space="preserve"> periodically.</w:t>
      </w:r>
    </w:p>
    <w:p w14:paraId="3162FCBF" w14:textId="77777777" w:rsidR="00674AD7" w:rsidRPr="00674AD7" w:rsidRDefault="00674AD7" w:rsidP="004C668B">
      <w:pPr>
        <w:pStyle w:val="IRPsanstext"/>
        <w:rPr>
          <w:rFonts w:eastAsia="Arial" w:cs="Arial"/>
        </w:rPr>
      </w:pPr>
    </w:p>
    <w:p w14:paraId="3D870766" w14:textId="77777777" w:rsidR="00674AD7" w:rsidRPr="007477FF" w:rsidRDefault="00674AD7" w:rsidP="004C668B">
      <w:pPr>
        <w:pStyle w:val="IRPsanstext"/>
        <w:rPr>
          <w:spacing w:val="-12"/>
          <w:w w:val="105"/>
          <w:sz w:val="32"/>
          <w:szCs w:val="32"/>
        </w:rPr>
      </w:pPr>
      <w:r w:rsidRPr="007477FF">
        <w:rPr>
          <w:w w:val="105"/>
          <w:sz w:val="32"/>
          <w:szCs w:val="32"/>
        </w:rPr>
        <w:lastRenderedPageBreak/>
        <w:t>Long-term</w:t>
      </w:r>
      <w:r w:rsidRPr="007477FF">
        <w:rPr>
          <w:spacing w:val="-12"/>
          <w:w w:val="105"/>
          <w:sz w:val="32"/>
          <w:szCs w:val="32"/>
        </w:rPr>
        <w:t xml:space="preserve"> </w:t>
      </w:r>
      <w:r w:rsidRPr="007477FF">
        <w:rPr>
          <w:w w:val="105"/>
          <w:sz w:val="32"/>
          <w:szCs w:val="32"/>
        </w:rPr>
        <w:t>Planning</w:t>
      </w:r>
      <w:r w:rsidRPr="007477FF">
        <w:rPr>
          <w:spacing w:val="-13"/>
          <w:w w:val="105"/>
          <w:sz w:val="32"/>
          <w:szCs w:val="32"/>
        </w:rPr>
        <w:t xml:space="preserve"> </w:t>
      </w:r>
      <w:r w:rsidRPr="007477FF">
        <w:rPr>
          <w:w w:val="105"/>
          <w:sz w:val="32"/>
          <w:szCs w:val="32"/>
        </w:rPr>
        <w:t>Challenges</w:t>
      </w:r>
    </w:p>
    <w:p w14:paraId="0033AFFF" w14:textId="77777777" w:rsidR="00674AD7" w:rsidRPr="00674AD7" w:rsidRDefault="00674AD7" w:rsidP="004C668B">
      <w:pPr>
        <w:pStyle w:val="IRPsanstext"/>
        <w:rPr>
          <w:spacing w:val="1"/>
          <w:w w:val="105"/>
        </w:rPr>
      </w:pPr>
    </w:p>
    <w:p w14:paraId="59F3783E" w14:textId="77777777" w:rsidR="00674AD7" w:rsidRPr="00674AD7" w:rsidRDefault="00674AD7" w:rsidP="004C668B">
      <w:pPr>
        <w:pStyle w:val="IRPsanstext"/>
        <w:rPr>
          <w:b/>
          <w:color w:val="3366FF"/>
          <w:spacing w:val="-12"/>
          <w:w w:val="105"/>
        </w:rPr>
      </w:pPr>
      <w:r w:rsidRPr="00674AD7">
        <w:rPr>
          <w:spacing w:val="1"/>
          <w:w w:val="105"/>
        </w:rPr>
        <w:t xml:space="preserve">In addition to the conditions outlined in the Regional Resource Adequacy section above, gas-electric convergence issues are also having an impact on long-term resource planning. These have to do with the increasing strain on the gas infrastructure system as higher and higher volumes of natural gas move through it. Two issues in particular cause concern: available pipeline capacity and volatility. </w:t>
      </w:r>
    </w:p>
    <w:p w14:paraId="6C58BB9D" w14:textId="77777777" w:rsidR="00674AD7" w:rsidRPr="00674AD7" w:rsidRDefault="00674AD7" w:rsidP="004C668B">
      <w:pPr>
        <w:pStyle w:val="IRPsanstext"/>
        <w:rPr>
          <w:w w:val="105"/>
        </w:rPr>
      </w:pPr>
    </w:p>
    <w:p w14:paraId="23225D23" w14:textId="77777777" w:rsidR="00674AD7" w:rsidRPr="00674AD7" w:rsidRDefault="00496991" w:rsidP="004C668B">
      <w:pPr>
        <w:pStyle w:val="IRPsanstext"/>
        <w:rPr>
          <w:spacing w:val="1"/>
          <w:w w:val="105"/>
        </w:rPr>
      </w:pPr>
      <w:r>
        <w:rPr>
          <w:b/>
          <w:color w:val="006C71"/>
          <w:spacing w:val="1"/>
          <w:w w:val="105"/>
          <w:sz w:val="28"/>
          <w:szCs w:val="28"/>
        </w:rPr>
        <w:t>Available Pipeline C</w:t>
      </w:r>
      <w:r w:rsidR="00674AD7" w:rsidRPr="007477FF">
        <w:rPr>
          <w:b/>
          <w:color w:val="006C71"/>
          <w:spacing w:val="1"/>
          <w:w w:val="105"/>
          <w:sz w:val="28"/>
          <w:szCs w:val="28"/>
        </w:rPr>
        <w:t>apacity.</w:t>
      </w:r>
      <w:r w:rsidR="00674AD7" w:rsidRPr="00674AD7">
        <w:rPr>
          <w:spacing w:val="1"/>
          <w:w w:val="105"/>
        </w:rPr>
        <w:t xml:space="preserve"> Some power generators and industrial end-users have come to rely upon the availability of less-expensive interruptible</w:t>
      </w:r>
      <w:r w:rsidR="00674AD7" w:rsidRPr="00674AD7">
        <w:rPr>
          <w:rStyle w:val="FootnoteReference"/>
          <w:spacing w:val="1"/>
          <w:w w:val="105"/>
        </w:rPr>
        <w:footnoteReference w:id="5"/>
      </w:r>
      <w:r w:rsidR="00674AD7" w:rsidRPr="00674AD7">
        <w:rPr>
          <w:spacing w:val="1"/>
          <w:w w:val="105"/>
        </w:rPr>
        <w:t xml:space="preserve"> pipeline capacity to economically transport gas for generation fuel</w:t>
      </w:r>
      <w:r w:rsidR="00C54BA2">
        <w:rPr>
          <w:spacing w:val="1"/>
          <w:w w:val="105"/>
        </w:rPr>
        <w:t xml:space="preserve"> and industrial process uses</w:t>
      </w:r>
      <w:r w:rsidR="00674AD7" w:rsidRPr="00674AD7">
        <w:rPr>
          <w:spacing w:val="1"/>
          <w:w w:val="105"/>
        </w:rPr>
        <w:t>. Interruptible capacity has been plentiful for many years, as the market “grew into” the capacity expansion that went into service in 2003.  But, as demand increases for natural gas to serve both gas customer growth and electric generation fuel needs, less interruptible pipeline capacity is available. Available pipeline capacity will shrink as a result, and interruptible users may have to make different, and more costly, commitments to firm pipeline capacity in order to maintain reliable service. According to the Northwest Gas Association (NWGA) 2015 Gas Outlook, “under the expected and high demand cases, peak day loads could stress the system, approaching or exceeding the region’s infrastructure capacity within the forecast horizon”.</w:t>
      </w:r>
      <w:r w:rsidR="00674AD7" w:rsidRPr="00674AD7">
        <w:rPr>
          <w:rStyle w:val="FootnoteReference"/>
          <w:spacing w:val="1"/>
          <w:w w:val="105"/>
        </w:rPr>
        <w:footnoteReference w:id="6"/>
      </w:r>
      <w:r w:rsidR="00674AD7" w:rsidRPr="00674AD7">
        <w:rPr>
          <w:spacing w:val="1"/>
          <w:w w:val="105"/>
        </w:rPr>
        <w:t xml:space="preserve">  To meet incremental demands, expanded pipeline capacity will be needed in some locations.</w:t>
      </w:r>
      <w:r w:rsidR="00674AD7" w:rsidRPr="00674AD7">
        <w:rPr>
          <w:spacing w:val="-12"/>
          <w:w w:val="105"/>
        </w:rPr>
        <w:t xml:space="preserve"> </w:t>
      </w:r>
      <w:r w:rsidR="00674AD7" w:rsidRPr="00674AD7">
        <w:rPr>
          <w:w w:val="105"/>
        </w:rPr>
        <w:t>See Chapter 7, Gas Analysis, for a more detail on PSE’s gas pipeline capacity position.</w:t>
      </w:r>
    </w:p>
    <w:p w14:paraId="785BDF27" w14:textId="77777777" w:rsidR="00674AD7" w:rsidRPr="00674AD7" w:rsidRDefault="00674AD7" w:rsidP="004C668B">
      <w:pPr>
        <w:pStyle w:val="IRPsanstext"/>
        <w:rPr>
          <w:w w:val="105"/>
        </w:rPr>
      </w:pPr>
    </w:p>
    <w:p w14:paraId="778CDA65" w14:textId="77777777" w:rsidR="00674AD7" w:rsidRPr="00674AD7" w:rsidRDefault="00674AD7" w:rsidP="004C668B">
      <w:pPr>
        <w:pStyle w:val="IRPsanstext"/>
        <w:rPr>
          <w:spacing w:val="2"/>
          <w:w w:val="105"/>
          <w:position w:val="10"/>
        </w:rPr>
      </w:pPr>
      <w:r w:rsidRPr="00674AD7">
        <w:rPr>
          <w:w w:val="105"/>
        </w:rPr>
        <w:t>The Western Interstate Energy Board’s</w:t>
      </w:r>
      <w:r w:rsidRPr="00674AD7">
        <w:rPr>
          <w:spacing w:val="-11"/>
          <w:w w:val="105"/>
        </w:rPr>
        <w:t xml:space="preserve"> </w:t>
      </w:r>
      <w:r w:rsidRPr="00674AD7">
        <w:rPr>
          <w:w w:val="105"/>
        </w:rPr>
        <w:t>State-Provincial</w:t>
      </w:r>
      <w:r w:rsidRPr="00674AD7">
        <w:rPr>
          <w:spacing w:val="-12"/>
          <w:w w:val="105"/>
        </w:rPr>
        <w:t xml:space="preserve"> </w:t>
      </w:r>
      <w:r w:rsidRPr="00674AD7">
        <w:rPr>
          <w:w w:val="105"/>
        </w:rPr>
        <w:t>Steering</w:t>
      </w:r>
      <w:r w:rsidRPr="00674AD7">
        <w:rPr>
          <w:spacing w:val="-12"/>
          <w:w w:val="105"/>
        </w:rPr>
        <w:t xml:space="preserve"> </w:t>
      </w:r>
      <w:r w:rsidRPr="00674AD7">
        <w:rPr>
          <w:spacing w:val="1"/>
          <w:w w:val="105"/>
        </w:rPr>
        <w:t>Committee</w:t>
      </w:r>
      <w:r w:rsidRPr="00674AD7">
        <w:rPr>
          <w:spacing w:val="-11"/>
          <w:w w:val="105"/>
        </w:rPr>
        <w:t xml:space="preserve"> </w:t>
      </w:r>
      <w:r w:rsidRPr="00674AD7">
        <w:rPr>
          <w:spacing w:val="1"/>
          <w:w w:val="105"/>
        </w:rPr>
        <w:t>(SPSC)</w:t>
      </w:r>
      <w:r w:rsidRPr="00674AD7">
        <w:rPr>
          <w:spacing w:val="-12"/>
          <w:w w:val="105"/>
        </w:rPr>
        <w:t xml:space="preserve"> </w:t>
      </w:r>
      <w:r w:rsidRPr="00674AD7">
        <w:rPr>
          <w:w w:val="105"/>
        </w:rPr>
        <w:t>formed</w:t>
      </w:r>
      <w:r w:rsidRPr="00674AD7">
        <w:rPr>
          <w:spacing w:val="-12"/>
          <w:w w:val="105"/>
        </w:rPr>
        <w:t xml:space="preserve"> </w:t>
      </w:r>
      <w:r w:rsidRPr="00674AD7">
        <w:rPr>
          <w:w w:val="105"/>
        </w:rPr>
        <w:t xml:space="preserve">the </w:t>
      </w:r>
      <w:r w:rsidRPr="00674AD7">
        <w:rPr>
          <w:spacing w:val="1"/>
          <w:w w:val="105"/>
        </w:rPr>
        <w:t>Western</w:t>
      </w:r>
      <w:r w:rsidRPr="00674AD7">
        <w:rPr>
          <w:spacing w:val="-12"/>
          <w:w w:val="105"/>
        </w:rPr>
        <w:t xml:space="preserve"> </w:t>
      </w:r>
      <w:r w:rsidRPr="00674AD7">
        <w:rPr>
          <w:w w:val="105"/>
        </w:rPr>
        <w:t>Gas-Electric</w:t>
      </w:r>
      <w:r w:rsidRPr="00674AD7">
        <w:rPr>
          <w:spacing w:val="-11"/>
          <w:w w:val="105"/>
        </w:rPr>
        <w:t xml:space="preserve"> </w:t>
      </w:r>
      <w:r w:rsidRPr="00674AD7">
        <w:rPr>
          <w:w w:val="105"/>
        </w:rPr>
        <w:t>Regional</w:t>
      </w:r>
      <w:r w:rsidRPr="00674AD7">
        <w:rPr>
          <w:spacing w:val="-12"/>
          <w:w w:val="105"/>
        </w:rPr>
        <w:t xml:space="preserve"> </w:t>
      </w:r>
      <w:r w:rsidRPr="00674AD7">
        <w:rPr>
          <w:spacing w:val="1"/>
          <w:w w:val="105"/>
        </w:rPr>
        <w:t>Assessment</w:t>
      </w:r>
      <w:r w:rsidRPr="00674AD7">
        <w:rPr>
          <w:spacing w:val="-11"/>
          <w:w w:val="105"/>
        </w:rPr>
        <w:t xml:space="preserve"> </w:t>
      </w:r>
      <w:r w:rsidRPr="00674AD7">
        <w:rPr>
          <w:w w:val="105"/>
        </w:rPr>
        <w:t>Task</w:t>
      </w:r>
      <w:r w:rsidRPr="00674AD7">
        <w:rPr>
          <w:spacing w:val="-11"/>
          <w:w w:val="105"/>
        </w:rPr>
        <w:t xml:space="preserve"> </w:t>
      </w:r>
      <w:r w:rsidRPr="00674AD7">
        <w:rPr>
          <w:w w:val="105"/>
        </w:rPr>
        <w:t>Force</w:t>
      </w:r>
      <w:r w:rsidRPr="00674AD7">
        <w:rPr>
          <w:spacing w:val="-11"/>
          <w:w w:val="105"/>
        </w:rPr>
        <w:t xml:space="preserve"> </w:t>
      </w:r>
      <w:r w:rsidRPr="00674AD7">
        <w:rPr>
          <w:w w:val="105"/>
        </w:rPr>
        <w:t>to</w:t>
      </w:r>
      <w:r w:rsidRPr="00674AD7">
        <w:rPr>
          <w:spacing w:val="-11"/>
          <w:w w:val="105"/>
        </w:rPr>
        <w:t xml:space="preserve"> </w:t>
      </w:r>
      <w:r w:rsidRPr="00674AD7">
        <w:rPr>
          <w:w w:val="105"/>
        </w:rPr>
        <w:t>examine</w:t>
      </w:r>
      <w:r w:rsidRPr="00674AD7">
        <w:rPr>
          <w:spacing w:val="-11"/>
          <w:w w:val="105"/>
        </w:rPr>
        <w:t xml:space="preserve"> </w:t>
      </w:r>
      <w:r w:rsidRPr="00674AD7">
        <w:rPr>
          <w:w w:val="105"/>
        </w:rPr>
        <w:t>this</w:t>
      </w:r>
      <w:r w:rsidRPr="00674AD7">
        <w:rPr>
          <w:spacing w:val="-11"/>
          <w:w w:val="105"/>
        </w:rPr>
        <w:t xml:space="preserve"> </w:t>
      </w:r>
      <w:r w:rsidRPr="00674AD7">
        <w:rPr>
          <w:w w:val="105"/>
        </w:rPr>
        <w:t>issue</w:t>
      </w:r>
      <w:r w:rsidRPr="00674AD7">
        <w:rPr>
          <w:spacing w:val="-11"/>
          <w:w w:val="105"/>
        </w:rPr>
        <w:t xml:space="preserve"> </w:t>
      </w:r>
      <w:r w:rsidRPr="00674AD7">
        <w:rPr>
          <w:w w:val="105"/>
        </w:rPr>
        <w:t>across</w:t>
      </w:r>
      <w:r w:rsidRPr="00674AD7">
        <w:rPr>
          <w:spacing w:val="-11"/>
          <w:w w:val="105"/>
        </w:rPr>
        <w:t xml:space="preserve"> </w:t>
      </w:r>
      <w:r w:rsidRPr="00674AD7">
        <w:rPr>
          <w:w w:val="105"/>
        </w:rPr>
        <w:t>the</w:t>
      </w:r>
      <w:r w:rsidRPr="00674AD7">
        <w:rPr>
          <w:spacing w:val="85"/>
          <w:w w:val="103"/>
        </w:rPr>
        <w:t xml:space="preserve"> </w:t>
      </w:r>
      <w:r w:rsidRPr="00674AD7">
        <w:rPr>
          <w:spacing w:val="1"/>
          <w:w w:val="105"/>
        </w:rPr>
        <w:t>WECC,</w:t>
      </w:r>
      <w:r w:rsidRPr="00674AD7">
        <w:rPr>
          <w:rStyle w:val="FootnoteReference"/>
          <w:spacing w:val="-14"/>
          <w:w w:val="105"/>
        </w:rPr>
        <w:footnoteReference w:id="7"/>
      </w:r>
      <w:r w:rsidRPr="00674AD7">
        <w:rPr>
          <w:spacing w:val="-14"/>
          <w:w w:val="105"/>
        </w:rPr>
        <w:t xml:space="preserve"> </w:t>
      </w:r>
      <w:r w:rsidRPr="00674AD7">
        <w:rPr>
          <w:w w:val="105"/>
        </w:rPr>
        <w:t>and</w:t>
      </w:r>
      <w:r w:rsidRPr="00674AD7">
        <w:rPr>
          <w:spacing w:val="-12"/>
          <w:w w:val="105"/>
        </w:rPr>
        <w:t xml:space="preserve"> </w:t>
      </w:r>
      <w:r w:rsidRPr="00674AD7">
        <w:rPr>
          <w:w w:val="105"/>
        </w:rPr>
        <w:t>the</w:t>
      </w:r>
      <w:r w:rsidRPr="00674AD7">
        <w:rPr>
          <w:spacing w:val="-12"/>
          <w:w w:val="105"/>
        </w:rPr>
        <w:t xml:space="preserve"> </w:t>
      </w:r>
      <w:r w:rsidRPr="00674AD7">
        <w:rPr>
          <w:w w:val="105"/>
        </w:rPr>
        <w:t>PNUCC</w:t>
      </w:r>
      <w:r w:rsidRPr="00674AD7">
        <w:rPr>
          <w:spacing w:val="-12"/>
          <w:w w:val="105"/>
        </w:rPr>
        <w:t xml:space="preserve"> </w:t>
      </w:r>
      <w:r w:rsidRPr="00674AD7">
        <w:rPr>
          <w:w w:val="105"/>
        </w:rPr>
        <w:t>and</w:t>
      </w:r>
      <w:r w:rsidRPr="00674AD7">
        <w:rPr>
          <w:spacing w:val="-13"/>
          <w:w w:val="105"/>
        </w:rPr>
        <w:t xml:space="preserve"> </w:t>
      </w:r>
      <w:r w:rsidRPr="00674AD7">
        <w:rPr>
          <w:w w:val="105"/>
        </w:rPr>
        <w:t>NWGA</w:t>
      </w:r>
      <w:r w:rsidRPr="00674AD7">
        <w:rPr>
          <w:spacing w:val="-11"/>
          <w:w w:val="105"/>
        </w:rPr>
        <w:t xml:space="preserve"> </w:t>
      </w:r>
      <w:r w:rsidRPr="00674AD7">
        <w:rPr>
          <w:w w:val="105"/>
        </w:rPr>
        <w:t>have</w:t>
      </w:r>
      <w:r w:rsidRPr="00674AD7">
        <w:rPr>
          <w:spacing w:val="-10"/>
          <w:w w:val="105"/>
        </w:rPr>
        <w:t xml:space="preserve"> </w:t>
      </w:r>
      <w:r w:rsidRPr="00674AD7">
        <w:rPr>
          <w:w w:val="105"/>
        </w:rPr>
        <w:t>also</w:t>
      </w:r>
      <w:r w:rsidRPr="00674AD7">
        <w:rPr>
          <w:spacing w:val="-11"/>
          <w:w w:val="105"/>
        </w:rPr>
        <w:t xml:space="preserve"> </w:t>
      </w:r>
      <w:r w:rsidRPr="00674AD7">
        <w:rPr>
          <w:w w:val="105"/>
        </w:rPr>
        <w:t>developed</w:t>
      </w:r>
      <w:r w:rsidRPr="00674AD7">
        <w:rPr>
          <w:spacing w:val="-10"/>
          <w:w w:val="105"/>
        </w:rPr>
        <w:t xml:space="preserve"> </w:t>
      </w:r>
      <w:r w:rsidRPr="00674AD7">
        <w:rPr>
          <w:w w:val="105"/>
        </w:rPr>
        <w:t>a</w:t>
      </w:r>
      <w:r w:rsidRPr="00674AD7">
        <w:rPr>
          <w:spacing w:val="-10"/>
          <w:w w:val="105"/>
        </w:rPr>
        <w:t xml:space="preserve"> </w:t>
      </w:r>
      <w:r w:rsidRPr="00674AD7">
        <w:rPr>
          <w:spacing w:val="1"/>
          <w:w w:val="105"/>
        </w:rPr>
        <w:t>Power</w:t>
      </w:r>
      <w:r w:rsidRPr="00674AD7">
        <w:rPr>
          <w:spacing w:val="-11"/>
          <w:w w:val="105"/>
        </w:rPr>
        <w:t xml:space="preserve"> </w:t>
      </w:r>
      <w:r w:rsidRPr="00674AD7">
        <w:rPr>
          <w:w w:val="105"/>
        </w:rPr>
        <w:t>and</w:t>
      </w:r>
      <w:r w:rsidRPr="00674AD7">
        <w:rPr>
          <w:spacing w:val="-10"/>
          <w:w w:val="105"/>
        </w:rPr>
        <w:t xml:space="preserve"> </w:t>
      </w:r>
      <w:r w:rsidRPr="00674AD7">
        <w:rPr>
          <w:spacing w:val="1"/>
          <w:w w:val="105"/>
        </w:rPr>
        <w:t>Natural</w:t>
      </w:r>
      <w:r w:rsidRPr="00674AD7">
        <w:rPr>
          <w:spacing w:val="-12"/>
          <w:w w:val="105"/>
        </w:rPr>
        <w:t xml:space="preserve"> </w:t>
      </w:r>
      <w:r w:rsidRPr="00674AD7">
        <w:rPr>
          <w:spacing w:val="1"/>
          <w:w w:val="105"/>
        </w:rPr>
        <w:t xml:space="preserve">Gas </w:t>
      </w:r>
      <w:r w:rsidRPr="00674AD7">
        <w:rPr>
          <w:w w:val="105"/>
        </w:rPr>
        <w:t>Planning</w:t>
      </w:r>
      <w:r w:rsidRPr="00674AD7">
        <w:rPr>
          <w:spacing w:val="-9"/>
          <w:w w:val="105"/>
        </w:rPr>
        <w:t xml:space="preserve"> </w:t>
      </w:r>
      <w:r w:rsidRPr="00674AD7">
        <w:rPr>
          <w:w w:val="105"/>
        </w:rPr>
        <w:t>Task</w:t>
      </w:r>
      <w:r w:rsidRPr="00674AD7">
        <w:rPr>
          <w:spacing w:val="-8"/>
          <w:w w:val="105"/>
        </w:rPr>
        <w:t xml:space="preserve"> </w:t>
      </w:r>
      <w:r w:rsidRPr="00674AD7">
        <w:rPr>
          <w:w w:val="105"/>
        </w:rPr>
        <w:t>Force to monitor the situation.</w:t>
      </w:r>
      <w:r w:rsidRPr="00674AD7">
        <w:rPr>
          <w:rStyle w:val="FootnoteReference"/>
          <w:spacing w:val="-9"/>
          <w:w w:val="105"/>
        </w:rPr>
        <w:footnoteReference w:id="8"/>
      </w:r>
    </w:p>
    <w:p w14:paraId="71A33F03" w14:textId="77777777" w:rsidR="007477FF" w:rsidRDefault="007477FF">
      <w:pPr>
        <w:rPr>
          <w:rFonts w:ascii="Arial" w:hAnsi="Arial"/>
          <w:spacing w:val="2"/>
          <w:w w:val="105"/>
          <w:position w:val="10"/>
          <w:sz w:val="20"/>
          <w:szCs w:val="20"/>
        </w:rPr>
      </w:pPr>
      <w:r>
        <w:rPr>
          <w:spacing w:val="2"/>
          <w:w w:val="105"/>
          <w:position w:val="10"/>
        </w:rPr>
        <w:br w:type="page"/>
      </w:r>
    </w:p>
    <w:p w14:paraId="1EB54CB4" w14:textId="77777777" w:rsidR="00674AD7" w:rsidRPr="00674AD7" w:rsidRDefault="0069404B" w:rsidP="004C668B">
      <w:pPr>
        <w:pStyle w:val="IRPsanstext"/>
        <w:rPr>
          <w:b/>
          <w:color w:val="3366FF"/>
          <w:w w:val="105"/>
        </w:rPr>
      </w:pPr>
      <w:r>
        <w:rPr>
          <w:b/>
          <w:color w:val="006C71"/>
          <w:w w:val="105"/>
          <w:sz w:val="28"/>
          <w:szCs w:val="28"/>
        </w:rPr>
        <w:lastRenderedPageBreak/>
        <w:t>Volatility</w:t>
      </w:r>
      <w:r w:rsidR="00674AD7" w:rsidRPr="00674AD7">
        <w:rPr>
          <w:b/>
          <w:color w:val="3366FF"/>
          <w:w w:val="105"/>
        </w:rPr>
        <w:t xml:space="preserve">. </w:t>
      </w:r>
      <w:r w:rsidR="00674AD7" w:rsidRPr="00674AD7">
        <w:rPr>
          <w:w w:val="105"/>
        </w:rPr>
        <w:t>The</w:t>
      </w:r>
      <w:r w:rsidR="00674AD7" w:rsidRPr="00674AD7">
        <w:rPr>
          <w:spacing w:val="-8"/>
          <w:w w:val="105"/>
        </w:rPr>
        <w:t xml:space="preserve"> growing </w:t>
      </w:r>
      <w:r w:rsidR="00674AD7" w:rsidRPr="00674AD7">
        <w:rPr>
          <w:w w:val="105"/>
        </w:rPr>
        <w:t>use</w:t>
      </w:r>
      <w:r w:rsidR="00674AD7" w:rsidRPr="00674AD7">
        <w:rPr>
          <w:spacing w:val="-8"/>
          <w:w w:val="105"/>
        </w:rPr>
        <w:t xml:space="preserve"> </w:t>
      </w:r>
      <w:r w:rsidR="00674AD7" w:rsidRPr="00674AD7">
        <w:rPr>
          <w:w w:val="105"/>
        </w:rPr>
        <w:t>of</w:t>
      </w:r>
      <w:r w:rsidR="00674AD7" w:rsidRPr="00674AD7">
        <w:rPr>
          <w:spacing w:val="-9"/>
          <w:w w:val="105"/>
        </w:rPr>
        <w:t xml:space="preserve"> </w:t>
      </w:r>
      <w:r w:rsidR="00674AD7" w:rsidRPr="00674AD7">
        <w:rPr>
          <w:w w:val="105"/>
        </w:rPr>
        <w:t>peaking</w:t>
      </w:r>
      <w:r w:rsidR="00674AD7" w:rsidRPr="00674AD7">
        <w:rPr>
          <w:spacing w:val="-7"/>
          <w:w w:val="105"/>
        </w:rPr>
        <w:t xml:space="preserve"> generation </w:t>
      </w:r>
      <w:r w:rsidR="00674AD7" w:rsidRPr="00674AD7">
        <w:rPr>
          <w:w w:val="105"/>
        </w:rPr>
        <w:t>plants</w:t>
      </w:r>
      <w:r w:rsidR="00674AD7" w:rsidRPr="00674AD7">
        <w:rPr>
          <w:spacing w:val="-8"/>
          <w:w w:val="105"/>
        </w:rPr>
        <w:t xml:space="preserve"> </w:t>
      </w:r>
      <w:r w:rsidR="00674AD7" w:rsidRPr="00674AD7">
        <w:rPr>
          <w:w w:val="105"/>
        </w:rPr>
        <w:t xml:space="preserve">that </w:t>
      </w:r>
      <w:r w:rsidR="00674AD7" w:rsidRPr="00674AD7">
        <w:rPr>
          <w:spacing w:val="1"/>
          <w:w w:val="105"/>
        </w:rPr>
        <w:t>ramp</w:t>
      </w:r>
      <w:r w:rsidR="00674AD7" w:rsidRPr="00674AD7">
        <w:rPr>
          <w:spacing w:val="-8"/>
          <w:w w:val="105"/>
        </w:rPr>
        <w:t xml:space="preserve"> </w:t>
      </w:r>
      <w:r w:rsidR="00674AD7" w:rsidRPr="00674AD7">
        <w:rPr>
          <w:w w:val="105"/>
        </w:rPr>
        <w:t>up</w:t>
      </w:r>
      <w:r w:rsidR="00674AD7" w:rsidRPr="00674AD7">
        <w:rPr>
          <w:spacing w:val="-8"/>
          <w:w w:val="105"/>
        </w:rPr>
        <w:t xml:space="preserve"> </w:t>
      </w:r>
      <w:r w:rsidR="00674AD7" w:rsidRPr="00674AD7">
        <w:rPr>
          <w:w w:val="105"/>
        </w:rPr>
        <w:t>and</w:t>
      </w:r>
      <w:r w:rsidR="00674AD7" w:rsidRPr="00674AD7">
        <w:rPr>
          <w:spacing w:val="-7"/>
          <w:w w:val="105"/>
        </w:rPr>
        <w:t xml:space="preserve"> </w:t>
      </w:r>
      <w:r w:rsidR="00674AD7" w:rsidRPr="00674AD7">
        <w:rPr>
          <w:spacing w:val="1"/>
          <w:w w:val="105"/>
        </w:rPr>
        <w:t>down</w:t>
      </w:r>
      <w:r w:rsidR="00674AD7" w:rsidRPr="00674AD7">
        <w:rPr>
          <w:spacing w:val="-8"/>
          <w:w w:val="105"/>
        </w:rPr>
        <w:t xml:space="preserve"> </w:t>
      </w:r>
      <w:r w:rsidR="00674AD7" w:rsidRPr="00674AD7">
        <w:rPr>
          <w:w w:val="105"/>
        </w:rPr>
        <w:t>hourly</w:t>
      </w:r>
      <w:r w:rsidR="00674AD7" w:rsidRPr="00674AD7">
        <w:rPr>
          <w:spacing w:val="-8"/>
          <w:w w:val="105"/>
        </w:rPr>
        <w:t xml:space="preserve"> </w:t>
      </w:r>
      <w:r w:rsidR="00674AD7" w:rsidRPr="00674AD7">
        <w:rPr>
          <w:w w:val="105"/>
        </w:rPr>
        <w:t>to</w:t>
      </w:r>
      <w:r w:rsidR="00674AD7" w:rsidRPr="00674AD7">
        <w:rPr>
          <w:spacing w:val="-8"/>
          <w:w w:val="105"/>
        </w:rPr>
        <w:t xml:space="preserve"> </w:t>
      </w:r>
      <w:r w:rsidR="00674AD7" w:rsidRPr="00674AD7">
        <w:rPr>
          <w:w w:val="105"/>
        </w:rPr>
        <w:t>balance fluctuations</w:t>
      </w:r>
      <w:r w:rsidR="00674AD7" w:rsidRPr="00674AD7">
        <w:rPr>
          <w:spacing w:val="-10"/>
          <w:w w:val="105"/>
        </w:rPr>
        <w:t xml:space="preserve"> </w:t>
      </w:r>
      <w:r w:rsidR="00674AD7" w:rsidRPr="00674AD7">
        <w:rPr>
          <w:w w:val="105"/>
        </w:rPr>
        <w:t>in</w:t>
      </w:r>
      <w:r w:rsidR="00674AD7" w:rsidRPr="00674AD7">
        <w:rPr>
          <w:spacing w:val="-9"/>
          <w:w w:val="105"/>
        </w:rPr>
        <w:t xml:space="preserve"> </w:t>
      </w:r>
      <w:r w:rsidR="00674AD7" w:rsidRPr="00674AD7">
        <w:rPr>
          <w:w w:val="105"/>
        </w:rPr>
        <w:t>load</w:t>
      </w:r>
      <w:r w:rsidR="00674AD7" w:rsidRPr="00674AD7">
        <w:rPr>
          <w:spacing w:val="-9"/>
          <w:w w:val="105"/>
        </w:rPr>
        <w:t xml:space="preserve"> </w:t>
      </w:r>
      <w:r w:rsidR="00674AD7" w:rsidRPr="00674AD7">
        <w:rPr>
          <w:w w:val="105"/>
        </w:rPr>
        <w:t>and</w:t>
      </w:r>
      <w:r w:rsidR="00674AD7" w:rsidRPr="00674AD7">
        <w:rPr>
          <w:spacing w:val="-9"/>
          <w:w w:val="105"/>
        </w:rPr>
        <w:t xml:space="preserve"> </w:t>
      </w:r>
      <w:r w:rsidR="00674AD7" w:rsidRPr="00674AD7">
        <w:rPr>
          <w:spacing w:val="1"/>
          <w:w w:val="105"/>
        </w:rPr>
        <w:t xml:space="preserve">intermittent resources presents another challenge. </w:t>
      </w:r>
      <w:r w:rsidR="00674AD7" w:rsidRPr="00674AD7">
        <w:rPr>
          <w:w w:val="105"/>
        </w:rPr>
        <w:t xml:space="preserve">As demand for natural gas to fuel this type of rapid-deployment generation increases, it can create large swings in gas loads on the interstate pipeline system. This has the potential to strain the entire supply chain, including upstream pipeline and processing capacity. </w:t>
      </w:r>
    </w:p>
    <w:p w14:paraId="2C4C5D8C" w14:textId="77777777" w:rsidR="00674AD7" w:rsidRPr="00674AD7" w:rsidRDefault="00674AD7" w:rsidP="004C668B">
      <w:pPr>
        <w:pStyle w:val="IRPsanstext"/>
        <w:rPr>
          <w:w w:val="105"/>
        </w:rPr>
      </w:pPr>
    </w:p>
    <w:p w14:paraId="08AD9AA1" w14:textId="77777777" w:rsidR="00674AD7" w:rsidRPr="00674AD7" w:rsidRDefault="00674AD7" w:rsidP="004C668B">
      <w:pPr>
        <w:pStyle w:val="IRPsanstext"/>
        <w:rPr>
          <w:w w:val="105"/>
        </w:rPr>
      </w:pPr>
      <w:r w:rsidRPr="00674AD7">
        <w:rPr>
          <w:w w:val="105"/>
        </w:rPr>
        <w:t xml:space="preserve">Both of these conditions make the availability of firm gas storage an increasingly important resource to consider when building portfolios. </w:t>
      </w:r>
    </w:p>
    <w:p w14:paraId="0711D301" w14:textId="77777777" w:rsidR="00674AD7" w:rsidRPr="00674AD7" w:rsidRDefault="00674AD7" w:rsidP="004C668B">
      <w:pPr>
        <w:pStyle w:val="IRPsanstext"/>
        <w:rPr>
          <w:rFonts w:eastAsia="Arial" w:cs="Arial"/>
        </w:rPr>
      </w:pPr>
    </w:p>
    <w:p w14:paraId="51D88FE6" w14:textId="77777777" w:rsidR="00380699" w:rsidRDefault="00380699">
      <w:pPr>
        <w:rPr>
          <w:rFonts w:ascii="Arial" w:hAnsi="Arial"/>
          <w:sz w:val="20"/>
          <w:szCs w:val="20"/>
        </w:rPr>
      </w:pPr>
      <w:bookmarkStart w:id="0" w:name="3.3_Natural_gas_"/>
      <w:bookmarkEnd w:id="0"/>
      <w:r>
        <w:br w:type="page"/>
      </w:r>
    </w:p>
    <w:p w14:paraId="7C154FC8" w14:textId="77777777" w:rsidR="00674AD7" w:rsidRPr="00380699" w:rsidRDefault="00674AD7" w:rsidP="004C668B">
      <w:pPr>
        <w:pStyle w:val="IRPsanstext"/>
        <w:rPr>
          <w:b/>
          <w:caps/>
          <w:color w:val="006C71"/>
          <w:sz w:val="32"/>
          <w:szCs w:val="32"/>
        </w:rPr>
      </w:pPr>
      <w:r w:rsidRPr="00380699">
        <w:rPr>
          <w:b/>
          <w:caps/>
          <w:color w:val="006C71"/>
          <w:sz w:val="32"/>
          <w:szCs w:val="32"/>
        </w:rPr>
        <w:lastRenderedPageBreak/>
        <w:t>Gas</w:t>
      </w:r>
      <w:r w:rsidRPr="00380699">
        <w:rPr>
          <w:b/>
          <w:caps/>
          <w:color w:val="006C71"/>
          <w:spacing w:val="-14"/>
          <w:sz w:val="32"/>
          <w:szCs w:val="32"/>
        </w:rPr>
        <w:t xml:space="preserve"> </w:t>
      </w:r>
      <w:r w:rsidRPr="00380699">
        <w:rPr>
          <w:b/>
          <w:caps/>
          <w:color w:val="006C71"/>
          <w:sz w:val="32"/>
          <w:szCs w:val="32"/>
        </w:rPr>
        <w:t>supplies</w:t>
      </w:r>
      <w:r w:rsidRPr="00380699">
        <w:rPr>
          <w:b/>
          <w:caps/>
          <w:color w:val="006C71"/>
          <w:spacing w:val="-14"/>
          <w:sz w:val="32"/>
          <w:szCs w:val="32"/>
        </w:rPr>
        <w:t xml:space="preserve"> </w:t>
      </w:r>
      <w:r w:rsidRPr="00380699">
        <w:rPr>
          <w:b/>
          <w:caps/>
          <w:color w:val="006C71"/>
          <w:sz w:val="32"/>
          <w:szCs w:val="32"/>
        </w:rPr>
        <w:t>and</w:t>
      </w:r>
      <w:r w:rsidRPr="00380699">
        <w:rPr>
          <w:b/>
          <w:caps/>
          <w:color w:val="006C71"/>
          <w:spacing w:val="-13"/>
          <w:sz w:val="32"/>
          <w:szCs w:val="32"/>
        </w:rPr>
        <w:t xml:space="preserve"> </w:t>
      </w:r>
      <w:r w:rsidRPr="00380699">
        <w:rPr>
          <w:b/>
          <w:caps/>
          <w:color w:val="006C71"/>
          <w:sz w:val="32"/>
          <w:szCs w:val="32"/>
        </w:rPr>
        <w:t>pricing</w:t>
      </w:r>
    </w:p>
    <w:p w14:paraId="58A294B4" w14:textId="77777777" w:rsidR="00674AD7" w:rsidRPr="00674AD7" w:rsidRDefault="00674AD7" w:rsidP="004C668B">
      <w:pPr>
        <w:pStyle w:val="IRPsanstext"/>
        <w:rPr>
          <w:rFonts w:eastAsia="Palatino Linotype" w:cs="Palatino Linotype"/>
        </w:rPr>
      </w:pPr>
    </w:p>
    <w:p w14:paraId="702FB0B4" w14:textId="77777777" w:rsidR="0098435E" w:rsidRPr="002B3AD4" w:rsidRDefault="00674AD7" w:rsidP="00CD2543">
      <w:pPr>
        <w:pStyle w:val="IRPsanstext"/>
        <w:rPr>
          <w:rFonts w:eastAsia="Arial"/>
        </w:rPr>
      </w:pPr>
      <w:r w:rsidRPr="002B3AD4">
        <w:t>Natural</w:t>
      </w:r>
      <w:r w:rsidRPr="002B3AD4">
        <w:rPr>
          <w:spacing w:val="-12"/>
        </w:rPr>
        <w:t xml:space="preserve"> </w:t>
      </w:r>
      <w:r w:rsidRPr="002B3AD4">
        <w:t>gas</w:t>
      </w:r>
      <w:r w:rsidRPr="002B3AD4">
        <w:rPr>
          <w:spacing w:val="-10"/>
        </w:rPr>
        <w:t xml:space="preserve"> </w:t>
      </w:r>
      <w:r w:rsidRPr="002B3AD4">
        <w:t>supplies</w:t>
      </w:r>
      <w:r w:rsidRPr="002B3AD4">
        <w:rPr>
          <w:spacing w:val="-10"/>
        </w:rPr>
        <w:t xml:space="preserve"> </w:t>
      </w:r>
      <w:r w:rsidRPr="002B3AD4">
        <w:t>continue to exceed expectations due to the abundant supply of natural gas from shale formations and improving production techniques. Although gas supplies have continued to grow, gas supply development has begun to slow in the face of current over-supply, low prices and the dip in oil price.</w:t>
      </w:r>
      <w:r w:rsidR="00811DF7" w:rsidRPr="002B3AD4">
        <w:t xml:space="preserve"> </w:t>
      </w:r>
      <w:r w:rsidR="0098435E" w:rsidRPr="002B3AD4">
        <w:t>As stated in the NWGA 2015 Gas Outlook, “</w:t>
      </w:r>
      <w:r w:rsidR="0098435E" w:rsidRPr="002B3AD4">
        <w:rPr>
          <w:rFonts w:eastAsia="Arial"/>
        </w:rPr>
        <w:t>While natural gas prices will likely continue to be vulnerable to volatility and spikes during periods of very high demand (as was seen during the winter of 2013/14), they are not expected to return to the sustained high price environment of a few years ago.”</w:t>
      </w:r>
      <w:r w:rsidR="002B3AD4">
        <w:rPr>
          <w:rFonts w:eastAsia="Arial"/>
        </w:rPr>
        <w:t xml:space="preserve"> </w:t>
      </w:r>
      <w:r w:rsidR="0098435E" w:rsidRPr="002B3AD4">
        <w:rPr>
          <w:rStyle w:val="FootnoteReference"/>
          <w:rFonts w:eastAsia="Arial"/>
        </w:rPr>
        <w:footnoteReference w:id="9"/>
      </w:r>
      <w:r w:rsidR="0098435E" w:rsidRPr="002B3AD4">
        <w:rPr>
          <w:rFonts w:eastAsia="Arial"/>
        </w:rPr>
        <w:t xml:space="preserve">  </w:t>
      </w:r>
    </w:p>
    <w:p w14:paraId="709AD822" w14:textId="77777777" w:rsidR="0098435E" w:rsidRPr="002B3AD4" w:rsidRDefault="0098435E" w:rsidP="004C668B">
      <w:pPr>
        <w:pStyle w:val="IRPsanstext"/>
        <w:rPr>
          <w:rFonts w:eastAsia="Arial"/>
        </w:rPr>
      </w:pPr>
    </w:p>
    <w:p w14:paraId="7F627C2B" w14:textId="77777777" w:rsidR="00674AD7" w:rsidRPr="00674AD7" w:rsidRDefault="00674AD7" w:rsidP="004C668B">
      <w:pPr>
        <w:pStyle w:val="IRPsanstext"/>
        <w:rPr>
          <w:rFonts w:eastAsia="Arial"/>
          <w:w w:val="105"/>
        </w:rPr>
      </w:pPr>
      <w:r w:rsidRPr="002B3AD4">
        <w:rPr>
          <w:rFonts w:eastAsia="Arial"/>
        </w:rPr>
        <w:t xml:space="preserve">Long-term projections of natural gas’s affordability continue to augment the role of natural gas in our region’s environment and economy. Natural gas remains a good economic value as an energy source, especially compared to its price levels of just a few years ago and the price of substitute fuels like oil. This remains true even in the current environment of lower-priced oil. </w:t>
      </w:r>
    </w:p>
    <w:p w14:paraId="00428C83" w14:textId="77777777" w:rsidR="00674AD7" w:rsidRPr="00674AD7" w:rsidRDefault="00674AD7" w:rsidP="004C668B">
      <w:pPr>
        <w:pStyle w:val="IRPsanstext"/>
        <w:rPr>
          <w:w w:val="105"/>
        </w:rPr>
      </w:pPr>
    </w:p>
    <w:p w14:paraId="1415400E" w14:textId="77777777" w:rsidR="00674AD7" w:rsidRPr="002B3AD4" w:rsidRDefault="00674AD7" w:rsidP="00380699">
      <w:pPr>
        <w:pStyle w:val="IRPsanstext"/>
        <w:spacing w:before="120"/>
        <w:rPr>
          <w:sz w:val="32"/>
          <w:szCs w:val="32"/>
        </w:rPr>
      </w:pPr>
      <w:bookmarkStart w:id="1" w:name="3.5_Gas_transportation_and_storage_"/>
      <w:bookmarkEnd w:id="1"/>
      <w:r w:rsidRPr="002B3AD4">
        <w:rPr>
          <w:sz w:val="32"/>
          <w:szCs w:val="32"/>
        </w:rPr>
        <w:t xml:space="preserve">Pipeline Transportation and Storage </w:t>
      </w:r>
    </w:p>
    <w:p w14:paraId="0E4710FD" w14:textId="77777777" w:rsidR="00674AD7" w:rsidRPr="00674AD7" w:rsidRDefault="00674AD7" w:rsidP="004C668B">
      <w:pPr>
        <w:pStyle w:val="IRPsanstext"/>
        <w:rPr>
          <w:b/>
          <w:color w:val="3366FF"/>
        </w:rPr>
      </w:pPr>
    </w:p>
    <w:p w14:paraId="576368B8" w14:textId="77777777" w:rsidR="00674AD7" w:rsidRPr="002B3AD4" w:rsidRDefault="00674AD7" w:rsidP="004C668B">
      <w:pPr>
        <w:pStyle w:val="IRPsanstext"/>
      </w:pPr>
      <w:r w:rsidRPr="002B3AD4">
        <w:t xml:space="preserve">Though the gas transportation system is adequate to meet current demand, it is likely to experience increasing stress as more and more of the region’s electric generation requires natural gas for fuel, as </w:t>
      </w:r>
      <w:r w:rsidR="00811DF7" w:rsidRPr="002B3AD4">
        <w:t>liquefied natural gas (</w:t>
      </w:r>
      <w:r w:rsidRPr="002B3AD4">
        <w:t>LNG</w:t>
      </w:r>
      <w:r w:rsidR="00811DF7" w:rsidRPr="002B3AD4">
        <w:t>)</w:t>
      </w:r>
      <w:r w:rsidRPr="002B3AD4">
        <w:t xml:space="preserve"> exports materialize, </w:t>
      </w:r>
      <w:r w:rsidR="005250B5" w:rsidRPr="002B3AD4">
        <w:t xml:space="preserve">as large industrial uses such as methanol plants are developed, </w:t>
      </w:r>
      <w:r w:rsidRPr="002B3AD4">
        <w:t>and as the transportation sector</w:t>
      </w:r>
      <w:r w:rsidRPr="002B3AD4">
        <w:rPr>
          <w:rStyle w:val="FootnoteReference"/>
        </w:rPr>
        <w:footnoteReference w:id="10"/>
      </w:r>
      <w:r w:rsidRPr="002B3AD4">
        <w:t xml:space="preserve"> begins to adopt natural gas as an attractive fuel option. Significant additions of gas</w:t>
      </w:r>
      <w:r w:rsidR="00C93FB1" w:rsidRPr="002B3AD4">
        <w:t xml:space="preserve"> peak loads</w:t>
      </w:r>
      <w:r w:rsidR="002B3AD4">
        <w:t xml:space="preserve"> </w:t>
      </w:r>
      <w:r w:rsidRPr="002B3AD4">
        <w:t xml:space="preserve">will certainly require expanded pipeline capacity for certain locations (see Chapter 7, Gas Analysis). </w:t>
      </w:r>
      <w:r w:rsidR="0098435E" w:rsidRPr="002B3AD4">
        <w:t>Given the scale of new industrial demand it’s important to note that large new industrial gas users may have more control over timing and location of future infrastructure expansions than existing users, including utilities.</w:t>
      </w:r>
      <w:r w:rsidR="0098435E" w:rsidRPr="002B3AD4">
        <w:rPr>
          <w:rStyle w:val="FootnoteReference"/>
        </w:rPr>
        <w:footnoteReference w:id="11"/>
      </w:r>
      <w:r w:rsidRPr="002B3AD4">
        <w:t xml:space="preserve"> </w:t>
      </w:r>
    </w:p>
    <w:p w14:paraId="1BB550B1" w14:textId="77777777" w:rsidR="00674AD7" w:rsidRPr="00674AD7" w:rsidRDefault="00674AD7" w:rsidP="004C668B">
      <w:pPr>
        <w:pStyle w:val="IRPsanstext"/>
        <w:rPr>
          <w:w w:val="105"/>
        </w:rPr>
      </w:pPr>
    </w:p>
    <w:p w14:paraId="15E546EF" w14:textId="77777777" w:rsidR="00EC49E8" w:rsidRDefault="00EC49E8">
      <w:pPr>
        <w:rPr>
          <w:rFonts w:ascii="Arial" w:hAnsi="Arial"/>
          <w:b/>
          <w:color w:val="006C71"/>
          <w:w w:val="105"/>
          <w:sz w:val="28"/>
          <w:szCs w:val="32"/>
        </w:rPr>
      </w:pPr>
      <w:r>
        <w:rPr>
          <w:b/>
          <w:color w:val="006C71"/>
          <w:w w:val="105"/>
          <w:sz w:val="28"/>
          <w:szCs w:val="32"/>
        </w:rPr>
        <w:br w:type="page"/>
      </w:r>
    </w:p>
    <w:p w14:paraId="17DEEDE2" w14:textId="77777777" w:rsidR="00674AD7" w:rsidRPr="002B3AD4" w:rsidRDefault="00674AD7" w:rsidP="004C668B">
      <w:pPr>
        <w:pStyle w:val="IRPsanstext"/>
      </w:pPr>
      <w:r w:rsidRPr="002B3AD4">
        <w:rPr>
          <w:b/>
          <w:color w:val="006C71"/>
          <w:w w:val="105"/>
          <w:sz w:val="28"/>
          <w:szCs w:val="32"/>
        </w:rPr>
        <w:lastRenderedPageBreak/>
        <w:t>LNG Storage Opportunity.</w:t>
      </w:r>
      <w:r w:rsidRPr="002B3AD4">
        <w:rPr>
          <w:w w:val="105"/>
          <w:sz w:val="28"/>
        </w:rPr>
        <w:t xml:space="preserve"> </w:t>
      </w:r>
      <w:r w:rsidR="00CE5FD8" w:rsidRPr="002B3AD4">
        <w:t xml:space="preserve">The 2013 IRP included the development of a mid-scale LNG liquefaction and storage facility as an alternative resource to serve the growing demand for LNG as a marine and vehicle transportation fuel. This LNG facility was selected </w:t>
      </w:r>
      <w:r w:rsidR="00386666" w:rsidRPr="002B3AD4">
        <w:t>as a cost-effective resource in the 2013 IRP</w:t>
      </w:r>
      <w:r w:rsidR="00CE5FD8" w:rsidRPr="002B3AD4">
        <w:t>.  In this 2015 IRP, we continue to pursue this alternative and find that</w:t>
      </w:r>
      <w:r w:rsidR="00811DF7" w:rsidRPr="002B3AD4">
        <w:t xml:space="preserve"> building a facility that can serve both core gas customers as well as the needs of transportation fuel customers </w:t>
      </w:r>
      <w:r w:rsidR="00CE5FD8" w:rsidRPr="002B3AD4">
        <w:t>will enable</w:t>
      </w:r>
      <w:r w:rsidRPr="002B3AD4">
        <w:t xml:space="preserve"> PSE to reduce the cost of the peaking service to core gas customers.  This IRP evaluates building an LNG facility that would serve both needs: 1) </w:t>
      </w:r>
      <w:r w:rsidR="00CD2543" w:rsidRPr="002B3AD4">
        <w:t>provide</w:t>
      </w:r>
      <w:r w:rsidRPr="002B3AD4">
        <w:t xml:space="preserve"> on-site storage capacity to serve gas customers’ peak needs</w:t>
      </w:r>
      <w:r w:rsidR="00A76BAA" w:rsidRPr="002B3AD4">
        <w:t>;</w:t>
      </w:r>
      <w:r w:rsidRPr="002B3AD4">
        <w:t xml:space="preserve"> and 2) supply LNG fuel to serve Puget Sound’s marine traffic and the </w:t>
      </w:r>
      <w:r w:rsidR="0077237B" w:rsidRPr="002B3AD4">
        <w:t xml:space="preserve">natural gas vehicle </w:t>
      </w:r>
      <w:r w:rsidRPr="002B3AD4">
        <w:t>market.</w:t>
      </w:r>
      <w:r w:rsidR="00496991" w:rsidRPr="002B3AD4">
        <w:t xml:space="preserve"> </w:t>
      </w:r>
    </w:p>
    <w:p w14:paraId="5E58AD46" w14:textId="77777777" w:rsidR="00CD72DE" w:rsidRPr="00EC49E8" w:rsidRDefault="00CD72DE" w:rsidP="004C668B">
      <w:pPr>
        <w:pStyle w:val="IRPsanstext"/>
        <w:rPr>
          <w:w w:val="105"/>
          <w:sz w:val="32"/>
        </w:rPr>
      </w:pPr>
    </w:p>
    <w:p w14:paraId="0AFC3CC9" w14:textId="77777777" w:rsidR="00674AD7" w:rsidRPr="00CD72DE" w:rsidRDefault="00674AD7" w:rsidP="004C668B">
      <w:pPr>
        <w:pStyle w:val="IRPsanstext"/>
        <w:rPr>
          <w:w w:val="105"/>
          <w:sz w:val="32"/>
          <w:szCs w:val="32"/>
        </w:rPr>
      </w:pPr>
      <w:r w:rsidRPr="00CD72DE">
        <w:rPr>
          <w:w w:val="105"/>
          <w:sz w:val="32"/>
          <w:szCs w:val="32"/>
        </w:rPr>
        <w:t>Gas for the Transportation Sector</w:t>
      </w:r>
    </w:p>
    <w:p w14:paraId="09B4A325" w14:textId="77777777" w:rsidR="00674AD7" w:rsidRPr="00674AD7" w:rsidRDefault="00674AD7" w:rsidP="004C668B">
      <w:pPr>
        <w:pStyle w:val="IRPsanstext"/>
        <w:rPr>
          <w:w w:val="105"/>
        </w:rPr>
      </w:pPr>
    </w:p>
    <w:p w14:paraId="71E377CA" w14:textId="77777777" w:rsidR="00674AD7" w:rsidRPr="00674AD7" w:rsidRDefault="00674AD7" w:rsidP="004C668B">
      <w:pPr>
        <w:pStyle w:val="IRPsanstext"/>
        <w:rPr>
          <w:w w:val="105"/>
        </w:rPr>
      </w:pPr>
      <w:r w:rsidRPr="00674AD7">
        <w:rPr>
          <w:w w:val="105"/>
        </w:rPr>
        <w:t>While the market share for alternative-fueled vehicles is currently small, PSE has seen a marked increase during the past few years in the number of natural gas vehicles (NGVs) within the utility’s service territory. At the end of 2014, there were over 825 natural gas-fueled vehicles registered in the counties where PSE’s natural gas customers live. PSE delivered more than 870 thousand dekatherms of natural gas to NGVs in 2014 – equivalent to the natural gas con</w:t>
      </w:r>
      <w:r w:rsidR="002B3AD4">
        <w:rPr>
          <w:w w:val="105"/>
        </w:rPr>
        <w:t>sumption of about 11,000 homes.</w:t>
      </w:r>
      <w:r w:rsidRPr="00674AD7">
        <w:rPr>
          <w:w w:val="105"/>
        </w:rPr>
        <w:t xml:space="preserve"> In addition, interest in LNG fuel for marine transportation is strong and growing. </w:t>
      </w:r>
    </w:p>
    <w:p w14:paraId="3E7766CF" w14:textId="77777777" w:rsidR="00674AD7" w:rsidRPr="00674AD7" w:rsidRDefault="00674AD7" w:rsidP="004C668B">
      <w:pPr>
        <w:pStyle w:val="IRPsanstext"/>
        <w:rPr>
          <w:w w:val="105"/>
        </w:rPr>
      </w:pPr>
    </w:p>
    <w:p w14:paraId="05AFF8BB" w14:textId="77777777" w:rsidR="00674AD7" w:rsidRPr="00674AD7" w:rsidRDefault="00674AD7" w:rsidP="004C668B">
      <w:pPr>
        <w:pStyle w:val="IRPsanstext"/>
        <w:rPr>
          <w:w w:val="105"/>
        </w:rPr>
      </w:pPr>
      <w:r w:rsidRPr="00674AD7">
        <w:rPr>
          <w:w w:val="105"/>
        </w:rPr>
        <w:t xml:space="preserve">Demand for natural gas as transportation fuel is expected to increase over time because of its advantages compared to gasoline and diesel fuels: </w:t>
      </w:r>
      <w:r w:rsidR="00A76BAA">
        <w:rPr>
          <w:w w:val="105"/>
        </w:rPr>
        <w:t>i</w:t>
      </w:r>
      <w:r w:rsidRPr="00674AD7">
        <w:rPr>
          <w:w w:val="105"/>
        </w:rPr>
        <w:t>t is less expensive</w:t>
      </w:r>
      <w:r w:rsidR="00A76BAA">
        <w:rPr>
          <w:w w:val="105"/>
        </w:rPr>
        <w:t xml:space="preserve"> and</w:t>
      </w:r>
      <w:r w:rsidRPr="00674AD7">
        <w:rPr>
          <w:w w:val="105"/>
        </w:rPr>
        <w:t xml:space="preserve"> produces significantly lower carbon dioxide (CO</w:t>
      </w:r>
      <w:r w:rsidRPr="00674AD7">
        <w:rPr>
          <w:w w:val="105"/>
          <w:vertAlign w:val="subscript"/>
        </w:rPr>
        <w:t>2</w:t>
      </w:r>
      <w:r w:rsidRPr="00674AD7">
        <w:rPr>
          <w:w w:val="105"/>
        </w:rPr>
        <w:t>) and nitrogen dioxide (NO</w:t>
      </w:r>
      <w:r w:rsidRPr="00674AD7">
        <w:rPr>
          <w:w w:val="105"/>
          <w:vertAlign w:val="subscript"/>
        </w:rPr>
        <w:t>2</w:t>
      </w:r>
      <w:r w:rsidRPr="00674AD7">
        <w:rPr>
          <w:w w:val="105"/>
        </w:rPr>
        <w:t>) emissions. In addition, since the transportation sector is the largest contributor to CO</w:t>
      </w:r>
      <w:r w:rsidRPr="00674AD7">
        <w:rPr>
          <w:w w:val="105"/>
          <w:vertAlign w:val="subscript"/>
        </w:rPr>
        <w:t>2</w:t>
      </w:r>
      <w:r w:rsidRPr="00674AD7">
        <w:rPr>
          <w:w w:val="105"/>
        </w:rPr>
        <w:t xml:space="preserve"> emissions in the state, it can also make a significant contribution to meeting state and federal emission reduction targets.   </w:t>
      </w:r>
    </w:p>
    <w:p w14:paraId="4AE5D621" w14:textId="77777777" w:rsidR="00674AD7" w:rsidRPr="00674AD7" w:rsidRDefault="00674AD7" w:rsidP="004C668B">
      <w:pPr>
        <w:pStyle w:val="IRPsanstext"/>
        <w:rPr>
          <w:w w:val="105"/>
        </w:rPr>
      </w:pPr>
    </w:p>
    <w:p w14:paraId="6E5492AB" w14:textId="77777777" w:rsidR="00674AD7" w:rsidRPr="00674AD7" w:rsidRDefault="00674AD7" w:rsidP="004C668B">
      <w:pPr>
        <w:pStyle w:val="IRPsanstext"/>
        <w:rPr>
          <w:w w:val="105"/>
        </w:rPr>
      </w:pPr>
      <w:r w:rsidRPr="00674AD7">
        <w:rPr>
          <w:w w:val="105"/>
        </w:rPr>
        <w:t>The relative lack of access to refueling stations is likely inhibiting more widespread NGV adoption in Washington. Similarly, the absence of an LNG supply chain in the Puget Sound area may be hindering ship and ferry conversion from high-cost, high-polluting petroleum fuels to natural gas.</w:t>
      </w:r>
    </w:p>
    <w:p w14:paraId="3D8B8C6D" w14:textId="77777777" w:rsidR="00674AD7" w:rsidRPr="00674AD7" w:rsidRDefault="00674AD7" w:rsidP="004C668B">
      <w:pPr>
        <w:pStyle w:val="IRPsanstext"/>
        <w:rPr>
          <w:w w:val="105"/>
        </w:rPr>
      </w:pPr>
    </w:p>
    <w:p w14:paraId="2D97176D" w14:textId="77777777" w:rsidR="00674AD7" w:rsidRPr="00674AD7" w:rsidRDefault="00674AD7" w:rsidP="004C668B">
      <w:pPr>
        <w:pStyle w:val="IRPsanstext"/>
        <w:rPr>
          <w:w w:val="105"/>
        </w:rPr>
      </w:pPr>
      <w:r w:rsidRPr="00CD72DE">
        <w:rPr>
          <w:b/>
          <w:color w:val="006C71"/>
          <w:w w:val="105"/>
          <w:sz w:val="28"/>
          <w:szCs w:val="28"/>
        </w:rPr>
        <w:t>Compressed Natural Gas (CNG)</w:t>
      </w:r>
      <w:r w:rsidRPr="00CD72DE">
        <w:rPr>
          <w:color w:val="006C71"/>
          <w:w w:val="105"/>
          <w:sz w:val="28"/>
          <w:szCs w:val="28"/>
        </w:rPr>
        <w:t>.</w:t>
      </w:r>
      <w:r w:rsidRPr="00674AD7">
        <w:rPr>
          <w:w w:val="105"/>
        </w:rPr>
        <w:t xml:space="preserve"> In order to assist customers with financial and technical barriers around compressed natural gas, PSE recently developed and obtained regulatory approval for a service to provide customers </w:t>
      </w:r>
      <w:r w:rsidR="00496991">
        <w:rPr>
          <w:w w:val="105"/>
        </w:rPr>
        <w:t>with compressed</w:t>
      </w:r>
      <w:r w:rsidRPr="00674AD7">
        <w:rPr>
          <w:w w:val="105"/>
        </w:rPr>
        <w:t xml:space="preserve"> natural gas suitable for use in vehicles at the customer’s site.  </w:t>
      </w:r>
    </w:p>
    <w:p w14:paraId="186A84AC" w14:textId="77777777" w:rsidR="00CD72DE" w:rsidRDefault="00CD72DE">
      <w:pPr>
        <w:rPr>
          <w:rFonts w:ascii="Arial" w:eastAsia="Arial" w:hAnsi="Arial" w:cs="Arial"/>
          <w:sz w:val="20"/>
          <w:szCs w:val="20"/>
        </w:rPr>
      </w:pPr>
      <w:r>
        <w:rPr>
          <w:rFonts w:eastAsia="Arial" w:cs="Arial"/>
        </w:rPr>
        <w:br w:type="page"/>
      </w:r>
    </w:p>
    <w:p w14:paraId="49706651" w14:textId="77777777" w:rsidR="00674AD7" w:rsidRPr="00CD72DE" w:rsidRDefault="00674AD7" w:rsidP="00D21EAA">
      <w:pPr>
        <w:pStyle w:val="IRPsanstext"/>
        <w:rPr>
          <w:b/>
          <w:caps/>
          <w:color w:val="006C71"/>
          <w:sz w:val="32"/>
          <w:szCs w:val="32"/>
        </w:rPr>
      </w:pPr>
      <w:bookmarkStart w:id="2" w:name="3.7_Demand-side_resources_"/>
      <w:bookmarkEnd w:id="2"/>
      <w:r w:rsidRPr="00CD72DE">
        <w:rPr>
          <w:b/>
          <w:caps/>
          <w:color w:val="006C71"/>
          <w:sz w:val="32"/>
          <w:szCs w:val="32"/>
        </w:rPr>
        <w:lastRenderedPageBreak/>
        <w:t xml:space="preserve">system </w:t>
      </w:r>
      <w:r w:rsidRPr="00CD72DE">
        <w:rPr>
          <w:b/>
          <w:caps/>
          <w:color w:val="006C71"/>
          <w:spacing w:val="-39"/>
          <w:sz w:val="32"/>
          <w:szCs w:val="32"/>
        </w:rPr>
        <w:t xml:space="preserve"> </w:t>
      </w:r>
      <w:r w:rsidRPr="00CD72DE">
        <w:rPr>
          <w:b/>
          <w:caps/>
          <w:color w:val="006C71"/>
          <w:sz w:val="32"/>
          <w:szCs w:val="32"/>
        </w:rPr>
        <w:t>flexibi</w:t>
      </w:r>
      <w:r w:rsidRPr="006D4575">
        <w:rPr>
          <w:b/>
          <w:caps/>
          <w:color w:val="006C71"/>
          <w:sz w:val="32"/>
          <w:szCs w:val="32"/>
        </w:rPr>
        <w:t>lity</w:t>
      </w:r>
    </w:p>
    <w:p w14:paraId="7812153A" w14:textId="77777777" w:rsidR="00674AD7" w:rsidRPr="00674AD7" w:rsidRDefault="00674AD7" w:rsidP="00D21EAA">
      <w:pPr>
        <w:pStyle w:val="IRPsanstext"/>
        <w:rPr>
          <w:w w:val="105"/>
        </w:rPr>
      </w:pPr>
    </w:p>
    <w:p w14:paraId="68C5502C" w14:textId="77777777" w:rsidR="00674AD7" w:rsidRPr="00674AD7" w:rsidRDefault="00674AD7" w:rsidP="00D21EAA">
      <w:pPr>
        <w:pStyle w:val="IRPsanstext"/>
        <w:rPr>
          <w:w w:val="105"/>
        </w:rPr>
      </w:pPr>
      <w:r w:rsidRPr="00674AD7">
        <w:rPr>
          <w:w w:val="105"/>
        </w:rPr>
        <w:t xml:space="preserve">Balancing reserves and contingency reserves are the two components of PSE’s flexibility need. </w:t>
      </w:r>
    </w:p>
    <w:p w14:paraId="74A19CCB" w14:textId="77777777" w:rsidR="00674AD7" w:rsidRPr="00674AD7" w:rsidRDefault="00674AD7" w:rsidP="00D21EAA">
      <w:pPr>
        <w:pStyle w:val="IRPsanstext"/>
        <w:rPr>
          <w:w w:val="105"/>
        </w:rPr>
      </w:pPr>
    </w:p>
    <w:p w14:paraId="77091EC4" w14:textId="77777777" w:rsidR="00674AD7" w:rsidRPr="006D4575" w:rsidRDefault="00674AD7" w:rsidP="00D21EAA">
      <w:pPr>
        <w:pStyle w:val="IRPsanstext"/>
        <w:rPr>
          <w:w w:val="105"/>
          <w:sz w:val="32"/>
          <w:szCs w:val="32"/>
        </w:rPr>
      </w:pPr>
      <w:r w:rsidRPr="006D4575">
        <w:rPr>
          <w:w w:val="105"/>
          <w:sz w:val="32"/>
          <w:szCs w:val="32"/>
        </w:rPr>
        <w:t xml:space="preserve">Balancing Authority Challenges </w:t>
      </w:r>
    </w:p>
    <w:p w14:paraId="33EE2B55" w14:textId="77777777" w:rsidR="006D4575" w:rsidRPr="00674AD7" w:rsidRDefault="006D4575" w:rsidP="00D21EAA">
      <w:pPr>
        <w:pStyle w:val="IRPsanstext"/>
        <w:rPr>
          <w:w w:val="105"/>
        </w:rPr>
      </w:pPr>
    </w:p>
    <w:p w14:paraId="53012588" w14:textId="77777777" w:rsidR="00674AD7" w:rsidRPr="002B3AD4" w:rsidRDefault="00674AD7" w:rsidP="004C668B">
      <w:pPr>
        <w:pStyle w:val="IRPsanstext"/>
      </w:pPr>
      <w:r w:rsidRPr="002B3AD4">
        <w:t>As a Balancing Authority (BA), PSE must retain enough operational flexibility to keep the system in balance as demand and supply vary from moment to moment. These fluctuations happen continually and are caused by a wide variety of events, from morning demand spikes to the need to compensate for wind generation when winds drop below minimum velocity, and from unplanned generator outages to scheduled energy interchanges. The flexible capacity used to manage this variability is called balancing reserves. In addition to balancing reserves, PSE must also (like other Balancing Authorities) carry capacity that is capable of responding to infrequent but significant regional events (as when a large generator suddenly fails); these are called contingency reserves.</w:t>
      </w:r>
    </w:p>
    <w:p w14:paraId="6E09C173" w14:textId="77777777" w:rsidR="00674AD7" w:rsidRPr="00674AD7" w:rsidRDefault="00674AD7" w:rsidP="004C668B">
      <w:pPr>
        <w:pStyle w:val="IRPsanstext"/>
        <w:rPr>
          <w:w w:val="105"/>
        </w:rPr>
      </w:pPr>
    </w:p>
    <w:p w14:paraId="074F39F7" w14:textId="77777777" w:rsidR="00674AD7" w:rsidRPr="005B2E02" w:rsidRDefault="00674AD7" w:rsidP="004C668B">
      <w:pPr>
        <w:pStyle w:val="IRPsanstext"/>
      </w:pPr>
      <w:r w:rsidRPr="005B2E02">
        <w:t xml:space="preserve">Flexibility needs are met by dispatching resources that can immediately change their output levels to match changes in load or other resources’ increase or decrease in generation. Specific characteristics such as how quickly a resource can synchronize to the PSE system, minimum and maximum operating range and ramp rates determine the flexible capacity available from a given resource. </w:t>
      </w:r>
    </w:p>
    <w:p w14:paraId="056F5C7A" w14:textId="77777777" w:rsidR="00674AD7" w:rsidRPr="005B2E02" w:rsidRDefault="00674AD7" w:rsidP="004C668B">
      <w:pPr>
        <w:pStyle w:val="IRPsanstext"/>
      </w:pPr>
    </w:p>
    <w:p w14:paraId="1C3B5A16" w14:textId="77777777" w:rsidR="00674AD7" w:rsidRPr="005B2E02" w:rsidRDefault="00674AD7" w:rsidP="004C668B">
      <w:pPr>
        <w:pStyle w:val="IRPsanstext"/>
      </w:pPr>
      <w:r w:rsidRPr="005B2E02">
        <w:t>Currently, the company’s share of Mid-Columbia hydroelectric assets provides most of PSE’s balancing and contingency reserves; however, PSE’s share in these assets has declined in recent years due to expiring contracts. PSE now rel</w:t>
      </w:r>
      <w:r w:rsidR="00CD2543" w:rsidRPr="005B2E02">
        <w:t>ies</w:t>
      </w:r>
      <w:r w:rsidRPr="005B2E02">
        <w:t xml:space="preserve"> on natural gas turbines more frequently for balancing reserves. The move to thermal resources to meet flexibility needs and the increase in intermittent wind generation in PSE’s Balancing Authority area impacts both portfolio costs and operations.</w:t>
      </w:r>
    </w:p>
    <w:p w14:paraId="2BFBC673" w14:textId="77777777" w:rsidR="00674AD7" w:rsidRPr="005B2E02" w:rsidRDefault="00674AD7" w:rsidP="004C668B">
      <w:pPr>
        <w:pStyle w:val="IRPsanstext"/>
      </w:pPr>
    </w:p>
    <w:p w14:paraId="74F8F60D" w14:textId="77777777" w:rsidR="00674AD7" w:rsidRPr="005B2E02" w:rsidRDefault="00674AD7" w:rsidP="004C668B">
      <w:pPr>
        <w:pStyle w:val="IRPsanstext"/>
      </w:pPr>
      <w:r w:rsidRPr="005B2E02">
        <w:t>Appendix H, Operational Flexibility, discusses the portfolio’s ability to effectively balance load and wind fluctuations and describes the related economic analysis.</w:t>
      </w:r>
    </w:p>
    <w:p w14:paraId="0E044D7B" w14:textId="77777777" w:rsidR="006D4575" w:rsidRDefault="006D4575">
      <w:pPr>
        <w:rPr>
          <w:rFonts w:ascii="Arial" w:hAnsi="Arial"/>
          <w:w w:val="105"/>
          <w:sz w:val="20"/>
          <w:szCs w:val="20"/>
        </w:rPr>
      </w:pPr>
      <w:r>
        <w:rPr>
          <w:w w:val="105"/>
        </w:rPr>
        <w:br w:type="page"/>
      </w:r>
    </w:p>
    <w:p w14:paraId="561D2BCB" w14:textId="77777777" w:rsidR="00674AD7" w:rsidRPr="005B2E02" w:rsidRDefault="00674AD7" w:rsidP="004C668B">
      <w:pPr>
        <w:pStyle w:val="IRPsanstext"/>
        <w:rPr>
          <w:sz w:val="32"/>
          <w:szCs w:val="32"/>
        </w:rPr>
      </w:pPr>
      <w:r w:rsidRPr="005B2E02">
        <w:rPr>
          <w:sz w:val="32"/>
          <w:szCs w:val="32"/>
        </w:rPr>
        <w:lastRenderedPageBreak/>
        <w:t xml:space="preserve">Energy Imbalance Market </w:t>
      </w:r>
    </w:p>
    <w:p w14:paraId="3825E8DB" w14:textId="77777777" w:rsidR="00674AD7" w:rsidRPr="005B2E02" w:rsidRDefault="00674AD7" w:rsidP="004C668B">
      <w:pPr>
        <w:pStyle w:val="IRPsanstext"/>
        <w:rPr>
          <w:b/>
        </w:rPr>
      </w:pPr>
    </w:p>
    <w:p w14:paraId="2162F8CB" w14:textId="77777777" w:rsidR="00674AD7" w:rsidRPr="005B2E02" w:rsidRDefault="00674AD7" w:rsidP="004C668B">
      <w:pPr>
        <w:pStyle w:val="IRPsanstext"/>
        <w:rPr>
          <w:b/>
        </w:rPr>
      </w:pPr>
      <w:r w:rsidRPr="005B2E02">
        <w:t xml:space="preserve">To help address operational flexibility needs, PSE is scheduled to join the voluntary, within-hour Energy Imbalance Market (EIM) operated by the California Independent System Operator (CAISO) effective October 1, 2016.  </w:t>
      </w:r>
    </w:p>
    <w:p w14:paraId="6CEF586A" w14:textId="77777777" w:rsidR="00674AD7" w:rsidRPr="005B2E02" w:rsidRDefault="00674AD7" w:rsidP="004C668B">
      <w:pPr>
        <w:pStyle w:val="IRPsanstext"/>
      </w:pPr>
    </w:p>
    <w:p w14:paraId="351FBE17" w14:textId="77777777" w:rsidR="00674AD7" w:rsidRPr="005B2E02" w:rsidRDefault="00674AD7" w:rsidP="004C668B">
      <w:pPr>
        <w:pStyle w:val="IRPsanstext"/>
      </w:pPr>
      <w:r w:rsidRPr="005B2E02">
        <w:t xml:space="preserve">The current energy market in the Pacific Northwest is structured around hourly energy products traded among entities on a bilateral basis. This structure allows BAs to balance their systems on an hourly, forward-looking basis. But, because there is no liquid market for energy within each operating hour, BAs must rely on their own generating resources within the hour to continuously match changes (or imbalances) in load and generation. To accomplish this, they may have to dispatch a relatively high-cost resource while a neighboring entity has a lower cost resource they would be willing to dispatch if a market were available. Also, the within-hour flexibility needs of all of the region’s BAs increases as intermittent resources like wind generate more and more of the region’s electricity. </w:t>
      </w:r>
    </w:p>
    <w:p w14:paraId="1DCC3B45" w14:textId="77777777" w:rsidR="00674AD7" w:rsidRPr="005B2E02" w:rsidDel="005E41C5" w:rsidRDefault="00674AD7" w:rsidP="004C668B">
      <w:pPr>
        <w:pStyle w:val="IRPsanstext"/>
      </w:pPr>
    </w:p>
    <w:p w14:paraId="3F0A8169" w14:textId="77777777" w:rsidR="00674AD7" w:rsidRPr="005B2E02" w:rsidRDefault="00674AD7" w:rsidP="004C668B">
      <w:pPr>
        <w:pStyle w:val="IRPsanstext"/>
      </w:pPr>
      <w:r w:rsidRPr="005B2E02">
        <w:t xml:space="preserve">The EIM provides another tool for reliably and economically maintaining balance between electric demand and resource generation. BAs will continue to transact day-ahead and hour-ahead to balance their forecasted load; then, ahead of the operating hour, participating BAs may voluntarily bid their excess generating resources into the market. The EIM Market Operator will integrate all bids into its Security Constrained Economic Dispatch (SCED) software, which will settle and clear </w:t>
      </w:r>
      <w:r w:rsidR="00A76BAA" w:rsidRPr="005B2E02">
        <w:t xml:space="preserve">on both a 15-minute and </w:t>
      </w:r>
      <w:r w:rsidRPr="005B2E02">
        <w:t xml:space="preserve">a five-minute </w:t>
      </w:r>
      <w:r w:rsidR="00A76BAA" w:rsidRPr="005B2E02">
        <w:t>basis</w:t>
      </w:r>
      <w:r w:rsidRPr="005B2E02">
        <w:t xml:space="preserve"> the imbalances across the entire EIM footprint. </w:t>
      </w:r>
    </w:p>
    <w:p w14:paraId="11136D98" w14:textId="77777777" w:rsidR="00674AD7" w:rsidRPr="005B2E02" w:rsidRDefault="00674AD7" w:rsidP="004C668B">
      <w:pPr>
        <w:pStyle w:val="IRPsanstext"/>
      </w:pPr>
    </w:p>
    <w:p w14:paraId="31600888" w14:textId="77777777" w:rsidR="00674AD7" w:rsidRPr="005B2E02" w:rsidRDefault="00674AD7" w:rsidP="004C668B">
      <w:pPr>
        <w:pStyle w:val="IRPsanstext"/>
      </w:pPr>
      <w:r w:rsidRPr="005B2E02">
        <w:t>By considering the operational needs and available resources from multiple BAs, this market results in lower cost, more efficient dispatch of resources and allows BAs to collectively manage their individual imbalances. From a system flexibility perspective, the EIM can reduce the cost of procuring and deploying flexible resources and potentially reduce the amount of balancing reserves BAs must hold.</w:t>
      </w:r>
    </w:p>
    <w:p w14:paraId="4C34189B" w14:textId="77777777" w:rsidR="00674AD7" w:rsidRPr="005B2E02" w:rsidRDefault="00674AD7" w:rsidP="004C668B">
      <w:pPr>
        <w:pStyle w:val="IRPsanstext"/>
        <w:rPr>
          <w:rFonts w:eastAsia="Arial" w:cs="Arial"/>
        </w:rPr>
      </w:pPr>
      <w:bookmarkStart w:id="3" w:name="3.10_Renewable_portfolio_standards_(RPS)"/>
      <w:bookmarkEnd w:id="3"/>
    </w:p>
    <w:p w14:paraId="05A0CBED" w14:textId="77777777" w:rsidR="006D4575" w:rsidRDefault="006D4575">
      <w:pPr>
        <w:rPr>
          <w:rFonts w:ascii="Arial" w:hAnsi="Arial"/>
          <w:sz w:val="20"/>
          <w:szCs w:val="20"/>
        </w:rPr>
      </w:pPr>
      <w:r>
        <w:br w:type="page"/>
      </w:r>
    </w:p>
    <w:p w14:paraId="04BBFFDE" w14:textId="77777777" w:rsidR="00674AD7" w:rsidRPr="006D4575" w:rsidRDefault="00674AD7" w:rsidP="004C668B">
      <w:pPr>
        <w:pStyle w:val="IRPsanstext"/>
        <w:rPr>
          <w:b/>
          <w:caps/>
          <w:color w:val="006C71"/>
          <w:sz w:val="32"/>
          <w:szCs w:val="32"/>
        </w:rPr>
      </w:pPr>
      <w:r w:rsidRPr="006D4575">
        <w:rPr>
          <w:b/>
          <w:caps/>
          <w:color w:val="006C71"/>
          <w:sz w:val="32"/>
          <w:szCs w:val="32"/>
        </w:rPr>
        <w:lastRenderedPageBreak/>
        <w:t xml:space="preserve">Environmental regulation </w:t>
      </w:r>
    </w:p>
    <w:p w14:paraId="3B53A70A" w14:textId="77777777" w:rsidR="00674AD7" w:rsidRPr="00674AD7" w:rsidRDefault="00674AD7" w:rsidP="004C668B">
      <w:pPr>
        <w:pStyle w:val="IRPsanstext"/>
        <w:rPr>
          <w:w w:val="105"/>
        </w:rPr>
      </w:pPr>
    </w:p>
    <w:p w14:paraId="133BF7BD" w14:textId="77777777" w:rsidR="00674AD7" w:rsidRDefault="00674AD7" w:rsidP="004C668B">
      <w:pPr>
        <w:pStyle w:val="IRPsanstext"/>
        <w:rPr>
          <w:w w:val="105"/>
        </w:rPr>
      </w:pPr>
      <w:r w:rsidRPr="00674AD7">
        <w:rPr>
          <w:w w:val="105"/>
        </w:rPr>
        <w:t xml:space="preserve">PSE’s generating facilities are subject to a wide range of environmental regulations established by state and federal governments and administered by their agencies. Among the significant Washington state laws are RCW 80.80, which restricts emissions to a level that precludes development of new coal resources in the state, and RCW 70.235.020, which commits the state to reduce greenhouse gas emissions to 1990 levels by 2020. </w:t>
      </w:r>
      <w:r w:rsidR="00032C11">
        <w:rPr>
          <w:w w:val="105"/>
        </w:rPr>
        <w:t>Other</w:t>
      </w:r>
      <w:r w:rsidRPr="00674AD7">
        <w:rPr>
          <w:w w:val="105"/>
        </w:rPr>
        <w:t xml:space="preserve"> environmental regulations that affect PSE operations </w:t>
      </w:r>
      <w:r w:rsidR="008C277C">
        <w:rPr>
          <w:w w:val="105"/>
        </w:rPr>
        <w:t>include:</w:t>
      </w:r>
      <w:r w:rsidR="008C277C" w:rsidRPr="00674AD7" w:rsidDel="008C277C">
        <w:rPr>
          <w:w w:val="105"/>
        </w:rPr>
        <w:t xml:space="preserve"> </w:t>
      </w:r>
    </w:p>
    <w:p w14:paraId="7E9BBD9C" w14:textId="77777777" w:rsidR="00764552" w:rsidRPr="00674AD7" w:rsidRDefault="00764552" w:rsidP="004C668B">
      <w:pPr>
        <w:pStyle w:val="IRPsanstext"/>
        <w:rPr>
          <w:w w:val="105"/>
        </w:rPr>
      </w:pPr>
    </w:p>
    <w:p w14:paraId="37C61377" w14:textId="77777777" w:rsidR="00D34598" w:rsidRDefault="00674AD7" w:rsidP="00CD2543">
      <w:pPr>
        <w:pStyle w:val="IRPsanstext"/>
        <w:numPr>
          <w:ilvl w:val="0"/>
          <w:numId w:val="45"/>
        </w:numPr>
      </w:pPr>
      <w:r w:rsidRPr="00CD2543">
        <w:t xml:space="preserve">Section 111(b) </w:t>
      </w:r>
      <w:r w:rsidR="009522DE" w:rsidRPr="00CD2543">
        <w:t>of the Clean Air Act</w:t>
      </w:r>
      <w:r w:rsidR="00B81A87">
        <w:t xml:space="preserve"> </w:t>
      </w:r>
    </w:p>
    <w:p w14:paraId="44E59791" w14:textId="77777777" w:rsidR="00D34598" w:rsidRDefault="00674AD7" w:rsidP="00CD2543">
      <w:pPr>
        <w:pStyle w:val="IRPsanstext"/>
        <w:numPr>
          <w:ilvl w:val="0"/>
          <w:numId w:val="45"/>
        </w:numPr>
      </w:pPr>
      <w:r w:rsidRPr="00CD2543">
        <w:t xml:space="preserve">Section 111(d) </w:t>
      </w:r>
      <w:r w:rsidR="009522DE" w:rsidRPr="00CD2543">
        <w:t>of the Clean Air Act</w:t>
      </w:r>
      <w:r w:rsidR="00B81A87">
        <w:t xml:space="preserve"> </w:t>
      </w:r>
    </w:p>
    <w:p w14:paraId="36F47FA0" w14:textId="77777777" w:rsidR="009522DE" w:rsidRPr="009522DE" w:rsidRDefault="009522DE" w:rsidP="00CD2543">
      <w:pPr>
        <w:pStyle w:val="IRPsanstext"/>
        <w:numPr>
          <w:ilvl w:val="0"/>
          <w:numId w:val="45"/>
        </w:numPr>
      </w:pPr>
      <w:r w:rsidRPr="00B81A87">
        <w:t>Coal Combustion Residuals</w:t>
      </w:r>
      <w:r w:rsidRPr="00CD2543">
        <w:t xml:space="preserve"> </w:t>
      </w:r>
      <w:r w:rsidRPr="009522DE">
        <w:t>regulated under the Resourc</w:t>
      </w:r>
      <w:r w:rsidR="00D34598">
        <w:t>e Conservation and Recovery Act</w:t>
      </w:r>
    </w:p>
    <w:p w14:paraId="5CD0F0D2" w14:textId="77777777" w:rsidR="009522DE" w:rsidRPr="00B81A87" w:rsidRDefault="009522DE" w:rsidP="00CD2543">
      <w:pPr>
        <w:pStyle w:val="IRPsanstext"/>
        <w:numPr>
          <w:ilvl w:val="0"/>
          <w:numId w:val="45"/>
        </w:numPr>
      </w:pPr>
      <w:r w:rsidRPr="00B81A87">
        <w:t xml:space="preserve">The Mercury and Air Toxics Standard </w:t>
      </w:r>
    </w:p>
    <w:p w14:paraId="56B37E02" w14:textId="77777777" w:rsidR="009522DE" w:rsidRPr="00B81A87" w:rsidRDefault="009522DE" w:rsidP="00CD2543">
      <w:pPr>
        <w:pStyle w:val="IRPsanstext"/>
        <w:numPr>
          <w:ilvl w:val="0"/>
          <w:numId w:val="45"/>
        </w:numPr>
      </w:pPr>
      <w:r w:rsidRPr="00B81A87">
        <w:t>The Clean Water Act</w:t>
      </w:r>
    </w:p>
    <w:p w14:paraId="3EF5E4C6" w14:textId="77777777" w:rsidR="009522DE" w:rsidRPr="00B81A87" w:rsidRDefault="009522DE" w:rsidP="00CD2543">
      <w:pPr>
        <w:pStyle w:val="IRPsanstext"/>
        <w:numPr>
          <w:ilvl w:val="0"/>
          <w:numId w:val="45"/>
        </w:numPr>
      </w:pPr>
      <w:r w:rsidRPr="00B81A87">
        <w:t>The Regional Haze Rule (Montana)</w:t>
      </w:r>
    </w:p>
    <w:p w14:paraId="7A5655CB" w14:textId="77777777" w:rsidR="009522DE" w:rsidRDefault="009522DE" w:rsidP="00CD2543">
      <w:pPr>
        <w:pStyle w:val="IRPsanstext"/>
        <w:numPr>
          <w:ilvl w:val="0"/>
          <w:numId w:val="45"/>
        </w:numPr>
      </w:pPr>
      <w:r w:rsidRPr="00B81A87">
        <w:t>National Ambi</w:t>
      </w:r>
      <w:r w:rsidR="00D34598">
        <w:t>ent Air Quality Standards</w:t>
      </w:r>
    </w:p>
    <w:p w14:paraId="5D265317" w14:textId="77777777" w:rsidR="00B81A87" w:rsidRDefault="00B81A87" w:rsidP="00CD2543">
      <w:pPr>
        <w:pStyle w:val="IRPsanstext"/>
        <w:numPr>
          <w:ilvl w:val="0"/>
          <w:numId w:val="45"/>
        </w:numPr>
      </w:pPr>
      <w:r>
        <w:t>Washington State’s Carbon Dioxide Mitigation Program</w:t>
      </w:r>
    </w:p>
    <w:p w14:paraId="224E8D6C" w14:textId="77777777" w:rsidR="00B81A87" w:rsidRPr="009522DE" w:rsidRDefault="00B81A87" w:rsidP="00CD2543">
      <w:pPr>
        <w:pStyle w:val="IRPsanstext"/>
        <w:numPr>
          <w:ilvl w:val="0"/>
          <w:numId w:val="45"/>
        </w:numPr>
      </w:pPr>
      <w:r>
        <w:t xml:space="preserve">Proposed Washington Clean Air </w:t>
      </w:r>
      <w:r w:rsidR="00D34598">
        <w:t>R</w:t>
      </w:r>
      <w:r>
        <w:t>ule.</w:t>
      </w:r>
    </w:p>
    <w:p w14:paraId="3A942993" w14:textId="77777777" w:rsidR="008C277C" w:rsidRDefault="008C277C" w:rsidP="004C668B">
      <w:pPr>
        <w:pStyle w:val="IRPsanstext"/>
      </w:pPr>
    </w:p>
    <w:p w14:paraId="610BAEDD" w14:textId="77777777" w:rsidR="00674AD7" w:rsidRPr="00764552" w:rsidRDefault="008C277C" w:rsidP="004C668B">
      <w:pPr>
        <w:pStyle w:val="IRPsanstext"/>
      </w:pPr>
      <w:r>
        <w:t>All of these regulations are discussed in more detail in Appendix C,</w:t>
      </w:r>
      <w:r w:rsidRPr="008C277C">
        <w:rPr>
          <w:w w:val="105"/>
        </w:rPr>
        <w:t xml:space="preserve"> </w:t>
      </w:r>
      <w:r w:rsidRPr="00674AD7">
        <w:rPr>
          <w:w w:val="105"/>
        </w:rPr>
        <w:t>Environmental and Regulatory Matters</w:t>
      </w:r>
      <w:r>
        <w:t>.</w:t>
      </w:r>
    </w:p>
    <w:p w14:paraId="1840328C" w14:textId="77777777" w:rsidR="00674AD7" w:rsidRPr="00674AD7" w:rsidRDefault="00674AD7" w:rsidP="004C668B">
      <w:pPr>
        <w:pStyle w:val="IRPsanstext"/>
        <w:rPr>
          <w:w w:val="105"/>
        </w:rPr>
      </w:pPr>
    </w:p>
    <w:p w14:paraId="71DFEBAA" w14:textId="77777777" w:rsidR="009F37D7" w:rsidRDefault="009F37D7">
      <w:pPr>
        <w:rPr>
          <w:rFonts w:ascii="Arial" w:hAnsi="Arial"/>
          <w:b/>
          <w:caps/>
          <w:color w:val="006C71"/>
          <w:sz w:val="32"/>
          <w:szCs w:val="32"/>
        </w:rPr>
      </w:pPr>
      <w:r>
        <w:rPr>
          <w:b/>
          <w:caps/>
          <w:color w:val="006C71"/>
          <w:sz w:val="32"/>
          <w:szCs w:val="32"/>
        </w:rPr>
        <w:br w:type="page"/>
      </w:r>
    </w:p>
    <w:p w14:paraId="3660CB8D" w14:textId="77777777" w:rsidR="00674AD7" w:rsidRPr="005B2E02" w:rsidRDefault="00674AD7" w:rsidP="004C668B">
      <w:pPr>
        <w:pStyle w:val="IRPsanstext"/>
        <w:rPr>
          <w:b/>
          <w:caps/>
          <w:color w:val="006C71"/>
          <w:sz w:val="32"/>
          <w:szCs w:val="32"/>
        </w:rPr>
      </w:pPr>
      <w:r w:rsidRPr="005B2E02">
        <w:rPr>
          <w:b/>
          <w:caps/>
          <w:color w:val="006C71"/>
          <w:sz w:val="32"/>
          <w:szCs w:val="32"/>
        </w:rPr>
        <w:lastRenderedPageBreak/>
        <w:t>Demand-side</w:t>
      </w:r>
      <w:r w:rsidRPr="005B2E02">
        <w:rPr>
          <w:b/>
          <w:caps/>
          <w:color w:val="006C71"/>
          <w:spacing w:val="-41"/>
          <w:sz w:val="32"/>
          <w:szCs w:val="32"/>
        </w:rPr>
        <w:t xml:space="preserve">  </w:t>
      </w:r>
      <w:r w:rsidRPr="005B2E02">
        <w:rPr>
          <w:b/>
          <w:caps/>
          <w:color w:val="006C71"/>
          <w:sz w:val="32"/>
          <w:szCs w:val="32"/>
        </w:rPr>
        <w:t>resources</w:t>
      </w:r>
    </w:p>
    <w:p w14:paraId="3A6D9E30" w14:textId="77777777" w:rsidR="00674AD7" w:rsidRPr="005B2E02" w:rsidRDefault="00674AD7" w:rsidP="004C668B">
      <w:pPr>
        <w:pStyle w:val="IRPsanstext"/>
        <w:rPr>
          <w:rFonts w:eastAsia="Palatino Linotype" w:cs="Palatino Linotype"/>
        </w:rPr>
      </w:pPr>
    </w:p>
    <w:p w14:paraId="1A5A7999" w14:textId="77777777" w:rsidR="00674AD7" w:rsidRPr="005B2E02" w:rsidRDefault="00674AD7" w:rsidP="004C668B">
      <w:pPr>
        <w:pStyle w:val="IRPsanstext"/>
      </w:pPr>
      <w:r w:rsidRPr="005B2E02">
        <w:t xml:space="preserve">While energy efficiency programs are still able to achieve savings targets in the slow-growth aftermath of the financial crisis, a number of shifts and trends specific to the energy industry are affecting how programs are delivered, how information is used to create new programs and the development of delivery networks. Among these shifts and trends are lower natural gas prices, the migration of digital technology and data into energy efficiency applications, rapid improvements in and adoption of LED lighting, the end of the federal energy efficiency credits, new federal appliance standards and changing consumer behavior in energy consumption. </w:t>
      </w:r>
    </w:p>
    <w:p w14:paraId="1BF7941D" w14:textId="77777777" w:rsidR="00674AD7" w:rsidRPr="005B2E02" w:rsidRDefault="00674AD7" w:rsidP="004C668B">
      <w:pPr>
        <w:pStyle w:val="IRPsanstext"/>
      </w:pPr>
    </w:p>
    <w:p w14:paraId="03F9D27D" w14:textId="77777777" w:rsidR="00674AD7" w:rsidRPr="005B2E02" w:rsidRDefault="00674AD7" w:rsidP="004C668B">
      <w:pPr>
        <w:pStyle w:val="IRPsanstext"/>
      </w:pPr>
      <w:r w:rsidRPr="005B2E02">
        <w:t>As these shifts are taking place, the cost of acquiring demand-side resources is also rising steadily. Figure 3-1 shows the historical trend. Despite a recent dip, this upward movement is likely to continue because as the “easier</w:t>
      </w:r>
      <w:r w:rsidR="005B2E02" w:rsidRPr="005B2E02">
        <w:t>,”</w:t>
      </w:r>
      <w:r w:rsidRPr="005B2E02">
        <w:t xml:space="preserve"> low-cost measures get captured in earlier cycles, the cost of capturing marginal units of savings increases. Newer technological solutions are often more costly, and inflation also contributes to rising costs.</w:t>
      </w:r>
    </w:p>
    <w:p w14:paraId="220CB07F" w14:textId="77777777" w:rsidR="00674AD7" w:rsidRPr="005B2E02" w:rsidRDefault="00674AD7" w:rsidP="004C668B">
      <w:pPr>
        <w:pStyle w:val="IRPsanstext"/>
      </w:pPr>
    </w:p>
    <w:p w14:paraId="5BDBBC9F" w14:textId="77777777" w:rsidR="00674AD7" w:rsidRPr="00874553" w:rsidRDefault="006D4575" w:rsidP="00874553">
      <w:pPr>
        <w:pStyle w:val="IRPsanstext"/>
        <w:spacing w:after="120"/>
        <w:jc w:val="center"/>
        <w:rPr>
          <w:i/>
        </w:rPr>
      </w:pPr>
      <w:r w:rsidRPr="005B2E02">
        <w:rPr>
          <w:i/>
        </w:rPr>
        <w:t>Fi</w:t>
      </w:r>
      <w:r w:rsidR="005B2E02" w:rsidRPr="005B2E02">
        <w:rPr>
          <w:i/>
        </w:rPr>
        <w:t>gure 3-1</w:t>
      </w:r>
      <w:r w:rsidR="00D21EAA">
        <w:rPr>
          <w:i/>
        </w:rPr>
        <w:t>:</w:t>
      </w:r>
      <w:r w:rsidR="005B2E02" w:rsidRPr="005B2E02">
        <w:rPr>
          <w:i/>
        </w:rPr>
        <w:t xml:space="preserve"> Cost of Demand-s</w:t>
      </w:r>
      <w:r w:rsidR="00674AD7" w:rsidRPr="005B2E02">
        <w:rPr>
          <w:i/>
        </w:rPr>
        <w:t xml:space="preserve">ide Resources </w:t>
      </w:r>
    </w:p>
    <w:p w14:paraId="17DFFA5A" w14:textId="77777777" w:rsidR="00DC0D6B" w:rsidRDefault="00580237">
      <w:pPr>
        <w:rPr>
          <w:rFonts w:ascii="Arial" w:hAnsi="Arial"/>
          <w:w w:val="105"/>
          <w:sz w:val="20"/>
          <w:szCs w:val="20"/>
        </w:rPr>
      </w:pPr>
      <w:r>
        <w:rPr>
          <w:noProof/>
          <w:w w:val="105"/>
          <w:lang w:eastAsia="en-US"/>
        </w:rPr>
        <w:drawing>
          <wp:inline distT="0" distB="0" distL="0" distR="0" wp14:anchorId="5CF33482" wp14:editId="793237CA">
            <wp:extent cx="5418455" cy="39397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5411" cy="3937523"/>
                    </a:xfrm>
                    <a:prstGeom prst="rect">
                      <a:avLst/>
                    </a:prstGeom>
                    <a:noFill/>
                  </pic:spPr>
                </pic:pic>
              </a:graphicData>
            </a:graphic>
          </wp:inline>
        </w:drawing>
      </w:r>
      <w:bookmarkStart w:id="4" w:name="_GoBack"/>
      <w:bookmarkEnd w:id="4"/>
    </w:p>
    <w:p w14:paraId="06941954" w14:textId="77777777" w:rsidR="00674AD7" w:rsidRPr="00674AD7" w:rsidRDefault="00674AD7" w:rsidP="004C668B">
      <w:pPr>
        <w:pStyle w:val="IRPsanstext"/>
        <w:rPr>
          <w:w w:val="105"/>
        </w:rPr>
      </w:pPr>
    </w:p>
    <w:p w14:paraId="7A9C5BB1" w14:textId="77777777" w:rsidR="00AA71D1" w:rsidRDefault="00AA71D1" w:rsidP="004C668B">
      <w:pPr>
        <w:pStyle w:val="IRPsanstext"/>
      </w:pPr>
    </w:p>
    <w:p w14:paraId="5B768DA2" w14:textId="77777777" w:rsidR="00674AD7" w:rsidRPr="005B2E02" w:rsidRDefault="00674AD7" w:rsidP="004C668B">
      <w:pPr>
        <w:pStyle w:val="IRPsanstext"/>
      </w:pPr>
      <w:r w:rsidRPr="005B2E02">
        <w:lastRenderedPageBreak/>
        <w:t>Declining gas prices combined with the increasing costs are compromising the cost-effectiveness of some program areas, especially for some of the more expensive gas measures. This has led to re-examination of those measures and to the development of new approaches to bringing cost-effective technologies to market. One example is</w:t>
      </w:r>
      <w:r w:rsidR="00AA71D1">
        <w:t xml:space="preserve"> an on-going collaboration with</w:t>
      </w:r>
      <w:r w:rsidRPr="005B2E02">
        <w:t xml:space="preserve"> </w:t>
      </w:r>
      <w:r w:rsidR="00AA71D1">
        <w:t>t</w:t>
      </w:r>
      <w:r w:rsidRPr="005B2E02">
        <w:t xml:space="preserve">he Northwest Energy Efficiency Alliance (NEEA). </w:t>
      </w:r>
      <w:r w:rsidR="00AA71D1">
        <w:t>Along w</w:t>
      </w:r>
      <w:r w:rsidRPr="005B2E02">
        <w:t>ith other regional utilities, PSE helped to start this gas collaborative, whose goal is to pool resources and use NEEA’s expertise in energy efficiency markets to introduce commercially available technologies that hold the promise of significant savings, but that have not yet been adopted in the Pacific Northwest. Such collaborative investments may open markets to new cost-effective gas programs in the future.</w:t>
      </w:r>
    </w:p>
    <w:p w14:paraId="6E247543" w14:textId="77777777" w:rsidR="00674AD7" w:rsidRPr="005B2E02" w:rsidRDefault="00674AD7" w:rsidP="004C668B">
      <w:pPr>
        <w:pStyle w:val="IRPsanstext"/>
      </w:pPr>
    </w:p>
    <w:p w14:paraId="07B37D62" w14:textId="77777777" w:rsidR="00DC0D6B" w:rsidRDefault="00DC0D6B">
      <w:pPr>
        <w:rPr>
          <w:rFonts w:ascii="Arial" w:eastAsia="Arial" w:hAnsi="Arial" w:cs="Arial"/>
          <w:sz w:val="20"/>
          <w:szCs w:val="20"/>
        </w:rPr>
      </w:pPr>
      <w:bookmarkStart w:id="5" w:name="3.8_CO2_emissions_costs_"/>
      <w:bookmarkStart w:id="6" w:name="3.9_Operational_flexibility_"/>
      <w:bookmarkEnd w:id="5"/>
      <w:bookmarkEnd w:id="6"/>
      <w:r>
        <w:rPr>
          <w:rFonts w:eastAsia="Arial" w:cs="Arial"/>
        </w:rPr>
        <w:br w:type="page"/>
      </w:r>
    </w:p>
    <w:p w14:paraId="0BDDDDC4" w14:textId="77777777" w:rsidR="00674AD7" w:rsidRPr="00DC0D6B" w:rsidRDefault="00674AD7" w:rsidP="004C668B">
      <w:pPr>
        <w:pStyle w:val="IRPsanstext"/>
        <w:rPr>
          <w:b/>
          <w:caps/>
          <w:color w:val="006C71"/>
          <w:sz w:val="32"/>
          <w:szCs w:val="32"/>
        </w:rPr>
      </w:pPr>
      <w:r w:rsidRPr="00DC0D6B">
        <w:rPr>
          <w:b/>
          <w:caps/>
          <w:color w:val="006C71"/>
          <w:sz w:val="32"/>
          <w:szCs w:val="32"/>
        </w:rPr>
        <w:lastRenderedPageBreak/>
        <w:t>Renewable</w:t>
      </w:r>
      <w:r w:rsidRPr="00DC0D6B">
        <w:rPr>
          <w:b/>
          <w:caps/>
          <w:color w:val="006C71"/>
          <w:spacing w:val="-20"/>
          <w:sz w:val="32"/>
          <w:szCs w:val="32"/>
        </w:rPr>
        <w:t xml:space="preserve"> </w:t>
      </w:r>
      <w:r w:rsidRPr="00DC0D6B">
        <w:rPr>
          <w:b/>
          <w:caps/>
          <w:color w:val="006C71"/>
          <w:sz w:val="32"/>
          <w:szCs w:val="32"/>
        </w:rPr>
        <w:t>portfolio</w:t>
      </w:r>
      <w:r w:rsidRPr="00DC0D6B">
        <w:rPr>
          <w:b/>
          <w:caps/>
          <w:color w:val="006C71"/>
          <w:spacing w:val="-20"/>
          <w:sz w:val="32"/>
          <w:szCs w:val="32"/>
        </w:rPr>
        <w:t xml:space="preserve"> </w:t>
      </w:r>
      <w:r w:rsidRPr="00DC0D6B">
        <w:rPr>
          <w:b/>
          <w:caps/>
          <w:color w:val="006C71"/>
          <w:sz w:val="32"/>
          <w:szCs w:val="32"/>
        </w:rPr>
        <w:t>standards</w:t>
      </w:r>
      <w:r w:rsidRPr="00DC0D6B">
        <w:rPr>
          <w:b/>
          <w:caps/>
          <w:color w:val="006C71"/>
          <w:spacing w:val="-21"/>
          <w:sz w:val="32"/>
          <w:szCs w:val="32"/>
        </w:rPr>
        <w:t xml:space="preserve"> </w:t>
      </w:r>
      <w:r w:rsidRPr="00DC0D6B">
        <w:rPr>
          <w:b/>
          <w:caps/>
          <w:color w:val="006C71"/>
          <w:sz w:val="32"/>
          <w:szCs w:val="32"/>
        </w:rPr>
        <w:t>(RPS)</w:t>
      </w:r>
    </w:p>
    <w:p w14:paraId="59914E6A" w14:textId="77777777" w:rsidR="00674AD7" w:rsidRPr="00674AD7" w:rsidRDefault="00674AD7" w:rsidP="004C668B">
      <w:pPr>
        <w:pStyle w:val="IRPsanstext"/>
        <w:rPr>
          <w:rFonts w:eastAsia="Palatino Linotype" w:cs="Palatino Linotype"/>
        </w:rPr>
      </w:pPr>
    </w:p>
    <w:p w14:paraId="367A2AC6" w14:textId="77777777" w:rsidR="005B2E02" w:rsidRDefault="00674AD7" w:rsidP="004C668B">
      <w:pPr>
        <w:pStyle w:val="IRPsanstext"/>
      </w:pPr>
      <w:r w:rsidRPr="005B2E02">
        <w:t>Washington state’s RPS (RCW 19.285) requires that a specific portion of electricity provided by a utility be from renewabl</w:t>
      </w:r>
      <w:r w:rsidR="005B2E02" w:rsidRPr="005B2E02">
        <w:t xml:space="preserve">e </w:t>
      </w:r>
      <w:r w:rsidRPr="005B2E02">
        <w:t xml:space="preserve">resources; specifically 3 percent of load by 2012, </w:t>
      </w:r>
    </w:p>
    <w:p w14:paraId="07C7C7D9" w14:textId="77777777" w:rsidR="005B2E02" w:rsidRDefault="00674AD7" w:rsidP="004C668B">
      <w:pPr>
        <w:pStyle w:val="IRPsanstext"/>
      </w:pPr>
      <w:r w:rsidRPr="005B2E02">
        <w:t xml:space="preserve">9 percent by 2016 and 15 percent by </w:t>
      </w:r>
      <w:r w:rsidR="005B2E02" w:rsidRPr="005B2E02">
        <w:t>2020.</w:t>
      </w:r>
      <w:r w:rsidRPr="005B2E02">
        <w:t xml:space="preserve"> PSE has met the 2012 RPS requirement to </w:t>
      </w:r>
    </w:p>
    <w:p w14:paraId="164A821D" w14:textId="77777777" w:rsidR="00674AD7" w:rsidRPr="005B2E02" w:rsidRDefault="00674AD7" w:rsidP="004C668B">
      <w:pPr>
        <w:pStyle w:val="IRPsanstext"/>
      </w:pPr>
      <w:r w:rsidRPr="005B2E02">
        <w:t xml:space="preserve">provide </w:t>
      </w:r>
      <w:r w:rsidR="005B2E02">
        <w:t>3</w:t>
      </w:r>
      <w:r w:rsidRPr="005B2E02">
        <w:t xml:space="preserve"> percent of load with renewable resources and is on track to meet the 2016 and 2020 RPS requirements.</w:t>
      </w:r>
    </w:p>
    <w:p w14:paraId="436E4171" w14:textId="77777777" w:rsidR="00674AD7" w:rsidRPr="005B2E02" w:rsidRDefault="00674AD7" w:rsidP="004C668B">
      <w:pPr>
        <w:pStyle w:val="IRPsanstext"/>
        <w:rPr>
          <w:rFonts w:eastAsia="Arial" w:cs="Arial"/>
        </w:rPr>
      </w:pPr>
    </w:p>
    <w:p w14:paraId="77D15AA6" w14:textId="77777777" w:rsidR="00674AD7" w:rsidRPr="005B2E02" w:rsidRDefault="00674AD7" w:rsidP="004C668B">
      <w:pPr>
        <w:pStyle w:val="IRPsanstext"/>
      </w:pPr>
      <w:r w:rsidRPr="005B2E02">
        <w:t>The company’s RPS need is expressed in units called renewable energy credits (RECs). To model the RPS need for this IRP, PSE tested how different load levels affected our need for RECs. Additionally, the RPS allows for REC banking within specified time periods. This analysis assumes a REC banking strategy, which pushes the need for RECs later into the planning period relative to not banking. The REC banking strategy used here is a representative strategy, not an official strategy of the company.</w:t>
      </w:r>
    </w:p>
    <w:p w14:paraId="358F80E6" w14:textId="77777777" w:rsidR="00674AD7" w:rsidRPr="005B2E02" w:rsidRDefault="00674AD7" w:rsidP="004C668B">
      <w:pPr>
        <w:pStyle w:val="IRPsanstext"/>
        <w:rPr>
          <w:rFonts w:eastAsia="Arial" w:cs="Arial"/>
        </w:rPr>
      </w:pPr>
    </w:p>
    <w:p w14:paraId="5D50D54A" w14:textId="77777777" w:rsidR="00674AD7" w:rsidRPr="005B2E02" w:rsidRDefault="00674AD7" w:rsidP="004C668B">
      <w:pPr>
        <w:pStyle w:val="IRPsanstext"/>
      </w:pPr>
      <w:r w:rsidRPr="005B2E02">
        <w:t>The statute that governs RPS requirements also includes a revenue requirement cost</w:t>
      </w:r>
      <w:r w:rsidR="00B7196F" w:rsidRPr="005B2E02">
        <w:t xml:space="preserve"> </w:t>
      </w:r>
      <w:r w:rsidRPr="005B2E02">
        <w:t>cap</w:t>
      </w:r>
      <w:r w:rsidR="00AA71D1">
        <w:t xml:space="preserve"> alternative to acquiring RECs</w:t>
      </w:r>
      <w:r w:rsidRPr="005B2E02">
        <w:t xml:space="preserve">. According to RCW 19.285, all electric utilities in Washington must meet 15 percent of their electric load with eligible renewable resources by 2020. However, if the incremental cost of those renewable resources compared to an equivalent non-renewable is greater than 4 percent of its revenue requirement, then a utility shall be considered in compliance with the annual target. Appendix N, Electric Analysis, includes an analysis that demonstrates PSE </w:t>
      </w:r>
      <w:r w:rsidR="000F2D1D" w:rsidRPr="005B2E02">
        <w:t>is expected to</w:t>
      </w:r>
      <w:r w:rsidRPr="005B2E02">
        <w:t xml:space="preserve"> remain under the incremental cost cap. </w:t>
      </w:r>
    </w:p>
    <w:p w14:paraId="01135AA4" w14:textId="77777777" w:rsidR="00DC0D6B" w:rsidRDefault="00DC0D6B">
      <w:pPr>
        <w:rPr>
          <w:rFonts w:ascii="Arial" w:eastAsia="Arial" w:hAnsi="Arial" w:cs="Arial"/>
          <w:sz w:val="20"/>
          <w:szCs w:val="20"/>
        </w:rPr>
      </w:pPr>
      <w:r w:rsidRPr="005B2E02">
        <w:rPr>
          <w:rFonts w:eastAsia="Arial" w:cs="Arial"/>
        </w:rPr>
        <w:br w:type="page"/>
      </w:r>
    </w:p>
    <w:p w14:paraId="5E89087D" w14:textId="77777777" w:rsidR="00674AD7" w:rsidRPr="00DC0D6B" w:rsidRDefault="00674AD7" w:rsidP="004C668B">
      <w:pPr>
        <w:pStyle w:val="IRPsanstext"/>
        <w:rPr>
          <w:b/>
          <w:caps/>
          <w:color w:val="006C71"/>
          <w:sz w:val="32"/>
          <w:szCs w:val="32"/>
        </w:rPr>
      </w:pPr>
      <w:r w:rsidRPr="00DC0D6B">
        <w:rPr>
          <w:b/>
          <w:caps/>
          <w:color w:val="006C71"/>
          <w:sz w:val="32"/>
          <w:szCs w:val="32"/>
        </w:rPr>
        <w:lastRenderedPageBreak/>
        <w:t>Electric resource acquisitions</w:t>
      </w:r>
    </w:p>
    <w:p w14:paraId="4A17851E" w14:textId="77777777" w:rsidR="00674AD7" w:rsidRPr="00674AD7" w:rsidRDefault="00674AD7" w:rsidP="004C668B">
      <w:pPr>
        <w:pStyle w:val="IRPsanstext"/>
        <w:rPr>
          <w:w w:val="105"/>
        </w:rPr>
      </w:pPr>
    </w:p>
    <w:p w14:paraId="035AAFD0" w14:textId="77777777" w:rsidR="00DC0D6B" w:rsidRPr="00DC0D6B" w:rsidRDefault="00674AD7" w:rsidP="004C668B">
      <w:pPr>
        <w:pStyle w:val="IRPsanstext"/>
        <w:rPr>
          <w:rFonts w:cs="Arial"/>
          <w:color w:val="000000" w:themeColor="text1"/>
          <w:sz w:val="32"/>
          <w:szCs w:val="32"/>
        </w:rPr>
      </w:pPr>
      <w:r w:rsidRPr="00DC0D6B">
        <w:rPr>
          <w:rFonts w:cs="Arial"/>
          <w:color w:val="000000" w:themeColor="text1"/>
          <w:sz w:val="32"/>
          <w:szCs w:val="32"/>
        </w:rPr>
        <w:t>The Acquisition Process</w:t>
      </w:r>
    </w:p>
    <w:p w14:paraId="49175EDB" w14:textId="77777777" w:rsidR="00DC0D6B" w:rsidRDefault="00DC0D6B" w:rsidP="004C668B">
      <w:pPr>
        <w:pStyle w:val="IRPsanstext"/>
        <w:rPr>
          <w:rFonts w:cs="Arial"/>
          <w:b/>
          <w:color w:val="006C71"/>
          <w:sz w:val="28"/>
          <w:szCs w:val="28"/>
        </w:rPr>
      </w:pPr>
    </w:p>
    <w:p w14:paraId="209EDC6A" w14:textId="77777777" w:rsidR="00674AD7" w:rsidRPr="00DC0D6B" w:rsidRDefault="00674AD7" w:rsidP="004C668B">
      <w:pPr>
        <w:pStyle w:val="IRPsanstext"/>
        <w:rPr>
          <w:rFonts w:cs="Arial"/>
          <w:b/>
          <w:color w:val="006C71"/>
          <w:sz w:val="28"/>
          <w:szCs w:val="28"/>
        </w:rPr>
      </w:pPr>
      <w:r w:rsidRPr="00674AD7">
        <w:rPr>
          <w:w w:val="105"/>
        </w:rPr>
        <w:t>The IRP provides a forecast of demand- and supply-side resources that could be used to meet resource needs. When PSE must fill an actual capacity need, it begins an acquisition process in which specific resource decisions must be made in a dynamic environment. In this process, PSE considers the IRP results along with several additional factors. These factors include the actual availability and cost of proposed resources, specific issues related to proposed resources such as the availability of transmission and gas transportation, changing needs and external influences.</w:t>
      </w:r>
    </w:p>
    <w:p w14:paraId="097A94B8" w14:textId="77777777" w:rsidR="00674AD7" w:rsidRPr="00674AD7" w:rsidRDefault="00674AD7" w:rsidP="004C668B">
      <w:pPr>
        <w:pStyle w:val="IRPsanstext"/>
        <w:rPr>
          <w:w w:val="105"/>
        </w:rPr>
      </w:pPr>
    </w:p>
    <w:p w14:paraId="3EA811E3" w14:textId="77777777" w:rsidR="00674AD7" w:rsidRPr="00674AD7" w:rsidRDefault="00674AD7" w:rsidP="004C668B">
      <w:pPr>
        <w:pStyle w:val="IRPsanstext"/>
        <w:rPr>
          <w:w w:val="105"/>
        </w:rPr>
      </w:pPr>
      <w:r w:rsidRPr="00674AD7">
        <w:rPr>
          <w:w w:val="105"/>
        </w:rPr>
        <w:t xml:space="preserve">A utility can acquire resources in a number of ways: through competitive bids in a request for proposals (RFP) process, by constructing resources, by operating conservation programs or by purchasing power with negotiated contracts. </w:t>
      </w:r>
    </w:p>
    <w:p w14:paraId="50C31066" w14:textId="77777777" w:rsidR="00674AD7" w:rsidRPr="00674AD7" w:rsidRDefault="00674AD7" w:rsidP="004C668B">
      <w:pPr>
        <w:pStyle w:val="IRPsanstext"/>
        <w:rPr>
          <w:w w:val="105"/>
        </w:rPr>
      </w:pPr>
    </w:p>
    <w:p w14:paraId="6658F836" w14:textId="77777777" w:rsidR="00674AD7" w:rsidRPr="00674AD7" w:rsidRDefault="00674AD7" w:rsidP="004C668B">
      <w:pPr>
        <w:pStyle w:val="IRPsanstext"/>
        <w:rPr>
          <w:w w:val="105"/>
        </w:rPr>
      </w:pPr>
      <w:r w:rsidRPr="00674AD7">
        <w:rPr>
          <w:w w:val="105"/>
        </w:rPr>
        <w:t>WAC 480-107-015 outlines the timing of an RFP</w:t>
      </w:r>
      <w:r w:rsidR="00C04CED">
        <w:rPr>
          <w:w w:val="105"/>
        </w:rPr>
        <w:t xml:space="preserve">. Under the WAC, </w:t>
      </w:r>
      <w:r w:rsidRPr="00674AD7">
        <w:rPr>
          <w:w w:val="105"/>
        </w:rPr>
        <w:t xml:space="preserve">an </w:t>
      </w:r>
      <w:r w:rsidR="002F0728">
        <w:rPr>
          <w:w w:val="105"/>
        </w:rPr>
        <w:t>RFP</w:t>
      </w:r>
      <w:r w:rsidR="002F0728" w:rsidRPr="00674AD7">
        <w:rPr>
          <w:w w:val="105"/>
        </w:rPr>
        <w:t xml:space="preserve"> </w:t>
      </w:r>
      <w:r w:rsidR="00C04CED">
        <w:rPr>
          <w:w w:val="105"/>
        </w:rPr>
        <w:t>must be filed if the IRP shows</w:t>
      </w:r>
      <w:r w:rsidRPr="00674AD7">
        <w:rPr>
          <w:w w:val="105"/>
        </w:rPr>
        <w:t xml:space="preserve"> a capacity need within the first three years of the IRP’s planning horizon</w:t>
      </w:r>
      <w:r w:rsidR="00C04CED">
        <w:rPr>
          <w:w w:val="105"/>
        </w:rPr>
        <w:t>, though PSE can issue an RFP for a need further out than three years</w:t>
      </w:r>
      <w:r w:rsidRPr="00674AD7">
        <w:rPr>
          <w:w w:val="105"/>
        </w:rPr>
        <w:t>. The process unfolds as follows.</w:t>
      </w:r>
    </w:p>
    <w:p w14:paraId="7E3723AD" w14:textId="77777777" w:rsidR="00674AD7" w:rsidRPr="00674AD7" w:rsidRDefault="00674AD7" w:rsidP="004C668B">
      <w:pPr>
        <w:pStyle w:val="IRPsanstext"/>
        <w:rPr>
          <w:w w:val="105"/>
        </w:rPr>
      </w:pPr>
    </w:p>
    <w:p w14:paraId="2460B1EA" w14:textId="77777777" w:rsidR="00674AD7" w:rsidRDefault="00674AD7" w:rsidP="004C668B">
      <w:pPr>
        <w:pStyle w:val="IRPsanstext"/>
        <w:rPr>
          <w:w w:val="105"/>
        </w:rPr>
      </w:pPr>
      <w:r w:rsidRPr="00674AD7">
        <w:rPr>
          <w:w w:val="105"/>
        </w:rPr>
        <w:t>PSE issues an RFP to interested parties and posts it on its website. The proposals s</w:t>
      </w:r>
      <w:r w:rsidR="00984B6B">
        <w:rPr>
          <w:w w:val="105"/>
        </w:rPr>
        <w:t>ubmitted are evaluated in a two-</w:t>
      </w:r>
      <w:r w:rsidRPr="00674AD7">
        <w:rPr>
          <w:w w:val="105"/>
        </w:rPr>
        <w:t>phase process using these criteria:</w:t>
      </w:r>
    </w:p>
    <w:p w14:paraId="2C962079" w14:textId="77777777" w:rsidR="00DC0D6B" w:rsidRPr="00674AD7" w:rsidRDefault="00DC0D6B" w:rsidP="004C668B">
      <w:pPr>
        <w:pStyle w:val="IRPsanstext"/>
        <w:rPr>
          <w:w w:val="105"/>
        </w:rPr>
      </w:pPr>
    </w:p>
    <w:p w14:paraId="166879DB" w14:textId="77777777" w:rsidR="00674AD7" w:rsidRPr="00674AD7" w:rsidRDefault="00674AD7" w:rsidP="00DC0D6B">
      <w:pPr>
        <w:pStyle w:val="IRPsanstext"/>
        <w:numPr>
          <w:ilvl w:val="0"/>
          <w:numId w:val="43"/>
        </w:numPr>
        <w:rPr>
          <w:w w:val="105"/>
        </w:rPr>
      </w:pPr>
      <w:r w:rsidRPr="00674AD7">
        <w:rPr>
          <w:w w:val="105"/>
        </w:rPr>
        <w:t>Compatibility with resource need</w:t>
      </w:r>
    </w:p>
    <w:p w14:paraId="41178D5E" w14:textId="77777777" w:rsidR="00674AD7" w:rsidRPr="00674AD7" w:rsidRDefault="00674AD7" w:rsidP="00DC0D6B">
      <w:pPr>
        <w:pStyle w:val="IRPsanstext"/>
        <w:numPr>
          <w:ilvl w:val="0"/>
          <w:numId w:val="43"/>
        </w:numPr>
        <w:rPr>
          <w:w w:val="105"/>
        </w:rPr>
      </w:pPr>
      <w:r w:rsidRPr="00674AD7">
        <w:rPr>
          <w:w w:val="105"/>
        </w:rPr>
        <w:t>Cost minimization</w:t>
      </w:r>
    </w:p>
    <w:p w14:paraId="3F971B93" w14:textId="77777777" w:rsidR="00674AD7" w:rsidRPr="00674AD7" w:rsidRDefault="00674AD7" w:rsidP="00DC0D6B">
      <w:pPr>
        <w:pStyle w:val="IRPsanstext"/>
        <w:numPr>
          <w:ilvl w:val="0"/>
          <w:numId w:val="43"/>
        </w:numPr>
        <w:rPr>
          <w:w w:val="105"/>
        </w:rPr>
      </w:pPr>
      <w:r w:rsidRPr="00674AD7">
        <w:rPr>
          <w:w w:val="105"/>
        </w:rPr>
        <w:t>Risk management</w:t>
      </w:r>
    </w:p>
    <w:p w14:paraId="2309BABC" w14:textId="77777777" w:rsidR="00674AD7" w:rsidRPr="00674AD7" w:rsidRDefault="00674AD7" w:rsidP="00DC0D6B">
      <w:pPr>
        <w:pStyle w:val="IRPsanstext"/>
        <w:numPr>
          <w:ilvl w:val="0"/>
          <w:numId w:val="43"/>
        </w:numPr>
        <w:rPr>
          <w:w w:val="105"/>
        </w:rPr>
      </w:pPr>
      <w:r w:rsidRPr="00674AD7">
        <w:rPr>
          <w:w w:val="105"/>
        </w:rPr>
        <w:t>Public benefits</w:t>
      </w:r>
    </w:p>
    <w:p w14:paraId="474D7A17" w14:textId="77777777" w:rsidR="00674AD7" w:rsidRPr="00674AD7" w:rsidRDefault="00674AD7" w:rsidP="00DC0D6B">
      <w:pPr>
        <w:pStyle w:val="IRPsanstext"/>
        <w:numPr>
          <w:ilvl w:val="0"/>
          <w:numId w:val="43"/>
        </w:numPr>
        <w:rPr>
          <w:w w:val="105"/>
        </w:rPr>
      </w:pPr>
      <w:r w:rsidRPr="00674AD7">
        <w:rPr>
          <w:w w:val="105"/>
        </w:rPr>
        <w:t>Strategic and financial benefits.</w:t>
      </w:r>
    </w:p>
    <w:p w14:paraId="02519C40" w14:textId="77777777" w:rsidR="00674AD7" w:rsidRPr="00674AD7" w:rsidRDefault="00674AD7" w:rsidP="004C668B">
      <w:pPr>
        <w:pStyle w:val="IRPsanstext"/>
        <w:rPr>
          <w:w w:val="105"/>
        </w:rPr>
      </w:pPr>
    </w:p>
    <w:p w14:paraId="0FE3F934" w14:textId="77777777" w:rsidR="00674AD7" w:rsidRPr="00674AD7" w:rsidRDefault="00674AD7" w:rsidP="004C668B">
      <w:pPr>
        <w:pStyle w:val="IRPsanstext"/>
        <w:rPr>
          <w:w w:val="105"/>
        </w:rPr>
      </w:pPr>
      <w:r w:rsidRPr="00674AD7">
        <w:rPr>
          <w:w w:val="105"/>
        </w:rPr>
        <w:t>Phase 1 screens proposals to eliminate those with high costs, unacceptable risks or feasibility constraints. It uses a quantitative analysis to screen bids and a qualitative analysis to identify fatal flaws. Phase 1 produces a short list of candidates that advance to Phase 2 of the RFP process. In general, proposals on this list have positive economic benefits and no fatal flaws.</w:t>
      </w:r>
    </w:p>
    <w:p w14:paraId="37DBEAFA" w14:textId="77777777" w:rsidR="00674AD7" w:rsidRPr="00BE01D8" w:rsidRDefault="00FD3681" w:rsidP="00BE01D8">
      <w:pPr>
        <w:rPr>
          <w:rFonts w:ascii="Arial" w:hAnsi="Arial"/>
          <w:w w:val="105"/>
          <w:sz w:val="20"/>
          <w:szCs w:val="20"/>
        </w:rPr>
      </w:pPr>
      <w:r>
        <w:rPr>
          <w:w w:val="105"/>
        </w:rPr>
        <w:br w:type="page"/>
      </w:r>
    </w:p>
    <w:p w14:paraId="0AD25450" w14:textId="77777777" w:rsidR="00674AD7" w:rsidRPr="00674AD7" w:rsidRDefault="00674AD7" w:rsidP="004C668B">
      <w:pPr>
        <w:pStyle w:val="IRPsanstext"/>
        <w:rPr>
          <w:w w:val="105"/>
        </w:rPr>
      </w:pPr>
      <w:r w:rsidRPr="00674AD7">
        <w:rPr>
          <w:w w:val="105"/>
        </w:rPr>
        <w:lastRenderedPageBreak/>
        <w:t>Phase 2 is a due diligence process. Input assumptions such as load and gas prices are updated as needed, more extensive quantitative analysis is performed to evaluate resource portfolios using various assumptions, and qualitative analysis is conducted based on the evaluation criteria. Phase 2 produces a list of proposals with the lowest reasonable cost and risk that best meet PSE’s identified resource and timing needs.</w:t>
      </w:r>
    </w:p>
    <w:p w14:paraId="41F92C39" w14:textId="77777777" w:rsidR="00674AD7" w:rsidRPr="00674AD7" w:rsidRDefault="00674AD7" w:rsidP="004C668B">
      <w:pPr>
        <w:pStyle w:val="IRPsanstext"/>
        <w:rPr>
          <w:w w:val="105"/>
        </w:rPr>
      </w:pPr>
    </w:p>
    <w:p w14:paraId="0F22522A" w14:textId="77777777" w:rsidR="00674AD7" w:rsidRPr="00674AD7" w:rsidRDefault="00674AD7" w:rsidP="004C668B">
      <w:pPr>
        <w:pStyle w:val="IRPsanstext"/>
        <w:rPr>
          <w:w w:val="105"/>
        </w:rPr>
      </w:pPr>
      <w:r w:rsidRPr="00674AD7">
        <w:rPr>
          <w:w w:val="105"/>
        </w:rPr>
        <w:t>PSE officers are kept apprised throughout the process, and updates are provided to the company’s Energy Management Committee</w:t>
      </w:r>
      <w:r w:rsidRPr="00674AD7">
        <w:rPr>
          <w:rStyle w:val="FootnoteReference"/>
          <w:w w:val="105"/>
        </w:rPr>
        <w:footnoteReference w:id="12"/>
      </w:r>
      <w:r w:rsidRPr="00674AD7">
        <w:rPr>
          <w:w w:val="105"/>
        </w:rPr>
        <w:t xml:space="preserve"> (EMC). When Phase 2 is completed, a short list of proposals is formally recommended to the EMC for approval. PSE then enters negotiations with short-listed counterparties, and if agreements are reached then possible acquisitions are submitted to the EMC and, in some cases, the Board of Directors for approval. If an acquisition is made, PSE requests a prudence determination from the Washington Utilities and Transportation Commission (WUTC) when the company proposes in a rate </w:t>
      </w:r>
      <w:r w:rsidR="000F2D1D">
        <w:rPr>
          <w:w w:val="105"/>
        </w:rPr>
        <w:t>proceeding</w:t>
      </w:r>
      <w:r w:rsidR="000F2D1D" w:rsidRPr="00674AD7">
        <w:rPr>
          <w:w w:val="105"/>
        </w:rPr>
        <w:t xml:space="preserve"> </w:t>
      </w:r>
      <w:r w:rsidRPr="00674AD7">
        <w:rPr>
          <w:w w:val="105"/>
        </w:rPr>
        <w:t>to include the new resource’s costs in its rate base and revenue requirement.</w:t>
      </w:r>
    </w:p>
    <w:p w14:paraId="32B6C55D" w14:textId="77777777" w:rsidR="00674AD7" w:rsidRPr="00674AD7" w:rsidRDefault="00674AD7" w:rsidP="004C668B">
      <w:pPr>
        <w:pStyle w:val="IRPsanstext"/>
        <w:rPr>
          <w:rFonts w:eastAsia="Arial" w:cs="Arial"/>
        </w:rPr>
      </w:pPr>
      <w:bookmarkStart w:id="7" w:name="3.11_Convergence_of_gas_and_electric_mar"/>
      <w:bookmarkEnd w:id="7"/>
    </w:p>
    <w:p w14:paraId="28BE4BCA" w14:textId="77777777" w:rsidR="00674AD7" w:rsidRDefault="00984B6B" w:rsidP="00DC0D6B">
      <w:pPr>
        <w:pStyle w:val="IRPsanstext"/>
        <w:spacing w:before="120"/>
        <w:rPr>
          <w:rFonts w:cs="Arial"/>
          <w:color w:val="000000" w:themeColor="text1"/>
          <w:sz w:val="32"/>
          <w:szCs w:val="32"/>
        </w:rPr>
      </w:pPr>
      <w:r>
        <w:rPr>
          <w:rFonts w:cs="Arial"/>
          <w:color w:val="000000" w:themeColor="text1"/>
          <w:sz w:val="32"/>
          <w:szCs w:val="32"/>
        </w:rPr>
        <w:t>How Resource Size I</w:t>
      </w:r>
      <w:r w:rsidR="00674AD7" w:rsidRPr="00DC0D6B">
        <w:rPr>
          <w:rFonts w:cs="Arial"/>
          <w:color w:val="000000" w:themeColor="text1"/>
          <w:sz w:val="32"/>
          <w:szCs w:val="32"/>
        </w:rPr>
        <w:t>s Determined</w:t>
      </w:r>
    </w:p>
    <w:p w14:paraId="276E5768" w14:textId="77777777" w:rsidR="00DC0D6B" w:rsidRPr="00DC0D6B" w:rsidRDefault="00DC0D6B" w:rsidP="004C668B">
      <w:pPr>
        <w:pStyle w:val="IRPsanstext"/>
        <w:rPr>
          <w:rFonts w:cs="Arial"/>
          <w:color w:val="000000" w:themeColor="text1"/>
          <w:sz w:val="32"/>
          <w:szCs w:val="32"/>
        </w:rPr>
      </w:pPr>
    </w:p>
    <w:p w14:paraId="4F1BEE26" w14:textId="77777777" w:rsidR="00674AD7" w:rsidRPr="00674AD7" w:rsidRDefault="00674AD7" w:rsidP="004C668B">
      <w:pPr>
        <w:pStyle w:val="IRPsanstext"/>
        <w:rPr>
          <w:w w:val="105"/>
        </w:rPr>
      </w:pPr>
      <w:r w:rsidRPr="00674AD7">
        <w:rPr>
          <w:w w:val="105"/>
        </w:rPr>
        <w:t>The capacity and RPS needs are determined in the IRP and updated on an ongoing basis as new information becomes available. The IRP provides a theoretical picture of the future resource portfolio using a range of generic resources that could be used to meet the capacity and RPS needs under different sets of assumptions. The size and cost of each generic resource are based on what is currently available in the market for that type of resource.</w:t>
      </w:r>
    </w:p>
    <w:p w14:paraId="7D8BF893" w14:textId="77777777" w:rsidR="00674AD7" w:rsidRPr="00674AD7" w:rsidRDefault="00674AD7" w:rsidP="004C668B">
      <w:pPr>
        <w:pStyle w:val="IRPsanstext"/>
        <w:rPr>
          <w:w w:val="105"/>
        </w:rPr>
      </w:pPr>
    </w:p>
    <w:p w14:paraId="7DCC1842" w14:textId="77777777" w:rsidR="00674AD7" w:rsidRPr="00674AD7" w:rsidRDefault="00674AD7" w:rsidP="004C668B">
      <w:pPr>
        <w:pStyle w:val="IRPsanstext"/>
        <w:rPr>
          <w:w w:val="105"/>
        </w:rPr>
      </w:pPr>
      <w:r w:rsidRPr="00674AD7">
        <w:rPr>
          <w:w w:val="105"/>
        </w:rPr>
        <w:t>An RFP involves evaluating specific proposals submitted by counterparties as well as internally developed proposals for self-build options. In both the IRP and RFP, PSE uses the Portfolio Screening Model (PSM) to optimize PSE’s energy portfolio by minimizing total portfolio cost subject to the two constraints of meeting peak capacity need and the RPS requirement. In both the IRP and RFP analyses, new resources are added in blocks to meet load over the 20-year planning horizon, which results in excess capacity when new resources are added. Gradually, this excess capacity decreases as load grows until there is another build requirement driven by peak capacity need. Evaluation of resource alternatives assumes that excess energy and RECs can be sold into the market. A given bid is evaluated based on its impact on total portfolio cost, its ability to meet the capacity and RPS needs</w:t>
      </w:r>
      <w:r w:rsidR="001D3877">
        <w:rPr>
          <w:w w:val="105"/>
        </w:rPr>
        <w:t>,</w:t>
      </w:r>
      <w:r w:rsidRPr="00674AD7">
        <w:rPr>
          <w:w w:val="105"/>
        </w:rPr>
        <w:t xml:space="preserve"> and qualitative factors. Results are re-evaluated as time passes and new information becomes available.</w:t>
      </w:r>
    </w:p>
    <w:p w14:paraId="19CB9BBB" w14:textId="77777777" w:rsidR="00DC0D6B" w:rsidRDefault="00DC0D6B">
      <w:pPr>
        <w:rPr>
          <w:rFonts w:ascii="Arial" w:hAnsi="Arial"/>
          <w:w w:val="105"/>
          <w:sz w:val="20"/>
          <w:szCs w:val="20"/>
        </w:rPr>
      </w:pPr>
      <w:r>
        <w:rPr>
          <w:w w:val="105"/>
        </w:rPr>
        <w:br w:type="page"/>
      </w:r>
    </w:p>
    <w:p w14:paraId="3322233C" w14:textId="77777777" w:rsidR="00674AD7" w:rsidRPr="00674AD7" w:rsidRDefault="00674AD7" w:rsidP="004C668B">
      <w:pPr>
        <w:pStyle w:val="IRPsanstext"/>
        <w:rPr>
          <w:w w:val="105"/>
        </w:rPr>
      </w:pPr>
      <w:r w:rsidRPr="00674AD7">
        <w:rPr>
          <w:w w:val="105"/>
        </w:rPr>
        <w:lastRenderedPageBreak/>
        <w:t>With respect to how large a wind farm should be, PSE must consider multiple factors when deciding how many turbines to install. Factors that influence this decision include:</w:t>
      </w:r>
    </w:p>
    <w:p w14:paraId="3FAE8785" w14:textId="77777777" w:rsidR="00674AD7" w:rsidRPr="00674AD7" w:rsidRDefault="00674AD7" w:rsidP="004C668B">
      <w:pPr>
        <w:pStyle w:val="IRPsanstext"/>
        <w:rPr>
          <w:w w:val="105"/>
        </w:rPr>
      </w:pPr>
    </w:p>
    <w:p w14:paraId="2591C12D" w14:textId="77777777" w:rsidR="00674AD7" w:rsidRPr="00674AD7" w:rsidRDefault="00674AD7" w:rsidP="00DC0D6B">
      <w:pPr>
        <w:pStyle w:val="IRPsanstext"/>
        <w:numPr>
          <w:ilvl w:val="0"/>
          <w:numId w:val="44"/>
        </w:numPr>
        <w:rPr>
          <w:w w:val="105"/>
        </w:rPr>
      </w:pPr>
      <w:r w:rsidRPr="00674AD7">
        <w:rPr>
          <w:b/>
          <w:w w:val="105"/>
        </w:rPr>
        <w:t>The type and size of turbine.</w:t>
      </w:r>
      <w:r w:rsidRPr="00674AD7">
        <w:rPr>
          <w:w w:val="105"/>
        </w:rPr>
        <w:t xml:space="preserve"> This impacts the spacing of turbines on the site and the number that can be installed.</w:t>
      </w:r>
    </w:p>
    <w:p w14:paraId="63AC963D" w14:textId="77777777" w:rsidR="00674AD7" w:rsidRPr="00674AD7" w:rsidRDefault="00674AD7" w:rsidP="00DC0D6B">
      <w:pPr>
        <w:pStyle w:val="IRPsanstext"/>
        <w:numPr>
          <w:ilvl w:val="0"/>
          <w:numId w:val="44"/>
        </w:numPr>
        <w:rPr>
          <w:w w:val="105"/>
        </w:rPr>
      </w:pPr>
      <w:r w:rsidRPr="00674AD7">
        <w:rPr>
          <w:b/>
          <w:w w:val="105"/>
        </w:rPr>
        <w:t>Geography of the site.</w:t>
      </w:r>
      <w:r w:rsidRPr="00674AD7">
        <w:rPr>
          <w:w w:val="105"/>
        </w:rPr>
        <w:t xml:space="preserve"> This can dictate how spread out the turbines are, the number of turbines and the amount of infrastructure such as substations, transmission and roads that are required. The equipment is arranged to be as efficient as possible.</w:t>
      </w:r>
    </w:p>
    <w:p w14:paraId="6F0C9985" w14:textId="77777777" w:rsidR="00674AD7" w:rsidRPr="00674AD7" w:rsidRDefault="00674AD7" w:rsidP="00DC0D6B">
      <w:pPr>
        <w:pStyle w:val="IRPsanstext"/>
        <w:numPr>
          <w:ilvl w:val="0"/>
          <w:numId w:val="44"/>
        </w:numPr>
        <w:rPr>
          <w:w w:val="105"/>
        </w:rPr>
      </w:pPr>
      <w:r w:rsidRPr="00674AD7">
        <w:rPr>
          <w:b/>
          <w:w w:val="105"/>
        </w:rPr>
        <w:t>Schedule.</w:t>
      </w:r>
      <w:r w:rsidRPr="00674AD7">
        <w:rPr>
          <w:w w:val="105"/>
        </w:rPr>
        <w:t xml:space="preserve"> A short construction period that includes two summers and one winter is preferable to a longer construction period so that the assets can be placed into service as soon as possible.</w:t>
      </w:r>
    </w:p>
    <w:p w14:paraId="516A6AB7" w14:textId="77777777" w:rsidR="00674AD7" w:rsidRPr="00674AD7" w:rsidRDefault="00674AD7" w:rsidP="00DC0D6B">
      <w:pPr>
        <w:pStyle w:val="IRPsanstext"/>
        <w:numPr>
          <w:ilvl w:val="0"/>
          <w:numId w:val="44"/>
        </w:numPr>
        <w:rPr>
          <w:w w:val="105"/>
        </w:rPr>
      </w:pPr>
      <w:r w:rsidRPr="00674AD7">
        <w:rPr>
          <w:b/>
          <w:w w:val="105"/>
        </w:rPr>
        <w:t>Interconnection agreements.</w:t>
      </w:r>
      <w:r w:rsidRPr="00674AD7">
        <w:rPr>
          <w:w w:val="105"/>
        </w:rPr>
        <w:t xml:space="preserve"> Transmission requirements can influence the timing and planning for how the work is done.</w:t>
      </w:r>
    </w:p>
    <w:p w14:paraId="7A8CE1CB" w14:textId="77777777" w:rsidR="00674AD7" w:rsidRPr="00674AD7" w:rsidRDefault="00674AD7" w:rsidP="00DC0D6B">
      <w:pPr>
        <w:pStyle w:val="IRPsanstext"/>
        <w:numPr>
          <w:ilvl w:val="0"/>
          <w:numId w:val="44"/>
        </w:numPr>
        <w:rPr>
          <w:w w:val="105"/>
        </w:rPr>
      </w:pPr>
      <w:r w:rsidRPr="00674AD7">
        <w:rPr>
          <w:b/>
          <w:w w:val="105"/>
        </w:rPr>
        <w:t>Contracts with counterparties for delivery of materials and construction</w:t>
      </w:r>
      <w:r w:rsidRPr="00674AD7">
        <w:rPr>
          <w:w w:val="105"/>
        </w:rPr>
        <w:t>. The turbine supply agreement and balance of plant agreements need to be integrated to avoid gaps in the schedule.</w:t>
      </w:r>
    </w:p>
    <w:p w14:paraId="09BF177E" w14:textId="77777777" w:rsidR="00674AD7" w:rsidRPr="00DC0D6B" w:rsidRDefault="00674AD7" w:rsidP="00DC0D6B">
      <w:pPr>
        <w:rPr>
          <w:rFonts w:ascii="Arial" w:hAnsi="Arial"/>
          <w:w w:val="105"/>
          <w:sz w:val="20"/>
          <w:szCs w:val="20"/>
        </w:rPr>
      </w:pPr>
    </w:p>
    <w:p w14:paraId="02F5023C" w14:textId="77777777" w:rsidR="00674AD7" w:rsidRPr="004C668B" w:rsidRDefault="00674AD7" w:rsidP="004C668B">
      <w:pPr>
        <w:pStyle w:val="IRPsanstext"/>
        <w:rPr>
          <w:w w:val="105"/>
        </w:rPr>
      </w:pPr>
      <w:r w:rsidRPr="00674AD7">
        <w:rPr>
          <w:w w:val="105"/>
        </w:rPr>
        <w:t>A wind farm is planned to be large enough to capture economies of scale while being small enough to have a relatively short construction period. Some of the required infrastructure is the same for a plant ranging from 100 MW to 250 MW, so if the plant is on the larger side, there are economies of scale as fixed costs are spread over greater plant output. Beyond some size threshold, adding turbines would also require additional infrastructure and construction time, thus delaying the in-service date of the assets.</w:t>
      </w:r>
    </w:p>
    <w:p w14:paraId="0C6379E3" w14:textId="77777777" w:rsidR="00D510B2" w:rsidRPr="00674AD7" w:rsidRDefault="00D510B2" w:rsidP="004C668B">
      <w:pPr>
        <w:pStyle w:val="IRPsanstext"/>
      </w:pPr>
    </w:p>
    <w:sectPr w:rsidR="00D510B2" w:rsidRPr="00674AD7" w:rsidSect="000E4936">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32489" w14:textId="77777777" w:rsidR="005B42BE" w:rsidRDefault="005B42BE" w:rsidP="00601E72">
      <w:r>
        <w:separator/>
      </w:r>
    </w:p>
  </w:endnote>
  <w:endnote w:type="continuationSeparator" w:id="0">
    <w:p w14:paraId="5886E203" w14:textId="77777777" w:rsidR="005B42BE" w:rsidRDefault="005B42BE"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MS Mincho">
    <w:altName w:val="Arial Unicode MS"/>
    <w:charset w:val="80"/>
    <w:family w:val="modern"/>
    <w:pitch w:val="fixed"/>
    <w:sig w:usb0="E00002FF" w:usb1="6AC7FDFB" w:usb2="00000012" w:usb3="00000000" w:csb0="0002009F"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D92D" w14:textId="77777777" w:rsidR="00EC49E8" w:rsidRPr="00A075A9" w:rsidRDefault="00EC49E8" w:rsidP="0020632A">
    <w:pPr>
      <w:pStyle w:val="Footer"/>
      <w:framePr w:wrap="around" w:vAnchor="text" w:hAnchor="margin" w:xAlign="center" w:y="1"/>
      <w:rPr>
        <w:rStyle w:val="PageNumber"/>
      </w:rPr>
    </w:pPr>
    <w:r>
      <w:rPr>
        <w:rStyle w:val="PageNumber"/>
        <w:rFonts w:ascii="Palatino" w:hAnsi="Palatino"/>
        <w:i/>
        <w:sz w:val="20"/>
        <w:szCs w:val="20"/>
      </w:rPr>
      <w:t xml:space="preserve">3 </w:t>
    </w:r>
    <w:r w:rsidRPr="00A075A9">
      <w:rPr>
        <w:rStyle w:val="PageNumber"/>
        <w:rFonts w:ascii="Palatino" w:hAnsi="Palatino"/>
        <w:i/>
        <w:sz w:val="20"/>
        <w:szCs w:val="20"/>
      </w:rPr>
      <w:t xml:space="preserve">- </w:t>
    </w:r>
    <w:r w:rsidR="0072081D" w:rsidRPr="00A075A9">
      <w:rPr>
        <w:rStyle w:val="PageNumber"/>
        <w:rFonts w:ascii="Palatino" w:hAnsi="Palatino"/>
        <w:i/>
        <w:sz w:val="20"/>
        <w:szCs w:val="20"/>
      </w:rPr>
      <w:fldChar w:fldCharType="begin"/>
    </w:r>
    <w:r w:rsidRPr="00A075A9">
      <w:rPr>
        <w:rStyle w:val="PageNumber"/>
        <w:rFonts w:ascii="Palatino" w:hAnsi="Palatino"/>
        <w:i/>
        <w:sz w:val="20"/>
        <w:szCs w:val="20"/>
      </w:rPr>
      <w:instrText xml:space="preserve">PAGE  </w:instrText>
    </w:r>
    <w:r w:rsidR="0072081D" w:rsidRPr="00A075A9">
      <w:rPr>
        <w:rStyle w:val="PageNumber"/>
        <w:rFonts w:ascii="Palatino" w:hAnsi="Palatino"/>
        <w:i/>
        <w:sz w:val="20"/>
        <w:szCs w:val="20"/>
      </w:rPr>
      <w:fldChar w:fldCharType="separate"/>
    </w:r>
    <w:r w:rsidR="00010708">
      <w:rPr>
        <w:rStyle w:val="PageNumber"/>
        <w:rFonts w:ascii="Palatino" w:hAnsi="Palatino"/>
        <w:i/>
        <w:noProof/>
        <w:sz w:val="20"/>
        <w:szCs w:val="20"/>
      </w:rPr>
      <w:t>17</w:t>
    </w:r>
    <w:r w:rsidR="0072081D" w:rsidRPr="00A075A9">
      <w:rPr>
        <w:rStyle w:val="PageNumber"/>
        <w:rFonts w:ascii="Palatino" w:hAnsi="Palatino"/>
        <w:i/>
        <w:sz w:val="20"/>
        <w:szCs w:val="20"/>
      </w:rPr>
      <w:fldChar w:fldCharType="end"/>
    </w:r>
  </w:p>
  <w:p w14:paraId="052A7AE7" w14:textId="3F0EA299" w:rsidR="00EC49E8" w:rsidRDefault="00010708"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1312" behindDoc="0" locked="0" layoutInCell="1" allowOverlap="1" wp14:anchorId="47C75FC9" wp14:editId="71ED7E2E">
              <wp:simplePos x="0" y="0"/>
              <wp:positionH relativeFrom="column">
                <wp:posOffset>4328160</wp:posOffset>
              </wp:positionH>
              <wp:positionV relativeFrom="paragraph">
                <wp:posOffset>-116205</wp:posOffset>
              </wp:positionV>
              <wp:extent cx="1211580" cy="403860"/>
              <wp:effectExtent l="0" t="0" r="0" b="0"/>
              <wp:wrapThrough wrapText="bothSides">
                <wp:wrapPolygon edited="0">
                  <wp:start x="453" y="1358"/>
                  <wp:lineTo x="453" y="19019"/>
                  <wp:lineTo x="20830" y="19019"/>
                  <wp:lineTo x="20830" y="1358"/>
                  <wp:lineTo x="453" y="1358"/>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69F7E61" w14:textId="77777777" w:rsidR="00EC49E8" w:rsidRPr="00B7196F" w:rsidRDefault="00EC49E8" w:rsidP="00CD78F5">
                          <w:pPr>
                            <w:rPr>
                              <w:rFonts w:ascii="Palatino" w:hAnsi="Palatino"/>
                              <w:i/>
                              <w:color w:val="156570"/>
                              <w:sz w:val="22"/>
                            </w:rPr>
                          </w:pPr>
                          <w:r w:rsidRPr="00B7196F">
                            <w:rPr>
                              <w:rFonts w:ascii="Palatino" w:eastAsiaTheme="minorEastAsia" w:hAnsi="Palatino" w:cs="Arial"/>
                              <w:i/>
                              <w:color w:val="156570"/>
                              <w:sz w:val="22"/>
                            </w:rPr>
                            <w:t>2015 PSE IRP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8" type="#_x0000_t202" style="position:absolute;left:0;text-align:left;margin-left:340.8pt;margin-top:-9.1pt;width:95.4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" filled="f" stroked="f">
              <v:textbox inset=",7.2pt,,7.2pt">
                <w:txbxContent>
                  <w:p w14:paraId="469F7E61" w14:textId="77777777" w:rsidR="00EC49E8" w:rsidRPr="00B7196F" w:rsidRDefault="00EC49E8" w:rsidP="00CD78F5">
                    <w:pPr>
                      <w:rPr>
                        <w:rFonts w:ascii="Palatino" w:hAnsi="Palatino"/>
                        <w:i/>
                        <w:color w:val="156570"/>
                        <w:sz w:val="22"/>
                      </w:rPr>
                    </w:pPr>
                    <w:r w:rsidRPr="00B7196F">
                      <w:rPr>
                        <w:rFonts w:ascii="Palatino" w:eastAsiaTheme="minorEastAsia" w:hAnsi="Palatino" w:cs="Arial"/>
                        <w:i/>
                        <w:color w:val="156570"/>
                        <w:sz w:val="22"/>
                      </w:rPr>
                      <w:t>2015 PSE IRP</w:t>
                    </w:r>
                  </w:p>
                </w:txbxContent>
              </v:textbox>
              <w10:wrap type="through"/>
            </v:shape>
          </w:pict>
        </mc:Fallback>
      </mc:AlternateContent>
    </w:r>
  </w:p>
  <w:p w14:paraId="49B9A498" w14:textId="77777777" w:rsidR="00EC49E8" w:rsidRPr="0020632A" w:rsidRDefault="00EC49E8" w:rsidP="0020632A">
    <w:pPr>
      <w:pStyle w:val="Footer"/>
      <w:jc w:val="center"/>
      <w:rPr>
        <w:rFonts w:ascii="Palatino" w:hAnsi="Palati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3350D" w14:textId="77777777" w:rsidR="005B42BE" w:rsidRDefault="005B42BE" w:rsidP="00601E72">
      <w:r>
        <w:separator/>
      </w:r>
    </w:p>
  </w:footnote>
  <w:footnote w:type="continuationSeparator" w:id="0">
    <w:p w14:paraId="0DB22D5C" w14:textId="77777777" w:rsidR="005B42BE" w:rsidRDefault="005B42BE" w:rsidP="00601E72">
      <w:r>
        <w:continuationSeparator/>
      </w:r>
    </w:p>
  </w:footnote>
  <w:footnote w:id="1">
    <w:p w14:paraId="46B27CD5" w14:textId="77777777" w:rsidR="00EC49E8" w:rsidRPr="00764552" w:rsidRDefault="00EC49E8" w:rsidP="007477FF">
      <w:pPr>
        <w:pStyle w:val="IRPfooter"/>
        <w:rPr>
          <w:sz w:val="18"/>
          <w:szCs w:val="18"/>
        </w:rPr>
      </w:pPr>
      <w:r w:rsidRPr="00764552">
        <w:rPr>
          <w:sz w:val="18"/>
          <w:szCs w:val="18"/>
        </w:rPr>
        <w:footnoteRef/>
      </w:r>
      <w:r w:rsidRPr="00764552">
        <w:rPr>
          <w:sz w:val="18"/>
          <w:szCs w:val="18"/>
        </w:rPr>
        <w:t xml:space="preserve"> / The Northwest Power and Conservation Council (NPCC or the Council), the Pacific Northwest Utilities Conference Committee (PNUCC) and the Bonneville Power Administration (BPA). These studies are included in Appendix F, Regional Resource Adequacy Studies. </w:t>
      </w:r>
    </w:p>
  </w:footnote>
  <w:footnote w:id="2">
    <w:p w14:paraId="486BD6EA" w14:textId="77777777" w:rsidR="00EC49E8" w:rsidRPr="00764552" w:rsidRDefault="00EC49E8" w:rsidP="007477FF">
      <w:pPr>
        <w:pStyle w:val="IRPfooter"/>
        <w:rPr>
          <w:sz w:val="18"/>
          <w:szCs w:val="18"/>
        </w:rPr>
      </w:pPr>
      <w:r w:rsidRPr="00764552">
        <w:rPr>
          <w:rStyle w:val="FootnoteReference"/>
          <w:sz w:val="18"/>
          <w:szCs w:val="18"/>
          <w:vertAlign w:val="baseline"/>
        </w:rPr>
        <w:footnoteRef/>
      </w:r>
      <w:r w:rsidRPr="00764552">
        <w:rPr>
          <w:sz w:val="18"/>
          <w:szCs w:val="18"/>
        </w:rPr>
        <w:t xml:space="preserve"> / Based on information provided in PNUCC's 2015 Northwest Regional Forecast and BPA's 2014 Pacific Northwest Loads and Resources Study. The cited figures include firm imports from California, but do not include other short-term imports that may be available. These studies are included in Appendix F, Regional Resource Adequacy Studies. </w:t>
      </w:r>
    </w:p>
  </w:footnote>
  <w:footnote w:id="3">
    <w:p w14:paraId="6C20992F" w14:textId="77777777" w:rsidR="00EC49E8" w:rsidRPr="00764552" w:rsidRDefault="00EC49E8" w:rsidP="007477FF">
      <w:pPr>
        <w:pStyle w:val="IRPfooter"/>
        <w:rPr>
          <w:sz w:val="18"/>
          <w:szCs w:val="18"/>
        </w:rPr>
      </w:pPr>
      <w:r w:rsidRPr="00764552">
        <w:rPr>
          <w:rStyle w:val="FootnoteReference"/>
          <w:sz w:val="18"/>
          <w:szCs w:val="18"/>
          <w:vertAlign w:val="baseline"/>
        </w:rPr>
        <w:footnoteRef/>
      </w:r>
      <w:r w:rsidRPr="00764552">
        <w:rPr>
          <w:sz w:val="18"/>
          <w:szCs w:val="18"/>
        </w:rPr>
        <w:t xml:space="preserve"> / See Chapter 6, Electric Analysis, for more detail on wholesale market purchases and peak need.</w:t>
      </w:r>
    </w:p>
  </w:footnote>
  <w:footnote w:id="4">
    <w:p w14:paraId="39A19989" w14:textId="77777777" w:rsidR="00EC49E8" w:rsidRPr="00764552" w:rsidRDefault="00EC49E8" w:rsidP="007477FF">
      <w:pPr>
        <w:pStyle w:val="IRPfooter"/>
        <w:rPr>
          <w:sz w:val="18"/>
          <w:szCs w:val="18"/>
        </w:rPr>
      </w:pPr>
      <w:r w:rsidRPr="00764552">
        <w:rPr>
          <w:rStyle w:val="FootnoteReference"/>
          <w:sz w:val="18"/>
          <w:szCs w:val="18"/>
          <w:vertAlign w:val="baseline"/>
        </w:rPr>
        <w:footnoteRef/>
      </w:r>
      <w:r w:rsidRPr="00764552">
        <w:rPr>
          <w:sz w:val="18"/>
          <w:szCs w:val="18"/>
        </w:rPr>
        <w:t xml:space="preserve"> / http://www.ferc.gov/whats-new/comm-meet/2015/041615/M-1.pdf</w:t>
      </w:r>
    </w:p>
  </w:footnote>
  <w:footnote w:id="5">
    <w:p w14:paraId="078BE12F" w14:textId="77777777" w:rsidR="00EC49E8" w:rsidRPr="00764552" w:rsidRDefault="00EC49E8" w:rsidP="007477FF">
      <w:pPr>
        <w:pStyle w:val="IRPfooter"/>
        <w:rPr>
          <w:sz w:val="18"/>
          <w:szCs w:val="18"/>
        </w:rPr>
      </w:pPr>
      <w:r w:rsidRPr="00764552">
        <w:rPr>
          <w:rStyle w:val="FootnoteReference"/>
          <w:sz w:val="18"/>
          <w:szCs w:val="18"/>
          <w:vertAlign w:val="baseline"/>
        </w:rPr>
        <w:footnoteRef/>
      </w:r>
      <w:r w:rsidRPr="00764552">
        <w:rPr>
          <w:sz w:val="18"/>
          <w:szCs w:val="18"/>
        </w:rPr>
        <w:t xml:space="preserve"> / </w:t>
      </w:r>
      <w:r w:rsidRPr="00764552">
        <w:rPr>
          <w:w w:val="105"/>
          <w:sz w:val="18"/>
          <w:szCs w:val="18"/>
        </w:rPr>
        <w:t xml:space="preserve">Interruptible capacity on a fully-contracted pipeline results from a firm shipper not fully utilizing its firm rights on a given day.  This unused (aka: interruptible) capacity, if requested (nominated) by a shipper and confirmed by the pipeline, becomes firm capacity for that day. </w:t>
      </w:r>
    </w:p>
  </w:footnote>
  <w:footnote w:id="6">
    <w:p w14:paraId="1C4A7555" w14:textId="77777777" w:rsidR="00EC49E8" w:rsidRPr="00764552" w:rsidRDefault="00EC49E8" w:rsidP="007477FF">
      <w:pPr>
        <w:pStyle w:val="IRPfooter"/>
        <w:rPr>
          <w:sz w:val="18"/>
          <w:szCs w:val="18"/>
        </w:rPr>
      </w:pPr>
      <w:r w:rsidRPr="00764552">
        <w:rPr>
          <w:rStyle w:val="FootnoteReference"/>
          <w:sz w:val="18"/>
          <w:szCs w:val="18"/>
          <w:vertAlign w:val="baseline"/>
        </w:rPr>
        <w:footnoteRef/>
      </w:r>
      <w:r w:rsidRPr="00764552">
        <w:rPr>
          <w:sz w:val="18"/>
          <w:szCs w:val="18"/>
        </w:rPr>
        <w:t xml:space="preserve"> / http://www.nwga.org/2015-natural-gas-outlook/</w:t>
      </w:r>
    </w:p>
  </w:footnote>
  <w:footnote w:id="7">
    <w:p w14:paraId="6F840CA0" w14:textId="77777777" w:rsidR="00EC49E8" w:rsidRPr="00764552" w:rsidRDefault="00EC49E8" w:rsidP="007477FF">
      <w:pPr>
        <w:pStyle w:val="IRPfooter"/>
        <w:rPr>
          <w:sz w:val="18"/>
          <w:szCs w:val="18"/>
        </w:rPr>
      </w:pPr>
      <w:r w:rsidRPr="00764552">
        <w:rPr>
          <w:rStyle w:val="FootnoteReference"/>
          <w:sz w:val="18"/>
          <w:szCs w:val="18"/>
          <w:vertAlign w:val="baseline"/>
        </w:rPr>
        <w:footnoteRef/>
      </w:r>
      <w:r w:rsidRPr="00764552">
        <w:rPr>
          <w:sz w:val="18"/>
          <w:szCs w:val="18"/>
        </w:rPr>
        <w:t xml:space="preserve"> / </w:t>
      </w:r>
      <w:r w:rsidRPr="00764552">
        <w:rPr>
          <w:w w:val="105"/>
          <w:sz w:val="18"/>
          <w:szCs w:val="18"/>
        </w:rPr>
        <w:t>Materials</w:t>
      </w:r>
      <w:r w:rsidRPr="00764552">
        <w:rPr>
          <w:spacing w:val="-9"/>
          <w:w w:val="105"/>
          <w:sz w:val="18"/>
          <w:szCs w:val="18"/>
        </w:rPr>
        <w:t xml:space="preserve"> </w:t>
      </w:r>
      <w:r w:rsidRPr="00764552">
        <w:rPr>
          <w:w w:val="105"/>
          <w:sz w:val="18"/>
          <w:szCs w:val="18"/>
        </w:rPr>
        <w:t>from</w:t>
      </w:r>
      <w:r w:rsidRPr="00764552">
        <w:rPr>
          <w:spacing w:val="-7"/>
          <w:w w:val="105"/>
          <w:sz w:val="18"/>
          <w:szCs w:val="18"/>
        </w:rPr>
        <w:t xml:space="preserve"> </w:t>
      </w:r>
      <w:r w:rsidRPr="00764552">
        <w:rPr>
          <w:w w:val="105"/>
          <w:sz w:val="18"/>
          <w:szCs w:val="18"/>
        </w:rPr>
        <w:t>the</w:t>
      </w:r>
      <w:r w:rsidRPr="00764552">
        <w:rPr>
          <w:spacing w:val="-9"/>
          <w:w w:val="105"/>
          <w:sz w:val="18"/>
          <w:szCs w:val="18"/>
        </w:rPr>
        <w:t xml:space="preserve"> </w:t>
      </w:r>
      <w:r w:rsidRPr="00764552">
        <w:rPr>
          <w:spacing w:val="1"/>
          <w:w w:val="105"/>
          <w:sz w:val="18"/>
          <w:szCs w:val="18"/>
        </w:rPr>
        <w:t>SPSC’s</w:t>
      </w:r>
      <w:r w:rsidRPr="00764552">
        <w:rPr>
          <w:spacing w:val="-8"/>
          <w:w w:val="105"/>
          <w:sz w:val="18"/>
          <w:szCs w:val="18"/>
        </w:rPr>
        <w:t xml:space="preserve"> </w:t>
      </w:r>
      <w:r w:rsidRPr="00764552">
        <w:rPr>
          <w:w w:val="105"/>
          <w:sz w:val="18"/>
          <w:szCs w:val="18"/>
        </w:rPr>
        <w:t>Task</w:t>
      </w:r>
      <w:r w:rsidRPr="00764552">
        <w:rPr>
          <w:spacing w:val="-8"/>
          <w:w w:val="105"/>
          <w:sz w:val="18"/>
          <w:szCs w:val="18"/>
        </w:rPr>
        <w:t xml:space="preserve"> </w:t>
      </w:r>
      <w:r w:rsidRPr="00764552">
        <w:rPr>
          <w:w w:val="105"/>
          <w:sz w:val="18"/>
          <w:szCs w:val="18"/>
        </w:rPr>
        <w:t>Force</w:t>
      </w:r>
      <w:r w:rsidRPr="00764552">
        <w:rPr>
          <w:spacing w:val="-9"/>
          <w:w w:val="105"/>
          <w:sz w:val="18"/>
          <w:szCs w:val="18"/>
        </w:rPr>
        <w:t xml:space="preserve"> are</w:t>
      </w:r>
      <w:r w:rsidRPr="00764552">
        <w:rPr>
          <w:spacing w:val="-8"/>
          <w:w w:val="105"/>
          <w:sz w:val="18"/>
          <w:szCs w:val="18"/>
        </w:rPr>
        <w:t xml:space="preserve"> </w:t>
      </w:r>
      <w:r w:rsidRPr="00764552">
        <w:rPr>
          <w:w w:val="105"/>
          <w:sz w:val="18"/>
          <w:szCs w:val="18"/>
        </w:rPr>
        <w:t>available</w:t>
      </w:r>
      <w:r w:rsidRPr="00764552">
        <w:rPr>
          <w:spacing w:val="-9"/>
          <w:w w:val="105"/>
          <w:sz w:val="18"/>
          <w:szCs w:val="18"/>
        </w:rPr>
        <w:t xml:space="preserve"> </w:t>
      </w:r>
      <w:r w:rsidRPr="00764552">
        <w:rPr>
          <w:w w:val="105"/>
          <w:sz w:val="18"/>
          <w:szCs w:val="18"/>
        </w:rPr>
        <w:t>at</w:t>
      </w:r>
      <w:r w:rsidRPr="00764552">
        <w:rPr>
          <w:spacing w:val="64"/>
          <w:w w:val="103"/>
          <w:sz w:val="18"/>
          <w:szCs w:val="18"/>
        </w:rPr>
        <w:t xml:space="preserve"> </w:t>
      </w:r>
      <w:r w:rsidRPr="00764552">
        <w:rPr>
          <w:sz w:val="18"/>
          <w:szCs w:val="18"/>
        </w:rPr>
        <w:t>http://westernenergyboard.org/natural-gas/study/</w:t>
      </w:r>
      <w:r w:rsidRPr="00764552" w:rsidDel="00CF6EC7">
        <w:rPr>
          <w:sz w:val="18"/>
          <w:szCs w:val="18"/>
        </w:rPr>
        <w:t xml:space="preserve"> </w:t>
      </w:r>
    </w:p>
  </w:footnote>
  <w:footnote w:id="8">
    <w:p w14:paraId="37E552A8" w14:textId="77777777" w:rsidR="00EC49E8" w:rsidRPr="00764552" w:rsidRDefault="00EC49E8" w:rsidP="007477FF">
      <w:pPr>
        <w:pStyle w:val="IRPfooter"/>
        <w:rPr>
          <w:sz w:val="18"/>
          <w:szCs w:val="18"/>
        </w:rPr>
      </w:pPr>
      <w:r w:rsidRPr="00764552">
        <w:rPr>
          <w:rStyle w:val="FootnoteReference"/>
          <w:sz w:val="18"/>
          <w:szCs w:val="18"/>
          <w:vertAlign w:val="baseline"/>
        </w:rPr>
        <w:footnoteRef/>
      </w:r>
      <w:r w:rsidRPr="00764552">
        <w:rPr>
          <w:sz w:val="18"/>
          <w:szCs w:val="18"/>
        </w:rPr>
        <w:t xml:space="preserve"> / </w:t>
      </w:r>
      <w:r w:rsidRPr="00764552">
        <w:rPr>
          <w:w w:val="105"/>
          <w:sz w:val="18"/>
          <w:szCs w:val="18"/>
        </w:rPr>
        <w:t>Additional</w:t>
      </w:r>
      <w:r w:rsidRPr="00764552">
        <w:rPr>
          <w:spacing w:val="-9"/>
          <w:w w:val="105"/>
          <w:sz w:val="18"/>
          <w:szCs w:val="18"/>
        </w:rPr>
        <w:t xml:space="preserve"> </w:t>
      </w:r>
      <w:r w:rsidRPr="00764552">
        <w:rPr>
          <w:w w:val="105"/>
          <w:sz w:val="18"/>
          <w:szCs w:val="18"/>
        </w:rPr>
        <w:t>information</w:t>
      </w:r>
      <w:r w:rsidRPr="00764552">
        <w:rPr>
          <w:spacing w:val="-9"/>
          <w:w w:val="105"/>
          <w:sz w:val="18"/>
          <w:szCs w:val="18"/>
        </w:rPr>
        <w:t xml:space="preserve"> </w:t>
      </w:r>
      <w:r w:rsidRPr="00764552">
        <w:rPr>
          <w:w w:val="105"/>
          <w:sz w:val="18"/>
          <w:szCs w:val="18"/>
        </w:rPr>
        <w:t>on</w:t>
      </w:r>
      <w:r w:rsidRPr="00764552">
        <w:rPr>
          <w:spacing w:val="-8"/>
          <w:w w:val="105"/>
          <w:sz w:val="18"/>
          <w:szCs w:val="18"/>
        </w:rPr>
        <w:t xml:space="preserve"> </w:t>
      </w:r>
      <w:r w:rsidRPr="00764552">
        <w:rPr>
          <w:w w:val="105"/>
          <w:sz w:val="18"/>
          <w:szCs w:val="18"/>
        </w:rPr>
        <w:t>the</w:t>
      </w:r>
      <w:r w:rsidRPr="00764552">
        <w:rPr>
          <w:spacing w:val="-9"/>
          <w:w w:val="105"/>
          <w:sz w:val="18"/>
          <w:szCs w:val="18"/>
        </w:rPr>
        <w:t xml:space="preserve"> </w:t>
      </w:r>
      <w:r w:rsidRPr="00764552">
        <w:rPr>
          <w:spacing w:val="1"/>
          <w:w w:val="105"/>
          <w:sz w:val="18"/>
          <w:szCs w:val="18"/>
        </w:rPr>
        <w:t>PNUCC/NWGA</w:t>
      </w:r>
      <w:r w:rsidRPr="00764552">
        <w:rPr>
          <w:spacing w:val="-9"/>
          <w:w w:val="105"/>
          <w:sz w:val="18"/>
          <w:szCs w:val="18"/>
        </w:rPr>
        <w:t xml:space="preserve"> </w:t>
      </w:r>
      <w:r w:rsidRPr="00764552">
        <w:rPr>
          <w:spacing w:val="1"/>
          <w:w w:val="105"/>
          <w:sz w:val="18"/>
          <w:szCs w:val="18"/>
        </w:rPr>
        <w:t>Power</w:t>
      </w:r>
      <w:r w:rsidRPr="00764552">
        <w:rPr>
          <w:spacing w:val="-9"/>
          <w:w w:val="105"/>
          <w:sz w:val="18"/>
          <w:szCs w:val="18"/>
        </w:rPr>
        <w:t xml:space="preserve"> </w:t>
      </w:r>
      <w:r w:rsidRPr="00764552">
        <w:rPr>
          <w:w w:val="105"/>
          <w:sz w:val="18"/>
          <w:szCs w:val="18"/>
        </w:rPr>
        <w:t>and</w:t>
      </w:r>
      <w:r w:rsidRPr="00764552">
        <w:rPr>
          <w:spacing w:val="-8"/>
          <w:w w:val="105"/>
          <w:sz w:val="18"/>
          <w:szCs w:val="18"/>
        </w:rPr>
        <w:t xml:space="preserve"> </w:t>
      </w:r>
      <w:r w:rsidRPr="00764552">
        <w:rPr>
          <w:spacing w:val="1"/>
          <w:w w:val="105"/>
          <w:sz w:val="18"/>
          <w:szCs w:val="18"/>
        </w:rPr>
        <w:t>Gas</w:t>
      </w:r>
      <w:r w:rsidRPr="00764552">
        <w:rPr>
          <w:spacing w:val="-9"/>
          <w:w w:val="105"/>
          <w:sz w:val="18"/>
          <w:szCs w:val="18"/>
        </w:rPr>
        <w:t xml:space="preserve"> </w:t>
      </w:r>
      <w:r w:rsidRPr="00764552">
        <w:rPr>
          <w:w w:val="105"/>
          <w:sz w:val="18"/>
          <w:szCs w:val="18"/>
        </w:rPr>
        <w:t>Task</w:t>
      </w:r>
      <w:r w:rsidRPr="00764552">
        <w:rPr>
          <w:spacing w:val="-9"/>
          <w:w w:val="105"/>
          <w:sz w:val="18"/>
          <w:szCs w:val="18"/>
        </w:rPr>
        <w:t xml:space="preserve"> </w:t>
      </w:r>
      <w:r w:rsidRPr="00764552">
        <w:rPr>
          <w:w w:val="105"/>
          <w:sz w:val="18"/>
          <w:szCs w:val="18"/>
        </w:rPr>
        <w:t>Force</w:t>
      </w:r>
      <w:r w:rsidRPr="00764552">
        <w:rPr>
          <w:spacing w:val="-9"/>
          <w:w w:val="105"/>
          <w:sz w:val="18"/>
          <w:szCs w:val="18"/>
        </w:rPr>
        <w:t xml:space="preserve"> </w:t>
      </w:r>
      <w:r w:rsidRPr="00764552">
        <w:rPr>
          <w:w w:val="105"/>
          <w:sz w:val="18"/>
          <w:szCs w:val="18"/>
        </w:rPr>
        <w:t>is</w:t>
      </w:r>
      <w:r w:rsidRPr="00764552">
        <w:rPr>
          <w:spacing w:val="-9"/>
          <w:w w:val="105"/>
          <w:sz w:val="18"/>
          <w:szCs w:val="18"/>
        </w:rPr>
        <w:t xml:space="preserve"> </w:t>
      </w:r>
      <w:r w:rsidRPr="00764552">
        <w:rPr>
          <w:w w:val="105"/>
          <w:sz w:val="18"/>
          <w:szCs w:val="18"/>
        </w:rPr>
        <w:t>available</w:t>
      </w:r>
      <w:r w:rsidRPr="00764552">
        <w:rPr>
          <w:spacing w:val="-9"/>
          <w:w w:val="105"/>
          <w:sz w:val="18"/>
          <w:szCs w:val="18"/>
        </w:rPr>
        <w:t xml:space="preserve"> </w:t>
      </w:r>
      <w:r w:rsidRPr="00764552">
        <w:rPr>
          <w:w w:val="105"/>
          <w:sz w:val="18"/>
          <w:szCs w:val="18"/>
        </w:rPr>
        <w:t>at</w:t>
      </w:r>
    </w:p>
    <w:p w14:paraId="73A0CCAC" w14:textId="77777777" w:rsidR="00EC49E8" w:rsidRDefault="00010708" w:rsidP="007477FF">
      <w:pPr>
        <w:pStyle w:val="IRPfooter"/>
      </w:pPr>
      <w:hyperlink r:id="rId1">
        <w:r w:rsidR="00EC49E8" w:rsidRPr="00764552">
          <w:rPr>
            <w:w w:val="105"/>
            <w:sz w:val="18"/>
            <w:szCs w:val="18"/>
          </w:rPr>
          <w:t>http://www.pnucc.org/system-planning/power-natural-gas-taskforce</w:t>
        </w:r>
      </w:hyperlink>
    </w:p>
  </w:footnote>
  <w:footnote w:id="9">
    <w:p w14:paraId="7AD8D3EC" w14:textId="77777777" w:rsidR="00EC49E8" w:rsidRPr="00764552" w:rsidRDefault="00EC49E8" w:rsidP="002B3AD4">
      <w:pPr>
        <w:rPr>
          <w:rFonts w:ascii="Palatino" w:hAnsi="Palatino"/>
          <w:i/>
          <w:color w:val="000000"/>
          <w:sz w:val="18"/>
          <w:szCs w:val="18"/>
        </w:rPr>
      </w:pPr>
      <w:r w:rsidRPr="00764552">
        <w:rPr>
          <w:rStyle w:val="FootnoteReference"/>
          <w:rFonts w:ascii="Palatino" w:hAnsi="Palatino"/>
          <w:i/>
          <w:sz w:val="18"/>
          <w:szCs w:val="18"/>
          <w:vertAlign w:val="baseline"/>
        </w:rPr>
        <w:footnoteRef/>
      </w:r>
      <w:r w:rsidRPr="00764552">
        <w:rPr>
          <w:rFonts w:ascii="Palatino" w:hAnsi="Palatino"/>
          <w:i/>
          <w:sz w:val="18"/>
          <w:szCs w:val="18"/>
        </w:rPr>
        <w:t xml:space="preserve"> / http://www.nwga.org/wp-content/uploads/2015/06/2015OutlookWEB.pdf</w:t>
      </w:r>
    </w:p>
  </w:footnote>
  <w:footnote w:id="10">
    <w:p w14:paraId="6B47053C" w14:textId="77777777" w:rsidR="00EC49E8" w:rsidRPr="00764552" w:rsidRDefault="00EC49E8" w:rsidP="00CD72DE">
      <w:pPr>
        <w:pStyle w:val="IRPfooter"/>
        <w:rPr>
          <w:sz w:val="18"/>
          <w:szCs w:val="18"/>
        </w:rPr>
      </w:pPr>
      <w:r w:rsidRPr="00764552">
        <w:rPr>
          <w:rStyle w:val="FootnoteReference"/>
          <w:sz w:val="18"/>
          <w:szCs w:val="18"/>
          <w:vertAlign w:val="baseline"/>
        </w:rPr>
        <w:footnoteRef/>
      </w:r>
      <w:r w:rsidRPr="00764552">
        <w:rPr>
          <w:sz w:val="18"/>
          <w:szCs w:val="18"/>
        </w:rPr>
        <w:t xml:space="preserve"> / In this context, transportation sector includes maritime and heavy truck shipping and CNG vehicle use. </w:t>
      </w:r>
    </w:p>
  </w:footnote>
  <w:footnote w:id="11">
    <w:p w14:paraId="1EA0BC6B" w14:textId="77777777" w:rsidR="00EC49E8" w:rsidRPr="002B3AD4" w:rsidRDefault="00EC49E8">
      <w:pPr>
        <w:pStyle w:val="FootnoteText"/>
        <w:rPr>
          <w:rFonts w:ascii="Palatino" w:hAnsi="Palatino"/>
          <w:i/>
          <w:sz w:val="20"/>
        </w:rPr>
      </w:pPr>
      <w:r w:rsidRPr="00764552">
        <w:rPr>
          <w:rStyle w:val="FootnoteReference"/>
          <w:rFonts w:ascii="Palatino" w:hAnsi="Palatino"/>
          <w:i/>
          <w:sz w:val="18"/>
          <w:szCs w:val="18"/>
          <w:vertAlign w:val="baseline"/>
        </w:rPr>
        <w:footnoteRef/>
      </w:r>
      <w:r w:rsidRPr="00764552">
        <w:rPr>
          <w:rFonts w:ascii="Palatino" w:hAnsi="Palatino"/>
          <w:i/>
          <w:sz w:val="18"/>
          <w:szCs w:val="18"/>
        </w:rPr>
        <w:t xml:space="preserve"> / Northwest Gas Infrastructure Landscape Looking Forward, a paper produced by NWGA and PNUCC, discusses the development of large industrial gas loads. http://www.nwga.org/wp-content/uploads/2015/07/Northwest-gas-inf-FINAL-Jul-2015-v21.pdf</w:t>
      </w:r>
    </w:p>
  </w:footnote>
  <w:footnote w:id="12">
    <w:p w14:paraId="176924D3" w14:textId="77777777" w:rsidR="00EC49E8" w:rsidRPr="00764552" w:rsidRDefault="00EC49E8" w:rsidP="00DC0D6B">
      <w:pPr>
        <w:pStyle w:val="IRPfooter"/>
        <w:rPr>
          <w:sz w:val="18"/>
          <w:szCs w:val="18"/>
        </w:rPr>
      </w:pPr>
      <w:r w:rsidRPr="00764552">
        <w:rPr>
          <w:rStyle w:val="FootnoteReference"/>
          <w:sz w:val="18"/>
          <w:szCs w:val="18"/>
          <w:vertAlign w:val="baseline"/>
        </w:rPr>
        <w:footnoteRef/>
      </w:r>
      <w:r w:rsidRPr="00764552">
        <w:rPr>
          <w:sz w:val="18"/>
          <w:szCs w:val="18"/>
        </w:rPr>
        <w:t xml:space="preserve"> / PSE’s EMC provides policy-level and strategic direction for the company’s energy resource planning, operations, portfolio management and acquisition decisions.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62D2" w14:textId="342BE4F8" w:rsidR="00EC49E8" w:rsidRDefault="00010708">
    <w:pPr>
      <w:pStyle w:val="Header"/>
    </w:pPr>
    <w:r>
      <w:rPr>
        <w:noProof/>
        <w:lang w:eastAsia="en-US"/>
      </w:rPr>
      <mc:AlternateContent>
        <mc:Choice Requires="wps">
          <w:drawing>
            <wp:anchor distT="0" distB="0" distL="114300" distR="114300" simplePos="0" relativeHeight="251659264" behindDoc="0" locked="0" layoutInCell="1" allowOverlap="1" wp14:anchorId="6B7857E4" wp14:editId="64949BDA">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4F4CE" w14:textId="77777777" w:rsidR="00EC49E8" w:rsidRPr="00C04720" w:rsidRDefault="00EC49E8" w:rsidP="00BC31F5">
                          <w:pPr>
                            <w:pStyle w:val="irpsubsanstext16"/>
                          </w:pPr>
                          <w:r w:rsidRPr="00C04720">
                            <w:t xml:space="preserve">Chapter </w:t>
                          </w:r>
                          <w:r>
                            <w:t>3</w:t>
                          </w:r>
                          <w:r w:rsidRPr="00C04720">
                            <w:t xml:space="preserve">: </w:t>
                          </w:r>
                          <w:r>
                            <w:t>Planning Environment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1DC4F4CE" w14:textId="77777777" w:rsidR="00EC49E8" w:rsidRPr="00C04720" w:rsidRDefault="00EC49E8" w:rsidP="00BC31F5">
                    <w:pPr>
                      <w:pStyle w:val="irpsubsanstext16"/>
                    </w:pPr>
                    <w:r w:rsidRPr="00C04720">
                      <w:t xml:space="preserve">Chapter </w:t>
                    </w:r>
                    <w:r>
                      <w:t>3</w:t>
                    </w:r>
                    <w:r w:rsidRPr="00C04720">
                      <w:t xml:space="preserve">: </w:t>
                    </w:r>
                    <w:r>
                      <w:t>Planning Environment</w:t>
                    </w:r>
                  </w:p>
                </w:txbxContent>
              </v:textbox>
              <w10:wrap type="through"/>
            </v:shape>
          </w:pict>
        </mc:Fallback>
      </mc:AlternateContent>
    </w:r>
    <w:r w:rsidR="00EC49E8">
      <w:rPr>
        <w:noProof/>
        <w:lang w:eastAsia="en-US"/>
      </w:rPr>
      <w:drawing>
        <wp:inline distT="0" distB="0" distL="0" distR="0" wp14:anchorId="02D0ACEF" wp14:editId="1A86FDE8">
          <wp:extent cx="5418455" cy="451538"/>
          <wp:effectExtent l="0" t="0" r="0" b="5715"/>
          <wp:docPr id="24" name="Picture 24" descr="Macintosh HD:Users:annrhodes:Documents:01 RHODES-D-SIGNS:PSE_IRP2015:Title bands:title_greydk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nnrhodes:Documents:01 RHODES-D-SIGNS:PSE_IRP2015:Title bands:title_greydk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8455" cy="451538"/>
                  </a:xfrm>
                  <a:prstGeom prst="rect">
                    <a:avLst/>
                  </a:prstGeom>
                  <a:noFill/>
                  <a:ln>
                    <a:noFill/>
                  </a:ln>
                </pic:spPr>
              </pic:pic>
            </a:graphicData>
          </a:graphic>
        </wp:inline>
      </w:drawing>
    </w:r>
  </w:p>
  <w:p w14:paraId="4573D281" w14:textId="77777777" w:rsidR="00764552" w:rsidRPr="00764552" w:rsidRDefault="00764552">
    <w:pPr>
      <w:pStyle w:val="Header"/>
      <w:rPr>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24510"/>
    <w:multiLevelType w:val="hybridMultilevel"/>
    <w:tmpl w:val="6A6C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04542830"/>
    <w:multiLevelType w:val="hybridMultilevel"/>
    <w:tmpl w:val="0642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73468"/>
    <w:multiLevelType w:val="hybridMultilevel"/>
    <w:tmpl w:val="53C2959C"/>
    <w:lvl w:ilvl="0" w:tplc="3FA2A3CA">
      <w:start w:val="1"/>
      <w:numFmt w:val="bullet"/>
      <w:lvlText w:val=""/>
      <w:lvlJc w:val="left"/>
      <w:pPr>
        <w:tabs>
          <w:tab w:val="num" w:pos="748"/>
        </w:tabs>
        <w:ind w:left="748" w:hanging="288"/>
      </w:pPr>
      <w:rPr>
        <w:rFonts w:ascii="Symbol" w:hAnsi="Symbol" w:hint="default"/>
      </w:rPr>
    </w:lvl>
    <w:lvl w:ilvl="1" w:tplc="04090003" w:tentative="1">
      <w:start w:val="1"/>
      <w:numFmt w:val="bullet"/>
      <w:lvlText w:val="o"/>
      <w:lvlJc w:val="left"/>
      <w:pPr>
        <w:ind w:left="1828" w:hanging="360"/>
      </w:pPr>
      <w:rPr>
        <w:rFonts w:ascii="Courier New" w:hAnsi="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5">
    <w:nsid w:val="085F45D1"/>
    <w:multiLevelType w:val="hybridMultilevel"/>
    <w:tmpl w:val="6B7A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45E48"/>
    <w:multiLevelType w:val="hybridMultilevel"/>
    <w:tmpl w:val="6D20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B73AF"/>
    <w:multiLevelType w:val="hybridMultilevel"/>
    <w:tmpl w:val="1944B0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C717C71"/>
    <w:multiLevelType w:val="hybridMultilevel"/>
    <w:tmpl w:val="A0B0F18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96AF6"/>
    <w:multiLevelType w:val="hybridMultilevel"/>
    <w:tmpl w:val="50CE79BC"/>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3">
    <w:nsid w:val="1F6C22C8"/>
    <w:multiLevelType w:val="hybridMultilevel"/>
    <w:tmpl w:val="2BDE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910F0"/>
    <w:multiLevelType w:val="hybridMultilevel"/>
    <w:tmpl w:val="E5408260"/>
    <w:lvl w:ilvl="0" w:tplc="0A06E6EE">
      <w:start w:val="1"/>
      <w:numFmt w:val="decimal"/>
      <w:lvlText w:val="%1."/>
      <w:lvlJc w:val="left"/>
      <w:pPr>
        <w:ind w:left="1200" w:hanging="400"/>
        <w:jc w:val="right"/>
      </w:pPr>
      <w:rPr>
        <w:rFonts w:ascii="Palatino Linotype" w:eastAsia="Palatino Linotype" w:hAnsi="Palatino Linotype" w:hint="default"/>
        <w:w w:val="99"/>
        <w:sz w:val="40"/>
        <w:szCs w:val="40"/>
      </w:rPr>
    </w:lvl>
    <w:lvl w:ilvl="1" w:tplc="E82ECE14">
      <w:start w:val="1"/>
      <w:numFmt w:val="bullet"/>
      <w:lvlText w:val=""/>
      <w:lvlJc w:val="left"/>
      <w:pPr>
        <w:ind w:left="820" w:hanging="360"/>
      </w:pPr>
      <w:rPr>
        <w:rFonts w:ascii="Symbol" w:eastAsia="Symbol" w:hAnsi="Symbol" w:hint="default"/>
        <w:w w:val="103"/>
        <w:sz w:val="19"/>
        <w:szCs w:val="19"/>
      </w:rPr>
    </w:lvl>
    <w:lvl w:ilvl="2" w:tplc="887C9D3A">
      <w:start w:val="1"/>
      <w:numFmt w:val="bullet"/>
      <w:lvlText w:val=""/>
      <w:lvlJc w:val="left"/>
      <w:pPr>
        <w:ind w:left="1520" w:hanging="360"/>
      </w:pPr>
      <w:rPr>
        <w:rFonts w:ascii="Symbol" w:eastAsia="Symbol" w:hAnsi="Symbol" w:hint="default"/>
        <w:w w:val="103"/>
        <w:sz w:val="19"/>
        <w:szCs w:val="19"/>
      </w:rPr>
    </w:lvl>
    <w:lvl w:ilvl="3" w:tplc="5C74632E">
      <w:start w:val="1"/>
      <w:numFmt w:val="bullet"/>
      <w:lvlText w:val="•"/>
      <w:lvlJc w:val="left"/>
      <w:pPr>
        <w:ind w:left="2430" w:hanging="360"/>
      </w:pPr>
      <w:rPr>
        <w:rFonts w:hint="default"/>
      </w:rPr>
    </w:lvl>
    <w:lvl w:ilvl="4" w:tplc="5950DB58">
      <w:start w:val="1"/>
      <w:numFmt w:val="bullet"/>
      <w:lvlText w:val="•"/>
      <w:lvlJc w:val="left"/>
      <w:pPr>
        <w:ind w:left="3340" w:hanging="360"/>
      </w:pPr>
      <w:rPr>
        <w:rFonts w:hint="default"/>
      </w:rPr>
    </w:lvl>
    <w:lvl w:ilvl="5" w:tplc="3C9C85C8">
      <w:start w:val="1"/>
      <w:numFmt w:val="bullet"/>
      <w:lvlText w:val="•"/>
      <w:lvlJc w:val="left"/>
      <w:pPr>
        <w:ind w:left="4250" w:hanging="360"/>
      </w:pPr>
      <w:rPr>
        <w:rFonts w:hint="default"/>
      </w:rPr>
    </w:lvl>
    <w:lvl w:ilvl="6" w:tplc="D6F048A0">
      <w:start w:val="1"/>
      <w:numFmt w:val="bullet"/>
      <w:lvlText w:val="•"/>
      <w:lvlJc w:val="left"/>
      <w:pPr>
        <w:ind w:left="5160" w:hanging="360"/>
      </w:pPr>
      <w:rPr>
        <w:rFonts w:hint="default"/>
      </w:rPr>
    </w:lvl>
    <w:lvl w:ilvl="7" w:tplc="7F1493AC">
      <w:start w:val="1"/>
      <w:numFmt w:val="bullet"/>
      <w:lvlText w:val="•"/>
      <w:lvlJc w:val="left"/>
      <w:pPr>
        <w:ind w:left="6070" w:hanging="360"/>
      </w:pPr>
      <w:rPr>
        <w:rFonts w:hint="default"/>
      </w:rPr>
    </w:lvl>
    <w:lvl w:ilvl="8" w:tplc="A8EE66F2">
      <w:start w:val="1"/>
      <w:numFmt w:val="bullet"/>
      <w:lvlText w:val="•"/>
      <w:lvlJc w:val="left"/>
      <w:pPr>
        <w:ind w:left="6980" w:hanging="360"/>
      </w:pPr>
      <w:rPr>
        <w:rFonts w:hint="default"/>
      </w:rPr>
    </w:lvl>
  </w:abstractNum>
  <w:abstractNum w:abstractNumId="15">
    <w:nsid w:val="21A97909"/>
    <w:multiLevelType w:val="hybridMultilevel"/>
    <w:tmpl w:val="2DFECB1C"/>
    <w:lvl w:ilvl="0" w:tplc="3FA2A3CA">
      <w:start w:val="1"/>
      <w:numFmt w:val="bullet"/>
      <w:lvlText w:val=""/>
      <w:lvlJc w:val="left"/>
      <w:pPr>
        <w:tabs>
          <w:tab w:val="num" w:pos="676"/>
        </w:tabs>
        <w:ind w:left="676" w:hanging="288"/>
      </w:pPr>
      <w:rPr>
        <w:rFonts w:ascii="Symbol" w:hAnsi="Symbol" w:hint="default"/>
      </w:rPr>
    </w:lvl>
    <w:lvl w:ilvl="1" w:tplc="04090003" w:tentative="1">
      <w:start w:val="1"/>
      <w:numFmt w:val="bullet"/>
      <w:lvlText w:val="o"/>
      <w:lvlJc w:val="left"/>
      <w:pPr>
        <w:ind w:left="1756" w:hanging="360"/>
      </w:pPr>
      <w:rPr>
        <w:rFonts w:ascii="Courier New" w:hAnsi="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16">
    <w:nsid w:val="23E25291"/>
    <w:multiLevelType w:val="hybridMultilevel"/>
    <w:tmpl w:val="B4F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F753E"/>
    <w:multiLevelType w:val="hybridMultilevel"/>
    <w:tmpl w:val="52E4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4F5E45"/>
    <w:multiLevelType w:val="hybridMultilevel"/>
    <w:tmpl w:val="E5408260"/>
    <w:lvl w:ilvl="0" w:tplc="0A06E6EE">
      <w:start w:val="1"/>
      <w:numFmt w:val="decimal"/>
      <w:lvlText w:val="%1."/>
      <w:lvlJc w:val="left"/>
      <w:pPr>
        <w:ind w:left="400" w:hanging="400"/>
        <w:jc w:val="right"/>
      </w:pPr>
      <w:rPr>
        <w:rFonts w:ascii="Palatino Linotype" w:eastAsia="Palatino Linotype" w:hAnsi="Palatino Linotype" w:hint="default"/>
        <w:w w:val="99"/>
        <w:sz w:val="40"/>
        <w:szCs w:val="40"/>
      </w:rPr>
    </w:lvl>
    <w:lvl w:ilvl="1" w:tplc="E82ECE14">
      <w:start w:val="1"/>
      <w:numFmt w:val="bullet"/>
      <w:lvlText w:val=""/>
      <w:lvlJc w:val="left"/>
      <w:pPr>
        <w:ind w:left="20" w:hanging="360"/>
      </w:pPr>
      <w:rPr>
        <w:rFonts w:ascii="Symbol" w:eastAsia="Symbol" w:hAnsi="Symbol" w:hint="default"/>
        <w:w w:val="103"/>
        <w:sz w:val="19"/>
        <w:szCs w:val="19"/>
      </w:rPr>
    </w:lvl>
    <w:lvl w:ilvl="2" w:tplc="887C9D3A">
      <w:start w:val="1"/>
      <w:numFmt w:val="bullet"/>
      <w:lvlText w:val=""/>
      <w:lvlJc w:val="left"/>
      <w:pPr>
        <w:ind w:left="720" w:hanging="360"/>
      </w:pPr>
      <w:rPr>
        <w:rFonts w:ascii="Symbol" w:eastAsia="Symbol" w:hAnsi="Symbol" w:hint="default"/>
        <w:w w:val="103"/>
        <w:sz w:val="19"/>
        <w:szCs w:val="19"/>
      </w:rPr>
    </w:lvl>
    <w:lvl w:ilvl="3" w:tplc="5C74632E">
      <w:start w:val="1"/>
      <w:numFmt w:val="bullet"/>
      <w:lvlText w:val="•"/>
      <w:lvlJc w:val="left"/>
      <w:pPr>
        <w:ind w:left="1630" w:hanging="360"/>
      </w:pPr>
      <w:rPr>
        <w:rFonts w:hint="default"/>
      </w:rPr>
    </w:lvl>
    <w:lvl w:ilvl="4" w:tplc="5950DB58">
      <w:start w:val="1"/>
      <w:numFmt w:val="bullet"/>
      <w:lvlText w:val="•"/>
      <w:lvlJc w:val="left"/>
      <w:pPr>
        <w:ind w:left="2540" w:hanging="360"/>
      </w:pPr>
      <w:rPr>
        <w:rFonts w:hint="default"/>
      </w:rPr>
    </w:lvl>
    <w:lvl w:ilvl="5" w:tplc="3C9C85C8">
      <w:start w:val="1"/>
      <w:numFmt w:val="bullet"/>
      <w:lvlText w:val="•"/>
      <w:lvlJc w:val="left"/>
      <w:pPr>
        <w:ind w:left="3450" w:hanging="360"/>
      </w:pPr>
      <w:rPr>
        <w:rFonts w:hint="default"/>
      </w:rPr>
    </w:lvl>
    <w:lvl w:ilvl="6" w:tplc="D6F048A0">
      <w:start w:val="1"/>
      <w:numFmt w:val="bullet"/>
      <w:lvlText w:val="•"/>
      <w:lvlJc w:val="left"/>
      <w:pPr>
        <w:ind w:left="4360" w:hanging="360"/>
      </w:pPr>
      <w:rPr>
        <w:rFonts w:hint="default"/>
      </w:rPr>
    </w:lvl>
    <w:lvl w:ilvl="7" w:tplc="7F1493AC">
      <w:start w:val="1"/>
      <w:numFmt w:val="bullet"/>
      <w:lvlText w:val="•"/>
      <w:lvlJc w:val="left"/>
      <w:pPr>
        <w:ind w:left="5270" w:hanging="360"/>
      </w:pPr>
      <w:rPr>
        <w:rFonts w:hint="default"/>
      </w:rPr>
    </w:lvl>
    <w:lvl w:ilvl="8" w:tplc="A8EE66F2">
      <w:start w:val="1"/>
      <w:numFmt w:val="bullet"/>
      <w:lvlText w:val="•"/>
      <w:lvlJc w:val="left"/>
      <w:pPr>
        <w:ind w:left="6180" w:hanging="360"/>
      </w:pPr>
      <w:rPr>
        <w:rFonts w:hint="default"/>
      </w:rPr>
    </w:lvl>
  </w:abstractNum>
  <w:abstractNum w:abstractNumId="19">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735E35"/>
    <w:multiLevelType w:val="hybridMultilevel"/>
    <w:tmpl w:val="C8AAA42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Arial"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Arial"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Arial" w:hint="default"/>
      </w:rPr>
    </w:lvl>
    <w:lvl w:ilvl="8" w:tplc="04090005" w:tentative="1">
      <w:start w:val="1"/>
      <w:numFmt w:val="bullet"/>
      <w:lvlText w:val=""/>
      <w:lvlJc w:val="left"/>
      <w:pPr>
        <w:ind w:left="7280" w:hanging="360"/>
      </w:pPr>
      <w:rPr>
        <w:rFonts w:ascii="Wingdings" w:hAnsi="Wingdings" w:hint="default"/>
      </w:rPr>
    </w:lvl>
  </w:abstractNum>
  <w:abstractNum w:abstractNumId="21">
    <w:nsid w:val="2F3B376F"/>
    <w:multiLevelType w:val="hybridMultilevel"/>
    <w:tmpl w:val="C25A7798"/>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40AD7F9E"/>
    <w:multiLevelType w:val="hybridMultilevel"/>
    <w:tmpl w:val="69FEAB2C"/>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3465E"/>
    <w:multiLevelType w:val="hybridMultilevel"/>
    <w:tmpl w:val="A36C185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44280220"/>
    <w:multiLevelType w:val="hybridMultilevel"/>
    <w:tmpl w:val="449C91D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E4933"/>
    <w:multiLevelType w:val="hybridMultilevel"/>
    <w:tmpl w:val="FA90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837A22"/>
    <w:multiLevelType w:val="hybridMultilevel"/>
    <w:tmpl w:val="9254408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4E2367CE"/>
    <w:multiLevelType w:val="hybridMultilevel"/>
    <w:tmpl w:val="1F04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64D3C"/>
    <w:multiLevelType w:val="hybridMultilevel"/>
    <w:tmpl w:val="1944B0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8BF6E14"/>
    <w:multiLevelType w:val="hybridMultilevel"/>
    <w:tmpl w:val="1944B0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94160E3"/>
    <w:multiLevelType w:val="hybridMultilevel"/>
    <w:tmpl w:val="6958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5FFF085F"/>
    <w:multiLevelType w:val="hybridMultilevel"/>
    <w:tmpl w:val="92CC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15DBE"/>
    <w:multiLevelType w:val="hybridMultilevel"/>
    <w:tmpl w:val="38C6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C3EED"/>
    <w:multiLevelType w:val="hybridMultilevel"/>
    <w:tmpl w:val="B6D4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0145F"/>
    <w:multiLevelType w:val="hybridMultilevel"/>
    <w:tmpl w:val="80C0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B2217"/>
    <w:multiLevelType w:val="hybridMultilevel"/>
    <w:tmpl w:val="FE3ABEA4"/>
    <w:lvl w:ilvl="0" w:tplc="3B127770">
      <w:start w:val="1"/>
      <w:numFmt w:val="decimal"/>
      <w:lvlText w:val="%1."/>
      <w:lvlJc w:val="left"/>
      <w:pPr>
        <w:ind w:left="508" w:hanging="221"/>
      </w:pPr>
      <w:rPr>
        <w:rFonts w:ascii="Arial" w:eastAsia="Arial" w:hAnsi="Arial" w:hint="default"/>
        <w:i/>
        <w:color w:val="FFFFFF"/>
        <w:w w:val="98"/>
        <w:sz w:val="20"/>
        <w:szCs w:val="20"/>
      </w:rPr>
    </w:lvl>
    <w:lvl w:ilvl="1" w:tplc="8F64862E">
      <w:start w:val="1"/>
      <w:numFmt w:val="bullet"/>
      <w:lvlText w:val="•"/>
      <w:lvlJc w:val="left"/>
      <w:pPr>
        <w:ind w:left="858" w:hanging="221"/>
      </w:pPr>
      <w:rPr>
        <w:rFonts w:hint="default"/>
      </w:rPr>
    </w:lvl>
    <w:lvl w:ilvl="2" w:tplc="254E9EDE">
      <w:start w:val="1"/>
      <w:numFmt w:val="bullet"/>
      <w:lvlText w:val="•"/>
      <w:lvlJc w:val="left"/>
      <w:pPr>
        <w:ind w:left="1207" w:hanging="221"/>
      </w:pPr>
      <w:rPr>
        <w:rFonts w:hint="default"/>
      </w:rPr>
    </w:lvl>
    <w:lvl w:ilvl="3" w:tplc="3C9C9458">
      <w:start w:val="1"/>
      <w:numFmt w:val="bullet"/>
      <w:lvlText w:val="•"/>
      <w:lvlJc w:val="left"/>
      <w:pPr>
        <w:ind w:left="1556" w:hanging="221"/>
      </w:pPr>
      <w:rPr>
        <w:rFonts w:hint="default"/>
      </w:rPr>
    </w:lvl>
    <w:lvl w:ilvl="4" w:tplc="8990C13A">
      <w:start w:val="1"/>
      <w:numFmt w:val="bullet"/>
      <w:lvlText w:val="•"/>
      <w:lvlJc w:val="left"/>
      <w:pPr>
        <w:ind w:left="1905" w:hanging="221"/>
      </w:pPr>
      <w:rPr>
        <w:rFonts w:hint="default"/>
      </w:rPr>
    </w:lvl>
    <w:lvl w:ilvl="5" w:tplc="6FB018D6">
      <w:start w:val="1"/>
      <w:numFmt w:val="bullet"/>
      <w:lvlText w:val="•"/>
      <w:lvlJc w:val="left"/>
      <w:pPr>
        <w:ind w:left="2254" w:hanging="221"/>
      </w:pPr>
      <w:rPr>
        <w:rFonts w:hint="default"/>
      </w:rPr>
    </w:lvl>
    <w:lvl w:ilvl="6" w:tplc="4420E0DE">
      <w:start w:val="1"/>
      <w:numFmt w:val="bullet"/>
      <w:lvlText w:val="•"/>
      <w:lvlJc w:val="left"/>
      <w:pPr>
        <w:ind w:left="2604" w:hanging="221"/>
      </w:pPr>
      <w:rPr>
        <w:rFonts w:hint="default"/>
      </w:rPr>
    </w:lvl>
    <w:lvl w:ilvl="7" w:tplc="5CA6B1EE">
      <w:start w:val="1"/>
      <w:numFmt w:val="bullet"/>
      <w:lvlText w:val="•"/>
      <w:lvlJc w:val="left"/>
      <w:pPr>
        <w:ind w:left="2953" w:hanging="221"/>
      </w:pPr>
      <w:rPr>
        <w:rFonts w:hint="default"/>
      </w:rPr>
    </w:lvl>
    <w:lvl w:ilvl="8" w:tplc="9A7C2B16">
      <w:start w:val="1"/>
      <w:numFmt w:val="bullet"/>
      <w:lvlText w:val="•"/>
      <w:lvlJc w:val="left"/>
      <w:pPr>
        <w:ind w:left="3302" w:hanging="221"/>
      </w:pPr>
      <w:rPr>
        <w:rFonts w:hint="default"/>
      </w:rPr>
    </w:lvl>
  </w:abstractNum>
  <w:abstractNum w:abstractNumId="39">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9F0E76"/>
    <w:multiLevelType w:val="hybridMultilevel"/>
    <w:tmpl w:val="041E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F900E2"/>
    <w:multiLevelType w:val="hybridMultilevel"/>
    <w:tmpl w:val="3B36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2"/>
  </w:num>
  <w:num w:numId="4">
    <w:abstractNumId w:val="31"/>
  </w:num>
  <w:num w:numId="5">
    <w:abstractNumId w:val="42"/>
  </w:num>
  <w:num w:numId="6">
    <w:abstractNumId w:val="2"/>
  </w:num>
  <w:num w:numId="7">
    <w:abstractNumId w:val="39"/>
  </w:num>
  <w:num w:numId="8">
    <w:abstractNumId w:val="43"/>
  </w:num>
  <w:num w:numId="9">
    <w:abstractNumId w:val="40"/>
  </w:num>
  <w:num w:numId="10">
    <w:abstractNumId w:val="35"/>
  </w:num>
  <w:num w:numId="11">
    <w:abstractNumId w:val="9"/>
  </w:num>
  <w:num w:numId="12">
    <w:abstractNumId w:val="0"/>
  </w:num>
  <w:num w:numId="13">
    <w:abstractNumId w:val="19"/>
  </w:num>
  <w:num w:numId="14">
    <w:abstractNumId w:val="6"/>
  </w:num>
  <w:num w:numId="15">
    <w:abstractNumId w:val="22"/>
  </w:num>
  <w:num w:numId="16">
    <w:abstractNumId w:val="17"/>
  </w:num>
  <w:num w:numId="17">
    <w:abstractNumId w:val="21"/>
  </w:num>
  <w:num w:numId="18">
    <w:abstractNumId w:val="23"/>
  </w:num>
  <w:num w:numId="19">
    <w:abstractNumId w:val="26"/>
  </w:num>
  <w:num w:numId="20">
    <w:abstractNumId w:val="8"/>
  </w:num>
  <w:num w:numId="21">
    <w:abstractNumId w:val="34"/>
  </w:num>
  <w:num w:numId="22">
    <w:abstractNumId w:val="3"/>
  </w:num>
  <w:num w:numId="23">
    <w:abstractNumId w:val="27"/>
  </w:num>
  <w:num w:numId="24">
    <w:abstractNumId w:val="1"/>
  </w:num>
  <w:num w:numId="25">
    <w:abstractNumId w:val="33"/>
  </w:num>
  <w:num w:numId="26">
    <w:abstractNumId w:val="44"/>
  </w:num>
  <w:num w:numId="27">
    <w:abstractNumId w:val="24"/>
  </w:num>
  <w:num w:numId="28">
    <w:abstractNumId w:val="41"/>
  </w:num>
  <w:num w:numId="29">
    <w:abstractNumId w:val="38"/>
  </w:num>
  <w:num w:numId="30">
    <w:abstractNumId w:val="14"/>
  </w:num>
  <w:num w:numId="31">
    <w:abstractNumId w:val="1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8"/>
  </w:num>
  <w:num w:numId="35">
    <w:abstractNumId w:val="7"/>
  </w:num>
  <w:num w:numId="36">
    <w:abstractNumId w:val="29"/>
  </w:num>
  <w:num w:numId="37">
    <w:abstractNumId w:val="15"/>
  </w:num>
  <w:num w:numId="38">
    <w:abstractNumId w:val="4"/>
  </w:num>
  <w:num w:numId="39">
    <w:abstractNumId w:val="13"/>
  </w:num>
  <w:num w:numId="40">
    <w:abstractNumId w:val="37"/>
  </w:num>
  <w:num w:numId="41">
    <w:abstractNumId w:val="25"/>
  </w:num>
  <w:num w:numId="42">
    <w:abstractNumId w:val="5"/>
  </w:num>
  <w:num w:numId="43">
    <w:abstractNumId w:val="36"/>
  </w:num>
  <w:num w:numId="44">
    <w:abstractNumId w:val="16"/>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81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048F7"/>
    <w:rsid w:val="00010708"/>
    <w:rsid w:val="000220CD"/>
    <w:rsid w:val="00022AE1"/>
    <w:rsid w:val="00032C11"/>
    <w:rsid w:val="00045148"/>
    <w:rsid w:val="00061941"/>
    <w:rsid w:val="000811E5"/>
    <w:rsid w:val="000B7150"/>
    <w:rsid w:val="000C0080"/>
    <w:rsid w:val="000D3DFF"/>
    <w:rsid w:val="000E3017"/>
    <w:rsid w:val="000E4936"/>
    <w:rsid w:val="000E6293"/>
    <w:rsid w:val="000F2D1D"/>
    <w:rsid w:val="000F320C"/>
    <w:rsid w:val="00124C14"/>
    <w:rsid w:val="00151CD4"/>
    <w:rsid w:val="00155762"/>
    <w:rsid w:val="001836D9"/>
    <w:rsid w:val="001A2229"/>
    <w:rsid w:val="001B5F2B"/>
    <w:rsid w:val="001C6E84"/>
    <w:rsid w:val="001D052C"/>
    <w:rsid w:val="001D3877"/>
    <w:rsid w:val="001D4E32"/>
    <w:rsid w:val="001D628F"/>
    <w:rsid w:val="0020632A"/>
    <w:rsid w:val="00217498"/>
    <w:rsid w:val="00234579"/>
    <w:rsid w:val="00234C3C"/>
    <w:rsid w:val="00255AA2"/>
    <w:rsid w:val="00255D45"/>
    <w:rsid w:val="00261C33"/>
    <w:rsid w:val="00261F11"/>
    <w:rsid w:val="002818CC"/>
    <w:rsid w:val="00293A4E"/>
    <w:rsid w:val="002B3AD4"/>
    <w:rsid w:val="002B4198"/>
    <w:rsid w:val="002C1ECE"/>
    <w:rsid w:val="002F0728"/>
    <w:rsid w:val="002F487B"/>
    <w:rsid w:val="002F77B4"/>
    <w:rsid w:val="00307C88"/>
    <w:rsid w:val="00316F97"/>
    <w:rsid w:val="00380699"/>
    <w:rsid w:val="00382146"/>
    <w:rsid w:val="00386666"/>
    <w:rsid w:val="00397EFC"/>
    <w:rsid w:val="003A0016"/>
    <w:rsid w:val="003B77A4"/>
    <w:rsid w:val="003C667F"/>
    <w:rsid w:val="003E7037"/>
    <w:rsid w:val="00427D40"/>
    <w:rsid w:val="004322CD"/>
    <w:rsid w:val="00440047"/>
    <w:rsid w:val="00445061"/>
    <w:rsid w:val="004574CF"/>
    <w:rsid w:val="00496991"/>
    <w:rsid w:val="004A41CE"/>
    <w:rsid w:val="004B442A"/>
    <w:rsid w:val="004C668B"/>
    <w:rsid w:val="004D0808"/>
    <w:rsid w:val="004E423F"/>
    <w:rsid w:val="005015F8"/>
    <w:rsid w:val="00521E04"/>
    <w:rsid w:val="005250B5"/>
    <w:rsid w:val="00554CB0"/>
    <w:rsid w:val="00555205"/>
    <w:rsid w:val="00571E09"/>
    <w:rsid w:val="00580237"/>
    <w:rsid w:val="005B05E2"/>
    <w:rsid w:val="005B2E02"/>
    <w:rsid w:val="005B42BE"/>
    <w:rsid w:val="005F721A"/>
    <w:rsid w:val="00601E72"/>
    <w:rsid w:val="00615718"/>
    <w:rsid w:val="0063113C"/>
    <w:rsid w:val="00670EF9"/>
    <w:rsid w:val="00674AD7"/>
    <w:rsid w:val="00676673"/>
    <w:rsid w:val="006766F4"/>
    <w:rsid w:val="00681421"/>
    <w:rsid w:val="0068280F"/>
    <w:rsid w:val="0069404B"/>
    <w:rsid w:val="00694DA4"/>
    <w:rsid w:val="006A7FDA"/>
    <w:rsid w:val="006D4575"/>
    <w:rsid w:val="00713242"/>
    <w:rsid w:val="0072081D"/>
    <w:rsid w:val="007247D3"/>
    <w:rsid w:val="007477FF"/>
    <w:rsid w:val="00764552"/>
    <w:rsid w:val="00766C30"/>
    <w:rsid w:val="0077237B"/>
    <w:rsid w:val="00785483"/>
    <w:rsid w:val="00785A65"/>
    <w:rsid w:val="007E49E8"/>
    <w:rsid w:val="007F2800"/>
    <w:rsid w:val="008067ED"/>
    <w:rsid w:val="00811DF7"/>
    <w:rsid w:val="008139F0"/>
    <w:rsid w:val="00816B3B"/>
    <w:rsid w:val="008461CB"/>
    <w:rsid w:val="008507B6"/>
    <w:rsid w:val="00874553"/>
    <w:rsid w:val="00882098"/>
    <w:rsid w:val="00890504"/>
    <w:rsid w:val="008C277C"/>
    <w:rsid w:val="008D10CC"/>
    <w:rsid w:val="008D302A"/>
    <w:rsid w:val="008F3D71"/>
    <w:rsid w:val="00906A0A"/>
    <w:rsid w:val="009522DE"/>
    <w:rsid w:val="00974679"/>
    <w:rsid w:val="0098435E"/>
    <w:rsid w:val="00984B6B"/>
    <w:rsid w:val="009A60C3"/>
    <w:rsid w:val="009C0BDA"/>
    <w:rsid w:val="009F37D7"/>
    <w:rsid w:val="00A075A9"/>
    <w:rsid w:val="00A157B1"/>
    <w:rsid w:val="00A3646D"/>
    <w:rsid w:val="00A44B48"/>
    <w:rsid w:val="00A47D61"/>
    <w:rsid w:val="00A75AB8"/>
    <w:rsid w:val="00A76BAA"/>
    <w:rsid w:val="00A804CC"/>
    <w:rsid w:val="00AA71D1"/>
    <w:rsid w:val="00AE6946"/>
    <w:rsid w:val="00AF5574"/>
    <w:rsid w:val="00B12366"/>
    <w:rsid w:val="00B230F8"/>
    <w:rsid w:val="00B7196F"/>
    <w:rsid w:val="00B72944"/>
    <w:rsid w:val="00B800A1"/>
    <w:rsid w:val="00B81A87"/>
    <w:rsid w:val="00B82F6C"/>
    <w:rsid w:val="00BC31F5"/>
    <w:rsid w:val="00BE01D8"/>
    <w:rsid w:val="00BF45F8"/>
    <w:rsid w:val="00C04720"/>
    <w:rsid w:val="00C04CED"/>
    <w:rsid w:val="00C12FBA"/>
    <w:rsid w:val="00C54BA2"/>
    <w:rsid w:val="00C84D6A"/>
    <w:rsid w:val="00C93FB1"/>
    <w:rsid w:val="00CA1290"/>
    <w:rsid w:val="00CD2543"/>
    <w:rsid w:val="00CD72DE"/>
    <w:rsid w:val="00CD78F5"/>
    <w:rsid w:val="00CE0ADC"/>
    <w:rsid w:val="00CE5FD8"/>
    <w:rsid w:val="00D21EAA"/>
    <w:rsid w:val="00D34598"/>
    <w:rsid w:val="00D510B2"/>
    <w:rsid w:val="00DC0D6B"/>
    <w:rsid w:val="00DC16C8"/>
    <w:rsid w:val="00E11FE6"/>
    <w:rsid w:val="00E16024"/>
    <w:rsid w:val="00E203E5"/>
    <w:rsid w:val="00E51DDB"/>
    <w:rsid w:val="00E52BCA"/>
    <w:rsid w:val="00E62204"/>
    <w:rsid w:val="00E72663"/>
    <w:rsid w:val="00E87BB5"/>
    <w:rsid w:val="00E96667"/>
    <w:rsid w:val="00EA303E"/>
    <w:rsid w:val="00EB3FD3"/>
    <w:rsid w:val="00EC4408"/>
    <w:rsid w:val="00EC49E8"/>
    <w:rsid w:val="00ED056D"/>
    <w:rsid w:val="00F133C9"/>
    <w:rsid w:val="00F35EE8"/>
    <w:rsid w:val="00F4756C"/>
    <w:rsid w:val="00F76A40"/>
    <w:rsid w:val="00FD3681"/>
    <w:rsid w:val="00FE2582"/>
    <w:rsid w:val="00FF73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8"/>
    <o:shapelayout v:ext="edit">
      <o:idmap v:ext="edit" data="1"/>
    </o:shapelayout>
  </w:shapeDefaults>
  <w:doNotEmbedSmartTags/>
  <w:decimalSymbol w:val="."/>
  <w:listSeparator w:val=","/>
  <w14:docId w14:val="5D5A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1"/>
    <w:qFormat/>
    <w:rsid w:val="001D4E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CB1DEA"/>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Heading1Char">
    <w:name w:val="Heading 1 Char"/>
    <w:basedOn w:val="DefaultParagraphFont"/>
    <w:link w:val="Heading1"/>
    <w:rsid w:val="001D4E3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paragraph" w:customStyle="1" w:styleId="IRPsanstext">
    <w:name w:val="IRPsanstext"/>
    <w:basedOn w:val="Normal"/>
    <w:link w:val="IRPsanstextChar1"/>
    <w:rsid w:val="005B05E2"/>
    <w:pPr>
      <w:spacing w:line="320" w:lineRule="exact"/>
    </w:pPr>
    <w:rPr>
      <w:rFonts w:ascii="Arial" w:hAnsi="Arial"/>
      <w:sz w:val="20"/>
      <w:szCs w:val="20"/>
    </w:rPr>
  </w:style>
  <w:style w:type="character" w:customStyle="1" w:styleId="IRPsanstextChar1">
    <w:name w:val="IRPsanstext Char1"/>
    <w:link w:val="IRPsanstext"/>
    <w:locked/>
    <w:rsid w:val="005B05E2"/>
    <w:rPr>
      <w:rFonts w:ascii="Arial" w:eastAsia="MS Mincho" w:hAnsi="Arial"/>
      <w:sz w:val="20"/>
      <w:szCs w:val="20"/>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C31F5"/>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customStyle="1" w:styleId="Highhead">
    <w:name w:val="Highhead"/>
    <w:basedOn w:val="IRPtitle"/>
    <w:rsid w:val="005B05E2"/>
    <w:rPr>
      <w:i/>
      <w:color w:val="008000"/>
      <w:sz w:val="32"/>
      <w:szCs w:val="40"/>
    </w:rPr>
  </w:style>
  <w:style w:type="paragraph" w:customStyle="1" w:styleId="IRPseriftext">
    <w:name w:val="IRPseriftext"/>
    <w:basedOn w:val="Normal"/>
    <w:rsid w:val="00307C88"/>
    <w:pPr>
      <w:spacing w:line="320" w:lineRule="exact"/>
      <w:ind w:left="720"/>
    </w:pPr>
    <w:rPr>
      <w:rFonts w:ascii="Palatino" w:hAnsi="Palatino"/>
      <w:i/>
    </w:rPr>
  </w:style>
  <w:style w:type="character" w:styleId="CommentReference">
    <w:name w:val="annotation reference"/>
    <w:uiPriority w:val="99"/>
    <w:semiHidden/>
    <w:rsid w:val="00307C88"/>
    <w:rPr>
      <w:sz w:val="16"/>
      <w:szCs w:val="16"/>
    </w:rPr>
  </w:style>
  <w:style w:type="paragraph" w:styleId="CommentText">
    <w:name w:val="annotation text"/>
    <w:basedOn w:val="Normal"/>
    <w:link w:val="CommentTextChar"/>
    <w:uiPriority w:val="99"/>
    <w:semiHidden/>
    <w:rsid w:val="00307C88"/>
  </w:style>
  <w:style w:type="character" w:customStyle="1" w:styleId="CommentTextChar">
    <w:name w:val="Comment Text Char"/>
    <w:basedOn w:val="DefaultParagraphFont"/>
    <w:link w:val="CommentText"/>
    <w:uiPriority w:val="99"/>
    <w:semiHidden/>
    <w:rsid w:val="00307C88"/>
    <w:rPr>
      <w:rFonts w:eastAsia="MS Mincho"/>
    </w:rPr>
  </w:style>
  <w:style w:type="paragraph" w:customStyle="1" w:styleId="IRPfiguresub0">
    <w:name w:val="IRPfiguresub"/>
    <w:basedOn w:val="BodyText"/>
    <w:rsid w:val="004D0808"/>
    <w:pPr>
      <w:spacing w:beforeAutospacing="1" w:after="0" w:afterAutospacing="1"/>
    </w:pPr>
    <w:rPr>
      <w:rFonts w:ascii="Arial" w:eastAsia="Times New Roman" w:hAnsi="Arial"/>
      <w:b/>
      <w:sz w:val="20"/>
    </w:rPr>
  </w:style>
  <w:style w:type="paragraph" w:styleId="BodyText">
    <w:name w:val="Body Text"/>
    <w:basedOn w:val="Normal"/>
    <w:link w:val="BodyTextChar"/>
    <w:uiPriority w:val="1"/>
    <w:unhideWhenUsed/>
    <w:qFormat/>
    <w:rsid w:val="004D0808"/>
    <w:pPr>
      <w:spacing w:after="120"/>
    </w:pPr>
  </w:style>
  <w:style w:type="character" w:customStyle="1" w:styleId="BodyTextChar">
    <w:name w:val="Body Text Char"/>
    <w:basedOn w:val="DefaultParagraphFont"/>
    <w:link w:val="BodyText"/>
    <w:uiPriority w:val="99"/>
    <w:semiHidden/>
    <w:rsid w:val="004D0808"/>
    <w:rPr>
      <w:rFonts w:eastAsia="MS Mincho"/>
    </w:rPr>
  </w:style>
  <w:style w:type="paragraph" w:styleId="ListParagraph">
    <w:name w:val="List Paragraph"/>
    <w:basedOn w:val="Normal"/>
    <w:uiPriority w:val="34"/>
    <w:qFormat/>
    <w:rsid w:val="00674AD7"/>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4AD7"/>
    <w:pPr>
      <w:widowControl w:val="0"/>
    </w:pPr>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674AD7"/>
    <w:rPr>
      <w:rFonts w:asciiTheme="minorHAnsi" w:eastAsiaTheme="minorHAnsi" w:hAnsiTheme="minorHAns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674AD7"/>
    <w:pPr>
      <w:widowControl w:val="0"/>
    </w:pPr>
    <w:rPr>
      <w:rFonts w:asciiTheme="minorHAnsi" w:eastAsiaTheme="minorHAnsi" w:hAnsiTheme="minorHAnsi" w:cstheme="minorBidi"/>
      <w:b/>
      <w:bCs/>
      <w:sz w:val="20"/>
      <w:szCs w:val="20"/>
      <w:lang w:eastAsia="en-US"/>
    </w:rPr>
  </w:style>
  <w:style w:type="paragraph" w:styleId="Revision">
    <w:name w:val="Revision"/>
    <w:hidden/>
    <w:rsid w:val="00674AD7"/>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98435E"/>
    <w:rPr>
      <w:color w:val="0000FF"/>
      <w:u w:val="single"/>
    </w:rPr>
  </w:style>
  <w:style w:type="character" w:styleId="FollowedHyperlink">
    <w:name w:val="FollowedHyperlink"/>
    <w:basedOn w:val="DefaultParagraphFont"/>
    <w:uiPriority w:val="99"/>
    <w:semiHidden/>
    <w:unhideWhenUsed/>
    <w:rsid w:val="002B3AD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1">
    <w:name w:val="heading 1"/>
    <w:basedOn w:val="Normal"/>
    <w:next w:val="Normal"/>
    <w:link w:val="Heading1Char"/>
    <w:uiPriority w:val="1"/>
    <w:qFormat/>
    <w:rsid w:val="001D4E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CB1DEA"/>
    <w:rPr>
      <w:rFonts w:ascii="Lucida Grande" w:hAnsi="Lucida Grande" w:cs="Lucida Grande"/>
      <w:sz w:val="18"/>
      <w:szCs w:val="18"/>
    </w:rPr>
  </w:style>
  <w:style w:type="character" w:customStyle="1" w:styleId="BalloonTextChar0">
    <w:name w:val="Balloon Text Char"/>
    <w:basedOn w:val="DefaultParagraphFont"/>
    <w:uiPriority w:val="99"/>
    <w:semiHidden/>
    <w:rsid w:val="001337BF"/>
    <w:rPr>
      <w:rFonts w:ascii="Lucida Grande" w:hAnsi="Lucida Grande" w:cs="Lucida Grande"/>
      <w:sz w:val="18"/>
      <w:szCs w:val="18"/>
    </w:rPr>
  </w:style>
  <w:style w:type="character" w:customStyle="1" w:styleId="BalloonTextChar2">
    <w:name w:val="Balloon Text Char"/>
    <w:basedOn w:val="DefaultParagraphFont"/>
    <w:uiPriority w:val="99"/>
    <w:semiHidden/>
    <w:rsid w:val="001337BF"/>
    <w:rPr>
      <w:rFonts w:ascii="Lucida Grande" w:hAnsi="Lucida Grande" w:cs="Lucida Grande"/>
      <w:sz w:val="18"/>
      <w:szCs w:val="18"/>
    </w:rPr>
  </w:style>
  <w:style w:type="character" w:customStyle="1" w:styleId="Heading1Char">
    <w:name w:val="Heading 1 Char"/>
    <w:basedOn w:val="DefaultParagraphFont"/>
    <w:link w:val="Heading1"/>
    <w:rsid w:val="001D4E3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paragraph" w:customStyle="1" w:styleId="IRPsanstext">
    <w:name w:val="IRPsanstext"/>
    <w:basedOn w:val="Normal"/>
    <w:link w:val="IRPsanstextChar1"/>
    <w:rsid w:val="005B05E2"/>
    <w:pPr>
      <w:spacing w:line="320" w:lineRule="exact"/>
    </w:pPr>
    <w:rPr>
      <w:rFonts w:ascii="Arial" w:hAnsi="Arial"/>
      <w:sz w:val="20"/>
      <w:szCs w:val="20"/>
    </w:rPr>
  </w:style>
  <w:style w:type="character" w:customStyle="1" w:styleId="IRPsanstextChar1">
    <w:name w:val="IRPsanstext Char1"/>
    <w:link w:val="IRPsanstext"/>
    <w:locked/>
    <w:rsid w:val="005B05E2"/>
    <w:rPr>
      <w:rFonts w:ascii="Arial" w:eastAsia="MS Mincho" w:hAnsi="Arial"/>
      <w:sz w:val="20"/>
      <w:szCs w:val="20"/>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BC31F5"/>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qFormat/>
    <w:rsid w:val="00B12366"/>
    <w:pPr>
      <w:jc w:val="center"/>
    </w:pPr>
    <w:rPr>
      <w:i/>
      <w:szCs w:val="22"/>
    </w:rPr>
  </w:style>
  <w:style w:type="character" w:customStyle="1" w:styleId="IRPFigureSubChar">
    <w:name w:val="IRPFigureSub Char"/>
    <w:link w:val="IRPFigureSub"/>
    <w:rsid w:val="00B12366"/>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rPr>
  </w:style>
  <w:style w:type="paragraph" w:customStyle="1" w:styleId="IRPtitle">
    <w:name w:val="IRPtitle"/>
    <w:basedOn w:val="Normal"/>
    <w:rsid w:val="00B12366"/>
    <w:pPr>
      <w:ind w:left="576" w:hanging="576"/>
    </w:pPr>
    <w:rPr>
      <w:rFonts w:ascii="Palatino" w:hAnsi="Palatino"/>
      <w:sz w:val="40"/>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customStyle="1" w:styleId="Highhead">
    <w:name w:val="Highhead"/>
    <w:basedOn w:val="IRPtitle"/>
    <w:rsid w:val="005B05E2"/>
    <w:rPr>
      <w:i/>
      <w:color w:val="008000"/>
      <w:sz w:val="32"/>
      <w:szCs w:val="40"/>
    </w:rPr>
  </w:style>
  <w:style w:type="paragraph" w:customStyle="1" w:styleId="IRPseriftext">
    <w:name w:val="IRPseriftext"/>
    <w:basedOn w:val="Normal"/>
    <w:rsid w:val="00307C88"/>
    <w:pPr>
      <w:spacing w:line="320" w:lineRule="exact"/>
      <w:ind w:left="720"/>
    </w:pPr>
    <w:rPr>
      <w:rFonts w:ascii="Palatino" w:hAnsi="Palatino"/>
      <w:i/>
    </w:rPr>
  </w:style>
  <w:style w:type="character" w:styleId="CommentReference">
    <w:name w:val="annotation reference"/>
    <w:uiPriority w:val="99"/>
    <w:semiHidden/>
    <w:rsid w:val="00307C88"/>
    <w:rPr>
      <w:sz w:val="16"/>
      <w:szCs w:val="16"/>
    </w:rPr>
  </w:style>
  <w:style w:type="paragraph" w:styleId="CommentText">
    <w:name w:val="annotation text"/>
    <w:basedOn w:val="Normal"/>
    <w:link w:val="CommentTextChar"/>
    <w:uiPriority w:val="99"/>
    <w:semiHidden/>
    <w:rsid w:val="00307C88"/>
  </w:style>
  <w:style w:type="character" w:customStyle="1" w:styleId="CommentTextChar">
    <w:name w:val="Comment Text Char"/>
    <w:basedOn w:val="DefaultParagraphFont"/>
    <w:link w:val="CommentText"/>
    <w:uiPriority w:val="99"/>
    <w:semiHidden/>
    <w:rsid w:val="00307C88"/>
    <w:rPr>
      <w:rFonts w:eastAsia="MS Mincho"/>
    </w:rPr>
  </w:style>
  <w:style w:type="paragraph" w:customStyle="1" w:styleId="IRPfiguresub0">
    <w:name w:val="IRPfiguresub"/>
    <w:basedOn w:val="BodyText"/>
    <w:rsid w:val="004D0808"/>
    <w:pPr>
      <w:spacing w:beforeAutospacing="1" w:after="0" w:afterAutospacing="1"/>
    </w:pPr>
    <w:rPr>
      <w:rFonts w:ascii="Arial" w:eastAsia="Times New Roman" w:hAnsi="Arial"/>
      <w:b/>
      <w:sz w:val="20"/>
    </w:rPr>
  </w:style>
  <w:style w:type="paragraph" w:styleId="BodyText">
    <w:name w:val="Body Text"/>
    <w:basedOn w:val="Normal"/>
    <w:link w:val="BodyTextChar"/>
    <w:uiPriority w:val="1"/>
    <w:unhideWhenUsed/>
    <w:qFormat/>
    <w:rsid w:val="004D0808"/>
    <w:pPr>
      <w:spacing w:after="120"/>
    </w:pPr>
  </w:style>
  <w:style w:type="character" w:customStyle="1" w:styleId="BodyTextChar">
    <w:name w:val="Body Text Char"/>
    <w:basedOn w:val="DefaultParagraphFont"/>
    <w:link w:val="BodyText"/>
    <w:uiPriority w:val="99"/>
    <w:semiHidden/>
    <w:rsid w:val="004D0808"/>
    <w:rPr>
      <w:rFonts w:eastAsia="MS Mincho"/>
    </w:rPr>
  </w:style>
  <w:style w:type="paragraph" w:styleId="ListParagraph">
    <w:name w:val="List Paragraph"/>
    <w:basedOn w:val="Normal"/>
    <w:uiPriority w:val="34"/>
    <w:qFormat/>
    <w:rsid w:val="00674AD7"/>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4AD7"/>
    <w:pPr>
      <w:widowControl w:val="0"/>
    </w:pPr>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674AD7"/>
    <w:rPr>
      <w:rFonts w:asciiTheme="minorHAnsi" w:eastAsiaTheme="minorHAnsi" w:hAnsiTheme="minorHAns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674AD7"/>
    <w:pPr>
      <w:widowControl w:val="0"/>
    </w:pPr>
    <w:rPr>
      <w:rFonts w:asciiTheme="minorHAnsi" w:eastAsiaTheme="minorHAnsi" w:hAnsiTheme="minorHAnsi" w:cstheme="minorBidi"/>
      <w:b/>
      <w:bCs/>
      <w:sz w:val="20"/>
      <w:szCs w:val="20"/>
      <w:lang w:eastAsia="en-US"/>
    </w:rPr>
  </w:style>
  <w:style w:type="paragraph" w:styleId="Revision">
    <w:name w:val="Revision"/>
    <w:hidden/>
    <w:rsid w:val="00674AD7"/>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98435E"/>
    <w:rPr>
      <w:color w:val="0000FF"/>
      <w:u w:val="single"/>
    </w:rPr>
  </w:style>
  <w:style w:type="character" w:styleId="FollowedHyperlink">
    <w:name w:val="FollowedHyperlink"/>
    <w:basedOn w:val="DefaultParagraphFont"/>
    <w:uiPriority w:val="99"/>
    <w:semiHidden/>
    <w:unhideWhenUsed/>
    <w:rsid w:val="002B3A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58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pnucc.org/system-planning/power-natural-gas-tas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C7E816-4591-4386-ACD6-B79DBD2A4FBA}"/>
</file>

<file path=customXml/itemProps2.xml><?xml version="1.0" encoding="utf-8"?>
<ds:datastoreItem xmlns:ds="http://schemas.openxmlformats.org/officeDocument/2006/customXml" ds:itemID="{668001C4-5C1D-4388-AF82-95DC6BBADB18}"/>
</file>

<file path=customXml/itemProps3.xml><?xml version="1.0" encoding="utf-8"?>
<ds:datastoreItem xmlns:ds="http://schemas.openxmlformats.org/officeDocument/2006/customXml" ds:itemID="{EC9D39FD-634B-4BFD-9996-0018B0B0E058}"/>
</file>

<file path=customXml/itemProps4.xml><?xml version="1.0" encoding="utf-8"?>
<ds:datastoreItem xmlns:ds="http://schemas.openxmlformats.org/officeDocument/2006/customXml" ds:itemID="{0649726C-40CE-4548-8351-EC5A26358608}"/>
</file>

<file path=customXml/itemProps5.xml><?xml version="1.0" encoding="utf-8"?>
<ds:datastoreItem xmlns:ds="http://schemas.openxmlformats.org/officeDocument/2006/customXml" ds:itemID="{E8F653AB-57B8-4C34-9C5A-4898586E1D9C}"/>
</file>

<file path=docProps/app.xml><?xml version="1.0" encoding="utf-8"?>
<Properties xmlns="http://schemas.openxmlformats.org/officeDocument/2006/extended-properties" xmlns:vt="http://schemas.openxmlformats.org/officeDocument/2006/docPropsVTypes">
  <Template>Normal.dotm</Template>
  <TotalTime>1</TotalTime>
  <Pages>17</Pages>
  <Words>4005</Words>
  <Characters>22830</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2</cp:revision>
  <cp:lastPrinted>2015-11-06T16:59:00Z</cp:lastPrinted>
  <dcterms:created xsi:type="dcterms:W3CDTF">2015-11-06T17:44:00Z</dcterms:created>
  <dcterms:modified xsi:type="dcterms:W3CDTF">2015-11-06T17:44:00Z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