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A0" w:rsidRDefault="00C879A0" w:rsidP="00C879A0">
      <w:pPr>
        <w:pStyle w:val="Header"/>
        <w:tabs>
          <w:tab w:val="clear" w:pos="4320"/>
          <w:tab w:val="clear" w:pos="8640"/>
          <w:tab w:val="center" w:pos="4680"/>
        </w:tabs>
        <w:spacing w:line="480" w:lineRule="auto"/>
        <w:jc w:val="center"/>
        <w:rPr>
          <w:b/>
          <w:bCs/>
          <w:sz w:val="24"/>
        </w:rPr>
      </w:pPr>
      <w:r>
        <w:rPr>
          <w:b/>
          <w:bCs/>
          <w:sz w:val="24"/>
        </w:rPr>
        <w:t>BEFORE THE</w:t>
      </w:r>
    </w:p>
    <w:p w:rsidR="00C879A0" w:rsidRDefault="00C879A0" w:rsidP="00C879A0">
      <w:pPr>
        <w:pStyle w:val="Heading1"/>
        <w:jc w:val="center"/>
        <w:rPr>
          <w:sz w:val="24"/>
        </w:rPr>
      </w:pPr>
      <w:r>
        <w:rPr>
          <w:sz w:val="24"/>
        </w:rPr>
        <w:t>WASHINGTON UTILITIES AND TRANSPORTATION COMMISSION</w:t>
      </w:r>
    </w:p>
    <w:p w:rsidR="00C879A0" w:rsidRPr="004F0FFA" w:rsidRDefault="00C879A0" w:rsidP="00C879A0"/>
    <w:p w:rsidR="00C879A0" w:rsidRDefault="00C879A0" w:rsidP="00C879A0">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C879A0" w:rsidTr="00881D75">
        <w:tc>
          <w:tcPr>
            <w:tcW w:w="4328" w:type="dxa"/>
            <w:tcBorders>
              <w:bottom w:val="single" w:sz="4" w:space="0" w:color="auto"/>
            </w:tcBorders>
          </w:tcPr>
          <w:p w:rsidR="00C879A0" w:rsidRPr="003D3DCC" w:rsidRDefault="00C879A0" w:rsidP="00881D75">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C879A0" w:rsidRDefault="00C879A0" w:rsidP="00881D75">
            <w:pPr>
              <w:tabs>
                <w:tab w:val="left" w:pos="2168"/>
              </w:tabs>
            </w:pPr>
          </w:p>
          <w:p w:rsidR="00C879A0" w:rsidRDefault="00C879A0" w:rsidP="00881D75">
            <w:pPr>
              <w:tabs>
                <w:tab w:val="left" w:pos="2168"/>
              </w:tabs>
            </w:pPr>
            <w:r>
              <w:t>PACIFICORP d/b/a PACIFIC POWER &amp;.</w:t>
            </w:r>
          </w:p>
          <w:p w:rsidR="00C879A0" w:rsidRDefault="00C879A0" w:rsidP="00881D75">
            <w:pPr>
              <w:tabs>
                <w:tab w:val="left" w:pos="2168"/>
              </w:tabs>
            </w:pPr>
            <w:r>
              <w:t>LIGHT COMPANY</w:t>
            </w:r>
          </w:p>
          <w:p w:rsidR="00C879A0" w:rsidRDefault="00C879A0" w:rsidP="00881D75">
            <w:pPr>
              <w:pStyle w:val="Footer"/>
              <w:widowControl/>
              <w:tabs>
                <w:tab w:val="clear" w:pos="4320"/>
                <w:tab w:val="clear" w:pos="8640"/>
              </w:tabs>
              <w:rPr>
                <w:snapToGrid/>
              </w:rPr>
            </w:pPr>
          </w:p>
          <w:p w:rsidR="00C879A0" w:rsidRDefault="00807F75" w:rsidP="006F6119">
            <w:pPr>
              <w:pStyle w:val="Footer"/>
              <w:widowControl/>
              <w:tabs>
                <w:tab w:val="clear" w:pos="4320"/>
                <w:tab w:val="clear" w:pos="8640"/>
              </w:tabs>
              <w:rPr>
                <w:snapToGrid/>
              </w:rPr>
            </w:pPr>
            <w:r>
              <w:rPr>
                <w:snapToGrid/>
              </w:rPr>
              <w:t>Hydro Investment Adjustment,</w:t>
            </w:r>
          </w:p>
          <w:p w:rsidR="00807F75" w:rsidRPr="003D3DCC" w:rsidRDefault="00807F75" w:rsidP="006F6119">
            <w:pPr>
              <w:pStyle w:val="Footer"/>
              <w:widowControl/>
              <w:tabs>
                <w:tab w:val="clear" w:pos="4320"/>
                <w:tab w:val="clear" w:pos="8640"/>
              </w:tabs>
              <w:rPr>
                <w:snapToGrid/>
              </w:rPr>
            </w:pPr>
            <w:r>
              <w:rPr>
                <w:snapToGrid/>
              </w:rPr>
              <w:t>Advice No. 14-03.</w:t>
            </w:r>
          </w:p>
        </w:tc>
        <w:tc>
          <w:tcPr>
            <w:tcW w:w="270" w:type="dxa"/>
          </w:tcPr>
          <w:p w:rsidR="00C879A0" w:rsidRDefault="00C879A0" w:rsidP="00881D75">
            <w:pPr>
              <w:pStyle w:val="SingleSpacing"/>
              <w:spacing w:line="240" w:lineRule="auto"/>
            </w:pPr>
            <w:r>
              <w:t>)</w:t>
            </w:r>
          </w:p>
          <w:p w:rsidR="00C879A0" w:rsidRDefault="00C879A0" w:rsidP="00881D75">
            <w:pPr>
              <w:pStyle w:val="SingleSpacing"/>
              <w:spacing w:line="240" w:lineRule="auto"/>
            </w:pPr>
            <w:r>
              <w:t>)</w:t>
            </w:r>
          </w:p>
          <w:p w:rsidR="00C879A0" w:rsidRDefault="00C879A0" w:rsidP="00881D75">
            <w:pPr>
              <w:pStyle w:val="SingleSpacing"/>
              <w:spacing w:line="240" w:lineRule="auto"/>
            </w:pPr>
            <w:r>
              <w:t>)</w:t>
            </w:r>
          </w:p>
          <w:p w:rsidR="00C879A0" w:rsidRDefault="00C879A0" w:rsidP="00881D75">
            <w:pPr>
              <w:pStyle w:val="SingleSpacing"/>
              <w:spacing w:line="240" w:lineRule="auto"/>
            </w:pPr>
            <w:r>
              <w:t>)</w:t>
            </w:r>
          </w:p>
          <w:p w:rsidR="00C879A0" w:rsidRDefault="00C879A0" w:rsidP="00881D75">
            <w:pPr>
              <w:pStyle w:val="SingleSpacing"/>
              <w:spacing w:line="240" w:lineRule="auto"/>
            </w:pPr>
            <w:r>
              <w:t>)</w:t>
            </w:r>
          </w:p>
          <w:p w:rsidR="00807F75" w:rsidRDefault="00C879A0" w:rsidP="00881D75">
            <w:pPr>
              <w:pStyle w:val="SingleSpacing"/>
              <w:spacing w:line="240" w:lineRule="auto"/>
            </w:pPr>
            <w:r>
              <w:t>)</w:t>
            </w:r>
          </w:p>
          <w:p w:rsidR="00C879A0" w:rsidRDefault="00C879A0" w:rsidP="00881D75">
            <w:pPr>
              <w:pStyle w:val="SingleSpacing"/>
              <w:spacing w:line="240" w:lineRule="auto"/>
            </w:pPr>
            <w:r>
              <w:t>)</w:t>
            </w:r>
          </w:p>
          <w:p w:rsidR="00807F75" w:rsidRDefault="00807F75" w:rsidP="00881D75">
            <w:pPr>
              <w:pStyle w:val="SingleSpacing"/>
              <w:spacing w:line="240" w:lineRule="auto"/>
            </w:pPr>
            <w:r>
              <w:t>)</w:t>
            </w:r>
          </w:p>
        </w:tc>
        <w:tc>
          <w:tcPr>
            <w:tcW w:w="4050" w:type="dxa"/>
          </w:tcPr>
          <w:p w:rsidR="00C879A0" w:rsidRDefault="00C879A0" w:rsidP="00881D75">
            <w:pPr>
              <w:pStyle w:val="SingleSpacing"/>
              <w:spacing w:line="240" w:lineRule="auto"/>
            </w:pPr>
            <w:bookmarkStart w:id="1" w:name="CaseNumber"/>
            <w:bookmarkEnd w:id="1"/>
          </w:p>
          <w:p w:rsidR="00C879A0" w:rsidRDefault="00C879A0" w:rsidP="00881D75">
            <w:pPr>
              <w:pStyle w:val="SingleSpacing"/>
              <w:spacing w:line="240" w:lineRule="auto"/>
            </w:pPr>
            <w:r>
              <w:t>DOCKET NO. UE</w:t>
            </w:r>
            <w:r w:rsidR="00966E57">
              <w:t>-</w:t>
            </w:r>
            <w:r>
              <w:t>1</w:t>
            </w:r>
            <w:r w:rsidR="007072CC">
              <w:t>4</w:t>
            </w:r>
            <w:r w:rsidR="006F6119">
              <w:t>0</w:t>
            </w:r>
            <w:r w:rsidR="00807F75">
              <w:t>617</w:t>
            </w:r>
          </w:p>
          <w:p w:rsidR="00C879A0" w:rsidRDefault="00C879A0" w:rsidP="00881D75">
            <w:pPr>
              <w:pStyle w:val="SingleSpacing"/>
              <w:spacing w:line="240" w:lineRule="auto"/>
            </w:pPr>
          </w:p>
          <w:p w:rsidR="00C879A0" w:rsidRDefault="00C879A0" w:rsidP="00881D75">
            <w:pPr>
              <w:pStyle w:val="SingleSpacing"/>
              <w:spacing w:line="240" w:lineRule="auto"/>
            </w:pPr>
          </w:p>
          <w:p w:rsidR="00C879A0" w:rsidRDefault="00C879A0" w:rsidP="000D11B6">
            <w:pPr>
              <w:pStyle w:val="BodyText2"/>
            </w:pPr>
            <w:r>
              <w:t xml:space="preserve">PETITION TO INTERVENE </w:t>
            </w:r>
            <w:r w:rsidR="00D326B3">
              <w:t xml:space="preserve">AND OPPOSITION </w:t>
            </w:r>
            <w:r>
              <w:t xml:space="preserve">OF </w:t>
            </w:r>
            <w:r w:rsidR="000D11B6">
              <w:t>THE INDUSTRIAL CUSTOMERS OF NORTHWEST UTILITIES</w:t>
            </w:r>
          </w:p>
        </w:tc>
      </w:tr>
    </w:tbl>
    <w:p w:rsidR="00271AE2" w:rsidRPr="00FB17FA" w:rsidRDefault="00C879A0" w:rsidP="00100632">
      <w:pPr>
        <w:pStyle w:val="WUTCParagraph"/>
        <w:numPr>
          <w:ilvl w:val="0"/>
          <w:numId w:val="0"/>
        </w:numPr>
        <w:spacing w:before="240"/>
        <w:rPr>
          <w:b/>
        </w:rPr>
      </w:pPr>
      <w:r w:rsidRPr="00FB17FA">
        <w:rPr>
          <w:b/>
        </w:rPr>
        <w:t xml:space="preserve">          </w:t>
      </w:r>
      <w:r w:rsidR="00271AE2" w:rsidRPr="00FB17FA">
        <w:rPr>
          <w:b/>
        </w:rPr>
        <w:t>I. Petition to Intervene</w:t>
      </w:r>
      <w:r w:rsidRPr="00FB17FA">
        <w:rPr>
          <w:b/>
        </w:rPr>
        <w:t xml:space="preserve">            </w:t>
      </w:r>
    </w:p>
    <w:p w:rsidR="00C879A0" w:rsidRDefault="00C879A0" w:rsidP="002924ED">
      <w:pPr>
        <w:pStyle w:val="WUTCParagraph"/>
        <w:tabs>
          <w:tab w:val="clear" w:pos="0"/>
        </w:tabs>
        <w:spacing w:before="240"/>
      </w:pPr>
      <w:r>
        <w:t xml:space="preserve">  </w:t>
      </w:r>
      <w:r w:rsidR="00C71E62">
        <w:tab/>
      </w:r>
      <w:r>
        <w:t xml:space="preserve">Pursuant to WAC § 480-07-355, </w:t>
      </w:r>
      <w:r w:rsidR="000D11B6">
        <w:t>the Industrial Customers of Northwest Utilities (“ICNU”)</w:t>
      </w:r>
      <w:r>
        <w:t xml:space="preserve"> hereby petitions the Washington Utilities and Transportation Commission (“WUTC” or “Commission”) for leave to intervene</w:t>
      </w:r>
      <w:r w:rsidR="00D326B3">
        <w:t xml:space="preserve"> in opposition</w:t>
      </w:r>
      <w:r>
        <w:t xml:space="preserve"> in the above-referenced Dock</w:t>
      </w:r>
      <w:r w:rsidR="00966E57">
        <w:t>et</w:t>
      </w:r>
      <w:r w:rsidR="00FB17FA">
        <w:t xml:space="preserve"> as an I</w:t>
      </w:r>
      <w:r>
        <w:t>ntervenor with full party status</w:t>
      </w:r>
      <w:r w:rsidR="00966E57">
        <w:t>,</w:t>
      </w:r>
      <w:r>
        <w:t xml:space="preserve"> as described in WAC § 480-07-340.  The business address of </w:t>
      </w:r>
      <w:r w:rsidR="000D11B6">
        <w:t>ICNU</w:t>
      </w:r>
      <w:r>
        <w:t xml:space="preserve"> is:</w:t>
      </w:r>
    </w:p>
    <w:p w:rsidR="00C879A0" w:rsidRDefault="00B41DB2" w:rsidP="00BB09EA">
      <w:pPr>
        <w:ind w:left="3600"/>
      </w:pPr>
      <w:r>
        <w:t>Industrial Customers of Northwest Utilities</w:t>
      </w:r>
    </w:p>
    <w:p w:rsidR="00B41DB2" w:rsidRDefault="00B41DB2" w:rsidP="00BB09EA">
      <w:pPr>
        <w:ind w:left="3600"/>
      </w:pPr>
      <w:r>
        <w:t>818 SW 3</w:t>
      </w:r>
      <w:r w:rsidRPr="00B41DB2">
        <w:rPr>
          <w:vertAlign w:val="superscript"/>
        </w:rPr>
        <w:t>rd</w:t>
      </w:r>
      <w:r>
        <w:t xml:space="preserve"> Avenue, #266</w:t>
      </w:r>
    </w:p>
    <w:p w:rsidR="00B41DB2" w:rsidRPr="00504368" w:rsidRDefault="00B41DB2" w:rsidP="00BB09EA">
      <w:pPr>
        <w:ind w:left="3600"/>
        <w:rPr>
          <w:szCs w:val="24"/>
        </w:rPr>
      </w:pPr>
      <w:r>
        <w:t>Portland, OR 97204</w:t>
      </w:r>
    </w:p>
    <w:p w:rsidR="002924ED" w:rsidRDefault="002924ED" w:rsidP="002924ED">
      <w:pPr>
        <w:pStyle w:val="WUTCParagraph"/>
        <w:tabs>
          <w:tab w:val="clear" w:pos="0"/>
        </w:tabs>
        <w:spacing w:before="240"/>
      </w:pPr>
      <w:r>
        <w:t xml:space="preserve">                        </w:t>
      </w:r>
      <w:r w:rsidR="00B41DB2">
        <w:t>ICNU</w:t>
      </w:r>
      <w:r>
        <w:t xml:space="preserve"> will be represented in this proceeding by Davison Van Cleve, P.C.  All documents relating to these proceedings should </w:t>
      </w:r>
      <w:bookmarkStart w:id="2" w:name="_GoBack"/>
      <w:bookmarkEnd w:id="2"/>
      <w:r>
        <w:t xml:space="preserve">be served on </w:t>
      </w:r>
      <w:r w:rsidR="00B41DB2">
        <w:t>ICNU</w:t>
      </w:r>
      <w:r>
        <w:t>’s attorneys at the following address:</w:t>
      </w:r>
    </w:p>
    <w:p w:rsidR="00FB17FA" w:rsidRDefault="00FB17FA" w:rsidP="00BB09EA">
      <w:pPr>
        <w:ind w:left="3600"/>
      </w:pPr>
    </w:p>
    <w:p w:rsidR="00FB17FA" w:rsidRDefault="00FB17FA" w:rsidP="00BB09EA">
      <w:pPr>
        <w:ind w:left="3600"/>
      </w:pPr>
    </w:p>
    <w:p w:rsidR="00FB17FA" w:rsidRDefault="00FB17FA" w:rsidP="00BB09EA">
      <w:pPr>
        <w:ind w:left="3600"/>
      </w:pPr>
    </w:p>
    <w:p w:rsidR="00FB17FA" w:rsidRDefault="00FB17FA" w:rsidP="00BB09EA">
      <w:pPr>
        <w:ind w:left="3600"/>
      </w:pPr>
    </w:p>
    <w:p w:rsidR="00FB17FA" w:rsidRDefault="00FB17FA" w:rsidP="00BB09EA">
      <w:pPr>
        <w:ind w:left="3600"/>
      </w:pPr>
    </w:p>
    <w:p w:rsidR="00FB17FA" w:rsidRDefault="00FB17FA" w:rsidP="00BB09EA">
      <w:pPr>
        <w:ind w:left="3600"/>
      </w:pPr>
    </w:p>
    <w:p w:rsidR="00FB17FA" w:rsidRDefault="00FB17FA" w:rsidP="00BB09EA">
      <w:pPr>
        <w:ind w:left="3600"/>
      </w:pPr>
    </w:p>
    <w:p w:rsidR="00100632" w:rsidRDefault="00100632" w:rsidP="00BB09EA">
      <w:pPr>
        <w:ind w:left="3600"/>
      </w:pPr>
    </w:p>
    <w:p w:rsidR="00100632" w:rsidRDefault="00100632" w:rsidP="00BB09EA">
      <w:pPr>
        <w:ind w:left="3600"/>
      </w:pPr>
    </w:p>
    <w:p w:rsidR="00966E57" w:rsidRDefault="00966E57" w:rsidP="00BB09EA">
      <w:pPr>
        <w:ind w:left="3600"/>
      </w:pPr>
      <w:r>
        <w:lastRenderedPageBreak/>
        <w:t>Melinda J. Davison</w:t>
      </w:r>
    </w:p>
    <w:p w:rsidR="00966E57" w:rsidRDefault="00807F75" w:rsidP="00BB09EA">
      <w:pPr>
        <w:ind w:left="3600"/>
      </w:pPr>
      <w:r>
        <w:t>Joshua D. Weber</w:t>
      </w:r>
    </w:p>
    <w:p w:rsidR="00966E57" w:rsidRDefault="00966E57" w:rsidP="00BB09EA">
      <w:pPr>
        <w:ind w:left="3600"/>
      </w:pPr>
      <w:r>
        <w:t>Davison Van Cleve, P.C.</w:t>
      </w:r>
    </w:p>
    <w:p w:rsidR="00966E57" w:rsidRDefault="00966E57" w:rsidP="00BB09EA">
      <w:pPr>
        <w:ind w:left="3600"/>
      </w:pPr>
      <w:r>
        <w:t xml:space="preserve">333 S.W. Taylor, </w:t>
      </w:r>
      <w:smartTag w:uri="urn:schemas-microsoft-com:office:smarttags" w:element="address">
        <w:smartTag w:uri="urn:schemas-microsoft-com:office:smarttags" w:element="Street">
          <w:r>
            <w:t>Suite</w:t>
          </w:r>
        </w:smartTag>
        <w:r>
          <w:t xml:space="preserve"> 400</w:t>
        </w:r>
      </w:smartTag>
    </w:p>
    <w:p w:rsidR="00966E57" w:rsidRDefault="00966E57" w:rsidP="00BB09EA">
      <w:pPr>
        <w:ind w:left="3600"/>
      </w:pPr>
      <w:r>
        <w:t>Portland, OR  97204</w:t>
      </w:r>
    </w:p>
    <w:p w:rsidR="00966E57" w:rsidRDefault="00966E57" w:rsidP="00BB09EA">
      <w:pPr>
        <w:ind w:left="3600"/>
      </w:pPr>
      <w:r>
        <w:t>mjd</w:t>
      </w:r>
      <w:r w:rsidRPr="002E1995">
        <w:t>@dvclaw.com</w:t>
      </w:r>
    </w:p>
    <w:p w:rsidR="00966E57" w:rsidRDefault="00807F75" w:rsidP="00BB09EA">
      <w:pPr>
        <w:ind w:left="3600"/>
      </w:pPr>
      <w:r>
        <w:t>jdw</w:t>
      </w:r>
      <w:r w:rsidR="00966E57">
        <w:t>@dvclaw.com</w:t>
      </w:r>
    </w:p>
    <w:p w:rsidR="00966E57" w:rsidRDefault="00966E57" w:rsidP="00BB09EA">
      <w:pPr>
        <w:ind w:left="3600"/>
      </w:pPr>
      <w:r>
        <w:t>Telephone:  (503) 241-7242</w:t>
      </w:r>
    </w:p>
    <w:p w:rsidR="00966E57" w:rsidRDefault="00966E57" w:rsidP="00BB09EA">
      <w:pPr>
        <w:pStyle w:val="WUTCParagraph"/>
        <w:numPr>
          <w:ilvl w:val="0"/>
          <w:numId w:val="0"/>
        </w:numPr>
        <w:spacing w:line="240" w:lineRule="auto"/>
        <w:ind w:left="3600"/>
      </w:pPr>
      <w:r>
        <w:t>Facsimile:   (503) 241-8160</w:t>
      </w:r>
    </w:p>
    <w:p w:rsidR="00C879A0" w:rsidRPr="0029225A" w:rsidRDefault="00C879A0" w:rsidP="00C71E62">
      <w:pPr>
        <w:pStyle w:val="WUTCParagraph"/>
        <w:tabs>
          <w:tab w:val="clear" w:pos="0"/>
        </w:tabs>
        <w:spacing w:before="240"/>
      </w:pPr>
      <w:r>
        <w:t xml:space="preserve">                        </w:t>
      </w:r>
      <w:r w:rsidRPr="0029225A">
        <w:t>The administrative rules at issue are WAC §</w:t>
      </w:r>
      <w:r w:rsidR="00562F47" w:rsidRPr="0029225A">
        <w:t>§</w:t>
      </w:r>
      <w:r w:rsidR="00562F47">
        <w:t xml:space="preserve"> 480-07-340 through</w:t>
      </w:r>
      <w:r w:rsidRPr="0029225A">
        <w:t xml:space="preserve"> 355.</w:t>
      </w:r>
      <w:r w:rsidR="00C71E62">
        <w:t xml:space="preserve">  The Commission permits intervention when a petitioner demonstrates a substantial interest in the proceeding,</w:t>
      </w:r>
      <w:r w:rsidR="00FB17FA">
        <w:t xml:space="preserve"> or the intervention is in the public i</w:t>
      </w:r>
      <w:r w:rsidR="009576CC">
        <w:t>nterest.</w:t>
      </w:r>
      <w:r w:rsidR="00653A0D" w:rsidRPr="006333CC">
        <w:rPr>
          <w:rStyle w:val="FootnoteReference"/>
          <w:u w:val="single"/>
        </w:rPr>
        <w:footnoteReference w:id="1"/>
      </w:r>
      <w:r w:rsidR="00653A0D" w:rsidRPr="006333CC">
        <w:rPr>
          <w:vertAlign w:val="superscript"/>
        </w:rPr>
        <w:t>/</w:t>
      </w:r>
      <w:r w:rsidR="009576CC">
        <w:t xml:space="preserve">  </w:t>
      </w:r>
      <w:r w:rsidR="00B41DB2" w:rsidRPr="00951AA3">
        <w:t>ICNU</w:t>
      </w:r>
      <w:r w:rsidRPr="00951AA3">
        <w:t xml:space="preserve"> </w:t>
      </w:r>
      <w:r w:rsidR="00951AA3" w:rsidRPr="00951AA3">
        <w:t>is an incorporated, non-profit association of large industrial electric customers in the Pacific Northwest.  A list of ICNU members is included as Attachment A.  As indicated on Attachment A, many of ICNU’s members are customers of</w:t>
      </w:r>
      <w:r w:rsidRPr="00951AA3">
        <w:t xml:space="preserve"> </w:t>
      </w:r>
      <w:r w:rsidR="00951AA3" w:rsidRPr="00951AA3">
        <w:t>PacifiCorp</w:t>
      </w:r>
      <w:r w:rsidR="00C71E62" w:rsidRPr="00951AA3">
        <w:t xml:space="preserve"> (or the “Company”)</w:t>
      </w:r>
      <w:r w:rsidR="00951AA3" w:rsidRPr="00951AA3">
        <w:t xml:space="preserve">, including </w:t>
      </w:r>
      <w:r w:rsidR="00653A0D">
        <w:t xml:space="preserve">the </w:t>
      </w:r>
      <w:r w:rsidR="00951AA3" w:rsidRPr="00951AA3">
        <w:t>Packaging Corporation of America</w:t>
      </w:r>
      <w:r w:rsidR="00504513">
        <w:t>,</w:t>
      </w:r>
      <w:r w:rsidR="00367C22">
        <w:t xml:space="preserve"> f/k/a Boise White Paper, L.L.C.</w:t>
      </w:r>
      <w:r w:rsidR="003F285B">
        <w:t xml:space="preserve"> (“PCA”)</w:t>
      </w:r>
      <w:r w:rsidR="00951AA3" w:rsidRPr="00951AA3">
        <w:t>, PacifiCorp’s largest customer in Washington</w:t>
      </w:r>
      <w:r w:rsidR="009576CC" w:rsidRPr="00951AA3">
        <w:t>.</w:t>
      </w:r>
      <w:r w:rsidR="009576CC">
        <w:t xml:space="preserve">  </w:t>
      </w:r>
      <w:r w:rsidR="00B41DB2">
        <w:t>ICNU</w:t>
      </w:r>
      <w:r w:rsidRPr="0029225A">
        <w:t xml:space="preserve"> has a substantial interest in PacifiCorp’s </w:t>
      </w:r>
      <w:r w:rsidR="00DE2AC9" w:rsidRPr="0029225A">
        <w:t xml:space="preserve">request to </w:t>
      </w:r>
      <w:r w:rsidR="00D326B3" w:rsidRPr="0029225A">
        <w:t>implement an unpreceden</w:t>
      </w:r>
      <w:r w:rsidR="00624A77">
        <w:t>ted</w:t>
      </w:r>
      <w:r w:rsidR="002823D9">
        <w:t xml:space="preserve"> single-issue rate increase, or</w:t>
      </w:r>
      <w:r w:rsidR="00624A77">
        <w:t>,</w:t>
      </w:r>
      <w:r w:rsidR="002823D9">
        <w:t xml:space="preserve"> </w:t>
      </w:r>
      <w:r w:rsidR="00D326B3" w:rsidRPr="0029225A">
        <w:t>in the alternative</w:t>
      </w:r>
      <w:r w:rsidR="00624A77">
        <w:t>,</w:t>
      </w:r>
      <w:r w:rsidR="00D326B3" w:rsidRPr="0029225A">
        <w:t xml:space="preserve"> to </w:t>
      </w:r>
      <w:r w:rsidR="00DE2AC9" w:rsidRPr="0029225A">
        <w:t>defer for later recovery in rates</w:t>
      </w:r>
      <w:r w:rsidR="00624A77">
        <w:t xml:space="preserve"> the</w:t>
      </w:r>
      <w:r w:rsidR="00DE2AC9" w:rsidRPr="0029225A">
        <w:t xml:space="preserve"> costs associated with </w:t>
      </w:r>
      <w:r w:rsidR="00FB17FA">
        <w:t>its Merwin Fish Collector P</w:t>
      </w:r>
      <w:r w:rsidR="00D326B3" w:rsidRPr="0029225A">
        <w:t xml:space="preserve">roject.  </w:t>
      </w:r>
      <w:r w:rsidR="00DE2AC9" w:rsidRPr="0029225A">
        <w:t xml:space="preserve">PacifiCorp </w:t>
      </w:r>
      <w:r w:rsidR="00762B89" w:rsidRPr="0029225A">
        <w:t xml:space="preserve">estimates that </w:t>
      </w:r>
      <w:r w:rsidR="0029225A">
        <w:t xml:space="preserve">inclusion of </w:t>
      </w:r>
      <w:r w:rsidR="00C71E62">
        <w:t>these costs</w:t>
      </w:r>
      <w:r w:rsidR="0029225A">
        <w:t xml:space="preserve"> in rates </w:t>
      </w:r>
      <w:r w:rsidR="002823D9">
        <w:t>would</w:t>
      </w:r>
      <w:r w:rsidR="0029225A">
        <w:t xml:space="preserve"> increase the Company’s rate base by $58.4 million, and would result in an immediate </w:t>
      </w:r>
      <w:r w:rsidR="00271AE2">
        <w:t>rate increase of ap</w:t>
      </w:r>
      <w:r w:rsidR="006333CC">
        <w:t>proximately .5% for Washington c</w:t>
      </w:r>
      <w:r w:rsidR="00271AE2">
        <w:t xml:space="preserve">ustomers, </w:t>
      </w:r>
      <w:r w:rsidR="00C71E62">
        <w:t xml:space="preserve">all </w:t>
      </w:r>
      <w:r w:rsidR="00271AE2">
        <w:t>outside</w:t>
      </w:r>
      <w:r w:rsidR="00C71E62">
        <w:t xml:space="preserve"> of</w:t>
      </w:r>
      <w:r w:rsidR="00271AE2">
        <w:t xml:space="preserve"> the rate case process</w:t>
      </w:r>
      <w:r w:rsidR="002F1F3E" w:rsidRPr="0029225A">
        <w:t>.</w:t>
      </w:r>
      <w:r w:rsidR="006333CC" w:rsidRPr="006333CC">
        <w:rPr>
          <w:rStyle w:val="FootnoteReference"/>
          <w:u w:val="single"/>
        </w:rPr>
        <w:footnoteReference w:id="2"/>
      </w:r>
      <w:r w:rsidR="006333CC" w:rsidRPr="006333CC">
        <w:rPr>
          <w:vertAlign w:val="superscript"/>
        </w:rPr>
        <w:t>/</w:t>
      </w:r>
      <w:r w:rsidR="006333CC">
        <w:t xml:space="preserve"> </w:t>
      </w:r>
      <w:r w:rsidRPr="0029225A">
        <w:t xml:space="preserve">  The </w:t>
      </w:r>
      <w:r w:rsidR="00DE2AC9" w:rsidRPr="0029225A">
        <w:t>inclusion of these costs in rates</w:t>
      </w:r>
      <w:r w:rsidRPr="0029225A">
        <w:t xml:space="preserve"> would substantially and directly affect </w:t>
      </w:r>
      <w:r w:rsidR="00367C22">
        <w:t xml:space="preserve">those of </w:t>
      </w:r>
      <w:r w:rsidR="00B41DB2">
        <w:t>ICNU</w:t>
      </w:r>
      <w:r w:rsidR="00367C22">
        <w:t xml:space="preserve">’s members </w:t>
      </w:r>
      <w:r w:rsidR="00653A0D">
        <w:t>that</w:t>
      </w:r>
      <w:r w:rsidR="00367C22">
        <w:t xml:space="preserve"> are served by PacifiCorp in Washington</w:t>
      </w:r>
      <w:r w:rsidRPr="0029225A">
        <w:t xml:space="preserve">.  </w:t>
      </w:r>
      <w:r w:rsidR="00B41DB2">
        <w:t>ICNU</w:t>
      </w:r>
      <w:r w:rsidRPr="0029225A">
        <w:t xml:space="preserve"> requests leave to intervene in this Docket to represent its </w:t>
      </w:r>
      <w:r w:rsidR="00367C22">
        <w:t xml:space="preserve">members’ </w:t>
      </w:r>
      <w:r w:rsidRPr="0029225A">
        <w:t>interests</w:t>
      </w:r>
      <w:r w:rsidR="00C71E62">
        <w:t>,</w:t>
      </w:r>
      <w:r w:rsidRPr="0029225A">
        <w:t xml:space="preserve"> which are directly affected by PacifiCorp’s </w:t>
      </w:r>
      <w:r w:rsidR="00DE2AC9" w:rsidRPr="0029225A">
        <w:t>proposal</w:t>
      </w:r>
      <w:r w:rsidR="00C71E62">
        <w:t>s</w:t>
      </w:r>
      <w:r w:rsidRPr="0029225A">
        <w:t>.</w:t>
      </w:r>
    </w:p>
    <w:p w:rsidR="00C879A0" w:rsidRPr="0029225A" w:rsidRDefault="00DE2AC9" w:rsidP="00C879A0">
      <w:pPr>
        <w:pStyle w:val="WUTCParagraph"/>
        <w:tabs>
          <w:tab w:val="clear" w:pos="0"/>
        </w:tabs>
      </w:pPr>
      <w:r w:rsidRPr="0029225A">
        <w:lastRenderedPageBreak/>
        <w:t xml:space="preserve">                        </w:t>
      </w:r>
      <w:r w:rsidR="00B41DB2">
        <w:t>ICNU</w:t>
      </w:r>
      <w:r w:rsidR="00C879A0" w:rsidRPr="0029225A">
        <w:t xml:space="preserve">’s legal counsel </w:t>
      </w:r>
      <w:r w:rsidR="002F1F3E" w:rsidRPr="0029225A">
        <w:t>has</w:t>
      </w:r>
      <w:r w:rsidR="00C879A0" w:rsidRPr="0029225A">
        <w:t xml:space="preserve"> extensive experience in proceedings before the Commission involving PacifiCorp’s rates.  </w:t>
      </w:r>
      <w:r w:rsidR="00B41DB2">
        <w:t>ICNU in</w:t>
      </w:r>
      <w:r w:rsidRPr="0029225A">
        <w:t>directly</w:t>
      </w:r>
      <w:r w:rsidR="00C879A0" w:rsidRPr="0029225A">
        <w:t xml:space="preserve"> participated in PacifiCorp’s most recent general rate case</w:t>
      </w:r>
      <w:r w:rsidR="00C71E62">
        <w:t xml:space="preserve"> (UE-130043)</w:t>
      </w:r>
      <w:r w:rsidR="00B41DB2">
        <w:t xml:space="preserve"> as P</w:t>
      </w:r>
      <w:r w:rsidR="003F285B">
        <w:t>CA</w:t>
      </w:r>
      <w:r w:rsidR="00B41DB2">
        <w:t>,</w:t>
      </w:r>
      <w:r w:rsidRPr="0029225A">
        <w:t xml:space="preserve"> and has </w:t>
      </w:r>
      <w:r w:rsidR="00B41DB2">
        <w:t xml:space="preserve">directly </w:t>
      </w:r>
      <w:r w:rsidRPr="0029225A">
        <w:t>participated</w:t>
      </w:r>
      <w:r w:rsidR="00B41DB2">
        <w:t xml:space="preserve"> </w:t>
      </w:r>
      <w:r w:rsidRPr="0029225A">
        <w:t>in other PacifiCorp rate proceedings</w:t>
      </w:r>
      <w:r w:rsidR="00C879A0" w:rsidRPr="0029225A">
        <w:t>, including UE-991832, UE-032065, UE-050684, UE-060669, UE-061546, UE-08022</w:t>
      </w:r>
      <w:r w:rsidR="004703A4">
        <w:t>0, UE-090205, UE-100749, and UE-</w:t>
      </w:r>
      <w:r w:rsidR="00C879A0" w:rsidRPr="0029225A">
        <w:t xml:space="preserve">111190.  </w:t>
      </w:r>
      <w:r w:rsidR="00B41DB2">
        <w:t>ICNU</w:t>
      </w:r>
      <w:r w:rsidR="00C879A0" w:rsidRPr="0029225A">
        <w:t>’s intervention in this proceeding will assist the Commission in resolving the issues and will not unreasonably broaden the issues, burden the record, or delay this proceeding.</w:t>
      </w:r>
    </w:p>
    <w:p w:rsidR="00C879A0" w:rsidRDefault="00DE2AC9" w:rsidP="00C879A0">
      <w:pPr>
        <w:pStyle w:val="WUTCParagraph"/>
        <w:tabs>
          <w:tab w:val="clear" w:pos="0"/>
        </w:tabs>
      </w:pPr>
      <w:r>
        <w:t xml:space="preserve">                        </w:t>
      </w:r>
      <w:r w:rsidR="00C879A0">
        <w:t xml:space="preserve">As described above, </w:t>
      </w:r>
      <w:r w:rsidR="00B41DB2">
        <w:t>ICNU</w:t>
      </w:r>
      <w:r w:rsidR="00C879A0">
        <w:t xml:space="preserve"> has a direct and substantial interest in this proceeding that will not be adequately represented by any other party, and may be affected by any Commission determination made in connection with this proceeding.  It is in the public interest to allow </w:t>
      </w:r>
      <w:r w:rsidR="00B41DB2">
        <w:t>ICNU</w:t>
      </w:r>
      <w:r w:rsidR="00C879A0">
        <w:t xml:space="preserve"> </w:t>
      </w:r>
      <w:r w:rsidR="007B460D">
        <w:t>to intervene in this proceeding.</w:t>
      </w:r>
    </w:p>
    <w:p w:rsidR="00271AE2" w:rsidRPr="00271AE2" w:rsidRDefault="00271AE2" w:rsidP="007B460D">
      <w:pPr>
        <w:pStyle w:val="WUTCParagraph"/>
        <w:numPr>
          <w:ilvl w:val="0"/>
          <w:numId w:val="0"/>
        </w:numPr>
        <w:rPr>
          <w:b/>
        </w:rPr>
      </w:pPr>
      <w:r w:rsidRPr="00271AE2">
        <w:rPr>
          <w:b/>
        </w:rPr>
        <w:t xml:space="preserve">          </w:t>
      </w:r>
      <w:r>
        <w:rPr>
          <w:b/>
        </w:rPr>
        <w:t>II</w:t>
      </w:r>
      <w:r w:rsidRPr="00271AE2">
        <w:rPr>
          <w:b/>
        </w:rPr>
        <w:t xml:space="preserve">. </w:t>
      </w:r>
      <w:r>
        <w:rPr>
          <w:b/>
        </w:rPr>
        <w:t>Opposition</w:t>
      </w:r>
      <w:r w:rsidR="006333CC">
        <w:rPr>
          <w:b/>
        </w:rPr>
        <w:t xml:space="preserve"> to PacifiCorp’s Petition</w:t>
      </w:r>
      <w:r w:rsidRPr="00271AE2">
        <w:rPr>
          <w:b/>
        </w:rPr>
        <w:t xml:space="preserve">           </w:t>
      </w:r>
    </w:p>
    <w:p w:rsidR="0048419B" w:rsidRPr="00100632" w:rsidRDefault="00100632" w:rsidP="00100632">
      <w:pPr>
        <w:pStyle w:val="WUTCParagraph"/>
      </w:pPr>
      <w:r>
        <w:t xml:space="preserve">                        </w:t>
      </w:r>
      <w:r w:rsidR="00271AE2" w:rsidRPr="00100632">
        <w:t xml:space="preserve">PacifiCorp’s </w:t>
      </w:r>
      <w:r w:rsidR="007B460D" w:rsidRPr="00100632">
        <w:t>a</w:t>
      </w:r>
      <w:r w:rsidR="00271AE2" w:rsidRPr="00100632">
        <w:t xml:space="preserve">dvice filing represents a request for extraordinary measures for ordinary costs.  Taken with the Company’s other recent filings, it appears that PacifiCorp wishes to be granted extraordinary rate relief </w:t>
      </w:r>
      <w:r w:rsidR="006333CC" w:rsidRPr="00100632">
        <w:t>when</w:t>
      </w:r>
      <w:r w:rsidR="00271AE2" w:rsidRPr="00100632">
        <w:t xml:space="preserve"> it incurs a </w:t>
      </w:r>
      <w:r w:rsidR="006333CC" w:rsidRPr="00100632">
        <w:t xml:space="preserve">certain level of </w:t>
      </w:r>
      <w:r w:rsidR="00271AE2" w:rsidRPr="00100632">
        <w:t>cost</w:t>
      </w:r>
      <w:r w:rsidR="006333CC" w:rsidRPr="00100632">
        <w:t>s</w:t>
      </w:r>
      <w:r w:rsidR="00271AE2" w:rsidRPr="00100632">
        <w:t xml:space="preserve"> between rate cases.</w:t>
      </w:r>
      <w:r w:rsidR="00124F06" w:rsidRPr="009576CC">
        <w:rPr>
          <w:rStyle w:val="FootnoteReference"/>
          <w:u w:val="single"/>
        </w:rPr>
        <w:footnoteReference w:id="3"/>
      </w:r>
      <w:r w:rsidR="00124F06" w:rsidRPr="009576CC">
        <w:rPr>
          <w:vertAlign w:val="superscript"/>
        </w:rPr>
        <w:t>/</w:t>
      </w:r>
      <w:r w:rsidR="009576CC">
        <w:t xml:space="preserve"> </w:t>
      </w:r>
      <w:r w:rsidR="00271AE2" w:rsidRPr="00100632">
        <w:t xml:space="preserve">This steady diet of tariff riders and requests for deferred accounting is inexplicable given that </w:t>
      </w:r>
      <w:r w:rsidR="00B41DB2">
        <w:t>ICNU</w:t>
      </w:r>
      <w:r w:rsidR="00271AE2" w:rsidRPr="00100632">
        <w:t xml:space="preserve"> understands the Company to be preparing a </w:t>
      </w:r>
      <w:r w:rsidR="006333CC" w:rsidRPr="00100632">
        <w:t xml:space="preserve">general </w:t>
      </w:r>
      <w:r w:rsidR="00271AE2" w:rsidRPr="00100632">
        <w:t xml:space="preserve">rate case that </w:t>
      </w:r>
      <w:r w:rsidR="006333CC" w:rsidRPr="00100632">
        <w:t xml:space="preserve">is expected to be filed in the May 2014 timeframe.  </w:t>
      </w:r>
      <w:r w:rsidR="00271AE2" w:rsidRPr="00100632">
        <w:t>The present filing is inconsistent with Commission standards regardin</w:t>
      </w:r>
      <w:r w:rsidR="00C45DF7">
        <w:t>g single-</w:t>
      </w:r>
      <w:r w:rsidR="00271AE2" w:rsidRPr="00100632">
        <w:t xml:space="preserve">issue ratemaking and </w:t>
      </w:r>
      <w:r w:rsidR="007B460D" w:rsidRPr="00100632">
        <w:t>with Commission</w:t>
      </w:r>
      <w:r w:rsidR="00271AE2" w:rsidRPr="00100632">
        <w:t xml:space="preserve"> precedent regarding deferred </w:t>
      </w:r>
      <w:r w:rsidR="00271AE2" w:rsidRPr="00100632">
        <w:lastRenderedPageBreak/>
        <w:t xml:space="preserve">accounting petitions, and </w:t>
      </w:r>
      <w:r w:rsidR="007B460D" w:rsidRPr="00100632">
        <w:t xml:space="preserve">it </w:t>
      </w:r>
      <w:r w:rsidR="00271AE2" w:rsidRPr="00100632">
        <w:t xml:space="preserve">should be rejected by the </w:t>
      </w:r>
      <w:r w:rsidR="006333CC" w:rsidRPr="00100632">
        <w:t>Commission</w:t>
      </w:r>
      <w:r w:rsidR="00271AE2" w:rsidRPr="00100632">
        <w:t xml:space="preserve"> or</w:t>
      </w:r>
      <w:r w:rsidR="00653A0D">
        <w:t>,</w:t>
      </w:r>
      <w:r w:rsidR="00271AE2" w:rsidRPr="00100632">
        <w:t xml:space="preserve"> at the very least, suspended and set for hearing.</w:t>
      </w:r>
      <w:r w:rsidR="0048419B" w:rsidRPr="00100632">
        <w:t xml:space="preserve">  </w:t>
      </w:r>
    </w:p>
    <w:p w:rsidR="00271AE2" w:rsidRDefault="00100632" w:rsidP="00100632">
      <w:pPr>
        <w:pStyle w:val="WUTCParagraph"/>
      </w:pPr>
      <w:r>
        <w:t xml:space="preserve">                        </w:t>
      </w:r>
      <w:r w:rsidR="0048419B" w:rsidRPr="00100632">
        <w:t>In addition, contrary to the Company’s intimation</w:t>
      </w:r>
      <w:r w:rsidR="004703A4" w:rsidRPr="00100632">
        <w:t xml:space="preserve"> that the prudence of this facility has already been determined</w:t>
      </w:r>
      <w:r w:rsidR="0048419B" w:rsidRPr="00100632">
        <w:t>, neither Staff nor</w:t>
      </w:r>
      <w:r w:rsidR="00653A0D">
        <w:t>, to our knowledge,</w:t>
      </w:r>
      <w:r w:rsidR="0048419B" w:rsidRPr="00100632">
        <w:t xml:space="preserve"> any party conducted a prudence review of the Merwin Fish Collector during the</w:t>
      </w:r>
      <w:r w:rsidR="007B460D" w:rsidRPr="00100632">
        <w:t xml:space="preserve"> 2013 general</w:t>
      </w:r>
      <w:r w:rsidR="0048419B" w:rsidRPr="00100632">
        <w:t xml:space="preserve"> rate case</w:t>
      </w:r>
      <w:r w:rsidR="004703A4" w:rsidRPr="00100632">
        <w:t>.</w:t>
      </w:r>
      <w:r w:rsidR="00653A0D" w:rsidRPr="00C45DF7">
        <w:rPr>
          <w:rStyle w:val="FootnoteReference"/>
          <w:u w:val="single"/>
        </w:rPr>
        <w:footnoteReference w:id="4"/>
      </w:r>
      <w:r w:rsidR="00653A0D" w:rsidRPr="00C45DF7">
        <w:rPr>
          <w:vertAlign w:val="superscript"/>
        </w:rPr>
        <w:t>/</w:t>
      </w:r>
      <w:r w:rsidR="00885139">
        <w:t xml:space="preserve">  </w:t>
      </w:r>
      <w:r w:rsidR="004703A4" w:rsidRPr="00100632">
        <w:t xml:space="preserve">Further, </w:t>
      </w:r>
      <w:r w:rsidR="0048419B" w:rsidRPr="00100632">
        <w:t>the Commission, while finding other capital additions prudent,</w:t>
      </w:r>
      <w:r w:rsidR="004703A4" w:rsidRPr="00100632">
        <w:t xml:space="preserve"> did not</w:t>
      </w:r>
      <w:r w:rsidR="0048419B" w:rsidRPr="00100632">
        <w:t xml:space="preserve"> </w:t>
      </w:r>
      <w:r w:rsidR="00E40C9B" w:rsidRPr="00100632">
        <w:t xml:space="preserve">consider or </w:t>
      </w:r>
      <w:r w:rsidR="0048419B" w:rsidRPr="00100632">
        <w:t>opine on the prudence of this facility.</w:t>
      </w:r>
      <w:r w:rsidR="0048419B" w:rsidRPr="00C45DF7">
        <w:rPr>
          <w:rStyle w:val="FootnoteReference"/>
          <w:u w:val="single"/>
        </w:rPr>
        <w:footnoteReference w:id="5"/>
      </w:r>
      <w:r w:rsidR="0048419B" w:rsidRPr="00C45DF7">
        <w:rPr>
          <w:vertAlign w:val="superscript"/>
        </w:rPr>
        <w:t>/</w:t>
      </w:r>
      <w:r w:rsidR="0048419B" w:rsidRPr="00100632">
        <w:t xml:space="preserve">  Thus</w:t>
      </w:r>
      <w:r w:rsidR="00BB20AC">
        <w:t>,</w:t>
      </w:r>
      <w:r w:rsidR="0048419B" w:rsidRPr="00100632">
        <w:t xml:space="preserve"> the Company’s statement that “no party challenged the </w:t>
      </w:r>
      <w:r w:rsidR="0048419B">
        <w:t>prudence” of the facility does not mean that it has met the prudence standard for inclusion</w:t>
      </w:r>
      <w:r w:rsidR="007B460D">
        <w:t xml:space="preserve"> of costs</w:t>
      </w:r>
      <w:r w:rsidR="0048419B">
        <w:t xml:space="preserve"> in rates,</w:t>
      </w:r>
      <w:r w:rsidR="00E40C9B">
        <w:t xml:space="preserve"> demonstrating that if </w:t>
      </w:r>
      <w:r w:rsidR="004703A4">
        <w:t>the petition</w:t>
      </w:r>
      <w:r w:rsidR="00E40C9B">
        <w:t xml:space="preserve"> is not rejected then</w:t>
      </w:r>
      <w:r w:rsidR="00653A0D">
        <w:t>,</w:t>
      </w:r>
      <w:r w:rsidR="00E40C9B">
        <w:t xml:space="preserve"> at the very least, </w:t>
      </w:r>
      <w:r w:rsidR="004703A4">
        <w:t>it</w:t>
      </w:r>
      <w:r w:rsidR="00E40C9B">
        <w:t xml:space="preserve"> must be set for review</w:t>
      </w:r>
      <w:r w:rsidR="0048419B">
        <w:t>.</w:t>
      </w:r>
      <w:r w:rsidR="006333CC">
        <w:t xml:space="preserve">  </w:t>
      </w:r>
      <w:r w:rsidR="00653A0D">
        <w:t>PacifiCorp’s prudence</w:t>
      </w:r>
      <w:r w:rsidR="006333CC">
        <w:t xml:space="preserve"> argument turns prudency review on its head</w:t>
      </w:r>
      <w:r w:rsidR="00653A0D">
        <w:t xml:space="preserve">, stating, essentially, that </w:t>
      </w:r>
      <w:r w:rsidR="006333CC">
        <w:t xml:space="preserve">if there is no opposition to the prudency of </w:t>
      </w:r>
      <w:r w:rsidR="00B41DB2">
        <w:t>an expenditure</w:t>
      </w:r>
      <w:r w:rsidR="006333CC">
        <w:t>, then it is deemed prudent.</w:t>
      </w:r>
    </w:p>
    <w:p w:rsidR="00207280" w:rsidRPr="00CA61B5" w:rsidRDefault="00207280" w:rsidP="00CA61B5">
      <w:pPr>
        <w:pStyle w:val="WUTCParagraph"/>
        <w:numPr>
          <w:ilvl w:val="0"/>
          <w:numId w:val="3"/>
        </w:numPr>
        <w:ind w:left="1080"/>
        <w:rPr>
          <w:u w:val="single"/>
        </w:rPr>
      </w:pPr>
      <w:r w:rsidRPr="00CA61B5">
        <w:rPr>
          <w:u w:val="single"/>
        </w:rPr>
        <w:t>The Commission Should Reject PacifiCorp’s Rate Base</w:t>
      </w:r>
      <w:r w:rsidR="00CA61B5" w:rsidRPr="00CA61B5">
        <w:rPr>
          <w:u w:val="single"/>
        </w:rPr>
        <w:t>-Tracking Tariff</w:t>
      </w:r>
      <w:r w:rsidRPr="00CA61B5">
        <w:rPr>
          <w:u w:val="single"/>
        </w:rPr>
        <w:t xml:space="preserve"> Rider</w:t>
      </w:r>
    </w:p>
    <w:p w:rsidR="003A4E7E" w:rsidRPr="00100632" w:rsidRDefault="00100632" w:rsidP="00100632">
      <w:pPr>
        <w:pStyle w:val="WUTCParagraph"/>
        <w:tabs>
          <w:tab w:val="left" w:pos="1530"/>
        </w:tabs>
      </w:pPr>
      <w:r>
        <w:t xml:space="preserve">                  </w:t>
      </w:r>
      <w:r w:rsidRPr="00100632">
        <w:t xml:space="preserve">       </w:t>
      </w:r>
      <w:r w:rsidR="00124F06" w:rsidRPr="00100632">
        <w:t>The Commission has repeatedly stated: “[i]n particular, we disfavor and typically avoid single-issue ratemaking . . . .”</w:t>
      </w:r>
      <w:r w:rsidR="00124F06" w:rsidRPr="00C45DF7">
        <w:rPr>
          <w:u w:val="single"/>
          <w:vertAlign w:val="superscript"/>
        </w:rPr>
        <w:footnoteReference w:id="6"/>
      </w:r>
      <w:r w:rsidR="00124F06" w:rsidRPr="00C45DF7">
        <w:rPr>
          <w:vertAlign w:val="superscript"/>
        </w:rPr>
        <w:t>/</w:t>
      </w:r>
      <w:r w:rsidR="00124F06" w:rsidRPr="00100632">
        <w:t xml:space="preserve">  The Commission has called </w:t>
      </w:r>
      <w:r w:rsidR="001B7CB4" w:rsidRPr="00100632">
        <w:t xml:space="preserve">mechanisms for inclusion of capital projects in rate base between rate cases </w:t>
      </w:r>
      <w:r w:rsidR="00E40C9B" w:rsidRPr="00100632">
        <w:t>“</w:t>
      </w:r>
      <w:r w:rsidR="00124F06" w:rsidRPr="00100632">
        <w:t>extraordinary relief,</w:t>
      </w:r>
      <w:r w:rsidR="00E40C9B" w:rsidRPr="00100632">
        <w:t>”</w:t>
      </w:r>
      <w:r w:rsidR="00124F06" w:rsidRPr="00100632">
        <w:t xml:space="preserve"> and</w:t>
      </w:r>
      <w:r w:rsidR="001B7CB4" w:rsidRPr="00100632">
        <w:t xml:space="preserve"> requires</w:t>
      </w:r>
      <w:r w:rsidR="00124F06" w:rsidRPr="00100632">
        <w:t xml:space="preserve"> the Company </w:t>
      </w:r>
      <w:r w:rsidR="001B7CB4" w:rsidRPr="00100632">
        <w:t>to</w:t>
      </w:r>
      <w:r w:rsidR="00124F06" w:rsidRPr="00100632">
        <w:t xml:space="preserve"> present a “clear and convincing showing that the Company will be denied any reasonable opportunity to earn its authorized rate of return without extraordinary relief.”</w:t>
      </w:r>
      <w:r w:rsidR="004828B0" w:rsidRPr="00C45DF7">
        <w:rPr>
          <w:u w:val="single"/>
          <w:vertAlign w:val="superscript"/>
        </w:rPr>
        <w:footnoteReference w:id="7"/>
      </w:r>
      <w:r w:rsidR="004828B0" w:rsidRPr="00C45DF7">
        <w:rPr>
          <w:vertAlign w:val="superscript"/>
        </w:rPr>
        <w:t>/</w:t>
      </w:r>
      <w:r w:rsidR="009A62E2">
        <w:t xml:space="preserve">  </w:t>
      </w:r>
      <w:r w:rsidR="007B460D" w:rsidRPr="00100632">
        <w:t xml:space="preserve">By definition, PacifiCorp’s request for a tariff rider that will implement an immediate rate increase to reflect the addition of the allegedly now “used and useful” </w:t>
      </w:r>
      <w:r w:rsidR="009A62E2">
        <w:t>Merwin Fish Collector is single-</w:t>
      </w:r>
      <w:r w:rsidR="007B460D" w:rsidRPr="00100632">
        <w:t xml:space="preserve">issue </w:t>
      </w:r>
      <w:r w:rsidR="007B460D" w:rsidRPr="00100632">
        <w:lastRenderedPageBreak/>
        <w:t xml:space="preserve">ratemaking. </w:t>
      </w:r>
      <w:r w:rsidRPr="00100632">
        <w:t xml:space="preserve"> </w:t>
      </w:r>
      <w:r w:rsidR="004828B0" w:rsidRPr="00100632">
        <w:t xml:space="preserve">PacifiCorp’s </w:t>
      </w:r>
      <w:r w:rsidR="001B7CB4" w:rsidRPr="00100632">
        <w:t>P</w:t>
      </w:r>
      <w:r w:rsidR="004828B0" w:rsidRPr="00100632">
        <w:t xml:space="preserve">etition contains no </w:t>
      </w:r>
      <w:r w:rsidR="007B460D" w:rsidRPr="00100632">
        <w:t>show</w:t>
      </w:r>
      <w:r w:rsidR="00FA724D" w:rsidRPr="00100632">
        <w:t>ing</w:t>
      </w:r>
      <w:r w:rsidR="007B460D" w:rsidRPr="00100632">
        <w:t xml:space="preserve"> that</w:t>
      </w:r>
      <w:r w:rsidR="001B7CB4" w:rsidRPr="00100632">
        <w:t>,</w:t>
      </w:r>
      <w:r w:rsidR="007B460D" w:rsidRPr="00100632">
        <w:t xml:space="preserve"> absent extraordinary relief</w:t>
      </w:r>
      <w:r w:rsidR="001B7CB4" w:rsidRPr="00100632">
        <w:t>,</w:t>
      </w:r>
      <w:r w:rsidR="007B460D" w:rsidRPr="00100632">
        <w:t xml:space="preserve"> it will be denied “any reasonable opportunity to earn its authorized rate of return.”</w:t>
      </w:r>
      <w:r w:rsidR="004828B0" w:rsidRPr="00100632">
        <w:t xml:space="preserve">  </w:t>
      </w:r>
    </w:p>
    <w:p w:rsidR="00124F06" w:rsidRPr="008C1E3B" w:rsidRDefault="008C1E3B" w:rsidP="008C1E3B">
      <w:pPr>
        <w:pStyle w:val="WUTCParagraph"/>
        <w:tabs>
          <w:tab w:val="left" w:pos="1530"/>
        </w:tabs>
      </w:pPr>
      <w:r>
        <w:t xml:space="preserve">                         </w:t>
      </w:r>
      <w:r w:rsidR="004828B0" w:rsidRPr="008C1E3B">
        <w:t xml:space="preserve">To the contrary, while the Commission recently opined that there was a need to “address some of the impacts of regulatory lag on PacifiCorp . . . ,” </w:t>
      </w:r>
      <w:r w:rsidR="007B460D" w:rsidRPr="008C1E3B">
        <w:t xml:space="preserve">it was </w:t>
      </w:r>
      <w:r w:rsidR="003A4E7E" w:rsidRPr="008C1E3B">
        <w:t>only</w:t>
      </w:r>
      <w:r w:rsidR="004828B0" w:rsidRPr="008C1E3B">
        <w:t xml:space="preserve"> four months ago </w:t>
      </w:r>
      <w:r w:rsidR="007B460D" w:rsidRPr="008C1E3B">
        <w:t xml:space="preserve">that </w:t>
      </w:r>
      <w:r w:rsidR="004828B0" w:rsidRPr="008C1E3B">
        <w:t>PacifiCorp was granted a rate increase that included the extraordinary use of end of period rate base, which reduced the Company’s regulatory lag by approximately six months</w:t>
      </w:r>
      <w:r w:rsidR="003A4E7E" w:rsidRPr="008C1E3B">
        <w:t>.</w:t>
      </w:r>
      <w:r w:rsidR="003A4E7E" w:rsidRPr="00C45DF7">
        <w:rPr>
          <w:u w:val="single"/>
          <w:vertAlign w:val="superscript"/>
        </w:rPr>
        <w:footnoteReference w:id="8"/>
      </w:r>
      <w:r w:rsidR="003A4E7E" w:rsidRPr="00C45DF7">
        <w:rPr>
          <w:vertAlign w:val="superscript"/>
        </w:rPr>
        <w:t>/</w:t>
      </w:r>
      <w:r w:rsidR="00C45DF7">
        <w:t xml:space="preserve">  </w:t>
      </w:r>
      <w:r w:rsidR="003A4E7E" w:rsidRPr="008C1E3B">
        <w:t>The Commission further permitted the Company to make extraordinary pro-forma adjustments to put three major hydro projects and the costs of an upgrade to its Jim Bridger generating station into rate base, even though these were not in service during the test year</w:t>
      </w:r>
      <w:r w:rsidR="007B460D" w:rsidRPr="008C1E3B">
        <w:t>.</w:t>
      </w:r>
      <w:r w:rsidR="003A4E7E" w:rsidRPr="008C1E3B">
        <w:t xml:space="preserve"> </w:t>
      </w:r>
      <w:r w:rsidR="009A62E2">
        <w:t xml:space="preserve"> </w:t>
      </w:r>
      <w:r w:rsidR="007B460D" w:rsidRPr="008C1E3B">
        <w:t xml:space="preserve">These measures </w:t>
      </w:r>
      <w:r w:rsidR="009A62E2" w:rsidRPr="008C1E3B">
        <w:t>were explicitly</w:t>
      </w:r>
      <w:r w:rsidR="007B460D" w:rsidRPr="008C1E3B">
        <w:t xml:space="preserve"> taken to </w:t>
      </w:r>
      <w:r w:rsidR="009A62E2">
        <w:t>significantly reduce</w:t>
      </w:r>
      <w:r w:rsidR="003A4E7E" w:rsidRPr="008C1E3B">
        <w:t xml:space="preserve"> regulatory lag.</w:t>
      </w:r>
      <w:r w:rsidR="003A4E7E" w:rsidRPr="00C45DF7">
        <w:rPr>
          <w:rStyle w:val="FootnoteReference"/>
          <w:u w:val="single"/>
        </w:rPr>
        <w:footnoteReference w:id="9"/>
      </w:r>
      <w:r w:rsidR="003A4E7E" w:rsidRPr="00C45DF7">
        <w:rPr>
          <w:vertAlign w:val="superscript"/>
        </w:rPr>
        <w:t>/</w:t>
      </w:r>
      <w:r w:rsidR="00BB20AC">
        <w:t xml:space="preserve">  </w:t>
      </w:r>
      <w:r w:rsidR="00207280" w:rsidRPr="008C1E3B">
        <w:t xml:space="preserve">The Company has made no showing whatsoever that these substantial and extraordinary mechanisms have not reduced any regulatory lag it may experience to a reasonable level that simply promotes good </w:t>
      </w:r>
      <w:r w:rsidR="007B460D" w:rsidRPr="008C1E3B">
        <w:t xml:space="preserve">utility </w:t>
      </w:r>
      <w:r w:rsidR="00BB20AC">
        <w:t xml:space="preserve">management.  </w:t>
      </w:r>
      <w:r w:rsidR="00207280" w:rsidRPr="008C1E3B">
        <w:t>Nor has the Company made any showing, in the face of the extraordinary relief it has recently received, that it is</w:t>
      </w:r>
      <w:r w:rsidR="007B460D" w:rsidRPr="008C1E3B">
        <w:t xml:space="preserve"> presently</w:t>
      </w:r>
      <w:r w:rsidR="00207280" w:rsidRPr="008C1E3B">
        <w:t xml:space="preserve"> denied any opportunity to earn its authorized rate of return.</w:t>
      </w:r>
    </w:p>
    <w:p w:rsidR="00207280" w:rsidRPr="008C1E3B" w:rsidRDefault="008C1E3B" w:rsidP="008C1E3B">
      <w:pPr>
        <w:pStyle w:val="WUTCParagraph"/>
      </w:pPr>
      <w:r>
        <w:t xml:space="preserve">                        </w:t>
      </w:r>
      <w:r w:rsidR="00207280" w:rsidRPr="008C1E3B">
        <w:t>The Commission has embraced the concern that allowing “piecemeal” ou</w:t>
      </w:r>
      <w:r w:rsidR="008247EA" w:rsidRPr="008C1E3B">
        <w:t>t-of-</w:t>
      </w:r>
      <w:r w:rsidR="00207280" w:rsidRPr="008C1E3B">
        <w:t>period adjustm</w:t>
      </w:r>
      <w:r>
        <w:t>ents will encourage all utilities</w:t>
      </w:r>
      <w:r w:rsidR="00207280" w:rsidRPr="008C1E3B">
        <w:t xml:space="preserve"> to “jump on the bandwagon,” both flooding the Commission with new petitions and eroding the Commission’s ability to maintain proper regulatory oversight.</w:t>
      </w:r>
      <w:r w:rsidR="00207280" w:rsidRPr="00653A0D">
        <w:rPr>
          <w:rStyle w:val="FootnoteReference"/>
          <w:u w:val="single"/>
        </w:rPr>
        <w:footnoteReference w:id="10"/>
      </w:r>
      <w:r w:rsidR="00207280" w:rsidRPr="00653A0D">
        <w:rPr>
          <w:vertAlign w:val="superscript"/>
        </w:rPr>
        <w:t>/</w:t>
      </w:r>
      <w:r w:rsidR="00207280" w:rsidRPr="008C1E3B">
        <w:t xml:space="preserve"> </w:t>
      </w:r>
      <w:r w:rsidR="00CA61B5" w:rsidRPr="008C1E3B">
        <w:t xml:space="preserve"> The Commission should expec</w:t>
      </w:r>
      <w:r w:rsidR="00C90F3A" w:rsidRPr="008C1E3B">
        <w:t>t tha</w:t>
      </w:r>
      <w:r w:rsidR="00CA61B5" w:rsidRPr="008C1E3B">
        <w:t>t all rational utilit</w:t>
      </w:r>
      <w:r w:rsidR="008247EA" w:rsidRPr="008C1E3B">
        <w:t>y managers will</w:t>
      </w:r>
      <w:r w:rsidR="00CA61B5" w:rsidRPr="008C1E3B">
        <w:t xml:space="preserve"> make</w:t>
      </w:r>
      <w:r w:rsidR="008247EA" w:rsidRPr="008C1E3B">
        <w:t xml:space="preserve"> constant</w:t>
      </w:r>
      <w:r w:rsidR="00CA61B5" w:rsidRPr="008C1E3B">
        <w:t xml:space="preserve"> filings to true-up their rate base through tariff riders every time any new plant is put in service, if the Commission goes down the path of accepting such mechanisms.</w:t>
      </w:r>
      <w:r w:rsidRPr="008C1E3B">
        <w:rPr>
          <w:rStyle w:val="FootnoteReference"/>
          <w:u w:val="single"/>
        </w:rPr>
        <w:footnoteReference w:id="11"/>
      </w:r>
      <w:r w:rsidRPr="008C1E3B">
        <w:rPr>
          <w:vertAlign w:val="superscript"/>
        </w:rPr>
        <w:t>/</w:t>
      </w:r>
      <w:r>
        <w:t xml:space="preserve"> </w:t>
      </w:r>
      <w:r w:rsidR="00207280" w:rsidRPr="008C1E3B">
        <w:lastRenderedPageBreak/>
        <w:t>PacifiCorp has made no showing that it needs extraordinary relief, and the Commission should protect</w:t>
      </w:r>
      <w:r w:rsidR="008247EA" w:rsidRPr="008C1E3B">
        <w:t xml:space="preserve"> customers and</w:t>
      </w:r>
      <w:r w:rsidR="00207280" w:rsidRPr="008C1E3B">
        <w:t xml:space="preserve"> the regulatory process by denying its petition.</w:t>
      </w:r>
    </w:p>
    <w:p w:rsidR="00CA61B5" w:rsidRDefault="00CA61B5" w:rsidP="008C1E3B">
      <w:pPr>
        <w:pStyle w:val="WUTCParagraph"/>
        <w:numPr>
          <w:ilvl w:val="0"/>
          <w:numId w:val="3"/>
        </w:numPr>
        <w:spacing w:line="240" w:lineRule="auto"/>
        <w:ind w:left="1080"/>
        <w:rPr>
          <w:u w:val="single"/>
        </w:rPr>
      </w:pPr>
      <w:r w:rsidRPr="00CA61B5">
        <w:rPr>
          <w:u w:val="single"/>
        </w:rPr>
        <w:t xml:space="preserve">The Commission Should </w:t>
      </w:r>
      <w:r>
        <w:rPr>
          <w:u w:val="single"/>
        </w:rPr>
        <w:t>Not Permit a Deferred Accounting Mechanism</w:t>
      </w:r>
      <w:r w:rsidR="008C1E3B">
        <w:rPr>
          <w:u w:val="single"/>
        </w:rPr>
        <w:t xml:space="preserve"> in This Matter</w:t>
      </w:r>
    </w:p>
    <w:p w:rsidR="008C1E3B" w:rsidRPr="00CA61B5" w:rsidRDefault="008C1E3B" w:rsidP="008C1E3B">
      <w:pPr>
        <w:pStyle w:val="WUTCParagraph"/>
        <w:numPr>
          <w:ilvl w:val="0"/>
          <w:numId w:val="0"/>
        </w:numPr>
        <w:spacing w:line="240" w:lineRule="auto"/>
        <w:ind w:left="1080"/>
        <w:rPr>
          <w:u w:val="single"/>
        </w:rPr>
      </w:pPr>
    </w:p>
    <w:p w:rsidR="00A05003" w:rsidRDefault="008C1E3B" w:rsidP="008C1E3B">
      <w:pPr>
        <w:pStyle w:val="WUTCParagraph"/>
      </w:pPr>
      <w:r>
        <w:t xml:space="preserve">                        </w:t>
      </w:r>
      <w:r w:rsidR="00CA61B5" w:rsidRPr="008C1E3B">
        <w:t xml:space="preserve">PacifiCorp has not demonstrated that the costs of the Merwin Fish Collector meet the standards for deferred accounting.   Because deferred accounting essentially authorizes retroactive recovery of costs in future rates – and therefore reduces the risk utilities are expected to bear under standard ratemaking principles – the Commission has determined that deferred </w:t>
      </w:r>
      <w:r w:rsidR="00CF503C">
        <w:t>accounting, like out-of-</w:t>
      </w:r>
      <w:r w:rsidR="00CA61B5" w:rsidRPr="008C1E3B">
        <w:t>period rate base additions, should be authorized only in “extraordinary</w:t>
      </w:r>
      <w:r w:rsidR="00CA61B5">
        <w:t xml:space="preserve"> circumstances.”</w:t>
      </w:r>
      <w:r w:rsidR="000F5D9A" w:rsidRPr="00124F06">
        <w:rPr>
          <w:rStyle w:val="FootnoteReference"/>
          <w:u w:val="single"/>
        </w:rPr>
        <w:footnoteReference w:id="12"/>
      </w:r>
      <w:r w:rsidR="000F5D9A">
        <w:rPr>
          <w:vertAlign w:val="superscript"/>
        </w:rPr>
        <w:t>/</w:t>
      </w:r>
      <w:r w:rsidR="00CA61B5">
        <w:t xml:space="preserve"> </w:t>
      </w:r>
      <w:r w:rsidR="000F5D9A">
        <w:t xml:space="preserve"> For example, t</w:t>
      </w:r>
      <w:r w:rsidR="00CA61B5" w:rsidRPr="00CA61B5">
        <w:t>he Commission rejected Puget Sound Energy, Inc.’s proposal to defer $8.4 million in settlement payments it incurred related to litigation associated with Colstrip</w:t>
      </w:r>
      <w:r w:rsidR="000F5D9A">
        <w:t xml:space="preserve"> because “these costs [were]</w:t>
      </w:r>
      <w:r w:rsidR="000F5D9A" w:rsidRPr="00CA61B5">
        <w:t xml:space="preserve"> not out of the ordinary,” and therefore, they should not “be afforded any extraordinary treatment.”</w:t>
      </w:r>
      <w:r w:rsidR="000F5D9A" w:rsidRPr="00C45DF7">
        <w:rPr>
          <w:rStyle w:val="FootnoteReference"/>
          <w:sz w:val="20"/>
          <w:u w:val="single"/>
        </w:rPr>
        <w:footnoteReference w:id="13"/>
      </w:r>
      <w:r w:rsidR="000F5D9A" w:rsidRPr="00C45DF7">
        <w:rPr>
          <w:sz w:val="20"/>
          <w:vertAlign w:val="superscript"/>
        </w:rPr>
        <w:t>/</w:t>
      </w:r>
      <w:r w:rsidR="00CA61B5" w:rsidRPr="00CA61B5">
        <w:t xml:space="preserve">  </w:t>
      </w:r>
    </w:p>
    <w:p w:rsidR="00A05003" w:rsidRPr="008C1E3B" w:rsidRDefault="008C1E3B" w:rsidP="008C1E3B">
      <w:pPr>
        <w:pStyle w:val="WUTCParagraph"/>
      </w:pPr>
      <w:r>
        <w:t xml:space="preserve">                        </w:t>
      </w:r>
      <w:r w:rsidR="00A05003" w:rsidRPr="008C1E3B">
        <w:t xml:space="preserve">PacifiCorp </w:t>
      </w:r>
      <w:r w:rsidR="000F5D9A" w:rsidRPr="008C1E3B">
        <w:t xml:space="preserve">makes no claim nor any showing that the Merwin Fish Collector is extraordinary or </w:t>
      </w:r>
      <w:r w:rsidR="00E40C9B" w:rsidRPr="008C1E3B">
        <w:t>unforeseeable</w:t>
      </w:r>
      <w:r w:rsidR="00A05003" w:rsidRPr="008C1E3B">
        <w:t>.  Rather, taken with its other recent petitions, it appears that PacifiCorp is atte</w:t>
      </w:r>
      <w:r w:rsidR="000F5D9A" w:rsidRPr="008C1E3B">
        <w:t>mpting to turn deferred accounting</w:t>
      </w:r>
      <w:r w:rsidR="00A05003" w:rsidRPr="008C1E3B">
        <w:t xml:space="preserve"> into an ordinary, rather than </w:t>
      </w:r>
      <w:r w:rsidR="008D1CE4">
        <w:t xml:space="preserve">an </w:t>
      </w:r>
      <w:r w:rsidR="00A05003" w:rsidRPr="008C1E3B">
        <w:t xml:space="preserve">extraordinary, tool for </w:t>
      </w:r>
      <w:r w:rsidR="000F5D9A" w:rsidRPr="008C1E3B">
        <w:t>exacting</w:t>
      </w:r>
      <w:r w:rsidR="00A05003" w:rsidRPr="008C1E3B">
        <w:t xml:space="preserve"> dollar-for-dollar recovery of any costs that it</w:t>
      </w:r>
      <w:r w:rsidR="000F5D9A" w:rsidRPr="008C1E3B">
        <w:t xml:space="preserve"> incurs</w:t>
      </w:r>
      <w:r w:rsidR="00A05003" w:rsidRPr="008C1E3B">
        <w:t xml:space="preserve"> </w:t>
      </w:r>
      <w:r w:rsidR="000F5D9A" w:rsidRPr="008C1E3B">
        <w:t>during</w:t>
      </w:r>
      <w:r w:rsidR="00A05003" w:rsidRPr="008C1E3B">
        <w:t xml:space="preserve"> the short windows between its requests for general rate increases.  PacifiCorp can </w:t>
      </w:r>
      <w:r w:rsidR="00B168D2" w:rsidRPr="008C1E3B">
        <w:t xml:space="preserve">currently </w:t>
      </w:r>
      <w:r w:rsidR="00A05003" w:rsidRPr="008C1E3B">
        <w:t>earn a generous 9.8% return for its shareholders as compensation for bearing the risks involved in running a utility.  If the Company is permitted to constantly shift all of it</w:t>
      </w:r>
      <w:r w:rsidR="00F1731D" w:rsidRPr="008C1E3B">
        <w:t xml:space="preserve">s risk </w:t>
      </w:r>
      <w:r w:rsidR="008D1CE4">
        <w:t xml:space="preserve">between rate cases </w:t>
      </w:r>
      <w:r w:rsidR="00F1731D" w:rsidRPr="008C1E3B">
        <w:t xml:space="preserve">to ratepayers, the return on equity those ratepayers bear should be reduced.  </w:t>
      </w:r>
      <w:r w:rsidR="00A05003" w:rsidRPr="008C1E3B">
        <w:t xml:space="preserve"> </w:t>
      </w:r>
    </w:p>
    <w:p w:rsidR="00C879A0" w:rsidRPr="008C1E3B" w:rsidRDefault="00106440" w:rsidP="00106440">
      <w:pPr>
        <w:pStyle w:val="WUTCParagraph"/>
        <w:numPr>
          <w:ilvl w:val="0"/>
          <w:numId w:val="0"/>
        </w:numPr>
      </w:pPr>
      <w:r>
        <w:lastRenderedPageBreak/>
        <w:t xml:space="preserve">                     </w:t>
      </w:r>
      <w:r w:rsidR="008C1E3B">
        <w:t xml:space="preserve">  </w:t>
      </w:r>
      <w:r>
        <w:t xml:space="preserve"> </w:t>
      </w:r>
      <w:r w:rsidR="00C879A0" w:rsidRPr="008C1E3B">
        <w:t xml:space="preserve">WHEREFORE, </w:t>
      </w:r>
      <w:r w:rsidR="00951AA3">
        <w:t>ICNU</w:t>
      </w:r>
      <w:r w:rsidR="00C879A0" w:rsidRPr="008C1E3B">
        <w:t xml:space="preserve"> respectfully petitions the Commission for leave to intervene in this proceeding</w:t>
      </w:r>
      <w:r w:rsidR="000F5D9A" w:rsidRPr="008C1E3B">
        <w:t>, and requests that the Commission dismiss or suspend and set for hearing the Petition of PacifiCorp for extraordinary relief.</w:t>
      </w:r>
    </w:p>
    <w:p w:rsidR="00C879A0" w:rsidRDefault="00C879A0" w:rsidP="00C879A0">
      <w:pPr>
        <w:keepNext/>
        <w:spacing w:line="480" w:lineRule="auto"/>
        <w:ind w:firstLine="1440"/>
      </w:pPr>
      <w:r>
        <w:t xml:space="preserve">Dated this </w:t>
      </w:r>
      <w:r w:rsidR="00DF7EE4">
        <w:t>25</w:t>
      </w:r>
      <w:r w:rsidR="00DF7EE4" w:rsidRPr="00DF7EE4">
        <w:t>th</w:t>
      </w:r>
      <w:r w:rsidR="00DF7EE4">
        <w:t xml:space="preserve"> </w:t>
      </w:r>
      <w:r>
        <w:t xml:space="preserve">day of </w:t>
      </w:r>
      <w:r w:rsidR="00807F75">
        <w:t>April</w:t>
      </w:r>
      <w:r>
        <w:t>, 201</w:t>
      </w:r>
      <w:r w:rsidR="00DE2AC9">
        <w:t>4</w:t>
      </w:r>
      <w:r>
        <w:t>.</w:t>
      </w:r>
    </w:p>
    <w:p w:rsidR="00C879A0" w:rsidRDefault="00C879A0" w:rsidP="00C879A0">
      <w:pPr>
        <w:keepNext/>
        <w:spacing w:line="480" w:lineRule="auto"/>
        <w:ind w:left="2880" w:firstLine="720"/>
      </w:pPr>
      <w:r>
        <w:t>Respectfully submitted,</w:t>
      </w:r>
    </w:p>
    <w:p w:rsidR="00C879A0" w:rsidRDefault="00C879A0" w:rsidP="00C879A0">
      <w:pPr>
        <w:keepNext/>
        <w:spacing w:line="480" w:lineRule="auto"/>
        <w:ind w:firstLine="3600"/>
      </w:pPr>
      <w:r>
        <w:t>DAVISON VAN CLEVE, P.C.</w:t>
      </w:r>
    </w:p>
    <w:p w:rsidR="00C879A0" w:rsidRDefault="00C879A0" w:rsidP="00C879A0">
      <w:pPr>
        <w:keepNext/>
        <w:ind w:firstLine="3600"/>
      </w:pPr>
    </w:p>
    <w:p w:rsidR="00C879A0" w:rsidRPr="00200EE5" w:rsidRDefault="00C879A0" w:rsidP="00C879A0">
      <w:pPr>
        <w:keepNext/>
        <w:ind w:firstLine="3600"/>
        <w:rPr>
          <w:u w:val="single"/>
        </w:rPr>
      </w:pPr>
      <w:r>
        <w:rPr>
          <w:i/>
          <w:u w:val="single"/>
        </w:rPr>
        <w:t xml:space="preserve">/s/ </w:t>
      </w:r>
      <w:r w:rsidR="00807F75">
        <w:rPr>
          <w:i/>
          <w:u w:val="single"/>
        </w:rPr>
        <w:t>Melinda J. Davison</w:t>
      </w:r>
    </w:p>
    <w:p w:rsidR="00C879A0" w:rsidRDefault="00C879A0" w:rsidP="00C879A0">
      <w:pPr>
        <w:keepNext/>
        <w:ind w:firstLine="3600"/>
      </w:pPr>
      <w:r>
        <w:t>Melinda J. Davison</w:t>
      </w:r>
    </w:p>
    <w:p w:rsidR="00C879A0" w:rsidRDefault="00807F75" w:rsidP="00C879A0">
      <w:pPr>
        <w:keepNext/>
        <w:ind w:firstLine="3600"/>
      </w:pPr>
      <w:r>
        <w:t>Joshua D. Weber</w:t>
      </w:r>
    </w:p>
    <w:p w:rsidR="00C879A0" w:rsidRDefault="00C879A0" w:rsidP="00C879A0">
      <w:pPr>
        <w:keepNext/>
        <w:ind w:firstLine="3600"/>
      </w:pPr>
      <w:r>
        <w:t xml:space="preserve">333 S.W. Taylor, </w:t>
      </w:r>
      <w:smartTag w:uri="urn:schemas-microsoft-com:office:smarttags" w:element="address">
        <w:smartTag w:uri="urn:schemas-microsoft-com:office:smarttags" w:element="Street">
          <w:r>
            <w:t>Suite</w:t>
          </w:r>
        </w:smartTag>
        <w:r>
          <w:t xml:space="preserve"> 400</w:t>
        </w:r>
      </w:smartTag>
    </w:p>
    <w:p w:rsidR="00C879A0" w:rsidRDefault="00C879A0" w:rsidP="00C879A0">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phone">
          <w:r>
            <w:t>Oregon</w:t>
          </w:r>
        </w:smartTag>
        <w:r>
          <w:t xml:space="preserve"> </w:t>
        </w:r>
        <w:smartTag w:uri="urn:schemas-microsoft-com:office:smarttags" w:element="PostalCode">
          <w:r>
            <w:t>97204</w:t>
          </w:r>
        </w:smartTag>
      </w:smartTag>
    </w:p>
    <w:p w:rsidR="00C879A0" w:rsidRDefault="00C879A0" w:rsidP="00C879A0">
      <w:pPr>
        <w:keepNext/>
        <w:ind w:firstLine="3600"/>
      </w:pPr>
      <w:r>
        <w:t>(503) 241-7242 telephone</w:t>
      </w:r>
    </w:p>
    <w:p w:rsidR="00C879A0" w:rsidRDefault="00C879A0" w:rsidP="00C879A0">
      <w:pPr>
        <w:keepNext/>
        <w:ind w:firstLine="3600"/>
      </w:pPr>
      <w:r>
        <w:t>(503) 241-8160 facsimile</w:t>
      </w:r>
    </w:p>
    <w:p w:rsidR="00C879A0" w:rsidRDefault="00C879A0" w:rsidP="00C879A0">
      <w:pPr>
        <w:ind w:left="2912" w:firstLine="688"/>
      </w:pPr>
      <w:r>
        <w:t>mjd</w:t>
      </w:r>
      <w:r w:rsidRPr="002E1995">
        <w:t>@dvclaw.com</w:t>
      </w:r>
    </w:p>
    <w:p w:rsidR="00C879A0" w:rsidRDefault="00807F75" w:rsidP="00C879A0">
      <w:pPr>
        <w:ind w:left="2912" w:firstLine="688"/>
      </w:pPr>
      <w:r>
        <w:t>jdw</w:t>
      </w:r>
      <w:r w:rsidR="00C879A0">
        <w:t>@dvclaw.com</w:t>
      </w:r>
    </w:p>
    <w:p w:rsidR="00C879A0" w:rsidRDefault="00C879A0" w:rsidP="00C879A0">
      <w:pPr>
        <w:ind w:left="3600"/>
      </w:pPr>
      <w:r>
        <w:t xml:space="preserve">Of Attorneys for </w:t>
      </w:r>
      <w:r w:rsidR="00E42140">
        <w:t>t</w:t>
      </w:r>
      <w:r w:rsidR="000D11B6">
        <w:t>he Industrial Customers</w:t>
      </w:r>
    </w:p>
    <w:p w:rsidR="000D11B6" w:rsidRDefault="000D11B6" w:rsidP="00C879A0">
      <w:pPr>
        <w:ind w:left="3600"/>
      </w:pPr>
      <w:r>
        <w:t>of Northwest Utilities</w:t>
      </w:r>
    </w:p>
    <w:p w:rsidR="00C879A0" w:rsidRDefault="00C879A0" w:rsidP="00C879A0">
      <w:pPr>
        <w:pStyle w:val="Heading1"/>
      </w:pPr>
    </w:p>
    <w:p w:rsidR="001C6437" w:rsidRDefault="001C6437" w:rsidP="00DE2AC9">
      <w:pPr>
        <w:pStyle w:val="WUTCParagraph"/>
        <w:numPr>
          <w:ilvl w:val="0"/>
          <w:numId w:val="0"/>
        </w:numPr>
        <w:spacing w:before="240"/>
      </w:pPr>
    </w:p>
    <w:p w:rsidR="00E42140" w:rsidRDefault="00E42140" w:rsidP="00DE2AC9">
      <w:pPr>
        <w:pStyle w:val="WUTCParagraph"/>
        <w:numPr>
          <w:ilvl w:val="0"/>
          <w:numId w:val="0"/>
        </w:numPr>
        <w:spacing w:before="240"/>
      </w:pPr>
    </w:p>
    <w:p w:rsidR="00E42140" w:rsidRDefault="00E42140" w:rsidP="00DE2AC9">
      <w:pPr>
        <w:pStyle w:val="WUTCParagraph"/>
        <w:numPr>
          <w:ilvl w:val="0"/>
          <w:numId w:val="0"/>
        </w:numPr>
        <w:spacing w:before="240"/>
      </w:pPr>
    </w:p>
    <w:p w:rsidR="00E42140" w:rsidRDefault="00E42140" w:rsidP="00DE2AC9">
      <w:pPr>
        <w:pStyle w:val="WUTCParagraph"/>
        <w:numPr>
          <w:ilvl w:val="0"/>
          <w:numId w:val="0"/>
        </w:numPr>
        <w:spacing w:before="240"/>
      </w:pPr>
    </w:p>
    <w:p w:rsidR="00E42140" w:rsidRDefault="00E42140" w:rsidP="00DE2AC9">
      <w:pPr>
        <w:pStyle w:val="WUTCParagraph"/>
        <w:numPr>
          <w:ilvl w:val="0"/>
          <w:numId w:val="0"/>
        </w:numPr>
        <w:spacing w:before="240"/>
      </w:pPr>
    </w:p>
    <w:p w:rsidR="00E42140" w:rsidRDefault="00E42140" w:rsidP="00DE2AC9">
      <w:pPr>
        <w:pStyle w:val="WUTCParagraph"/>
        <w:numPr>
          <w:ilvl w:val="0"/>
          <w:numId w:val="0"/>
        </w:numPr>
        <w:spacing w:before="240"/>
      </w:pPr>
    </w:p>
    <w:p w:rsidR="00E42140" w:rsidRDefault="00E42140" w:rsidP="00DE2AC9">
      <w:pPr>
        <w:pStyle w:val="WUTCParagraph"/>
        <w:numPr>
          <w:ilvl w:val="0"/>
          <w:numId w:val="0"/>
        </w:numPr>
        <w:spacing w:before="240"/>
        <w:sectPr w:rsidR="00E42140" w:rsidSect="00127E7B">
          <w:headerReference w:type="default" r:id="rId9"/>
          <w:footerReference w:type="default" r:id="rId10"/>
          <w:pgSz w:w="12240" w:h="15840"/>
          <w:pgMar w:top="1440" w:right="1440" w:bottom="1440" w:left="1440" w:header="720" w:footer="288" w:gutter="0"/>
          <w:cols w:space="720"/>
          <w:docGrid w:linePitch="360"/>
        </w:sectPr>
      </w:pPr>
    </w:p>
    <w:p w:rsidR="00E42140" w:rsidRDefault="00E42140" w:rsidP="00E42140">
      <w:pPr>
        <w:pStyle w:val="BodyTextIndent"/>
        <w:ind w:left="3600"/>
        <w:rPr>
          <w:b/>
        </w:rPr>
      </w:pPr>
      <w:r>
        <w:rPr>
          <w:b/>
        </w:rPr>
        <w:lastRenderedPageBreak/>
        <w:t>ATTACHMENT A</w:t>
      </w:r>
    </w:p>
    <w:p w:rsidR="00E42140" w:rsidRDefault="00E42140" w:rsidP="00E42140">
      <w:pPr>
        <w:tabs>
          <w:tab w:val="center" w:pos="4680"/>
        </w:tabs>
        <w:suppressAutoHyphens/>
        <w:jc w:val="center"/>
        <w:rPr>
          <w:b/>
        </w:rPr>
      </w:pPr>
    </w:p>
    <w:p w:rsidR="00E42140" w:rsidRPr="00E00DB3" w:rsidRDefault="00E42140" w:rsidP="00E42140">
      <w:pPr>
        <w:tabs>
          <w:tab w:val="center" w:pos="4680"/>
        </w:tabs>
        <w:suppressAutoHyphens/>
        <w:jc w:val="center"/>
        <w:rPr>
          <w:b/>
        </w:rPr>
      </w:pPr>
      <w:r>
        <w:rPr>
          <w:b/>
        </w:rPr>
        <w:t>INDUSTRIAL CUSTOMERS OF NORTHWEST UTILITIES</w:t>
      </w:r>
    </w:p>
    <w:p w:rsidR="00E42140" w:rsidRDefault="00E42140" w:rsidP="00E42140">
      <w:pPr>
        <w:pStyle w:val="EndnoteText"/>
        <w:tabs>
          <w:tab w:val="center" w:pos="3600"/>
        </w:tabs>
        <w:suppressAutoHyphens/>
        <w:rPr>
          <w:rFonts w:ascii="Univers" w:hAnsi="Univers" w:cs="Univers"/>
        </w:rPr>
      </w:pPr>
    </w:p>
    <w:p w:rsidR="00E42140" w:rsidRPr="001D3327" w:rsidRDefault="00E42140" w:rsidP="00E42140">
      <w:pPr>
        <w:tabs>
          <w:tab w:val="center" w:pos="3600"/>
        </w:tabs>
        <w:suppressAutoHyphens/>
        <w:ind w:firstLine="3870"/>
      </w:pPr>
      <w:r w:rsidRPr="001D3327">
        <w:t>Air</w:t>
      </w:r>
      <w:r w:rsidRPr="001D3327">
        <w:rPr>
          <w:b/>
          <w:bCs/>
        </w:rPr>
        <w:t xml:space="preserve"> </w:t>
      </w:r>
      <w:r w:rsidRPr="001D3327">
        <w:t>Liquide</w:t>
      </w:r>
    </w:p>
    <w:p w:rsidR="00E42140" w:rsidRPr="001D3327" w:rsidRDefault="00E42140" w:rsidP="00E42140">
      <w:pPr>
        <w:tabs>
          <w:tab w:val="center" w:pos="3600"/>
        </w:tabs>
        <w:suppressAutoHyphens/>
        <w:ind w:firstLine="3870"/>
      </w:pPr>
      <w:r w:rsidRPr="001D3327">
        <w:t>Air Products</w:t>
      </w:r>
    </w:p>
    <w:p w:rsidR="00E42140" w:rsidRPr="001D3327" w:rsidRDefault="00E42140" w:rsidP="00E42140">
      <w:pPr>
        <w:tabs>
          <w:tab w:val="center" w:pos="3600"/>
        </w:tabs>
        <w:suppressAutoHyphens/>
        <w:ind w:firstLine="3870"/>
      </w:pPr>
      <w:r w:rsidRPr="001D3327">
        <w:t xml:space="preserve">AkzoNoebel </w:t>
      </w:r>
    </w:p>
    <w:p w:rsidR="00E42140" w:rsidRPr="001D3327" w:rsidRDefault="00E42140" w:rsidP="00E42140">
      <w:pPr>
        <w:tabs>
          <w:tab w:val="center" w:pos="3600"/>
        </w:tabs>
        <w:suppressAutoHyphens/>
        <w:ind w:firstLine="3870"/>
      </w:pPr>
      <w:r w:rsidRPr="001D3327">
        <w:t>Amcor Rigid Plastics</w:t>
      </w:r>
    </w:p>
    <w:p w:rsidR="00E42140" w:rsidRPr="001D3327" w:rsidRDefault="00E42140" w:rsidP="00E42140">
      <w:pPr>
        <w:tabs>
          <w:tab w:val="center" w:pos="3600"/>
        </w:tabs>
        <w:suppressAutoHyphens/>
        <w:ind w:firstLine="3870"/>
      </w:pPr>
      <w:r w:rsidRPr="001D3327">
        <w:t>Axiall, Inc.</w:t>
      </w:r>
    </w:p>
    <w:p w:rsidR="00E42140" w:rsidRPr="001D3327" w:rsidRDefault="00E42140" w:rsidP="00E42140">
      <w:pPr>
        <w:tabs>
          <w:tab w:val="center" w:pos="3600"/>
        </w:tabs>
        <w:suppressAutoHyphens/>
        <w:ind w:firstLine="3870"/>
      </w:pPr>
      <w:r w:rsidRPr="001D3327">
        <w:t>Boeing</w:t>
      </w:r>
    </w:p>
    <w:p w:rsidR="00E42140" w:rsidRPr="00254A31" w:rsidRDefault="00E42140" w:rsidP="00E42140">
      <w:pPr>
        <w:tabs>
          <w:tab w:val="center" w:pos="3600"/>
        </w:tabs>
        <w:suppressAutoHyphens/>
        <w:ind w:firstLine="3870"/>
      </w:pPr>
      <w:r>
        <w:t>*</w:t>
      </w:r>
      <w:r w:rsidRPr="00254A31">
        <w:t>Boise Cascade, Inc.</w:t>
      </w:r>
    </w:p>
    <w:p w:rsidR="00E42140" w:rsidRPr="001D3327" w:rsidRDefault="00E42140" w:rsidP="00E42140">
      <w:pPr>
        <w:tabs>
          <w:tab w:val="center" w:pos="3600"/>
        </w:tabs>
        <w:suppressAutoHyphens/>
        <w:ind w:firstLine="3870"/>
      </w:pPr>
      <w:r>
        <w:t>*Packaging Corporation of America</w:t>
      </w:r>
    </w:p>
    <w:p w:rsidR="00E42140" w:rsidRPr="001D3327" w:rsidRDefault="00E42140" w:rsidP="00E42140">
      <w:pPr>
        <w:tabs>
          <w:tab w:val="center" w:pos="3600"/>
        </w:tabs>
        <w:suppressAutoHyphens/>
        <w:ind w:firstLine="3870"/>
      </w:pPr>
      <w:r w:rsidRPr="001D3327">
        <w:t>Certain Teed Gypsum &amp; Ceiling Manufacturing (BPB)</w:t>
      </w:r>
    </w:p>
    <w:p w:rsidR="00E42140" w:rsidRPr="001D3327" w:rsidRDefault="00E42140" w:rsidP="00E42140">
      <w:pPr>
        <w:tabs>
          <w:tab w:val="center" w:pos="3600"/>
        </w:tabs>
        <w:suppressAutoHyphens/>
        <w:ind w:firstLine="3870"/>
      </w:pPr>
      <w:r w:rsidRPr="001D3327">
        <w:t>ConAgra Foods</w:t>
      </w:r>
    </w:p>
    <w:p w:rsidR="00E42140" w:rsidRPr="001D3327" w:rsidRDefault="00E42140" w:rsidP="00E42140">
      <w:pPr>
        <w:tabs>
          <w:tab w:val="center" w:pos="3600"/>
        </w:tabs>
        <w:suppressAutoHyphens/>
        <w:ind w:firstLine="3870"/>
      </w:pPr>
      <w:r w:rsidRPr="001D3327">
        <w:t>Dyno Nobel, Inc.</w:t>
      </w:r>
    </w:p>
    <w:p w:rsidR="00E42140" w:rsidRPr="001D3327" w:rsidRDefault="00E42140" w:rsidP="00E42140">
      <w:pPr>
        <w:tabs>
          <w:tab w:val="center" w:pos="3600"/>
        </w:tabs>
        <w:suppressAutoHyphens/>
        <w:ind w:firstLine="3870"/>
      </w:pPr>
      <w:r w:rsidRPr="001D3327">
        <w:t>Eka Chemicals, Inc.</w:t>
      </w:r>
    </w:p>
    <w:p w:rsidR="00E42140" w:rsidRPr="001D3327" w:rsidRDefault="00E42140" w:rsidP="00E42140">
      <w:pPr>
        <w:tabs>
          <w:tab w:val="center" w:pos="3600"/>
        </w:tabs>
        <w:suppressAutoHyphens/>
        <w:ind w:firstLine="3870"/>
      </w:pPr>
      <w:r w:rsidRPr="001D3327">
        <w:t>Emerald Performance Materials</w:t>
      </w:r>
    </w:p>
    <w:p w:rsidR="00E42140" w:rsidRPr="001D3327" w:rsidRDefault="00E42140" w:rsidP="00E42140">
      <w:pPr>
        <w:tabs>
          <w:tab w:val="center" w:pos="3600"/>
        </w:tabs>
        <w:suppressAutoHyphens/>
        <w:ind w:firstLine="3870"/>
      </w:pPr>
      <w:r w:rsidRPr="001D3327">
        <w:t xml:space="preserve">Evraz, Inc. </w:t>
      </w:r>
    </w:p>
    <w:p w:rsidR="00E42140" w:rsidRPr="001D3327" w:rsidRDefault="00E42140" w:rsidP="00E42140">
      <w:pPr>
        <w:tabs>
          <w:tab w:val="center" w:pos="3600"/>
        </w:tabs>
        <w:suppressAutoHyphens/>
        <w:ind w:firstLine="3870"/>
      </w:pPr>
      <w:r>
        <w:t>*</w:t>
      </w:r>
      <w:r w:rsidRPr="001D3327">
        <w:t xml:space="preserve">Freres Lumber Co. </w:t>
      </w:r>
    </w:p>
    <w:p w:rsidR="00E42140" w:rsidRPr="001D3327" w:rsidRDefault="00E42140" w:rsidP="00E42140">
      <w:pPr>
        <w:tabs>
          <w:tab w:val="center" w:pos="3600"/>
        </w:tabs>
        <w:suppressAutoHyphens/>
        <w:ind w:firstLine="3870"/>
      </w:pPr>
      <w:r>
        <w:t>*</w:t>
      </w:r>
      <w:r w:rsidRPr="001D3327">
        <w:t>Georgia-Pacific</w:t>
      </w:r>
    </w:p>
    <w:p w:rsidR="00E42140" w:rsidRPr="001D3327" w:rsidRDefault="00E42140" w:rsidP="00E42140">
      <w:pPr>
        <w:tabs>
          <w:tab w:val="center" w:pos="3600"/>
        </w:tabs>
        <w:suppressAutoHyphens/>
        <w:ind w:firstLine="3870"/>
      </w:pPr>
      <w:r w:rsidRPr="001D3327">
        <w:t>Inland Empire Paper Co.</w:t>
      </w:r>
    </w:p>
    <w:p w:rsidR="00E42140" w:rsidRPr="001D3327" w:rsidRDefault="00E42140" w:rsidP="00E42140">
      <w:pPr>
        <w:tabs>
          <w:tab w:val="center" w:pos="3600"/>
        </w:tabs>
        <w:suppressAutoHyphens/>
        <w:ind w:firstLine="3870"/>
      </w:pPr>
      <w:r w:rsidRPr="001D3327">
        <w:t>Intel Corp</w:t>
      </w:r>
    </w:p>
    <w:p w:rsidR="00E42140" w:rsidRPr="001D3327" w:rsidRDefault="00E42140" w:rsidP="00E42140">
      <w:pPr>
        <w:tabs>
          <w:tab w:val="center" w:pos="3600"/>
        </w:tabs>
        <w:suppressAutoHyphens/>
        <w:ind w:firstLine="3870"/>
      </w:pPr>
      <w:r>
        <w:t>*</w:t>
      </w:r>
      <w:r w:rsidRPr="001D3327">
        <w:t>International Paper</w:t>
      </w:r>
    </w:p>
    <w:p w:rsidR="00E42140" w:rsidRPr="001D3327" w:rsidRDefault="00E42140" w:rsidP="00E42140">
      <w:pPr>
        <w:tabs>
          <w:tab w:val="center" w:pos="3600"/>
        </w:tabs>
        <w:suppressAutoHyphens/>
        <w:ind w:firstLine="3870"/>
      </w:pPr>
      <w:r w:rsidRPr="001D3327">
        <w:t>JR Simplot</w:t>
      </w:r>
    </w:p>
    <w:p w:rsidR="00E42140" w:rsidRPr="001D3327" w:rsidRDefault="00E42140" w:rsidP="00E42140">
      <w:pPr>
        <w:tabs>
          <w:tab w:val="center" w:pos="3600"/>
        </w:tabs>
        <w:suppressAutoHyphens/>
        <w:ind w:firstLine="3870"/>
      </w:pPr>
      <w:r>
        <w:t>*</w:t>
      </w:r>
      <w:r w:rsidRPr="001D3327">
        <w:t>Kapstone Kraft Paper</w:t>
      </w:r>
    </w:p>
    <w:p w:rsidR="00E42140" w:rsidRPr="001D3327" w:rsidRDefault="00E42140" w:rsidP="00E42140">
      <w:pPr>
        <w:tabs>
          <w:tab w:val="center" w:pos="3600"/>
        </w:tabs>
        <w:suppressAutoHyphens/>
        <w:ind w:firstLine="3870"/>
      </w:pPr>
      <w:r w:rsidRPr="001D3327">
        <w:t xml:space="preserve">Linde, Inc. </w:t>
      </w:r>
    </w:p>
    <w:p w:rsidR="00E42140" w:rsidRPr="001D3327" w:rsidRDefault="00E42140" w:rsidP="00E42140">
      <w:pPr>
        <w:tabs>
          <w:tab w:val="center" w:pos="3870"/>
        </w:tabs>
        <w:suppressAutoHyphens/>
        <w:ind w:firstLine="3870"/>
      </w:pPr>
      <w:r w:rsidRPr="001D3327">
        <w:t>Microsoft Corporation</w:t>
      </w:r>
    </w:p>
    <w:p w:rsidR="00E42140" w:rsidRPr="001D3327" w:rsidRDefault="00E42140" w:rsidP="00E42140">
      <w:pPr>
        <w:tabs>
          <w:tab w:val="center" w:pos="3600"/>
        </w:tabs>
        <w:suppressAutoHyphens/>
        <w:ind w:firstLine="3870"/>
      </w:pPr>
      <w:r>
        <w:t>*</w:t>
      </w:r>
      <w:r w:rsidRPr="001D3327">
        <w:t>Norpac Foods</w:t>
      </w:r>
    </w:p>
    <w:p w:rsidR="00E42140" w:rsidRPr="001D3327" w:rsidRDefault="00E42140" w:rsidP="00E42140">
      <w:pPr>
        <w:tabs>
          <w:tab w:val="center" w:pos="3600"/>
        </w:tabs>
        <w:suppressAutoHyphens/>
        <w:ind w:firstLine="3870"/>
      </w:pPr>
      <w:r>
        <w:t>*</w:t>
      </w:r>
      <w:r w:rsidRPr="001D3327">
        <w:t>Northwest Hardwoods</w:t>
      </w:r>
    </w:p>
    <w:p w:rsidR="00E42140" w:rsidRPr="001D3327" w:rsidRDefault="00E42140" w:rsidP="00E42140">
      <w:pPr>
        <w:tabs>
          <w:tab w:val="center" w:pos="3600"/>
        </w:tabs>
        <w:suppressAutoHyphens/>
        <w:ind w:firstLine="3870"/>
      </w:pPr>
      <w:r>
        <w:t>*</w:t>
      </w:r>
      <w:r w:rsidRPr="001D3327">
        <w:t>PCC Structurals, Inc.</w:t>
      </w:r>
    </w:p>
    <w:p w:rsidR="00E42140" w:rsidRPr="001D3327" w:rsidRDefault="00E42140" w:rsidP="00E42140">
      <w:pPr>
        <w:tabs>
          <w:tab w:val="center" w:pos="3600"/>
        </w:tabs>
        <w:suppressAutoHyphens/>
        <w:ind w:firstLine="3870"/>
      </w:pPr>
      <w:r w:rsidRPr="001D3327">
        <w:t>Ponderay Newsprint</w:t>
      </w:r>
    </w:p>
    <w:p w:rsidR="00E42140" w:rsidRPr="001D3327" w:rsidRDefault="00E42140" w:rsidP="00E42140">
      <w:pPr>
        <w:tabs>
          <w:tab w:val="center" w:pos="3600"/>
        </w:tabs>
        <w:suppressAutoHyphens/>
        <w:ind w:firstLine="3870"/>
      </w:pPr>
      <w:r w:rsidRPr="001D3327">
        <w:t>PPG Industries Inc.</w:t>
      </w:r>
    </w:p>
    <w:p w:rsidR="00E42140" w:rsidRPr="001D3327" w:rsidRDefault="00E42140" w:rsidP="00E42140">
      <w:pPr>
        <w:tabs>
          <w:tab w:val="center" w:pos="3600"/>
        </w:tabs>
        <w:suppressAutoHyphens/>
        <w:ind w:firstLine="3870"/>
      </w:pPr>
      <w:r w:rsidRPr="001D3327">
        <w:t>REC Solar Grade Silicon LLC</w:t>
      </w:r>
    </w:p>
    <w:p w:rsidR="00E42140" w:rsidRPr="001D3327" w:rsidRDefault="00E42140" w:rsidP="00E42140">
      <w:pPr>
        <w:tabs>
          <w:tab w:val="center" w:pos="3600"/>
        </w:tabs>
        <w:suppressAutoHyphens/>
        <w:ind w:firstLine="3870"/>
      </w:pPr>
      <w:r w:rsidRPr="001D3327">
        <w:t>Schnitzer Steel</w:t>
      </w:r>
    </w:p>
    <w:p w:rsidR="00E42140" w:rsidRPr="001D3327" w:rsidRDefault="00E42140" w:rsidP="00E42140">
      <w:pPr>
        <w:tabs>
          <w:tab w:val="center" w:pos="3600"/>
        </w:tabs>
        <w:suppressAutoHyphens/>
        <w:ind w:firstLine="3870"/>
      </w:pPr>
      <w:r w:rsidRPr="001D3327">
        <w:t>Shell Oil Products US</w:t>
      </w:r>
    </w:p>
    <w:p w:rsidR="00E42140" w:rsidRPr="001D3327" w:rsidRDefault="00E42140" w:rsidP="00E42140">
      <w:pPr>
        <w:tabs>
          <w:tab w:val="center" w:pos="3600"/>
        </w:tabs>
        <w:suppressAutoHyphens/>
        <w:ind w:firstLine="3870"/>
      </w:pPr>
      <w:r w:rsidRPr="001D3327">
        <w:t>Simpson Paper &amp; Timber</w:t>
      </w:r>
    </w:p>
    <w:p w:rsidR="00E42140" w:rsidRPr="001D3327" w:rsidRDefault="00E42140" w:rsidP="00E42140">
      <w:pPr>
        <w:tabs>
          <w:tab w:val="center" w:pos="3600"/>
        </w:tabs>
        <w:suppressAutoHyphens/>
        <w:ind w:left="3870"/>
      </w:pPr>
      <w:r w:rsidRPr="001D3327">
        <w:t>SP Fiber Technologies</w:t>
      </w:r>
    </w:p>
    <w:p w:rsidR="00E42140" w:rsidRPr="001D3327" w:rsidRDefault="00E42140" w:rsidP="00E42140">
      <w:pPr>
        <w:tabs>
          <w:tab w:val="center" w:pos="3600"/>
        </w:tabs>
        <w:suppressAutoHyphens/>
        <w:ind w:firstLine="3870"/>
      </w:pPr>
      <w:r w:rsidRPr="001D3327">
        <w:t>Tesoro Refining and Marketing Co.</w:t>
      </w:r>
    </w:p>
    <w:p w:rsidR="00E42140" w:rsidRPr="001D3327" w:rsidRDefault="00E42140" w:rsidP="00E42140">
      <w:pPr>
        <w:tabs>
          <w:tab w:val="center" w:pos="3600"/>
        </w:tabs>
        <w:suppressAutoHyphens/>
        <w:ind w:firstLine="3870"/>
      </w:pPr>
      <w:r>
        <w:t>*</w:t>
      </w:r>
      <w:r w:rsidRPr="001D3327">
        <w:t>Timber Products</w:t>
      </w:r>
    </w:p>
    <w:p w:rsidR="00E42140" w:rsidRPr="001D3327" w:rsidRDefault="00E42140" w:rsidP="00E42140">
      <w:pPr>
        <w:tabs>
          <w:tab w:val="center" w:pos="3600"/>
        </w:tabs>
        <w:suppressAutoHyphens/>
        <w:ind w:firstLine="3870"/>
      </w:pPr>
      <w:r>
        <w:t>*</w:t>
      </w:r>
      <w:r w:rsidRPr="001D3327">
        <w:t>Wah Chang</w:t>
      </w:r>
    </w:p>
    <w:p w:rsidR="00E42140" w:rsidRPr="001D3327" w:rsidRDefault="00E42140" w:rsidP="00E42140">
      <w:pPr>
        <w:tabs>
          <w:tab w:val="center" w:pos="3600"/>
        </w:tabs>
        <w:suppressAutoHyphens/>
        <w:ind w:firstLine="3870"/>
      </w:pPr>
      <w:r w:rsidRPr="001D3327">
        <w:t>West Linn Paper Company</w:t>
      </w:r>
    </w:p>
    <w:p w:rsidR="00E42140" w:rsidRPr="001D3327" w:rsidRDefault="00E42140" w:rsidP="00E42140">
      <w:pPr>
        <w:tabs>
          <w:tab w:val="center" w:pos="3600"/>
        </w:tabs>
        <w:suppressAutoHyphens/>
        <w:ind w:firstLine="3870"/>
      </w:pPr>
      <w:r>
        <w:t>*</w:t>
      </w:r>
      <w:r w:rsidRPr="001D3327">
        <w:t>Weyerhaeuser</w:t>
      </w:r>
    </w:p>
    <w:p w:rsidR="00E42140" w:rsidRPr="00230F6C" w:rsidRDefault="00E42140" w:rsidP="00E42140">
      <w:pPr>
        <w:tabs>
          <w:tab w:val="center" w:pos="3600"/>
        </w:tabs>
        <w:suppressAutoHyphens/>
        <w:ind w:firstLine="3870"/>
        <w:rPr>
          <w:highlight w:val="yellow"/>
        </w:rPr>
      </w:pPr>
    </w:p>
    <w:p w:rsidR="00E42140" w:rsidRPr="00230F6C" w:rsidRDefault="00E42140" w:rsidP="00E42140">
      <w:pPr>
        <w:tabs>
          <w:tab w:val="center" w:pos="3600"/>
        </w:tabs>
        <w:suppressAutoHyphens/>
        <w:ind w:firstLine="3870"/>
        <w:rPr>
          <w:highlight w:val="yellow"/>
        </w:rPr>
      </w:pPr>
    </w:p>
    <w:p w:rsidR="00E42140" w:rsidRPr="00E42140" w:rsidRDefault="00E42140" w:rsidP="00E42140">
      <w:pPr>
        <w:rPr>
          <w:i/>
          <w:iCs/>
          <w:sz w:val="20"/>
        </w:rPr>
      </w:pPr>
      <w:r>
        <w:rPr>
          <w:i/>
          <w:iCs/>
          <w:sz w:val="20"/>
        </w:rPr>
        <w:t>*Denotes PacifiCorp Customers</w:t>
      </w:r>
    </w:p>
    <w:sectPr w:rsidR="00E42140" w:rsidRPr="00E42140" w:rsidSect="00127E7B">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75" w:rsidRDefault="00881D75" w:rsidP="00C879A0">
      <w:r>
        <w:separator/>
      </w:r>
    </w:p>
  </w:endnote>
  <w:endnote w:type="continuationSeparator" w:id="0">
    <w:p w:rsidR="00881D75" w:rsidRDefault="00881D75" w:rsidP="00C8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7B" w:rsidRDefault="00127E7B" w:rsidP="00966E57">
    <w:pPr>
      <w:pStyle w:val="Footer"/>
    </w:pPr>
  </w:p>
  <w:p w:rsidR="00881D75" w:rsidRDefault="00881D75" w:rsidP="00966E57">
    <w:pPr>
      <w:pStyle w:val="Footer"/>
    </w:pPr>
    <w:r>
      <w:t xml:space="preserve">PAGE </w:t>
    </w:r>
    <w:r w:rsidR="007E15D6">
      <w:fldChar w:fldCharType="begin"/>
    </w:r>
    <w:r w:rsidR="00F5532F">
      <w:instrText xml:space="preserve"> PAGE </w:instrText>
    </w:r>
    <w:r w:rsidR="007E15D6">
      <w:fldChar w:fldCharType="separate"/>
    </w:r>
    <w:r w:rsidR="00975B3E">
      <w:rPr>
        <w:noProof/>
      </w:rPr>
      <w:t>2</w:t>
    </w:r>
    <w:r w:rsidR="007E15D6">
      <w:rPr>
        <w:noProof/>
      </w:rPr>
      <w:fldChar w:fldCharType="end"/>
    </w:r>
    <w:r>
      <w:t xml:space="preserve"> – PETITION TO INTERVENE OF </w:t>
    </w:r>
    <w:r w:rsidR="000D11B6">
      <w:t>ICNU</w:t>
    </w:r>
  </w:p>
  <w:p w:rsidR="00881D75" w:rsidRPr="001761F6" w:rsidRDefault="00881D75" w:rsidP="00966E57">
    <w:pPr>
      <w:pStyle w:val="Footer"/>
      <w:rPr>
        <w:rStyle w:val="PageNumber"/>
        <w:sz w:val="16"/>
        <w:szCs w:val="16"/>
      </w:rPr>
    </w:pPr>
  </w:p>
  <w:p w:rsidR="00881D75" w:rsidRPr="00CC7DA8" w:rsidRDefault="00881D75" w:rsidP="00966E57">
    <w:pPr>
      <w:jc w:val="center"/>
      <w:rPr>
        <w:sz w:val="15"/>
        <w:szCs w:val="15"/>
      </w:rPr>
    </w:pPr>
    <w:r w:rsidRPr="00CC7DA8">
      <w:rPr>
        <w:sz w:val="15"/>
        <w:szCs w:val="15"/>
      </w:rPr>
      <w:t>DAVISON VAN CLEVE, P.C.</w:t>
    </w:r>
  </w:p>
  <w:p w:rsidR="00881D75" w:rsidRPr="00CC7DA8" w:rsidRDefault="00881D75" w:rsidP="00966E57">
    <w:pPr>
      <w:tabs>
        <w:tab w:val="center" w:pos="4680"/>
      </w:tabs>
      <w:jc w:val="center"/>
      <w:rPr>
        <w:sz w:val="15"/>
        <w:szCs w:val="15"/>
      </w:rPr>
    </w:pPr>
    <w:r w:rsidRPr="00CC7DA8">
      <w:rPr>
        <w:sz w:val="15"/>
        <w:szCs w:val="15"/>
      </w:rPr>
      <w:t xml:space="preserve">333 S.W. Taylor, </w:t>
    </w:r>
    <w:smartTag w:uri="urn:schemas-microsoft-com:office:smarttags" w:element="address">
      <w:smartTag w:uri="urn:schemas-microsoft-com:office:smarttags" w:element="Street">
        <w:r w:rsidRPr="00CC7DA8">
          <w:rPr>
            <w:sz w:val="15"/>
            <w:szCs w:val="15"/>
          </w:rPr>
          <w:t>Suite</w:t>
        </w:r>
      </w:smartTag>
      <w:r w:rsidRPr="00CC7DA8">
        <w:rPr>
          <w:sz w:val="15"/>
          <w:szCs w:val="15"/>
        </w:rPr>
        <w:t xml:space="preserve"> 400</w:t>
      </w:r>
    </w:smartTag>
  </w:p>
  <w:p w:rsidR="00881D75" w:rsidRPr="00CC7DA8" w:rsidRDefault="00881D75" w:rsidP="00966E57">
    <w:pPr>
      <w:tabs>
        <w:tab w:val="center" w:pos="4680"/>
      </w:tabs>
      <w:jc w:val="center"/>
      <w:rPr>
        <w:sz w:val="15"/>
        <w:szCs w:val="15"/>
      </w:rPr>
    </w:pPr>
    <w:smartTag w:uri="urn:schemas-microsoft-com:office:smarttags" w:element="place">
      <w:smartTag w:uri="urn:schemas-microsoft-com:office:smarttags" w:element="City">
        <w:r w:rsidRPr="00CC7DA8">
          <w:rPr>
            <w:sz w:val="15"/>
            <w:szCs w:val="15"/>
          </w:rPr>
          <w:t>Portland</w:t>
        </w:r>
      </w:smartTag>
      <w:r w:rsidRPr="00CC7DA8">
        <w:rPr>
          <w:sz w:val="15"/>
          <w:szCs w:val="15"/>
        </w:rPr>
        <w:t xml:space="preserve">, </w:t>
      </w:r>
      <w:smartTag w:uri="urn:schemas-microsoft-com:office:smarttags" w:element="State">
        <w:r w:rsidRPr="00CC7DA8">
          <w:rPr>
            <w:sz w:val="15"/>
            <w:szCs w:val="15"/>
          </w:rPr>
          <w:t>OR</w:t>
        </w:r>
      </w:smartTag>
      <w:r w:rsidRPr="00CC7DA8">
        <w:rPr>
          <w:sz w:val="15"/>
          <w:szCs w:val="15"/>
        </w:rPr>
        <w:t xml:space="preserve"> </w:t>
      </w:r>
      <w:smartTag w:uri="urn:schemas-microsoft-com:office:smarttags" w:element="PostalCode">
        <w:r w:rsidRPr="00CC7DA8">
          <w:rPr>
            <w:sz w:val="15"/>
            <w:szCs w:val="15"/>
          </w:rPr>
          <w:t>97204</w:t>
        </w:r>
      </w:smartTag>
    </w:smartTag>
  </w:p>
  <w:p w:rsidR="00881D75" w:rsidRPr="00CC7DA8" w:rsidRDefault="00881D75" w:rsidP="00966E57">
    <w:pPr>
      <w:tabs>
        <w:tab w:val="center" w:pos="4680"/>
      </w:tabs>
      <w:jc w:val="center"/>
      <w:rPr>
        <w:sz w:val="15"/>
        <w:szCs w:val="15"/>
      </w:rPr>
    </w:pPr>
    <w:r w:rsidRPr="00CC7DA8">
      <w:rPr>
        <w:sz w:val="15"/>
        <w:szCs w:val="15"/>
      </w:rPr>
      <w:t>Telephone:  (503) 241-7242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40" w:rsidRDefault="00E42140" w:rsidP="00966E57">
    <w:pPr>
      <w:pStyle w:val="Footer"/>
    </w:pPr>
  </w:p>
  <w:p w:rsidR="00E42140" w:rsidRDefault="00E42140" w:rsidP="00966E57">
    <w:pPr>
      <w:pStyle w:val="Footer"/>
    </w:pPr>
  </w:p>
  <w:p w:rsidR="00E42140" w:rsidRPr="001761F6" w:rsidRDefault="00E42140" w:rsidP="00966E57">
    <w:pPr>
      <w:pStyle w:val="Footer"/>
      <w:rPr>
        <w:rStyle w:val="PageNumber"/>
        <w:sz w:val="16"/>
        <w:szCs w:val="16"/>
      </w:rPr>
    </w:pPr>
  </w:p>
  <w:p w:rsidR="00E42140" w:rsidRPr="00CC7DA8" w:rsidRDefault="00E42140" w:rsidP="00966E57">
    <w:pPr>
      <w:jc w:val="center"/>
      <w:rPr>
        <w:sz w:val="15"/>
        <w:szCs w:val="15"/>
      </w:rPr>
    </w:pPr>
    <w:r w:rsidRPr="00CC7DA8">
      <w:rPr>
        <w:sz w:val="15"/>
        <w:szCs w:val="15"/>
      </w:rPr>
      <w:t>DAVISON VAN CLEVE, P.C.</w:t>
    </w:r>
  </w:p>
  <w:p w:rsidR="00E42140" w:rsidRPr="00CC7DA8" w:rsidRDefault="00E42140" w:rsidP="00966E57">
    <w:pPr>
      <w:tabs>
        <w:tab w:val="center" w:pos="4680"/>
      </w:tabs>
      <w:jc w:val="center"/>
      <w:rPr>
        <w:sz w:val="15"/>
        <w:szCs w:val="15"/>
      </w:rPr>
    </w:pPr>
    <w:r w:rsidRPr="00CC7DA8">
      <w:rPr>
        <w:sz w:val="15"/>
        <w:szCs w:val="15"/>
      </w:rPr>
      <w:t xml:space="preserve">333 S.W. Taylor, </w:t>
    </w:r>
    <w:smartTag w:uri="urn:schemas-microsoft-com:office:smarttags" w:element="address">
      <w:smartTag w:uri="urn:schemas-microsoft-com:office:smarttags" w:element="Street">
        <w:r w:rsidRPr="00CC7DA8">
          <w:rPr>
            <w:sz w:val="15"/>
            <w:szCs w:val="15"/>
          </w:rPr>
          <w:t>Suite</w:t>
        </w:r>
      </w:smartTag>
      <w:r w:rsidRPr="00CC7DA8">
        <w:rPr>
          <w:sz w:val="15"/>
          <w:szCs w:val="15"/>
        </w:rPr>
        <w:t xml:space="preserve"> 400</w:t>
      </w:r>
    </w:smartTag>
  </w:p>
  <w:p w:rsidR="00E42140" w:rsidRPr="00CC7DA8" w:rsidRDefault="00E42140" w:rsidP="00966E57">
    <w:pPr>
      <w:tabs>
        <w:tab w:val="center" w:pos="4680"/>
      </w:tabs>
      <w:jc w:val="center"/>
      <w:rPr>
        <w:sz w:val="15"/>
        <w:szCs w:val="15"/>
      </w:rPr>
    </w:pPr>
    <w:smartTag w:uri="urn:schemas-microsoft-com:office:smarttags" w:element="place">
      <w:smartTag w:uri="urn:schemas-microsoft-com:office:smarttags" w:element="City">
        <w:r w:rsidRPr="00CC7DA8">
          <w:rPr>
            <w:sz w:val="15"/>
            <w:szCs w:val="15"/>
          </w:rPr>
          <w:t>Portland</w:t>
        </w:r>
      </w:smartTag>
      <w:r w:rsidRPr="00CC7DA8">
        <w:rPr>
          <w:sz w:val="15"/>
          <w:szCs w:val="15"/>
        </w:rPr>
        <w:t xml:space="preserve">, </w:t>
      </w:r>
      <w:smartTag w:uri="urn:schemas-microsoft-com:office:smarttags" w:element="State">
        <w:r w:rsidRPr="00CC7DA8">
          <w:rPr>
            <w:sz w:val="15"/>
            <w:szCs w:val="15"/>
          </w:rPr>
          <w:t>OR</w:t>
        </w:r>
      </w:smartTag>
      <w:r w:rsidRPr="00CC7DA8">
        <w:rPr>
          <w:sz w:val="15"/>
          <w:szCs w:val="15"/>
        </w:rPr>
        <w:t xml:space="preserve"> </w:t>
      </w:r>
      <w:smartTag w:uri="urn:schemas-microsoft-com:office:smarttags" w:element="PostalCode">
        <w:r w:rsidRPr="00CC7DA8">
          <w:rPr>
            <w:sz w:val="15"/>
            <w:szCs w:val="15"/>
          </w:rPr>
          <w:t>97204</w:t>
        </w:r>
      </w:smartTag>
    </w:smartTag>
  </w:p>
  <w:p w:rsidR="00E42140" w:rsidRPr="00CC7DA8" w:rsidRDefault="00E42140" w:rsidP="00966E57">
    <w:pPr>
      <w:tabs>
        <w:tab w:val="center" w:pos="4680"/>
      </w:tabs>
      <w:jc w:val="center"/>
      <w:rPr>
        <w:sz w:val="15"/>
        <w:szCs w:val="15"/>
      </w:rPr>
    </w:pPr>
    <w:r w:rsidRPr="00CC7DA8">
      <w:rPr>
        <w:sz w:val="15"/>
        <w:szCs w:val="15"/>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75" w:rsidRDefault="00881D75" w:rsidP="00C879A0">
      <w:r>
        <w:separator/>
      </w:r>
    </w:p>
  </w:footnote>
  <w:footnote w:type="continuationSeparator" w:id="0">
    <w:p w:rsidR="00881D75" w:rsidRDefault="00881D75" w:rsidP="00C879A0">
      <w:r>
        <w:continuationSeparator/>
      </w:r>
    </w:p>
  </w:footnote>
  <w:footnote w:id="1">
    <w:p w:rsidR="00653A0D" w:rsidRDefault="00653A0D" w:rsidP="00653A0D">
      <w:pPr>
        <w:pStyle w:val="FootnoteText"/>
      </w:pPr>
      <w:r w:rsidRPr="006333CC">
        <w:rPr>
          <w:rStyle w:val="FootnoteReference"/>
          <w:u w:val="single"/>
        </w:rPr>
        <w:footnoteRef/>
      </w:r>
      <w:r w:rsidRPr="006333CC">
        <w:rPr>
          <w:vertAlign w:val="superscript"/>
        </w:rPr>
        <w:t>/</w:t>
      </w:r>
      <w:r>
        <w:t xml:space="preserve"> </w:t>
      </w:r>
      <w:r>
        <w:tab/>
        <w:t>WAC § 480-07-355(3).</w:t>
      </w:r>
    </w:p>
  </w:footnote>
  <w:footnote w:id="2">
    <w:p w:rsidR="006333CC" w:rsidRDefault="006333CC">
      <w:pPr>
        <w:pStyle w:val="FootnoteText"/>
      </w:pPr>
      <w:r w:rsidRPr="006333CC">
        <w:rPr>
          <w:rStyle w:val="FootnoteReference"/>
          <w:u w:val="single"/>
        </w:rPr>
        <w:footnoteRef/>
      </w:r>
      <w:r w:rsidRPr="006333CC">
        <w:rPr>
          <w:vertAlign w:val="superscript"/>
        </w:rPr>
        <w:t>/</w:t>
      </w:r>
      <w:r>
        <w:t xml:space="preserve"> </w:t>
      </w:r>
      <w:r>
        <w:tab/>
        <w:t>PacifiCorp is expected to file a general rate increase at the Commission in the May 2014 timeframe.</w:t>
      </w:r>
    </w:p>
  </w:footnote>
  <w:footnote w:id="3">
    <w:p w:rsidR="00124F06" w:rsidRPr="00124F06" w:rsidRDefault="00124F06" w:rsidP="00124F06">
      <w:pPr>
        <w:pStyle w:val="FootnoteText"/>
        <w:ind w:left="720" w:hanging="720"/>
      </w:pPr>
      <w:r w:rsidRPr="00124F06">
        <w:rPr>
          <w:rStyle w:val="FootnoteReference"/>
          <w:u w:val="single"/>
        </w:rPr>
        <w:footnoteRef/>
      </w:r>
      <w:r>
        <w:rPr>
          <w:vertAlign w:val="superscript"/>
        </w:rPr>
        <w:t>/</w:t>
      </w:r>
      <w:r>
        <w:tab/>
        <w:t xml:space="preserve">For example, after ignoring the Commission’s guidance that a </w:t>
      </w:r>
      <w:r w:rsidR="007B460D">
        <w:t>p</w:t>
      </w:r>
      <w:r>
        <w:t xml:space="preserve">ower </w:t>
      </w:r>
      <w:r w:rsidR="007B460D">
        <w:t>c</w:t>
      </w:r>
      <w:r>
        <w:t xml:space="preserve">ost </w:t>
      </w:r>
      <w:r w:rsidR="007B460D">
        <w:t>m</w:t>
      </w:r>
      <w:r>
        <w:t>echanism must include reasonable deadbands and sharing bands, and making a failed argument</w:t>
      </w:r>
      <w:r w:rsidR="007B460D">
        <w:t xml:space="preserve"> in Docket No.</w:t>
      </w:r>
      <w:r w:rsidR="00BB20AC">
        <w:t xml:space="preserve"> </w:t>
      </w:r>
      <w:r w:rsidR="007B460D">
        <w:t>UE-130043</w:t>
      </w:r>
      <w:r>
        <w:t xml:space="preserve"> that the Company should recover all power costs</w:t>
      </w:r>
      <w:r w:rsidR="007B460D">
        <w:t xml:space="preserve"> </w:t>
      </w:r>
      <w:r>
        <w:t xml:space="preserve">on a dollar-for-dollar basis, the Company filed for permission to create a deferred account in Docket No. </w:t>
      </w:r>
      <w:r w:rsidR="00E40C9B">
        <w:t>UE-131384</w:t>
      </w:r>
      <w:r>
        <w:t xml:space="preserve"> that would achieve the same dollar-for-dollar recovery outside of a rate case for its power costs related to the recent Colstrip outage.  </w:t>
      </w:r>
      <w:r w:rsidR="00BB45FE">
        <w:t>The Company has also filed a Petition for a Deferred Accounting</w:t>
      </w:r>
      <w:r w:rsidR="007B460D">
        <w:t xml:space="preserve"> to achieve this same result for</w:t>
      </w:r>
      <w:r w:rsidR="00BB45FE">
        <w:t xml:space="preserve"> costs relating to what </w:t>
      </w:r>
      <w:r w:rsidR="007B460D">
        <w:t>it claims is a “low hydro” year in Docket UE-1</w:t>
      </w:r>
      <w:r w:rsidR="004703A4">
        <w:t>4</w:t>
      </w:r>
      <w:r w:rsidR="007B460D">
        <w:t>0094.  These requests are currently pending before the Commission.</w:t>
      </w:r>
    </w:p>
  </w:footnote>
  <w:footnote w:id="4">
    <w:p w:rsidR="00653A0D" w:rsidRPr="00124F06" w:rsidRDefault="00653A0D" w:rsidP="00653A0D">
      <w:pPr>
        <w:pStyle w:val="FootnoteText"/>
        <w:ind w:left="720" w:hanging="720"/>
      </w:pPr>
      <w:r w:rsidRPr="00124F06">
        <w:rPr>
          <w:rStyle w:val="FootnoteReference"/>
          <w:u w:val="single"/>
        </w:rPr>
        <w:footnoteRef/>
      </w:r>
      <w:r>
        <w:rPr>
          <w:vertAlign w:val="superscript"/>
        </w:rPr>
        <w:t>/</w:t>
      </w:r>
      <w:r>
        <w:tab/>
      </w:r>
      <w:r w:rsidRPr="004828B0">
        <w:rPr>
          <w:u w:val="single"/>
        </w:rPr>
        <w:t xml:space="preserve">WUTC v. </w:t>
      </w:r>
      <w:r>
        <w:rPr>
          <w:u w:val="single"/>
        </w:rPr>
        <w:t>PacifiCorp</w:t>
      </w:r>
      <w:r>
        <w:t xml:space="preserve">, Docket No. UE-130043, Brief of Commission Staff at P. 141 n. 220 (Oct. 1, 2013); </w:t>
      </w:r>
    </w:p>
  </w:footnote>
  <w:footnote w:id="5">
    <w:p w:rsidR="0048419B" w:rsidRPr="00124F06" w:rsidRDefault="0048419B" w:rsidP="0048419B">
      <w:pPr>
        <w:pStyle w:val="FootnoteText"/>
        <w:ind w:left="720" w:hanging="720"/>
      </w:pPr>
      <w:r w:rsidRPr="00124F06">
        <w:rPr>
          <w:rStyle w:val="FootnoteReference"/>
          <w:u w:val="single"/>
        </w:rPr>
        <w:footnoteRef/>
      </w:r>
      <w:r>
        <w:rPr>
          <w:vertAlign w:val="superscript"/>
        </w:rPr>
        <w:t>/</w:t>
      </w:r>
      <w:r>
        <w:tab/>
      </w:r>
      <w:r w:rsidRPr="004828B0">
        <w:rPr>
          <w:u w:val="single"/>
        </w:rPr>
        <w:t xml:space="preserve">WUTC v. </w:t>
      </w:r>
      <w:r>
        <w:rPr>
          <w:u w:val="single"/>
        </w:rPr>
        <w:t>PacifiCorp</w:t>
      </w:r>
      <w:r>
        <w:t>, Docket No. UE-130043, Order 05 at</w:t>
      </w:r>
      <w:r w:rsidR="00E40C9B">
        <w:t xml:space="preserve"> P</w:t>
      </w:r>
      <w:r>
        <w:t xml:space="preserve">. </w:t>
      </w:r>
      <w:r w:rsidR="00E40C9B">
        <w:t>266</w:t>
      </w:r>
      <w:r w:rsidR="00100632">
        <w:t xml:space="preserve"> (Dec. 4, 2013).</w:t>
      </w:r>
      <w:r>
        <w:t xml:space="preserve">  </w:t>
      </w:r>
    </w:p>
  </w:footnote>
  <w:footnote w:id="6">
    <w:p w:rsidR="00124F06" w:rsidRPr="00124F06" w:rsidRDefault="00124F06" w:rsidP="00124F06">
      <w:pPr>
        <w:pStyle w:val="FootnoteText"/>
        <w:ind w:left="720" w:hanging="720"/>
      </w:pPr>
      <w:r w:rsidRPr="00124F06">
        <w:rPr>
          <w:rStyle w:val="FootnoteReference"/>
          <w:u w:val="single"/>
        </w:rPr>
        <w:footnoteRef/>
      </w:r>
      <w:r>
        <w:rPr>
          <w:vertAlign w:val="superscript"/>
        </w:rPr>
        <w:t>/</w:t>
      </w:r>
      <w:r>
        <w:tab/>
      </w:r>
      <w:r w:rsidR="004828B0" w:rsidRPr="004828B0">
        <w:rPr>
          <w:u w:val="single"/>
        </w:rPr>
        <w:t>E.g</w:t>
      </w:r>
      <w:r w:rsidRPr="004828B0">
        <w:rPr>
          <w:u w:val="single"/>
        </w:rPr>
        <w:t>.</w:t>
      </w:r>
      <w:r w:rsidR="008C1E3B" w:rsidRPr="00596EFF">
        <w:t>,</w:t>
      </w:r>
      <w:r w:rsidR="004828B0">
        <w:t xml:space="preserve"> </w:t>
      </w:r>
      <w:r w:rsidR="004828B0" w:rsidRPr="004828B0">
        <w:rPr>
          <w:u w:val="single"/>
        </w:rPr>
        <w:t>WUTC v. Puget Sound Energy, Inc.</w:t>
      </w:r>
      <w:r w:rsidR="004828B0">
        <w:t>, Docket Nos. UE-060266 and UG-0602</w:t>
      </w:r>
      <w:r w:rsidR="009A62E2">
        <w:t xml:space="preserve">67, Order 08 at 37 </w:t>
      </w:r>
      <w:r w:rsidR="004828B0">
        <w:t>(Jan. 5, 2007).</w:t>
      </w:r>
      <w:r>
        <w:t xml:space="preserve">  </w:t>
      </w:r>
    </w:p>
  </w:footnote>
  <w:footnote w:id="7">
    <w:p w:rsidR="004828B0" w:rsidRPr="00124F06" w:rsidRDefault="004828B0" w:rsidP="004828B0">
      <w:pPr>
        <w:pStyle w:val="FootnoteText"/>
        <w:ind w:left="720" w:hanging="720"/>
      </w:pPr>
      <w:r w:rsidRPr="00124F06">
        <w:rPr>
          <w:rStyle w:val="FootnoteReference"/>
          <w:u w:val="single"/>
        </w:rPr>
        <w:footnoteRef/>
      </w:r>
      <w:r>
        <w:rPr>
          <w:vertAlign w:val="superscript"/>
        </w:rPr>
        <w:t>/</w:t>
      </w:r>
      <w:r>
        <w:tab/>
      </w:r>
      <w:r w:rsidRPr="004828B0">
        <w:rPr>
          <w:u w:val="single"/>
        </w:rPr>
        <w:t>Id.</w:t>
      </w:r>
      <w:r>
        <w:t xml:space="preserve"> at P. 39.  </w:t>
      </w:r>
    </w:p>
  </w:footnote>
  <w:footnote w:id="8">
    <w:p w:rsidR="003A4E7E" w:rsidRPr="00124F06" w:rsidRDefault="003A4E7E" w:rsidP="003A4E7E">
      <w:pPr>
        <w:pStyle w:val="FootnoteText"/>
        <w:ind w:left="720" w:hanging="720"/>
      </w:pPr>
      <w:r w:rsidRPr="00124F06">
        <w:rPr>
          <w:rStyle w:val="FootnoteReference"/>
          <w:u w:val="single"/>
        </w:rPr>
        <w:footnoteRef/>
      </w:r>
      <w:r>
        <w:rPr>
          <w:vertAlign w:val="superscript"/>
        </w:rPr>
        <w:t>/</w:t>
      </w:r>
      <w:r>
        <w:tab/>
        <w:t xml:space="preserve">Docket No. UE-130043, Order 05 at PP.178, 184.  </w:t>
      </w:r>
    </w:p>
  </w:footnote>
  <w:footnote w:id="9">
    <w:p w:rsidR="003A4E7E" w:rsidRPr="00124F06" w:rsidRDefault="003A4E7E" w:rsidP="003A4E7E">
      <w:pPr>
        <w:pStyle w:val="FootnoteText"/>
        <w:ind w:left="720" w:hanging="720"/>
      </w:pPr>
      <w:r w:rsidRPr="00124F06">
        <w:rPr>
          <w:rStyle w:val="FootnoteReference"/>
          <w:u w:val="single"/>
        </w:rPr>
        <w:footnoteRef/>
      </w:r>
      <w:r>
        <w:rPr>
          <w:vertAlign w:val="superscript"/>
        </w:rPr>
        <w:t>/</w:t>
      </w:r>
      <w:r>
        <w:tab/>
      </w:r>
      <w:r>
        <w:rPr>
          <w:u w:val="single"/>
        </w:rPr>
        <w:t>Id.</w:t>
      </w:r>
      <w:r>
        <w:t xml:space="preserve"> PP. </w:t>
      </w:r>
      <w:r w:rsidR="00653A0D">
        <w:t xml:space="preserve">186, </w:t>
      </w:r>
      <w:r>
        <w:t xml:space="preserve">200-01.  </w:t>
      </w:r>
    </w:p>
  </w:footnote>
  <w:footnote w:id="10">
    <w:p w:rsidR="00207280" w:rsidRPr="00124F06" w:rsidRDefault="00207280" w:rsidP="00207280">
      <w:pPr>
        <w:pStyle w:val="FootnoteText"/>
        <w:ind w:left="720" w:hanging="720"/>
      </w:pPr>
      <w:r w:rsidRPr="00124F06">
        <w:rPr>
          <w:rStyle w:val="FootnoteReference"/>
          <w:u w:val="single"/>
        </w:rPr>
        <w:footnoteRef/>
      </w:r>
      <w:r>
        <w:rPr>
          <w:vertAlign w:val="superscript"/>
        </w:rPr>
        <w:t>/</w:t>
      </w:r>
      <w:r>
        <w:tab/>
      </w:r>
      <w:r w:rsidR="00106440" w:rsidRPr="00106440">
        <w:rPr>
          <w:u w:val="single"/>
        </w:rPr>
        <w:t>WUTC v. PSE</w:t>
      </w:r>
      <w:r w:rsidR="00106440">
        <w:t xml:space="preserve">, </w:t>
      </w:r>
      <w:r>
        <w:t>Docket Nos. UE-060266 and UG-0602</w:t>
      </w:r>
      <w:r w:rsidR="00AF2793">
        <w:t>6</w:t>
      </w:r>
      <w:r>
        <w:t xml:space="preserve">7, Order 08 at P .47.  </w:t>
      </w:r>
    </w:p>
  </w:footnote>
  <w:footnote w:id="11">
    <w:p w:rsidR="008C1E3B" w:rsidRPr="008C1E3B" w:rsidRDefault="008C1E3B" w:rsidP="008C1E3B">
      <w:pPr>
        <w:pStyle w:val="FootnoteText"/>
        <w:ind w:left="720" w:hanging="720"/>
        <w:rPr>
          <w:u w:val="single"/>
        </w:rPr>
      </w:pPr>
      <w:r w:rsidRPr="008C1E3B">
        <w:rPr>
          <w:rStyle w:val="FootnoteReference"/>
          <w:u w:val="single"/>
        </w:rPr>
        <w:footnoteRef/>
      </w:r>
      <w:r w:rsidRPr="008C1E3B">
        <w:rPr>
          <w:vertAlign w:val="superscript"/>
        </w:rPr>
        <w:t>/</w:t>
      </w:r>
      <w:r w:rsidRPr="008C1E3B">
        <w:t xml:space="preserve"> </w:t>
      </w:r>
      <w:r w:rsidRPr="008C1E3B">
        <w:tab/>
      </w:r>
      <w:r>
        <w:t>This suggests that PacifiCorp will continue down its path of nearly annual rate cases plus deferred accounting petitions.</w:t>
      </w:r>
    </w:p>
  </w:footnote>
  <w:footnote w:id="12">
    <w:p w:rsidR="000F5D9A" w:rsidRPr="00124F06" w:rsidRDefault="000F5D9A" w:rsidP="000F5D9A">
      <w:pPr>
        <w:pStyle w:val="FootnoteText"/>
        <w:ind w:left="720" w:hanging="720"/>
      </w:pPr>
      <w:r w:rsidRPr="00124F06">
        <w:rPr>
          <w:rStyle w:val="FootnoteReference"/>
          <w:u w:val="single"/>
        </w:rPr>
        <w:footnoteRef/>
      </w:r>
      <w:r>
        <w:rPr>
          <w:vertAlign w:val="superscript"/>
        </w:rPr>
        <w:t>/</w:t>
      </w:r>
      <w:r>
        <w:tab/>
      </w:r>
      <w:r w:rsidRPr="000F5D9A">
        <w:rPr>
          <w:u w:val="single"/>
        </w:rPr>
        <w:t>WUTC v. PacifiCorp</w:t>
      </w:r>
      <w:r w:rsidRPr="00CA61B5">
        <w:t>, Docket No. UE-050684, Or</w:t>
      </w:r>
      <w:r>
        <w:t>der 04 ¶ 305 (April 17, 2006).</w:t>
      </w:r>
    </w:p>
  </w:footnote>
  <w:footnote w:id="13">
    <w:p w:rsidR="000F5D9A" w:rsidRPr="00124F06" w:rsidRDefault="000F5D9A" w:rsidP="000F5D9A">
      <w:pPr>
        <w:pStyle w:val="FootnoteText"/>
        <w:ind w:left="720" w:hanging="720"/>
      </w:pPr>
      <w:r w:rsidRPr="00124F06">
        <w:rPr>
          <w:rStyle w:val="FootnoteReference"/>
          <w:u w:val="single"/>
        </w:rPr>
        <w:footnoteRef/>
      </w:r>
      <w:r>
        <w:rPr>
          <w:vertAlign w:val="superscript"/>
        </w:rPr>
        <w:t>/</w:t>
      </w:r>
      <w:r>
        <w:tab/>
      </w:r>
      <w:r w:rsidRPr="008C1E3B">
        <w:rPr>
          <w:u w:val="single"/>
        </w:rPr>
        <w:t>WUTC v. PSE</w:t>
      </w:r>
      <w:r w:rsidRPr="00CA61B5">
        <w:t>, Docket Nos. UE-090704/UG-090705, Order 11</w:t>
      </w:r>
      <w:r>
        <w:t>, PP. 212-16</w:t>
      </w:r>
      <w:r w:rsidR="00346834">
        <w:t xml:space="preserve"> (April 2,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0D" w:rsidRDefault="00653A0D">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95DA0"/>
    <w:multiLevelType w:val="hybridMultilevel"/>
    <w:tmpl w:val="F6329EA0"/>
    <w:lvl w:ilvl="0" w:tplc="04090013">
      <w:start w:val="1"/>
      <w:numFmt w:val="upperRoman"/>
      <w:lvlText w:val="%1."/>
      <w:lvlJc w:val="righ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544890"/>
    <w:multiLevelType w:val="hybridMultilevel"/>
    <w:tmpl w:val="69E031B6"/>
    <w:lvl w:ilvl="0" w:tplc="EC82FC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879A0"/>
    <w:rsid w:val="000C7929"/>
    <w:rsid w:val="000D11B6"/>
    <w:rsid w:val="000F5D9A"/>
    <w:rsid w:val="00100632"/>
    <w:rsid w:val="00106440"/>
    <w:rsid w:val="00124F06"/>
    <w:rsid w:val="00127E7B"/>
    <w:rsid w:val="001B7CB4"/>
    <w:rsid w:val="001C6437"/>
    <w:rsid w:val="00207280"/>
    <w:rsid w:val="00271AE2"/>
    <w:rsid w:val="002823D9"/>
    <w:rsid w:val="0029225A"/>
    <w:rsid w:val="002924ED"/>
    <w:rsid w:val="002F1F3E"/>
    <w:rsid w:val="00346834"/>
    <w:rsid w:val="00367C22"/>
    <w:rsid w:val="003919E1"/>
    <w:rsid w:val="003A4E7E"/>
    <w:rsid w:val="003F285B"/>
    <w:rsid w:val="004107C4"/>
    <w:rsid w:val="004703A4"/>
    <w:rsid w:val="004828B0"/>
    <w:rsid w:val="0048419B"/>
    <w:rsid w:val="004E30EC"/>
    <w:rsid w:val="00504513"/>
    <w:rsid w:val="00562F47"/>
    <w:rsid w:val="00596EFF"/>
    <w:rsid w:val="00624A77"/>
    <w:rsid w:val="006333CC"/>
    <w:rsid w:val="00637C6D"/>
    <w:rsid w:val="00653A0D"/>
    <w:rsid w:val="0066243B"/>
    <w:rsid w:val="00695016"/>
    <w:rsid w:val="006C1DBD"/>
    <w:rsid w:val="006C26AA"/>
    <w:rsid w:val="006F6119"/>
    <w:rsid w:val="00701E45"/>
    <w:rsid w:val="00703267"/>
    <w:rsid w:val="007072CC"/>
    <w:rsid w:val="00762B89"/>
    <w:rsid w:val="0076652B"/>
    <w:rsid w:val="007B460D"/>
    <w:rsid w:val="007E15D6"/>
    <w:rsid w:val="00807F75"/>
    <w:rsid w:val="008247EA"/>
    <w:rsid w:val="008516F4"/>
    <w:rsid w:val="00881D75"/>
    <w:rsid w:val="00885139"/>
    <w:rsid w:val="008C1E3B"/>
    <w:rsid w:val="008D1CE4"/>
    <w:rsid w:val="008F48B1"/>
    <w:rsid w:val="00951AA3"/>
    <w:rsid w:val="00955D3C"/>
    <w:rsid w:val="009576CC"/>
    <w:rsid w:val="00966E57"/>
    <w:rsid w:val="00975B3E"/>
    <w:rsid w:val="009A62E2"/>
    <w:rsid w:val="00A05003"/>
    <w:rsid w:val="00AF0B1A"/>
    <w:rsid w:val="00AF2793"/>
    <w:rsid w:val="00B168D2"/>
    <w:rsid w:val="00B41DB2"/>
    <w:rsid w:val="00BB09EA"/>
    <w:rsid w:val="00BB20AC"/>
    <w:rsid w:val="00BB45FE"/>
    <w:rsid w:val="00BC67A4"/>
    <w:rsid w:val="00C45DF7"/>
    <w:rsid w:val="00C71E62"/>
    <w:rsid w:val="00C879A0"/>
    <w:rsid w:val="00C90F3A"/>
    <w:rsid w:val="00CA61B5"/>
    <w:rsid w:val="00CC7DA8"/>
    <w:rsid w:val="00CF2564"/>
    <w:rsid w:val="00CF503C"/>
    <w:rsid w:val="00D326B3"/>
    <w:rsid w:val="00DB3905"/>
    <w:rsid w:val="00DE2AC9"/>
    <w:rsid w:val="00DF7EE4"/>
    <w:rsid w:val="00E40C9B"/>
    <w:rsid w:val="00E42140"/>
    <w:rsid w:val="00F17311"/>
    <w:rsid w:val="00F1731D"/>
    <w:rsid w:val="00F5532F"/>
    <w:rsid w:val="00FA724D"/>
    <w:rsid w:val="00FB17FA"/>
    <w:rsid w:val="00FB4BEA"/>
    <w:rsid w:val="00FD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hon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uiPriority w:val="99"/>
    <w:rsid w:val="00C879A0"/>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C879A0"/>
    <w:rPr>
      <w:rFonts w:eastAsia="Times New Roman"/>
      <w:snapToGrid w:val="0"/>
      <w:szCs w:val="20"/>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 w:type="paragraph" w:styleId="BodyTextIndent">
    <w:name w:val="Body Text Indent"/>
    <w:basedOn w:val="Normal"/>
    <w:link w:val="BodyTextIndentChar"/>
    <w:uiPriority w:val="99"/>
    <w:semiHidden/>
    <w:unhideWhenUsed/>
    <w:rsid w:val="00E42140"/>
    <w:pPr>
      <w:spacing w:after="120"/>
      <w:ind w:left="360"/>
    </w:pPr>
  </w:style>
  <w:style w:type="character" w:customStyle="1" w:styleId="BodyTextIndentChar">
    <w:name w:val="Body Text Indent Char"/>
    <w:basedOn w:val="DefaultParagraphFont"/>
    <w:link w:val="BodyTextIndent"/>
    <w:uiPriority w:val="99"/>
    <w:semiHidden/>
    <w:rsid w:val="00E42140"/>
    <w:rPr>
      <w:rFonts w:eastAsia="Times New Roman"/>
      <w:color w:val="000000"/>
      <w:szCs w:val="20"/>
    </w:rPr>
  </w:style>
  <w:style w:type="paragraph" w:styleId="EndnoteText">
    <w:name w:val="endnote text"/>
    <w:basedOn w:val="Normal"/>
    <w:link w:val="EndnoteTextChar"/>
    <w:uiPriority w:val="99"/>
    <w:rsid w:val="00E42140"/>
    <w:pPr>
      <w:widowControl w:val="0"/>
      <w:overflowPunct w:val="0"/>
      <w:autoSpaceDE w:val="0"/>
      <w:autoSpaceDN w:val="0"/>
      <w:adjustRightInd w:val="0"/>
      <w:textAlignment w:val="baseline"/>
    </w:pPr>
    <w:rPr>
      <w:rFonts w:ascii="Courier" w:hAnsi="Courier"/>
      <w:color w:val="auto"/>
    </w:rPr>
  </w:style>
  <w:style w:type="character" w:customStyle="1" w:styleId="EndnoteTextChar">
    <w:name w:val="Endnote Text Char"/>
    <w:basedOn w:val="DefaultParagraphFont"/>
    <w:link w:val="EndnoteText"/>
    <w:uiPriority w:val="99"/>
    <w:rsid w:val="00E42140"/>
    <w:rPr>
      <w:rFonts w:ascii="Courier" w:eastAsia="Times New Roman" w:hAnsi="Couri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lang w:val="x-none" w:eastAsia="x-none"/>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uiPriority w:val="99"/>
    <w:rsid w:val="00C879A0"/>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C879A0"/>
    <w:rPr>
      <w:rFonts w:eastAsia="Times New Roman"/>
      <w:snapToGrid w:val="0"/>
      <w:szCs w:val="20"/>
      <w:lang w:val="x-none" w:eastAsia="x-none"/>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0FF59ADDA17F4092979854FDF14FC1" ma:contentTypeVersion="175" ma:contentTypeDescription="" ma:contentTypeScope="" ma:versionID="27047b08c8edfe0b3eae034fac3fa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2014-04-14T07:00:00+00:00</OpenedDate>
    <Date1 xmlns="dc463f71-b30c-4ab2-9473-d307f9d35888">2014-04-25T07:00:00+00:00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81D93D-C676-4E81-B02E-86A8481F5A1F}"/>
</file>

<file path=customXml/itemProps2.xml><?xml version="1.0" encoding="utf-8"?>
<ds:datastoreItem xmlns:ds="http://schemas.openxmlformats.org/officeDocument/2006/customXml" ds:itemID="{7E113032-F0AB-48C4-BC4D-AD446BDDB08F}"/>
</file>

<file path=customXml/itemProps3.xml><?xml version="1.0" encoding="utf-8"?>
<ds:datastoreItem xmlns:ds="http://schemas.openxmlformats.org/officeDocument/2006/customXml" ds:itemID="{0F3020BE-0289-49BF-BFFD-DA4ED480FAA4}"/>
</file>

<file path=customXml/itemProps4.xml><?xml version="1.0" encoding="utf-8"?>
<ds:datastoreItem xmlns:ds="http://schemas.openxmlformats.org/officeDocument/2006/customXml" ds:itemID="{B8541920-ED7A-47A5-B1DC-8C766B4BCF8D}"/>
</file>

<file path=customXml/itemProps5.xml><?xml version="1.0" encoding="utf-8"?>
<ds:datastoreItem xmlns:ds="http://schemas.openxmlformats.org/officeDocument/2006/customXml" ds:itemID="{F1A63098-7641-4341-812D-0D1F83F84D87}"/>
</file>

<file path=docProps/app.xml><?xml version="1.0" encoding="utf-8"?>
<Properties xmlns="http://schemas.openxmlformats.org/officeDocument/2006/extended-properties" xmlns:vt="http://schemas.openxmlformats.org/officeDocument/2006/docPropsVTypes">
  <Template>Normal</Template>
  <TotalTime>722</TotalTime>
  <Pages>8</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49</cp:revision>
  <cp:lastPrinted>2014-04-23T22:32:00Z</cp:lastPrinted>
  <dcterms:created xsi:type="dcterms:W3CDTF">2014-03-19T22:17:00Z</dcterms:created>
  <dcterms:modified xsi:type="dcterms:W3CDTF">2014-04-25T16:28:00Z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0x0101006E56B4D1795A2E4DB2F0B01679ED314A00830FF59ADDA17F4092979854FDF14FC1</vt:lpwstr>
  </property>
  <property fmtid="{D5CDD505-2E9C-101B-9397-08002B2CF9AE}" pid="3" name="_docset_NoMedatataSyncRequired">
    <vt:lpwstr>False</vt:lpwstr>
  </property>
</Properties>
</file>