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B766CE" w:rsidRDefault="00BE3EB9" w:rsidP="00BE3EB9">
      <w:pPr>
        <w:jc w:val="center"/>
        <w:rPr>
          <w:b/>
          <w:bCs/>
          <w:sz w:val="25"/>
          <w:szCs w:val="25"/>
        </w:rPr>
      </w:pPr>
      <w:bookmarkStart w:id="0" w:name="_GoBack"/>
      <w:bookmarkEnd w:id="0"/>
      <w:r w:rsidRPr="00B766CE">
        <w:rPr>
          <w:b/>
          <w:bCs/>
          <w:sz w:val="25"/>
          <w:szCs w:val="25"/>
        </w:rPr>
        <w:t>BEFORE THE WASHINGTON</w:t>
      </w:r>
    </w:p>
    <w:p w:rsidR="00BE3EB9" w:rsidRPr="00B766CE" w:rsidRDefault="00BE3EB9" w:rsidP="00BE3EB9">
      <w:pPr>
        <w:jc w:val="center"/>
        <w:rPr>
          <w:b/>
          <w:bCs/>
          <w:sz w:val="25"/>
          <w:szCs w:val="25"/>
        </w:rPr>
      </w:pPr>
      <w:r w:rsidRPr="00B766CE">
        <w:rPr>
          <w:b/>
          <w:bCs/>
          <w:sz w:val="25"/>
          <w:szCs w:val="25"/>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B766CE" w:rsidTr="00730555">
        <w:tc>
          <w:tcPr>
            <w:tcW w:w="4338" w:type="dxa"/>
          </w:tcPr>
          <w:p w:rsidR="00BE3EB9" w:rsidRPr="00B766CE" w:rsidRDefault="00BE3EB9" w:rsidP="00D50D76">
            <w:pPr>
              <w:keepLines/>
              <w:rPr>
                <w:sz w:val="25"/>
                <w:szCs w:val="25"/>
              </w:rPr>
            </w:pPr>
          </w:p>
          <w:p w:rsidR="00AE4DAC" w:rsidRPr="00B766CE" w:rsidRDefault="00AE4DAC" w:rsidP="00D50D76">
            <w:pPr>
              <w:keepLines/>
              <w:rPr>
                <w:sz w:val="25"/>
                <w:szCs w:val="25"/>
              </w:rPr>
            </w:pPr>
          </w:p>
          <w:p w:rsidR="00662B23" w:rsidRPr="00B766CE" w:rsidRDefault="00662B23" w:rsidP="00662B23">
            <w:pPr>
              <w:spacing w:line="264" w:lineRule="auto"/>
              <w:rPr>
                <w:sz w:val="25"/>
                <w:szCs w:val="25"/>
              </w:rPr>
            </w:pPr>
            <w:r w:rsidRPr="00B766CE">
              <w:rPr>
                <w:sz w:val="25"/>
                <w:szCs w:val="25"/>
              </w:rPr>
              <w:t>In the Matter of Determining the Proper Carrier Classification of, and Complaint</w:t>
            </w:r>
          </w:p>
          <w:p w:rsidR="00662B23" w:rsidRPr="00B766CE" w:rsidRDefault="00662B23" w:rsidP="00662B23">
            <w:pPr>
              <w:spacing w:line="264" w:lineRule="auto"/>
              <w:rPr>
                <w:sz w:val="25"/>
                <w:szCs w:val="25"/>
              </w:rPr>
            </w:pPr>
            <w:r w:rsidRPr="00B766CE">
              <w:rPr>
                <w:sz w:val="25"/>
                <w:szCs w:val="25"/>
              </w:rPr>
              <w:t>for Penalties against:</w:t>
            </w:r>
          </w:p>
          <w:p w:rsidR="00662B23" w:rsidRPr="00B766CE" w:rsidRDefault="00662B23" w:rsidP="00662B23">
            <w:pPr>
              <w:spacing w:line="264" w:lineRule="auto"/>
              <w:rPr>
                <w:sz w:val="25"/>
                <w:szCs w:val="25"/>
              </w:rPr>
            </w:pPr>
          </w:p>
          <w:p w:rsidR="00F745B7" w:rsidRPr="00B766CE" w:rsidRDefault="00984F00" w:rsidP="00F745B7">
            <w:pPr>
              <w:keepLines/>
              <w:rPr>
                <w:sz w:val="25"/>
                <w:szCs w:val="25"/>
              </w:rPr>
            </w:pPr>
            <w:r w:rsidRPr="00B766CE">
              <w:rPr>
                <w:caps/>
                <w:sz w:val="25"/>
                <w:szCs w:val="25"/>
              </w:rPr>
              <w:t>GREEN, CHANA</w:t>
            </w:r>
            <w:r w:rsidR="00F745B7" w:rsidRPr="00B766CE">
              <w:rPr>
                <w:caps/>
                <w:sz w:val="25"/>
                <w:szCs w:val="25"/>
              </w:rPr>
              <w:t xml:space="preserve"> </w:t>
            </w:r>
            <w:r w:rsidR="00F745B7" w:rsidRPr="00B766CE">
              <w:rPr>
                <w:sz w:val="25"/>
                <w:szCs w:val="25"/>
              </w:rPr>
              <w:t>d/b/a</w:t>
            </w:r>
            <w:r w:rsidR="00F745B7" w:rsidRPr="00B766CE">
              <w:rPr>
                <w:caps/>
                <w:sz w:val="25"/>
                <w:szCs w:val="25"/>
              </w:rPr>
              <w:br/>
            </w:r>
            <w:r w:rsidRPr="00B766CE">
              <w:rPr>
                <w:caps/>
                <w:sz w:val="25"/>
                <w:szCs w:val="25"/>
              </w:rPr>
              <w:t>gREAT AMERICAN mOVING &amp; STORAGE</w:t>
            </w:r>
          </w:p>
          <w:p w:rsidR="004033CF" w:rsidRDefault="004033CF" w:rsidP="00B80BF4">
            <w:pPr>
              <w:keepLines/>
              <w:rPr>
                <w:sz w:val="25"/>
                <w:szCs w:val="25"/>
              </w:rPr>
            </w:pPr>
          </w:p>
          <w:p w:rsidR="004A529B" w:rsidRDefault="004A529B" w:rsidP="00B80BF4">
            <w:pPr>
              <w:keepLines/>
              <w:rPr>
                <w:sz w:val="25"/>
                <w:szCs w:val="25"/>
              </w:rPr>
            </w:pPr>
            <w:r>
              <w:rPr>
                <w:sz w:val="25"/>
                <w:szCs w:val="25"/>
              </w:rPr>
              <w:t xml:space="preserve">                                           Respondent.</w:t>
            </w:r>
          </w:p>
          <w:p w:rsidR="007402D4" w:rsidRDefault="007402D4" w:rsidP="00B80BF4">
            <w:pPr>
              <w:keepLines/>
              <w:rPr>
                <w:sz w:val="25"/>
                <w:szCs w:val="25"/>
              </w:rPr>
            </w:pPr>
          </w:p>
          <w:p w:rsidR="007402D4" w:rsidRDefault="007402D4" w:rsidP="00B80BF4">
            <w:pPr>
              <w:keepLines/>
              <w:rPr>
                <w:sz w:val="25"/>
                <w:szCs w:val="25"/>
              </w:rPr>
            </w:pPr>
          </w:p>
          <w:p w:rsidR="007402D4" w:rsidRPr="00B766CE" w:rsidRDefault="007402D4" w:rsidP="00B80BF4">
            <w:pPr>
              <w:keepLines/>
              <w:rPr>
                <w:sz w:val="25"/>
                <w:szCs w:val="25"/>
              </w:rPr>
            </w:pPr>
          </w:p>
          <w:p w:rsidR="00B80BF4" w:rsidRPr="00B766CE" w:rsidRDefault="00B80BF4" w:rsidP="00907CFC">
            <w:pPr>
              <w:keepLines/>
              <w:rPr>
                <w:sz w:val="25"/>
                <w:szCs w:val="25"/>
              </w:rPr>
            </w:pPr>
            <w:r w:rsidRPr="00B766CE">
              <w:rPr>
                <w:sz w:val="25"/>
                <w:szCs w:val="25"/>
              </w:rPr>
              <w:t xml:space="preserve">. . . . . . . . . . . . . . . . . . . . . . . . . . . . . . . . </w:t>
            </w:r>
          </w:p>
        </w:tc>
        <w:tc>
          <w:tcPr>
            <w:tcW w:w="500" w:type="dxa"/>
          </w:tcPr>
          <w:p w:rsidR="00BE3EB9" w:rsidRDefault="00BE3EB9" w:rsidP="00D50D76">
            <w:pPr>
              <w:keepLines/>
              <w:rPr>
                <w:sz w:val="25"/>
                <w:szCs w:val="25"/>
              </w:rPr>
            </w:pPr>
          </w:p>
          <w:p w:rsidR="004C55E1" w:rsidRPr="00B766CE" w:rsidRDefault="004C55E1" w:rsidP="00D50D76">
            <w:pPr>
              <w:keepLines/>
              <w:rPr>
                <w:sz w:val="25"/>
                <w:szCs w:val="25"/>
              </w:rPr>
            </w:pPr>
          </w:p>
          <w:p w:rsidR="00BE3EB9" w:rsidRPr="00B766CE" w:rsidRDefault="00BE3EB9" w:rsidP="00D50D76">
            <w:pPr>
              <w:keepLines/>
              <w:rPr>
                <w:sz w:val="25"/>
                <w:szCs w:val="25"/>
              </w:rPr>
            </w:pPr>
            <w:r w:rsidRPr="00B766CE">
              <w:rPr>
                <w:sz w:val="25"/>
                <w:szCs w:val="25"/>
              </w:rPr>
              <w:t>)</w:t>
            </w:r>
          </w:p>
          <w:p w:rsidR="00BE3EB9" w:rsidRPr="00B766CE" w:rsidRDefault="00BE3EB9" w:rsidP="00D50D76">
            <w:pPr>
              <w:keepLines/>
              <w:rPr>
                <w:sz w:val="25"/>
                <w:szCs w:val="25"/>
              </w:rPr>
            </w:pPr>
            <w:r w:rsidRPr="00B766CE">
              <w:rPr>
                <w:sz w:val="25"/>
                <w:szCs w:val="25"/>
              </w:rPr>
              <w:t>)</w:t>
            </w:r>
          </w:p>
          <w:p w:rsidR="00BE3EB9" w:rsidRPr="00B766CE" w:rsidRDefault="00BE3EB9" w:rsidP="00D50D76">
            <w:pPr>
              <w:keepLines/>
              <w:rPr>
                <w:sz w:val="25"/>
                <w:szCs w:val="25"/>
              </w:rPr>
            </w:pPr>
            <w:r w:rsidRPr="00B766CE">
              <w:rPr>
                <w:sz w:val="25"/>
                <w:szCs w:val="25"/>
              </w:rPr>
              <w:t>)</w:t>
            </w:r>
          </w:p>
          <w:p w:rsidR="00BE3EB9" w:rsidRPr="00B766CE" w:rsidRDefault="00BE3EB9" w:rsidP="00D50D76">
            <w:pPr>
              <w:keepLines/>
              <w:rPr>
                <w:sz w:val="25"/>
                <w:szCs w:val="25"/>
              </w:rPr>
            </w:pPr>
            <w:r w:rsidRPr="00B766CE">
              <w:rPr>
                <w:sz w:val="25"/>
                <w:szCs w:val="25"/>
              </w:rPr>
              <w:t>)</w:t>
            </w:r>
          </w:p>
          <w:p w:rsidR="00BE3EB9" w:rsidRPr="00B766CE" w:rsidRDefault="00BE3EB9" w:rsidP="00D50D76">
            <w:pPr>
              <w:keepLines/>
              <w:rPr>
                <w:sz w:val="25"/>
                <w:szCs w:val="25"/>
              </w:rPr>
            </w:pPr>
            <w:r w:rsidRPr="00B766CE">
              <w:rPr>
                <w:sz w:val="25"/>
                <w:szCs w:val="25"/>
              </w:rPr>
              <w:t>)</w:t>
            </w:r>
          </w:p>
          <w:p w:rsidR="00C05D30" w:rsidRPr="00B766CE" w:rsidRDefault="00C05D30" w:rsidP="00D50D76">
            <w:pPr>
              <w:keepLines/>
              <w:rPr>
                <w:sz w:val="25"/>
                <w:szCs w:val="25"/>
              </w:rPr>
            </w:pPr>
            <w:r w:rsidRPr="00B766CE">
              <w:rPr>
                <w:sz w:val="25"/>
                <w:szCs w:val="25"/>
              </w:rPr>
              <w:t>)</w:t>
            </w:r>
          </w:p>
          <w:p w:rsidR="00C05D30" w:rsidRPr="00B766CE" w:rsidRDefault="00C05D30" w:rsidP="00D50D76">
            <w:pPr>
              <w:keepLines/>
              <w:rPr>
                <w:sz w:val="25"/>
                <w:szCs w:val="25"/>
              </w:rPr>
            </w:pPr>
            <w:r w:rsidRPr="00B766CE">
              <w:rPr>
                <w:sz w:val="25"/>
                <w:szCs w:val="25"/>
              </w:rPr>
              <w:t>)</w:t>
            </w:r>
          </w:p>
          <w:p w:rsidR="00C05D30" w:rsidRPr="00B766CE" w:rsidRDefault="00C05D30" w:rsidP="00D50D76">
            <w:pPr>
              <w:keepLines/>
              <w:rPr>
                <w:sz w:val="25"/>
                <w:szCs w:val="25"/>
              </w:rPr>
            </w:pPr>
            <w:r w:rsidRPr="00B766CE">
              <w:rPr>
                <w:sz w:val="25"/>
                <w:szCs w:val="25"/>
              </w:rPr>
              <w:t>)</w:t>
            </w:r>
          </w:p>
          <w:p w:rsidR="00C37BD6" w:rsidRDefault="00C05D30" w:rsidP="00D50D76">
            <w:pPr>
              <w:keepLines/>
              <w:rPr>
                <w:sz w:val="25"/>
                <w:szCs w:val="25"/>
              </w:rPr>
            </w:pPr>
            <w:r w:rsidRPr="00B766CE">
              <w:rPr>
                <w:sz w:val="25"/>
                <w:szCs w:val="25"/>
              </w:rPr>
              <w:t>)</w:t>
            </w:r>
          </w:p>
          <w:p w:rsidR="007402D4" w:rsidRDefault="007402D4" w:rsidP="00D50D76">
            <w:pPr>
              <w:keepLines/>
              <w:rPr>
                <w:sz w:val="25"/>
                <w:szCs w:val="25"/>
              </w:rPr>
            </w:pPr>
            <w:r>
              <w:rPr>
                <w:sz w:val="25"/>
                <w:szCs w:val="25"/>
              </w:rPr>
              <w:t>)</w:t>
            </w:r>
          </w:p>
          <w:p w:rsidR="007402D4" w:rsidRDefault="007402D4" w:rsidP="00D50D76">
            <w:pPr>
              <w:keepLines/>
              <w:rPr>
                <w:sz w:val="25"/>
                <w:szCs w:val="25"/>
              </w:rPr>
            </w:pPr>
            <w:r>
              <w:rPr>
                <w:sz w:val="25"/>
                <w:szCs w:val="25"/>
              </w:rPr>
              <w:t>)</w:t>
            </w:r>
          </w:p>
          <w:p w:rsidR="007402D4" w:rsidRDefault="007402D4" w:rsidP="00D50D76">
            <w:pPr>
              <w:keepLines/>
              <w:rPr>
                <w:sz w:val="25"/>
                <w:szCs w:val="25"/>
              </w:rPr>
            </w:pPr>
            <w:r>
              <w:rPr>
                <w:sz w:val="25"/>
                <w:szCs w:val="25"/>
              </w:rPr>
              <w:t>)</w:t>
            </w:r>
          </w:p>
          <w:p w:rsidR="007402D4" w:rsidRPr="00B766CE" w:rsidRDefault="007402D4" w:rsidP="00D50D76">
            <w:pPr>
              <w:keepLines/>
              <w:rPr>
                <w:sz w:val="25"/>
                <w:szCs w:val="25"/>
              </w:rPr>
            </w:pPr>
            <w:r>
              <w:rPr>
                <w:sz w:val="25"/>
                <w:szCs w:val="25"/>
              </w:rPr>
              <w:t>)</w:t>
            </w:r>
          </w:p>
          <w:p w:rsidR="000234CE" w:rsidRPr="00B766CE" w:rsidRDefault="000234CE" w:rsidP="00D50D76">
            <w:pPr>
              <w:keepLines/>
              <w:rPr>
                <w:sz w:val="25"/>
                <w:szCs w:val="25"/>
              </w:rPr>
            </w:pPr>
          </w:p>
        </w:tc>
        <w:tc>
          <w:tcPr>
            <w:tcW w:w="3988" w:type="dxa"/>
          </w:tcPr>
          <w:p w:rsidR="00BE3EB9" w:rsidRPr="00B766CE" w:rsidRDefault="00BE3EB9" w:rsidP="00BE3EB9">
            <w:pPr>
              <w:rPr>
                <w:sz w:val="25"/>
                <w:szCs w:val="25"/>
              </w:rPr>
            </w:pPr>
          </w:p>
          <w:p w:rsidR="00BE3EB9" w:rsidRPr="00B766CE" w:rsidRDefault="00BE3EB9" w:rsidP="00BE3EB9">
            <w:pPr>
              <w:rPr>
                <w:sz w:val="25"/>
                <w:szCs w:val="25"/>
              </w:rPr>
            </w:pPr>
          </w:p>
          <w:p w:rsidR="00662B23" w:rsidRPr="00B766CE" w:rsidRDefault="00662B23" w:rsidP="00662B23">
            <w:pPr>
              <w:spacing w:line="264" w:lineRule="auto"/>
              <w:rPr>
                <w:sz w:val="25"/>
                <w:szCs w:val="25"/>
              </w:rPr>
            </w:pPr>
            <w:r w:rsidRPr="00B766CE">
              <w:rPr>
                <w:sz w:val="25"/>
                <w:szCs w:val="25"/>
              </w:rPr>
              <w:t xml:space="preserve">DOCKET </w:t>
            </w:r>
            <w:r w:rsidRPr="00B766CE">
              <w:rPr>
                <w:color w:val="000000"/>
                <w:sz w:val="25"/>
                <w:szCs w:val="25"/>
              </w:rPr>
              <w:t>TV-</w:t>
            </w:r>
            <w:r w:rsidR="00984F00" w:rsidRPr="00B766CE">
              <w:rPr>
                <w:color w:val="000000"/>
                <w:sz w:val="25"/>
                <w:szCs w:val="25"/>
              </w:rPr>
              <w:t>131603</w:t>
            </w:r>
          </w:p>
          <w:p w:rsidR="00662B23" w:rsidRPr="00B766CE" w:rsidRDefault="00662B23" w:rsidP="00662B23">
            <w:pPr>
              <w:spacing w:line="264" w:lineRule="auto"/>
              <w:rPr>
                <w:sz w:val="25"/>
                <w:szCs w:val="25"/>
              </w:rPr>
            </w:pPr>
          </w:p>
          <w:p w:rsidR="00662B23" w:rsidRPr="00B766CE" w:rsidRDefault="00A36A29" w:rsidP="00662B23">
            <w:pPr>
              <w:spacing w:line="264" w:lineRule="auto"/>
              <w:rPr>
                <w:sz w:val="25"/>
                <w:szCs w:val="25"/>
              </w:rPr>
            </w:pPr>
            <w:r>
              <w:rPr>
                <w:sz w:val="25"/>
                <w:szCs w:val="25"/>
              </w:rPr>
              <w:t>ORDER 03</w:t>
            </w:r>
          </w:p>
          <w:p w:rsidR="00662B23" w:rsidRPr="00B766CE" w:rsidRDefault="00662B23" w:rsidP="00662B23">
            <w:pPr>
              <w:spacing w:line="264" w:lineRule="auto"/>
              <w:rPr>
                <w:sz w:val="25"/>
                <w:szCs w:val="25"/>
              </w:rPr>
            </w:pPr>
          </w:p>
          <w:p w:rsidR="00BE3EB9" w:rsidRDefault="00A36A29" w:rsidP="009B7630">
            <w:pPr>
              <w:pStyle w:val="Header"/>
              <w:tabs>
                <w:tab w:val="clear" w:pos="4320"/>
                <w:tab w:val="clear" w:pos="8640"/>
              </w:tabs>
              <w:spacing w:line="264" w:lineRule="auto"/>
              <w:rPr>
                <w:sz w:val="25"/>
                <w:szCs w:val="25"/>
              </w:rPr>
            </w:pPr>
            <w:r>
              <w:rPr>
                <w:sz w:val="25"/>
                <w:szCs w:val="25"/>
              </w:rPr>
              <w:t>INITIAL ORDER</w:t>
            </w:r>
            <w:r w:rsidR="007402D4">
              <w:rPr>
                <w:sz w:val="25"/>
                <w:szCs w:val="25"/>
              </w:rPr>
              <w:t xml:space="preserve"> REQUIRING RESPONDENT TO CEASE AND DESIST FROM CONDUCTING BUSINESS AS A HOUSEHOLD GOODS MOVING COMPANY WITHOUT THE NECESSARY CERTIFICATE; IMPOSING PENALTIES</w:t>
            </w:r>
          </w:p>
          <w:p w:rsidR="007402D4" w:rsidRPr="00B766CE" w:rsidRDefault="007402D4" w:rsidP="009B7630">
            <w:pPr>
              <w:pStyle w:val="Header"/>
              <w:tabs>
                <w:tab w:val="clear" w:pos="4320"/>
                <w:tab w:val="clear" w:pos="8640"/>
              </w:tabs>
              <w:spacing w:line="264" w:lineRule="auto"/>
              <w:rPr>
                <w:b/>
                <w:bCs/>
                <w:sz w:val="25"/>
                <w:szCs w:val="25"/>
              </w:rPr>
            </w:pPr>
          </w:p>
        </w:tc>
      </w:tr>
    </w:tbl>
    <w:p w:rsidR="002A0F61" w:rsidRDefault="002A0F61" w:rsidP="002F20FE">
      <w:pPr>
        <w:jc w:val="center"/>
        <w:rPr>
          <w:b/>
          <w:sz w:val="25"/>
          <w:szCs w:val="25"/>
        </w:rPr>
      </w:pPr>
    </w:p>
    <w:p w:rsidR="00BE3EB9" w:rsidRPr="002F20FE" w:rsidRDefault="002F20FE" w:rsidP="002F20FE">
      <w:pPr>
        <w:jc w:val="center"/>
        <w:rPr>
          <w:b/>
          <w:sz w:val="25"/>
          <w:szCs w:val="25"/>
        </w:rPr>
      </w:pPr>
      <w:r w:rsidRPr="002F20FE">
        <w:rPr>
          <w:b/>
          <w:sz w:val="25"/>
          <w:szCs w:val="25"/>
        </w:rPr>
        <w:t>BACKGROUND</w:t>
      </w:r>
    </w:p>
    <w:p w:rsidR="002F20FE" w:rsidRPr="00B766CE" w:rsidRDefault="002F20FE" w:rsidP="00BE3EB9">
      <w:pPr>
        <w:rPr>
          <w:sz w:val="25"/>
          <w:szCs w:val="25"/>
        </w:rPr>
      </w:pPr>
    </w:p>
    <w:p w:rsidR="002706D5" w:rsidRPr="00B766CE" w:rsidRDefault="006B13FD" w:rsidP="00C025F2">
      <w:pPr>
        <w:numPr>
          <w:ilvl w:val="0"/>
          <w:numId w:val="27"/>
        </w:numPr>
        <w:tabs>
          <w:tab w:val="num" w:pos="720"/>
        </w:tabs>
        <w:spacing w:line="288" w:lineRule="auto"/>
        <w:rPr>
          <w:b/>
          <w:i/>
          <w:sz w:val="25"/>
          <w:szCs w:val="25"/>
        </w:rPr>
      </w:pPr>
      <w:r>
        <w:rPr>
          <w:b/>
          <w:sz w:val="25"/>
          <w:szCs w:val="25"/>
        </w:rPr>
        <w:t>PROCEEDING</w:t>
      </w:r>
      <w:r w:rsidR="00E93BF9" w:rsidRPr="00B766CE">
        <w:rPr>
          <w:b/>
          <w:sz w:val="25"/>
          <w:szCs w:val="25"/>
        </w:rPr>
        <w:t xml:space="preserve">.  </w:t>
      </w:r>
      <w:r w:rsidR="00481FD4" w:rsidRPr="00B766CE">
        <w:rPr>
          <w:sz w:val="25"/>
          <w:szCs w:val="25"/>
        </w:rPr>
        <w:t>Th</w:t>
      </w:r>
      <w:r w:rsidR="008828B1" w:rsidRPr="00B766CE">
        <w:rPr>
          <w:sz w:val="25"/>
          <w:szCs w:val="25"/>
        </w:rPr>
        <w:t xml:space="preserve">e </w:t>
      </w:r>
      <w:r w:rsidR="00B80BF4" w:rsidRPr="00B766CE">
        <w:rPr>
          <w:sz w:val="25"/>
          <w:szCs w:val="25"/>
        </w:rPr>
        <w:t xml:space="preserve">Washington Utilities and Transportation Commission (Commission) </w:t>
      </w:r>
      <w:r w:rsidR="008828B1" w:rsidRPr="00B766CE">
        <w:rPr>
          <w:sz w:val="25"/>
          <w:szCs w:val="25"/>
        </w:rPr>
        <w:t xml:space="preserve">initiated this special proceeding to determine </w:t>
      </w:r>
      <w:r w:rsidR="00542017" w:rsidRPr="00B766CE">
        <w:rPr>
          <w:sz w:val="25"/>
          <w:szCs w:val="25"/>
        </w:rPr>
        <w:t xml:space="preserve">whether </w:t>
      </w:r>
      <w:r w:rsidR="00984F00" w:rsidRPr="00B766CE">
        <w:rPr>
          <w:sz w:val="25"/>
          <w:szCs w:val="25"/>
        </w:rPr>
        <w:t>Chana Green</w:t>
      </w:r>
      <w:r w:rsidR="00F745B7" w:rsidRPr="00B766CE">
        <w:rPr>
          <w:sz w:val="25"/>
          <w:szCs w:val="25"/>
        </w:rPr>
        <w:t xml:space="preserve"> d/b/a </w:t>
      </w:r>
      <w:r w:rsidR="00984F00" w:rsidRPr="00B766CE">
        <w:rPr>
          <w:sz w:val="25"/>
          <w:szCs w:val="25"/>
        </w:rPr>
        <w:t>Great American Moving &amp; Storage</w:t>
      </w:r>
      <w:r w:rsidR="002F426C" w:rsidRPr="00B766CE">
        <w:rPr>
          <w:sz w:val="25"/>
          <w:szCs w:val="25"/>
        </w:rPr>
        <w:t xml:space="preserve"> </w:t>
      </w:r>
      <w:r w:rsidR="00662B23" w:rsidRPr="00B766CE">
        <w:rPr>
          <w:sz w:val="25"/>
          <w:szCs w:val="25"/>
        </w:rPr>
        <w:t>(</w:t>
      </w:r>
      <w:r w:rsidR="00984F00" w:rsidRPr="00B766CE">
        <w:rPr>
          <w:sz w:val="25"/>
          <w:szCs w:val="25"/>
        </w:rPr>
        <w:t>Great American Moving</w:t>
      </w:r>
      <w:r w:rsidR="00662B23" w:rsidRPr="00B766CE">
        <w:rPr>
          <w:sz w:val="25"/>
          <w:szCs w:val="25"/>
        </w:rPr>
        <w:t xml:space="preserve"> </w:t>
      </w:r>
      <w:r w:rsidR="00277EA1" w:rsidRPr="00B766CE">
        <w:rPr>
          <w:sz w:val="25"/>
          <w:szCs w:val="25"/>
        </w:rPr>
        <w:t>or Company)</w:t>
      </w:r>
      <w:r w:rsidR="00662B23" w:rsidRPr="00B766CE">
        <w:rPr>
          <w:sz w:val="25"/>
          <w:szCs w:val="25"/>
        </w:rPr>
        <w:t>,</w:t>
      </w:r>
      <w:r w:rsidR="00DA35E4" w:rsidRPr="00B766CE">
        <w:rPr>
          <w:sz w:val="25"/>
          <w:szCs w:val="25"/>
        </w:rPr>
        <w:t xml:space="preserve"> </w:t>
      </w:r>
      <w:r w:rsidR="00277EA1" w:rsidRPr="00B766CE">
        <w:rPr>
          <w:sz w:val="25"/>
          <w:szCs w:val="25"/>
        </w:rPr>
        <w:t>has engaged</w:t>
      </w:r>
      <w:r w:rsidR="00F05F9E" w:rsidRPr="00B766CE">
        <w:rPr>
          <w:sz w:val="25"/>
          <w:szCs w:val="25"/>
        </w:rPr>
        <w:t>,</w:t>
      </w:r>
      <w:r w:rsidR="00277EA1" w:rsidRPr="00B766CE">
        <w:rPr>
          <w:sz w:val="25"/>
          <w:szCs w:val="25"/>
        </w:rPr>
        <w:t xml:space="preserve"> and continues to engage, in business as a </w:t>
      </w:r>
      <w:r w:rsidR="00481FD4" w:rsidRPr="00B766CE">
        <w:rPr>
          <w:sz w:val="25"/>
          <w:szCs w:val="25"/>
        </w:rPr>
        <w:t xml:space="preserve">common carrier for transportation of household goods for compensation within the state of Washington without possessing the </w:t>
      </w:r>
      <w:r w:rsidR="007512EF" w:rsidRPr="00B766CE">
        <w:rPr>
          <w:sz w:val="25"/>
          <w:szCs w:val="25"/>
        </w:rPr>
        <w:t>permit</w:t>
      </w:r>
      <w:r w:rsidR="00481FD4" w:rsidRPr="00B766CE">
        <w:rPr>
          <w:sz w:val="25"/>
          <w:szCs w:val="25"/>
        </w:rPr>
        <w:t xml:space="preserve"> required for such operations.</w:t>
      </w:r>
      <w:r w:rsidR="00EA661B">
        <w:rPr>
          <w:rStyle w:val="FootnoteReference"/>
          <w:sz w:val="25"/>
          <w:szCs w:val="25"/>
        </w:rPr>
        <w:footnoteReference w:id="1"/>
      </w:r>
      <w:r w:rsidR="00EA661B">
        <w:rPr>
          <w:sz w:val="25"/>
          <w:szCs w:val="25"/>
        </w:rPr>
        <w:t xml:space="preserve">  The Commission, through its regulatory staff (Staff),</w:t>
      </w:r>
      <w:r w:rsidR="00EA661B">
        <w:rPr>
          <w:rStyle w:val="FootnoteReference"/>
          <w:sz w:val="25"/>
          <w:szCs w:val="25"/>
        </w:rPr>
        <w:footnoteReference w:id="2"/>
      </w:r>
      <w:r w:rsidR="00EA661B">
        <w:rPr>
          <w:sz w:val="25"/>
          <w:szCs w:val="25"/>
        </w:rPr>
        <w:t xml:space="preserve"> also complained against the Company asserting two violations of RCW 81.80.075(1) and requests that the Commission impose penalties of $2,500 per violation for a total of $5,000.</w:t>
      </w:r>
      <w:r w:rsidR="00EA661B">
        <w:rPr>
          <w:rStyle w:val="FootnoteReference"/>
          <w:sz w:val="25"/>
          <w:szCs w:val="25"/>
        </w:rPr>
        <w:footnoteReference w:id="3"/>
      </w:r>
    </w:p>
    <w:p w:rsidR="00C025F2" w:rsidRPr="00B766CE" w:rsidRDefault="00C025F2" w:rsidP="00C025F2">
      <w:pPr>
        <w:pStyle w:val="ListParagraph"/>
        <w:spacing w:line="288" w:lineRule="auto"/>
        <w:ind w:left="0"/>
        <w:rPr>
          <w:sz w:val="25"/>
          <w:szCs w:val="25"/>
        </w:rPr>
      </w:pPr>
    </w:p>
    <w:p w:rsidR="00533819" w:rsidRPr="00B766CE" w:rsidRDefault="00096B61" w:rsidP="00533819">
      <w:pPr>
        <w:numPr>
          <w:ilvl w:val="0"/>
          <w:numId w:val="27"/>
        </w:numPr>
        <w:tabs>
          <w:tab w:val="num" w:pos="720"/>
        </w:tabs>
        <w:spacing w:line="288" w:lineRule="auto"/>
        <w:rPr>
          <w:sz w:val="25"/>
          <w:szCs w:val="25"/>
        </w:rPr>
      </w:pPr>
      <w:r>
        <w:rPr>
          <w:sz w:val="25"/>
          <w:szCs w:val="25"/>
        </w:rPr>
        <w:lastRenderedPageBreak/>
        <w:t>The Commission convened an initial hearing in this docket at Olympia, Washington o</w:t>
      </w:r>
      <w:r w:rsidR="00533819" w:rsidRPr="00B766CE">
        <w:rPr>
          <w:sz w:val="25"/>
          <w:szCs w:val="25"/>
        </w:rPr>
        <w:t xml:space="preserve">n </w:t>
      </w:r>
      <w:r w:rsidR="00115A92" w:rsidRPr="00B766CE">
        <w:rPr>
          <w:sz w:val="25"/>
          <w:szCs w:val="25"/>
        </w:rPr>
        <w:t>Octo</w:t>
      </w:r>
      <w:r w:rsidR="00CA24B1" w:rsidRPr="00B766CE">
        <w:rPr>
          <w:sz w:val="25"/>
          <w:szCs w:val="25"/>
        </w:rPr>
        <w:t>ber 8</w:t>
      </w:r>
      <w:r w:rsidR="00533819" w:rsidRPr="00B766CE">
        <w:rPr>
          <w:sz w:val="25"/>
          <w:szCs w:val="25"/>
        </w:rPr>
        <w:t>, 201</w:t>
      </w:r>
      <w:r w:rsidR="00115A92" w:rsidRPr="00B766CE">
        <w:rPr>
          <w:sz w:val="25"/>
          <w:szCs w:val="25"/>
        </w:rPr>
        <w:t>3</w:t>
      </w:r>
      <w:r w:rsidR="00533819" w:rsidRPr="00B766CE">
        <w:rPr>
          <w:sz w:val="25"/>
          <w:szCs w:val="25"/>
        </w:rPr>
        <w:t xml:space="preserve">, </w:t>
      </w:r>
      <w:r w:rsidR="00A42178">
        <w:rPr>
          <w:sz w:val="25"/>
          <w:szCs w:val="25"/>
        </w:rPr>
        <w:t>which the parties used</w:t>
      </w:r>
      <w:r w:rsidR="0017063C" w:rsidRPr="00B766CE">
        <w:rPr>
          <w:sz w:val="25"/>
          <w:szCs w:val="25"/>
        </w:rPr>
        <w:t xml:space="preserve"> as a prehearing conference.</w:t>
      </w:r>
      <w:r w:rsidR="00951F14">
        <w:rPr>
          <w:rStyle w:val="FootnoteReference"/>
          <w:sz w:val="25"/>
          <w:szCs w:val="25"/>
        </w:rPr>
        <w:footnoteReference w:id="4"/>
      </w:r>
      <w:r w:rsidR="00EA661B">
        <w:rPr>
          <w:sz w:val="25"/>
          <w:szCs w:val="25"/>
        </w:rPr>
        <w:t xml:space="preserve">  The Commission </w:t>
      </w:r>
      <w:r w:rsidR="00A42178">
        <w:rPr>
          <w:sz w:val="25"/>
          <w:szCs w:val="25"/>
        </w:rPr>
        <w:t>conducted</w:t>
      </w:r>
      <w:r w:rsidR="00EA661B">
        <w:rPr>
          <w:sz w:val="25"/>
          <w:szCs w:val="25"/>
        </w:rPr>
        <w:t xml:space="preserve"> an evidentiary hearing</w:t>
      </w:r>
      <w:r w:rsidR="004A529B">
        <w:rPr>
          <w:sz w:val="25"/>
          <w:szCs w:val="25"/>
        </w:rPr>
        <w:t xml:space="preserve"> on November 14, 2013.</w:t>
      </w:r>
    </w:p>
    <w:p w:rsidR="00A83509" w:rsidRPr="00B766CE" w:rsidRDefault="00A83509" w:rsidP="00A83509">
      <w:pPr>
        <w:pStyle w:val="ListParagraph"/>
        <w:spacing w:line="288" w:lineRule="auto"/>
        <w:ind w:left="0"/>
        <w:rPr>
          <w:sz w:val="25"/>
          <w:szCs w:val="25"/>
        </w:rPr>
      </w:pPr>
    </w:p>
    <w:p w:rsidR="00A83509" w:rsidRDefault="004A529B" w:rsidP="00A83509">
      <w:pPr>
        <w:numPr>
          <w:ilvl w:val="0"/>
          <w:numId w:val="27"/>
        </w:numPr>
        <w:tabs>
          <w:tab w:val="num" w:pos="720"/>
        </w:tabs>
        <w:spacing w:line="288" w:lineRule="auto"/>
        <w:rPr>
          <w:sz w:val="25"/>
          <w:szCs w:val="25"/>
        </w:rPr>
      </w:pPr>
      <w:r w:rsidRPr="004A529B">
        <w:rPr>
          <w:b/>
          <w:sz w:val="25"/>
          <w:szCs w:val="25"/>
        </w:rPr>
        <w:t>PARTY REPRESENTATIVES</w:t>
      </w:r>
      <w:r w:rsidR="00A83509" w:rsidRPr="004A529B">
        <w:rPr>
          <w:b/>
          <w:sz w:val="25"/>
          <w:szCs w:val="25"/>
        </w:rPr>
        <w:t>.</w:t>
      </w:r>
      <w:r w:rsidR="00A83509" w:rsidRPr="00B766CE">
        <w:rPr>
          <w:b/>
          <w:sz w:val="25"/>
          <w:szCs w:val="25"/>
        </w:rPr>
        <w:t xml:space="preserve">  </w:t>
      </w:r>
      <w:r w:rsidR="00A36A29">
        <w:rPr>
          <w:sz w:val="25"/>
          <w:szCs w:val="25"/>
        </w:rPr>
        <w:t xml:space="preserve">Robert </w:t>
      </w:r>
      <w:r>
        <w:rPr>
          <w:sz w:val="25"/>
          <w:szCs w:val="25"/>
        </w:rPr>
        <w:t xml:space="preserve">D. </w:t>
      </w:r>
      <w:r w:rsidR="00A36A29">
        <w:rPr>
          <w:sz w:val="25"/>
          <w:szCs w:val="25"/>
        </w:rPr>
        <w:t>Cedarbaum</w:t>
      </w:r>
      <w:r w:rsidR="00A83509" w:rsidRPr="00B766CE">
        <w:rPr>
          <w:sz w:val="25"/>
          <w:szCs w:val="25"/>
        </w:rPr>
        <w:t xml:space="preserve">, </w:t>
      </w:r>
      <w:r w:rsidR="00A36A29">
        <w:rPr>
          <w:sz w:val="25"/>
          <w:szCs w:val="25"/>
        </w:rPr>
        <w:t>Assistant Attorney General</w:t>
      </w:r>
      <w:r w:rsidR="00A83509" w:rsidRPr="00B766CE">
        <w:rPr>
          <w:sz w:val="25"/>
          <w:szCs w:val="25"/>
        </w:rPr>
        <w:t xml:space="preserve">, Olympia, Washington, represents </w:t>
      </w:r>
      <w:r>
        <w:rPr>
          <w:sz w:val="25"/>
          <w:szCs w:val="25"/>
        </w:rPr>
        <w:t>Staff</w:t>
      </w:r>
      <w:r w:rsidR="00A83509" w:rsidRPr="00B766CE">
        <w:rPr>
          <w:sz w:val="25"/>
          <w:szCs w:val="25"/>
        </w:rPr>
        <w:t xml:space="preserve">.  </w:t>
      </w:r>
      <w:r w:rsidR="00115A92" w:rsidRPr="00B766CE">
        <w:rPr>
          <w:sz w:val="25"/>
          <w:szCs w:val="25"/>
        </w:rPr>
        <w:t>Chana Green</w:t>
      </w:r>
      <w:r w:rsidR="002F426C" w:rsidRPr="00B766CE">
        <w:rPr>
          <w:sz w:val="25"/>
          <w:szCs w:val="25"/>
        </w:rPr>
        <w:t xml:space="preserve">, </w:t>
      </w:r>
      <w:r w:rsidR="00A36A29">
        <w:rPr>
          <w:sz w:val="25"/>
          <w:szCs w:val="25"/>
        </w:rPr>
        <w:t>Houston, Texas</w:t>
      </w:r>
      <w:r w:rsidR="00A83509" w:rsidRPr="00B766CE">
        <w:rPr>
          <w:sz w:val="25"/>
          <w:szCs w:val="25"/>
        </w:rPr>
        <w:t xml:space="preserve">, represents </w:t>
      </w:r>
      <w:r>
        <w:rPr>
          <w:sz w:val="25"/>
          <w:szCs w:val="25"/>
        </w:rPr>
        <w:t xml:space="preserve">herself and her company, </w:t>
      </w:r>
      <w:r w:rsidR="00115A92" w:rsidRPr="00B766CE">
        <w:rPr>
          <w:sz w:val="25"/>
          <w:szCs w:val="25"/>
        </w:rPr>
        <w:t>Great American</w:t>
      </w:r>
      <w:r w:rsidR="00CA24B1" w:rsidRPr="00B766CE">
        <w:rPr>
          <w:sz w:val="25"/>
          <w:szCs w:val="25"/>
        </w:rPr>
        <w:t xml:space="preserve"> Moving,</w:t>
      </w:r>
      <w:r w:rsidR="00A83509" w:rsidRPr="00B766CE">
        <w:rPr>
          <w:sz w:val="25"/>
          <w:szCs w:val="25"/>
        </w:rPr>
        <w:t xml:space="preserve"> </w:t>
      </w:r>
      <w:r w:rsidR="00A83509" w:rsidRPr="00B766CE">
        <w:rPr>
          <w:i/>
          <w:sz w:val="25"/>
          <w:szCs w:val="25"/>
        </w:rPr>
        <w:t>pro se</w:t>
      </w:r>
      <w:r w:rsidR="00A83509" w:rsidRPr="00B766CE">
        <w:rPr>
          <w:sz w:val="25"/>
          <w:szCs w:val="25"/>
        </w:rPr>
        <w:t>.</w:t>
      </w:r>
    </w:p>
    <w:p w:rsidR="004A529B" w:rsidRDefault="004A529B" w:rsidP="004A529B">
      <w:pPr>
        <w:pStyle w:val="ListParagraph"/>
        <w:rPr>
          <w:sz w:val="25"/>
          <w:szCs w:val="25"/>
        </w:rPr>
      </w:pPr>
    </w:p>
    <w:p w:rsidR="004A529B" w:rsidRDefault="004A529B" w:rsidP="004A529B">
      <w:pPr>
        <w:numPr>
          <w:ilvl w:val="0"/>
          <w:numId w:val="27"/>
        </w:numPr>
        <w:spacing w:line="288" w:lineRule="auto"/>
        <w:rPr>
          <w:sz w:val="25"/>
          <w:szCs w:val="25"/>
        </w:rPr>
      </w:pPr>
      <w:r>
        <w:rPr>
          <w:b/>
          <w:sz w:val="25"/>
          <w:szCs w:val="25"/>
        </w:rPr>
        <w:t xml:space="preserve">JURISDICTION:  </w:t>
      </w:r>
      <w:r w:rsidRPr="006B5C8C">
        <w:rPr>
          <w:sz w:val="25"/>
          <w:szCs w:val="25"/>
        </w:rPr>
        <w:t xml:space="preserve"> </w:t>
      </w:r>
      <w:r w:rsidRPr="00741E1B">
        <w:rPr>
          <w:sz w:val="25"/>
          <w:szCs w:val="25"/>
        </w:rPr>
        <w:t>The Commission</w:t>
      </w:r>
      <w:r>
        <w:rPr>
          <w:sz w:val="25"/>
          <w:szCs w:val="25"/>
        </w:rPr>
        <w:t>’</w:t>
      </w:r>
      <w:r w:rsidRPr="00741E1B">
        <w:rPr>
          <w:sz w:val="25"/>
          <w:szCs w:val="25"/>
        </w:rPr>
        <w:t xml:space="preserve">s jurisdiction to institute a special proceeding to determine whether </w:t>
      </w:r>
      <w:r>
        <w:rPr>
          <w:sz w:val="25"/>
          <w:szCs w:val="25"/>
        </w:rPr>
        <w:t>Chana Green</w:t>
      </w:r>
      <w:r w:rsidRPr="00741E1B">
        <w:rPr>
          <w:sz w:val="25"/>
          <w:szCs w:val="25"/>
        </w:rPr>
        <w:t xml:space="preserve"> d/b/a </w:t>
      </w:r>
      <w:r>
        <w:rPr>
          <w:sz w:val="25"/>
          <w:szCs w:val="25"/>
        </w:rPr>
        <w:t>Great American Moving &amp; Storage</w:t>
      </w:r>
      <w:r w:rsidRPr="00741E1B">
        <w:rPr>
          <w:sz w:val="25"/>
          <w:szCs w:val="25"/>
        </w:rPr>
        <w:t xml:space="preserve"> is conducting business requiring operating authority, or has performed or is performing any act requiring Commission approval without securing such approval</w:t>
      </w:r>
      <w:r>
        <w:rPr>
          <w:sz w:val="25"/>
          <w:szCs w:val="25"/>
        </w:rPr>
        <w:t xml:space="preserve">, is found in </w:t>
      </w:r>
      <w:r w:rsidRPr="00741E1B">
        <w:rPr>
          <w:sz w:val="25"/>
          <w:szCs w:val="25"/>
        </w:rPr>
        <w:t>RCW 80.01.040, RCW 81.01.010, and RCW 81.04.510.</w:t>
      </w:r>
      <w:r>
        <w:rPr>
          <w:sz w:val="25"/>
          <w:szCs w:val="25"/>
        </w:rPr>
        <w:t xml:space="preserve">  If the Respondent is determined to be conducting such business, RCW 81.04.510 authorizes and directs the Commission to order the Respondent to cease and desist from such conduct.</w:t>
      </w:r>
    </w:p>
    <w:p w:rsidR="004A529B" w:rsidRDefault="004A529B" w:rsidP="004A529B">
      <w:pPr>
        <w:pStyle w:val="ListParagraph"/>
        <w:rPr>
          <w:sz w:val="25"/>
          <w:szCs w:val="25"/>
        </w:rPr>
      </w:pPr>
    </w:p>
    <w:p w:rsidR="004A529B" w:rsidRPr="004A529B" w:rsidRDefault="004A529B" w:rsidP="004A529B">
      <w:pPr>
        <w:numPr>
          <w:ilvl w:val="0"/>
          <w:numId w:val="27"/>
        </w:numPr>
        <w:spacing w:line="288" w:lineRule="auto"/>
        <w:rPr>
          <w:sz w:val="25"/>
          <w:szCs w:val="25"/>
        </w:rPr>
      </w:pPr>
      <w:r w:rsidRPr="00741E1B">
        <w:rPr>
          <w:sz w:val="25"/>
          <w:szCs w:val="25"/>
        </w:rPr>
        <w:t>The Commission is authorized</w:t>
      </w:r>
      <w:r>
        <w:rPr>
          <w:sz w:val="25"/>
          <w:szCs w:val="25"/>
        </w:rPr>
        <w:t>, in addition,</w:t>
      </w:r>
      <w:r w:rsidRPr="00741E1B">
        <w:rPr>
          <w:sz w:val="25"/>
          <w:szCs w:val="25"/>
        </w:rPr>
        <w:t xml:space="preserve"> to file a complaint on its own motion</w:t>
      </w:r>
      <w:r>
        <w:rPr>
          <w:sz w:val="25"/>
          <w:szCs w:val="25"/>
        </w:rPr>
        <w:t>, as provided by</w:t>
      </w:r>
      <w:r w:rsidRPr="00741E1B">
        <w:rPr>
          <w:sz w:val="25"/>
          <w:szCs w:val="25"/>
        </w:rPr>
        <w:t xml:space="preserve"> RCW 81.04.110</w:t>
      </w:r>
      <w:r>
        <w:rPr>
          <w:sz w:val="25"/>
          <w:szCs w:val="25"/>
        </w:rPr>
        <w:t xml:space="preserve">, </w:t>
      </w:r>
      <w:r w:rsidRPr="00741E1B">
        <w:rPr>
          <w:sz w:val="25"/>
          <w:szCs w:val="25"/>
        </w:rPr>
        <w:t>setting forth any act or omission by any public service company that violates any law or any order or rule of the Commission.</w:t>
      </w:r>
      <w:r>
        <w:rPr>
          <w:sz w:val="25"/>
          <w:szCs w:val="25"/>
        </w:rPr>
        <w:t xml:space="preserve">  The Commission is empowered to impose penalties for </w:t>
      </w:r>
      <w:r w:rsidR="00A42178">
        <w:rPr>
          <w:sz w:val="25"/>
          <w:szCs w:val="25"/>
        </w:rPr>
        <w:t xml:space="preserve">any such </w:t>
      </w:r>
      <w:r>
        <w:rPr>
          <w:sz w:val="25"/>
          <w:szCs w:val="25"/>
        </w:rPr>
        <w:t>violations.</w:t>
      </w:r>
    </w:p>
    <w:p w:rsidR="002F20FE" w:rsidRDefault="002F20FE" w:rsidP="002F20FE">
      <w:pPr>
        <w:pStyle w:val="ListParagraph"/>
        <w:rPr>
          <w:sz w:val="25"/>
          <w:szCs w:val="25"/>
        </w:rPr>
      </w:pPr>
    </w:p>
    <w:p w:rsidR="002F20FE" w:rsidRPr="002F20FE" w:rsidRDefault="002F20FE" w:rsidP="002F20FE">
      <w:pPr>
        <w:jc w:val="center"/>
        <w:rPr>
          <w:b/>
          <w:sz w:val="25"/>
          <w:szCs w:val="25"/>
        </w:rPr>
      </w:pPr>
      <w:r w:rsidRPr="002F20FE">
        <w:rPr>
          <w:b/>
          <w:sz w:val="25"/>
          <w:szCs w:val="25"/>
        </w:rPr>
        <w:t>EVIDENCE</w:t>
      </w:r>
    </w:p>
    <w:p w:rsidR="002F20FE" w:rsidRDefault="002F20FE" w:rsidP="002F20FE">
      <w:pPr>
        <w:pStyle w:val="ListParagraph"/>
        <w:rPr>
          <w:sz w:val="25"/>
          <w:szCs w:val="25"/>
        </w:rPr>
      </w:pPr>
    </w:p>
    <w:p w:rsidR="002F20FE" w:rsidRDefault="00951F14" w:rsidP="00A83509">
      <w:pPr>
        <w:numPr>
          <w:ilvl w:val="0"/>
          <w:numId w:val="27"/>
        </w:numPr>
        <w:tabs>
          <w:tab w:val="num" w:pos="720"/>
        </w:tabs>
        <w:spacing w:line="288" w:lineRule="auto"/>
        <w:rPr>
          <w:sz w:val="25"/>
          <w:szCs w:val="25"/>
        </w:rPr>
      </w:pPr>
      <w:r>
        <w:rPr>
          <w:sz w:val="25"/>
          <w:szCs w:val="25"/>
        </w:rPr>
        <w:t xml:space="preserve">Staff witness Lauren McCloy, a Commission Compliance Investigator, testified that </w:t>
      </w:r>
      <w:r w:rsidR="00DF7D14">
        <w:rPr>
          <w:sz w:val="25"/>
          <w:szCs w:val="25"/>
        </w:rPr>
        <w:t xml:space="preserve">she initiated an investigation into </w:t>
      </w:r>
      <w:r w:rsidR="00A4389C">
        <w:rPr>
          <w:sz w:val="25"/>
          <w:szCs w:val="25"/>
        </w:rPr>
        <w:t>the Company</w:t>
      </w:r>
      <w:r w:rsidR="00DF7D14">
        <w:rPr>
          <w:sz w:val="25"/>
          <w:szCs w:val="25"/>
        </w:rPr>
        <w:t xml:space="preserve"> in June 2013</w:t>
      </w:r>
      <w:r w:rsidR="00DB4E2B">
        <w:rPr>
          <w:sz w:val="25"/>
          <w:szCs w:val="25"/>
        </w:rPr>
        <w:t>.</w:t>
      </w:r>
      <w:r w:rsidR="00DB4E2B">
        <w:rPr>
          <w:rStyle w:val="FootnoteReference"/>
          <w:sz w:val="25"/>
          <w:szCs w:val="25"/>
        </w:rPr>
        <w:footnoteReference w:id="5"/>
      </w:r>
      <w:r w:rsidR="002E0E9B">
        <w:rPr>
          <w:sz w:val="25"/>
          <w:szCs w:val="25"/>
        </w:rPr>
        <w:t xml:space="preserve">  Ms. McCloy </w:t>
      </w:r>
      <w:r w:rsidR="00A4389C">
        <w:rPr>
          <w:sz w:val="25"/>
          <w:szCs w:val="25"/>
        </w:rPr>
        <w:t xml:space="preserve">reviewed Commission records and </w:t>
      </w:r>
      <w:r w:rsidR="002E0E9B">
        <w:rPr>
          <w:sz w:val="25"/>
          <w:szCs w:val="25"/>
        </w:rPr>
        <w:t>determined that Great American Moving did not have a household goods carrier permit</w:t>
      </w:r>
      <w:r w:rsidR="00A4389C">
        <w:rPr>
          <w:sz w:val="25"/>
          <w:szCs w:val="25"/>
        </w:rPr>
        <w:t>.</w:t>
      </w:r>
      <w:r w:rsidR="00A4389C">
        <w:rPr>
          <w:rStyle w:val="FootnoteReference"/>
          <w:sz w:val="25"/>
          <w:szCs w:val="25"/>
        </w:rPr>
        <w:footnoteReference w:id="6"/>
      </w:r>
    </w:p>
    <w:p w:rsidR="00DF7D14" w:rsidRDefault="00DF7D14" w:rsidP="00DF7D14">
      <w:pPr>
        <w:tabs>
          <w:tab w:val="num" w:pos="720"/>
        </w:tabs>
        <w:spacing w:line="288" w:lineRule="auto"/>
        <w:rPr>
          <w:sz w:val="25"/>
          <w:szCs w:val="25"/>
        </w:rPr>
      </w:pPr>
    </w:p>
    <w:p w:rsidR="00B87B32" w:rsidRDefault="00FA2847" w:rsidP="00A83509">
      <w:pPr>
        <w:numPr>
          <w:ilvl w:val="0"/>
          <w:numId w:val="27"/>
        </w:numPr>
        <w:tabs>
          <w:tab w:val="num" w:pos="720"/>
        </w:tabs>
        <w:spacing w:line="288" w:lineRule="auto"/>
        <w:rPr>
          <w:sz w:val="25"/>
          <w:szCs w:val="25"/>
        </w:rPr>
      </w:pPr>
      <w:r>
        <w:rPr>
          <w:sz w:val="25"/>
          <w:szCs w:val="25"/>
        </w:rPr>
        <w:t xml:space="preserve">On May 13, 2013, </w:t>
      </w:r>
      <w:r w:rsidR="00DF7D14">
        <w:rPr>
          <w:sz w:val="25"/>
          <w:szCs w:val="25"/>
        </w:rPr>
        <w:t>Ms. McCloy</w:t>
      </w:r>
      <w:r w:rsidR="00A4389C">
        <w:rPr>
          <w:sz w:val="25"/>
          <w:szCs w:val="25"/>
        </w:rPr>
        <w:t xml:space="preserve"> searched the </w:t>
      </w:r>
      <w:r w:rsidR="00A42178">
        <w:rPr>
          <w:sz w:val="25"/>
          <w:szCs w:val="25"/>
        </w:rPr>
        <w:t>I</w:t>
      </w:r>
      <w:r w:rsidR="00A4389C">
        <w:rPr>
          <w:sz w:val="25"/>
          <w:szCs w:val="25"/>
        </w:rPr>
        <w:t>nternet for Great American Moving</w:t>
      </w:r>
      <w:r w:rsidR="00B87B32" w:rsidRPr="00B87B32">
        <w:rPr>
          <w:sz w:val="25"/>
          <w:szCs w:val="25"/>
        </w:rPr>
        <w:t xml:space="preserve"> </w:t>
      </w:r>
      <w:r w:rsidR="00B87B32">
        <w:rPr>
          <w:sz w:val="25"/>
          <w:szCs w:val="25"/>
        </w:rPr>
        <w:t>advertising</w:t>
      </w:r>
      <w:r w:rsidR="00A4389C">
        <w:rPr>
          <w:sz w:val="25"/>
          <w:szCs w:val="25"/>
        </w:rPr>
        <w:t>.  She found</w:t>
      </w:r>
      <w:r w:rsidR="00002F26">
        <w:rPr>
          <w:sz w:val="25"/>
          <w:szCs w:val="25"/>
        </w:rPr>
        <w:t xml:space="preserve"> the Company’s </w:t>
      </w:r>
      <w:r w:rsidR="00B87B32">
        <w:rPr>
          <w:sz w:val="25"/>
          <w:szCs w:val="25"/>
        </w:rPr>
        <w:t xml:space="preserve">own </w:t>
      </w:r>
      <w:r w:rsidR="00002F26">
        <w:rPr>
          <w:sz w:val="25"/>
          <w:szCs w:val="25"/>
        </w:rPr>
        <w:t xml:space="preserve">website and additional advertisements on </w:t>
      </w:r>
      <w:r w:rsidR="00002F26">
        <w:rPr>
          <w:sz w:val="25"/>
          <w:szCs w:val="25"/>
        </w:rPr>
        <w:lastRenderedPageBreak/>
        <w:t>Angie’s List, Seattle Mover, and Yelp</w:t>
      </w:r>
      <w:r>
        <w:rPr>
          <w:sz w:val="25"/>
          <w:szCs w:val="25"/>
        </w:rPr>
        <w:t>.  Ms. McCloy confirmed that as of October 29, 2013, these websites remained operational and appeared substantially the same.</w:t>
      </w:r>
      <w:r>
        <w:rPr>
          <w:rStyle w:val="FootnoteReference"/>
          <w:sz w:val="25"/>
          <w:szCs w:val="25"/>
        </w:rPr>
        <w:footnoteReference w:id="7"/>
      </w:r>
      <w:r>
        <w:rPr>
          <w:sz w:val="25"/>
          <w:szCs w:val="25"/>
        </w:rPr>
        <w:t xml:space="preserve">  </w:t>
      </w:r>
    </w:p>
    <w:p w:rsidR="00B87B32" w:rsidRDefault="00B87B32" w:rsidP="00B87B32">
      <w:pPr>
        <w:pStyle w:val="ListParagraph"/>
        <w:rPr>
          <w:sz w:val="25"/>
          <w:szCs w:val="25"/>
        </w:rPr>
      </w:pPr>
    </w:p>
    <w:p w:rsidR="00DF7D14" w:rsidRDefault="00002F26" w:rsidP="00A83509">
      <w:pPr>
        <w:numPr>
          <w:ilvl w:val="0"/>
          <w:numId w:val="27"/>
        </w:numPr>
        <w:tabs>
          <w:tab w:val="num" w:pos="720"/>
        </w:tabs>
        <w:spacing w:line="288" w:lineRule="auto"/>
        <w:rPr>
          <w:sz w:val="25"/>
          <w:szCs w:val="25"/>
        </w:rPr>
      </w:pPr>
      <w:r>
        <w:rPr>
          <w:sz w:val="25"/>
          <w:szCs w:val="25"/>
        </w:rPr>
        <w:t>The</w:t>
      </w:r>
      <w:r w:rsidR="00114E2A">
        <w:rPr>
          <w:sz w:val="25"/>
          <w:szCs w:val="25"/>
        </w:rPr>
        <w:t xml:space="preserve"> “Moving” </w:t>
      </w:r>
      <w:r>
        <w:rPr>
          <w:sz w:val="25"/>
          <w:szCs w:val="25"/>
        </w:rPr>
        <w:t xml:space="preserve">portion of </w:t>
      </w:r>
      <w:r w:rsidR="00114E2A">
        <w:rPr>
          <w:sz w:val="25"/>
          <w:szCs w:val="25"/>
        </w:rPr>
        <w:t>Great American Moving’s</w:t>
      </w:r>
      <w:r>
        <w:rPr>
          <w:sz w:val="25"/>
          <w:szCs w:val="25"/>
        </w:rPr>
        <w:t xml:space="preserve"> website has a tab for “Local” moves that leads users to </w:t>
      </w:r>
      <w:r w:rsidR="00A604ED">
        <w:rPr>
          <w:sz w:val="25"/>
          <w:szCs w:val="25"/>
        </w:rPr>
        <w:t>specific information on “Washington moving” that includes advice on interstate moves and “staying put” within the state</w:t>
      </w:r>
      <w:r w:rsidR="001D38FD">
        <w:rPr>
          <w:sz w:val="25"/>
          <w:szCs w:val="25"/>
        </w:rPr>
        <w:t>, with additional specific tabs for “Seattle Moving” and “Tacoma Moving</w:t>
      </w:r>
      <w:r w:rsidR="00A604ED">
        <w:rPr>
          <w:sz w:val="25"/>
          <w:szCs w:val="25"/>
        </w:rPr>
        <w:t>.</w:t>
      </w:r>
      <w:r w:rsidR="001D38FD">
        <w:rPr>
          <w:sz w:val="25"/>
          <w:szCs w:val="25"/>
        </w:rPr>
        <w:t>”</w:t>
      </w:r>
      <w:r>
        <w:rPr>
          <w:rStyle w:val="FootnoteReference"/>
          <w:sz w:val="25"/>
          <w:szCs w:val="25"/>
        </w:rPr>
        <w:footnoteReference w:id="8"/>
      </w:r>
      <w:r w:rsidR="001D38FD">
        <w:rPr>
          <w:sz w:val="25"/>
          <w:szCs w:val="25"/>
        </w:rPr>
        <w:t xml:space="preserve">  The Washington moving page states that moving in Washington “can be a hassle even if you only move a few blocks.”</w:t>
      </w:r>
      <w:r w:rsidR="001D38FD">
        <w:rPr>
          <w:rStyle w:val="FootnoteReference"/>
          <w:sz w:val="25"/>
          <w:szCs w:val="25"/>
        </w:rPr>
        <w:footnoteReference w:id="9"/>
      </w:r>
      <w:r w:rsidR="001D38FD">
        <w:rPr>
          <w:sz w:val="25"/>
          <w:szCs w:val="25"/>
        </w:rPr>
        <w:t xml:space="preserve">  The Tacoma moving page states that the Company “specializes in moving property in, out and around Washington.”</w:t>
      </w:r>
      <w:r w:rsidR="001D38FD">
        <w:rPr>
          <w:rStyle w:val="FootnoteReference"/>
          <w:sz w:val="25"/>
          <w:szCs w:val="25"/>
        </w:rPr>
        <w:footnoteReference w:id="10"/>
      </w:r>
    </w:p>
    <w:p w:rsidR="00B87B32" w:rsidRDefault="00B87B32" w:rsidP="00B87B32">
      <w:pPr>
        <w:pStyle w:val="ListParagraph"/>
        <w:rPr>
          <w:sz w:val="25"/>
          <w:szCs w:val="25"/>
        </w:rPr>
      </w:pPr>
    </w:p>
    <w:p w:rsidR="00B87B32" w:rsidRDefault="00B87B32" w:rsidP="00A83509">
      <w:pPr>
        <w:numPr>
          <w:ilvl w:val="0"/>
          <w:numId w:val="27"/>
        </w:numPr>
        <w:tabs>
          <w:tab w:val="num" w:pos="720"/>
        </w:tabs>
        <w:spacing w:line="288" w:lineRule="auto"/>
        <w:rPr>
          <w:sz w:val="25"/>
          <w:szCs w:val="25"/>
        </w:rPr>
      </w:pPr>
      <w:r>
        <w:rPr>
          <w:sz w:val="25"/>
          <w:szCs w:val="25"/>
        </w:rPr>
        <w:t>The other advertising pages contain similar language referring to “local” moves.  Angie’s List describes Great American Moving’s service as including “local” relocation.</w:t>
      </w:r>
      <w:r>
        <w:rPr>
          <w:rStyle w:val="FootnoteReference"/>
          <w:sz w:val="25"/>
          <w:szCs w:val="25"/>
        </w:rPr>
        <w:footnoteReference w:id="11"/>
      </w:r>
      <w:r>
        <w:rPr>
          <w:sz w:val="25"/>
          <w:szCs w:val="25"/>
        </w:rPr>
        <w:t xml:space="preserve">  Seattle Mover explains that the Company can assist with a customer’s “need to ship property from one location to another,” “even within your own city.”</w:t>
      </w:r>
      <w:r>
        <w:rPr>
          <w:rStyle w:val="FootnoteReference"/>
          <w:sz w:val="25"/>
          <w:szCs w:val="25"/>
        </w:rPr>
        <w:footnoteReference w:id="12"/>
      </w:r>
      <w:r>
        <w:rPr>
          <w:sz w:val="25"/>
          <w:szCs w:val="25"/>
        </w:rPr>
        <w:t xml:space="preserve">  Yelp </w:t>
      </w:r>
      <w:r w:rsidR="002B45C1">
        <w:rPr>
          <w:sz w:val="25"/>
          <w:szCs w:val="25"/>
        </w:rPr>
        <w:t>indicates that Great American Moving serves “Tacoma and surrounding area.”</w:t>
      </w:r>
      <w:r w:rsidR="002B45C1">
        <w:rPr>
          <w:rStyle w:val="FootnoteReference"/>
          <w:sz w:val="25"/>
          <w:szCs w:val="25"/>
        </w:rPr>
        <w:footnoteReference w:id="13"/>
      </w:r>
    </w:p>
    <w:p w:rsidR="002B45C1" w:rsidRDefault="002B45C1" w:rsidP="002B45C1">
      <w:pPr>
        <w:pStyle w:val="ListParagraph"/>
        <w:rPr>
          <w:sz w:val="25"/>
          <w:szCs w:val="25"/>
        </w:rPr>
      </w:pPr>
    </w:p>
    <w:p w:rsidR="002B45C1" w:rsidRDefault="002B45C1" w:rsidP="00A83509">
      <w:pPr>
        <w:numPr>
          <w:ilvl w:val="0"/>
          <w:numId w:val="27"/>
        </w:numPr>
        <w:tabs>
          <w:tab w:val="num" w:pos="720"/>
        </w:tabs>
        <w:spacing w:line="288" w:lineRule="auto"/>
        <w:rPr>
          <w:sz w:val="25"/>
          <w:szCs w:val="25"/>
        </w:rPr>
      </w:pPr>
      <w:r>
        <w:rPr>
          <w:sz w:val="25"/>
          <w:szCs w:val="25"/>
        </w:rPr>
        <w:t xml:space="preserve">Ms. McCloy further testified that she contacted Great American Moving on June 19, 2013, by calling the toll-free number listed </w:t>
      </w:r>
      <w:r w:rsidR="00FB3752">
        <w:rPr>
          <w:sz w:val="25"/>
          <w:szCs w:val="25"/>
        </w:rPr>
        <w:t>on</w:t>
      </w:r>
      <w:r>
        <w:rPr>
          <w:sz w:val="25"/>
          <w:szCs w:val="25"/>
        </w:rPr>
        <w:t xml:space="preserve"> its web page.  Ms. McCloy spoke to “Amber” and requested an estimate for a household goods move between Lakewood, Washington, and Olympia, Washington.  According to Ms. McCloy, the Company quoted a rate of $99 per hour for two movers and a truck.</w:t>
      </w:r>
      <w:r>
        <w:rPr>
          <w:rStyle w:val="FootnoteReference"/>
          <w:sz w:val="25"/>
          <w:szCs w:val="25"/>
        </w:rPr>
        <w:footnoteReference w:id="14"/>
      </w:r>
    </w:p>
    <w:p w:rsidR="002C02B3" w:rsidRDefault="002C02B3" w:rsidP="002C02B3">
      <w:pPr>
        <w:pStyle w:val="ListParagraph"/>
        <w:rPr>
          <w:sz w:val="25"/>
          <w:szCs w:val="25"/>
        </w:rPr>
      </w:pPr>
    </w:p>
    <w:p w:rsidR="00D6132D" w:rsidRDefault="002C02B3" w:rsidP="00A83509">
      <w:pPr>
        <w:numPr>
          <w:ilvl w:val="0"/>
          <w:numId w:val="27"/>
        </w:numPr>
        <w:tabs>
          <w:tab w:val="num" w:pos="720"/>
        </w:tabs>
        <w:spacing w:line="288" w:lineRule="auto"/>
        <w:rPr>
          <w:sz w:val="25"/>
          <w:szCs w:val="25"/>
        </w:rPr>
      </w:pPr>
      <w:r>
        <w:rPr>
          <w:sz w:val="25"/>
          <w:szCs w:val="25"/>
        </w:rPr>
        <w:t xml:space="preserve">Ms. Green testified that the Company’s website does not advertise intrastate moving services and that the on-line quote system would not process estimates between two zip codes both located in Washington state.  Although the Company site and the </w:t>
      </w:r>
      <w:r>
        <w:rPr>
          <w:sz w:val="25"/>
          <w:szCs w:val="25"/>
        </w:rPr>
        <w:lastRenderedPageBreak/>
        <w:t>Seattle Movers “landing page” both stress that Great American Movers is a local company, Ms. Green pointed out that all other language on their website and the Seattle Movers website is very general in nature.</w:t>
      </w:r>
      <w:r>
        <w:rPr>
          <w:rStyle w:val="FootnoteReference"/>
          <w:sz w:val="25"/>
          <w:szCs w:val="25"/>
        </w:rPr>
        <w:footnoteReference w:id="15"/>
      </w:r>
    </w:p>
    <w:p w:rsidR="00D6132D" w:rsidRDefault="00D6132D" w:rsidP="00D6132D">
      <w:pPr>
        <w:pStyle w:val="ListParagraph"/>
        <w:rPr>
          <w:sz w:val="25"/>
          <w:szCs w:val="25"/>
        </w:rPr>
      </w:pPr>
    </w:p>
    <w:p w:rsidR="002C02B3" w:rsidRDefault="00D6132D" w:rsidP="00A83509">
      <w:pPr>
        <w:numPr>
          <w:ilvl w:val="0"/>
          <w:numId w:val="27"/>
        </w:numPr>
        <w:tabs>
          <w:tab w:val="num" w:pos="720"/>
        </w:tabs>
        <w:spacing w:line="288" w:lineRule="auto"/>
        <w:rPr>
          <w:sz w:val="25"/>
          <w:szCs w:val="25"/>
        </w:rPr>
      </w:pPr>
      <w:r>
        <w:rPr>
          <w:sz w:val="25"/>
          <w:szCs w:val="25"/>
        </w:rPr>
        <w:t>Ms. Green stated expressed willingness to modify some of the language on the Company website or the Seattle Movers site.</w:t>
      </w:r>
      <w:r>
        <w:rPr>
          <w:rStyle w:val="FootnoteReference"/>
          <w:sz w:val="25"/>
          <w:szCs w:val="25"/>
        </w:rPr>
        <w:footnoteReference w:id="16"/>
      </w:r>
      <w:r>
        <w:rPr>
          <w:sz w:val="25"/>
          <w:szCs w:val="25"/>
        </w:rPr>
        <w:t xml:space="preserve">  </w:t>
      </w:r>
      <w:r w:rsidR="002C02B3">
        <w:rPr>
          <w:sz w:val="25"/>
          <w:szCs w:val="25"/>
        </w:rPr>
        <w:t>As to the other advertising sites</w:t>
      </w:r>
      <w:r>
        <w:rPr>
          <w:sz w:val="25"/>
          <w:szCs w:val="25"/>
        </w:rPr>
        <w:t>, Ms. </w:t>
      </w:r>
      <w:r w:rsidR="002C02B3">
        <w:rPr>
          <w:sz w:val="25"/>
          <w:szCs w:val="25"/>
        </w:rPr>
        <w:t xml:space="preserve">Green explained that neither she nor the Company </w:t>
      </w:r>
      <w:r w:rsidR="00FB3752">
        <w:rPr>
          <w:sz w:val="25"/>
          <w:szCs w:val="25"/>
        </w:rPr>
        <w:t>could</w:t>
      </w:r>
      <w:r w:rsidR="002C02B3">
        <w:rPr>
          <w:sz w:val="25"/>
          <w:szCs w:val="25"/>
        </w:rPr>
        <w:t xml:space="preserve"> control the </w:t>
      </w:r>
      <w:r w:rsidR="00FB3752">
        <w:rPr>
          <w:sz w:val="25"/>
          <w:szCs w:val="25"/>
        </w:rPr>
        <w:t xml:space="preserve">independently created </w:t>
      </w:r>
      <w:r w:rsidR="002C02B3">
        <w:rPr>
          <w:sz w:val="25"/>
          <w:szCs w:val="25"/>
        </w:rPr>
        <w:t>content of Angie’s List or Yelp.</w:t>
      </w:r>
      <w:r w:rsidR="002C02B3">
        <w:rPr>
          <w:rStyle w:val="FootnoteReference"/>
          <w:sz w:val="25"/>
          <w:szCs w:val="25"/>
        </w:rPr>
        <w:footnoteReference w:id="17"/>
      </w:r>
      <w:r>
        <w:rPr>
          <w:sz w:val="25"/>
          <w:szCs w:val="25"/>
        </w:rPr>
        <w:t xml:space="preserve">  </w:t>
      </w:r>
    </w:p>
    <w:p w:rsidR="002C02B3" w:rsidRDefault="002C02B3" w:rsidP="002C02B3">
      <w:pPr>
        <w:pStyle w:val="ListParagraph"/>
        <w:rPr>
          <w:sz w:val="25"/>
          <w:szCs w:val="25"/>
        </w:rPr>
      </w:pPr>
    </w:p>
    <w:p w:rsidR="003C3808" w:rsidRDefault="002C02B3" w:rsidP="00A83509">
      <w:pPr>
        <w:numPr>
          <w:ilvl w:val="0"/>
          <w:numId w:val="27"/>
        </w:numPr>
        <w:tabs>
          <w:tab w:val="num" w:pos="720"/>
        </w:tabs>
        <w:spacing w:line="288" w:lineRule="auto"/>
        <w:rPr>
          <w:sz w:val="25"/>
          <w:szCs w:val="25"/>
        </w:rPr>
      </w:pPr>
      <w:r>
        <w:rPr>
          <w:sz w:val="25"/>
          <w:szCs w:val="25"/>
        </w:rPr>
        <w:t>Ms. Green further testified that the Commission had not provided her with any proof that Ms. McCloy’s alleged telephone call with Amber actually occurred</w:t>
      </w:r>
      <w:r w:rsidR="00D6132D">
        <w:rPr>
          <w:sz w:val="25"/>
          <w:szCs w:val="25"/>
        </w:rPr>
        <w:t xml:space="preserve"> or what specific questions might have been posed by Ms. McCloy.</w:t>
      </w:r>
      <w:r w:rsidR="00D6132D">
        <w:rPr>
          <w:rStyle w:val="FootnoteReference"/>
          <w:sz w:val="25"/>
          <w:szCs w:val="25"/>
        </w:rPr>
        <w:footnoteReference w:id="18"/>
      </w:r>
      <w:r w:rsidR="00D6132D">
        <w:rPr>
          <w:sz w:val="25"/>
          <w:szCs w:val="25"/>
        </w:rPr>
        <w:t xml:space="preserve">  </w:t>
      </w:r>
      <w:r w:rsidR="003C3808">
        <w:rPr>
          <w:sz w:val="25"/>
          <w:szCs w:val="25"/>
        </w:rPr>
        <w:t xml:space="preserve">According to Ms. Green, she did employ a person named Amber at the time of Ms. McCloy’s phone call, but that </w:t>
      </w:r>
      <w:r w:rsidR="00FB3752">
        <w:rPr>
          <w:sz w:val="25"/>
          <w:szCs w:val="25"/>
        </w:rPr>
        <w:t>Amber</w:t>
      </w:r>
      <w:r w:rsidR="003C3808">
        <w:rPr>
          <w:sz w:val="25"/>
          <w:szCs w:val="25"/>
        </w:rPr>
        <w:t xml:space="preserve"> was a new employee who may have been confused about the nature of the estimate requested and perhaps mistakenly provided the quote.</w:t>
      </w:r>
      <w:r w:rsidR="003C3808">
        <w:rPr>
          <w:rStyle w:val="FootnoteReference"/>
          <w:sz w:val="25"/>
          <w:szCs w:val="25"/>
        </w:rPr>
        <w:footnoteReference w:id="19"/>
      </w:r>
    </w:p>
    <w:p w:rsidR="003C3808" w:rsidRDefault="003C3808" w:rsidP="003C3808">
      <w:pPr>
        <w:pStyle w:val="ListParagraph"/>
        <w:rPr>
          <w:sz w:val="25"/>
          <w:szCs w:val="25"/>
        </w:rPr>
      </w:pPr>
    </w:p>
    <w:p w:rsidR="00D06258" w:rsidRDefault="00D6132D" w:rsidP="00A83509">
      <w:pPr>
        <w:numPr>
          <w:ilvl w:val="0"/>
          <w:numId w:val="27"/>
        </w:numPr>
        <w:tabs>
          <w:tab w:val="num" w:pos="720"/>
        </w:tabs>
        <w:spacing w:line="288" w:lineRule="auto"/>
        <w:rPr>
          <w:sz w:val="25"/>
          <w:szCs w:val="25"/>
        </w:rPr>
      </w:pPr>
      <w:r>
        <w:rPr>
          <w:sz w:val="25"/>
          <w:szCs w:val="25"/>
        </w:rPr>
        <w:t xml:space="preserve">Ms. Green </w:t>
      </w:r>
      <w:r w:rsidR="00DE6AAD">
        <w:rPr>
          <w:sz w:val="25"/>
          <w:szCs w:val="25"/>
        </w:rPr>
        <w:t xml:space="preserve">repeatedly </w:t>
      </w:r>
      <w:r>
        <w:rPr>
          <w:sz w:val="25"/>
          <w:szCs w:val="25"/>
        </w:rPr>
        <w:t>stated that her C</w:t>
      </w:r>
      <w:r w:rsidR="00F75CBB">
        <w:rPr>
          <w:sz w:val="25"/>
          <w:szCs w:val="25"/>
        </w:rPr>
        <w:t xml:space="preserve">ompany does not offer to perform local moves in Washington and only </w:t>
      </w:r>
      <w:r w:rsidR="00A42178">
        <w:rPr>
          <w:sz w:val="25"/>
          <w:szCs w:val="25"/>
        </w:rPr>
        <w:t>provides</w:t>
      </w:r>
      <w:r w:rsidR="00F75CBB">
        <w:rPr>
          <w:sz w:val="25"/>
          <w:szCs w:val="25"/>
        </w:rPr>
        <w:t xml:space="preserve"> long distance moves.</w:t>
      </w:r>
      <w:r w:rsidR="00F75CBB">
        <w:rPr>
          <w:rStyle w:val="FootnoteReference"/>
          <w:sz w:val="25"/>
          <w:szCs w:val="25"/>
        </w:rPr>
        <w:footnoteReference w:id="20"/>
      </w:r>
      <w:r w:rsidR="00DE6AAD">
        <w:rPr>
          <w:sz w:val="25"/>
          <w:szCs w:val="25"/>
        </w:rPr>
        <w:t xml:space="preserve">  Ms. Green also presented the testimony of Mr. Rascheik Dixon and Mr. Shayla Nealy to reiterate that Great American Moving does not solicit business or actually perform local moves.</w:t>
      </w:r>
      <w:r w:rsidR="00DE6AAD">
        <w:rPr>
          <w:rStyle w:val="FootnoteReference"/>
          <w:sz w:val="25"/>
          <w:szCs w:val="25"/>
        </w:rPr>
        <w:footnoteReference w:id="21"/>
      </w:r>
    </w:p>
    <w:p w:rsidR="002F20FE" w:rsidRDefault="002F20FE" w:rsidP="002F20FE">
      <w:pPr>
        <w:tabs>
          <w:tab w:val="num" w:pos="720"/>
        </w:tabs>
        <w:spacing w:line="288" w:lineRule="auto"/>
        <w:rPr>
          <w:sz w:val="25"/>
          <w:szCs w:val="25"/>
        </w:rPr>
      </w:pPr>
    </w:p>
    <w:p w:rsidR="002F20FE" w:rsidRPr="00894C31" w:rsidRDefault="002F20FE" w:rsidP="002F20FE">
      <w:pPr>
        <w:spacing w:line="24" w:lineRule="atLeast"/>
        <w:jc w:val="center"/>
        <w:rPr>
          <w:b/>
          <w:sz w:val="25"/>
          <w:szCs w:val="25"/>
        </w:rPr>
      </w:pPr>
      <w:r>
        <w:rPr>
          <w:b/>
          <w:sz w:val="25"/>
          <w:szCs w:val="25"/>
        </w:rPr>
        <w:t xml:space="preserve">DISCUSSION </w:t>
      </w:r>
      <w:r w:rsidRPr="00894C31">
        <w:rPr>
          <w:b/>
          <w:sz w:val="25"/>
          <w:szCs w:val="25"/>
        </w:rPr>
        <w:t>AND DECISION</w:t>
      </w:r>
    </w:p>
    <w:p w:rsidR="0063156B" w:rsidRDefault="0063156B" w:rsidP="0063156B">
      <w:pPr>
        <w:tabs>
          <w:tab w:val="num" w:pos="720"/>
        </w:tabs>
        <w:spacing w:line="288" w:lineRule="auto"/>
        <w:rPr>
          <w:sz w:val="25"/>
          <w:szCs w:val="25"/>
        </w:rPr>
      </w:pPr>
    </w:p>
    <w:p w:rsidR="0063156B" w:rsidRDefault="0063156B" w:rsidP="0063156B">
      <w:pPr>
        <w:numPr>
          <w:ilvl w:val="0"/>
          <w:numId w:val="27"/>
        </w:numPr>
        <w:tabs>
          <w:tab w:val="num" w:pos="720"/>
        </w:tabs>
        <w:spacing w:line="288" w:lineRule="auto"/>
        <w:rPr>
          <w:sz w:val="25"/>
          <w:szCs w:val="25"/>
        </w:rPr>
      </w:pPr>
      <w:r w:rsidRPr="00E66972">
        <w:rPr>
          <w:sz w:val="25"/>
          <w:szCs w:val="25"/>
        </w:rPr>
        <w:t>RCW 81.04.510, which authorizes this special proceeding</w:t>
      </w:r>
      <w:r>
        <w:rPr>
          <w:sz w:val="25"/>
          <w:szCs w:val="25"/>
        </w:rPr>
        <w:t>, places the burden of proof on the Respondent to show by evidence that its acts or operations are not subject to the provisions of RCW Chapter 81.  Although Ms. Green testified that she and her company do not conduct intrastate moves in Washington, the weight of the evidence favors an opposite finding.</w:t>
      </w:r>
    </w:p>
    <w:p w:rsidR="002F20FE" w:rsidRDefault="002F20FE" w:rsidP="002F20FE">
      <w:pPr>
        <w:tabs>
          <w:tab w:val="num" w:pos="720"/>
        </w:tabs>
        <w:spacing w:line="288" w:lineRule="auto"/>
        <w:rPr>
          <w:sz w:val="25"/>
          <w:szCs w:val="25"/>
        </w:rPr>
      </w:pPr>
    </w:p>
    <w:p w:rsidR="00DE05CC" w:rsidRPr="00DE05CC" w:rsidRDefault="0063156B" w:rsidP="00DE05CC">
      <w:pPr>
        <w:numPr>
          <w:ilvl w:val="0"/>
          <w:numId w:val="32"/>
        </w:numPr>
        <w:spacing w:line="24" w:lineRule="atLeast"/>
        <w:rPr>
          <w:b/>
          <w:i/>
          <w:sz w:val="25"/>
          <w:szCs w:val="25"/>
        </w:rPr>
      </w:pPr>
      <w:r w:rsidRPr="00DE05CC">
        <w:rPr>
          <w:b/>
          <w:i/>
          <w:sz w:val="25"/>
          <w:szCs w:val="25"/>
        </w:rPr>
        <w:t xml:space="preserve">Operating or Advertising </w:t>
      </w:r>
      <w:r w:rsidR="00DE05CC">
        <w:rPr>
          <w:b/>
          <w:i/>
          <w:sz w:val="25"/>
          <w:szCs w:val="25"/>
        </w:rPr>
        <w:t>as Household Goods Moving Company</w:t>
      </w:r>
      <w:r w:rsidRPr="0063156B">
        <w:rPr>
          <w:b/>
          <w:i/>
          <w:sz w:val="25"/>
          <w:szCs w:val="25"/>
        </w:rPr>
        <w:t xml:space="preserve"> </w:t>
      </w:r>
      <w:r w:rsidRPr="00DE05CC">
        <w:rPr>
          <w:b/>
          <w:i/>
          <w:sz w:val="25"/>
          <w:szCs w:val="25"/>
        </w:rPr>
        <w:t>without Permit</w:t>
      </w:r>
    </w:p>
    <w:p w:rsidR="0063156B" w:rsidRDefault="0063156B" w:rsidP="0063156B">
      <w:pPr>
        <w:spacing w:line="288" w:lineRule="auto"/>
        <w:rPr>
          <w:sz w:val="25"/>
          <w:szCs w:val="25"/>
        </w:rPr>
      </w:pPr>
    </w:p>
    <w:p w:rsidR="0063156B" w:rsidRDefault="0063156B" w:rsidP="0063156B">
      <w:pPr>
        <w:numPr>
          <w:ilvl w:val="0"/>
          <w:numId w:val="27"/>
        </w:numPr>
        <w:tabs>
          <w:tab w:val="num" w:pos="720"/>
        </w:tabs>
        <w:spacing w:line="288" w:lineRule="auto"/>
        <w:rPr>
          <w:sz w:val="25"/>
          <w:szCs w:val="25"/>
        </w:rPr>
      </w:pPr>
      <w:r>
        <w:rPr>
          <w:sz w:val="25"/>
          <w:szCs w:val="25"/>
        </w:rPr>
        <w:t>Staff’s Complaint alleges that Great American Moving violated RCW 81.80.075(1) at least once by advertising the Company’s availability to transport household goods</w:t>
      </w:r>
      <w:r w:rsidRPr="00B50EDE">
        <w:rPr>
          <w:sz w:val="25"/>
          <w:szCs w:val="25"/>
        </w:rPr>
        <w:t xml:space="preserve"> </w:t>
      </w:r>
      <w:r w:rsidRPr="003B70A3">
        <w:rPr>
          <w:sz w:val="25"/>
          <w:szCs w:val="25"/>
        </w:rPr>
        <w:t xml:space="preserve">without having first obtained a household goods carrier permit from the Commission.  </w:t>
      </w:r>
      <w:r>
        <w:rPr>
          <w:sz w:val="25"/>
          <w:szCs w:val="25"/>
        </w:rPr>
        <w:t>Great American Moving’s web site establishes at least one violation of the statute.</w:t>
      </w:r>
    </w:p>
    <w:p w:rsidR="0063156B" w:rsidRPr="00E66972" w:rsidRDefault="0063156B" w:rsidP="0063156B">
      <w:pPr>
        <w:spacing w:line="288" w:lineRule="auto"/>
        <w:rPr>
          <w:sz w:val="25"/>
          <w:szCs w:val="25"/>
        </w:rPr>
      </w:pPr>
    </w:p>
    <w:p w:rsidR="0063156B" w:rsidRDefault="0063156B" w:rsidP="0063156B">
      <w:pPr>
        <w:numPr>
          <w:ilvl w:val="0"/>
          <w:numId w:val="27"/>
        </w:numPr>
        <w:tabs>
          <w:tab w:val="num" w:pos="720"/>
        </w:tabs>
        <w:spacing w:line="288" w:lineRule="auto"/>
        <w:rPr>
          <w:sz w:val="25"/>
          <w:szCs w:val="25"/>
        </w:rPr>
      </w:pPr>
      <w:r>
        <w:rPr>
          <w:sz w:val="25"/>
          <w:szCs w:val="25"/>
        </w:rPr>
        <w:t xml:space="preserve">Exhibit 1 (pages 10-15) shows that Great American Moving holds itself out in advertising on the Internet as a household goods mover.  Although Ms. Green and Rascheik Dixon testified that the Company conducts only interstate moves, the plain reading of the language in the ads refers to intrastate moves within Washington.  The Company’s own website discusses moving “only a few blocks” and touts Great American Moving’s expertise in “moving property in, out </w:t>
      </w:r>
      <w:r w:rsidRPr="00FB3752">
        <w:rPr>
          <w:i/>
          <w:sz w:val="25"/>
          <w:szCs w:val="25"/>
        </w:rPr>
        <w:t>and around</w:t>
      </w:r>
      <w:r>
        <w:rPr>
          <w:sz w:val="25"/>
          <w:szCs w:val="25"/>
        </w:rPr>
        <w:t xml:space="preserve"> Washington” (emphasis added).  The Company’s Seattle Movers “landing page” advertises an ability to ship a customer’s property “even within your own city.”  This language does not speak to a company seeking to conduct only interstate business.</w:t>
      </w:r>
    </w:p>
    <w:p w:rsidR="0063156B" w:rsidRDefault="0063156B" w:rsidP="0063156B">
      <w:pPr>
        <w:pStyle w:val="ListParagraph"/>
        <w:rPr>
          <w:sz w:val="25"/>
          <w:szCs w:val="25"/>
        </w:rPr>
      </w:pPr>
    </w:p>
    <w:p w:rsidR="00DF7D14" w:rsidRDefault="0063156B" w:rsidP="00DF7D14">
      <w:pPr>
        <w:numPr>
          <w:ilvl w:val="0"/>
          <w:numId w:val="27"/>
        </w:numPr>
        <w:tabs>
          <w:tab w:val="num" w:pos="720"/>
        </w:tabs>
        <w:spacing w:line="288" w:lineRule="auto"/>
        <w:rPr>
          <w:sz w:val="25"/>
          <w:szCs w:val="25"/>
        </w:rPr>
      </w:pPr>
      <w:r>
        <w:rPr>
          <w:sz w:val="25"/>
          <w:szCs w:val="25"/>
        </w:rPr>
        <w:t>T</w:t>
      </w:r>
      <w:r w:rsidR="00DF7D14">
        <w:rPr>
          <w:sz w:val="25"/>
          <w:szCs w:val="25"/>
        </w:rPr>
        <w:t xml:space="preserve">he </w:t>
      </w:r>
      <w:r w:rsidR="00DF7D14" w:rsidRPr="003B70A3">
        <w:rPr>
          <w:sz w:val="25"/>
          <w:szCs w:val="25"/>
        </w:rPr>
        <w:t xml:space="preserve">Complaint </w:t>
      </w:r>
      <w:r>
        <w:rPr>
          <w:sz w:val="25"/>
          <w:szCs w:val="25"/>
        </w:rPr>
        <w:t xml:space="preserve">also </w:t>
      </w:r>
      <w:r w:rsidR="00DF7D14" w:rsidRPr="003B70A3">
        <w:rPr>
          <w:sz w:val="25"/>
          <w:szCs w:val="25"/>
        </w:rPr>
        <w:t xml:space="preserve">alleges </w:t>
      </w:r>
      <w:r>
        <w:rPr>
          <w:sz w:val="25"/>
          <w:szCs w:val="25"/>
        </w:rPr>
        <w:t xml:space="preserve">a </w:t>
      </w:r>
      <w:r w:rsidR="00DF7D14" w:rsidRPr="003B70A3">
        <w:rPr>
          <w:sz w:val="25"/>
          <w:szCs w:val="25"/>
        </w:rPr>
        <w:t>violation</w:t>
      </w:r>
      <w:r>
        <w:rPr>
          <w:sz w:val="25"/>
          <w:szCs w:val="25"/>
        </w:rPr>
        <w:t xml:space="preserve"> of RCW 81.80.075(1) </w:t>
      </w:r>
      <w:r w:rsidR="00DF7D14" w:rsidRPr="003B70A3">
        <w:rPr>
          <w:sz w:val="25"/>
          <w:szCs w:val="25"/>
        </w:rPr>
        <w:t xml:space="preserve">based on </w:t>
      </w:r>
      <w:r w:rsidR="00DF7D14">
        <w:rPr>
          <w:sz w:val="25"/>
          <w:szCs w:val="25"/>
        </w:rPr>
        <w:t>Great American</w:t>
      </w:r>
      <w:r w:rsidR="00DF7D14" w:rsidRPr="003B70A3">
        <w:rPr>
          <w:sz w:val="25"/>
          <w:szCs w:val="25"/>
        </w:rPr>
        <w:t xml:space="preserve"> Moving offering to transport household goods </w:t>
      </w:r>
      <w:r>
        <w:rPr>
          <w:sz w:val="25"/>
          <w:szCs w:val="25"/>
        </w:rPr>
        <w:t>between two cities in western Washington</w:t>
      </w:r>
      <w:r w:rsidRPr="003B70A3">
        <w:rPr>
          <w:sz w:val="25"/>
          <w:szCs w:val="25"/>
        </w:rPr>
        <w:t xml:space="preserve"> </w:t>
      </w:r>
      <w:r w:rsidR="00DF7D14" w:rsidRPr="003B70A3">
        <w:rPr>
          <w:sz w:val="25"/>
          <w:szCs w:val="25"/>
        </w:rPr>
        <w:t xml:space="preserve">without having first obtained a household goods carrier permit from the Commission.  This violation is established by Ms. </w:t>
      </w:r>
      <w:r w:rsidR="00DF7D14">
        <w:rPr>
          <w:sz w:val="25"/>
          <w:szCs w:val="25"/>
        </w:rPr>
        <w:t>McCloy’s</w:t>
      </w:r>
      <w:r w:rsidR="00DF7D14" w:rsidRPr="003B70A3">
        <w:rPr>
          <w:sz w:val="25"/>
          <w:szCs w:val="25"/>
        </w:rPr>
        <w:t xml:space="preserve"> unrebutted</w:t>
      </w:r>
      <w:r>
        <w:rPr>
          <w:sz w:val="25"/>
          <w:szCs w:val="25"/>
        </w:rPr>
        <w:t xml:space="preserve"> credible</w:t>
      </w:r>
      <w:r w:rsidR="00DF7D14" w:rsidRPr="003B70A3">
        <w:rPr>
          <w:sz w:val="25"/>
          <w:szCs w:val="25"/>
        </w:rPr>
        <w:t xml:space="preserve"> testimony that she </w:t>
      </w:r>
      <w:r w:rsidR="00A564D4">
        <w:rPr>
          <w:sz w:val="25"/>
          <w:szCs w:val="25"/>
        </w:rPr>
        <w:t>was able to obtain an estimate for</w:t>
      </w:r>
      <w:r w:rsidR="00DF7D14" w:rsidRPr="003B70A3">
        <w:rPr>
          <w:sz w:val="25"/>
          <w:szCs w:val="25"/>
        </w:rPr>
        <w:t xml:space="preserve"> such a</w:t>
      </w:r>
      <w:r>
        <w:rPr>
          <w:sz w:val="25"/>
          <w:szCs w:val="25"/>
        </w:rPr>
        <w:t xml:space="preserve"> local</w:t>
      </w:r>
      <w:r w:rsidR="00DF7D14" w:rsidRPr="003B70A3">
        <w:rPr>
          <w:sz w:val="25"/>
          <w:szCs w:val="25"/>
        </w:rPr>
        <w:t xml:space="preserve"> move by telephone </w:t>
      </w:r>
      <w:r w:rsidR="003A012D">
        <w:rPr>
          <w:sz w:val="25"/>
          <w:szCs w:val="25"/>
        </w:rPr>
        <w:t xml:space="preserve">from a Company employee </w:t>
      </w:r>
      <w:r w:rsidR="00DF7D14" w:rsidRPr="003B70A3">
        <w:rPr>
          <w:sz w:val="25"/>
          <w:szCs w:val="25"/>
        </w:rPr>
        <w:t xml:space="preserve">on </w:t>
      </w:r>
      <w:r w:rsidR="00A564D4">
        <w:rPr>
          <w:sz w:val="25"/>
          <w:szCs w:val="25"/>
        </w:rPr>
        <w:t>June 19, 2013.</w:t>
      </w:r>
    </w:p>
    <w:p w:rsidR="0063156B" w:rsidRDefault="0063156B" w:rsidP="0063156B">
      <w:pPr>
        <w:pStyle w:val="ListParagraph"/>
        <w:rPr>
          <w:sz w:val="25"/>
          <w:szCs w:val="25"/>
        </w:rPr>
      </w:pPr>
    </w:p>
    <w:p w:rsidR="0063156B" w:rsidRDefault="0063156B" w:rsidP="0063156B">
      <w:pPr>
        <w:numPr>
          <w:ilvl w:val="0"/>
          <w:numId w:val="27"/>
        </w:numPr>
        <w:tabs>
          <w:tab w:val="num" w:pos="720"/>
        </w:tabs>
        <w:spacing w:line="288" w:lineRule="auto"/>
        <w:rPr>
          <w:sz w:val="25"/>
          <w:szCs w:val="25"/>
        </w:rPr>
      </w:pPr>
      <w:r>
        <w:rPr>
          <w:sz w:val="25"/>
          <w:szCs w:val="25"/>
        </w:rPr>
        <w:t>Ms. Green conceded that the Company employed someone named Amber on the date of Ms. McCloy’s phone call and offered no evidence to rebut this allegation.  The language found in the Company’s on-line advertising only reinforces the credibility of Ms. McCloy’s testimony.</w:t>
      </w:r>
    </w:p>
    <w:p w:rsidR="0063156B" w:rsidRDefault="0063156B" w:rsidP="0063156B">
      <w:pPr>
        <w:tabs>
          <w:tab w:val="num" w:pos="720"/>
        </w:tabs>
        <w:spacing w:line="288" w:lineRule="auto"/>
        <w:rPr>
          <w:sz w:val="25"/>
          <w:szCs w:val="25"/>
        </w:rPr>
      </w:pPr>
    </w:p>
    <w:p w:rsidR="0063156B" w:rsidRDefault="0063156B" w:rsidP="0063156B">
      <w:pPr>
        <w:numPr>
          <w:ilvl w:val="0"/>
          <w:numId w:val="27"/>
        </w:numPr>
        <w:tabs>
          <w:tab w:val="num" w:pos="720"/>
        </w:tabs>
        <w:spacing w:line="288" w:lineRule="auto"/>
        <w:rPr>
          <w:sz w:val="25"/>
          <w:szCs w:val="25"/>
        </w:rPr>
      </w:pPr>
      <w:r>
        <w:rPr>
          <w:sz w:val="25"/>
          <w:szCs w:val="25"/>
        </w:rPr>
        <w:t>These violations are each subject to a maximum penalty of $5,000 under RCW 81.80.075(4).  The Commission determines that an appropriate penalty should be assessed for both violations.</w:t>
      </w:r>
    </w:p>
    <w:p w:rsidR="0063156B" w:rsidRDefault="0063156B" w:rsidP="0063156B">
      <w:pPr>
        <w:pStyle w:val="ListParagraph"/>
        <w:rPr>
          <w:sz w:val="25"/>
          <w:szCs w:val="25"/>
        </w:rPr>
      </w:pPr>
    </w:p>
    <w:p w:rsidR="0063156B" w:rsidRDefault="0063156B" w:rsidP="0063156B">
      <w:pPr>
        <w:numPr>
          <w:ilvl w:val="0"/>
          <w:numId w:val="27"/>
        </w:numPr>
        <w:tabs>
          <w:tab w:val="num" w:pos="720"/>
        </w:tabs>
        <w:spacing w:line="288" w:lineRule="auto"/>
        <w:rPr>
          <w:sz w:val="25"/>
          <w:szCs w:val="25"/>
        </w:rPr>
      </w:pPr>
      <w:r>
        <w:rPr>
          <w:sz w:val="25"/>
          <w:szCs w:val="25"/>
        </w:rPr>
        <w:t xml:space="preserve">The </w:t>
      </w:r>
      <w:r w:rsidRPr="00DF7D14">
        <w:rPr>
          <w:sz w:val="25"/>
          <w:szCs w:val="25"/>
        </w:rPr>
        <w:t xml:space="preserve">Commission </w:t>
      </w:r>
      <w:r>
        <w:rPr>
          <w:sz w:val="25"/>
          <w:szCs w:val="25"/>
        </w:rPr>
        <w:t xml:space="preserve">also </w:t>
      </w:r>
      <w:r w:rsidRPr="00DF7D14">
        <w:rPr>
          <w:sz w:val="25"/>
          <w:szCs w:val="25"/>
        </w:rPr>
        <w:t xml:space="preserve">finds on the basis of this evidence that </w:t>
      </w:r>
      <w:r>
        <w:rPr>
          <w:sz w:val="25"/>
          <w:szCs w:val="25"/>
        </w:rPr>
        <w:t>Great American</w:t>
      </w:r>
      <w:r w:rsidRPr="00DF7D14">
        <w:rPr>
          <w:sz w:val="25"/>
          <w:szCs w:val="25"/>
        </w:rPr>
        <w:t xml:space="preserve"> Moving is conducting business requiring operating authority and has performed and is </w:t>
      </w:r>
      <w:r w:rsidRPr="00DF7D14">
        <w:rPr>
          <w:sz w:val="25"/>
          <w:szCs w:val="25"/>
        </w:rPr>
        <w:lastRenderedPageBreak/>
        <w:t xml:space="preserve">performing acts requiring Commission approval without obtaining the necessary operating authority or approval.  The Commission accordingly concludes that it should and must order </w:t>
      </w:r>
      <w:r>
        <w:rPr>
          <w:sz w:val="25"/>
          <w:szCs w:val="25"/>
        </w:rPr>
        <w:t xml:space="preserve">Great American </w:t>
      </w:r>
      <w:r w:rsidRPr="00DF7D14">
        <w:rPr>
          <w:sz w:val="25"/>
          <w:szCs w:val="25"/>
        </w:rPr>
        <w:t>Moving to cease and desist from such conduct and acts, as required under RCW 81.04.510.</w:t>
      </w:r>
      <w:r w:rsidRPr="00DF7D14">
        <w:rPr>
          <w:sz w:val="25"/>
          <w:szCs w:val="25"/>
          <w:vertAlign w:val="superscript"/>
        </w:rPr>
        <w:footnoteReference w:id="22"/>
      </w:r>
    </w:p>
    <w:p w:rsidR="00DE05CC" w:rsidRDefault="00DE05CC" w:rsidP="002F20FE">
      <w:pPr>
        <w:tabs>
          <w:tab w:val="num" w:pos="720"/>
        </w:tabs>
        <w:spacing w:line="288" w:lineRule="auto"/>
        <w:rPr>
          <w:sz w:val="25"/>
          <w:szCs w:val="25"/>
        </w:rPr>
      </w:pPr>
    </w:p>
    <w:p w:rsidR="00DE05CC" w:rsidRPr="00DE05CC" w:rsidRDefault="00DE05CC" w:rsidP="00DE05CC">
      <w:pPr>
        <w:pStyle w:val="ListParagraph"/>
        <w:numPr>
          <w:ilvl w:val="0"/>
          <w:numId w:val="32"/>
        </w:numPr>
        <w:spacing w:line="24" w:lineRule="atLeast"/>
        <w:rPr>
          <w:b/>
          <w:i/>
          <w:sz w:val="25"/>
          <w:szCs w:val="25"/>
        </w:rPr>
      </w:pPr>
      <w:r>
        <w:rPr>
          <w:b/>
          <w:i/>
          <w:sz w:val="25"/>
          <w:szCs w:val="25"/>
        </w:rPr>
        <w:t xml:space="preserve"> </w:t>
      </w:r>
      <w:r w:rsidRPr="00DE05CC">
        <w:rPr>
          <w:b/>
          <w:i/>
          <w:sz w:val="25"/>
          <w:szCs w:val="25"/>
        </w:rPr>
        <w:t>Enforcement Policy</w:t>
      </w:r>
    </w:p>
    <w:p w:rsidR="00DE05CC" w:rsidRPr="00DE05CC" w:rsidRDefault="00DE05CC" w:rsidP="00DE05CC">
      <w:pPr>
        <w:spacing w:line="24" w:lineRule="atLeast"/>
        <w:ind w:left="720"/>
        <w:rPr>
          <w:sz w:val="25"/>
          <w:szCs w:val="25"/>
        </w:rPr>
      </w:pPr>
    </w:p>
    <w:p w:rsidR="00F92B24" w:rsidRDefault="00F92B24" w:rsidP="00DF7D14">
      <w:pPr>
        <w:numPr>
          <w:ilvl w:val="0"/>
          <w:numId w:val="27"/>
        </w:numPr>
        <w:spacing w:line="288" w:lineRule="auto"/>
        <w:rPr>
          <w:sz w:val="25"/>
          <w:szCs w:val="25"/>
        </w:rPr>
      </w:pPr>
      <w:r w:rsidRPr="00E00366">
        <w:rPr>
          <w:sz w:val="25"/>
          <w:szCs w:val="25"/>
        </w:rPr>
        <w:t>RCW 81.04.075(4) authorizes penalties of up to $5,000 per violation of RCW 81.80.075(1). Given the Company’s two violations noted above, t</w:t>
      </w:r>
      <w:r w:rsidR="00DE05CC" w:rsidRPr="00E00366">
        <w:rPr>
          <w:sz w:val="25"/>
          <w:szCs w:val="25"/>
        </w:rPr>
        <w:t xml:space="preserve">he maximum penalty the Commission could impose in this case </w:t>
      </w:r>
      <w:r w:rsidR="002C134C" w:rsidRPr="00E00366">
        <w:rPr>
          <w:sz w:val="25"/>
          <w:szCs w:val="25"/>
        </w:rPr>
        <w:t>is</w:t>
      </w:r>
      <w:r w:rsidR="00DE05CC" w:rsidRPr="00E00366">
        <w:rPr>
          <w:sz w:val="25"/>
          <w:szCs w:val="25"/>
        </w:rPr>
        <w:t xml:space="preserve"> $</w:t>
      </w:r>
      <w:r w:rsidR="002C134C" w:rsidRPr="00E00366">
        <w:rPr>
          <w:sz w:val="25"/>
          <w:szCs w:val="25"/>
        </w:rPr>
        <w:t>10,000</w:t>
      </w:r>
      <w:r w:rsidR="00DE05CC" w:rsidRPr="00E00366">
        <w:rPr>
          <w:sz w:val="25"/>
          <w:szCs w:val="25"/>
        </w:rPr>
        <w:t>.  The Commission thus must determine the appropriate amount to penalize the Company for these violations.</w:t>
      </w:r>
      <w:r w:rsidR="00E00366">
        <w:rPr>
          <w:sz w:val="25"/>
          <w:szCs w:val="25"/>
        </w:rPr>
        <w:t xml:space="preserve">  </w:t>
      </w:r>
      <w:r w:rsidR="00DF7D14">
        <w:rPr>
          <w:sz w:val="25"/>
          <w:szCs w:val="25"/>
        </w:rPr>
        <w:t>RCW 81.80.075</w:t>
      </w:r>
      <w:r w:rsidR="00E47478">
        <w:rPr>
          <w:sz w:val="25"/>
          <w:szCs w:val="25"/>
        </w:rPr>
        <w:t>(4)(b)</w:t>
      </w:r>
      <w:r w:rsidR="00DF7D14">
        <w:rPr>
          <w:sz w:val="25"/>
          <w:szCs w:val="25"/>
        </w:rPr>
        <w:t xml:space="preserve"> requires that the Commission consider </w:t>
      </w:r>
      <w:r w:rsidR="00E47478">
        <w:rPr>
          <w:sz w:val="25"/>
          <w:szCs w:val="25"/>
        </w:rPr>
        <w:t>a</w:t>
      </w:r>
      <w:r w:rsidR="00DF7D14">
        <w:rPr>
          <w:sz w:val="25"/>
          <w:szCs w:val="25"/>
        </w:rPr>
        <w:t xml:space="preserve"> carrier’s willingness to comply with the requirements of RCW 81.80.070 and the Commission’s rules under RCW Chapter 81.80, and the carrier’s compliance history in deciding the amount of penalt</w:t>
      </w:r>
      <w:r>
        <w:rPr>
          <w:sz w:val="25"/>
          <w:szCs w:val="25"/>
        </w:rPr>
        <w:t>y to be imposed per violation.</w:t>
      </w:r>
    </w:p>
    <w:p w:rsidR="00C04E0F" w:rsidRPr="00DE05CC" w:rsidRDefault="00C04E0F" w:rsidP="00C04E0F">
      <w:pPr>
        <w:spacing w:line="24" w:lineRule="atLeast"/>
        <w:rPr>
          <w:sz w:val="25"/>
          <w:szCs w:val="25"/>
        </w:rPr>
      </w:pPr>
    </w:p>
    <w:p w:rsidR="00C04E0F" w:rsidRPr="00DE05CC" w:rsidRDefault="00C04E0F" w:rsidP="00C04E0F">
      <w:pPr>
        <w:numPr>
          <w:ilvl w:val="0"/>
          <w:numId w:val="27"/>
        </w:numPr>
        <w:tabs>
          <w:tab w:val="num" w:pos="720"/>
        </w:tabs>
        <w:spacing w:line="288" w:lineRule="auto"/>
        <w:rPr>
          <w:sz w:val="25"/>
          <w:szCs w:val="25"/>
        </w:rPr>
      </w:pPr>
      <w:r w:rsidRPr="00DE05CC">
        <w:rPr>
          <w:sz w:val="25"/>
          <w:szCs w:val="25"/>
        </w:rPr>
        <w:t xml:space="preserve">Staff recommends that the Commission impose a </w:t>
      </w:r>
      <w:r w:rsidRPr="00A564D4">
        <w:rPr>
          <w:sz w:val="25"/>
          <w:szCs w:val="25"/>
        </w:rPr>
        <w:t>penalty of $5,000 in this</w:t>
      </w:r>
      <w:r w:rsidRPr="00DE05CC">
        <w:rPr>
          <w:sz w:val="25"/>
          <w:szCs w:val="25"/>
        </w:rPr>
        <w:t xml:space="preserve"> matter.</w:t>
      </w:r>
      <w:r w:rsidRPr="00DE05CC">
        <w:rPr>
          <w:sz w:val="25"/>
          <w:szCs w:val="25"/>
          <w:vertAlign w:val="superscript"/>
        </w:rPr>
        <w:footnoteReference w:id="23"/>
      </w:r>
      <w:r w:rsidRPr="00DE05CC">
        <w:rPr>
          <w:sz w:val="25"/>
          <w:szCs w:val="25"/>
        </w:rPr>
        <w:t xml:space="preserve">  Staff </w:t>
      </w:r>
      <w:r>
        <w:rPr>
          <w:sz w:val="25"/>
          <w:szCs w:val="25"/>
        </w:rPr>
        <w:t>contends that the Company understood the requirement to obtain a permit but decided to engage in the household goods business without a permit</w:t>
      </w:r>
      <w:r w:rsidRPr="00DE05CC">
        <w:rPr>
          <w:sz w:val="25"/>
          <w:szCs w:val="25"/>
        </w:rPr>
        <w:t>.</w:t>
      </w:r>
      <w:r w:rsidRPr="00DE05CC">
        <w:rPr>
          <w:sz w:val="25"/>
          <w:szCs w:val="25"/>
          <w:vertAlign w:val="superscript"/>
        </w:rPr>
        <w:footnoteReference w:id="24"/>
      </w:r>
    </w:p>
    <w:p w:rsidR="00C04E0F" w:rsidRDefault="00C04E0F" w:rsidP="00C04E0F">
      <w:pPr>
        <w:pStyle w:val="ListParagraph"/>
        <w:rPr>
          <w:sz w:val="25"/>
          <w:szCs w:val="25"/>
        </w:rPr>
      </w:pPr>
    </w:p>
    <w:p w:rsidR="00C04E0F" w:rsidRPr="00FD735C" w:rsidRDefault="00C04E0F" w:rsidP="00C04E0F">
      <w:pPr>
        <w:numPr>
          <w:ilvl w:val="0"/>
          <w:numId w:val="27"/>
        </w:numPr>
        <w:tabs>
          <w:tab w:val="num" w:pos="720"/>
        </w:tabs>
        <w:spacing w:line="288" w:lineRule="auto"/>
        <w:rPr>
          <w:sz w:val="25"/>
          <w:szCs w:val="25"/>
        </w:rPr>
      </w:pPr>
      <w:r w:rsidRPr="00FD735C">
        <w:rPr>
          <w:sz w:val="25"/>
          <w:szCs w:val="25"/>
        </w:rPr>
        <w:t>Great American Moving contends that a $5,000 penalty would not be appropriate.  Ms. Green steadfastly insisted at hearing that she should not be required to obtain a certificate of operating authority because her company was not conducting intrastate moves.  Nevertheless, she stated a willing to come into compliance, at least with regard to Company advertising.  In her closing comments, Ms. Green contended that the Company’s web page is used like a business card, not for advertising purposes, but she again expressed her willingness to make alterations to the site in order to comply with Washington law.</w:t>
      </w:r>
      <w:r w:rsidRPr="00DE05CC">
        <w:rPr>
          <w:sz w:val="25"/>
          <w:szCs w:val="25"/>
          <w:vertAlign w:val="superscript"/>
        </w:rPr>
        <w:footnoteReference w:id="25"/>
      </w:r>
    </w:p>
    <w:p w:rsidR="00F92B24" w:rsidRPr="00DE05CC" w:rsidRDefault="00F92B24" w:rsidP="00F92B24">
      <w:pPr>
        <w:spacing w:line="24" w:lineRule="atLeast"/>
        <w:rPr>
          <w:sz w:val="25"/>
          <w:szCs w:val="25"/>
        </w:rPr>
      </w:pPr>
    </w:p>
    <w:p w:rsidR="00F92B24" w:rsidRPr="00DE05CC" w:rsidRDefault="00F92B24" w:rsidP="00F92B24">
      <w:pPr>
        <w:numPr>
          <w:ilvl w:val="0"/>
          <w:numId w:val="27"/>
        </w:numPr>
        <w:tabs>
          <w:tab w:val="num" w:pos="720"/>
        </w:tabs>
        <w:spacing w:line="288" w:lineRule="auto"/>
        <w:rPr>
          <w:sz w:val="25"/>
          <w:szCs w:val="25"/>
        </w:rPr>
      </w:pPr>
      <w:r>
        <w:rPr>
          <w:sz w:val="25"/>
          <w:szCs w:val="25"/>
        </w:rPr>
        <w:lastRenderedPageBreak/>
        <w:t>T</w:t>
      </w:r>
      <w:r w:rsidRPr="00DE05CC">
        <w:rPr>
          <w:sz w:val="25"/>
          <w:szCs w:val="25"/>
        </w:rPr>
        <w:t>he Commission adopted an enforcement policy on January 7, 2013,</w:t>
      </w:r>
      <w:r w:rsidRPr="00DE05CC">
        <w:rPr>
          <w:sz w:val="25"/>
          <w:szCs w:val="25"/>
          <w:vertAlign w:val="superscript"/>
        </w:rPr>
        <w:footnoteReference w:id="26"/>
      </w:r>
      <w:r w:rsidRPr="00DE05CC">
        <w:rPr>
          <w:sz w:val="25"/>
          <w:szCs w:val="25"/>
        </w:rPr>
        <w:t xml:space="preserve"> in which the Commission explained that it considers at least 11 factors</w:t>
      </w:r>
      <w:r w:rsidR="00C04E0F">
        <w:rPr>
          <w:rStyle w:val="FootnoteReference"/>
          <w:sz w:val="25"/>
          <w:szCs w:val="25"/>
        </w:rPr>
        <w:footnoteReference w:id="27"/>
      </w:r>
      <w:r w:rsidRPr="00DE05CC">
        <w:rPr>
          <w:sz w:val="25"/>
          <w:szCs w:val="25"/>
        </w:rPr>
        <w:t xml:space="preserve"> in determining the type of enforcement action to take and the level of penalty to impose in any particular case:</w:t>
      </w:r>
    </w:p>
    <w:p w:rsidR="00F92B24" w:rsidRPr="00DE05CC" w:rsidRDefault="00F92B24" w:rsidP="00F92B24">
      <w:pPr>
        <w:spacing w:line="24" w:lineRule="atLeast"/>
        <w:rPr>
          <w:sz w:val="25"/>
          <w:szCs w:val="25"/>
        </w:rPr>
      </w:pPr>
    </w:p>
    <w:p w:rsidR="00F92B24" w:rsidRPr="00DE05CC" w:rsidRDefault="00F92B24" w:rsidP="00F92B24">
      <w:pPr>
        <w:numPr>
          <w:ilvl w:val="0"/>
          <w:numId w:val="33"/>
        </w:numPr>
        <w:spacing w:line="24" w:lineRule="atLeast"/>
        <w:rPr>
          <w:sz w:val="25"/>
          <w:szCs w:val="25"/>
        </w:rPr>
      </w:pPr>
      <w:r w:rsidRPr="00DE05CC">
        <w:rPr>
          <w:sz w:val="25"/>
          <w:szCs w:val="25"/>
        </w:rPr>
        <w:t>How serious or harmful the violation is to the public;</w:t>
      </w:r>
    </w:p>
    <w:p w:rsidR="00F92B24" w:rsidRPr="00DE05CC" w:rsidRDefault="00F92B24" w:rsidP="00F92B24">
      <w:pPr>
        <w:numPr>
          <w:ilvl w:val="0"/>
          <w:numId w:val="33"/>
        </w:numPr>
        <w:spacing w:line="24" w:lineRule="atLeast"/>
        <w:rPr>
          <w:sz w:val="25"/>
          <w:szCs w:val="25"/>
        </w:rPr>
      </w:pPr>
      <w:r w:rsidRPr="00DE05CC">
        <w:rPr>
          <w:sz w:val="25"/>
          <w:szCs w:val="25"/>
        </w:rPr>
        <w:t>Whether the violation is intentional;</w:t>
      </w:r>
    </w:p>
    <w:p w:rsidR="00F92B24" w:rsidRPr="00DE05CC" w:rsidRDefault="00F92B24" w:rsidP="00F92B24">
      <w:pPr>
        <w:numPr>
          <w:ilvl w:val="0"/>
          <w:numId w:val="33"/>
        </w:numPr>
        <w:spacing w:line="24" w:lineRule="atLeast"/>
        <w:rPr>
          <w:sz w:val="25"/>
          <w:szCs w:val="25"/>
        </w:rPr>
      </w:pPr>
      <w:r w:rsidRPr="00DE05CC">
        <w:rPr>
          <w:sz w:val="25"/>
          <w:szCs w:val="25"/>
        </w:rPr>
        <w:t>Whether the company self-reported the violation;</w:t>
      </w:r>
    </w:p>
    <w:p w:rsidR="00F92B24" w:rsidRPr="00DE05CC" w:rsidRDefault="00F92B24" w:rsidP="00F92B24">
      <w:pPr>
        <w:numPr>
          <w:ilvl w:val="0"/>
          <w:numId w:val="33"/>
        </w:numPr>
        <w:spacing w:line="24" w:lineRule="atLeast"/>
        <w:rPr>
          <w:sz w:val="25"/>
          <w:szCs w:val="25"/>
        </w:rPr>
      </w:pPr>
      <w:r w:rsidRPr="00DE05CC">
        <w:rPr>
          <w:sz w:val="25"/>
          <w:szCs w:val="25"/>
        </w:rPr>
        <w:t>Whether the company was cooperative and responsive;</w:t>
      </w:r>
    </w:p>
    <w:p w:rsidR="00F92B24" w:rsidRPr="00DE05CC" w:rsidRDefault="00F92B24" w:rsidP="00F92B24">
      <w:pPr>
        <w:numPr>
          <w:ilvl w:val="0"/>
          <w:numId w:val="33"/>
        </w:numPr>
        <w:spacing w:line="24" w:lineRule="atLeast"/>
        <w:rPr>
          <w:sz w:val="25"/>
          <w:szCs w:val="25"/>
        </w:rPr>
      </w:pPr>
      <w:r w:rsidRPr="00DE05CC">
        <w:rPr>
          <w:sz w:val="25"/>
          <w:szCs w:val="25"/>
        </w:rPr>
        <w:t>Whether the company promptly corrected the violations and remedied the impacts;</w:t>
      </w:r>
    </w:p>
    <w:p w:rsidR="00F92B24" w:rsidRPr="00DE05CC" w:rsidRDefault="00F92B24" w:rsidP="00F92B24">
      <w:pPr>
        <w:numPr>
          <w:ilvl w:val="0"/>
          <w:numId w:val="33"/>
        </w:numPr>
        <w:spacing w:line="24" w:lineRule="atLeast"/>
        <w:rPr>
          <w:sz w:val="25"/>
          <w:szCs w:val="25"/>
        </w:rPr>
      </w:pPr>
      <w:r w:rsidRPr="00DE05CC">
        <w:rPr>
          <w:sz w:val="25"/>
          <w:szCs w:val="25"/>
        </w:rPr>
        <w:t>The number of violations;</w:t>
      </w:r>
    </w:p>
    <w:p w:rsidR="00F92B24" w:rsidRPr="00DE05CC" w:rsidRDefault="00F92B24" w:rsidP="00F92B24">
      <w:pPr>
        <w:numPr>
          <w:ilvl w:val="0"/>
          <w:numId w:val="33"/>
        </w:numPr>
        <w:spacing w:line="24" w:lineRule="atLeast"/>
        <w:rPr>
          <w:sz w:val="25"/>
          <w:szCs w:val="25"/>
        </w:rPr>
      </w:pPr>
      <w:r w:rsidRPr="00DE05CC">
        <w:rPr>
          <w:sz w:val="25"/>
          <w:szCs w:val="25"/>
        </w:rPr>
        <w:t>The number of customers affected;</w:t>
      </w:r>
    </w:p>
    <w:p w:rsidR="00F92B24" w:rsidRPr="00DE05CC" w:rsidRDefault="00F92B24" w:rsidP="00F92B24">
      <w:pPr>
        <w:numPr>
          <w:ilvl w:val="0"/>
          <w:numId w:val="33"/>
        </w:numPr>
        <w:spacing w:line="24" w:lineRule="atLeast"/>
        <w:rPr>
          <w:sz w:val="25"/>
          <w:szCs w:val="25"/>
        </w:rPr>
      </w:pPr>
      <w:r w:rsidRPr="00DE05CC">
        <w:rPr>
          <w:sz w:val="25"/>
          <w:szCs w:val="25"/>
        </w:rPr>
        <w:t>The likelihood of recurrence;</w:t>
      </w:r>
    </w:p>
    <w:p w:rsidR="00F92B24" w:rsidRPr="00DE05CC" w:rsidRDefault="00F92B24" w:rsidP="00F92B24">
      <w:pPr>
        <w:numPr>
          <w:ilvl w:val="0"/>
          <w:numId w:val="33"/>
        </w:numPr>
        <w:spacing w:line="24" w:lineRule="atLeast"/>
        <w:rPr>
          <w:sz w:val="25"/>
          <w:szCs w:val="25"/>
        </w:rPr>
      </w:pPr>
      <w:r w:rsidRPr="00DE05CC">
        <w:rPr>
          <w:sz w:val="25"/>
          <w:szCs w:val="25"/>
        </w:rPr>
        <w:t>The company’s past performance regarding compliance, violations, and penalties;</w:t>
      </w:r>
    </w:p>
    <w:p w:rsidR="00F92B24" w:rsidRPr="00DE05CC" w:rsidRDefault="00F92B24" w:rsidP="00F92B24">
      <w:pPr>
        <w:numPr>
          <w:ilvl w:val="0"/>
          <w:numId w:val="33"/>
        </w:numPr>
        <w:spacing w:line="24" w:lineRule="atLeast"/>
        <w:rPr>
          <w:sz w:val="25"/>
          <w:szCs w:val="25"/>
        </w:rPr>
      </w:pPr>
      <w:r w:rsidRPr="00DE05CC">
        <w:rPr>
          <w:sz w:val="25"/>
          <w:szCs w:val="25"/>
        </w:rPr>
        <w:t>The company’s existing compliance program; and</w:t>
      </w:r>
    </w:p>
    <w:p w:rsidR="00F92B24" w:rsidRPr="00DE05CC" w:rsidRDefault="00F92B24" w:rsidP="00F92B24">
      <w:pPr>
        <w:numPr>
          <w:ilvl w:val="0"/>
          <w:numId w:val="33"/>
        </w:numPr>
        <w:spacing w:line="24" w:lineRule="atLeast"/>
        <w:rPr>
          <w:sz w:val="25"/>
          <w:szCs w:val="25"/>
        </w:rPr>
      </w:pPr>
      <w:r w:rsidRPr="00DE05CC">
        <w:rPr>
          <w:sz w:val="25"/>
          <w:szCs w:val="25"/>
        </w:rPr>
        <w:t>The size of the company.</w:t>
      </w:r>
    </w:p>
    <w:p w:rsidR="00F92B24" w:rsidRDefault="00F92B24" w:rsidP="00F92B24">
      <w:pPr>
        <w:spacing w:line="24" w:lineRule="atLeast"/>
        <w:rPr>
          <w:sz w:val="25"/>
          <w:szCs w:val="25"/>
        </w:rPr>
      </w:pPr>
    </w:p>
    <w:p w:rsidR="00F92B24" w:rsidRDefault="00FD735C" w:rsidP="00FD735C">
      <w:pPr>
        <w:numPr>
          <w:ilvl w:val="0"/>
          <w:numId w:val="27"/>
        </w:numPr>
        <w:tabs>
          <w:tab w:val="num" w:pos="720"/>
        </w:tabs>
        <w:spacing w:line="288" w:lineRule="auto"/>
        <w:rPr>
          <w:sz w:val="25"/>
          <w:szCs w:val="25"/>
        </w:rPr>
      </w:pPr>
      <w:r>
        <w:rPr>
          <w:sz w:val="25"/>
          <w:szCs w:val="25"/>
        </w:rPr>
        <w:t>After considering each party’s position, we briefly consider the applicability of each of these factors to this case.</w:t>
      </w:r>
    </w:p>
    <w:p w:rsidR="003C5F07" w:rsidRDefault="003C5F07" w:rsidP="003C5F07">
      <w:pPr>
        <w:pStyle w:val="ListParagraph"/>
        <w:rPr>
          <w:sz w:val="25"/>
          <w:szCs w:val="25"/>
        </w:rPr>
      </w:pPr>
    </w:p>
    <w:p w:rsidR="00DE05CC" w:rsidRPr="00DE05CC" w:rsidRDefault="00DE05CC" w:rsidP="00DE05CC">
      <w:pPr>
        <w:numPr>
          <w:ilvl w:val="0"/>
          <w:numId w:val="27"/>
        </w:numPr>
        <w:tabs>
          <w:tab w:val="num" w:pos="720"/>
        </w:tabs>
        <w:spacing w:line="288" w:lineRule="auto"/>
        <w:rPr>
          <w:sz w:val="25"/>
          <w:szCs w:val="25"/>
        </w:rPr>
      </w:pPr>
      <w:r w:rsidRPr="00DE05CC">
        <w:rPr>
          <w:i/>
          <w:sz w:val="25"/>
          <w:szCs w:val="25"/>
        </w:rPr>
        <w:t>Harm to the Public</w:t>
      </w:r>
      <w:r w:rsidRPr="00DE05CC">
        <w:rPr>
          <w:sz w:val="25"/>
          <w:szCs w:val="25"/>
        </w:rPr>
        <w:t>.  The Commission</w:t>
      </w:r>
      <w:r w:rsidR="003C5F07">
        <w:rPr>
          <w:sz w:val="25"/>
          <w:szCs w:val="25"/>
        </w:rPr>
        <w:t xml:space="preserve"> requires household goods movers to </w:t>
      </w:r>
      <w:r w:rsidR="00F92B24">
        <w:rPr>
          <w:sz w:val="25"/>
          <w:szCs w:val="25"/>
        </w:rPr>
        <w:t>obtain a permit because of the position of trust consumers must place in companies taking temporary control and custody of their worldly possessions.  In this case, no direct harm to consumers was alleged, but failure to obtain the required permit is the type of violation that facilitates harm to members of the public.</w:t>
      </w:r>
    </w:p>
    <w:p w:rsidR="00DE05CC" w:rsidRPr="00DE05CC" w:rsidRDefault="00DE05CC" w:rsidP="00DE05CC">
      <w:pPr>
        <w:spacing w:line="24" w:lineRule="atLeast"/>
        <w:ind w:left="720"/>
        <w:rPr>
          <w:sz w:val="25"/>
          <w:szCs w:val="25"/>
        </w:rPr>
      </w:pPr>
    </w:p>
    <w:p w:rsidR="00DE05CC" w:rsidRPr="00DE05CC" w:rsidRDefault="00DE05CC" w:rsidP="00DE05CC">
      <w:pPr>
        <w:numPr>
          <w:ilvl w:val="0"/>
          <w:numId w:val="27"/>
        </w:numPr>
        <w:tabs>
          <w:tab w:val="num" w:pos="720"/>
        </w:tabs>
        <w:spacing w:line="288" w:lineRule="auto"/>
        <w:rPr>
          <w:sz w:val="25"/>
          <w:szCs w:val="25"/>
        </w:rPr>
      </w:pPr>
      <w:r w:rsidRPr="00DE05CC">
        <w:rPr>
          <w:i/>
          <w:sz w:val="25"/>
          <w:szCs w:val="25"/>
        </w:rPr>
        <w:t>Intentional Violation</w:t>
      </w:r>
      <w:r w:rsidRPr="00DE05CC">
        <w:rPr>
          <w:sz w:val="25"/>
          <w:szCs w:val="25"/>
        </w:rPr>
        <w:t xml:space="preserve">.  The evidence demonstrates that </w:t>
      </w:r>
      <w:r>
        <w:rPr>
          <w:sz w:val="25"/>
          <w:szCs w:val="25"/>
        </w:rPr>
        <w:t>Great American Moving</w:t>
      </w:r>
      <w:r w:rsidRPr="00DE05CC">
        <w:rPr>
          <w:sz w:val="25"/>
          <w:szCs w:val="25"/>
        </w:rPr>
        <w:t xml:space="preserve"> intentionally violated </w:t>
      </w:r>
      <w:r w:rsidR="00F92B24">
        <w:rPr>
          <w:sz w:val="25"/>
          <w:szCs w:val="25"/>
        </w:rPr>
        <w:t>RCW 81.80.075(1)</w:t>
      </w:r>
      <w:r w:rsidRPr="00DE05CC">
        <w:rPr>
          <w:sz w:val="25"/>
          <w:szCs w:val="25"/>
        </w:rPr>
        <w:t xml:space="preserve"> by </w:t>
      </w:r>
      <w:r w:rsidR="00FD735C">
        <w:rPr>
          <w:sz w:val="25"/>
          <w:szCs w:val="25"/>
        </w:rPr>
        <w:t>providing an estimated cost to perform</w:t>
      </w:r>
      <w:r w:rsidR="00F92B24">
        <w:rPr>
          <w:sz w:val="25"/>
          <w:szCs w:val="25"/>
        </w:rPr>
        <w:t xml:space="preserve"> an intrastate move and by using language in its advertising </w:t>
      </w:r>
      <w:r w:rsidR="00FD735C">
        <w:rPr>
          <w:sz w:val="25"/>
          <w:szCs w:val="25"/>
        </w:rPr>
        <w:t>to market its willingness and ability</w:t>
      </w:r>
      <w:r w:rsidR="00F92B24">
        <w:rPr>
          <w:sz w:val="25"/>
          <w:szCs w:val="25"/>
        </w:rPr>
        <w:t xml:space="preserve"> to perform local moves</w:t>
      </w:r>
      <w:r w:rsidRPr="00DE05CC">
        <w:rPr>
          <w:sz w:val="25"/>
          <w:szCs w:val="25"/>
        </w:rPr>
        <w:t>.</w:t>
      </w:r>
    </w:p>
    <w:p w:rsidR="00DE05CC" w:rsidRPr="00DE05CC" w:rsidRDefault="00DE05CC" w:rsidP="00DE05CC">
      <w:pPr>
        <w:spacing w:line="24" w:lineRule="atLeast"/>
        <w:ind w:left="720"/>
        <w:rPr>
          <w:sz w:val="25"/>
          <w:szCs w:val="25"/>
        </w:rPr>
      </w:pPr>
    </w:p>
    <w:p w:rsidR="00DE05CC" w:rsidRPr="00DE05CC" w:rsidRDefault="00DE05CC" w:rsidP="00DE05CC">
      <w:pPr>
        <w:numPr>
          <w:ilvl w:val="0"/>
          <w:numId w:val="27"/>
        </w:numPr>
        <w:tabs>
          <w:tab w:val="num" w:pos="720"/>
        </w:tabs>
        <w:spacing w:line="288" w:lineRule="auto"/>
        <w:rPr>
          <w:sz w:val="25"/>
          <w:szCs w:val="25"/>
        </w:rPr>
      </w:pPr>
      <w:r w:rsidRPr="00DE05CC">
        <w:rPr>
          <w:i/>
          <w:sz w:val="25"/>
          <w:szCs w:val="25"/>
        </w:rPr>
        <w:t>Self-Reporting</w:t>
      </w:r>
      <w:r w:rsidRPr="00DE05CC">
        <w:rPr>
          <w:sz w:val="25"/>
          <w:szCs w:val="25"/>
        </w:rPr>
        <w:t xml:space="preserve">.  </w:t>
      </w:r>
      <w:r>
        <w:rPr>
          <w:sz w:val="25"/>
          <w:szCs w:val="25"/>
        </w:rPr>
        <w:t>Great American Moving</w:t>
      </w:r>
      <w:r w:rsidRPr="00DE05CC">
        <w:rPr>
          <w:sz w:val="25"/>
          <w:szCs w:val="25"/>
        </w:rPr>
        <w:t xml:space="preserve"> did not self-report its </w:t>
      </w:r>
      <w:r w:rsidR="003C5F07">
        <w:rPr>
          <w:sz w:val="25"/>
          <w:szCs w:val="25"/>
        </w:rPr>
        <w:t>offering or advertising to conduct intrastate household goods moves</w:t>
      </w:r>
      <w:r w:rsidRPr="00DE05CC">
        <w:rPr>
          <w:sz w:val="25"/>
          <w:szCs w:val="25"/>
        </w:rPr>
        <w:t>.</w:t>
      </w:r>
    </w:p>
    <w:p w:rsidR="00DE05CC" w:rsidRPr="00DE05CC" w:rsidRDefault="00DE05CC" w:rsidP="00DE05CC">
      <w:pPr>
        <w:spacing w:line="24" w:lineRule="atLeast"/>
        <w:ind w:left="720"/>
        <w:rPr>
          <w:sz w:val="25"/>
          <w:szCs w:val="25"/>
        </w:rPr>
      </w:pPr>
    </w:p>
    <w:p w:rsidR="00DE05CC" w:rsidRPr="00DE05CC" w:rsidRDefault="00DE05CC" w:rsidP="00DE05CC">
      <w:pPr>
        <w:numPr>
          <w:ilvl w:val="0"/>
          <w:numId w:val="27"/>
        </w:numPr>
        <w:tabs>
          <w:tab w:val="num" w:pos="720"/>
        </w:tabs>
        <w:spacing w:line="288" w:lineRule="auto"/>
        <w:rPr>
          <w:sz w:val="25"/>
          <w:szCs w:val="25"/>
        </w:rPr>
      </w:pPr>
      <w:r w:rsidRPr="00DE05CC">
        <w:rPr>
          <w:i/>
          <w:sz w:val="25"/>
          <w:szCs w:val="25"/>
        </w:rPr>
        <w:t>Cooperation and Responsiveness</w:t>
      </w:r>
      <w:r w:rsidRPr="00DE05CC">
        <w:rPr>
          <w:sz w:val="25"/>
          <w:szCs w:val="25"/>
        </w:rPr>
        <w:t xml:space="preserve">.  The record demonstrates that </w:t>
      </w:r>
      <w:r w:rsidR="00F92B24">
        <w:rPr>
          <w:sz w:val="25"/>
          <w:szCs w:val="25"/>
        </w:rPr>
        <w:t xml:space="preserve">Great American Moving </w:t>
      </w:r>
      <w:r w:rsidR="00FD735C">
        <w:rPr>
          <w:sz w:val="25"/>
          <w:szCs w:val="25"/>
        </w:rPr>
        <w:t>was</w:t>
      </w:r>
      <w:r w:rsidR="00F92B24">
        <w:rPr>
          <w:sz w:val="25"/>
          <w:szCs w:val="25"/>
        </w:rPr>
        <w:t xml:space="preserve"> responsive to Commission subpoenas.  </w:t>
      </w:r>
      <w:r w:rsidR="00FD735C">
        <w:rPr>
          <w:sz w:val="25"/>
          <w:szCs w:val="25"/>
        </w:rPr>
        <w:t>Also, at the close of hearing, Ms. </w:t>
      </w:r>
      <w:r w:rsidR="00F92B24">
        <w:rPr>
          <w:sz w:val="25"/>
          <w:szCs w:val="25"/>
        </w:rPr>
        <w:t>Green indicated her willingness to cooperate with Staff in redesigning the Company’s website and affiliated advertisements</w:t>
      </w:r>
      <w:r w:rsidRPr="00DE05CC">
        <w:rPr>
          <w:sz w:val="25"/>
          <w:szCs w:val="25"/>
        </w:rPr>
        <w:t>.</w:t>
      </w:r>
      <w:r w:rsidR="00AD15B2">
        <w:rPr>
          <w:sz w:val="25"/>
          <w:szCs w:val="25"/>
        </w:rPr>
        <w:t xml:space="preserve">  From the record in this case, it appears that the Company’s cooperation and responsiveness came only at or after the hearing.</w:t>
      </w:r>
    </w:p>
    <w:p w:rsidR="00DE05CC" w:rsidRPr="00DE05CC" w:rsidRDefault="00DE05CC" w:rsidP="00DE05CC">
      <w:pPr>
        <w:spacing w:line="24" w:lineRule="atLeast"/>
        <w:ind w:left="720"/>
        <w:rPr>
          <w:sz w:val="25"/>
          <w:szCs w:val="25"/>
        </w:rPr>
      </w:pPr>
    </w:p>
    <w:p w:rsidR="00DE05CC" w:rsidRPr="00DE05CC" w:rsidRDefault="00DE05CC" w:rsidP="00DE05CC">
      <w:pPr>
        <w:numPr>
          <w:ilvl w:val="0"/>
          <w:numId w:val="27"/>
        </w:numPr>
        <w:tabs>
          <w:tab w:val="num" w:pos="720"/>
        </w:tabs>
        <w:spacing w:line="288" w:lineRule="auto"/>
        <w:rPr>
          <w:sz w:val="25"/>
          <w:szCs w:val="25"/>
        </w:rPr>
      </w:pPr>
      <w:r w:rsidRPr="00DE05CC">
        <w:rPr>
          <w:i/>
          <w:sz w:val="25"/>
          <w:szCs w:val="25"/>
        </w:rPr>
        <w:t>Prompt Correction of Violations</w:t>
      </w:r>
      <w:r w:rsidRPr="00DE05CC">
        <w:rPr>
          <w:sz w:val="25"/>
          <w:szCs w:val="25"/>
        </w:rPr>
        <w:t xml:space="preserve">.  </w:t>
      </w:r>
      <w:r w:rsidR="00F92B24">
        <w:rPr>
          <w:sz w:val="25"/>
          <w:szCs w:val="25"/>
        </w:rPr>
        <w:t xml:space="preserve">As of the date of hearing, </w:t>
      </w:r>
      <w:r>
        <w:rPr>
          <w:sz w:val="25"/>
          <w:szCs w:val="25"/>
        </w:rPr>
        <w:t>Great American Moving</w:t>
      </w:r>
      <w:r w:rsidRPr="00DE05CC">
        <w:rPr>
          <w:sz w:val="25"/>
          <w:szCs w:val="25"/>
        </w:rPr>
        <w:t xml:space="preserve"> </w:t>
      </w:r>
      <w:r w:rsidR="003C5F07">
        <w:rPr>
          <w:sz w:val="25"/>
          <w:szCs w:val="25"/>
        </w:rPr>
        <w:t>ha</w:t>
      </w:r>
      <w:r w:rsidR="00F92B24">
        <w:rPr>
          <w:sz w:val="25"/>
          <w:szCs w:val="25"/>
        </w:rPr>
        <w:t>d</w:t>
      </w:r>
      <w:r w:rsidR="003C5F07">
        <w:rPr>
          <w:sz w:val="25"/>
          <w:szCs w:val="25"/>
        </w:rPr>
        <w:t xml:space="preserve"> not </w:t>
      </w:r>
      <w:r w:rsidR="00F92B24">
        <w:rPr>
          <w:sz w:val="25"/>
          <w:szCs w:val="25"/>
        </w:rPr>
        <w:t xml:space="preserve">yet </w:t>
      </w:r>
      <w:r w:rsidRPr="00DE05CC">
        <w:rPr>
          <w:sz w:val="25"/>
          <w:szCs w:val="25"/>
        </w:rPr>
        <w:t>adjusted its business practices</w:t>
      </w:r>
      <w:r w:rsidR="003C5F07">
        <w:rPr>
          <w:sz w:val="25"/>
          <w:szCs w:val="25"/>
        </w:rPr>
        <w:t xml:space="preserve"> or altered its website advertising</w:t>
      </w:r>
      <w:r w:rsidRPr="00DE05CC">
        <w:rPr>
          <w:sz w:val="25"/>
          <w:szCs w:val="25"/>
        </w:rPr>
        <w:t>.</w:t>
      </w:r>
    </w:p>
    <w:p w:rsidR="00DE05CC" w:rsidRPr="00DE05CC" w:rsidRDefault="00DE05CC" w:rsidP="00DE05CC">
      <w:pPr>
        <w:spacing w:line="24" w:lineRule="atLeast"/>
        <w:ind w:left="720"/>
        <w:rPr>
          <w:sz w:val="25"/>
          <w:szCs w:val="25"/>
        </w:rPr>
      </w:pPr>
    </w:p>
    <w:p w:rsidR="00DE05CC" w:rsidRPr="00DE05CC" w:rsidRDefault="00DE05CC" w:rsidP="00DE05CC">
      <w:pPr>
        <w:numPr>
          <w:ilvl w:val="0"/>
          <w:numId w:val="27"/>
        </w:numPr>
        <w:tabs>
          <w:tab w:val="num" w:pos="720"/>
        </w:tabs>
        <w:spacing w:line="288" w:lineRule="auto"/>
        <w:rPr>
          <w:sz w:val="25"/>
          <w:szCs w:val="25"/>
        </w:rPr>
      </w:pPr>
      <w:r w:rsidRPr="00DE05CC">
        <w:rPr>
          <w:i/>
          <w:sz w:val="25"/>
          <w:szCs w:val="25"/>
        </w:rPr>
        <w:t>Number of Violations</w:t>
      </w:r>
      <w:r w:rsidRPr="00DE05CC">
        <w:rPr>
          <w:sz w:val="25"/>
          <w:szCs w:val="25"/>
        </w:rPr>
        <w:t xml:space="preserve">.  </w:t>
      </w:r>
      <w:r>
        <w:rPr>
          <w:sz w:val="25"/>
          <w:szCs w:val="25"/>
        </w:rPr>
        <w:t>Great American Moving</w:t>
      </w:r>
      <w:r w:rsidRPr="00DE05CC">
        <w:rPr>
          <w:sz w:val="25"/>
          <w:szCs w:val="25"/>
        </w:rPr>
        <w:t xml:space="preserve"> violated </w:t>
      </w:r>
      <w:r w:rsidR="00F92B24">
        <w:rPr>
          <w:sz w:val="25"/>
          <w:szCs w:val="25"/>
        </w:rPr>
        <w:t>the statute at least two (2)</w:t>
      </w:r>
      <w:r w:rsidR="003C5F07">
        <w:rPr>
          <w:sz w:val="25"/>
          <w:szCs w:val="25"/>
        </w:rPr>
        <w:t xml:space="preserve"> times, a number t</w:t>
      </w:r>
      <w:r w:rsidRPr="00DE05CC">
        <w:rPr>
          <w:sz w:val="25"/>
          <w:szCs w:val="25"/>
        </w:rPr>
        <w:t xml:space="preserve">he Commission </w:t>
      </w:r>
      <w:r w:rsidR="003C5F07">
        <w:rPr>
          <w:sz w:val="25"/>
          <w:szCs w:val="25"/>
        </w:rPr>
        <w:t>does not find</w:t>
      </w:r>
      <w:r w:rsidRPr="00DE05CC">
        <w:rPr>
          <w:sz w:val="25"/>
          <w:szCs w:val="25"/>
        </w:rPr>
        <w:t xml:space="preserve"> to be significant.</w:t>
      </w:r>
      <w:r w:rsidR="003C5F07">
        <w:rPr>
          <w:sz w:val="25"/>
          <w:szCs w:val="25"/>
        </w:rPr>
        <w:t xml:space="preserve">  However, if the continuing nature of the </w:t>
      </w:r>
      <w:r w:rsidR="00FD735C">
        <w:rPr>
          <w:sz w:val="25"/>
          <w:szCs w:val="25"/>
        </w:rPr>
        <w:t xml:space="preserve">advertising </w:t>
      </w:r>
      <w:r w:rsidR="003C5F07">
        <w:rPr>
          <w:sz w:val="25"/>
          <w:szCs w:val="25"/>
        </w:rPr>
        <w:t>violation is considered, it could quickly become significant.</w:t>
      </w:r>
      <w:r w:rsidR="00FA2847">
        <w:rPr>
          <w:sz w:val="25"/>
          <w:szCs w:val="25"/>
        </w:rPr>
        <w:t xml:space="preserve">  Further, given the multiple web sites directing customers to Great American Moving, Staff could have alleged multiple advertising violations.</w:t>
      </w:r>
    </w:p>
    <w:p w:rsidR="00DE05CC" w:rsidRPr="00DE05CC" w:rsidRDefault="00DE05CC" w:rsidP="00DE05CC">
      <w:pPr>
        <w:spacing w:line="24" w:lineRule="atLeast"/>
        <w:ind w:left="720"/>
        <w:rPr>
          <w:sz w:val="25"/>
          <w:szCs w:val="25"/>
        </w:rPr>
      </w:pPr>
    </w:p>
    <w:p w:rsidR="00DE05CC" w:rsidRPr="00DE05CC" w:rsidRDefault="00DE05CC" w:rsidP="00DE05CC">
      <w:pPr>
        <w:numPr>
          <w:ilvl w:val="0"/>
          <w:numId w:val="27"/>
        </w:numPr>
        <w:tabs>
          <w:tab w:val="num" w:pos="720"/>
        </w:tabs>
        <w:spacing w:line="288" w:lineRule="auto"/>
        <w:rPr>
          <w:sz w:val="25"/>
          <w:szCs w:val="25"/>
        </w:rPr>
      </w:pPr>
      <w:r w:rsidRPr="00DE05CC">
        <w:rPr>
          <w:i/>
          <w:sz w:val="25"/>
          <w:szCs w:val="25"/>
        </w:rPr>
        <w:t>Number of Customers Affected</w:t>
      </w:r>
      <w:r w:rsidRPr="00DE05CC">
        <w:rPr>
          <w:sz w:val="25"/>
          <w:szCs w:val="25"/>
        </w:rPr>
        <w:t xml:space="preserve">.  </w:t>
      </w:r>
      <w:r>
        <w:rPr>
          <w:sz w:val="25"/>
          <w:szCs w:val="25"/>
        </w:rPr>
        <w:t>Great American Moving</w:t>
      </w:r>
      <w:r w:rsidRPr="00DE05CC">
        <w:rPr>
          <w:sz w:val="25"/>
          <w:szCs w:val="25"/>
        </w:rPr>
        <w:t xml:space="preserve">’ violations </w:t>
      </w:r>
      <w:r w:rsidR="00F325D7">
        <w:rPr>
          <w:sz w:val="25"/>
          <w:szCs w:val="25"/>
        </w:rPr>
        <w:t>were not shown to have affected any specific customers</w:t>
      </w:r>
      <w:r w:rsidRPr="00DE05CC">
        <w:rPr>
          <w:sz w:val="25"/>
          <w:szCs w:val="25"/>
        </w:rPr>
        <w:t>.</w:t>
      </w:r>
    </w:p>
    <w:p w:rsidR="00DE05CC" w:rsidRPr="00DE05CC" w:rsidRDefault="00DE05CC" w:rsidP="00DE05CC">
      <w:pPr>
        <w:spacing w:line="24" w:lineRule="atLeast"/>
        <w:ind w:left="720"/>
        <w:rPr>
          <w:sz w:val="25"/>
          <w:szCs w:val="25"/>
        </w:rPr>
      </w:pPr>
    </w:p>
    <w:p w:rsidR="00DE05CC" w:rsidRPr="00DE05CC" w:rsidRDefault="00DE05CC" w:rsidP="00DE05CC">
      <w:pPr>
        <w:numPr>
          <w:ilvl w:val="0"/>
          <w:numId w:val="27"/>
        </w:numPr>
        <w:tabs>
          <w:tab w:val="num" w:pos="720"/>
        </w:tabs>
        <w:spacing w:line="288" w:lineRule="auto"/>
        <w:rPr>
          <w:sz w:val="25"/>
          <w:szCs w:val="25"/>
        </w:rPr>
      </w:pPr>
      <w:r w:rsidRPr="00DE05CC">
        <w:rPr>
          <w:i/>
          <w:sz w:val="25"/>
          <w:szCs w:val="25"/>
        </w:rPr>
        <w:t>Likelihood of Recurrence</w:t>
      </w:r>
      <w:r w:rsidRPr="00DE05CC">
        <w:rPr>
          <w:sz w:val="25"/>
          <w:szCs w:val="25"/>
        </w:rPr>
        <w:t xml:space="preserve">.  </w:t>
      </w:r>
      <w:r>
        <w:rPr>
          <w:sz w:val="25"/>
          <w:szCs w:val="25"/>
        </w:rPr>
        <w:t>Great American Moving</w:t>
      </w:r>
      <w:r w:rsidRPr="00DE05CC">
        <w:rPr>
          <w:sz w:val="25"/>
          <w:szCs w:val="25"/>
        </w:rPr>
        <w:t xml:space="preserve"> appears determined to continue to </w:t>
      </w:r>
      <w:r w:rsidR="00A5421C">
        <w:rPr>
          <w:sz w:val="25"/>
          <w:szCs w:val="25"/>
        </w:rPr>
        <w:t>operate only as an interstate mover</w:t>
      </w:r>
      <w:r w:rsidRPr="00DE05CC">
        <w:rPr>
          <w:sz w:val="25"/>
          <w:szCs w:val="25"/>
        </w:rPr>
        <w:t xml:space="preserve">.  </w:t>
      </w:r>
      <w:r>
        <w:rPr>
          <w:sz w:val="25"/>
          <w:szCs w:val="25"/>
        </w:rPr>
        <w:t>Great American Moving</w:t>
      </w:r>
      <w:r w:rsidRPr="00DE05CC">
        <w:rPr>
          <w:sz w:val="25"/>
          <w:szCs w:val="25"/>
        </w:rPr>
        <w:t xml:space="preserve"> </w:t>
      </w:r>
      <w:r w:rsidR="009E62F3">
        <w:rPr>
          <w:sz w:val="25"/>
          <w:szCs w:val="25"/>
        </w:rPr>
        <w:t>expressed its willingness to alter its website</w:t>
      </w:r>
      <w:r w:rsidR="00A5421C">
        <w:rPr>
          <w:sz w:val="25"/>
          <w:szCs w:val="25"/>
        </w:rPr>
        <w:t xml:space="preserve"> and advertising</w:t>
      </w:r>
      <w:r w:rsidR="009E62F3">
        <w:rPr>
          <w:sz w:val="25"/>
          <w:szCs w:val="25"/>
        </w:rPr>
        <w:t>, but ha</w:t>
      </w:r>
      <w:r w:rsidR="00A5421C">
        <w:rPr>
          <w:sz w:val="25"/>
          <w:szCs w:val="25"/>
        </w:rPr>
        <w:t>s</w:t>
      </w:r>
      <w:r w:rsidR="009E62F3">
        <w:rPr>
          <w:sz w:val="25"/>
          <w:szCs w:val="25"/>
        </w:rPr>
        <w:t xml:space="preserve"> not </w:t>
      </w:r>
      <w:r w:rsidR="00A5421C">
        <w:rPr>
          <w:sz w:val="25"/>
          <w:szCs w:val="25"/>
        </w:rPr>
        <w:t>yet done so</w:t>
      </w:r>
      <w:r w:rsidRPr="00DE05CC">
        <w:rPr>
          <w:sz w:val="25"/>
          <w:szCs w:val="25"/>
        </w:rPr>
        <w:t>.</w:t>
      </w:r>
      <w:r w:rsidR="00FA2847">
        <w:rPr>
          <w:sz w:val="25"/>
          <w:szCs w:val="25"/>
        </w:rPr>
        <w:t xml:space="preserve">  It appears likely that the Company will continue to conduct </w:t>
      </w:r>
      <w:r w:rsidR="00202789">
        <w:rPr>
          <w:sz w:val="25"/>
          <w:szCs w:val="25"/>
        </w:rPr>
        <w:t xml:space="preserve">intrastate </w:t>
      </w:r>
      <w:r w:rsidR="00FA2847">
        <w:rPr>
          <w:sz w:val="25"/>
          <w:szCs w:val="25"/>
        </w:rPr>
        <w:t>business without a permit.</w:t>
      </w:r>
    </w:p>
    <w:p w:rsidR="00DE05CC" w:rsidRPr="00DE05CC" w:rsidRDefault="00DE05CC" w:rsidP="00DE05CC">
      <w:pPr>
        <w:spacing w:line="24" w:lineRule="atLeast"/>
        <w:ind w:left="720"/>
        <w:rPr>
          <w:sz w:val="25"/>
          <w:szCs w:val="25"/>
        </w:rPr>
      </w:pPr>
    </w:p>
    <w:p w:rsidR="00DE05CC" w:rsidRPr="00DE05CC" w:rsidRDefault="00DE05CC" w:rsidP="00DE05CC">
      <w:pPr>
        <w:numPr>
          <w:ilvl w:val="0"/>
          <w:numId w:val="27"/>
        </w:numPr>
        <w:tabs>
          <w:tab w:val="num" w:pos="720"/>
        </w:tabs>
        <w:spacing w:line="288" w:lineRule="auto"/>
        <w:rPr>
          <w:sz w:val="25"/>
          <w:szCs w:val="25"/>
        </w:rPr>
      </w:pPr>
      <w:r w:rsidRPr="00DE05CC">
        <w:rPr>
          <w:i/>
          <w:sz w:val="25"/>
          <w:szCs w:val="25"/>
        </w:rPr>
        <w:t>Past Performance Regarding Compliance</w:t>
      </w:r>
      <w:r w:rsidRPr="00DE05CC">
        <w:rPr>
          <w:sz w:val="25"/>
          <w:szCs w:val="25"/>
        </w:rPr>
        <w:t xml:space="preserve">.  </w:t>
      </w:r>
      <w:r>
        <w:rPr>
          <w:sz w:val="25"/>
          <w:szCs w:val="25"/>
        </w:rPr>
        <w:t>Great American Moving</w:t>
      </w:r>
      <w:r w:rsidRPr="00DE05CC">
        <w:rPr>
          <w:sz w:val="25"/>
          <w:szCs w:val="25"/>
        </w:rPr>
        <w:t xml:space="preserve"> has not </w:t>
      </w:r>
      <w:r w:rsidR="009E62F3">
        <w:rPr>
          <w:sz w:val="25"/>
          <w:szCs w:val="25"/>
        </w:rPr>
        <w:t xml:space="preserve">previously </w:t>
      </w:r>
      <w:r w:rsidRPr="00DE05CC">
        <w:rPr>
          <w:sz w:val="25"/>
          <w:szCs w:val="25"/>
        </w:rPr>
        <w:t>been penalized</w:t>
      </w:r>
      <w:r w:rsidR="00E50C86">
        <w:rPr>
          <w:sz w:val="25"/>
          <w:szCs w:val="25"/>
        </w:rPr>
        <w:t xml:space="preserve">, but Ms. Green’s original </w:t>
      </w:r>
      <w:r w:rsidR="009E62F3">
        <w:rPr>
          <w:sz w:val="25"/>
          <w:szCs w:val="25"/>
        </w:rPr>
        <w:t xml:space="preserve">application for a permit was denied in </w:t>
      </w:r>
      <w:r w:rsidR="00A5421C">
        <w:rPr>
          <w:sz w:val="25"/>
          <w:szCs w:val="25"/>
        </w:rPr>
        <w:t>October</w:t>
      </w:r>
      <w:r w:rsidR="009E62F3">
        <w:rPr>
          <w:sz w:val="25"/>
          <w:szCs w:val="25"/>
        </w:rPr>
        <w:t xml:space="preserve"> 2012.</w:t>
      </w:r>
      <w:r w:rsidRPr="00DE05CC">
        <w:rPr>
          <w:sz w:val="25"/>
          <w:szCs w:val="25"/>
          <w:vertAlign w:val="superscript"/>
        </w:rPr>
        <w:footnoteReference w:id="28"/>
      </w:r>
    </w:p>
    <w:p w:rsidR="00DE05CC" w:rsidRPr="00DE05CC" w:rsidRDefault="00DE05CC" w:rsidP="00DE05CC">
      <w:pPr>
        <w:spacing w:line="24" w:lineRule="atLeast"/>
        <w:ind w:left="720"/>
        <w:rPr>
          <w:sz w:val="25"/>
          <w:szCs w:val="25"/>
        </w:rPr>
      </w:pPr>
    </w:p>
    <w:p w:rsidR="00DE05CC" w:rsidRPr="00DE05CC" w:rsidRDefault="00DE05CC" w:rsidP="00DE05CC">
      <w:pPr>
        <w:numPr>
          <w:ilvl w:val="0"/>
          <w:numId w:val="27"/>
        </w:numPr>
        <w:tabs>
          <w:tab w:val="num" w:pos="720"/>
        </w:tabs>
        <w:spacing w:line="288" w:lineRule="auto"/>
        <w:rPr>
          <w:sz w:val="25"/>
          <w:szCs w:val="25"/>
        </w:rPr>
      </w:pPr>
      <w:r w:rsidRPr="00DE05CC">
        <w:rPr>
          <w:i/>
          <w:sz w:val="25"/>
          <w:szCs w:val="25"/>
        </w:rPr>
        <w:t>Existing Compliance Program</w:t>
      </w:r>
      <w:r w:rsidRPr="00DE05CC">
        <w:rPr>
          <w:sz w:val="25"/>
          <w:szCs w:val="25"/>
        </w:rPr>
        <w:t xml:space="preserve">.  </w:t>
      </w:r>
      <w:r>
        <w:rPr>
          <w:sz w:val="25"/>
          <w:szCs w:val="25"/>
        </w:rPr>
        <w:t>Great American Moving</w:t>
      </w:r>
      <w:r w:rsidRPr="00DE05CC">
        <w:rPr>
          <w:sz w:val="25"/>
          <w:szCs w:val="25"/>
        </w:rPr>
        <w:t xml:space="preserve"> has </w:t>
      </w:r>
      <w:r w:rsidR="009E62F3">
        <w:rPr>
          <w:sz w:val="25"/>
          <w:szCs w:val="25"/>
        </w:rPr>
        <w:t xml:space="preserve">no effective </w:t>
      </w:r>
      <w:r w:rsidRPr="00DE05CC">
        <w:rPr>
          <w:sz w:val="25"/>
          <w:szCs w:val="25"/>
        </w:rPr>
        <w:t xml:space="preserve">program to </w:t>
      </w:r>
      <w:r w:rsidR="009E62F3">
        <w:rPr>
          <w:sz w:val="25"/>
          <w:szCs w:val="25"/>
        </w:rPr>
        <w:t xml:space="preserve">ensure compliance with </w:t>
      </w:r>
      <w:r w:rsidRPr="00DE05CC">
        <w:rPr>
          <w:sz w:val="25"/>
          <w:szCs w:val="25"/>
        </w:rPr>
        <w:t>Commission rules and regulations.</w:t>
      </w:r>
    </w:p>
    <w:p w:rsidR="00DE05CC" w:rsidRPr="00DE05CC" w:rsidRDefault="00DE05CC" w:rsidP="00DE05CC">
      <w:pPr>
        <w:spacing w:line="24" w:lineRule="atLeast"/>
        <w:ind w:left="720"/>
        <w:rPr>
          <w:sz w:val="25"/>
          <w:szCs w:val="25"/>
        </w:rPr>
      </w:pPr>
    </w:p>
    <w:p w:rsidR="00DE05CC" w:rsidRPr="00DE05CC" w:rsidRDefault="00DE05CC" w:rsidP="00DE05CC">
      <w:pPr>
        <w:numPr>
          <w:ilvl w:val="0"/>
          <w:numId w:val="27"/>
        </w:numPr>
        <w:tabs>
          <w:tab w:val="num" w:pos="720"/>
        </w:tabs>
        <w:spacing w:line="288" w:lineRule="auto"/>
        <w:rPr>
          <w:sz w:val="25"/>
          <w:szCs w:val="25"/>
        </w:rPr>
      </w:pPr>
      <w:r w:rsidRPr="00DE05CC">
        <w:rPr>
          <w:i/>
          <w:sz w:val="25"/>
          <w:szCs w:val="25"/>
        </w:rPr>
        <w:t>Size of the Company</w:t>
      </w:r>
      <w:r w:rsidRPr="00DE05CC">
        <w:rPr>
          <w:sz w:val="25"/>
          <w:szCs w:val="25"/>
        </w:rPr>
        <w:t xml:space="preserve">.  </w:t>
      </w:r>
      <w:r w:rsidR="00FA2847">
        <w:rPr>
          <w:sz w:val="25"/>
          <w:szCs w:val="25"/>
        </w:rPr>
        <w:t xml:space="preserve">No evidence was offered regarding the size of </w:t>
      </w:r>
      <w:r>
        <w:rPr>
          <w:sz w:val="25"/>
          <w:szCs w:val="25"/>
        </w:rPr>
        <w:t>Great American Moving</w:t>
      </w:r>
      <w:r w:rsidR="00FA2847">
        <w:rPr>
          <w:sz w:val="25"/>
          <w:szCs w:val="25"/>
        </w:rPr>
        <w:t xml:space="preserve"> and Storage</w:t>
      </w:r>
      <w:r w:rsidRPr="00DE05CC">
        <w:rPr>
          <w:sz w:val="25"/>
          <w:szCs w:val="25"/>
        </w:rPr>
        <w:t>.</w:t>
      </w:r>
    </w:p>
    <w:p w:rsidR="00FD735C" w:rsidRDefault="00FD735C" w:rsidP="00FD735C">
      <w:pPr>
        <w:pStyle w:val="ListParagraph"/>
        <w:rPr>
          <w:sz w:val="25"/>
          <w:szCs w:val="25"/>
        </w:rPr>
      </w:pPr>
    </w:p>
    <w:p w:rsidR="00FD735C" w:rsidRPr="00DF7D14" w:rsidRDefault="00AD15B2" w:rsidP="00FD735C">
      <w:pPr>
        <w:numPr>
          <w:ilvl w:val="0"/>
          <w:numId w:val="27"/>
        </w:numPr>
        <w:spacing w:line="288" w:lineRule="auto"/>
        <w:rPr>
          <w:sz w:val="25"/>
          <w:szCs w:val="25"/>
        </w:rPr>
      </w:pPr>
      <w:r w:rsidRPr="00DE05CC">
        <w:rPr>
          <w:sz w:val="25"/>
          <w:szCs w:val="25"/>
        </w:rPr>
        <w:lastRenderedPageBreak/>
        <w:t xml:space="preserve">The Commission’s overarching goal is for regulated companies to comply with its rules.  Penalties serve as an incentive for compliance and, when imposed in the right amount, deter future violations.  </w:t>
      </w:r>
      <w:r w:rsidR="00FD735C">
        <w:rPr>
          <w:sz w:val="25"/>
          <w:szCs w:val="25"/>
        </w:rPr>
        <w:t>Considering the factors identified in RCW 81.80.075 and the Commission’s enforcement policy, the</w:t>
      </w:r>
      <w:r>
        <w:rPr>
          <w:sz w:val="25"/>
          <w:szCs w:val="25"/>
        </w:rPr>
        <w:t xml:space="preserve"> Commission determines that Ms. </w:t>
      </w:r>
      <w:r w:rsidR="00FD735C">
        <w:rPr>
          <w:sz w:val="25"/>
          <w:szCs w:val="25"/>
        </w:rPr>
        <w:t xml:space="preserve">Green and the Company should be penalized in an amount that will both </w:t>
      </w:r>
      <w:r w:rsidR="00202789">
        <w:rPr>
          <w:sz w:val="25"/>
          <w:szCs w:val="25"/>
        </w:rPr>
        <w:t>punish the statutory violations</w:t>
      </w:r>
      <w:r w:rsidR="00FD735C">
        <w:rPr>
          <w:sz w:val="25"/>
          <w:szCs w:val="25"/>
        </w:rPr>
        <w:t xml:space="preserve"> and encourage </w:t>
      </w:r>
      <w:r w:rsidR="00202789">
        <w:rPr>
          <w:sz w:val="25"/>
          <w:szCs w:val="25"/>
        </w:rPr>
        <w:t>them</w:t>
      </w:r>
      <w:r w:rsidR="00FD735C">
        <w:rPr>
          <w:sz w:val="25"/>
          <w:szCs w:val="25"/>
        </w:rPr>
        <w:t xml:space="preserve"> either </w:t>
      </w:r>
      <w:r w:rsidR="00202789">
        <w:rPr>
          <w:sz w:val="25"/>
          <w:szCs w:val="25"/>
        </w:rPr>
        <w:t xml:space="preserve">to </w:t>
      </w:r>
      <w:r w:rsidR="00FD735C">
        <w:rPr>
          <w:sz w:val="25"/>
          <w:szCs w:val="25"/>
        </w:rPr>
        <w:t xml:space="preserve">permanently withdraw from the business of moving household goods in Washington or obtain the required authority to do so in full compliance with </w:t>
      </w:r>
      <w:r w:rsidR="00341F96">
        <w:rPr>
          <w:sz w:val="25"/>
          <w:szCs w:val="25"/>
        </w:rPr>
        <w:t>Washington</w:t>
      </w:r>
      <w:r w:rsidR="00FD735C">
        <w:rPr>
          <w:sz w:val="25"/>
          <w:szCs w:val="25"/>
        </w:rPr>
        <w:t xml:space="preserve"> law.</w:t>
      </w:r>
    </w:p>
    <w:p w:rsidR="00DE05CC" w:rsidRPr="00DE05CC" w:rsidRDefault="00DE05CC" w:rsidP="00DE05CC">
      <w:pPr>
        <w:spacing w:line="24" w:lineRule="atLeast"/>
        <w:ind w:left="720"/>
        <w:rPr>
          <w:sz w:val="25"/>
          <w:szCs w:val="25"/>
        </w:rPr>
      </w:pPr>
    </w:p>
    <w:p w:rsidR="00E50C86" w:rsidRDefault="00DE05CC" w:rsidP="009E62F3">
      <w:pPr>
        <w:numPr>
          <w:ilvl w:val="0"/>
          <w:numId w:val="27"/>
        </w:numPr>
        <w:tabs>
          <w:tab w:val="num" w:pos="720"/>
        </w:tabs>
        <w:spacing w:line="288" w:lineRule="auto"/>
        <w:rPr>
          <w:sz w:val="25"/>
          <w:szCs w:val="25"/>
        </w:rPr>
      </w:pPr>
      <w:r w:rsidRPr="00DE05CC">
        <w:rPr>
          <w:sz w:val="25"/>
          <w:szCs w:val="25"/>
        </w:rPr>
        <w:t xml:space="preserve">The Commission will impose a </w:t>
      </w:r>
      <w:r w:rsidRPr="00FA2847">
        <w:rPr>
          <w:sz w:val="25"/>
          <w:szCs w:val="25"/>
        </w:rPr>
        <w:t>penalty of $</w:t>
      </w:r>
      <w:r w:rsidR="00E50C86" w:rsidRPr="00FA2847">
        <w:rPr>
          <w:sz w:val="25"/>
          <w:szCs w:val="25"/>
        </w:rPr>
        <w:t>5</w:t>
      </w:r>
      <w:r w:rsidRPr="00FA2847">
        <w:rPr>
          <w:sz w:val="25"/>
          <w:szCs w:val="25"/>
        </w:rPr>
        <w:t>,000 on Great</w:t>
      </w:r>
      <w:r>
        <w:rPr>
          <w:sz w:val="25"/>
          <w:szCs w:val="25"/>
        </w:rPr>
        <w:t xml:space="preserve"> American Moving</w:t>
      </w:r>
      <w:r w:rsidRPr="00DE05CC">
        <w:rPr>
          <w:sz w:val="25"/>
          <w:szCs w:val="25"/>
        </w:rPr>
        <w:t>.</w:t>
      </w:r>
      <w:r w:rsidR="009E62F3">
        <w:rPr>
          <w:sz w:val="25"/>
          <w:szCs w:val="25"/>
        </w:rPr>
        <w:t xml:space="preserve">  </w:t>
      </w:r>
      <w:r w:rsidRPr="00DE05CC">
        <w:rPr>
          <w:sz w:val="25"/>
          <w:szCs w:val="25"/>
        </w:rPr>
        <w:t xml:space="preserve">A penalty of this size </w:t>
      </w:r>
      <w:r w:rsidR="00341F96">
        <w:rPr>
          <w:sz w:val="25"/>
          <w:szCs w:val="25"/>
        </w:rPr>
        <w:t xml:space="preserve">properly punishes the Company for violating the statute and </w:t>
      </w:r>
      <w:r w:rsidRPr="00DE05CC">
        <w:rPr>
          <w:sz w:val="25"/>
          <w:szCs w:val="25"/>
        </w:rPr>
        <w:t xml:space="preserve">should provide </w:t>
      </w:r>
      <w:r w:rsidRPr="009E62F3">
        <w:rPr>
          <w:sz w:val="25"/>
          <w:szCs w:val="25"/>
        </w:rPr>
        <w:t>Great American Moving</w:t>
      </w:r>
      <w:r w:rsidRPr="00DE05CC">
        <w:rPr>
          <w:sz w:val="25"/>
          <w:szCs w:val="25"/>
        </w:rPr>
        <w:t xml:space="preserve"> adequate motivation to quickly </w:t>
      </w:r>
      <w:r w:rsidR="00E50C86">
        <w:rPr>
          <w:sz w:val="25"/>
          <w:szCs w:val="25"/>
        </w:rPr>
        <w:t>modify its website and associated advertising and provide additional training to Company staff to decline</w:t>
      </w:r>
      <w:r w:rsidR="00FA2847">
        <w:rPr>
          <w:sz w:val="25"/>
          <w:szCs w:val="25"/>
        </w:rPr>
        <w:t xml:space="preserve"> all</w:t>
      </w:r>
      <w:r w:rsidR="00E50C86">
        <w:rPr>
          <w:sz w:val="25"/>
          <w:szCs w:val="25"/>
        </w:rPr>
        <w:t xml:space="preserve"> intrastate moves unless the Company obtains the required permit.</w:t>
      </w:r>
    </w:p>
    <w:p w:rsidR="00E50C86" w:rsidRDefault="00E50C86" w:rsidP="00E50C86">
      <w:pPr>
        <w:pStyle w:val="ListParagraph"/>
        <w:rPr>
          <w:sz w:val="25"/>
          <w:szCs w:val="25"/>
        </w:rPr>
      </w:pPr>
    </w:p>
    <w:p w:rsidR="00DE05CC" w:rsidRPr="00FA2847" w:rsidRDefault="00E50C86" w:rsidP="009E62F3">
      <w:pPr>
        <w:numPr>
          <w:ilvl w:val="0"/>
          <w:numId w:val="27"/>
        </w:numPr>
        <w:tabs>
          <w:tab w:val="num" w:pos="720"/>
        </w:tabs>
        <w:spacing w:line="288" w:lineRule="auto"/>
        <w:rPr>
          <w:sz w:val="25"/>
          <w:szCs w:val="25"/>
        </w:rPr>
      </w:pPr>
      <w:r>
        <w:rPr>
          <w:sz w:val="25"/>
          <w:szCs w:val="25"/>
        </w:rPr>
        <w:t>T</w:t>
      </w:r>
      <w:r w:rsidR="00DE05CC" w:rsidRPr="00DE05CC">
        <w:rPr>
          <w:sz w:val="25"/>
          <w:szCs w:val="25"/>
        </w:rPr>
        <w:t xml:space="preserve">he Commission recognizes that it may be possible to obtain its overall goal of compliance and avoid </w:t>
      </w:r>
      <w:r w:rsidR="00DE05CC" w:rsidRPr="00FA2847">
        <w:rPr>
          <w:sz w:val="25"/>
          <w:szCs w:val="25"/>
        </w:rPr>
        <w:t>revisiting the topic of this adjudication through use of a suspended penalty, forcing the Company to pay a portion of the penalty now and risk having to pay the remainder in the future.  Suspended penalties are particularly appropriate when a company might be tempted to return to prior unlawful behavior.</w:t>
      </w:r>
    </w:p>
    <w:p w:rsidR="00DE05CC" w:rsidRPr="00FA2847" w:rsidRDefault="00DE05CC" w:rsidP="00DE05CC">
      <w:pPr>
        <w:spacing w:line="24" w:lineRule="atLeast"/>
        <w:ind w:left="720"/>
        <w:rPr>
          <w:sz w:val="25"/>
          <w:szCs w:val="25"/>
        </w:rPr>
      </w:pPr>
    </w:p>
    <w:p w:rsidR="00DE05CC" w:rsidRPr="00DE05CC" w:rsidRDefault="00DE05CC" w:rsidP="00DE05CC">
      <w:pPr>
        <w:numPr>
          <w:ilvl w:val="0"/>
          <w:numId w:val="27"/>
        </w:numPr>
        <w:tabs>
          <w:tab w:val="num" w:pos="720"/>
        </w:tabs>
        <w:spacing w:line="288" w:lineRule="auto"/>
        <w:rPr>
          <w:sz w:val="25"/>
          <w:szCs w:val="25"/>
        </w:rPr>
      </w:pPr>
      <w:r w:rsidRPr="00FA2847">
        <w:rPr>
          <w:sz w:val="25"/>
          <w:szCs w:val="25"/>
        </w:rPr>
        <w:t>The Commission is willing to suspend the majority of the penalty, $</w:t>
      </w:r>
      <w:r w:rsidR="00FA2847" w:rsidRPr="00FA2847">
        <w:rPr>
          <w:sz w:val="25"/>
          <w:szCs w:val="25"/>
        </w:rPr>
        <w:t>3</w:t>
      </w:r>
      <w:r w:rsidRPr="00FA2847">
        <w:rPr>
          <w:sz w:val="25"/>
          <w:szCs w:val="25"/>
        </w:rPr>
        <w:t>,</w:t>
      </w:r>
      <w:r w:rsidR="00FA2847" w:rsidRPr="00FA2847">
        <w:rPr>
          <w:sz w:val="25"/>
          <w:szCs w:val="25"/>
        </w:rPr>
        <w:t>5</w:t>
      </w:r>
      <w:r w:rsidRPr="00FA2847">
        <w:rPr>
          <w:sz w:val="25"/>
          <w:szCs w:val="25"/>
        </w:rPr>
        <w:t xml:space="preserve">00, on condition of future compliance.  To meet this condition, Great American Moving must immediately cease its unlawful </w:t>
      </w:r>
      <w:r w:rsidR="00E50C86" w:rsidRPr="00FA2847">
        <w:rPr>
          <w:sz w:val="25"/>
          <w:szCs w:val="25"/>
        </w:rPr>
        <w:t>behavior</w:t>
      </w:r>
      <w:r w:rsidRPr="00FA2847">
        <w:rPr>
          <w:sz w:val="25"/>
          <w:szCs w:val="25"/>
        </w:rPr>
        <w:t>, pay $</w:t>
      </w:r>
      <w:r w:rsidR="009769AC" w:rsidRPr="00FA2847">
        <w:rPr>
          <w:sz w:val="25"/>
          <w:szCs w:val="25"/>
        </w:rPr>
        <w:t>1</w:t>
      </w:r>
      <w:r w:rsidR="00FA2847">
        <w:rPr>
          <w:sz w:val="25"/>
          <w:szCs w:val="25"/>
        </w:rPr>
        <w:t>,5</w:t>
      </w:r>
      <w:r w:rsidRPr="00FA2847">
        <w:rPr>
          <w:sz w:val="25"/>
          <w:szCs w:val="25"/>
        </w:rPr>
        <w:t xml:space="preserve">00 of the penalty amount, and then </w:t>
      </w:r>
      <w:r w:rsidR="009769AC" w:rsidRPr="00FA2847">
        <w:rPr>
          <w:sz w:val="25"/>
          <w:szCs w:val="25"/>
        </w:rPr>
        <w:t xml:space="preserve">comply with </w:t>
      </w:r>
      <w:r w:rsidR="00E50C86" w:rsidRPr="00FA2847">
        <w:rPr>
          <w:sz w:val="25"/>
          <w:szCs w:val="25"/>
        </w:rPr>
        <w:t>RCW 81.80</w:t>
      </w:r>
      <w:r w:rsidR="009769AC" w:rsidRPr="00FA2847">
        <w:rPr>
          <w:sz w:val="25"/>
          <w:szCs w:val="25"/>
        </w:rPr>
        <w:t xml:space="preserve"> </w:t>
      </w:r>
      <w:r w:rsidRPr="00FA2847">
        <w:rPr>
          <w:sz w:val="25"/>
          <w:szCs w:val="25"/>
        </w:rPr>
        <w:t xml:space="preserve">for </w:t>
      </w:r>
      <w:r w:rsidR="00341F96">
        <w:rPr>
          <w:sz w:val="25"/>
          <w:szCs w:val="25"/>
        </w:rPr>
        <w:t>one year after the effective date of this order</w:t>
      </w:r>
      <w:r w:rsidRPr="00FA2847">
        <w:rPr>
          <w:sz w:val="25"/>
          <w:szCs w:val="25"/>
        </w:rPr>
        <w:t xml:space="preserve">.  If Great American Moving </w:t>
      </w:r>
      <w:r w:rsidR="00E50C86" w:rsidRPr="00FA2847">
        <w:rPr>
          <w:sz w:val="25"/>
          <w:szCs w:val="25"/>
        </w:rPr>
        <w:t>violates RCW 81.80</w:t>
      </w:r>
      <w:r w:rsidRPr="00FA2847">
        <w:rPr>
          <w:sz w:val="25"/>
          <w:szCs w:val="25"/>
        </w:rPr>
        <w:t xml:space="preserve"> during this period, the $</w:t>
      </w:r>
      <w:r w:rsidR="00FA2847" w:rsidRPr="00FA2847">
        <w:rPr>
          <w:sz w:val="25"/>
          <w:szCs w:val="25"/>
        </w:rPr>
        <w:t>3</w:t>
      </w:r>
      <w:r w:rsidRPr="00FA2847">
        <w:rPr>
          <w:sz w:val="25"/>
          <w:szCs w:val="25"/>
        </w:rPr>
        <w:t>,</w:t>
      </w:r>
      <w:r w:rsidR="00FA2847" w:rsidRPr="00FA2847">
        <w:rPr>
          <w:sz w:val="25"/>
          <w:szCs w:val="25"/>
        </w:rPr>
        <w:t>5</w:t>
      </w:r>
      <w:r w:rsidRPr="00FA2847">
        <w:rPr>
          <w:sz w:val="25"/>
          <w:szCs w:val="25"/>
        </w:rPr>
        <w:t>00 penalty will immediately become due and payable to the Commission</w:t>
      </w:r>
      <w:r w:rsidRPr="00DE05CC">
        <w:rPr>
          <w:sz w:val="25"/>
          <w:szCs w:val="25"/>
        </w:rPr>
        <w:t>.</w:t>
      </w:r>
    </w:p>
    <w:p w:rsidR="00DE05CC" w:rsidRPr="00DE05CC" w:rsidRDefault="00DE05CC" w:rsidP="00DE05CC">
      <w:pPr>
        <w:spacing w:line="24" w:lineRule="atLeast"/>
        <w:ind w:left="720"/>
        <w:rPr>
          <w:sz w:val="25"/>
          <w:szCs w:val="25"/>
        </w:rPr>
      </w:pPr>
    </w:p>
    <w:p w:rsidR="002F20FE" w:rsidRPr="00ED3EB0" w:rsidRDefault="002F20FE" w:rsidP="002F20FE">
      <w:pPr>
        <w:spacing w:line="24" w:lineRule="atLeast"/>
        <w:jc w:val="center"/>
        <w:rPr>
          <w:b/>
          <w:sz w:val="25"/>
          <w:szCs w:val="25"/>
        </w:rPr>
      </w:pPr>
      <w:r w:rsidRPr="00ED3EB0">
        <w:rPr>
          <w:b/>
          <w:sz w:val="25"/>
          <w:szCs w:val="25"/>
        </w:rPr>
        <w:t>FINDINGS OF FACT</w:t>
      </w:r>
      <w:r>
        <w:rPr>
          <w:b/>
          <w:sz w:val="25"/>
          <w:szCs w:val="25"/>
        </w:rPr>
        <w:t xml:space="preserve"> AND CONCLUSIONS OF LAW</w:t>
      </w:r>
    </w:p>
    <w:p w:rsidR="002F20FE" w:rsidRDefault="002F20FE" w:rsidP="002F20FE">
      <w:pPr>
        <w:spacing w:line="24" w:lineRule="atLeast"/>
        <w:rPr>
          <w:sz w:val="25"/>
          <w:szCs w:val="25"/>
        </w:rPr>
      </w:pPr>
    </w:p>
    <w:p w:rsidR="002F20FE" w:rsidRDefault="002F20FE" w:rsidP="002F20FE">
      <w:pPr>
        <w:numPr>
          <w:ilvl w:val="0"/>
          <w:numId w:val="27"/>
        </w:numPr>
        <w:tabs>
          <w:tab w:val="num" w:pos="720"/>
        </w:tabs>
        <w:spacing w:line="288" w:lineRule="auto"/>
        <w:rPr>
          <w:sz w:val="25"/>
          <w:szCs w:val="25"/>
        </w:rPr>
      </w:pPr>
      <w:r w:rsidRPr="00087F18">
        <w:rPr>
          <w:sz w:val="25"/>
          <w:szCs w:val="25"/>
        </w:rPr>
        <w:t>Having discussed above in detail the evidence received in this</w:t>
      </w:r>
      <w:r>
        <w:rPr>
          <w:sz w:val="25"/>
          <w:szCs w:val="25"/>
        </w:rPr>
        <w:t xml:space="preserve"> proceeding regarding all material matters, the Commission now makes and enters the following summary of those facts and conclusions of law:</w:t>
      </w:r>
    </w:p>
    <w:p w:rsidR="00FA2847" w:rsidRDefault="00FA2847" w:rsidP="00FA2847">
      <w:pPr>
        <w:pStyle w:val="ListParagraph"/>
        <w:spacing w:line="24" w:lineRule="atLeast"/>
        <w:rPr>
          <w:sz w:val="25"/>
          <w:szCs w:val="25"/>
        </w:rPr>
      </w:pPr>
    </w:p>
    <w:p w:rsidR="00FA2847" w:rsidRDefault="00FA2847" w:rsidP="00A71B70">
      <w:pPr>
        <w:numPr>
          <w:ilvl w:val="0"/>
          <w:numId w:val="27"/>
        </w:numPr>
        <w:tabs>
          <w:tab w:val="left" w:pos="0"/>
        </w:tabs>
        <w:spacing w:line="288" w:lineRule="auto"/>
        <w:ind w:left="720" w:hanging="1440"/>
        <w:rPr>
          <w:sz w:val="25"/>
          <w:szCs w:val="25"/>
        </w:rPr>
      </w:pPr>
      <w:r>
        <w:rPr>
          <w:sz w:val="25"/>
          <w:szCs w:val="25"/>
        </w:rPr>
        <w:t>(1)</w:t>
      </w:r>
      <w:r>
        <w:rPr>
          <w:sz w:val="25"/>
          <w:szCs w:val="25"/>
        </w:rPr>
        <w:tab/>
        <w:t xml:space="preserve">The Washington Utilities and Transportation Commission is an agency of the State of Washington vested by statute with authority to regulate person </w:t>
      </w:r>
      <w:r>
        <w:rPr>
          <w:sz w:val="25"/>
          <w:szCs w:val="25"/>
        </w:rPr>
        <w:lastRenderedPageBreak/>
        <w:t>engaged in the business of transporting household goods for compensation or otherwise acting as a common carrier in transporting the goods of others over public roads in Washington and thereby has jurisdiction over the parties and subject matter of this proceeding.</w:t>
      </w:r>
    </w:p>
    <w:p w:rsidR="002F20FE" w:rsidRDefault="002F20FE" w:rsidP="002F20FE">
      <w:pPr>
        <w:spacing w:line="24" w:lineRule="atLeast"/>
        <w:rPr>
          <w:sz w:val="25"/>
          <w:szCs w:val="25"/>
        </w:rPr>
      </w:pPr>
    </w:p>
    <w:p w:rsidR="002F20FE" w:rsidRDefault="00FA2847" w:rsidP="00A71B70">
      <w:pPr>
        <w:numPr>
          <w:ilvl w:val="0"/>
          <w:numId w:val="27"/>
        </w:numPr>
        <w:tabs>
          <w:tab w:val="left" w:pos="0"/>
        </w:tabs>
        <w:spacing w:line="288" w:lineRule="auto"/>
        <w:ind w:left="720" w:hanging="1440"/>
        <w:rPr>
          <w:sz w:val="25"/>
          <w:szCs w:val="25"/>
        </w:rPr>
      </w:pPr>
      <w:r>
        <w:rPr>
          <w:sz w:val="25"/>
          <w:szCs w:val="25"/>
        </w:rPr>
        <w:t>(2</w:t>
      </w:r>
      <w:r w:rsidR="002F20FE">
        <w:rPr>
          <w:sz w:val="25"/>
          <w:szCs w:val="25"/>
        </w:rPr>
        <w:t>)</w:t>
      </w:r>
      <w:r w:rsidR="002F20FE">
        <w:rPr>
          <w:sz w:val="25"/>
          <w:szCs w:val="25"/>
        </w:rPr>
        <w:tab/>
      </w:r>
      <w:r w:rsidR="00D0031E">
        <w:rPr>
          <w:sz w:val="25"/>
          <w:szCs w:val="25"/>
        </w:rPr>
        <w:t xml:space="preserve">Chana Green d/b/a </w:t>
      </w:r>
      <w:r w:rsidR="002F20FE">
        <w:rPr>
          <w:sz w:val="25"/>
          <w:szCs w:val="25"/>
        </w:rPr>
        <w:t xml:space="preserve">Great American Moving and Storage </w:t>
      </w:r>
      <w:r w:rsidR="00D0031E">
        <w:rPr>
          <w:sz w:val="25"/>
          <w:szCs w:val="25"/>
        </w:rPr>
        <w:t xml:space="preserve">engages in business in Washington as a household goods carrier and otherwise engages in services for compensation that include transportation of property of others upon the public roads of </w:t>
      </w:r>
      <w:r w:rsidR="007E5206">
        <w:rPr>
          <w:sz w:val="25"/>
          <w:szCs w:val="25"/>
        </w:rPr>
        <w:t>this</w:t>
      </w:r>
      <w:r w:rsidR="00D0031E">
        <w:rPr>
          <w:sz w:val="25"/>
          <w:szCs w:val="25"/>
        </w:rPr>
        <w:t xml:space="preserve"> state</w:t>
      </w:r>
      <w:r>
        <w:rPr>
          <w:sz w:val="25"/>
          <w:szCs w:val="25"/>
        </w:rPr>
        <w:t>.</w:t>
      </w:r>
    </w:p>
    <w:p w:rsidR="002F20FE" w:rsidRDefault="002F20FE" w:rsidP="002F20FE">
      <w:pPr>
        <w:pStyle w:val="ListParagraph"/>
        <w:spacing w:line="24" w:lineRule="atLeast"/>
        <w:rPr>
          <w:sz w:val="25"/>
          <w:szCs w:val="25"/>
        </w:rPr>
      </w:pPr>
    </w:p>
    <w:p w:rsidR="00D0031E" w:rsidRPr="00D0031E" w:rsidRDefault="002F20FE" w:rsidP="00A71B70">
      <w:pPr>
        <w:numPr>
          <w:ilvl w:val="0"/>
          <w:numId w:val="27"/>
        </w:numPr>
        <w:tabs>
          <w:tab w:val="left" w:pos="0"/>
        </w:tabs>
        <w:spacing w:line="288" w:lineRule="auto"/>
        <w:ind w:left="720" w:hanging="1440"/>
        <w:rPr>
          <w:sz w:val="25"/>
          <w:szCs w:val="25"/>
        </w:rPr>
      </w:pPr>
      <w:r>
        <w:rPr>
          <w:sz w:val="25"/>
          <w:szCs w:val="25"/>
        </w:rPr>
        <w:t>(3)</w:t>
      </w:r>
      <w:r>
        <w:rPr>
          <w:sz w:val="25"/>
          <w:szCs w:val="25"/>
        </w:rPr>
        <w:tab/>
      </w:r>
      <w:r w:rsidR="00D0031E">
        <w:rPr>
          <w:sz w:val="25"/>
          <w:szCs w:val="25"/>
        </w:rPr>
        <w:t>Chana Green d/b/a Great American Moving and Storage</w:t>
      </w:r>
      <w:r w:rsidR="00D0031E" w:rsidRPr="00D0031E">
        <w:rPr>
          <w:sz w:val="25"/>
          <w:szCs w:val="25"/>
        </w:rPr>
        <w:t xml:space="preserve"> does not hold authority to transport household goods or transport the property of others over public roads within Washington.</w:t>
      </w:r>
    </w:p>
    <w:p w:rsidR="00D0031E" w:rsidRPr="00D0031E" w:rsidRDefault="00D0031E" w:rsidP="00D0031E">
      <w:pPr>
        <w:ind w:left="720"/>
        <w:rPr>
          <w:rFonts w:ascii="Palatino Linotype" w:hAnsi="Palatino Linotype"/>
          <w:sz w:val="25"/>
          <w:szCs w:val="25"/>
        </w:rPr>
      </w:pPr>
    </w:p>
    <w:p w:rsidR="00D0031E" w:rsidRPr="00D0031E" w:rsidRDefault="00D0031E" w:rsidP="00A71B70">
      <w:pPr>
        <w:numPr>
          <w:ilvl w:val="0"/>
          <w:numId w:val="27"/>
        </w:numPr>
        <w:tabs>
          <w:tab w:val="left" w:pos="0"/>
        </w:tabs>
        <w:spacing w:line="288" w:lineRule="auto"/>
        <w:ind w:left="720" w:hanging="1440"/>
        <w:rPr>
          <w:sz w:val="25"/>
          <w:szCs w:val="25"/>
        </w:rPr>
      </w:pPr>
      <w:r w:rsidRPr="00D0031E">
        <w:rPr>
          <w:sz w:val="25"/>
          <w:szCs w:val="25"/>
        </w:rPr>
        <w:t>(4)</w:t>
      </w:r>
      <w:r w:rsidRPr="00D0031E">
        <w:rPr>
          <w:sz w:val="25"/>
          <w:szCs w:val="25"/>
        </w:rPr>
        <w:tab/>
        <w:t xml:space="preserve">On </w:t>
      </w:r>
      <w:r w:rsidR="00FA2847">
        <w:rPr>
          <w:sz w:val="25"/>
          <w:szCs w:val="25"/>
        </w:rPr>
        <w:t>May 13,</w:t>
      </w:r>
      <w:r>
        <w:rPr>
          <w:sz w:val="25"/>
          <w:szCs w:val="25"/>
        </w:rPr>
        <w:t xml:space="preserve"> 2013</w:t>
      </w:r>
      <w:r w:rsidRPr="00D0031E">
        <w:rPr>
          <w:sz w:val="25"/>
          <w:szCs w:val="25"/>
        </w:rPr>
        <w:t xml:space="preserve">, </w:t>
      </w:r>
      <w:r>
        <w:rPr>
          <w:sz w:val="25"/>
          <w:szCs w:val="25"/>
        </w:rPr>
        <w:t xml:space="preserve">Chana Green d/b/a Great American Moving and Storage </w:t>
      </w:r>
      <w:r w:rsidRPr="00D0031E">
        <w:rPr>
          <w:sz w:val="25"/>
          <w:szCs w:val="25"/>
        </w:rPr>
        <w:t xml:space="preserve">violated RCW 81.80.075(1) </w:t>
      </w:r>
      <w:r>
        <w:rPr>
          <w:sz w:val="25"/>
          <w:szCs w:val="25"/>
        </w:rPr>
        <w:t xml:space="preserve">on at least one occasion </w:t>
      </w:r>
      <w:r w:rsidRPr="00D0031E">
        <w:rPr>
          <w:sz w:val="25"/>
          <w:szCs w:val="25"/>
        </w:rPr>
        <w:t>by advertising its availability to perform services for compensation moving household goods and transporting the property of others over public roads within Washington.</w:t>
      </w:r>
    </w:p>
    <w:p w:rsidR="00D0031E" w:rsidRPr="00D0031E" w:rsidRDefault="00D0031E" w:rsidP="00D0031E">
      <w:pPr>
        <w:ind w:left="720"/>
        <w:rPr>
          <w:rFonts w:ascii="Palatino Linotype" w:hAnsi="Palatino Linotype"/>
          <w:sz w:val="25"/>
          <w:szCs w:val="25"/>
        </w:rPr>
      </w:pPr>
    </w:p>
    <w:p w:rsidR="00D0031E" w:rsidRDefault="00D0031E" w:rsidP="00A71B70">
      <w:pPr>
        <w:numPr>
          <w:ilvl w:val="0"/>
          <w:numId w:val="27"/>
        </w:numPr>
        <w:tabs>
          <w:tab w:val="left" w:pos="0"/>
        </w:tabs>
        <w:spacing w:line="288" w:lineRule="auto"/>
        <w:ind w:left="720" w:hanging="1440"/>
        <w:rPr>
          <w:sz w:val="25"/>
          <w:szCs w:val="25"/>
        </w:rPr>
      </w:pPr>
      <w:r w:rsidRPr="00D0031E">
        <w:rPr>
          <w:sz w:val="25"/>
          <w:szCs w:val="25"/>
        </w:rPr>
        <w:t>(5)</w:t>
      </w:r>
      <w:r w:rsidRPr="00D0031E">
        <w:rPr>
          <w:sz w:val="25"/>
          <w:szCs w:val="25"/>
        </w:rPr>
        <w:tab/>
        <w:t xml:space="preserve">On </w:t>
      </w:r>
      <w:r w:rsidR="00FA2847">
        <w:rPr>
          <w:sz w:val="25"/>
          <w:szCs w:val="25"/>
        </w:rPr>
        <w:t>June 19,</w:t>
      </w:r>
      <w:r>
        <w:rPr>
          <w:sz w:val="25"/>
          <w:szCs w:val="25"/>
        </w:rPr>
        <w:t xml:space="preserve"> 2013</w:t>
      </w:r>
      <w:r w:rsidRPr="00D0031E">
        <w:rPr>
          <w:sz w:val="25"/>
          <w:szCs w:val="25"/>
        </w:rPr>
        <w:t xml:space="preserve">, </w:t>
      </w:r>
      <w:r>
        <w:rPr>
          <w:sz w:val="25"/>
          <w:szCs w:val="25"/>
        </w:rPr>
        <w:t xml:space="preserve">Chana Green d/b/a Great American Moving and Storage </w:t>
      </w:r>
      <w:r w:rsidRPr="00D0031E">
        <w:rPr>
          <w:sz w:val="25"/>
          <w:szCs w:val="25"/>
        </w:rPr>
        <w:t>violated RCW 81.80.075(1) by agreeing to move household goods and transport the property of others for compensation over public roads within Washington.</w:t>
      </w:r>
    </w:p>
    <w:p w:rsidR="00D0031E" w:rsidRDefault="00D0031E" w:rsidP="00D0031E">
      <w:pPr>
        <w:pStyle w:val="ListParagraph"/>
        <w:rPr>
          <w:sz w:val="25"/>
          <w:szCs w:val="25"/>
        </w:rPr>
      </w:pPr>
    </w:p>
    <w:p w:rsidR="00D0031E" w:rsidRPr="00D0031E" w:rsidRDefault="00D0031E" w:rsidP="00A71B70">
      <w:pPr>
        <w:numPr>
          <w:ilvl w:val="0"/>
          <w:numId w:val="27"/>
        </w:numPr>
        <w:tabs>
          <w:tab w:val="left" w:pos="0"/>
        </w:tabs>
        <w:spacing w:line="288" w:lineRule="auto"/>
        <w:ind w:left="720" w:hanging="1440"/>
        <w:rPr>
          <w:sz w:val="25"/>
          <w:szCs w:val="25"/>
        </w:rPr>
      </w:pPr>
      <w:r>
        <w:rPr>
          <w:sz w:val="25"/>
          <w:szCs w:val="25"/>
        </w:rPr>
        <w:t>(6)</w:t>
      </w:r>
      <w:r w:rsidR="00A71B70">
        <w:rPr>
          <w:sz w:val="25"/>
          <w:szCs w:val="25"/>
        </w:rPr>
        <w:tab/>
      </w:r>
      <w:r>
        <w:rPr>
          <w:sz w:val="25"/>
          <w:szCs w:val="25"/>
        </w:rPr>
        <w:t xml:space="preserve">Chana Green d/b/a Great American Moving and Storage </w:t>
      </w:r>
      <w:r w:rsidRPr="00D0031E">
        <w:rPr>
          <w:sz w:val="25"/>
          <w:szCs w:val="25"/>
        </w:rPr>
        <w:t>has engaged in business as a household goods carrier without first having obtained a certificate from the Washington Utilities &amp; Transportation Commission, in violation of RCW 81.80.075.</w:t>
      </w:r>
    </w:p>
    <w:p w:rsidR="00D0031E" w:rsidRPr="00D0031E" w:rsidRDefault="00D0031E" w:rsidP="00D0031E">
      <w:pPr>
        <w:ind w:left="720"/>
        <w:rPr>
          <w:rFonts w:ascii="Palatino Linotype" w:hAnsi="Palatino Linotype"/>
          <w:sz w:val="25"/>
          <w:szCs w:val="25"/>
        </w:rPr>
      </w:pPr>
    </w:p>
    <w:p w:rsidR="00D0031E" w:rsidRDefault="00D0031E" w:rsidP="00A71B70">
      <w:pPr>
        <w:numPr>
          <w:ilvl w:val="0"/>
          <w:numId w:val="27"/>
        </w:numPr>
        <w:tabs>
          <w:tab w:val="left" w:pos="0"/>
        </w:tabs>
        <w:spacing w:line="288" w:lineRule="auto"/>
        <w:ind w:left="720" w:hanging="1440"/>
        <w:rPr>
          <w:sz w:val="25"/>
          <w:szCs w:val="25"/>
        </w:rPr>
      </w:pPr>
      <w:r w:rsidRPr="00D0031E">
        <w:rPr>
          <w:sz w:val="25"/>
          <w:szCs w:val="25"/>
        </w:rPr>
        <w:t>(</w:t>
      </w:r>
      <w:r>
        <w:rPr>
          <w:sz w:val="25"/>
          <w:szCs w:val="25"/>
        </w:rPr>
        <w:t>7</w:t>
      </w:r>
      <w:r w:rsidRPr="00D0031E">
        <w:rPr>
          <w:sz w:val="25"/>
          <w:szCs w:val="25"/>
        </w:rPr>
        <w:t>)</w:t>
      </w:r>
      <w:r w:rsidRPr="00D0031E">
        <w:rPr>
          <w:sz w:val="25"/>
          <w:szCs w:val="25"/>
        </w:rPr>
        <w:tab/>
      </w:r>
      <w:r>
        <w:rPr>
          <w:sz w:val="25"/>
          <w:szCs w:val="25"/>
        </w:rPr>
        <w:t xml:space="preserve">Chana Green d/b/a Great American Moving and Storage </w:t>
      </w:r>
      <w:r w:rsidRPr="00D0031E">
        <w:rPr>
          <w:sz w:val="25"/>
          <w:szCs w:val="25"/>
        </w:rPr>
        <w:t>should be directed to cease and desist from household goods transportation over public roads in Washington as required under RCW 81.04.510.</w:t>
      </w:r>
    </w:p>
    <w:p w:rsidR="00AD15B2" w:rsidRDefault="00AD15B2" w:rsidP="00AD15B2">
      <w:pPr>
        <w:pStyle w:val="ListParagraph"/>
        <w:rPr>
          <w:sz w:val="25"/>
          <w:szCs w:val="25"/>
        </w:rPr>
      </w:pPr>
    </w:p>
    <w:p w:rsidR="00AD15B2" w:rsidRPr="00D0031E" w:rsidRDefault="00AD15B2" w:rsidP="00A71B70">
      <w:pPr>
        <w:numPr>
          <w:ilvl w:val="0"/>
          <w:numId w:val="27"/>
        </w:numPr>
        <w:tabs>
          <w:tab w:val="left" w:pos="0"/>
        </w:tabs>
        <w:spacing w:line="288" w:lineRule="auto"/>
        <w:ind w:left="720" w:hanging="1440"/>
        <w:rPr>
          <w:sz w:val="25"/>
          <w:szCs w:val="25"/>
        </w:rPr>
      </w:pPr>
      <w:r>
        <w:rPr>
          <w:sz w:val="25"/>
          <w:szCs w:val="25"/>
        </w:rPr>
        <w:t>(8)</w:t>
      </w:r>
      <w:r w:rsidR="00A71B70">
        <w:rPr>
          <w:sz w:val="25"/>
          <w:szCs w:val="25"/>
        </w:rPr>
        <w:tab/>
      </w:r>
      <w:r>
        <w:rPr>
          <w:sz w:val="25"/>
          <w:szCs w:val="25"/>
        </w:rPr>
        <w:t xml:space="preserve">Chana Green d/b/a Great American Moving and Storage should be penalized in the amount of $2,500 per violations, for a total of $5,000, with $3,500 of </w:t>
      </w:r>
      <w:r>
        <w:rPr>
          <w:sz w:val="25"/>
          <w:szCs w:val="25"/>
        </w:rPr>
        <w:lastRenderedPageBreak/>
        <w:t>that total penalty suspended for a period of one year subject to the condition that the Company strictly complies with the terms of this order.</w:t>
      </w:r>
    </w:p>
    <w:p w:rsidR="002F20FE" w:rsidRDefault="002F20FE" w:rsidP="002F20FE">
      <w:pPr>
        <w:tabs>
          <w:tab w:val="num" w:pos="720"/>
        </w:tabs>
        <w:spacing w:line="288" w:lineRule="auto"/>
        <w:rPr>
          <w:sz w:val="25"/>
          <w:szCs w:val="25"/>
        </w:rPr>
      </w:pPr>
    </w:p>
    <w:p w:rsidR="002F20FE" w:rsidRPr="006E4F67" w:rsidRDefault="002F20FE" w:rsidP="002F20FE">
      <w:pPr>
        <w:spacing w:line="24" w:lineRule="atLeast"/>
        <w:jc w:val="center"/>
        <w:rPr>
          <w:b/>
          <w:sz w:val="25"/>
          <w:szCs w:val="25"/>
          <w:u w:val="single"/>
        </w:rPr>
      </w:pPr>
      <w:r w:rsidRPr="006E4F67">
        <w:rPr>
          <w:b/>
          <w:sz w:val="25"/>
          <w:szCs w:val="25"/>
          <w:u w:val="single"/>
        </w:rPr>
        <w:t>ORDER</w:t>
      </w:r>
    </w:p>
    <w:p w:rsidR="002F20FE" w:rsidRPr="006E4F67" w:rsidRDefault="002F20FE" w:rsidP="002F20FE">
      <w:pPr>
        <w:spacing w:line="24" w:lineRule="atLeast"/>
        <w:rPr>
          <w:sz w:val="25"/>
          <w:szCs w:val="25"/>
        </w:rPr>
      </w:pPr>
    </w:p>
    <w:p w:rsidR="002F20FE" w:rsidRPr="006E4F67" w:rsidRDefault="002F20FE" w:rsidP="002F20FE">
      <w:pPr>
        <w:spacing w:line="24" w:lineRule="atLeast"/>
        <w:rPr>
          <w:sz w:val="25"/>
          <w:szCs w:val="25"/>
        </w:rPr>
      </w:pPr>
      <w:r w:rsidRPr="006E4F67">
        <w:rPr>
          <w:sz w:val="25"/>
          <w:szCs w:val="25"/>
        </w:rPr>
        <w:t>THE COMMISSION ORDERS:</w:t>
      </w:r>
    </w:p>
    <w:p w:rsidR="002F20FE" w:rsidRPr="006E4F67" w:rsidRDefault="002F20FE" w:rsidP="002F20FE">
      <w:pPr>
        <w:spacing w:line="24" w:lineRule="atLeast"/>
        <w:rPr>
          <w:sz w:val="25"/>
          <w:szCs w:val="25"/>
        </w:rPr>
      </w:pPr>
    </w:p>
    <w:p w:rsidR="002F20FE" w:rsidRDefault="002F20FE" w:rsidP="00A71B70">
      <w:pPr>
        <w:numPr>
          <w:ilvl w:val="0"/>
          <w:numId w:val="27"/>
        </w:numPr>
        <w:tabs>
          <w:tab w:val="left" w:pos="0"/>
        </w:tabs>
        <w:spacing w:line="288" w:lineRule="auto"/>
        <w:ind w:left="720" w:hanging="1440"/>
        <w:rPr>
          <w:sz w:val="25"/>
          <w:szCs w:val="25"/>
        </w:rPr>
      </w:pPr>
      <w:r>
        <w:rPr>
          <w:sz w:val="25"/>
          <w:szCs w:val="25"/>
        </w:rPr>
        <w:t>(1)</w:t>
      </w:r>
      <w:r>
        <w:rPr>
          <w:sz w:val="25"/>
          <w:szCs w:val="25"/>
        </w:rPr>
        <w:tab/>
      </w:r>
      <w:r w:rsidR="00D0031E">
        <w:rPr>
          <w:sz w:val="25"/>
          <w:szCs w:val="25"/>
        </w:rPr>
        <w:t xml:space="preserve">Chana Green d/b/a Great American Moving and Storage </w:t>
      </w:r>
      <w:r>
        <w:rPr>
          <w:sz w:val="25"/>
          <w:szCs w:val="25"/>
        </w:rPr>
        <w:t>is classified as a household goods carrier</w:t>
      </w:r>
      <w:r w:rsidR="007E5206">
        <w:rPr>
          <w:sz w:val="25"/>
          <w:szCs w:val="25"/>
        </w:rPr>
        <w:t>.</w:t>
      </w:r>
    </w:p>
    <w:p w:rsidR="002F20FE" w:rsidRDefault="002F20FE" w:rsidP="002F20FE">
      <w:pPr>
        <w:spacing w:line="24" w:lineRule="atLeast"/>
        <w:rPr>
          <w:sz w:val="25"/>
          <w:szCs w:val="25"/>
        </w:rPr>
      </w:pPr>
    </w:p>
    <w:p w:rsidR="002F20FE" w:rsidRDefault="002F20FE" w:rsidP="00A71B70">
      <w:pPr>
        <w:numPr>
          <w:ilvl w:val="0"/>
          <w:numId w:val="27"/>
        </w:numPr>
        <w:tabs>
          <w:tab w:val="left" w:pos="0"/>
        </w:tabs>
        <w:spacing w:line="288" w:lineRule="auto"/>
        <w:ind w:left="720" w:hanging="1440"/>
        <w:rPr>
          <w:sz w:val="25"/>
          <w:szCs w:val="25"/>
        </w:rPr>
      </w:pPr>
      <w:r w:rsidRPr="002F20FE">
        <w:rPr>
          <w:sz w:val="25"/>
          <w:szCs w:val="25"/>
        </w:rPr>
        <w:t>(2)</w:t>
      </w:r>
      <w:r w:rsidRPr="002F20FE">
        <w:rPr>
          <w:sz w:val="25"/>
          <w:szCs w:val="25"/>
        </w:rPr>
        <w:tab/>
      </w:r>
      <w:r w:rsidR="00D0031E">
        <w:rPr>
          <w:sz w:val="25"/>
          <w:szCs w:val="25"/>
        </w:rPr>
        <w:t xml:space="preserve">Chana Green d/b/a Great American Moving and Storage </w:t>
      </w:r>
      <w:r>
        <w:rPr>
          <w:sz w:val="25"/>
          <w:szCs w:val="25"/>
        </w:rPr>
        <w:t xml:space="preserve">shall immediately cease and desist </w:t>
      </w:r>
      <w:r w:rsidR="00D0031E" w:rsidRPr="00C025F2">
        <w:rPr>
          <w:sz w:val="25"/>
          <w:szCs w:val="25"/>
        </w:rPr>
        <w:t xml:space="preserve">from operations in this state requiring a certificate under RCW </w:t>
      </w:r>
      <w:r w:rsidR="00D0031E">
        <w:rPr>
          <w:sz w:val="25"/>
          <w:szCs w:val="25"/>
        </w:rPr>
        <w:t xml:space="preserve">81.80.070 and RCW </w:t>
      </w:r>
      <w:r w:rsidR="00D0031E" w:rsidRPr="00C025F2">
        <w:rPr>
          <w:sz w:val="25"/>
          <w:szCs w:val="25"/>
        </w:rPr>
        <w:t>81.80.07</w:t>
      </w:r>
      <w:r w:rsidR="00D0031E">
        <w:rPr>
          <w:sz w:val="25"/>
          <w:szCs w:val="25"/>
        </w:rPr>
        <w:t xml:space="preserve">5, or otherwise engaging in related activities that require Commission approval and authority </w:t>
      </w:r>
      <w:r>
        <w:rPr>
          <w:sz w:val="25"/>
          <w:szCs w:val="25"/>
        </w:rPr>
        <w:t xml:space="preserve">in Washington until such time as </w:t>
      </w:r>
      <w:r w:rsidR="00D0031E">
        <w:rPr>
          <w:sz w:val="25"/>
          <w:szCs w:val="25"/>
        </w:rPr>
        <w:t>the Company</w:t>
      </w:r>
      <w:r>
        <w:rPr>
          <w:sz w:val="25"/>
          <w:szCs w:val="25"/>
        </w:rPr>
        <w:t xml:space="preserve"> obtains a household goods permit from the Commission.</w:t>
      </w:r>
    </w:p>
    <w:p w:rsidR="002F20FE" w:rsidRPr="002F20FE" w:rsidRDefault="002F20FE" w:rsidP="002F20FE">
      <w:pPr>
        <w:tabs>
          <w:tab w:val="left" w:pos="720"/>
        </w:tabs>
        <w:spacing w:line="24" w:lineRule="atLeast"/>
        <w:ind w:left="360"/>
        <w:rPr>
          <w:sz w:val="25"/>
          <w:szCs w:val="25"/>
        </w:rPr>
      </w:pPr>
    </w:p>
    <w:p w:rsidR="002F20FE" w:rsidRPr="00E50C86" w:rsidRDefault="002F20FE" w:rsidP="00A71B70">
      <w:pPr>
        <w:numPr>
          <w:ilvl w:val="0"/>
          <w:numId w:val="27"/>
        </w:numPr>
        <w:tabs>
          <w:tab w:val="left" w:pos="0"/>
        </w:tabs>
        <w:spacing w:line="288" w:lineRule="auto"/>
        <w:ind w:left="720" w:hanging="1440"/>
        <w:rPr>
          <w:sz w:val="25"/>
          <w:szCs w:val="25"/>
        </w:rPr>
      </w:pPr>
      <w:r w:rsidRPr="002F20FE">
        <w:rPr>
          <w:sz w:val="25"/>
          <w:szCs w:val="25"/>
        </w:rPr>
        <w:t>(3)</w:t>
      </w:r>
      <w:r w:rsidRPr="002F20FE">
        <w:rPr>
          <w:sz w:val="25"/>
          <w:szCs w:val="25"/>
        </w:rPr>
        <w:tab/>
      </w:r>
      <w:r w:rsidR="00D0031E">
        <w:rPr>
          <w:sz w:val="25"/>
          <w:szCs w:val="25"/>
        </w:rPr>
        <w:t>Chana Green d/b/a Great American Moving and Storage is penalized in the amount</w:t>
      </w:r>
      <w:r>
        <w:rPr>
          <w:sz w:val="25"/>
          <w:szCs w:val="25"/>
        </w:rPr>
        <w:t xml:space="preserve"> of</w:t>
      </w:r>
      <w:r w:rsidR="00D0031E">
        <w:rPr>
          <w:sz w:val="25"/>
          <w:szCs w:val="25"/>
        </w:rPr>
        <w:t xml:space="preserve"> $2,500 per violation for each of the two violations of </w:t>
      </w:r>
      <w:r w:rsidR="00D0031E" w:rsidRPr="00E50C86">
        <w:rPr>
          <w:sz w:val="25"/>
          <w:szCs w:val="25"/>
        </w:rPr>
        <w:t>RCW 81.80.075 shown by the evidence of record in this proceeding, for a total penalty of</w:t>
      </w:r>
      <w:r w:rsidRPr="00E50C86">
        <w:rPr>
          <w:sz w:val="25"/>
          <w:szCs w:val="25"/>
        </w:rPr>
        <w:t xml:space="preserve"> $5,000.</w:t>
      </w:r>
    </w:p>
    <w:p w:rsidR="00D0031E" w:rsidRPr="00E50C86" w:rsidRDefault="00D0031E" w:rsidP="00D0031E">
      <w:pPr>
        <w:pStyle w:val="ListParagraph"/>
        <w:rPr>
          <w:sz w:val="25"/>
          <w:szCs w:val="25"/>
        </w:rPr>
      </w:pPr>
    </w:p>
    <w:p w:rsidR="00D0031E" w:rsidRDefault="00D0031E" w:rsidP="00A71B70">
      <w:pPr>
        <w:numPr>
          <w:ilvl w:val="0"/>
          <w:numId w:val="27"/>
        </w:numPr>
        <w:tabs>
          <w:tab w:val="left" w:pos="0"/>
        </w:tabs>
        <w:spacing w:line="288" w:lineRule="auto"/>
        <w:ind w:left="720" w:hanging="1440"/>
        <w:rPr>
          <w:sz w:val="25"/>
          <w:szCs w:val="25"/>
        </w:rPr>
      </w:pPr>
      <w:r w:rsidRPr="00E50C86">
        <w:rPr>
          <w:sz w:val="25"/>
          <w:szCs w:val="25"/>
        </w:rPr>
        <w:t>(4)</w:t>
      </w:r>
      <w:r w:rsidR="00A71B70">
        <w:rPr>
          <w:sz w:val="25"/>
          <w:szCs w:val="25"/>
        </w:rPr>
        <w:tab/>
      </w:r>
      <w:r w:rsidRPr="00E50C86">
        <w:rPr>
          <w:sz w:val="25"/>
          <w:szCs w:val="25"/>
        </w:rPr>
        <w:t>Payment of $</w:t>
      </w:r>
      <w:r w:rsidR="00FA2847">
        <w:rPr>
          <w:sz w:val="25"/>
          <w:szCs w:val="25"/>
        </w:rPr>
        <w:t>3</w:t>
      </w:r>
      <w:r w:rsidRPr="00E50C86">
        <w:rPr>
          <w:sz w:val="25"/>
          <w:szCs w:val="25"/>
        </w:rPr>
        <w:t>,</w:t>
      </w:r>
      <w:r w:rsidR="00FA2847">
        <w:rPr>
          <w:sz w:val="25"/>
          <w:szCs w:val="25"/>
        </w:rPr>
        <w:t>5</w:t>
      </w:r>
      <w:r w:rsidRPr="00E50C86">
        <w:rPr>
          <w:sz w:val="25"/>
          <w:szCs w:val="25"/>
        </w:rPr>
        <w:t>00 out of the total $</w:t>
      </w:r>
      <w:r w:rsidR="00422665">
        <w:rPr>
          <w:sz w:val="25"/>
          <w:szCs w:val="25"/>
        </w:rPr>
        <w:t>5</w:t>
      </w:r>
      <w:r w:rsidRPr="00E50C86">
        <w:rPr>
          <w:sz w:val="25"/>
          <w:szCs w:val="25"/>
        </w:rPr>
        <w:t xml:space="preserve">,000 in penalties assessed is suspended for </w:t>
      </w:r>
      <w:r w:rsidR="007E5206">
        <w:rPr>
          <w:sz w:val="25"/>
          <w:szCs w:val="25"/>
        </w:rPr>
        <w:t>one</w:t>
      </w:r>
      <w:r w:rsidRPr="00E50C86">
        <w:rPr>
          <w:sz w:val="25"/>
          <w:szCs w:val="25"/>
        </w:rPr>
        <w:t xml:space="preserve"> year after the date th</w:t>
      </w:r>
      <w:r w:rsidR="00B15B22">
        <w:rPr>
          <w:sz w:val="25"/>
          <w:szCs w:val="25"/>
        </w:rPr>
        <w:t>is Order becomes final</w:t>
      </w:r>
      <w:r>
        <w:rPr>
          <w:sz w:val="25"/>
          <w:szCs w:val="25"/>
        </w:rPr>
        <w:t xml:space="preserve"> subject to the condition that </w:t>
      </w:r>
      <w:r w:rsidR="00422665">
        <w:rPr>
          <w:sz w:val="25"/>
          <w:szCs w:val="25"/>
        </w:rPr>
        <w:t xml:space="preserve">Chana Green and Great American Moving and Storage </w:t>
      </w:r>
      <w:r>
        <w:rPr>
          <w:sz w:val="25"/>
          <w:szCs w:val="25"/>
        </w:rPr>
        <w:t xml:space="preserve">strictly comply with the terms and requirements of this Order.  The Commission may reopen the record to </w:t>
      </w:r>
      <w:r w:rsidR="00B15B22">
        <w:rPr>
          <w:sz w:val="25"/>
          <w:szCs w:val="25"/>
        </w:rPr>
        <w:t>receive</w:t>
      </w:r>
      <w:r>
        <w:rPr>
          <w:sz w:val="25"/>
          <w:szCs w:val="25"/>
        </w:rPr>
        <w:t xml:space="preserve"> any evidence Staff may develop showing that </w:t>
      </w:r>
      <w:r w:rsidR="00422665">
        <w:rPr>
          <w:sz w:val="25"/>
          <w:szCs w:val="25"/>
        </w:rPr>
        <w:t>Chana Green d/b/a Great American Moving and Storage</w:t>
      </w:r>
      <w:r>
        <w:rPr>
          <w:sz w:val="25"/>
          <w:szCs w:val="25"/>
        </w:rPr>
        <w:t xml:space="preserve"> has violated the terms of</w:t>
      </w:r>
      <w:r w:rsidR="00422665">
        <w:rPr>
          <w:sz w:val="25"/>
          <w:szCs w:val="25"/>
        </w:rPr>
        <w:t xml:space="preserve"> </w:t>
      </w:r>
      <w:r>
        <w:rPr>
          <w:sz w:val="25"/>
          <w:szCs w:val="25"/>
        </w:rPr>
        <w:t xml:space="preserve">this Order or has otherwise violated any requirement under </w:t>
      </w:r>
      <w:r w:rsidR="00B15B22">
        <w:rPr>
          <w:sz w:val="25"/>
          <w:szCs w:val="25"/>
        </w:rPr>
        <w:t xml:space="preserve">the provisions of </w:t>
      </w:r>
      <w:r>
        <w:rPr>
          <w:sz w:val="25"/>
          <w:szCs w:val="25"/>
        </w:rPr>
        <w:t>RCW Chapter 81govern</w:t>
      </w:r>
      <w:r w:rsidR="00B15B22">
        <w:rPr>
          <w:sz w:val="25"/>
          <w:szCs w:val="25"/>
        </w:rPr>
        <w:t>ing</w:t>
      </w:r>
      <w:r>
        <w:rPr>
          <w:sz w:val="25"/>
          <w:szCs w:val="25"/>
        </w:rPr>
        <w:t xml:space="preserve"> the conduct of common carriers.  If</w:t>
      </w:r>
      <w:r w:rsidR="00B15B22">
        <w:rPr>
          <w:sz w:val="25"/>
          <w:szCs w:val="25"/>
        </w:rPr>
        <w:t xml:space="preserve"> the Commission finds</w:t>
      </w:r>
      <w:r>
        <w:rPr>
          <w:sz w:val="25"/>
          <w:szCs w:val="25"/>
        </w:rPr>
        <w:t xml:space="preserve"> any such violation, the suspended penalties of $</w:t>
      </w:r>
      <w:r w:rsidR="00FA2847">
        <w:rPr>
          <w:sz w:val="25"/>
          <w:szCs w:val="25"/>
        </w:rPr>
        <w:t>3</w:t>
      </w:r>
      <w:r>
        <w:rPr>
          <w:sz w:val="25"/>
          <w:szCs w:val="25"/>
        </w:rPr>
        <w:t>,</w:t>
      </w:r>
      <w:r w:rsidR="00FA2847">
        <w:rPr>
          <w:sz w:val="25"/>
          <w:szCs w:val="25"/>
        </w:rPr>
        <w:t>5</w:t>
      </w:r>
      <w:r>
        <w:rPr>
          <w:sz w:val="25"/>
          <w:szCs w:val="25"/>
        </w:rPr>
        <w:t>00 will be immediately due</w:t>
      </w:r>
      <w:r w:rsidR="00B15B22">
        <w:rPr>
          <w:sz w:val="25"/>
          <w:szCs w:val="25"/>
        </w:rPr>
        <w:t xml:space="preserve"> and payable</w:t>
      </w:r>
      <w:r>
        <w:rPr>
          <w:sz w:val="25"/>
          <w:szCs w:val="25"/>
        </w:rPr>
        <w:t xml:space="preserve">.  The Commission may impose additional penalties for further violations, as appropriate.  If </w:t>
      </w:r>
      <w:r w:rsidR="00422665">
        <w:rPr>
          <w:sz w:val="25"/>
          <w:szCs w:val="25"/>
        </w:rPr>
        <w:t>Chana Green d/b/a Great American Moving and Storage</w:t>
      </w:r>
      <w:r>
        <w:rPr>
          <w:sz w:val="25"/>
          <w:szCs w:val="25"/>
        </w:rPr>
        <w:t xml:space="preserve"> does not violate the terms of this Order or other</w:t>
      </w:r>
      <w:r w:rsidR="00B15B22">
        <w:rPr>
          <w:sz w:val="25"/>
          <w:szCs w:val="25"/>
        </w:rPr>
        <w:t xml:space="preserve"> applicable</w:t>
      </w:r>
      <w:r>
        <w:rPr>
          <w:sz w:val="25"/>
          <w:szCs w:val="25"/>
        </w:rPr>
        <w:t xml:space="preserve"> law for </w:t>
      </w:r>
      <w:r w:rsidR="00B15B22">
        <w:rPr>
          <w:sz w:val="25"/>
          <w:szCs w:val="25"/>
        </w:rPr>
        <w:t>one</w:t>
      </w:r>
      <w:r>
        <w:rPr>
          <w:sz w:val="25"/>
          <w:szCs w:val="25"/>
        </w:rPr>
        <w:t xml:space="preserve"> year, the suspended penalties will be extinguished.</w:t>
      </w:r>
    </w:p>
    <w:p w:rsidR="00D0031E" w:rsidRDefault="00D0031E" w:rsidP="00D0031E">
      <w:pPr>
        <w:pStyle w:val="ListParagraph"/>
        <w:rPr>
          <w:sz w:val="25"/>
          <w:szCs w:val="25"/>
        </w:rPr>
      </w:pPr>
    </w:p>
    <w:p w:rsidR="00D0031E" w:rsidRDefault="00D0031E" w:rsidP="00A71B70">
      <w:pPr>
        <w:numPr>
          <w:ilvl w:val="0"/>
          <w:numId w:val="27"/>
        </w:numPr>
        <w:tabs>
          <w:tab w:val="left" w:pos="0"/>
        </w:tabs>
        <w:spacing w:line="288" w:lineRule="auto"/>
        <w:ind w:left="720" w:hanging="1440"/>
        <w:rPr>
          <w:sz w:val="25"/>
          <w:szCs w:val="25"/>
        </w:rPr>
      </w:pPr>
      <w:r>
        <w:rPr>
          <w:sz w:val="25"/>
          <w:szCs w:val="25"/>
        </w:rPr>
        <w:lastRenderedPageBreak/>
        <w:t>(5)</w:t>
      </w:r>
      <w:r>
        <w:rPr>
          <w:sz w:val="25"/>
          <w:szCs w:val="25"/>
        </w:rPr>
        <w:tab/>
      </w:r>
      <w:r w:rsidR="00E50C86">
        <w:rPr>
          <w:sz w:val="25"/>
          <w:szCs w:val="25"/>
        </w:rPr>
        <w:t xml:space="preserve">Chana Green and Great American Moving and Storage </w:t>
      </w:r>
      <w:r>
        <w:rPr>
          <w:sz w:val="25"/>
          <w:szCs w:val="25"/>
        </w:rPr>
        <w:t xml:space="preserve">are jointly and severally liable for and required to pay within ten days after </w:t>
      </w:r>
      <w:r w:rsidR="00B15B22">
        <w:rPr>
          <w:sz w:val="25"/>
          <w:szCs w:val="25"/>
        </w:rPr>
        <w:t>this</w:t>
      </w:r>
      <w:r>
        <w:rPr>
          <w:sz w:val="25"/>
          <w:szCs w:val="25"/>
        </w:rPr>
        <w:t xml:space="preserve"> Order </w:t>
      </w:r>
      <w:r w:rsidR="00B15B22">
        <w:rPr>
          <w:sz w:val="25"/>
          <w:szCs w:val="25"/>
        </w:rPr>
        <w:t>becomes final</w:t>
      </w:r>
      <w:r>
        <w:rPr>
          <w:sz w:val="25"/>
          <w:szCs w:val="25"/>
        </w:rPr>
        <w:t>, $</w:t>
      </w:r>
      <w:r w:rsidR="00E50C86">
        <w:rPr>
          <w:sz w:val="25"/>
          <w:szCs w:val="25"/>
        </w:rPr>
        <w:t>1</w:t>
      </w:r>
      <w:r>
        <w:rPr>
          <w:sz w:val="25"/>
          <w:szCs w:val="25"/>
        </w:rPr>
        <w:t>,</w:t>
      </w:r>
      <w:r w:rsidR="0015332F">
        <w:rPr>
          <w:sz w:val="25"/>
          <w:szCs w:val="25"/>
        </w:rPr>
        <w:t>5</w:t>
      </w:r>
      <w:r>
        <w:rPr>
          <w:sz w:val="25"/>
          <w:szCs w:val="25"/>
        </w:rPr>
        <w:t>00 out of the total $</w:t>
      </w:r>
      <w:r w:rsidR="00B15B22">
        <w:rPr>
          <w:sz w:val="25"/>
          <w:szCs w:val="25"/>
        </w:rPr>
        <w:t>5</w:t>
      </w:r>
      <w:r w:rsidR="0015332F">
        <w:rPr>
          <w:sz w:val="25"/>
          <w:szCs w:val="25"/>
        </w:rPr>
        <w:t>,</w:t>
      </w:r>
      <w:r w:rsidR="00B15B22">
        <w:rPr>
          <w:sz w:val="25"/>
          <w:szCs w:val="25"/>
        </w:rPr>
        <w:t>0</w:t>
      </w:r>
      <w:r w:rsidR="00AD15B2">
        <w:rPr>
          <w:sz w:val="25"/>
          <w:szCs w:val="25"/>
        </w:rPr>
        <w:t>00 in penalties assessed.</w:t>
      </w:r>
    </w:p>
    <w:p w:rsidR="00D0031E" w:rsidRDefault="00D0031E" w:rsidP="00D0031E">
      <w:pPr>
        <w:pStyle w:val="ListParagraph"/>
        <w:rPr>
          <w:sz w:val="25"/>
          <w:szCs w:val="25"/>
        </w:rPr>
      </w:pPr>
    </w:p>
    <w:p w:rsidR="002F20FE" w:rsidRDefault="00D0031E" w:rsidP="00A71B70">
      <w:pPr>
        <w:numPr>
          <w:ilvl w:val="0"/>
          <w:numId w:val="27"/>
        </w:numPr>
        <w:tabs>
          <w:tab w:val="left" w:pos="0"/>
        </w:tabs>
        <w:spacing w:line="288" w:lineRule="auto"/>
        <w:ind w:left="720" w:hanging="1440"/>
        <w:rPr>
          <w:sz w:val="25"/>
          <w:szCs w:val="25"/>
        </w:rPr>
      </w:pPr>
      <w:r>
        <w:rPr>
          <w:sz w:val="25"/>
          <w:szCs w:val="25"/>
        </w:rPr>
        <w:t>(</w:t>
      </w:r>
      <w:r w:rsidR="00B15B22">
        <w:rPr>
          <w:sz w:val="25"/>
          <w:szCs w:val="25"/>
        </w:rPr>
        <w:t>6</w:t>
      </w:r>
      <w:r w:rsidR="002F20FE">
        <w:rPr>
          <w:sz w:val="25"/>
          <w:szCs w:val="25"/>
        </w:rPr>
        <w:t>)</w:t>
      </w:r>
      <w:r w:rsidR="002F20FE">
        <w:rPr>
          <w:sz w:val="25"/>
          <w:szCs w:val="25"/>
        </w:rPr>
        <w:tab/>
        <w:t>The Commission retains jurisdiction to effect the terms of this order.</w:t>
      </w:r>
    </w:p>
    <w:p w:rsidR="002F20FE" w:rsidRDefault="002F20FE" w:rsidP="002F20FE">
      <w:pPr>
        <w:tabs>
          <w:tab w:val="num" w:pos="720"/>
        </w:tabs>
        <w:spacing w:line="288" w:lineRule="auto"/>
        <w:rPr>
          <w:sz w:val="25"/>
          <w:szCs w:val="25"/>
        </w:rPr>
      </w:pPr>
    </w:p>
    <w:p w:rsidR="006B13FD" w:rsidRPr="006B13FD" w:rsidRDefault="006B13FD" w:rsidP="006B13FD">
      <w:pPr>
        <w:pStyle w:val="ListParagraph"/>
        <w:spacing w:line="264" w:lineRule="auto"/>
        <w:ind w:left="0"/>
        <w:rPr>
          <w:sz w:val="25"/>
          <w:szCs w:val="25"/>
        </w:rPr>
      </w:pPr>
      <w:r w:rsidRPr="006B13FD">
        <w:rPr>
          <w:sz w:val="25"/>
          <w:szCs w:val="25"/>
        </w:rPr>
        <w:t xml:space="preserve">DATED at Olympia, Washington, and effective </w:t>
      </w:r>
      <w:r w:rsidR="00DE05CC">
        <w:rPr>
          <w:sz w:val="25"/>
          <w:szCs w:val="25"/>
        </w:rPr>
        <w:t>December</w:t>
      </w:r>
      <w:r w:rsidRPr="006B13FD">
        <w:rPr>
          <w:sz w:val="25"/>
          <w:szCs w:val="25"/>
        </w:rPr>
        <w:t xml:space="preserve"> </w:t>
      </w:r>
      <w:r w:rsidR="00E50C86">
        <w:rPr>
          <w:sz w:val="25"/>
          <w:szCs w:val="25"/>
        </w:rPr>
        <w:t>2</w:t>
      </w:r>
      <w:r w:rsidR="00C04E0F">
        <w:rPr>
          <w:sz w:val="25"/>
          <w:szCs w:val="25"/>
        </w:rPr>
        <w:t>3</w:t>
      </w:r>
      <w:r w:rsidRPr="006B13FD">
        <w:rPr>
          <w:sz w:val="25"/>
          <w:szCs w:val="25"/>
        </w:rPr>
        <w:t>, 2013.</w:t>
      </w:r>
    </w:p>
    <w:p w:rsidR="006B13FD" w:rsidRPr="006B13FD" w:rsidRDefault="006B13FD" w:rsidP="006B13FD">
      <w:pPr>
        <w:pStyle w:val="ListParagraph"/>
        <w:spacing w:line="264" w:lineRule="auto"/>
        <w:ind w:left="0"/>
        <w:rPr>
          <w:sz w:val="25"/>
          <w:szCs w:val="25"/>
        </w:rPr>
      </w:pPr>
    </w:p>
    <w:p w:rsidR="006B13FD" w:rsidRPr="006B13FD" w:rsidRDefault="006B13FD" w:rsidP="00A71B70">
      <w:pPr>
        <w:pStyle w:val="ListParagraph"/>
        <w:spacing w:line="264" w:lineRule="auto"/>
        <w:ind w:left="0"/>
        <w:jc w:val="center"/>
        <w:rPr>
          <w:sz w:val="25"/>
          <w:szCs w:val="25"/>
        </w:rPr>
      </w:pPr>
      <w:r w:rsidRPr="006B13FD">
        <w:rPr>
          <w:sz w:val="25"/>
          <w:szCs w:val="25"/>
        </w:rPr>
        <w:t>WASHINGTON UTILITIES AND TRANSPORTATION COMMISSION</w:t>
      </w:r>
    </w:p>
    <w:p w:rsidR="006B13FD" w:rsidRPr="006B13FD" w:rsidRDefault="006B13FD" w:rsidP="006B13FD">
      <w:pPr>
        <w:pStyle w:val="ListParagraph"/>
        <w:spacing w:line="264" w:lineRule="auto"/>
        <w:ind w:left="0"/>
        <w:rPr>
          <w:sz w:val="25"/>
          <w:szCs w:val="25"/>
        </w:rPr>
      </w:pPr>
    </w:p>
    <w:p w:rsidR="006B13FD" w:rsidRPr="006B13FD" w:rsidRDefault="006B13FD" w:rsidP="006B13FD">
      <w:pPr>
        <w:pStyle w:val="ListParagraph"/>
        <w:spacing w:line="264" w:lineRule="auto"/>
        <w:ind w:left="0"/>
        <w:rPr>
          <w:sz w:val="25"/>
          <w:szCs w:val="25"/>
        </w:rPr>
      </w:pPr>
    </w:p>
    <w:p w:rsidR="006B13FD" w:rsidRPr="006B13FD" w:rsidRDefault="006B13FD" w:rsidP="006B13FD">
      <w:pPr>
        <w:pStyle w:val="ListParagraph"/>
        <w:spacing w:line="264" w:lineRule="auto"/>
        <w:ind w:left="0"/>
        <w:rPr>
          <w:sz w:val="25"/>
          <w:szCs w:val="25"/>
        </w:rPr>
      </w:pPr>
    </w:p>
    <w:p w:rsidR="006B13FD" w:rsidRPr="006B13FD" w:rsidRDefault="006B13FD" w:rsidP="006B13FD">
      <w:pPr>
        <w:pStyle w:val="ListParagraph"/>
        <w:spacing w:line="264" w:lineRule="auto"/>
        <w:ind w:left="0"/>
        <w:rPr>
          <w:sz w:val="25"/>
          <w:szCs w:val="25"/>
        </w:rPr>
      </w:pPr>
    </w:p>
    <w:p w:rsidR="006B13FD" w:rsidRPr="006B13FD" w:rsidRDefault="006B13FD" w:rsidP="006B13FD">
      <w:pPr>
        <w:pStyle w:val="ListParagraph"/>
        <w:spacing w:line="264" w:lineRule="auto"/>
        <w:ind w:left="0"/>
        <w:rPr>
          <w:sz w:val="25"/>
          <w:szCs w:val="25"/>
        </w:rPr>
      </w:pPr>
      <w:r w:rsidRPr="006B13FD">
        <w:rPr>
          <w:sz w:val="25"/>
          <w:szCs w:val="25"/>
        </w:rPr>
        <w:tab/>
      </w:r>
      <w:r w:rsidRPr="006B13FD">
        <w:rPr>
          <w:sz w:val="25"/>
          <w:szCs w:val="25"/>
        </w:rPr>
        <w:tab/>
      </w:r>
      <w:r w:rsidRPr="006B13FD">
        <w:rPr>
          <w:sz w:val="25"/>
          <w:szCs w:val="25"/>
        </w:rPr>
        <w:tab/>
      </w:r>
      <w:r w:rsidRPr="006B13FD">
        <w:rPr>
          <w:sz w:val="25"/>
          <w:szCs w:val="25"/>
        </w:rPr>
        <w:tab/>
      </w:r>
      <w:r w:rsidRPr="006B13FD">
        <w:rPr>
          <w:sz w:val="25"/>
          <w:szCs w:val="25"/>
        </w:rPr>
        <w:tab/>
      </w:r>
      <w:r w:rsidRPr="006B13FD">
        <w:rPr>
          <w:sz w:val="25"/>
          <w:szCs w:val="25"/>
        </w:rPr>
        <w:tab/>
        <w:t>ADAM E. TOREM</w:t>
      </w:r>
    </w:p>
    <w:p w:rsidR="00B766CE" w:rsidRDefault="006B13FD" w:rsidP="00A36A29">
      <w:pPr>
        <w:pStyle w:val="ListParagraph"/>
        <w:spacing w:line="264" w:lineRule="auto"/>
        <w:ind w:left="0"/>
        <w:rPr>
          <w:sz w:val="25"/>
          <w:szCs w:val="25"/>
        </w:rPr>
      </w:pPr>
      <w:r w:rsidRPr="006B13FD">
        <w:rPr>
          <w:sz w:val="25"/>
          <w:szCs w:val="25"/>
        </w:rPr>
        <w:tab/>
      </w:r>
      <w:r w:rsidRPr="006B13FD">
        <w:rPr>
          <w:sz w:val="25"/>
          <w:szCs w:val="25"/>
        </w:rPr>
        <w:tab/>
      </w:r>
      <w:r w:rsidRPr="006B13FD">
        <w:rPr>
          <w:sz w:val="25"/>
          <w:szCs w:val="25"/>
        </w:rPr>
        <w:tab/>
      </w:r>
      <w:r w:rsidRPr="006B13FD">
        <w:rPr>
          <w:sz w:val="25"/>
          <w:szCs w:val="25"/>
        </w:rPr>
        <w:tab/>
      </w:r>
      <w:r w:rsidRPr="006B13FD">
        <w:rPr>
          <w:sz w:val="25"/>
          <w:szCs w:val="25"/>
        </w:rPr>
        <w:tab/>
      </w:r>
      <w:r w:rsidRPr="006B13FD">
        <w:rPr>
          <w:sz w:val="25"/>
          <w:szCs w:val="25"/>
        </w:rPr>
        <w:tab/>
        <w:t>Administrative Law Judge</w:t>
      </w:r>
    </w:p>
    <w:p w:rsidR="003A3B36" w:rsidRDefault="003A3B36">
      <w:pPr>
        <w:rPr>
          <w:sz w:val="25"/>
          <w:szCs w:val="25"/>
        </w:rPr>
      </w:pPr>
      <w:r>
        <w:rPr>
          <w:sz w:val="25"/>
          <w:szCs w:val="25"/>
        </w:rPr>
        <w:br w:type="page"/>
      </w:r>
    </w:p>
    <w:p w:rsidR="003A3B36" w:rsidRPr="003A3B36" w:rsidRDefault="003A3B36" w:rsidP="003A3B36">
      <w:pPr>
        <w:pStyle w:val="ListParagraph"/>
        <w:spacing w:line="264" w:lineRule="auto"/>
        <w:ind w:left="0"/>
        <w:rPr>
          <w:b/>
          <w:sz w:val="25"/>
          <w:szCs w:val="25"/>
        </w:rPr>
      </w:pPr>
      <w:r w:rsidRPr="003A3B36">
        <w:rPr>
          <w:b/>
          <w:sz w:val="25"/>
          <w:szCs w:val="25"/>
        </w:rPr>
        <w:lastRenderedPageBreak/>
        <w:t>NOTICE TO PARTIES</w:t>
      </w:r>
    </w:p>
    <w:p w:rsidR="003A3B36" w:rsidRPr="003A3B36" w:rsidRDefault="003A3B36" w:rsidP="003A3B36">
      <w:pPr>
        <w:pStyle w:val="ListParagraph"/>
        <w:spacing w:line="264" w:lineRule="auto"/>
        <w:ind w:left="0"/>
        <w:rPr>
          <w:sz w:val="25"/>
          <w:szCs w:val="25"/>
        </w:rPr>
      </w:pPr>
    </w:p>
    <w:p w:rsidR="003A3B36" w:rsidRPr="003A3B36" w:rsidRDefault="003A3B36" w:rsidP="003A3B36">
      <w:pPr>
        <w:pStyle w:val="ListParagraph"/>
        <w:spacing w:line="264" w:lineRule="auto"/>
        <w:ind w:left="0"/>
        <w:rPr>
          <w:sz w:val="25"/>
          <w:szCs w:val="25"/>
        </w:rPr>
      </w:pPr>
      <w:r w:rsidRPr="003A3B36">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rsidR="003A3B36" w:rsidRPr="003A3B36" w:rsidRDefault="003A3B36" w:rsidP="003A3B36">
      <w:pPr>
        <w:pStyle w:val="ListParagraph"/>
        <w:spacing w:line="264" w:lineRule="auto"/>
        <w:ind w:left="0"/>
        <w:rPr>
          <w:sz w:val="25"/>
          <w:szCs w:val="25"/>
        </w:rPr>
      </w:pPr>
    </w:p>
    <w:p w:rsidR="003A3B36" w:rsidRPr="003A3B36" w:rsidRDefault="003A3B36" w:rsidP="003A3B36">
      <w:pPr>
        <w:pStyle w:val="ListParagraph"/>
        <w:spacing w:line="264" w:lineRule="auto"/>
        <w:ind w:left="0"/>
        <w:rPr>
          <w:sz w:val="25"/>
          <w:szCs w:val="25"/>
        </w:rPr>
      </w:pPr>
      <w:r w:rsidRPr="003A3B36">
        <w:rPr>
          <w:sz w:val="25"/>
          <w:szCs w:val="25"/>
        </w:rPr>
        <w:t xml:space="preserve">WAC 480-07-825(2) provides that any party to this proceeding has twenty (20) days after the entry of this Initial Order to file a Petition for Administrative Review.  What must be included in any Petition and other requirements for a Petition are stated in WAC 480-07-825(3).  WAC 480-07-825(4) states that any party may file an Answer to a Petition for review within ten (10) days after service of the Petition.  </w:t>
      </w:r>
    </w:p>
    <w:p w:rsidR="003A3B36" w:rsidRPr="003A3B36" w:rsidRDefault="003A3B36" w:rsidP="003A3B36">
      <w:pPr>
        <w:pStyle w:val="ListParagraph"/>
        <w:spacing w:line="264" w:lineRule="auto"/>
        <w:ind w:left="0"/>
        <w:rPr>
          <w:sz w:val="25"/>
          <w:szCs w:val="25"/>
        </w:rPr>
      </w:pPr>
    </w:p>
    <w:p w:rsidR="003A3B36" w:rsidRPr="003A3B36" w:rsidRDefault="003A3B36" w:rsidP="003A3B36">
      <w:pPr>
        <w:pStyle w:val="ListParagraph"/>
        <w:spacing w:line="264" w:lineRule="auto"/>
        <w:ind w:left="0"/>
        <w:rPr>
          <w:sz w:val="25"/>
          <w:szCs w:val="25"/>
        </w:rPr>
      </w:pPr>
      <w:r w:rsidRPr="003A3B36">
        <w:rPr>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rsidR="003A3B36" w:rsidRPr="003A3B36" w:rsidRDefault="003A3B36" w:rsidP="003A3B36">
      <w:pPr>
        <w:pStyle w:val="ListParagraph"/>
        <w:spacing w:line="264" w:lineRule="auto"/>
        <w:ind w:left="0"/>
        <w:rPr>
          <w:sz w:val="25"/>
          <w:szCs w:val="25"/>
        </w:rPr>
      </w:pPr>
    </w:p>
    <w:p w:rsidR="003A3B36" w:rsidRPr="003A3B36" w:rsidRDefault="003A3B36" w:rsidP="003A3B36">
      <w:pPr>
        <w:pStyle w:val="ListParagraph"/>
        <w:spacing w:line="264" w:lineRule="auto"/>
        <w:ind w:left="0"/>
        <w:rPr>
          <w:sz w:val="25"/>
          <w:szCs w:val="25"/>
        </w:rPr>
      </w:pPr>
      <w:r w:rsidRPr="003A3B36">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rsidR="003A3B36" w:rsidRPr="003A3B36" w:rsidRDefault="003A3B36" w:rsidP="003A3B36">
      <w:pPr>
        <w:pStyle w:val="ListParagraph"/>
        <w:spacing w:line="264" w:lineRule="auto"/>
        <w:ind w:left="0"/>
        <w:rPr>
          <w:sz w:val="25"/>
          <w:szCs w:val="25"/>
        </w:rPr>
      </w:pPr>
    </w:p>
    <w:p w:rsidR="003A3B36" w:rsidRPr="003A3B36" w:rsidRDefault="003A3B36" w:rsidP="003A3B36">
      <w:pPr>
        <w:pStyle w:val="ListParagraph"/>
        <w:spacing w:line="264" w:lineRule="auto"/>
        <w:ind w:left="0"/>
        <w:rPr>
          <w:sz w:val="25"/>
          <w:szCs w:val="25"/>
        </w:rPr>
      </w:pPr>
      <w:r w:rsidRPr="003A3B36">
        <w:rPr>
          <w:sz w:val="25"/>
          <w:szCs w:val="25"/>
        </w:rPr>
        <w:t>One copy of any Petition or Answer filed must be served on each party of record with proof of service as required by WAC 480-07-150(8) and (9).  An Original and five (5) copies of any Petition or Answer must be filed by mail delivery to:</w:t>
      </w:r>
    </w:p>
    <w:p w:rsidR="003A3B36" w:rsidRPr="003A3B36" w:rsidRDefault="003A3B36" w:rsidP="003A3B36">
      <w:pPr>
        <w:pStyle w:val="ListParagraph"/>
        <w:spacing w:line="264" w:lineRule="auto"/>
        <w:ind w:left="0"/>
        <w:rPr>
          <w:sz w:val="25"/>
          <w:szCs w:val="25"/>
        </w:rPr>
      </w:pPr>
    </w:p>
    <w:p w:rsidR="003A3B36" w:rsidRPr="003A3B36" w:rsidRDefault="003A3B36" w:rsidP="003A3B36">
      <w:pPr>
        <w:pStyle w:val="ListParagraph"/>
        <w:spacing w:line="264" w:lineRule="auto"/>
        <w:ind w:left="0"/>
        <w:rPr>
          <w:sz w:val="25"/>
          <w:szCs w:val="25"/>
        </w:rPr>
      </w:pPr>
      <w:r w:rsidRPr="003A3B36">
        <w:rPr>
          <w:sz w:val="25"/>
          <w:szCs w:val="25"/>
        </w:rPr>
        <w:t>Attn:  Steven V. King, Executive Director and Secretary</w:t>
      </w:r>
    </w:p>
    <w:p w:rsidR="003A3B36" w:rsidRPr="003A3B36" w:rsidRDefault="003A3B36" w:rsidP="003A3B36">
      <w:pPr>
        <w:pStyle w:val="ListParagraph"/>
        <w:spacing w:line="264" w:lineRule="auto"/>
        <w:ind w:left="0"/>
        <w:rPr>
          <w:sz w:val="25"/>
          <w:szCs w:val="25"/>
        </w:rPr>
      </w:pPr>
      <w:r w:rsidRPr="003A3B36">
        <w:rPr>
          <w:sz w:val="25"/>
          <w:szCs w:val="25"/>
        </w:rPr>
        <w:t>Washington Utilities and Transportation Commission</w:t>
      </w:r>
    </w:p>
    <w:p w:rsidR="003A3B36" w:rsidRPr="003A3B36" w:rsidRDefault="003A3B36" w:rsidP="003A3B36">
      <w:pPr>
        <w:pStyle w:val="ListParagraph"/>
        <w:spacing w:line="264" w:lineRule="auto"/>
        <w:ind w:left="0"/>
        <w:rPr>
          <w:sz w:val="25"/>
          <w:szCs w:val="25"/>
        </w:rPr>
      </w:pPr>
      <w:r w:rsidRPr="003A3B36">
        <w:rPr>
          <w:sz w:val="25"/>
          <w:szCs w:val="25"/>
        </w:rPr>
        <w:t>P.O. Box 47250</w:t>
      </w:r>
    </w:p>
    <w:p w:rsidR="003A3B36" w:rsidRPr="003A3B36" w:rsidRDefault="003A3B36" w:rsidP="003A3B36">
      <w:pPr>
        <w:pStyle w:val="ListParagraph"/>
        <w:spacing w:line="264" w:lineRule="auto"/>
        <w:ind w:left="0"/>
        <w:rPr>
          <w:sz w:val="25"/>
          <w:szCs w:val="25"/>
        </w:rPr>
      </w:pPr>
      <w:r w:rsidRPr="003A3B36">
        <w:rPr>
          <w:sz w:val="25"/>
          <w:szCs w:val="25"/>
        </w:rPr>
        <w:t>Olympia, Washington  98504-7250</w:t>
      </w:r>
    </w:p>
    <w:p w:rsidR="00A36A29" w:rsidRPr="00B766CE" w:rsidRDefault="00A36A29" w:rsidP="003A3B36">
      <w:pPr>
        <w:pStyle w:val="ListParagraph"/>
        <w:spacing w:line="264" w:lineRule="auto"/>
        <w:ind w:left="0"/>
        <w:rPr>
          <w:b/>
          <w:sz w:val="25"/>
          <w:szCs w:val="25"/>
        </w:rPr>
      </w:pPr>
    </w:p>
    <w:sectPr w:rsidR="00A36A29" w:rsidRPr="00B766CE"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2DC" w:rsidRDefault="00D962DC">
      <w:r>
        <w:separator/>
      </w:r>
    </w:p>
  </w:endnote>
  <w:endnote w:type="continuationSeparator" w:id="0">
    <w:p w:rsidR="00D962DC" w:rsidRDefault="00D9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2DC" w:rsidRDefault="00D962DC">
      <w:r>
        <w:separator/>
      </w:r>
    </w:p>
  </w:footnote>
  <w:footnote w:type="continuationSeparator" w:id="0">
    <w:p w:rsidR="00D962DC" w:rsidRDefault="00D962DC">
      <w:r>
        <w:continuationSeparator/>
      </w:r>
    </w:p>
  </w:footnote>
  <w:footnote w:id="1">
    <w:p w:rsidR="00EA661B" w:rsidRPr="00EA661B" w:rsidRDefault="00EA661B" w:rsidP="00A71B70">
      <w:pPr>
        <w:pStyle w:val="FootnoteText"/>
        <w:spacing w:before="0"/>
        <w:rPr>
          <w:szCs w:val="22"/>
        </w:rPr>
      </w:pPr>
      <w:r w:rsidRPr="00EA661B">
        <w:rPr>
          <w:rStyle w:val="FootnoteReference"/>
          <w:szCs w:val="22"/>
        </w:rPr>
        <w:footnoteRef/>
      </w:r>
      <w:r w:rsidRPr="00EA661B">
        <w:rPr>
          <w:szCs w:val="22"/>
        </w:rPr>
        <w:t xml:space="preserve"> Docket TV-131603</w:t>
      </w:r>
      <w:r>
        <w:rPr>
          <w:szCs w:val="22"/>
        </w:rPr>
        <w:t xml:space="preserve">, Order 01, </w:t>
      </w:r>
      <w:r w:rsidRPr="00EA661B">
        <w:rPr>
          <w:szCs w:val="22"/>
        </w:rPr>
        <w:t xml:space="preserve">Order Instituting Special Proceeding; Complaint Seeking to Impose Penalties; and Notice of Mandatory Appearance at Hearing </w:t>
      </w:r>
      <w:r>
        <w:rPr>
          <w:szCs w:val="22"/>
        </w:rPr>
        <w:t>(</w:t>
      </w:r>
      <w:r w:rsidRPr="00EA661B">
        <w:rPr>
          <w:szCs w:val="22"/>
        </w:rPr>
        <w:t>September 6, 2013</w:t>
      </w:r>
      <w:r>
        <w:rPr>
          <w:szCs w:val="22"/>
        </w:rPr>
        <w:t>).</w:t>
      </w:r>
    </w:p>
  </w:footnote>
  <w:footnote w:id="2">
    <w:p w:rsidR="00EA661B" w:rsidRPr="00EA661B" w:rsidRDefault="00EA661B" w:rsidP="00A71B70">
      <w:pPr>
        <w:pStyle w:val="FootnoteText"/>
        <w:spacing w:before="0"/>
        <w:rPr>
          <w:iCs/>
        </w:rPr>
      </w:pPr>
      <w:r w:rsidRPr="00EA661B">
        <w:rPr>
          <w:rStyle w:val="FootnoteReference"/>
          <w:szCs w:val="22"/>
        </w:rPr>
        <w:footnoteRef/>
      </w:r>
      <w:r w:rsidRPr="00EA661B">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EA661B">
        <w:rPr>
          <w:i/>
        </w:rPr>
        <w:t>See</w:t>
      </w:r>
      <w:r w:rsidRPr="00EA661B">
        <w:t xml:space="preserve"> </w:t>
      </w:r>
      <w:r w:rsidRPr="00EA661B">
        <w:rPr>
          <w:iCs/>
        </w:rPr>
        <w:t>RCW 34.05.455.</w:t>
      </w:r>
    </w:p>
  </w:footnote>
  <w:footnote w:id="3">
    <w:p w:rsidR="00EA661B" w:rsidRPr="00EA661B" w:rsidRDefault="00EA661B" w:rsidP="00A71B70">
      <w:pPr>
        <w:pStyle w:val="FootnoteText"/>
        <w:spacing w:before="0"/>
      </w:pPr>
      <w:r w:rsidRPr="00EA661B">
        <w:rPr>
          <w:rStyle w:val="FootnoteReference"/>
          <w:szCs w:val="22"/>
        </w:rPr>
        <w:footnoteRef/>
      </w:r>
      <w:r w:rsidRPr="00EA661B">
        <w:t xml:space="preserve"> The </w:t>
      </w:r>
      <w:r w:rsidRPr="00A71B70">
        <w:rPr>
          <w:szCs w:val="22"/>
        </w:rPr>
        <w:t>maximum</w:t>
      </w:r>
      <w:r w:rsidRPr="00EA661B">
        <w:t xml:space="preserve"> penalty for each of these violations under RCW 81.80.075(4) is $5,000.</w:t>
      </w:r>
    </w:p>
  </w:footnote>
  <w:footnote w:id="4">
    <w:p w:rsidR="00951F14" w:rsidRDefault="00951F14" w:rsidP="00A71B70">
      <w:pPr>
        <w:pStyle w:val="FootnoteText"/>
        <w:spacing w:before="0"/>
      </w:pPr>
      <w:r>
        <w:rPr>
          <w:rStyle w:val="FootnoteReference"/>
        </w:rPr>
        <w:footnoteRef/>
      </w:r>
      <w:r>
        <w:t xml:space="preserve"> </w:t>
      </w:r>
      <w:r w:rsidRPr="00EA661B">
        <w:rPr>
          <w:szCs w:val="22"/>
        </w:rPr>
        <w:t>Docket TV-131603</w:t>
      </w:r>
      <w:r>
        <w:rPr>
          <w:szCs w:val="22"/>
        </w:rPr>
        <w:t xml:space="preserve">, Order 02, Prehearing Conference </w:t>
      </w:r>
      <w:r w:rsidRPr="00EA661B">
        <w:rPr>
          <w:szCs w:val="22"/>
        </w:rPr>
        <w:t xml:space="preserve">Order; Notice of Hearing </w:t>
      </w:r>
      <w:r>
        <w:rPr>
          <w:szCs w:val="22"/>
        </w:rPr>
        <w:t>(October 9</w:t>
      </w:r>
      <w:r w:rsidRPr="00EA661B">
        <w:rPr>
          <w:szCs w:val="22"/>
        </w:rPr>
        <w:t>, 2013</w:t>
      </w:r>
      <w:r>
        <w:rPr>
          <w:szCs w:val="22"/>
        </w:rPr>
        <w:t>).</w:t>
      </w:r>
    </w:p>
  </w:footnote>
  <w:footnote w:id="5">
    <w:p w:rsidR="00DB4E2B" w:rsidRDefault="00DB4E2B" w:rsidP="00A71B70">
      <w:pPr>
        <w:pStyle w:val="FootnoteText"/>
        <w:spacing w:before="0"/>
      </w:pPr>
      <w:r>
        <w:rPr>
          <w:rStyle w:val="FootnoteReference"/>
        </w:rPr>
        <w:footnoteRef/>
      </w:r>
      <w:r>
        <w:t xml:space="preserve"> </w:t>
      </w:r>
      <w:r w:rsidRPr="002E0E9B">
        <w:t xml:space="preserve">McCloy, TR. </w:t>
      </w:r>
      <w:r w:rsidR="002E0E9B">
        <w:t>108:8-18</w:t>
      </w:r>
      <w:r w:rsidR="00A4389C">
        <w:t xml:space="preserve">; </w:t>
      </w:r>
      <w:r w:rsidR="00A4389C" w:rsidRPr="00A4389C">
        <w:rPr>
          <w:i/>
        </w:rPr>
        <w:t>see also</w:t>
      </w:r>
      <w:r w:rsidR="00002F26">
        <w:t xml:space="preserve"> Exh. 1</w:t>
      </w:r>
      <w:r w:rsidR="00A4389C">
        <w:t xml:space="preserve"> at 1, ¶ 2.</w:t>
      </w:r>
    </w:p>
  </w:footnote>
  <w:footnote w:id="6">
    <w:p w:rsidR="00A4389C" w:rsidRDefault="00A4389C" w:rsidP="00A71B70">
      <w:pPr>
        <w:pStyle w:val="FootnoteText"/>
        <w:spacing w:before="0"/>
      </w:pPr>
      <w:r>
        <w:rPr>
          <w:rStyle w:val="FootnoteReference"/>
        </w:rPr>
        <w:footnoteRef/>
      </w:r>
      <w:r>
        <w:t xml:space="preserve"> TR. 109:</w:t>
      </w:r>
      <w:r w:rsidRPr="00A71B70">
        <w:rPr>
          <w:szCs w:val="22"/>
        </w:rPr>
        <w:t>13</w:t>
      </w:r>
      <w:r>
        <w:t xml:space="preserve">-22; </w:t>
      </w:r>
      <w:r w:rsidRPr="00A4389C">
        <w:rPr>
          <w:i/>
        </w:rPr>
        <w:t>see also</w:t>
      </w:r>
      <w:r>
        <w:t xml:space="preserve"> Exh. 1 at 1-2, ¶ 3.</w:t>
      </w:r>
    </w:p>
  </w:footnote>
  <w:footnote w:id="7">
    <w:p w:rsidR="00FA2847" w:rsidRDefault="00FA2847" w:rsidP="00A71B70">
      <w:pPr>
        <w:pStyle w:val="FootnoteText"/>
        <w:spacing w:before="0"/>
      </w:pPr>
      <w:r>
        <w:rPr>
          <w:rStyle w:val="FootnoteReference"/>
        </w:rPr>
        <w:footnoteRef/>
      </w:r>
      <w:r>
        <w:t xml:space="preserve"> TR. </w:t>
      </w:r>
      <w:r w:rsidRPr="00A71B70">
        <w:rPr>
          <w:szCs w:val="22"/>
        </w:rPr>
        <w:t>110</w:t>
      </w:r>
      <w:r>
        <w:t xml:space="preserve">:1 – 115:19; </w:t>
      </w:r>
      <w:r w:rsidRPr="00A4389C">
        <w:rPr>
          <w:i/>
        </w:rPr>
        <w:t>see also</w:t>
      </w:r>
      <w:r>
        <w:t xml:space="preserve"> Exh. 1 at 2, ¶ 4, and at 10-22.</w:t>
      </w:r>
    </w:p>
  </w:footnote>
  <w:footnote w:id="8">
    <w:p w:rsidR="00002F26" w:rsidRDefault="00002F26" w:rsidP="00A71B70">
      <w:pPr>
        <w:pStyle w:val="FootnoteText"/>
        <w:spacing w:before="0"/>
      </w:pPr>
      <w:r>
        <w:rPr>
          <w:rStyle w:val="FootnoteReference"/>
        </w:rPr>
        <w:footnoteRef/>
      </w:r>
      <w:r w:rsidR="002B45C1">
        <w:t xml:space="preserve"> Exh. 1 </w:t>
      </w:r>
      <w:r w:rsidR="002B45C1" w:rsidRPr="00A71B70">
        <w:rPr>
          <w:szCs w:val="22"/>
        </w:rPr>
        <w:t>at</w:t>
      </w:r>
      <w:r w:rsidR="002B45C1">
        <w:t xml:space="preserve"> </w:t>
      </w:r>
      <w:r>
        <w:t>11-1</w:t>
      </w:r>
      <w:r w:rsidR="001D38FD">
        <w:t xml:space="preserve">5; </w:t>
      </w:r>
      <w:r w:rsidR="001D38FD" w:rsidRPr="001D38FD">
        <w:rPr>
          <w:i/>
        </w:rPr>
        <w:t>see also</w:t>
      </w:r>
      <w:r w:rsidR="001D38FD">
        <w:t xml:space="preserve"> TR. 110:12 – 112:23.</w:t>
      </w:r>
    </w:p>
  </w:footnote>
  <w:footnote w:id="9">
    <w:p w:rsidR="001D38FD" w:rsidRDefault="001D38FD" w:rsidP="00A71B70">
      <w:pPr>
        <w:pStyle w:val="FootnoteText"/>
        <w:spacing w:before="0"/>
      </w:pPr>
      <w:r>
        <w:rPr>
          <w:rStyle w:val="FootnoteReference"/>
        </w:rPr>
        <w:footnoteRef/>
      </w:r>
      <w:r>
        <w:t xml:space="preserve"> Exh. 1 at 13.</w:t>
      </w:r>
    </w:p>
  </w:footnote>
  <w:footnote w:id="10">
    <w:p w:rsidR="001D38FD" w:rsidRDefault="001D38FD" w:rsidP="00A71B70">
      <w:pPr>
        <w:pStyle w:val="FootnoteText"/>
        <w:spacing w:before="0"/>
      </w:pPr>
      <w:r>
        <w:rPr>
          <w:rStyle w:val="FootnoteReference"/>
        </w:rPr>
        <w:footnoteRef/>
      </w:r>
      <w:r>
        <w:t xml:space="preserve"> Exh. 1 at 15.</w:t>
      </w:r>
    </w:p>
  </w:footnote>
  <w:footnote w:id="11">
    <w:p w:rsidR="00B87B32" w:rsidRDefault="00B87B32" w:rsidP="00A71B70">
      <w:pPr>
        <w:pStyle w:val="FootnoteText"/>
        <w:spacing w:before="0"/>
      </w:pPr>
      <w:r>
        <w:rPr>
          <w:rStyle w:val="FootnoteReference"/>
        </w:rPr>
        <w:footnoteRef/>
      </w:r>
      <w:r>
        <w:t xml:space="preserve"> </w:t>
      </w:r>
      <w:r w:rsidR="002B45C1">
        <w:t>Exh. 1 at 16.</w:t>
      </w:r>
    </w:p>
  </w:footnote>
  <w:footnote w:id="12">
    <w:p w:rsidR="00B87B32" w:rsidRDefault="00B87B32" w:rsidP="00A71B70">
      <w:pPr>
        <w:pStyle w:val="FootnoteText"/>
        <w:spacing w:before="0"/>
      </w:pPr>
      <w:r>
        <w:rPr>
          <w:rStyle w:val="FootnoteReference"/>
        </w:rPr>
        <w:footnoteRef/>
      </w:r>
      <w:r>
        <w:t xml:space="preserve"> </w:t>
      </w:r>
      <w:r w:rsidR="002B45C1">
        <w:t xml:space="preserve">Exh. 1 at 18; </w:t>
      </w:r>
      <w:r w:rsidR="002B45C1" w:rsidRPr="001D38FD">
        <w:rPr>
          <w:i/>
        </w:rPr>
        <w:t>see also</w:t>
      </w:r>
      <w:r w:rsidR="002B45C1">
        <w:t xml:space="preserve"> TR. 113:22 – 114:22.</w:t>
      </w:r>
    </w:p>
  </w:footnote>
  <w:footnote w:id="13">
    <w:p w:rsidR="002B45C1" w:rsidRDefault="002B45C1" w:rsidP="00A71B70">
      <w:pPr>
        <w:pStyle w:val="FootnoteText"/>
        <w:spacing w:before="0"/>
      </w:pPr>
      <w:r>
        <w:rPr>
          <w:rStyle w:val="FootnoteReference"/>
        </w:rPr>
        <w:footnoteRef/>
      </w:r>
      <w:r>
        <w:t xml:space="preserve"> Exh. 1 at 20; </w:t>
      </w:r>
      <w:r w:rsidRPr="001D38FD">
        <w:rPr>
          <w:i/>
        </w:rPr>
        <w:t>see also</w:t>
      </w:r>
      <w:r>
        <w:t xml:space="preserve"> TR. 114:23 – 114:12.</w:t>
      </w:r>
    </w:p>
  </w:footnote>
  <w:footnote w:id="14">
    <w:p w:rsidR="002B45C1" w:rsidRDefault="002B45C1" w:rsidP="00A71B70">
      <w:pPr>
        <w:pStyle w:val="FootnoteText"/>
        <w:spacing w:before="0"/>
      </w:pPr>
      <w:r>
        <w:rPr>
          <w:rStyle w:val="FootnoteReference"/>
        </w:rPr>
        <w:footnoteRef/>
      </w:r>
      <w:r>
        <w:t xml:space="preserve"> TR. 115:25 – 116:6; </w:t>
      </w:r>
      <w:r w:rsidRPr="002B45C1">
        <w:rPr>
          <w:i/>
        </w:rPr>
        <w:t>see also</w:t>
      </w:r>
      <w:r>
        <w:t xml:space="preserve"> Exh. 1 at 2, ¶ 6.</w:t>
      </w:r>
    </w:p>
  </w:footnote>
  <w:footnote w:id="15">
    <w:p w:rsidR="002C02B3" w:rsidRDefault="002C02B3" w:rsidP="00A71B70">
      <w:pPr>
        <w:pStyle w:val="FootnoteText"/>
        <w:spacing w:before="0"/>
      </w:pPr>
      <w:r>
        <w:rPr>
          <w:rStyle w:val="FootnoteReference"/>
        </w:rPr>
        <w:footnoteRef/>
      </w:r>
      <w:r>
        <w:t xml:space="preserve"> </w:t>
      </w:r>
      <w:r w:rsidRPr="00A71B70">
        <w:rPr>
          <w:szCs w:val="22"/>
        </w:rPr>
        <w:t>Green</w:t>
      </w:r>
      <w:r>
        <w:t>, TR. 128:9 – 131:4 and 134:2-20.</w:t>
      </w:r>
    </w:p>
  </w:footnote>
  <w:footnote w:id="16">
    <w:p w:rsidR="00D6132D" w:rsidRDefault="00D6132D" w:rsidP="00A71B70">
      <w:pPr>
        <w:pStyle w:val="FootnoteText"/>
        <w:spacing w:before="0"/>
      </w:pPr>
      <w:r>
        <w:rPr>
          <w:rStyle w:val="FootnoteReference"/>
        </w:rPr>
        <w:footnoteRef/>
      </w:r>
      <w:r>
        <w:t xml:space="preserve"> </w:t>
      </w:r>
      <w:r w:rsidRPr="00D6132D">
        <w:rPr>
          <w:i/>
        </w:rPr>
        <w:t>Id</w:t>
      </w:r>
      <w:r w:rsidR="00F75CBB">
        <w:t>. at 130:11-12, 139:5-7, and 139:24 – 140:12.</w:t>
      </w:r>
    </w:p>
  </w:footnote>
  <w:footnote w:id="17">
    <w:p w:rsidR="002C02B3" w:rsidRDefault="002C02B3" w:rsidP="00A71B70">
      <w:pPr>
        <w:pStyle w:val="FootnoteText"/>
        <w:spacing w:before="0"/>
      </w:pPr>
      <w:r>
        <w:rPr>
          <w:rStyle w:val="FootnoteReference"/>
        </w:rPr>
        <w:footnoteRef/>
      </w:r>
      <w:r>
        <w:t xml:space="preserve"> </w:t>
      </w:r>
      <w:r w:rsidRPr="002C02B3">
        <w:rPr>
          <w:i/>
        </w:rPr>
        <w:t>Id</w:t>
      </w:r>
      <w:r>
        <w:t xml:space="preserve">. </w:t>
      </w:r>
      <w:r w:rsidRPr="00A71B70">
        <w:rPr>
          <w:szCs w:val="22"/>
        </w:rPr>
        <w:t>at</w:t>
      </w:r>
      <w:r>
        <w:t xml:space="preserve"> 131:5 – 134:2.</w:t>
      </w:r>
    </w:p>
  </w:footnote>
  <w:footnote w:id="18">
    <w:p w:rsidR="00D6132D" w:rsidRDefault="00D6132D" w:rsidP="00A71B70">
      <w:pPr>
        <w:pStyle w:val="FootnoteText"/>
        <w:spacing w:before="0"/>
      </w:pPr>
      <w:r>
        <w:rPr>
          <w:rStyle w:val="FootnoteReference"/>
        </w:rPr>
        <w:footnoteRef/>
      </w:r>
      <w:r>
        <w:t xml:space="preserve"> </w:t>
      </w:r>
      <w:r w:rsidRPr="00D6132D">
        <w:rPr>
          <w:i/>
        </w:rPr>
        <w:t>Id</w:t>
      </w:r>
      <w:r>
        <w:t>. at 136:1-20</w:t>
      </w:r>
      <w:r w:rsidR="00F75CBB">
        <w:t xml:space="preserve">; </w:t>
      </w:r>
      <w:r w:rsidR="00F75CBB" w:rsidRPr="00F75CBB">
        <w:rPr>
          <w:i/>
        </w:rPr>
        <w:t>see also</w:t>
      </w:r>
      <w:r w:rsidR="00F75CBB">
        <w:t xml:space="preserve"> Exh. 2, ¶ 5 and ¶ 8.</w:t>
      </w:r>
    </w:p>
  </w:footnote>
  <w:footnote w:id="19">
    <w:p w:rsidR="003C3808" w:rsidRDefault="003C3808" w:rsidP="00A71B70">
      <w:pPr>
        <w:pStyle w:val="FootnoteText"/>
        <w:spacing w:before="0"/>
      </w:pPr>
      <w:r>
        <w:rPr>
          <w:rStyle w:val="FootnoteReference"/>
        </w:rPr>
        <w:footnoteRef/>
      </w:r>
      <w:r>
        <w:t xml:space="preserve"> TR. </w:t>
      </w:r>
      <w:r w:rsidRPr="00A71B70">
        <w:rPr>
          <w:szCs w:val="22"/>
        </w:rPr>
        <w:t>155</w:t>
      </w:r>
      <w:r>
        <w:t>:1 – 157:21.</w:t>
      </w:r>
    </w:p>
  </w:footnote>
  <w:footnote w:id="20">
    <w:p w:rsidR="00F75CBB" w:rsidRDefault="00F75CBB" w:rsidP="00A71B70">
      <w:pPr>
        <w:pStyle w:val="FootnoteText"/>
        <w:spacing w:before="0"/>
      </w:pPr>
      <w:r>
        <w:rPr>
          <w:rStyle w:val="FootnoteReference"/>
        </w:rPr>
        <w:footnoteRef/>
      </w:r>
      <w:r>
        <w:t xml:space="preserve"> </w:t>
      </w:r>
      <w:r w:rsidR="003C3808" w:rsidRPr="003C3808">
        <w:rPr>
          <w:i/>
        </w:rPr>
        <w:t>Id</w:t>
      </w:r>
      <w:r>
        <w:t>.</w:t>
      </w:r>
      <w:r w:rsidR="003C3808">
        <w:t xml:space="preserve"> at</w:t>
      </w:r>
      <w:r>
        <w:t xml:space="preserve"> </w:t>
      </w:r>
      <w:r w:rsidRPr="00A71B70">
        <w:rPr>
          <w:szCs w:val="22"/>
        </w:rPr>
        <w:t>136</w:t>
      </w:r>
      <w:r>
        <w:t>:20-24, 138:19 – 139:4, 140:12-</w:t>
      </w:r>
      <w:r w:rsidR="009C0EF1">
        <w:t>13, and 157:22 – 148:15.</w:t>
      </w:r>
    </w:p>
  </w:footnote>
  <w:footnote w:id="21">
    <w:p w:rsidR="00DE6AAD" w:rsidRDefault="00DE6AAD" w:rsidP="00A71B70">
      <w:pPr>
        <w:pStyle w:val="FootnoteText"/>
        <w:spacing w:before="0"/>
      </w:pPr>
      <w:r>
        <w:rPr>
          <w:rStyle w:val="FootnoteReference"/>
        </w:rPr>
        <w:footnoteRef/>
      </w:r>
      <w:r>
        <w:t xml:space="preserve"> Exh. 3 </w:t>
      </w:r>
      <w:r w:rsidRPr="00A71B70">
        <w:rPr>
          <w:szCs w:val="22"/>
        </w:rPr>
        <w:t>and</w:t>
      </w:r>
      <w:r>
        <w:t xml:space="preserve"> Exh. 4.</w:t>
      </w:r>
    </w:p>
  </w:footnote>
  <w:footnote w:id="22">
    <w:p w:rsidR="0063156B" w:rsidRDefault="0063156B" w:rsidP="00A71B70">
      <w:pPr>
        <w:pStyle w:val="FootnoteText"/>
        <w:spacing w:before="0"/>
      </w:pPr>
      <w:r w:rsidRPr="003878CA">
        <w:rPr>
          <w:rStyle w:val="FootnoteReference"/>
          <w:szCs w:val="22"/>
        </w:rPr>
        <w:footnoteRef/>
      </w:r>
      <w:r>
        <w:t xml:space="preserve"> </w:t>
      </w:r>
      <w:r w:rsidRPr="003878CA">
        <w:rPr>
          <w:szCs w:val="22"/>
        </w:rPr>
        <w:t>Under RCW 81.80.075, if Respondent engages in business as a household goods carrier in violation of a cease and desist order entered by the Commission, Respondent is subject to a penalty of up to $10,000 per violation.  Each day of illegal operations may be considered a separate violation.</w:t>
      </w:r>
    </w:p>
  </w:footnote>
  <w:footnote w:id="23">
    <w:p w:rsidR="00C04E0F" w:rsidRDefault="00C04E0F" w:rsidP="00A71B70">
      <w:pPr>
        <w:pStyle w:val="FootnoteText"/>
        <w:spacing w:before="0"/>
      </w:pPr>
      <w:r>
        <w:rPr>
          <w:rStyle w:val="FootnoteReference"/>
        </w:rPr>
        <w:footnoteRef/>
      </w:r>
      <w:r>
        <w:t xml:space="preserve"> McCloy, TR. 117:8 – 118:24.</w:t>
      </w:r>
    </w:p>
  </w:footnote>
  <w:footnote w:id="24">
    <w:p w:rsidR="00C04E0F" w:rsidRDefault="00C04E0F" w:rsidP="00A71B70">
      <w:pPr>
        <w:pStyle w:val="FootnoteText"/>
        <w:spacing w:before="0"/>
      </w:pPr>
      <w:r>
        <w:rPr>
          <w:rStyle w:val="FootnoteReference"/>
        </w:rPr>
        <w:footnoteRef/>
      </w:r>
      <w:r>
        <w:t xml:space="preserve"> </w:t>
      </w:r>
      <w:r w:rsidRPr="00196EEA">
        <w:rPr>
          <w:i/>
        </w:rPr>
        <w:t>Id</w:t>
      </w:r>
      <w:r>
        <w:t xml:space="preserve">. at </w:t>
      </w:r>
      <w:r w:rsidRPr="00A71B70">
        <w:rPr>
          <w:szCs w:val="22"/>
        </w:rPr>
        <w:t>118</w:t>
      </w:r>
      <w:r>
        <w:t>:4-8.</w:t>
      </w:r>
    </w:p>
  </w:footnote>
  <w:footnote w:id="25">
    <w:p w:rsidR="00C04E0F" w:rsidRDefault="00C04E0F" w:rsidP="00A71B70">
      <w:pPr>
        <w:pStyle w:val="FootnoteText"/>
        <w:spacing w:before="0"/>
      </w:pPr>
      <w:r>
        <w:rPr>
          <w:rStyle w:val="FootnoteReference"/>
        </w:rPr>
        <w:footnoteRef/>
      </w:r>
      <w:r>
        <w:t xml:space="preserve"> Green, </w:t>
      </w:r>
      <w:r w:rsidRPr="00A71B70">
        <w:rPr>
          <w:szCs w:val="22"/>
        </w:rPr>
        <w:t>TR</w:t>
      </w:r>
      <w:r>
        <w:t>. 179:15 – 180:16.</w:t>
      </w:r>
    </w:p>
  </w:footnote>
  <w:footnote w:id="26">
    <w:p w:rsidR="00F92B24" w:rsidRDefault="00F92B24" w:rsidP="00A71B70">
      <w:pPr>
        <w:pStyle w:val="FootnoteText"/>
        <w:spacing w:before="0"/>
      </w:pPr>
      <w:r>
        <w:rPr>
          <w:rStyle w:val="FootnoteReference"/>
        </w:rPr>
        <w:footnoteRef/>
      </w:r>
      <w:r>
        <w:t xml:space="preserve"> Docket A-</w:t>
      </w:r>
      <w:r w:rsidRPr="00A71B70">
        <w:rPr>
          <w:szCs w:val="22"/>
        </w:rPr>
        <w:t>120061</w:t>
      </w:r>
      <w:r>
        <w:t>.</w:t>
      </w:r>
    </w:p>
  </w:footnote>
  <w:footnote w:id="27">
    <w:p w:rsidR="00C04E0F" w:rsidRPr="00C04E0F" w:rsidRDefault="00C04E0F" w:rsidP="00A71B70">
      <w:pPr>
        <w:pStyle w:val="FootnoteText"/>
        <w:spacing w:before="0"/>
        <w:rPr>
          <w:szCs w:val="22"/>
        </w:rPr>
      </w:pPr>
      <w:r w:rsidRPr="00C04E0F">
        <w:rPr>
          <w:rStyle w:val="FootnoteReference"/>
          <w:szCs w:val="22"/>
        </w:rPr>
        <w:footnoteRef/>
      </w:r>
      <w:r w:rsidRPr="00C04E0F">
        <w:rPr>
          <w:szCs w:val="22"/>
        </w:rPr>
        <w:t xml:space="preserve"> Several of these factors are parallel to those found in RCW 81.80.075(4)(b).  The carrier’s “willingness to comply” can be considered in conjunction with factors 2, 3, 4, 8, and 10.  The carrier’s “compliance history” is essentially the same as factor 9.</w:t>
      </w:r>
    </w:p>
  </w:footnote>
  <w:footnote w:id="28">
    <w:p w:rsidR="00DE05CC" w:rsidRDefault="00DE05CC" w:rsidP="00A71B70">
      <w:pPr>
        <w:pStyle w:val="FootnoteText"/>
        <w:spacing w:before="0"/>
      </w:pPr>
      <w:r>
        <w:rPr>
          <w:rStyle w:val="FootnoteReference"/>
        </w:rPr>
        <w:footnoteRef/>
      </w:r>
      <w:r>
        <w:t xml:space="preserve"> </w:t>
      </w:r>
      <w:r w:rsidRPr="00A34EC1">
        <w:rPr>
          <w:i/>
        </w:rPr>
        <w:t>See</w:t>
      </w:r>
      <w:r>
        <w:t xml:space="preserve"> Docket </w:t>
      </w:r>
      <w:r w:rsidRPr="00A71B70">
        <w:rPr>
          <w:szCs w:val="22"/>
        </w:rPr>
        <w:t>T</w:t>
      </w:r>
      <w:r w:rsidR="009E62F3" w:rsidRPr="00A71B70">
        <w:rPr>
          <w:szCs w:val="22"/>
        </w:rPr>
        <w:t>V</w:t>
      </w:r>
      <w:r>
        <w:t>-</w:t>
      </w:r>
      <w:r w:rsidR="00A5421C">
        <w:t>120766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90" w:rsidRPr="008F794C" w:rsidRDefault="00AC7B90">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Pr>
        <w:b/>
        <w:bCs/>
        <w:sz w:val="20"/>
        <w:lang w:val="fr-FR"/>
      </w:rPr>
      <w:t>131603</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503EB7">
      <w:rPr>
        <w:rStyle w:val="PageNumber"/>
        <w:bCs/>
        <w:noProof/>
        <w:lang w:val="fr-FR"/>
      </w:rPr>
      <w:t>2</w:t>
    </w:r>
    <w:r w:rsidRPr="008F794C">
      <w:rPr>
        <w:rStyle w:val="PageNumber"/>
        <w:bCs/>
      </w:rPr>
      <w:fldChar w:fldCharType="end"/>
    </w:r>
  </w:p>
  <w:p w:rsidR="00AC7B90" w:rsidRPr="008F794C" w:rsidRDefault="00AC7B90">
    <w:pPr>
      <w:pStyle w:val="Header"/>
      <w:tabs>
        <w:tab w:val="left" w:pos="7000"/>
      </w:tabs>
      <w:rPr>
        <w:rStyle w:val="PageNumber"/>
        <w:bCs/>
        <w:lang w:val="fr-FR"/>
      </w:rPr>
    </w:pPr>
    <w:r w:rsidRPr="008F794C">
      <w:rPr>
        <w:rStyle w:val="PageNumber"/>
        <w:bCs/>
        <w:lang w:val="fr-FR"/>
      </w:rPr>
      <w:t>ORDER 0</w:t>
    </w:r>
    <w:r w:rsidR="00A36A29">
      <w:rPr>
        <w:rStyle w:val="PageNumber"/>
        <w:bCs/>
        <w:lang w:val="fr-FR"/>
      </w:rPr>
      <w:t>3</w:t>
    </w:r>
  </w:p>
  <w:p w:rsidR="00AC7B90" w:rsidRPr="00C35B68" w:rsidRDefault="00AC7B90">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90" w:rsidRPr="00662B7F" w:rsidRDefault="00AC7B90" w:rsidP="00E846A5">
    <w:pPr>
      <w:pStyle w:val="Header"/>
      <w:tabs>
        <w:tab w:val="clear" w:pos="4320"/>
        <w:tab w:val="clear" w:pos="8640"/>
        <w:tab w:val="right" w:pos="8370"/>
      </w:tabs>
      <w:rPr>
        <w:b/>
        <w:sz w:val="22"/>
        <w:szCs w:val="22"/>
      </w:rPr>
    </w:pPr>
    <w:r>
      <w:rPr>
        <w:b/>
        <w:sz w:val="22"/>
        <w:szCs w:val="22"/>
      </w:rPr>
      <w:tab/>
    </w:r>
    <w:r w:rsidR="0059772D">
      <w:rPr>
        <w:b/>
        <w:sz w:val="22"/>
        <w:szCs w:val="22"/>
      </w:rPr>
      <w:t>[Service Date December 23,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0ACD13AB"/>
    <w:multiLevelType w:val="hybridMultilevel"/>
    <w:tmpl w:val="9C2477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2109A0"/>
    <w:multiLevelType w:val="hybridMultilevel"/>
    <w:tmpl w:val="5B8C970C"/>
    <w:lvl w:ilvl="0" w:tplc="99AC043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820EA3"/>
    <w:multiLevelType w:val="hybridMultilevel"/>
    <w:tmpl w:val="5B8C970C"/>
    <w:lvl w:ilvl="0" w:tplc="99AC043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171526"/>
    <w:multiLevelType w:val="hybridMultilevel"/>
    <w:tmpl w:val="D36C94AC"/>
    <w:lvl w:ilvl="0" w:tplc="DEE8E576">
      <w:start w:val="1"/>
      <w:numFmt w:val="decimal"/>
      <w:lvlText w:val="%1"/>
      <w:lvlJc w:val="left"/>
      <w:pPr>
        <w:tabs>
          <w:tab w:val="num" w:pos="360"/>
        </w:tabs>
        <w:ind w:left="360" w:hanging="360"/>
      </w:pPr>
      <w:rPr>
        <w:rFonts w:ascii="Palatino Linotype" w:hAnsi="Palatino Linotype" w:hint="default"/>
        <w:b w:val="0"/>
        <w:i/>
        <w:color w:val="000000"/>
        <w:sz w:val="20"/>
      </w:rPr>
    </w:lvl>
    <w:lvl w:ilvl="1" w:tplc="04090001">
      <w:start w:val="1"/>
      <w:numFmt w:val="bullet"/>
      <w:lvlText w:val=""/>
      <w:lvlJc w:val="left"/>
      <w:pPr>
        <w:tabs>
          <w:tab w:val="num" w:pos="1800"/>
        </w:tabs>
        <w:ind w:left="1800" w:hanging="360"/>
      </w:pPr>
      <w:rPr>
        <w:rFonts w:ascii="Symbol" w:hAnsi="Symbol" w:hint="default"/>
        <w:b w:val="0"/>
        <w:i/>
        <w:color w:val="000000"/>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318E63F0"/>
    <w:multiLevelType w:val="hybridMultilevel"/>
    <w:tmpl w:val="5B8C970C"/>
    <w:lvl w:ilvl="0" w:tplc="99AC043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0A6402"/>
    <w:multiLevelType w:val="hybridMultilevel"/>
    <w:tmpl w:val="B4940238"/>
    <w:lvl w:ilvl="0" w:tplc="2B7EF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7E0338"/>
    <w:multiLevelType w:val="hybridMultilevel"/>
    <w:tmpl w:val="D5B87E8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7">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6"/>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6"/>
  </w:num>
  <w:num w:numId="15">
    <w:abstractNumId w:val="27"/>
  </w:num>
  <w:num w:numId="16">
    <w:abstractNumId w:val="26"/>
  </w:num>
  <w:num w:numId="17">
    <w:abstractNumId w:val="17"/>
  </w:num>
  <w:num w:numId="18">
    <w:abstractNumId w:val="19"/>
  </w:num>
  <w:num w:numId="19">
    <w:abstractNumId w:val="24"/>
  </w:num>
  <w:num w:numId="20">
    <w:abstractNumId w:val="15"/>
  </w:num>
  <w:num w:numId="21">
    <w:abstractNumId w:val="16"/>
  </w:num>
  <w:num w:numId="22">
    <w:abstractNumId w:val="16"/>
  </w:num>
  <w:num w:numId="23">
    <w:abstractNumId w:val="16"/>
  </w:num>
  <w:num w:numId="24">
    <w:abstractNumId w:val="16"/>
  </w:num>
  <w:num w:numId="25">
    <w:abstractNumId w:val="16"/>
  </w:num>
  <w:num w:numId="26">
    <w:abstractNumId w:val="13"/>
  </w:num>
  <w:num w:numId="27">
    <w:abstractNumId w:val="23"/>
  </w:num>
  <w:num w:numId="28">
    <w:abstractNumId w:val="25"/>
  </w:num>
  <w:num w:numId="29">
    <w:abstractNumId w:val="18"/>
  </w:num>
  <w:num w:numId="30">
    <w:abstractNumId w:val="10"/>
  </w:num>
  <w:num w:numId="31">
    <w:abstractNumId w:val="22"/>
  </w:num>
  <w:num w:numId="32">
    <w:abstractNumId w:val="12"/>
  </w:num>
  <w:num w:numId="33">
    <w:abstractNumId w:val="11"/>
  </w:num>
  <w:num w:numId="34">
    <w:abstractNumId w:val="2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2F26"/>
    <w:rsid w:val="00005431"/>
    <w:rsid w:val="00007464"/>
    <w:rsid w:val="000107E5"/>
    <w:rsid w:val="0001204D"/>
    <w:rsid w:val="00015EAA"/>
    <w:rsid w:val="000173D0"/>
    <w:rsid w:val="0002068B"/>
    <w:rsid w:val="000234CE"/>
    <w:rsid w:val="00024467"/>
    <w:rsid w:val="00024A7C"/>
    <w:rsid w:val="000264FD"/>
    <w:rsid w:val="00030F63"/>
    <w:rsid w:val="000311A2"/>
    <w:rsid w:val="0003479D"/>
    <w:rsid w:val="00034FE4"/>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6690"/>
    <w:rsid w:val="000876FF"/>
    <w:rsid w:val="00090758"/>
    <w:rsid w:val="00094F3C"/>
    <w:rsid w:val="000951E1"/>
    <w:rsid w:val="00095CB7"/>
    <w:rsid w:val="00096B61"/>
    <w:rsid w:val="00097095"/>
    <w:rsid w:val="000A1865"/>
    <w:rsid w:val="000A1B6E"/>
    <w:rsid w:val="000A3CAB"/>
    <w:rsid w:val="000A5FA7"/>
    <w:rsid w:val="000A6CB3"/>
    <w:rsid w:val="000B1A8D"/>
    <w:rsid w:val="000B2854"/>
    <w:rsid w:val="000C0224"/>
    <w:rsid w:val="000C1C5A"/>
    <w:rsid w:val="000C5FA8"/>
    <w:rsid w:val="000D071A"/>
    <w:rsid w:val="000D22ED"/>
    <w:rsid w:val="000D4317"/>
    <w:rsid w:val="000D79C6"/>
    <w:rsid w:val="000D7B17"/>
    <w:rsid w:val="000E30B4"/>
    <w:rsid w:val="000E361E"/>
    <w:rsid w:val="000E485A"/>
    <w:rsid w:val="000E50F4"/>
    <w:rsid w:val="000E53A0"/>
    <w:rsid w:val="000F4793"/>
    <w:rsid w:val="000F61B3"/>
    <w:rsid w:val="00100829"/>
    <w:rsid w:val="00101CA7"/>
    <w:rsid w:val="00102980"/>
    <w:rsid w:val="00106149"/>
    <w:rsid w:val="001071C2"/>
    <w:rsid w:val="00107A12"/>
    <w:rsid w:val="00112A51"/>
    <w:rsid w:val="0011491E"/>
    <w:rsid w:val="00114E2A"/>
    <w:rsid w:val="00115A92"/>
    <w:rsid w:val="00117A4A"/>
    <w:rsid w:val="00127D10"/>
    <w:rsid w:val="00133BAC"/>
    <w:rsid w:val="00140C90"/>
    <w:rsid w:val="00144983"/>
    <w:rsid w:val="00145A43"/>
    <w:rsid w:val="00147AF1"/>
    <w:rsid w:val="001518F1"/>
    <w:rsid w:val="00151E90"/>
    <w:rsid w:val="0015332F"/>
    <w:rsid w:val="00154FFC"/>
    <w:rsid w:val="001567C2"/>
    <w:rsid w:val="00170124"/>
    <w:rsid w:val="0017063C"/>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A7D0E"/>
    <w:rsid w:val="001C1141"/>
    <w:rsid w:val="001C1E8A"/>
    <w:rsid w:val="001C335B"/>
    <w:rsid w:val="001C3A32"/>
    <w:rsid w:val="001C5186"/>
    <w:rsid w:val="001D12F2"/>
    <w:rsid w:val="001D2AAB"/>
    <w:rsid w:val="001D38FD"/>
    <w:rsid w:val="001D3F43"/>
    <w:rsid w:val="001D54E4"/>
    <w:rsid w:val="001D5B2F"/>
    <w:rsid w:val="001D6CE4"/>
    <w:rsid w:val="001E1185"/>
    <w:rsid w:val="001E1AD4"/>
    <w:rsid w:val="001E74BE"/>
    <w:rsid w:val="001F100C"/>
    <w:rsid w:val="001F28C0"/>
    <w:rsid w:val="001F50A1"/>
    <w:rsid w:val="001F6EB7"/>
    <w:rsid w:val="00202789"/>
    <w:rsid w:val="002037DD"/>
    <w:rsid w:val="0020449D"/>
    <w:rsid w:val="00204B69"/>
    <w:rsid w:val="002051DF"/>
    <w:rsid w:val="00205FFF"/>
    <w:rsid w:val="00207E01"/>
    <w:rsid w:val="00211B79"/>
    <w:rsid w:val="0021303F"/>
    <w:rsid w:val="002157D9"/>
    <w:rsid w:val="00223E51"/>
    <w:rsid w:val="00224AE4"/>
    <w:rsid w:val="00231F52"/>
    <w:rsid w:val="00232241"/>
    <w:rsid w:val="002326C1"/>
    <w:rsid w:val="00233FF1"/>
    <w:rsid w:val="00234C88"/>
    <w:rsid w:val="00237325"/>
    <w:rsid w:val="0023755C"/>
    <w:rsid w:val="00237ED4"/>
    <w:rsid w:val="002422C9"/>
    <w:rsid w:val="002451BE"/>
    <w:rsid w:val="00245A37"/>
    <w:rsid w:val="00250009"/>
    <w:rsid w:val="002620C0"/>
    <w:rsid w:val="00262ACB"/>
    <w:rsid w:val="002639C1"/>
    <w:rsid w:val="002648B8"/>
    <w:rsid w:val="00266F10"/>
    <w:rsid w:val="002706D5"/>
    <w:rsid w:val="0027090E"/>
    <w:rsid w:val="002724F4"/>
    <w:rsid w:val="00273AA3"/>
    <w:rsid w:val="00274FE8"/>
    <w:rsid w:val="002751AB"/>
    <w:rsid w:val="00277EA1"/>
    <w:rsid w:val="002803B7"/>
    <w:rsid w:val="00280628"/>
    <w:rsid w:val="002816A3"/>
    <w:rsid w:val="002833EE"/>
    <w:rsid w:val="002876D1"/>
    <w:rsid w:val="0029044F"/>
    <w:rsid w:val="00291095"/>
    <w:rsid w:val="00295177"/>
    <w:rsid w:val="00295717"/>
    <w:rsid w:val="0029682B"/>
    <w:rsid w:val="002A0F61"/>
    <w:rsid w:val="002A5DCB"/>
    <w:rsid w:val="002B06A0"/>
    <w:rsid w:val="002B0C47"/>
    <w:rsid w:val="002B4258"/>
    <w:rsid w:val="002B45C1"/>
    <w:rsid w:val="002B5165"/>
    <w:rsid w:val="002B6B6D"/>
    <w:rsid w:val="002B7C90"/>
    <w:rsid w:val="002C02B3"/>
    <w:rsid w:val="002C0D2D"/>
    <w:rsid w:val="002C134C"/>
    <w:rsid w:val="002C70FE"/>
    <w:rsid w:val="002C7946"/>
    <w:rsid w:val="002D0245"/>
    <w:rsid w:val="002D2EDA"/>
    <w:rsid w:val="002D48C9"/>
    <w:rsid w:val="002E0E9B"/>
    <w:rsid w:val="002F20FE"/>
    <w:rsid w:val="002F29A3"/>
    <w:rsid w:val="002F426C"/>
    <w:rsid w:val="002F5C66"/>
    <w:rsid w:val="002F6695"/>
    <w:rsid w:val="00305B22"/>
    <w:rsid w:val="0030656E"/>
    <w:rsid w:val="00306FE5"/>
    <w:rsid w:val="00307F55"/>
    <w:rsid w:val="003114C1"/>
    <w:rsid w:val="00312FE8"/>
    <w:rsid w:val="003150FC"/>
    <w:rsid w:val="003159DA"/>
    <w:rsid w:val="00315DBC"/>
    <w:rsid w:val="00321203"/>
    <w:rsid w:val="0032310E"/>
    <w:rsid w:val="00332AAE"/>
    <w:rsid w:val="0033566C"/>
    <w:rsid w:val="00337E61"/>
    <w:rsid w:val="00341F96"/>
    <w:rsid w:val="00346318"/>
    <w:rsid w:val="003500F1"/>
    <w:rsid w:val="00352245"/>
    <w:rsid w:val="00352B69"/>
    <w:rsid w:val="00356C83"/>
    <w:rsid w:val="003572E0"/>
    <w:rsid w:val="00357CC7"/>
    <w:rsid w:val="00362C49"/>
    <w:rsid w:val="003633ED"/>
    <w:rsid w:val="003667B1"/>
    <w:rsid w:val="00366EA9"/>
    <w:rsid w:val="00367416"/>
    <w:rsid w:val="00367731"/>
    <w:rsid w:val="00372164"/>
    <w:rsid w:val="003723BC"/>
    <w:rsid w:val="00373DF4"/>
    <w:rsid w:val="0038111E"/>
    <w:rsid w:val="0038139D"/>
    <w:rsid w:val="003852F8"/>
    <w:rsid w:val="00387EED"/>
    <w:rsid w:val="0039157A"/>
    <w:rsid w:val="003962AC"/>
    <w:rsid w:val="003A012D"/>
    <w:rsid w:val="003A26D7"/>
    <w:rsid w:val="003A3A2A"/>
    <w:rsid w:val="003A3B36"/>
    <w:rsid w:val="003A45DC"/>
    <w:rsid w:val="003A6893"/>
    <w:rsid w:val="003A7248"/>
    <w:rsid w:val="003A77E7"/>
    <w:rsid w:val="003A7A58"/>
    <w:rsid w:val="003B4B12"/>
    <w:rsid w:val="003C1387"/>
    <w:rsid w:val="003C1AD3"/>
    <w:rsid w:val="003C1D3B"/>
    <w:rsid w:val="003C1FAB"/>
    <w:rsid w:val="003C3808"/>
    <w:rsid w:val="003C5F07"/>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E3D"/>
    <w:rsid w:val="003F6B2B"/>
    <w:rsid w:val="003F6DF1"/>
    <w:rsid w:val="00402B7F"/>
    <w:rsid w:val="004033CF"/>
    <w:rsid w:val="00404977"/>
    <w:rsid w:val="00406745"/>
    <w:rsid w:val="004100E9"/>
    <w:rsid w:val="00413897"/>
    <w:rsid w:val="004148BF"/>
    <w:rsid w:val="004161A8"/>
    <w:rsid w:val="00422665"/>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245D"/>
    <w:rsid w:val="004953AD"/>
    <w:rsid w:val="004965F7"/>
    <w:rsid w:val="004A5139"/>
    <w:rsid w:val="004A529B"/>
    <w:rsid w:val="004A54D1"/>
    <w:rsid w:val="004A60F4"/>
    <w:rsid w:val="004B1C16"/>
    <w:rsid w:val="004B350C"/>
    <w:rsid w:val="004B3FBA"/>
    <w:rsid w:val="004B3FC3"/>
    <w:rsid w:val="004B4F25"/>
    <w:rsid w:val="004B5C83"/>
    <w:rsid w:val="004C2939"/>
    <w:rsid w:val="004C4DD9"/>
    <w:rsid w:val="004C55E1"/>
    <w:rsid w:val="004C7DBE"/>
    <w:rsid w:val="004D11F9"/>
    <w:rsid w:val="004D3A99"/>
    <w:rsid w:val="004D5800"/>
    <w:rsid w:val="004D6AA3"/>
    <w:rsid w:val="004D7309"/>
    <w:rsid w:val="004E0112"/>
    <w:rsid w:val="004E0255"/>
    <w:rsid w:val="004E456B"/>
    <w:rsid w:val="004E63AE"/>
    <w:rsid w:val="004F1C60"/>
    <w:rsid w:val="004F6287"/>
    <w:rsid w:val="004F798B"/>
    <w:rsid w:val="00500B54"/>
    <w:rsid w:val="00503EB7"/>
    <w:rsid w:val="00503F2B"/>
    <w:rsid w:val="00505D20"/>
    <w:rsid w:val="0050682F"/>
    <w:rsid w:val="00510085"/>
    <w:rsid w:val="00513CA1"/>
    <w:rsid w:val="00516520"/>
    <w:rsid w:val="005207EA"/>
    <w:rsid w:val="00521DCB"/>
    <w:rsid w:val="00526551"/>
    <w:rsid w:val="005313F3"/>
    <w:rsid w:val="00533164"/>
    <w:rsid w:val="005337DE"/>
    <w:rsid w:val="00533819"/>
    <w:rsid w:val="005407C5"/>
    <w:rsid w:val="0054104C"/>
    <w:rsid w:val="00542017"/>
    <w:rsid w:val="00546BDA"/>
    <w:rsid w:val="00547670"/>
    <w:rsid w:val="00547AF8"/>
    <w:rsid w:val="00552394"/>
    <w:rsid w:val="00554A6D"/>
    <w:rsid w:val="00556DD5"/>
    <w:rsid w:val="0056225B"/>
    <w:rsid w:val="0056345A"/>
    <w:rsid w:val="0056449B"/>
    <w:rsid w:val="005718DB"/>
    <w:rsid w:val="00574E9C"/>
    <w:rsid w:val="005757DF"/>
    <w:rsid w:val="00577985"/>
    <w:rsid w:val="00581C41"/>
    <w:rsid w:val="005829C7"/>
    <w:rsid w:val="00594BDA"/>
    <w:rsid w:val="005952D7"/>
    <w:rsid w:val="0059772D"/>
    <w:rsid w:val="005A0E69"/>
    <w:rsid w:val="005A28D4"/>
    <w:rsid w:val="005A7782"/>
    <w:rsid w:val="005B46E6"/>
    <w:rsid w:val="005B4A1B"/>
    <w:rsid w:val="005C0CA5"/>
    <w:rsid w:val="005C25BD"/>
    <w:rsid w:val="005C4047"/>
    <w:rsid w:val="005C56A1"/>
    <w:rsid w:val="005D5D2D"/>
    <w:rsid w:val="005E0112"/>
    <w:rsid w:val="005F2305"/>
    <w:rsid w:val="005F5A66"/>
    <w:rsid w:val="005F6240"/>
    <w:rsid w:val="005F6B34"/>
    <w:rsid w:val="00601872"/>
    <w:rsid w:val="00602A5D"/>
    <w:rsid w:val="0060583B"/>
    <w:rsid w:val="006136B2"/>
    <w:rsid w:val="00615D54"/>
    <w:rsid w:val="00621F5B"/>
    <w:rsid w:val="006221B7"/>
    <w:rsid w:val="0062334D"/>
    <w:rsid w:val="006235C5"/>
    <w:rsid w:val="006266AC"/>
    <w:rsid w:val="00630CF5"/>
    <w:rsid w:val="0063156B"/>
    <w:rsid w:val="006402A4"/>
    <w:rsid w:val="00640F0A"/>
    <w:rsid w:val="00643B8D"/>
    <w:rsid w:val="006456BC"/>
    <w:rsid w:val="0065105B"/>
    <w:rsid w:val="00653442"/>
    <w:rsid w:val="0065525E"/>
    <w:rsid w:val="006578D2"/>
    <w:rsid w:val="00661539"/>
    <w:rsid w:val="00662B23"/>
    <w:rsid w:val="00664F6A"/>
    <w:rsid w:val="00667531"/>
    <w:rsid w:val="00673AEA"/>
    <w:rsid w:val="00675DDC"/>
    <w:rsid w:val="0068018C"/>
    <w:rsid w:val="00681E54"/>
    <w:rsid w:val="00682690"/>
    <w:rsid w:val="00683620"/>
    <w:rsid w:val="00683864"/>
    <w:rsid w:val="0068677A"/>
    <w:rsid w:val="00686B96"/>
    <w:rsid w:val="00691078"/>
    <w:rsid w:val="00692950"/>
    <w:rsid w:val="006942DF"/>
    <w:rsid w:val="00694627"/>
    <w:rsid w:val="006A0DA7"/>
    <w:rsid w:val="006A7AC4"/>
    <w:rsid w:val="006B0B98"/>
    <w:rsid w:val="006B13FD"/>
    <w:rsid w:val="006B51C5"/>
    <w:rsid w:val="006B59A9"/>
    <w:rsid w:val="006B5FE8"/>
    <w:rsid w:val="006B66F0"/>
    <w:rsid w:val="006C4FB6"/>
    <w:rsid w:val="006C7F02"/>
    <w:rsid w:val="006D0E8B"/>
    <w:rsid w:val="006D1291"/>
    <w:rsid w:val="006D17BD"/>
    <w:rsid w:val="006E7BFF"/>
    <w:rsid w:val="006F04BB"/>
    <w:rsid w:val="006F321C"/>
    <w:rsid w:val="006F71DD"/>
    <w:rsid w:val="00700555"/>
    <w:rsid w:val="00701DCE"/>
    <w:rsid w:val="00706DA1"/>
    <w:rsid w:val="00707D76"/>
    <w:rsid w:val="00711A6C"/>
    <w:rsid w:val="00711B02"/>
    <w:rsid w:val="007123AB"/>
    <w:rsid w:val="00713071"/>
    <w:rsid w:val="00713F6C"/>
    <w:rsid w:val="0071533E"/>
    <w:rsid w:val="007205D6"/>
    <w:rsid w:val="0072370B"/>
    <w:rsid w:val="00723803"/>
    <w:rsid w:val="0072386D"/>
    <w:rsid w:val="0072455A"/>
    <w:rsid w:val="00730555"/>
    <w:rsid w:val="00732329"/>
    <w:rsid w:val="00732925"/>
    <w:rsid w:val="00735476"/>
    <w:rsid w:val="00736F2C"/>
    <w:rsid w:val="007373AB"/>
    <w:rsid w:val="00737C0D"/>
    <w:rsid w:val="00737FA7"/>
    <w:rsid w:val="007402D4"/>
    <w:rsid w:val="00745193"/>
    <w:rsid w:val="007452BB"/>
    <w:rsid w:val="007512EF"/>
    <w:rsid w:val="007530CF"/>
    <w:rsid w:val="00753599"/>
    <w:rsid w:val="00760FA7"/>
    <w:rsid w:val="00763770"/>
    <w:rsid w:val="007649B0"/>
    <w:rsid w:val="0076551F"/>
    <w:rsid w:val="00770024"/>
    <w:rsid w:val="00771D62"/>
    <w:rsid w:val="007727F3"/>
    <w:rsid w:val="00772966"/>
    <w:rsid w:val="00777276"/>
    <w:rsid w:val="00786AF2"/>
    <w:rsid w:val="00790963"/>
    <w:rsid w:val="00791C4C"/>
    <w:rsid w:val="00796EA0"/>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3B02"/>
    <w:rsid w:val="007D73E7"/>
    <w:rsid w:val="007E0B71"/>
    <w:rsid w:val="007E5206"/>
    <w:rsid w:val="007F061A"/>
    <w:rsid w:val="007F0F23"/>
    <w:rsid w:val="007F0F8D"/>
    <w:rsid w:val="007F14AA"/>
    <w:rsid w:val="007F192D"/>
    <w:rsid w:val="007F35F4"/>
    <w:rsid w:val="007F4994"/>
    <w:rsid w:val="0080033F"/>
    <w:rsid w:val="008010CC"/>
    <w:rsid w:val="008053E1"/>
    <w:rsid w:val="0080643C"/>
    <w:rsid w:val="00810916"/>
    <w:rsid w:val="00812499"/>
    <w:rsid w:val="00812D5E"/>
    <w:rsid w:val="00817023"/>
    <w:rsid w:val="00822422"/>
    <w:rsid w:val="00822CDD"/>
    <w:rsid w:val="008246D2"/>
    <w:rsid w:val="00824F09"/>
    <w:rsid w:val="00833C79"/>
    <w:rsid w:val="0083656B"/>
    <w:rsid w:val="008425CB"/>
    <w:rsid w:val="00844075"/>
    <w:rsid w:val="008440D2"/>
    <w:rsid w:val="00852A6E"/>
    <w:rsid w:val="00853416"/>
    <w:rsid w:val="00855C40"/>
    <w:rsid w:val="008620B6"/>
    <w:rsid w:val="008629E2"/>
    <w:rsid w:val="00864DA9"/>
    <w:rsid w:val="00866988"/>
    <w:rsid w:val="00870269"/>
    <w:rsid w:val="00870BF1"/>
    <w:rsid w:val="00871DAD"/>
    <w:rsid w:val="008754E8"/>
    <w:rsid w:val="00880B79"/>
    <w:rsid w:val="00880E69"/>
    <w:rsid w:val="0088269E"/>
    <w:rsid w:val="008828B1"/>
    <w:rsid w:val="00883DDC"/>
    <w:rsid w:val="008847D8"/>
    <w:rsid w:val="00886196"/>
    <w:rsid w:val="008866BA"/>
    <w:rsid w:val="00887FD9"/>
    <w:rsid w:val="008917AF"/>
    <w:rsid w:val="008931C3"/>
    <w:rsid w:val="00895CA2"/>
    <w:rsid w:val="008A3D6B"/>
    <w:rsid w:val="008A411D"/>
    <w:rsid w:val="008B0468"/>
    <w:rsid w:val="008B3429"/>
    <w:rsid w:val="008B522C"/>
    <w:rsid w:val="008C1889"/>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1138"/>
    <w:rsid w:val="00927A04"/>
    <w:rsid w:val="00931169"/>
    <w:rsid w:val="009317FD"/>
    <w:rsid w:val="009320F4"/>
    <w:rsid w:val="00932EF4"/>
    <w:rsid w:val="009356B6"/>
    <w:rsid w:val="00937751"/>
    <w:rsid w:val="009378CC"/>
    <w:rsid w:val="00940413"/>
    <w:rsid w:val="009415D1"/>
    <w:rsid w:val="00945EA3"/>
    <w:rsid w:val="0094664F"/>
    <w:rsid w:val="00947A47"/>
    <w:rsid w:val="00950332"/>
    <w:rsid w:val="00951F14"/>
    <w:rsid w:val="00955110"/>
    <w:rsid w:val="0096077A"/>
    <w:rsid w:val="00961C56"/>
    <w:rsid w:val="009653A9"/>
    <w:rsid w:val="0096592A"/>
    <w:rsid w:val="00966600"/>
    <w:rsid w:val="00966908"/>
    <w:rsid w:val="00971ACE"/>
    <w:rsid w:val="00974497"/>
    <w:rsid w:val="00974570"/>
    <w:rsid w:val="009769AC"/>
    <w:rsid w:val="009769E5"/>
    <w:rsid w:val="00976B45"/>
    <w:rsid w:val="00980B04"/>
    <w:rsid w:val="00984F00"/>
    <w:rsid w:val="00985F1E"/>
    <w:rsid w:val="009920F4"/>
    <w:rsid w:val="00993069"/>
    <w:rsid w:val="009965DC"/>
    <w:rsid w:val="00996B1F"/>
    <w:rsid w:val="009A01A7"/>
    <w:rsid w:val="009A0C2D"/>
    <w:rsid w:val="009A0F52"/>
    <w:rsid w:val="009A3E7B"/>
    <w:rsid w:val="009A4885"/>
    <w:rsid w:val="009B7118"/>
    <w:rsid w:val="009B7630"/>
    <w:rsid w:val="009C02E6"/>
    <w:rsid w:val="009C090A"/>
    <w:rsid w:val="009C0EF1"/>
    <w:rsid w:val="009C2C17"/>
    <w:rsid w:val="009C3BAE"/>
    <w:rsid w:val="009C67BD"/>
    <w:rsid w:val="009C68DB"/>
    <w:rsid w:val="009D05FD"/>
    <w:rsid w:val="009D1FE0"/>
    <w:rsid w:val="009D5E39"/>
    <w:rsid w:val="009E03AF"/>
    <w:rsid w:val="009E07CB"/>
    <w:rsid w:val="009E3C6B"/>
    <w:rsid w:val="009E5605"/>
    <w:rsid w:val="009E62F3"/>
    <w:rsid w:val="009F05E4"/>
    <w:rsid w:val="009F0EFB"/>
    <w:rsid w:val="009F174D"/>
    <w:rsid w:val="009F2B9A"/>
    <w:rsid w:val="009F4E59"/>
    <w:rsid w:val="009F6434"/>
    <w:rsid w:val="009F699B"/>
    <w:rsid w:val="00A000E5"/>
    <w:rsid w:val="00A01CD2"/>
    <w:rsid w:val="00A01D4E"/>
    <w:rsid w:val="00A07584"/>
    <w:rsid w:val="00A10B0E"/>
    <w:rsid w:val="00A14C6C"/>
    <w:rsid w:val="00A151C5"/>
    <w:rsid w:val="00A17669"/>
    <w:rsid w:val="00A23437"/>
    <w:rsid w:val="00A27DA7"/>
    <w:rsid w:val="00A27E95"/>
    <w:rsid w:val="00A31857"/>
    <w:rsid w:val="00A3238F"/>
    <w:rsid w:val="00A333C4"/>
    <w:rsid w:val="00A336F6"/>
    <w:rsid w:val="00A34747"/>
    <w:rsid w:val="00A36396"/>
    <w:rsid w:val="00A36A29"/>
    <w:rsid w:val="00A37988"/>
    <w:rsid w:val="00A42178"/>
    <w:rsid w:val="00A42664"/>
    <w:rsid w:val="00A4389C"/>
    <w:rsid w:val="00A439B4"/>
    <w:rsid w:val="00A43D86"/>
    <w:rsid w:val="00A4422E"/>
    <w:rsid w:val="00A47A22"/>
    <w:rsid w:val="00A50935"/>
    <w:rsid w:val="00A518D7"/>
    <w:rsid w:val="00A52D06"/>
    <w:rsid w:val="00A53844"/>
    <w:rsid w:val="00A5421C"/>
    <w:rsid w:val="00A543A8"/>
    <w:rsid w:val="00A564D4"/>
    <w:rsid w:val="00A56C66"/>
    <w:rsid w:val="00A604ED"/>
    <w:rsid w:val="00A60D05"/>
    <w:rsid w:val="00A646EB"/>
    <w:rsid w:val="00A64B56"/>
    <w:rsid w:val="00A67966"/>
    <w:rsid w:val="00A67B8E"/>
    <w:rsid w:val="00A71008"/>
    <w:rsid w:val="00A71B70"/>
    <w:rsid w:val="00A7382E"/>
    <w:rsid w:val="00A73890"/>
    <w:rsid w:val="00A7447D"/>
    <w:rsid w:val="00A756D4"/>
    <w:rsid w:val="00A7694F"/>
    <w:rsid w:val="00A80023"/>
    <w:rsid w:val="00A8033E"/>
    <w:rsid w:val="00A81CD5"/>
    <w:rsid w:val="00A83509"/>
    <w:rsid w:val="00A877CE"/>
    <w:rsid w:val="00A90836"/>
    <w:rsid w:val="00A92E71"/>
    <w:rsid w:val="00A93C1E"/>
    <w:rsid w:val="00AA0F7A"/>
    <w:rsid w:val="00AA2271"/>
    <w:rsid w:val="00AA3A47"/>
    <w:rsid w:val="00AA5AB9"/>
    <w:rsid w:val="00AA7C5A"/>
    <w:rsid w:val="00AB48DB"/>
    <w:rsid w:val="00AB4E78"/>
    <w:rsid w:val="00AB750C"/>
    <w:rsid w:val="00AC03C0"/>
    <w:rsid w:val="00AC0457"/>
    <w:rsid w:val="00AC1EEB"/>
    <w:rsid w:val="00AC7B90"/>
    <w:rsid w:val="00AD15B2"/>
    <w:rsid w:val="00AD1B6D"/>
    <w:rsid w:val="00AD2818"/>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5B22"/>
    <w:rsid w:val="00B16A20"/>
    <w:rsid w:val="00B16B8D"/>
    <w:rsid w:val="00B17BFD"/>
    <w:rsid w:val="00B21F18"/>
    <w:rsid w:val="00B2343C"/>
    <w:rsid w:val="00B24380"/>
    <w:rsid w:val="00B25ADB"/>
    <w:rsid w:val="00B31DB4"/>
    <w:rsid w:val="00B33FE9"/>
    <w:rsid w:val="00B35A44"/>
    <w:rsid w:val="00B36255"/>
    <w:rsid w:val="00B41D89"/>
    <w:rsid w:val="00B42674"/>
    <w:rsid w:val="00B43AFF"/>
    <w:rsid w:val="00B43EFA"/>
    <w:rsid w:val="00B45D24"/>
    <w:rsid w:val="00B46A35"/>
    <w:rsid w:val="00B46C69"/>
    <w:rsid w:val="00B5040C"/>
    <w:rsid w:val="00B543C0"/>
    <w:rsid w:val="00B55F30"/>
    <w:rsid w:val="00B6042B"/>
    <w:rsid w:val="00B621D8"/>
    <w:rsid w:val="00B628B4"/>
    <w:rsid w:val="00B64756"/>
    <w:rsid w:val="00B6477E"/>
    <w:rsid w:val="00B75A40"/>
    <w:rsid w:val="00B766CE"/>
    <w:rsid w:val="00B77E25"/>
    <w:rsid w:val="00B80BF4"/>
    <w:rsid w:val="00B81467"/>
    <w:rsid w:val="00B850B6"/>
    <w:rsid w:val="00B87B32"/>
    <w:rsid w:val="00B92951"/>
    <w:rsid w:val="00B950BA"/>
    <w:rsid w:val="00B961C1"/>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4E0F"/>
    <w:rsid w:val="00C05032"/>
    <w:rsid w:val="00C057C5"/>
    <w:rsid w:val="00C05D30"/>
    <w:rsid w:val="00C075F2"/>
    <w:rsid w:val="00C10297"/>
    <w:rsid w:val="00C1046A"/>
    <w:rsid w:val="00C14D32"/>
    <w:rsid w:val="00C202BE"/>
    <w:rsid w:val="00C2128A"/>
    <w:rsid w:val="00C24639"/>
    <w:rsid w:val="00C27E56"/>
    <w:rsid w:val="00C32A3B"/>
    <w:rsid w:val="00C32C55"/>
    <w:rsid w:val="00C3316F"/>
    <w:rsid w:val="00C37BD6"/>
    <w:rsid w:val="00C417B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77EDC"/>
    <w:rsid w:val="00C84359"/>
    <w:rsid w:val="00C85DC1"/>
    <w:rsid w:val="00C9433A"/>
    <w:rsid w:val="00C95D87"/>
    <w:rsid w:val="00CA1572"/>
    <w:rsid w:val="00CA24B1"/>
    <w:rsid w:val="00CA36AC"/>
    <w:rsid w:val="00CA40CE"/>
    <w:rsid w:val="00CA5DE2"/>
    <w:rsid w:val="00CA6819"/>
    <w:rsid w:val="00CB4348"/>
    <w:rsid w:val="00CB50B3"/>
    <w:rsid w:val="00CC0462"/>
    <w:rsid w:val="00CC24A4"/>
    <w:rsid w:val="00CC2816"/>
    <w:rsid w:val="00CC4151"/>
    <w:rsid w:val="00CC4363"/>
    <w:rsid w:val="00CC51F7"/>
    <w:rsid w:val="00CC73FA"/>
    <w:rsid w:val="00CD429B"/>
    <w:rsid w:val="00CD586D"/>
    <w:rsid w:val="00CD5B13"/>
    <w:rsid w:val="00CD5DAD"/>
    <w:rsid w:val="00CD799C"/>
    <w:rsid w:val="00CF258F"/>
    <w:rsid w:val="00CF2957"/>
    <w:rsid w:val="00CF4591"/>
    <w:rsid w:val="00D000EF"/>
    <w:rsid w:val="00D0031E"/>
    <w:rsid w:val="00D0052B"/>
    <w:rsid w:val="00D00AFA"/>
    <w:rsid w:val="00D0193F"/>
    <w:rsid w:val="00D01A47"/>
    <w:rsid w:val="00D022A0"/>
    <w:rsid w:val="00D02837"/>
    <w:rsid w:val="00D05E59"/>
    <w:rsid w:val="00D06258"/>
    <w:rsid w:val="00D15481"/>
    <w:rsid w:val="00D16A16"/>
    <w:rsid w:val="00D211A0"/>
    <w:rsid w:val="00D21631"/>
    <w:rsid w:val="00D22DB1"/>
    <w:rsid w:val="00D27C11"/>
    <w:rsid w:val="00D31280"/>
    <w:rsid w:val="00D347F0"/>
    <w:rsid w:val="00D34D99"/>
    <w:rsid w:val="00D35B12"/>
    <w:rsid w:val="00D35D58"/>
    <w:rsid w:val="00D42233"/>
    <w:rsid w:val="00D42AB1"/>
    <w:rsid w:val="00D4616F"/>
    <w:rsid w:val="00D46E5B"/>
    <w:rsid w:val="00D47DD9"/>
    <w:rsid w:val="00D50126"/>
    <w:rsid w:val="00D50D76"/>
    <w:rsid w:val="00D52815"/>
    <w:rsid w:val="00D56CE1"/>
    <w:rsid w:val="00D57E1E"/>
    <w:rsid w:val="00D60C40"/>
    <w:rsid w:val="00D60C72"/>
    <w:rsid w:val="00D6132D"/>
    <w:rsid w:val="00D63900"/>
    <w:rsid w:val="00D63E11"/>
    <w:rsid w:val="00D675E1"/>
    <w:rsid w:val="00D723EA"/>
    <w:rsid w:val="00D75042"/>
    <w:rsid w:val="00D754AF"/>
    <w:rsid w:val="00D76378"/>
    <w:rsid w:val="00D76522"/>
    <w:rsid w:val="00D80056"/>
    <w:rsid w:val="00D830A3"/>
    <w:rsid w:val="00D85FA3"/>
    <w:rsid w:val="00D86CDE"/>
    <w:rsid w:val="00D962DC"/>
    <w:rsid w:val="00DA35E4"/>
    <w:rsid w:val="00DA49AB"/>
    <w:rsid w:val="00DA4D9B"/>
    <w:rsid w:val="00DB294A"/>
    <w:rsid w:val="00DB2EB6"/>
    <w:rsid w:val="00DB2F1B"/>
    <w:rsid w:val="00DB4E2B"/>
    <w:rsid w:val="00DB67AA"/>
    <w:rsid w:val="00DC2583"/>
    <w:rsid w:val="00DC4508"/>
    <w:rsid w:val="00DC506A"/>
    <w:rsid w:val="00DC6257"/>
    <w:rsid w:val="00DC7148"/>
    <w:rsid w:val="00DC7370"/>
    <w:rsid w:val="00DC7383"/>
    <w:rsid w:val="00DD284F"/>
    <w:rsid w:val="00DD3155"/>
    <w:rsid w:val="00DD7F62"/>
    <w:rsid w:val="00DE05CC"/>
    <w:rsid w:val="00DE1E27"/>
    <w:rsid w:val="00DE4DFA"/>
    <w:rsid w:val="00DE6AAD"/>
    <w:rsid w:val="00DE75EE"/>
    <w:rsid w:val="00DF2148"/>
    <w:rsid w:val="00DF3CD2"/>
    <w:rsid w:val="00DF42CE"/>
    <w:rsid w:val="00DF64EA"/>
    <w:rsid w:val="00DF6E10"/>
    <w:rsid w:val="00DF7D14"/>
    <w:rsid w:val="00E00366"/>
    <w:rsid w:val="00E01399"/>
    <w:rsid w:val="00E02662"/>
    <w:rsid w:val="00E06F2A"/>
    <w:rsid w:val="00E06FFB"/>
    <w:rsid w:val="00E077AC"/>
    <w:rsid w:val="00E1255E"/>
    <w:rsid w:val="00E14491"/>
    <w:rsid w:val="00E145B0"/>
    <w:rsid w:val="00E164A7"/>
    <w:rsid w:val="00E2156D"/>
    <w:rsid w:val="00E2271F"/>
    <w:rsid w:val="00E22EDB"/>
    <w:rsid w:val="00E27080"/>
    <w:rsid w:val="00E27761"/>
    <w:rsid w:val="00E35565"/>
    <w:rsid w:val="00E36A5B"/>
    <w:rsid w:val="00E36D38"/>
    <w:rsid w:val="00E42F0D"/>
    <w:rsid w:val="00E44948"/>
    <w:rsid w:val="00E47478"/>
    <w:rsid w:val="00E50C86"/>
    <w:rsid w:val="00E51900"/>
    <w:rsid w:val="00E56440"/>
    <w:rsid w:val="00E612DC"/>
    <w:rsid w:val="00E6209E"/>
    <w:rsid w:val="00E64744"/>
    <w:rsid w:val="00E658F4"/>
    <w:rsid w:val="00E65CC7"/>
    <w:rsid w:val="00E739B1"/>
    <w:rsid w:val="00E76954"/>
    <w:rsid w:val="00E82A7D"/>
    <w:rsid w:val="00E841BB"/>
    <w:rsid w:val="00E846A5"/>
    <w:rsid w:val="00E849C5"/>
    <w:rsid w:val="00E85305"/>
    <w:rsid w:val="00E862DA"/>
    <w:rsid w:val="00E87615"/>
    <w:rsid w:val="00E87B8C"/>
    <w:rsid w:val="00E92FB3"/>
    <w:rsid w:val="00E93BF9"/>
    <w:rsid w:val="00E966B6"/>
    <w:rsid w:val="00EA1AC7"/>
    <w:rsid w:val="00EA3C1F"/>
    <w:rsid w:val="00EA661B"/>
    <w:rsid w:val="00EB368D"/>
    <w:rsid w:val="00EB6826"/>
    <w:rsid w:val="00EC5D5A"/>
    <w:rsid w:val="00EC6D60"/>
    <w:rsid w:val="00ED0DF6"/>
    <w:rsid w:val="00ED78C0"/>
    <w:rsid w:val="00EE093C"/>
    <w:rsid w:val="00EE0D99"/>
    <w:rsid w:val="00EE1FB5"/>
    <w:rsid w:val="00EE20CB"/>
    <w:rsid w:val="00EE20FD"/>
    <w:rsid w:val="00EE2AB1"/>
    <w:rsid w:val="00EE7D3B"/>
    <w:rsid w:val="00EF161F"/>
    <w:rsid w:val="00EF506B"/>
    <w:rsid w:val="00F02BF9"/>
    <w:rsid w:val="00F045F5"/>
    <w:rsid w:val="00F05F9E"/>
    <w:rsid w:val="00F101EC"/>
    <w:rsid w:val="00F13E7D"/>
    <w:rsid w:val="00F141FF"/>
    <w:rsid w:val="00F14B9F"/>
    <w:rsid w:val="00F15E30"/>
    <w:rsid w:val="00F17188"/>
    <w:rsid w:val="00F238ED"/>
    <w:rsid w:val="00F25CBE"/>
    <w:rsid w:val="00F275D4"/>
    <w:rsid w:val="00F27A86"/>
    <w:rsid w:val="00F325D7"/>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40AB"/>
    <w:rsid w:val="00F65662"/>
    <w:rsid w:val="00F673D8"/>
    <w:rsid w:val="00F70724"/>
    <w:rsid w:val="00F73479"/>
    <w:rsid w:val="00F73D8F"/>
    <w:rsid w:val="00F74163"/>
    <w:rsid w:val="00F745B7"/>
    <w:rsid w:val="00F75CBB"/>
    <w:rsid w:val="00F81501"/>
    <w:rsid w:val="00F83139"/>
    <w:rsid w:val="00F83EE6"/>
    <w:rsid w:val="00F84AA6"/>
    <w:rsid w:val="00F85866"/>
    <w:rsid w:val="00F90498"/>
    <w:rsid w:val="00F92B24"/>
    <w:rsid w:val="00F97DD5"/>
    <w:rsid w:val="00FA11D7"/>
    <w:rsid w:val="00FA2847"/>
    <w:rsid w:val="00FA32C4"/>
    <w:rsid w:val="00FA3439"/>
    <w:rsid w:val="00FA6AD3"/>
    <w:rsid w:val="00FB0D7C"/>
    <w:rsid w:val="00FB162D"/>
    <w:rsid w:val="00FB1C2E"/>
    <w:rsid w:val="00FB3752"/>
    <w:rsid w:val="00FB4516"/>
    <w:rsid w:val="00FB63AE"/>
    <w:rsid w:val="00FC0B83"/>
    <w:rsid w:val="00FC2E8B"/>
    <w:rsid w:val="00FC39C7"/>
    <w:rsid w:val="00FC577A"/>
    <w:rsid w:val="00FD1BD7"/>
    <w:rsid w:val="00FD243B"/>
    <w:rsid w:val="00FD2488"/>
    <w:rsid w:val="00FD26C8"/>
    <w:rsid w:val="00FD29CC"/>
    <w:rsid w:val="00FD59E1"/>
    <w:rsid w:val="00FD735C"/>
    <w:rsid w:val="00FD7AF2"/>
    <w:rsid w:val="00FE1615"/>
    <w:rsid w:val="00FE2179"/>
    <w:rsid w:val="00FE21FE"/>
    <w:rsid w:val="00FE2B64"/>
    <w:rsid w:val="00FE3571"/>
    <w:rsid w:val="00FE67B4"/>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sid w:val="00EA661B"/>
    <w:pPr>
      <w:spacing w:before="120" w:after="120"/>
    </w:pPr>
    <w:rPr>
      <w:sz w:val="22"/>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EA661B"/>
    <w:rPr>
      <w:sz w:val="22"/>
    </w:rPr>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link w:val="Header"/>
    <w:rsid w:val="00B766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sid w:val="00EA661B"/>
    <w:pPr>
      <w:spacing w:before="120" w:after="120"/>
    </w:pPr>
    <w:rPr>
      <w:sz w:val="22"/>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EA661B"/>
    <w:rPr>
      <w:sz w:val="22"/>
    </w:rPr>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link w:val="Header"/>
    <w:rsid w:val="00B766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56969A49CE71428F1186DB24CADEB7" ma:contentTypeVersion="135" ma:contentTypeDescription="" ma:contentTypeScope="" ma:versionID="124fe2656d9d70d1acbf1802956791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2013-12-23T08:00:00+00:00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131603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D4F504-C8BE-4F8C-8326-12F1BA7420E5}"/>
</file>

<file path=customXml/itemProps2.xml><?xml version="1.0" encoding="utf-8"?>
<ds:datastoreItem xmlns:ds="http://schemas.openxmlformats.org/officeDocument/2006/customXml" ds:itemID="{C4A440F7-0A3B-4AE2-85CE-ECC540715870}"/>
</file>

<file path=customXml/itemProps3.xml><?xml version="1.0" encoding="utf-8"?>
<ds:datastoreItem xmlns:ds="http://schemas.openxmlformats.org/officeDocument/2006/customXml" ds:itemID="{DEA37DAA-B8E2-49C8-86DE-AAC28C2A433B}"/>
</file>

<file path=customXml/itemProps4.xml><?xml version="1.0" encoding="utf-8"?>
<ds:datastoreItem xmlns:ds="http://schemas.openxmlformats.org/officeDocument/2006/customXml" ds:itemID="{BEC0E170-A1E7-4693-86F8-1E6EDD32C8CC}"/>
</file>

<file path=customXml/itemProps5.xml><?xml version="1.0" encoding="utf-8"?>
<ds:datastoreItem xmlns:ds="http://schemas.openxmlformats.org/officeDocument/2006/customXml" ds:itemID="{05B1AE72-D27B-4CD8-ACC9-DD709F48D5E3}"/>
</file>

<file path=docProps/app.xml><?xml version="1.0" encoding="utf-8"?>
<Properties xmlns="http://schemas.openxmlformats.org/officeDocument/2006/extended-properties" xmlns:vt="http://schemas.openxmlformats.org/officeDocument/2006/docPropsVTypes">
  <Template>Normal</Template>
  <TotalTime>0</TotalTime>
  <Pages>13</Pages>
  <Words>3504</Words>
  <Characters>18792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2013-12-23T20:28:00Z</dcterms:created>
  <dcterms:modified xsi:type="dcterms:W3CDTF">2013-12-23T21:21:00Z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0x0101006E56B4D1795A2E4DB2F0B01679ED314A00C256969A49CE71428F1186DB24CADEB7</vt:lpwstr>
  </property>
  <property fmtid="{D5CDD505-2E9C-101B-9397-08002B2CF9AE}" pid="3" name="_docset_NoMedatataSyncRequired">
    <vt:lpwstr>False</vt:lpwstr>
  </property>
</Properties>
</file>