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1D" w:rsidRPr="003511CF" w:rsidRDefault="003511CF" w:rsidP="00301EBF">
      <w:pPr>
        <w:pStyle w:val="NoSpacing"/>
        <w:spacing w:line="288" w:lineRule="auto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 w:rsidRPr="003511CF">
        <w:rPr>
          <w:b/>
          <w:sz w:val="20"/>
          <w:szCs w:val="20"/>
        </w:rPr>
        <w:t>[Service Date April 18, 2012]</w:t>
      </w:r>
    </w:p>
    <w:p w:rsidR="000461EE" w:rsidRDefault="000461EE" w:rsidP="00301EBF">
      <w:pPr>
        <w:pStyle w:val="NoSpacing"/>
        <w:spacing w:line="288" w:lineRule="auto"/>
      </w:pPr>
    </w:p>
    <w:p w:rsidR="000461EE" w:rsidRDefault="000461EE" w:rsidP="00301EBF">
      <w:pPr>
        <w:pStyle w:val="NoSpacing"/>
        <w:spacing w:line="288" w:lineRule="auto"/>
      </w:pPr>
    </w:p>
    <w:p w:rsidR="000461EE" w:rsidRDefault="000461EE" w:rsidP="00301EBF">
      <w:pPr>
        <w:pStyle w:val="NoSpacing"/>
        <w:spacing w:line="288" w:lineRule="auto"/>
      </w:pPr>
    </w:p>
    <w:p w:rsidR="000461EE" w:rsidRDefault="000461EE" w:rsidP="00301EBF">
      <w:pPr>
        <w:pStyle w:val="NoSpacing"/>
        <w:spacing w:line="288" w:lineRule="auto"/>
      </w:pPr>
    </w:p>
    <w:p w:rsidR="000461EE" w:rsidRDefault="000461EE" w:rsidP="00301EBF">
      <w:pPr>
        <w:pStyle w:val="NoSpacing"/>
        <w:spacing w:line="288" w:lineRule="auto"/>
        <w:jc w:val="center"/>
      </w:pPr>
      <w:r>
        <w:t>April 1</w:t>
      </w:r>
      <w:r w:rsidR="00365238">
        <w:t>8</w:t>
      </w:r>
      <w:r>
        <w:t>, 2012</w:t>
      </w:r>
    </w:p>
    <w:p w:rsidR="000461EE" w:rsidRDefault="000461EE" w:rsidP="00301EBF">
      <w:pPr>
        <w:pStyle w:val="NoSpacing"/>
        <w:spacing w:line="288" w:lineRule="auto"/>
      </w:pPr>
    </w:p>
    <w:p w:rsidR="000461EE" w:rsidRPr="000461EE" w:rsidRDefault="000461EE" w:rsidP="00301EBF">
      <w:pPr>
        <w:pStyle w:val="NoSpacing"/>
        <w:spacing w:line="288" w:lineRule="auto"/>
        <w:jc w:val="center"/>
        <w:rPr>
          <w:b/>
        </w:rPr>
      </w:pPr>
      <w:r w:rsidRPr="000461EE">
        <w:rPr>
          <w:b/>
        </w:rPr>
        <w:t>NOTICE REVISING PROCEDURAL SCHEDULE</w:t>
      </w:r>
    </w:p>
    <w:p w:rsidR="000461EE" w:rsidRDefault="000461EE" w:rsidP="00301EBF">
      <w:pPr>
        <w:pStyle w:val="NoSpacing"/>
        <w:spacing w:line="288" w:lineRule="auto"/>
      </w:pPr>
    </w:p>
    <w:p w:rsidR="000461EE" w:rsidRDefault="000461EE" w:rsidP="00301EBF">
      <w:pPr>
        <w:pStyle w:val="NoSpacing"/>
        <w:spacing w:line="288" w:lineRule="auto"/>
        <w:ind w:left="720" w:hanging="720"/>
      </w:pPr>
      <w:r>
        <w:t>Re:</w:t>
      </w:r>
      <w:r>
        <w:tab/>
      </w:r>
      <w:r w:rsidRPr="000461EE">
        <w:rPr>
          <w:i/>
        </w:rPr>
        <w:t>In the Matter of the Application of W</w:t>
      </w:r>
      <w:r w:rsidR="00301EBF">
        <w:rPr>
          <w:i/>
        </w:rPr>
        <w:t>ASTE MANAGEMENT, INC.</w:t>
      </w:r>
      <w:r w:rsidRPr="000461EE">
        <w:rPr>
          <w:i/>
        </w:rPr>
        <w:t>, d/b/a WM H</w:t>
      </w:r>
      <w:r w:rsidR="00301EBF">
        <w:rPr>
          <w:i/>
        </w:rPr>
        <w:t>EALTHCARE SOLUTIONS OF WASHINGTON</w:t>
      </w:r>
      <w:r w:rsidRPr="000461EE">
        <w:rPr>
          <w:i/>
        </w:rPr>
        <w:t xml:space="preserve"> </w:t>
      </w:r>
      <w:r w:rsidR="00301EBF">
        <w:rPr>
          <w:i/>
        </w:rPr>
        <w:t>F</w:t>
      </w:r>
      <w:r w:rsidRPr="000461EE">
        <w:rPr>
          <w:i/>
        </w:rPr>
        <w:t xml:space="preserve">or an Extension of Certificate G-237 </w:t>
      </w:r>
      <w:r w:rsidR="00301EBF">
        <w:rPr>
          <w:i/>
        </w:rPr>
        <w:t>F</w:t>
      </w:r>
      <w:r w:rsidRPr="000461EE">
        <w:rPr>
          <w:i/>
        </w:rPr>
        <w:t>or a Certificate of Public Convenience and Necessity to Operate Motor Vehicles in Furnishing Solid Waste Collection Services</w:t>
      </w:r>
      <w:r>
        <w:t>, Docket TG-120033</w:t>
      </w:r>
    </w:p>
    <w:p w:rsidR="000461EE" w:rsidRDefault="000461EE" w:rsidP="00301EBF">
      <w:pPr>
        <w:pStyle w:val="NoSpacing"/>
        <w:spacing w:line="288" w:lineRule="auto"/>
      </w:pPr>
    </w:p>
    <w:p w:rsidR="000461EE" w:rsidRDefault="000461EE" w:rsidP="00301EBF">
      <w:pPr>
        <w:pStyle w:val="NoSpacing"/>
        <w:spacing w:line="288" w:lineRule="auto"/>
      </w:pPr>
      <w:r>
        <w:t>TO ALL PARTIES:</w:t>
      </w:r>
    </w:p>
    <w:p w:rsidR="000461EE" w:rsidRDefault="000461EE" w:rsidP="00301EBF">
      <w:pPr>
        <w:pStyle w:val="NoSpacing"/>
        <w:spacing w:line="288" w:lineRule="auto"/>
      </w:pPr>
    </w:p>
    <w:p w:rsidR="000461EE" w:rsidRDefault="000461EE" w:rsidP="00301EBF">
      <w:pPr>
        <w:pStyle w:val="NoSpacing"/>
        <w:spacing w:line="288" w:lineRule="auto"/>
      </w:pPr>
      <w:r>
        <w:t>On April 16, 2012, the Washington Utilities and Transportation Commission (Commission) issued Order 01 in the above-referenced docket establishing a procedural schedule.</w:t>
      </w:r>
    </w:p>
    <w:p w:rsidR="000461EE" w:rsidRDefault="000461EE" w:rsidP="00301EBF">
      <w:pPr>
        <w:pStyle w:val="NoSpacing"/>
        <w:spacing w:line="288" w:lineRule="auto"/>
      </w:pPr>
    </w:p>
    <w:p w:rsidR="00BF4BBA" w:rsidRDefault="00BF4BBA" w:rsidP="00301EBF">
      <w:pPr>
        <w:pStyle w:val="NoSpacing"/>
        <w:spacing w:line="288" w:lineRule="auto"/>
      </w:pPr>
      <w:r>
        <w:t xml:space="preserve">Counsel for </w:t>
      </w:r>
      <w:r w:rsidR="000461EE">
        <w:t xml:space="preserve">Waste Management of Washington, Inc. d/b/a WM Healthcare Solutions of Washington </w:t>
      </w:r>
      <w:r>
        <w:t>and counsel for</w:t>
      </w:r>
      <w:r w:rsidR="007801E4">
        <w:t xml:space="preserve"> </w:t>
      </w:r>
      <w:proofErr w:type="spellStart"/>
      <w:r w:rsidR="00245450">
        <w:t>Stericycle</w:t>
      </w:r>
      <w:proofErr w:type="spellEnd"/>
      <w:r w:rsidR="00245450">
        <w:t xml:space="preserve"> of Washington, Inc.</w:t>
      </w:r>
      <w:r>
        <w:t>,</w:t>
      </w:r>
      <w:r w:rsidR="00245450">
        <w:t xml:space="preserve"> </w:t>
      </w:r>
      <w:r>
        <w:t xml:space="preserve">subsequently contacted the administrative law judge and </w:t>
      </w:r>
      <w:r w:rsidR="00245450">
        <w:t>request</w:t>
      </w:r>
      <w:r>
        <w:t xml:space="preserve">ed </w:t>
      </w:r>
      <w:r w:rsidR="008720A5">
        <w:t>changes</w:t>
      </w:r>
      <w:r>
        <w:t xml:space="preserve"> to the procedural schedule to accommodate scheduling conflicts, including the Yom Kippur holidays</w:t>
      </w:r>
      <w:r w:rsidR="00245450">
        <w:t>.</w:t>
      </w:r>
      <w:r w:rsidR="00C73DA0">
        <w:t xml:space="preserve">  </w:t>
      </w:r>
      <w:r w:rsidR="00B77D74">
        <w:t>A</w:t>
      </w:r>
      <w:r w:rsidR="00301EBF">
        <w:t xml:space="preserve">ll parties </w:t>
      </w:r>
      <w:r w:rsidR="00B77D74">
        <w:t xml:space="preserve">have </w:t>
      </w:r>
      <w:r w:rsidR="00301EBF">
        <w:t>indicate</w:t>
      </w:r>
      <w:r w:rsidR="00B77D74">
        <w:t>d</w:t>
      </w:r>
      <w:r w:rsidR="00C73DA0">
        <w:t xml:space="preserve"> that </w:t>
      </w:r>
      <w:r w:rsidR="00301EBF">
        <w:t>they have</w:t>
      </w:r>
      <w:r w:rsidR="00C73DA0">
        <w:t xml:space="preserve"> no objection to the proposed </w:t>
      </w:r>
      <w:r w:rsidR="00301EBF">
        <w:t xml:space="preserve">schedule </w:t>
      </w:r>
      <w:r w:rsidR="00C73DA0">
        <w:t>changes.</w:t>
      </w:r>
      <w:r w:rsidR="00301EBF">
        <w:t xml:space="preserve">  </w:t>
      </w:r>
    </w:p>
    <w:p w:rsidR="007801E4" w:rsidRDefault="007801E4" w:rsidP="00301EBF">
      <w:pPr>
        <w:pStyle w:val="NoSpacing"/>
        <w:spacing w:line="288" w:lineRule="auto"/>
      </w:pPr>
    </w:p>
    <w:p w:rsidR="00C73DA0" w:rsidRDefault="00C73DA0" w:rsidP="00301EBF">
      <w:pPr>
        <w:pStyle w:val="NoSpacing"/>
        <w:spacing w:line="288" w:lineRule="auto"/>
        <w:rPr>
          <w:szCs w:val="25"/>
        </w:rPr>
      </w:pPr>
      <w:r>
        <w:rPr>
          <w:rFonts w:cs="Times New Roman"/>
          <w:szCs w:val="25"/>
        </w:rPr>
        <w:t xml:space="preserve">The Commission finds that </w:t>
      </w:r>
      <w:r>
        <w:rPr>
          <w:szCs w:val="25"/>
        </w:rPr>
        <w:t>Waste Management and Stericycle have</w:t>
      </w:r>
      <w:r>
        <w:rPr>
          <w:rFonts w:cs="Times New Roman"/>
          <w:szCs w:val="25"/>
        </w:rPr>
        <w:t xml:space="preserve"> demonstrated good cause to extend the filing deadline</w:t>
      </w:r>
      <w:r>
        <w:rPr>
          <w:szCs w:val="25"/>
        </w:rPr>
        <w:t>s</w:t>
      </w:r>
      <w:r>
        <w:rPr>
          <w:rFonts w:cs="Times New Roman"/>
          <w:szCs w:val="25"/>
        </w:rPr>
        <w:t xml:space="preserve"> and grants the request</w:t>
      </w:r>
      <w:r>
        <w:rPr>
          <w:szCs w:val="25"/>
        </w:rPr>
        <w:t>s</w:t>
      </w:r>
      <w:r>
        <w:rPr>
          <w:rFonts w:cs="Times New Roman"/>
          <w:szCs w:val="25"/>
        </w:rPr>
        <w:t>.</w:t>
      </w:r>
      <w:r w:rsidR="00A86330">
        <w:rPr>
          <w:szCs w:val="25"/>
        </w:rPr>
        <w:t xml:space="preserve">  </w:t>
      </w:r>
    </w:p>
    <w:p w:rsidR="00C73DA0" w:rsidRDefault="00C73DA0" w:rsidP="00301EBF">
      <w:pPr>
        <w:spacing w:line="288" w:lineRule="auto"/>
        <w:rPr>
          <w:sz w:val="25"/>
          <w:szCs w:val="25"/>
        </w:rPr>
      </w:pPr>
    </w:p>
    <w:p w:rsidR="00C73DA0" w:rsidRPr="00A86330" w:rsidRDefault="00A86330" w:rsidP="00301EBF">
      <w:pPr>
        <w:spacing w:line="288" w:lineRule="auto"/>
        <w:rPr>
          <w:b/>
          <w:sz w:val="25"/>
          <w:szCs w:val="25"/>
        </w:rPr>
      </w:pPr>
      <w:r w:rsidRPr="00A86330">
        <w:rPr>
          <w:b/>
          <w:sz w:val="25"/>
          <w:szCs w:val="25"/>
        </w:rPr>
        <w:t xml:space="preserve">PLEASE TAKE NOTICE That the Commission adopts the revised procedural schedule as set forth and attached </w:t>
      </w:r>
      <w:r w:rsidR="00301EBF">
        <w:rPr>
          <w:b/>
          <w:sz w:val="25"/>
          <w:szCs w:val="25"/>
        </w:rPr>
        <w:t>as</w:t>
      </w:r>
      <w:r w:rsidRPr="00A86330">
        <w:rPr>
          <w:b/>
          <w:sz w:val="25"/>
          <w:szCs w:val="25"/>
        </w:rPr>
        <w:t xml:space="preserve"> Appendix B.</w:t>
      </w:r>
      <w:r w:rsidR="00301EBF">
        <w:rPr>
          <w:b/>
          <w:sz w:val="25"/>
          <w:szCs w:val="25"/>
        </w:rPr>
        <w:t xml:space="preserve">  </w:t>
      </w:r>
    </w:p>
    <w:p w:rsidR="00C73DA0" w:rsidRDefault="00C73DA0" w:rsidP="00301EBF">
      <w:pPr>
        <w:pStyle w:val="NoSpacing"/>
        <w:spacing w:line="288" w:lineRule="auto"/>
      </w:pPr>
    </w:p>
    <w:p w:rsidR="00A86330" w:rsidRDefault="00A86330" w:rsidP="00301EBF">
      <w:pPr>
        <w:pStyle w:val="NoSpacing"/>
        <w:spacing w:line="288" w:lineRule="auto"/>
      </w:pPr>
      <w:r>
        <w:t>Sincerely,</w:t>
      </w:r>
    </w:p>
    <w:p w:rsidR="00A86330" w:rsidRDefault="00A86330" w:rsidP="00301EBF">
      <w:pPr>
        <w:pStyle w:val="NoSpacing"/>
        <w:spacing w:line="288" w:lineRule="auto"/>
      </w:pPr>
    </w:p>
    <w:p w:rsidR="00A86330" w:rsidRDefault="00A86330" w:rsidP="00301EBF">
      <w:pPr>
        <w:pStyle w:val="NoSpacing"/>
        <w:spacing w:line="288" w:lineRule="auto"/>
      </w:pPr>
    </w:p>
    <w:p w:rsidR="00A86330" w:rsidRDefault="00A86330" w:rsidP="00301EBF">
      <w:pPr>
        <w:pStyle w:val="NoSpacing"/>
        <w:spacing w:line="288" w:lineRule="auto"/>
      </w:pPr>
      <w:r>
        <w:t>GREGORY J. KOPTA</w:t>
      </w:r>
    </w:p>
    <w:p w:rsidR="007801E4" w:rsidRDefault="00A86330" w:rsidP="007801E4">
      <w:pPr>
        <w:pStyle w:val="NoSpacing"/>
        <w:spacing w:line="288" w:lineRule="auto"/>
      </w:pPr>
      <w:r>
        <w:t>Administrative Law Judge</w:t>
      </w:r>
    </w:p>
    <w:p w:rsidR="00A86330" w:rsidRDefault="00A86330" w:rsidP="007801E4">
      <w:pPr>
        <w:pStyle w:val="NoSpacing"/>
        <w:spacing w:line="288" w:lineRule="auto"/>
      </w:pPr>
    </w:p>
    <w:p w:rsidR="00A86330" w:rsidRPr="00AB4520" w:rsidRDefault="00A86330" w:rsidP="00A86330">
      <w:pPr>
        <w:spacing w:line="264" w:lineRule="auto"/>
        <w:jc w:val="center"/>
        <w:rPr>
          <w:b/>
          <w:bCs/>
          <w:sz w:val="25"/>
          <w:szCs w:val="25"/>
        </w:rPr>
      </w:pPr>
      <w:r w:rsidRPr="00AB4520">
        <w:rPr>
          <w:b/>
          <w:bCs/>
          <w:sz w:val="25"/>
          <w:szCs w:val="25"/>
        </w:rPr>
        <w:t>APPENDIX B</w:t>
      </w:r>
    </w:p>
    <w:p w:rsidR="00A86330" w:rsidRPr="00AB4520" w:rsidRDefault="00A86330" w:rsidP="00A86330">
      <w:pPr>
        <w:pStyle w:val="Heading3"/>
        <w:ind w:left="0"/>
        <w:jc w:val="center"/>
        <w:rPr>
          <w:szCs w:val="25"/>
        </w:rPr>
      </w:pPr>
      <w:r w:rsidRPr="00AB4520">
        <w:rPr>
          <w:szCs w:val="25"/>
        </w:rPr>
        <w:t>PROCEDURAL SCHEDULE</w:t>
      </w:r>
      <w:r>
        <w:rPr>
          <w:szCs w:val="25"/>
        </w:rPr>
        <w:t xml:space="preserve"> (Revised)</w:t>
      </w:r>
    </w:p>
    <w:p w:rsidR="00A86330" w:rsidRPr="00AB4520" w:rsidRDefault="00A86330" w:rsidP="00A86330">
      <w:pPr>
        <w:spacing w:line="264" w:lineRule="auto"/>
        <w:jc w:val="center"/>
        <w:rPr>
          <w:b/>
          <w:bCs/>
          <w:sz w:val="25"/>
          <w:szCs w:val="25"/>
        </w:rPr>
      </w:pPr>
      <w:r w:rsidRPr="00AB4520">
        <w:rPr>
          <w:b/>
          <w:bCs/>
          <w:sz w:val="25"/>
          <w:szCs w:val="25"/>
        </w:rPr>
        <w:t>DOCKET TG-1</w:t>
      </w:r>
      <w:r>
        <w:rPr>
          <w:b/>
          <w:bCs/>
          <w:sz w:val="25"/>
          <w:szCs w:val="25"/>
        </w:rPr>
        <w:t>20033</w:t>
      </w:r>
    </w:p>
    <w:p w:rsidR="00A86330" w:rsidRPr="00AB4520" w:rsidRDefault="00A86330" w:rsidP="00A86330">
      <w:pPr>
        <w:spacing w:line="264" w:lineRule="auto"/>
        <w:rPr>
          <w:sz w:val="25"/>
          <w:szCs w:val="25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610"/>
        <w:gridCol w:w="2610"/>
      </w:tblGrid>
      <w:tr w:rsidR="00A86330" w:rsidRPr="00AB4520" w:rsidTr="00301EBF">
        <w:trPr>
          <w:cantSplit/>
        </w:trPr>
        <w:tc>
          <w:tcPr>
            <w:tcW w:w="333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shd w:val="pct12" w:color="auto" w:fill="auto"/>
          </w:tcPr>
          <w:p w:rsidR="00A86330" w:rsidRPr="00AB4520" w:rsidRDefault="00A86330" w:rsidP="00A86330">
            <w:pPr>
              <w:pStyle w:val="Heading2"/>
              <w:spacing w:before="0" w:line="240" w:lineRule="auto"/>
              <w:jc w:val="center"/>
              <w:rPr>
                <w:szCs w:val="25"/>
              </w:rPr>
            </w:pPr>
          </w:p>
          <w:p w:rsidR="00A86330" w:rsidRPr="00AB4520" w:rsidRDefault="00A86330" w:rsidP="00A86330">
            <w:pPr>
              <w:pStyle w:val="Heading2"/>
              <w:spacing w:before="0" w:line="240" w:lineRule="auto"/>
              <w:jc w:val="center"/>
              <w:rPr>
                <w:szCs w:val="25"/>
              </w:rPr>
            </w:pPr>
            <w:r w:rsidRPr="00AB4520">
              <w:rPr>
                <w:szCs w:val="25"/>
              </w:rPr>
              <w:t>EVENT</w:t>
            </w:r>
          </w:p>
        </w:tc>
        <w:tc>
          <w:tcPr>
            <w:tcW w:w="2610" w:type="dxa"/>
            <w:tcBorders>
              <w:top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pct12" w:color="auto" w:fill="auto"/>
          </w:tcPr>
          <w:p w:rsidR="00A86330" w:rsidRPr="00AB4520" w:rsidRDefault="00A86330" w:rsidP="00A86330">
            <w:pPr>
              <w:pStyle w:val="Heading2"/>
              <w:spacing w:before="0" w:line="240" w:lineRule="auto"/>
              <w:jc w:val="center"/>
              <w:rPr>
                <w:szCs w:val="25"/>
              </w:rPr>
            </w:pPr>
          </w:p>
          <w:p w:rsidR="00A86330" w:rsidRDefault="00A86330" w:rsidP="00A86330">
            <w:pPr>
              <w:pStyle w:val="Heading2"/>
              <w:spacing w:before="0" w:line="240" w:lineRule="auto"/>
              <w:jc w:val="center"/>
              <w:rPr>
                <w:szCs w:val="25"/>
              </w:rPr>
            </w:pPr>
            <w:r>
              <w:rPr>
                <w:szCs w:val="25"/>
              </w:rPr>
              <w:t>PRIOR</w:t>
            </w:r>
          </w:p>
          <w:p w:rsidR="00A86330" w:rsidRPr="00AB4520" w:rsidRDefault="00A86330" w:rsidP="00A86330">
            <w:pPr>
              <w:pStyle w:val="Heading2"/>
              <w:spacing w:before="0" w:line="240" w:lineRule="auto"/>
              <w:jc w:val="center"/>
              <w:rPr>
                <w:szCs w:val="25"/>
              </w:rPr>
            </w:pPr>
            <w:r>
              <w:rPr>
                <w:szCs w:val="25"/>
              </w:rPr>
              <w:t>DEADLINE</w:t>
            </w:r>
          </w:p>
          <w:p w:rsidR="00A86330" w:rsidRPr="00AB4520" w:rsidRDefault="00A86330" w:rsidP="00A8633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610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  <w:shd w:val="pct12" w:color="auto" w:fill="auto"/>
          </w:tcPr>
          <w:p w:rsidR="00A86330" w:rsidRPr="00A86330" w:rsidRDefault="00A86330" w:rsidP="00A86330">
            <w:pPr>
              <w:pStyle w:val="Heading2"/>
              <w:spacing w:before="0" w:line="240" w:lineRule="auto"/>
              <w:jc w:val="center"/>
              <w:rPr>
                <w:szCs w:val="25"/>
              </w:rPr>
            </w:pPr>
          </w:p>
          <w:p w:rsidR="00A86330" w:rsidRPr="00A86330" w:rsidRDefault="00A86330" w:rsidP="00A86330">
            <w:pPr>
              <w:jc w:val="center"/>
              <w:rPr>
                <w:b/>
                <w:sz w:val="25"/>
                <w:szCs w:val="25"/>
              </w:rPr>
            </w:pPr>
            <w:r w:rsidRPr="00A86330">
              <w:rPr>
                <w:b/>
                <w:sz w:val="25"/>
                <w:szCs w:val="25"/>
              </w:rPr>
              <w:t>NEW</w:t>
            </w:r>
          </w:p>
          <w:p w:rsidR="00A86330" w:rsidRPr="00A86330" w:rsidRDefault="00A86330" w:rsidP="00A86330">
            <w:pPr>
              <w:jc w:val="center"/>
            </w:pPr>
            <w:r w:rsidRPr="00A86330">
              <w:rPr>
                <w:b/>
                <w:sz w:val="25"/>
                <w:szCs w:val="25"/>
              </w:rPr>
              <w:t>DEADLINE</w:t>
            </w:r>
          </w:p>
        </w:tc>
      </w:tr>
      <w:tr w:rsidR="00A86330" w:rsidRPr="00AB4520" w:rsidTr="00301EBF">
        <w:trPr>
          <w:cantSplit/>
          <w:trHeight w:val="738"/>
        </w:trPr>
        <w:tc>
          <w:tcPr>
            <w:tcW w:w="3330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A86330" w:rsidRPr="00AB4520" w:rsidRDefault="00A86330" w:rsidP="007A2BD9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Initial Briefs Due on Preliminary Legal Issue</w:t>
            </w:r>
          </w:p>
        </w:tc>
        <w:tc>
          <w:tcPr>
            <w:tcW w:w="2610" w:type="dxa"/>
            <w:tcBorders>
              <w:top w:val="thickThinSmallGap" w:sz="24" w:space="0" w:color="auto"/>
              <w:right w:val="single" w:sz="4" w:space="0" w:color="auto"/>
            </w:tcBorders>
          </w:tcPr>
          <w:p w:rsidR="00A86330" w:rsidRPr="00AB4520" w:rsidRDefault="00A86330" w:rsidP="007A2BD9">
            <w:pPr>
              <w:spacing w:line="264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May 15, 2012</w:t>
            </w:r>
          </w:p>
        </w:tc>
        <w:tc>
          <w:tcPr>
            <w:tcW w:w="2610" w:type="dxa"/>
            <w:tcBorders>
              <w:top w:val="thickThinSmallGap" w:sz="24" w:space="0" w:color="auto"/>
              <w:left w:val="single" w:sz="4" w:space="0" w:color="auto"/>
              <w:right w:val="thinThickThinSmallGap" w:sz="24" w:space="0" w:color="auto"/>
            </w:tcBorders>
          </w:tcPr>
          <w:p w:rsidR="00A86330" w:rsidRDefault="00A86330" w:rsidP="007A2BD9">
            <w:pPr>
              <w:spacing w:line="264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May 31, 2012</w:t>
            </w:r>
          </w:p>
        </w:tc>
      </w:tr>
      <w:tr w:rsidR="00A86330" w:rsidRPr="00AB4520" w:rsidTr="00301EBF">
        <w:trPr>
          <w:cantSplit/>
          <w:trHeight w:val="738"/>
        </w:trPr>
        <w:tc>
          <w:tcPr>
            <w:tcW w:w="3330" w:type="dxa"/>
            <w:tcBorders>
              <w:top w:val="single" w:sz="4" w:space="0" w:color="auto"/>
              <w:left w:val="thinThickSmallGap" w:sz="24" w:space="0" w:color="auto"/>
            </w:tcBorders>
          </w:tcPr>
          <w:p w:rsidR="00A86330" w:rsidRPr="00AB4520" w:rsidRDefault="00A86330" w:rsidP="007A2BD9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Response Briefs Due</w:t>
            </w:r>
          </w:p>
        </w:tc>
        <w:tc>
          <w:tcPr>
            <w:tcW w:w="2610" w:type="dxa"/>
            <w:tcBorders>
              <w:top w:val="single" w:sz="4" w:space="0" w:color="auto"/>
              <w:right w:val="single" w:sz="4" w:space="0" w:color="auto"/>
            </w:tcBorders>
          </w:tcPr>
          <w:p w:rsidR="00A86330" w:rsidRPr="00AB4520" w:rsidRDefault="00A86330" w:rsidP="007A2BD9">
            <w:pPr>
              <w:spacing w:line="264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May 25, 2012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</w:tcPr>
          <w:p w:rsidR="00A86330" w:rsidRDefault="00A86330" w:rsidP="007A2BD9">
            <w:pPr>
              <w:spacing w:line="264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June 12, 2012</w:t>
            </w:r>
          </w:p>
        </w:tc>
      </w:tr>
      <w:tr w:rsidR="00A86330" w:rsidRPr="00AB4520" w:rsidTr="00301EBF">
        <w:trPr>
          <w:cantSplit/>
          <w:trHeight w:val="738"/>
        </w:trPr>
        <w:tc>
          <w:tcPr>
            <w:tcW w:w="3330" w:type="dxa"/>
            <w:tcBorders>
              <w:top w:val="single" w:sz="4" w:space="0" w:color="auto"/>
              <w:left w:val="thinThickSmallGap" w:sz="24" w:space="0" w:color="auto"/>
            </w:tcBorders>
          </w:tcPr>
          <w:p w:rsidR="00A86330" w:rsidRPr="00AB4520" w:rsidRDefault="00A86330" w:rsidP="007A2BD9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Prefiled Direct Testimony (all parties)</w:t>
            </w:r>
          </w:p>
        </w:tc>
        <w:tc>
          <w:tcPr>
            <w:tcW w:w="2610" w:type="dxa"/>
            <w:tcBorders>
              <w:top w:val="single" w:sz="4" w:space="0" w:color="auto"/>
              <w:right w:val="single" w:sz="4" w:space="0" w:color="auto"/>
            </w:tcBorders>
          </w:tcPr>
          <w:p w:rsidR="00A86330" w:rsidRPr="00AB4520" w:rsidRDefault="00A86330" w:rsidP="007A2BD9">
            <w:pPr>
              <w:spacing w:line="264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July 31, 2012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</w:tcPr>
          <w:p w:rsidR="00A86330" w:rsidRDefault="00A86330" w:rsidP="007A2BD9">
            <w:pPr>
              <w:spacing w:line="264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August 14, 2012</w:t>
            </w:r>
          </w:p>
        </w:tc>
      </w:tr>
      <w:tr w:rsidR="00A86330" w:rsidRPr="00AB4520" w:rsidTr="00301EBF">
        <w:trPr>
          <w:cantSplit/>
          <w:trHeight w:val="738"/>
        </w:trPr>
        <w:tc>
          <w:tcPr>
            <w:tcW w:w="3330" w:type="dxa"/>
            <w:tcBorders>
              <w:top w:val="single" w:sz="4" w:space="0" w:color="auto"/>
              <w:left w:val="thinThickSmallGap" w:sz="24" w:space="0" w:color="auto"/>
            </w:tcBorders>
          </w:tcPr>
          <w:p w:rsidR="00A86330" w:rsidRPr="00AB4520" w:rsidRDefault="00A86330" w:rsidP="007A2BD9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Prefiled Response Testimony (all parties)</w:t>
            </w:r>
          </w:p>
        </w:tc>
        <w:tc>
          <w:tcPr>
            <w:tcW w:w="2610" w:type="dxa"/>
            <w:tcBorders>
              <w:top w:val="single" w:sz="4" w:space="0" w:color="auto"/>
              <w:right w:val="single" w:sz="4" w:space="0" w:color="auto"/>
            </w:tcBorders>
          </w:tcPr>
          <w:p w:rsidR="00A86330" w:rsidRPr="00AB4520" w:rsidRDefault="00A86330" w:rsidP="007A2BD9">
            <w:pPr>
              <w:spacing w:line="264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September 11, 2012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</w:tcPr>
          <w:p w:rsidR="00A86330" w:rsidRDefault="00A86330" w:rsidP="007A2BD9">
            <w:pPr>
              <w:spacing w:line="264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October 5, 2012</w:t>
            </w:r>
          </w:p>
        </w:tc>
      </w:tr>
      <w:tr w:rsidR="00A86330" w:rsidRPr="00AB4520" w:rsidTr="00301EBF">
        <w:trPr>
          <w:cantSplit/>
          <w:trHeight w:val="738"/>
        </w:trPr>
        <w:tc>
          <w:tcPr>
            <w:tcW w:w="3330" w:type="dxa"/>
            <w:tcBorders>
              <w:top w:val="single" w:sz="4" w:space="0" w:color="auto"/>
              <w:left w:val="thinThickSmallGap" w:sz="24" w:space="0" w:color="auto"/>
            </w:tcBorders>
          </w:tcPr>
          <w:p w:rsidR="00A86330" w:rsidRDefault="00A86330" w:rsidP="007A2BD9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Witness Lists, Exhibit Lists, and Cross-Examination Time Estimates Due</w:t>
            </w:r>
          </w:p>
        </w:tc>
        <w:tc>
          <w:tcPr>
            <w:tcW w:w="2610" w:type="dxa"/>
            <w:tcBorders>
              <w:top w:val="single" w:sz="4" w:space="0" w:color="auto"/>
              <w:right w:val="single" w:sz="4" w:space="0" w:color="auto"/>
            </w:tcBorders>
          </w:tcPr>
          <w:p w:rsidR="00A86330" w:rsidRDefault="00A86330" w:rsidP="007A2BD9">
            <w:pPr>
              <w:spacing w:line="264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September 18, 2012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</w:tcPr>
          <w:p w:rsidR="00A86330" w:rsidRDefault="00A86330" w:rsidP="007A2BD9">
            <w:pPr>
              <w:spacing w:line="264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October 15, 2012</w:t>
            </w:r>
          </w:p>
        </w:tc>
      </w:tr>
      <w:tr w:rsidR="00A86330" w:rsidRPr="00AB4520" w:rsidTr="00301EBF">
        <w:trPr>
          <w:cantSplit/>
          <w:trHeight w:val="738"/>
        </w:trPr>
        <w:tc>
          <w:tcPr>
            <w:tcW w:w="3330" w:type="dxa"/>
            <w:tcBorders>
              <w:top w:val="single" w:sz="4" w:space="0" w:color="auto"/>
              <w:left w:val="thinThickSmallGap" w:sz="24" w:space="0" w:color="auto"/>
            </w:tcBorders>
          </w:tcPr>
          <w:p w:rsidR="00A86330" w:rsidRPr="00AB4520" w:rsidRDefault="00A86330" w:rsidP="007A2BD9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Evidentiary Hearings</w:t>
            </w:r>
          </w:p>
        </w:tc>
        <w:tc>
          <w:tcPr>
            <w:tcW w:w="2610" w:type="dxa"/>
            <w:tcBorders>
              <w:top w:val="single" w:sz="4" w:space="0" w:color="auto"/>
              <w:right w:val="single" w:sz="4" w:space="0" w:color="auto"/>
            </w:tcBorders>
          </w:tcPr>
          <w:p w:rsidR="00A86330" w:rsidRPr="00AB4520" w:rsidRDefault="00A86330" w:rsidP="007A2BD9">
            <w:pPr>
              <w:spacing w:line="264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September 24-26, 2012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</w:tcPr>
          <w:p w:rsidR="00A86330" w:rsidRDefault="00A86330" w:rsidP="00171E60">
            <w:pPr>
              <w:spacing w:line="264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October 22-24, 2012</w:t>
            </w:r>
          </w:p>
        </w:tc>
      </w:tr>
      <w:tr w:rsidR="00A86330" w:rsidRPr="00AB4520" w:rsidTr="00301EBF">
        <w:trPr>
          <w:cantSplit/>
          <w:trHeight w:val="738"/>
        </w:trPr>
        <w:tc>
          <w:tcPr>
            <w:tcW w:w="3330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</w:tcPr>
          <w:p w:rsidR="00A86330" w:rsidRPr="00AB4520" w:rsidRDefault="00A86330" w:rsidP="007A2BD9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Posting Hearing Briefs and Filing of Admitted Cross-Examination Exhibits</w:t>
            </w:r>
          </w:p>
        </w:tc>
        <w:tc>
          <w:tcPr>
            <w:tcW w:w="2610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A86330" w:rsidRPr="00AB4520" w:rsidRDefault="00A86330" w:rsidP="007A2BD9">
            <w:pPr>
              <w:spacing w:line="264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TBD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</w:tcPr>
          <w:p w:rsidR="00A86330" w:rsidRDefault="00A86330" w:rsidP="007A2BD9">
            <w:pPr>
              <w:spacing w:line="264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TBD</w:t>
            </w:r>
          </w:p>
        </w:tc>
      </w:tr>
    </w:tbl>
    <w:p w:rsidR="00A86330" w:rsidRPr="00AB4520" w:rsidRDefault="00A86330" w:rsidP="00A86330">
      <w:pPr>
        <w:pStyle w:val="Header"/>
        <w:tabs>
          <w:tab w:val="clear" w:pos="4320"/>
          <w:tab w:val="clear" w:pos="8640"/>
        </w:tabs>
        <w:spacing w:line="264" w:lineRule="auto"/>
        <w:rPr>
          <w:sz w:val="25"/>
          <w:szCs w:val="25"/>
        </w:rPr>
      </w:pPr>
    </w:p>
    <w:p w:rsidR="00A86330" w:rsidRDefault="00A86330" w:rsidP="000461EE">
      <w:pPr>
        <w:pStyle w:val="NoSpacing"/>
      </w:pPr>
    </w:p>
    <w:sectPr w:rsidR="00A86330" w:rsidSect="00171E60">
      <w:headerReference w:type="default" r:id="rId7"/>
      <w:pgSz w:w="12240" w:h="15840"/>
      <w:pgMar w:top="1440" w:right="1440" w:bottom="1440" w:left="1800" w:header="1440" w:footer="720" w:gutter="0"/>
      <w:paperSrc w:first="258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838" w:rsidRDefault="00F27838" w:rsidP="00301EBF">
      <w:r>
        <w:separator/>
      </w:r>
    </w:p>
  </w:endnote>
  <w:endnote w:type="continuationSeparator" w:id="0">
    <w:p w:rsidR="00F27838" w:rsidRDefault="00F27838" w:rsidP="0030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838" w:rsidRDefault="00F27838" w:rsidP="00301EBF">
      <w:r>
        <w:separator/>
      </w:r>
    </w:p>
  </w:footnote>
  <w:footnote w:type="continuationSeparator" w:id="0">
    <w:p w:rsidR="00F27838" w:rsidRDefault="00F27838" w:rsidP="00301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EBF" w:rsidRPr="00301EBF" w:rsidRDefault="00301EBF">
    <w:pPr>
      <w:pStyle w:val="Header"/>
      <w:rPr>
        <w:b/>
        <w:noProof/>
        <w:sz w:val="20"/>
        <w:szCs w:val="20"/>
      </w:rPr>
    </w:pPr>
    <w:r w:rsidRPr="00301EBF">
      <w:rPr>
        <w:b/>
        <w:sz w:val="20"/>
        <w:szCs w:val="20"/>
      </w:rPr>
      <w:t>DOCKET TG-120033</w:t>
    </w:r>
    <w:r w:rsidRPr="00301EBF">
      <w:rPr>
        <w:b/>
        <w:sz w:val="20"/>
        <w:szCs w:val="20"/>
      </w:rPr>
      <w:tab/>
    </w:r>
    <w:r w:rsidRPr="00301EBF">
      <w:rPr>
        <w:b/>
        <w:sz w:val="20"/>
        <w:szCs w:val="20"/>
      </w:rPr>
      <w:tab/>
      <w:t xml:space="preserve">PAGE </w:t>
    </w:r>
    <w:r w:rsidRPr="00301EBF">
      <w:rPr>
        <w:b/>
        <w:sz w:val="20"/>
        <w:szCs w:val="20"/>
      </w:rPr>
      <w:fldChar w:fldCharType="begin"/>
    </w:r>
    <w:r w:rsidRPr="00301EBF">
      <w:rPr>
        <w:b/>
        <w:sz w:val="20"/>
        <w:szCs w:val="20"/>
      </w:rPr>
      <w:instrText xml:space="preserve"> PAGE   \* MERGEFORMAT </w:instrText>
    </w:r>
    <w:r w:rsidRPr="00301EBF">
      <w:rPr>
        <w:b/>
        <w:sz w:val="20"/>
        <w:szCs w:val="20"/>
      </w:rPr>
      <w:fldChar w:fldCharType="separate"/>
    </w:r>
    <w:r w:rsidR="002C585A">
      <w:rPr>
        <w:b/>
        <w:noProof/>
        <w:sz w:val="20"/>
        <w:szCs w:val="20"/>
      </w:rPr>
      <w:t>2</w:t>
    </w:r>
    <w:r w:rsidRPr="00301EBF">
      <w:rPr>
        <w:b/>
        <w:noProof/>
        <w:sz w:val="20"/>
        <w:szCs w:val="20"/>
      </w:rPr>
      <w:fldChar w:fldCharType="end"/>
    </w:r>
  </w:p>
  <w:p w:rsidR="00301EBF" w:rsidRPr="00301EBF" w:rsidRDefault="00301EBF">
    <w:pPr>
      <w:pStyle w:val="Header"/>
      <w:rPr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EE"/>
    <w:rsid w:val="00000817"/>
    <w:rsid w:val="00000D94"/>
    <w:rsid w:val="00024FCC"/>
    <w:rsid w:val="00025066"/>
    <w:rsid w:val="00036A42"/>
    <w:rsid w:val="000461EE"/>
    <w:rsid w:val="00054580"/>
    <w:rsid w:val="000A4CFE"/>
    <w:rsid w:val="000C159F"/>
    <w:rsid w:val="000C27A1"/>
    <w:rsid w:val="000D794B"/>
    <w:rsid w:val="000E69A6"/>
    <w:rsid w:val="000F2FD4"/>
    <w:rsid w:val="000F4FEE"/>
    <w:rsid w:val="000F629A"/>
    <w:rsid w:val="000F6DD6"/>
    <w:rsid w:val="001076BE"/>
    <w:rsid w:val="001140DB"/>
    <w:rsid w:val="00124765"/>
    <w:rsid w:val="00125DE3"/>
    <w:rsid w:val="0012797D"/>
    <w:rsid w:val="00134F21"/>
    <w:rsid w:val="0014077E"/>
    <w:rsid w:val="00141D59"/>
    <w:rsid w:val="001605B2"/>
    <w:rsid w:val="001703EB"/>
    <w:rsid w:val="00171E60"/>
    <w:rsid w:val="001723BF"/>
    <w:rsid w:val="00196394"/>
    <w:rsid w:val="001A7351"/>
    <w:rsid w:val="001B27DC"/>
    <w:rsid w:val="001B2E88"/>
    <w:rsid w:val="001B3E0A"/>
    <w:rsid w:val="001C463F"/>
    <w:rsid w:val="001C5C2C"/>
    <w:rsid w:val="001E109A"/>
    <w:rsid w:val="001F1ECC"/>
    <w:rsid w:val="001F33E6"/>
    <w:rsid w:val="001F5CE8"/>
    <w:rsid w:val="00221AE2"/>
    <w:rsid w:val="00223577"/>
    <w:rsid w:val="00244FDA"/>
    <w:rsid w:val="00245450"/>
    <w:rsid w:val="00251048"/>
    <w:rsid w:val="0025477A"/>
    <w:rsid w:val="00262124"/>
    <w:rsid w:val="0026302D"/>
    <w:rsid w:val="002646AF"/>
    <w:rsid w:val="0026475C"/>
    <w:rsid w:val="00270B6C"/>
    <w:rsid w:val="002757DC"/>
    <w:rsid w:val="00281C9A"/>
    <w:rsid w:val="002861A1"/>
    <w:rsid w:val="0028731F"/>
    <w:rsid w:val="002B0EFB"/>
    <w:rsid w:val="002C0778"/>
    <w:rsid w:val="002C585A"/>
    <w:rsid w:val="002E5203"/>
    <w:rsid w:val="003004E6"/>
    <w:rsid w:val="00301EBF"/>
    <w:rsid w:val="00311D5D"/>
    <w:rsid w:val="00320272"/>
    <w:rsid w:val="00325229"/>
    <w:rsid w:val="00326C72"/>
    <w:rsid w:val="00331826"/>
    <w:rsid w:val="00331DBD"/>
    <w:rsid w:val="00337B84"/>
    <w:rsid w:val="003511CF"/>
    <w:rsid w:val="0035370C"/>
    <w:rsid w:val="00365238"/>
    <w:rsid w:val="003753AE"/>
    <w:rsid w:val="003A6A20"/>
    <w:rsid w:val="003A7922"/>
    <w:rsid w:val="003B5BCB"/>
    <w:rsid w:val="003D043A"/>
    <w:rsid w:val="003E07FA"/>
    <w:rsid w:val="003F118C"/>
    <w:rsid w:val="003F1C30"/>
    <w:rsid w:val="003F43F9"/>
    <w:rsid w:val="003F6DEF"/>
    <w:rsid w:val="00400A04"/>
    <w:rsid w:val="004042E0"/>
    <w:rsid w:val="00405309"/>
    <w:rsid w:val="004274F0"/>
    <w:rsid w:val="004328C3"/>
    <w:rsid w:val="00434DC9"/>
    <w:rsid w:val="00437E3F"/>
    <w:rsid w:val="00446B83"/>
    <w:rsid w:val="004470D6"/>
    <w:rsid w:val="00466587"/>
    <w:rsid w:val="00472B41"/>
    <w:rsid w:val="00497485"/>
    <w:rsid w:val="0049799B"/>
    <w:rsid w:val="00497E5B"/>
    <w:rsid w:val="004A343B"/>
    <w:rsid w:val="004B13DF"/>
    <w:rsid w:val="004D03CC"/>
    <w:rsid w:val="004D5E7A"/>
    <w:rsid w:val="004F325A"/>
    <w:rsid w:val="00500BD3"/>
    <w:rsid w:val="00506508"/>
    <w:rsid w:val="00512941"/>
    <w:rsid w:val="00514DD5"/>
    <w:rsid w:val="00524ED7"/>
    <w:rsid w:val="00527B33"/>
    <w:rsid w:val="0053359C"/>
    <w:rsid w:val="00546385"/>
    <w:rsid w:val="00550788"/>
    <w:rsid w:val="00571C63"/>
    <w:rsid w:val="0057556D"/>
    <w:rsid w:val="005811C7"/>
    <w:rsid w:val="005963E1"/>
    <w:rsid w:val="005970BC"/>
    <w:rsid w:val="005A4601"/>
    <w:rsid w:val="005D7F9D"/>
    <w:rsid w:val="005E200A"/>
    <w:rsid w:val="005E662A"/>
    <w:rsid w:val="005F6CB0"/>
    <w:rsid w:val="00621BBF"/>
    <w:rsid w:val="00625C28"/>
    <w:rsid w:val="00625F87"/>
    <w:rsid w:val="006302DA"/>
    <w:rsid w:val="006328EE"/>
    <w:rsid w:val="00636DA8"/>
    <w:rsid w:val="00637028"/>
    <w:rsid w:val="00644EA7"/>
    <w:rsid w:val="00647468"/>
    <w:rsid w:val="00671E79"/>
    <w:rsid w:val="006725EB"/>
    <w:rsid w:val="00672ABD"/>
    <w:rsid w:val="00682AAC"/>
    <w:rsid w:val="00685505"/>
    <w:rsid w:val="006967D3"/>
    <w:rsid w:val="006A46D9"/>
    <w:rsid w:val="006B51AE"/>
    <w:rsid w:val="006C391D"/>
    <w:rsid w:val="006D55D8"/>
    <w:rsid w:val="006E57AA"/>
    <w:rsid w:val="0070503D"/>
    <w:rsid w:val="00725942"/>
    <w:rsid w:val="00744C85"/>
    <w:rsid w:val="00751967"/>
    <w:rsid w:val="00760467"/>
    <w:rsid w:val="00771B71"/>
    <w:rsid w:val="007777F4"/>
    <w:rsid w:val="007801E4"/>
    <w:rsid w:val="0078059A"/>
    <w:rsid w:val="00782B25"/>
    <w:rsid w:val="00794D54"/>
    <w:rsid w:val="007A011C"/>
    <w:rsid w:val="007A316D"/>
    <w:rsid w:val="007A6418"/>
    <w:rsid w:val="007B1BB5"/>
    <w:rsid w:val="007B6BA4"/>
    <w:rsid w:val="007C5D5F"/>
    <w:rsid w:val="007D026E"/>
    <w:rsid w:val="007D15D4"/>
    <w:rsid w:val="007E4058"/>
    <w:rsid w:val="007E4545"/>
    <w:rsid w:val="007E6723"/>
    <w:rsid w:val="007F7C8A"/>
    <w:rsid w:val="00813DB4"/>
    <w:rsid w:val="008221C4"/>
    <w:rsid w:val="008312B2"/>
    <w:rsid w:val="00834A6B"/>
    <w:rsid w:val="008530CE"/>
    <w:rsid w:val="00857614"/>
    <w:rsid w:val="00860D9F"/>
    <w:rsid w:val="00863D19"/>
    <w:rsid w:val="00866E0A"/>
    <w:rsid w:val="008712BF"/>
    <w:rsid w:val="008720A5"/>
    <w:rsid w:val="00885F8D"/>
    <w:rsid w:val="008927D2"/>
    <w:rsid w:val="00894053"/>
    <w:rsid w:val="008A0BC8"/>
    <w:rsid w:val="008A2759"/>
    <w:rsid w:val="008C4198"/>
    <w:rsid w:val="008E47E5"/>
    <w:rsid w:val="008F1933"/>
    <w:rsid w:val="008F56B3"/>
    <w:rsid w:val="009109F0"/>
    <w:rsid w:val="0091303D"/>
    <w:rsid w:val="00950B86"/>
    <w:rsid w:val="009518F5"/>
    <w:rsid w:val="00956140"/>
    <w:rsid w:val="00957166"/>
    <w:rsid w:val="009621D5"/>
    <w:rsid w:val="00976A7E"/>
    <w:rsid w:val="00977AD2"/>
    <w:rsid w:val="009903F5"/>
    <w:rsid w:val="009931C1"/>
    <w:rsid w:val="009A5465"/>
    <w:rsid w:val="009A68EE"/>
    <w:rsid w:val="009B5279"/>
    <w:rsid w:val="009D011E"/>
    <w:rsid w:val="009E0277"/>
    <w:rsid w:val="009E5DD1"/>
    <w:rsid w:val="009F1F98"/>
    <w:rsid w:val="009F2B54"/>
    <w:rsid w:val="009F41E3"/>
    <w:rsid w:val="009F57A7"/>
    <w:rsid w:val="00A06B24"/>
    <w:rsid w:val="00A06FCB"/>
    <w:rsid w:val="00A13853"/>
    <w:rsid w:val="00A25D45"/>
    <w:rsid w:val="00A30C4A"/>
    <w:rsid w:val="00A35B1C"/>
    <w:rsid w:val="00A35FD1"/>
    <w:rsid w:val="00A642B3"/>
    <w:rsid w:val="00A6640F"/>
    <w:rsid w:val="00A82346"/>
    <w:rsid w:val="00A86330"/>
    <w:rsid w:val="00AA0F63"/>
    <w:rsid w:val="00AA1D38"/>
    <w:rsid w:val="00AB33FE"/>
    <w:rsid w:val="00AD1F22"/>
    <w:rsid w:val="00AE465D"/>
    <w:rsid w:val="00AF0857"/>
    <w:rsid w:val="00B01186"/>
    <w:rsid w:val="00B3481A"/>
    <w:rsid w:val="00B4193F"/>
    <w:rsid w:val="00B62CF3"/>
    <w:rsid w:val="00B6469B"/>
    <w:rsid w:val="00B67D78"/>
    <w:rsid w:val="00B77D74"/>
    <w:rsid w:val="00B91632"/>
    <w:rsid w:val="00BA4723"/>
    <w:rsid w:val="00BA4DB0"/>
    <w:rsid w:val="00BB741B"/>
    <w:rsid w:val="00BC18E9"/>
    <w:rsid w:val="00BD2231"/>
    <w:rsid w:val="00BD4460"/>
    <w:rsid w:val="00BE0AD2"/>
    <w:rsid w:val="00BE754D"/>
    <w:rsid w:val="00BF4AD3"/>
    <w:rsid w:val="00BF4BBA"/>
    <w:rsid w:val="00BF5A05"/>
    <w:rsid w:val="00C02040"/>
    <w:rsid w:val="00C03C4D"/>
    <w:rsid w:val="00C1419E"/>
    <w:rsid w:val="00C227FD"/>
    <w:rsid w:val="00C32100"/>
    <w:rsid w:val="00C37086"/>
    <w:rsid w:val="00C55CFC"/>
    <w:rsid w:val="00C73DA0"/>
    <w:rsid w:val="00C77038"/>
    <w:rsid w:val="00C7736F"/>
    <w:rsid w:val="00C77E1D"/>
    <w:rsid w:val="00C920D2"/>
    <w:rsid w:val="00C93A82"/>
    <w:rsid w:val="00CB2C63"/>
    <w:rsid w:val="00CB7F41"/>
    <w:rsid w:val="00CD5B00"/>
    <w:rsid w:val="00CD6EF8"/>
    <w:rsid w:val="00CE13E8"/>
    <w:rsid w:val="00CE7F86"/>
    <w:rsid w:val="00CF06C1"/>
    <w:rsid w:val="00D0056C"/>
    <w:rsid w:val="00D167FA"/>
    <w:rsid w:val="00D23952"/>
    <w:rsid w:val="00D36495"/>
    <w:rsid w:val="00D417B8"/>
    <w:rsid w:val="00D43D00"/>
    <w:rsid w:val="00D51AB0"/>
    <w:rsid w:val="00D5254D"/>
    <w:rsid w:val="00D54858"/>
    <w:rsid w:val="00D6592D"/>
    <w:rsid w:val="00D81A5D"/>
    <w:rsid w:val="00D87DE9"/>
    <w:rsid w:val="00D93AF7"/>
    <w:rsid w:val="00D955D2"/>
    <w:rsid w:val="00D968B5"/>
    <w:rsid w:val="00DA4DDA"/>
    <w:rsid w:val="00DB12F0"/>
    <w:rsid w:val="00DB4A12"/>
    <w:rsid w:val="00DB53EA"/>
    <w:rsid w:val="00DC441F"/>
    <w:rsid w:val="00DE67C3"/>
    <w:rsid w:val="00DE758E"/>
    <w:rsid w:val="00DF16E1"/>
    <w:rsid w:val="00DF3BFE"/>
    <w:rsid w:val="00DF6CB3"/>
    <w:rsid w:val="00DF7027"/>
    <w:rsid w:val="00E005E8"/>
    <w:rsid w:val="00E21AF0"/>
    <w:rsid w:val="00E43AD9"/>
    <w:rsid w:val="00E51DAB"/>
    <w:rsid w:val="00E5776C"/>
    <w:rsid w:val="00E666E8"/>
    <w:rsid w:val="00E94DEF"/>
    <w:rsid w:val="00E95080"/>
    <w:rsid w:val="00EA64C0"/>
    <w:rsid w:val="00EC7B52"/>
    <w:rsid w:val="00ED08AA"/>
    <w:rsid w:val="00EE4F4B"/>
    <w:rsid w:val="00EF3F4D"/>
    <w:rsid w:val="00F27838"/>
    <w:rsid w:val="00F34C65"/>
    <w:rsid w:val="00F35267"/>
    <w:rsid w:val="00F50B69"/>
    <w:rsid w:val="00F54581"/>
    <w:rsid w:val="00F558A0"/>
    <w:rsid w:val="00F668B0"/>
    <w:rsid w:val="00F67B92"/>
    <w:rsid w:val="00F720BC"/>
    <w:rsid w:val="00F75379"/>
    <w:rsid w:val="00F763FB"/>
    <w:rsid w:val="00F80CD0"/>
    <w:rsid w:val="00F819C6"/>
    <w:rsid w:val="00F903F5"/>
    <w:rsid w:val="00FC344E"/>
    <w:rsid w:val="00FD5807"/>
    <w:rsid w:val="00FD6F27"/>
    <w:rsid w:val="00FD7405"/>
    <w:rsid w:val="00FE1AD2"/>
    <w:rsid w:val="00FE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DA0"/>
    <w:pPr>
      <w:spacing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 w:line="264" w:lineRule="auto"/>
      <w:jc w:val="center"/>
      <w:outlineLvl w:val="0"/>
    </w:pPr>
    <w:rPr>
      <w:rFonts w:eastAsiaTheme="majorEastAsia" w:cstheme="majorBidi"/>
      <w:b/>
      <w:bCs/>
      <w:sz w:val="25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530CE"/>
    <w:pPr>
      <w:keepNext/>
      <w:keepLines/>
      <w:spacing w:before="200" w:line="264" w:lineRule="auto"/>
      <w:outlineLvl w:val="1"/>
    </w:pPr>
    <w:rPr>
      <w:rFonts w:eastAsiaTheme="majorEastAsia" w:cstheme="majorBidi"/>
      <w:b/>
      <w:bCs/>
      <w:sz w:val="25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530CE"/>
    <w:pPr>
      <w:keepNext/>
      <w:keepLines/>
      <w:spacing w:line="264" w:lineRule="auto"/>
      <w:ind w:left="720"/>
      <w:outlineLvl w:val="2"/>
    </w:pPr>
    <w:rPr>
      <w:rFonts w:eastAsiaTheme="majorEastAsia" w:cstheme="majorBidi"/>
      <w:b/>
      <w:bCs/>
      <w:sz w:val="2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0461EE"/>
    <w:pPr>
      <w:spacing w:line="240" w:lineRule="auto"/>
    </w:pPr>
  </w:style>
  <w:style w:type="paragraph" w:styleId="Header">
    <w:name w:val="header"/>
    <w:basedOn w:val="Normal"/>
    <w:link w:val="HeaderChar"/>
    <w:uiPriority w:val="99"/>
    <w:rsid w:val="00A863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33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1E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EBF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BB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DA0"/>
    <w:pPr>
      <w:spacing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 w:line="264" w:lineRule="auto"/>
      <w:jc w:val="center"/>
      <w:outlineLvl w:val="0"/>
    </w:pPr>
    <w:rPr>
      <w:rFonts w:eastAsiaTheme="majorEastAsia" w:cstheme="majorBidi"/>
      <w:b/>
      <w:bCs/>
      <w:sz w:val="25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530CE"/>
    <w:pPr>
      <w:keepNext/>
      <w:keepLines/>
      <w:spacing w:before="200" w:line="264" w:lineRule="auto"/>
      <w:outlineLvl w:val="1"/>
    </w:pPr>
    <w:rPr>
      <w:rFonts w:eastAsiaTheme="majorEastAsia" w:cstheme="majorBidi"/>
      <w:b/>
      <w:bCs/>
      <w:sz w:val="25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530CE"/>
    <w:pPr>
      <w:keepNext/>
      <w:keepLines/>
      <w:spacing w:line="264" w:lineRule="auto"/>
      <w:ind w:left="720"/>
      <w:outlineLvl w:val="2"/>
    </w:pPr>
    <w:rPr>
      <w:rFonts w:eastAsiaTheme="majorEastAsia" w:cstheme="majorBidi"/>
      <w:b/>
      <w:bCs/>
      <w:sz w:val="2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0461EE"/>
    <w:pPr>
      <w:spacing w:line="240" w:lineRule="auto"/>
    </w:pPr>
  </w:style>
  <w:style w:type="paragraph" w:styleId="Header">
    <w:name w:val="header"/>
    <w:basedOn w:val="Normal"/>
    <w:link w:val="HeaderChar"/>
    <w:uiPriority w:val="99"/>
    <w:rsid w:val="00A863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33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1E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EBF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B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8702C4AF602440A75427A84B605696" ma:contentTypeVersion="139" ma:contentTypeDescription="" ma:contentTypeScope="" ma:versionID="096abf71eef04c5921b607dfdb7052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2011-12-30T08:00:00+00:00</OpenedDate>
    <Date1 xmlns="dc463f71-b30c-4ab2-9473-d307f9d35888">2012-04-18T07:00:00+00:00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120033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73CD6C6-64D8-45BA-9433-4771B1115AE2}"/>
</file>

<file path=customXml/itemProps2.xml><?xml version="1.0" encoding="utf-8"?>
<ds:datastoreItem xmlns:ds="http://schemas.openxmlformats.org/officeDocument/2006/customXml" ds:itemID="{22D4E09F-B1CD-4A1A-AAF7-2B8E1EB1ED7D}"/>
</file>

<file path=customXml/itemProps3.xml><?xml version="1.0" encoding="utf-8"?>
<ds:datastoreItem xmlns:ds="http://schemas.openxmlformats.org/officeDocument/2006/customXml" ds:itemID="{4C531548-3F7F-46E4-8ED3-F35C8A2C240A}"/>
</file>

<file path=customXml/itemProps4.xml><?xml version="1.0" encoding="utf-8"?>
<ds:datastoreItem xmlns:ds="http://schemas.openxmlformats.org/officeDocument/2006/customXml" ds:itemID="{5150E47F-61F8-4894-AA90-59F67D4034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2012-04-18T20:47:00Z</dcterms:created>
  <dcterms:modified xsi:type="dcterms:W3CDTF">2012-04-18T20:47:00Z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0x0101006E56B4D1795A2E4DB2F0B01679ED314A000F8702C4AF602440A75427A84B605696</vt:lpwstr>
  </property>
  <property fmtid="{D5CDD505-2E9C-101B-9397-08002B2CF9AE}" pid="3" name="_docset_NoMedatataSyncRequired">
    <vt:lpwstr>False</vt:lpwstr>
  </property>
</Properties>
</file>