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7" w:rsidRPr="0042096A"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42096A">
        <w:rPr>
          <w:sz w:val="24"/>
        </w:rPr>
        <w:t>Agenda Date:</w:t>
      </w:r>
      <w:r w:rsidRPr="0042096A">
        <w:rPr>
          <w:sz w:val="24"/>
        </w:rPr>
        <w:tab/>
      </w:r>
      <w:r w:rsidRPr="0042096A">
        <w:rPr>
          <w:sz w:val="24"/>
        </w:rPr>
        <w:tab/>
      </w:r>
      <w:r w:rsidR="00F81F53">
        <w:rPr>
          <w:sz w:val="24"/>
        </w:rPr>
        <w:t xml:space="preserve">March </w:t>
      </w:r>
      <w:r w:rsidR="00F03910">
        <w:rPr>
          <w:sz w:val="24"/>
        </w:rPr>
        <w:t>2</w:t>
      </w:r>
      <w:r w:rsidR="00F81F53">
        <w:rPr>
          <w:sz w:val="24"/>
        </w:rPr>
        <w:t>4</w:t>
      </w:r>
      <w:r w:rsidR="004A6EE8">
        <w:rPr>
          <w:sz w:val="24"/>
        </w:rPr>
        <w:t>, 201</w:t>
      </w:r>
      <w:r w:rsidR="00F03910">
        <w:rPr>
          <w:sz w:val="24"/>
        </w:rPr>
        <w:t>1</w:t>
      </w: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Pr>
          <w:sz w:val="24"/>
        </w:rPr>
        <w:t>Item Number:</w:t>
      </w:r>
      <w:r>
        <w:rPr>
          <w:sz w:val="24"/>
        </w:rPr>
        <w:tab/>
      </w:r>
      <w:r w:rsidR="00DB4DC6">
        <w:rPr>
          <w:sz w:val="24"/>
        </w:rPr>
        <w:tab/>
      </w:r>
      <w:r w:rsidR="003E729C">
        <w:rPr>
          <w:sz w:val="24"/>
        </w:rPr>
        <w:t>A</w:t>
      </w:r>
      <w:r w:rsidR="003B3508">
        <w:rPr>
          <w:sz w:val="24"/>
        </w:rPr>
        <w:t>6</w:t>
      </w: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42096A">
        <w:rPr>
          <w:b/>
          <w:bCs/>
          <w:sz w:val="24"/>
        </w:rPr>
        <w:t xml:space="preserve">Docket: </w:t>
      </w:r>
      <w:r w:rsidRPr="0042096A">
        <w:rPr>
          <w:b/>
          <w:bCs/>
          <w:sz w:val="24"/>
        </w:rPr>
        <w:tab/>
      </w:r>
      <w:r w:rsidRPr="0042096A">
        <w:rPr>
          <w:b/>
          <w:bCs/>
          <w:sz w:val="24"/>
        </w:rPr>
        <w:tab/>
      </w:r>
      <w:r w:rsidR="003E729C">
        <w:rPr>
          <w:b/>
          <w:bCs/>
          <w:sz w:val="24"/>
        </w:rPr>
        <w:t>UW</w:t>
      </w:r>
      <w:r w:rsidRPr="0042096A">
        <w:rPr>
          <w:b/>
          <w:bCs/>
          <w:sz w:val="24"/>
        </w:rPr>
        <w:t>-</w:t>
      </w:r>
      <w:r w:rsidR="004A6EE8">
        <w:rPr>
          <w:b/>
          <w:bCs/>
          <w:sz w:val="24"/>
        </w:rPr>
        <w:t>1</w:t>
      </w:r>
      <w:r w:rsidR="00697E4B">
        <w:rPr>
          <w:b/>
          <w:bCs/>
          <w:sz w:val="24"/>
        </w:rPr>
        <w:t>0</w:t>
      </w:r>
      <w:r w:rsidR="00F03910">
        <w:rPr>
          <w:b/>
          <w:bCs/>
          <w:sz w:val="24"/>
        </w:rPr>
        <w:t>2034</w:t>
      </w:r>
    </w:p>
    <w:p w:rsidR="006326C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2096A">
        <w:rPr>
          <w:sz w:val="24"/>
        </w:rPr>
        <w:t>Company Name:</w:t>
      </w:r>
      <w:r w:rsidRPr="0042096A">
        <w:rPr>
          <w:sz w:val="24"/>
        </w:rPr>
        <w:tab/>
      </w:r>
      <w:r w:rsidR="00F03910">
        <w:rPr>
          <w:sz w:val="24"/>
        </w:rPr>
        <w:t>Country Meadows E</w:t>
      </w:r>
      <w:r w:rsidR="00757220">
        <w:rPr>
          <w:sz w:val="24"/>
        </w:rPr>
        <w:t>.</w:t>
      </w:r>
      <w:r w:rsidR="00E42D80">
        <w:rPr>
          <w:sz w:val="24"/>
        </w:rPr>
        <w:t xml:space="preserve"> Water System</w:t>
      </w:r>
      <w:r w:rsidR="00F03910">
        <w:rPr>
          <w:sz w:val="24"/>
        </w:rPr>
        <w:t xml:space="preserve"> #2</w:t>
      </w:r>
    </w:p>
    <w:p w:rsidR="006326CE" w:rsidRDefault="006326CE"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r>
    </w:p>
    <w:p w:rsidR="008956A7"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2096A">
        <w:rPr>
          <w:sz w:val="24"/>
          <w:u w:val="single"/>
        </w:rPr>
        <w:t>Staff:</w:t>
      </w:r>
      <w:r>
        <w:rPr>
          <w:sz w:val="24"/>
        </w:rPr>
        <w:tab/>
      </w:r>
      <w:r>
        <w:rPr>
          <w:sz w:val="24"/>
        </w:rPr>
        <w:tab/>
      </w:r>
      <w:r>
        <w:rPr>
          <w:sz w:val="24"/>
        </w:rPr>
        <w:tab/>
      </w:r>
      <w:r w:rsidR="006B3E31">
        <w:rPr>
          <w:sz w:val="24"/>
        </w:rPr>
        <w:t>Christopher Mickelson</w:t>
      </w:r>
      <w:r w:rsidRPr="0042096A">
        <w:rPr>
          <w:sz w:val="24"/>
        </w:rPr>
        <w:t>, Regulatory Analyst</w:t>
      </w: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r>
      <w:r w:rsidR="00640B09">
        <w:rPr>
          <w:sz w:val="24"/>
        </w:rPr>
        <w:t>John Cupp</w:t>
      </w:r>
      <w:r>
        <w:rPr>
          <w:sz w:val="24"/>
        </w:rPr>
        <w:t xml:space="preserve">, </w:t>
      </w:r>
      <w:r w:rsidR="00F061F8">
        <w:rPr>
          <w:sz w:val="24"/>
        </w:rPr>
        <w:t xml:space="preserve">Consumer </w:t>
      </w:r>
      <w:r w:rsidR="006B3E31">
        <w:rPr>
          <w:sz w:val="24"/>
        </w:rPr>
        <w:t>Protection Staff</w:t>
      </w:r>
    </w:p>
    <w:p w:rsidR="0045500C"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F720D5"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720D5">
        <w:rPr>
          <w:b/>
          <w:sz w:val="24"/>
          <w:u w:val="single"/>
        </w:rPr>
        <w:t>Recommendation</w:t>
      </w:r>
    </w:p>
    <w:p w:rsidR="00697E4B" w:rsidRDefault="00697E4B"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D55916" w:rsidRPr="0050505B" w:rsidRDefault="00D55916" w:rsidP="00D55916">
      <w:pPr>
        <w:pStyle w:val="BodyText"/>
        <w:numPr>
          <w:ilvl w:val="0"/>
          <w:numId w:val="8"/>
        </w:numPr>
        <w:rPr>
          <w:rFonts w:ascii="Times New Roman" w:hAnsi="Times New Roman"/>
          <w:color w:val="000000"/>
        </w:rPr>
      </w:pPr>
      <w:r w:rsidRPr="0050505B">
        <w:rPr>
          <w:rFonts w:ascii="Times New Roman" w:hAnsi="Times New Roman"/>
          <w:color w:val="000000"/>
        </w:rPr>
        <w:t xml:space="preserve">Dismiss the Complaint and Order Suspending the Tariff Revisions filed by </w:t>
      </w:r>
      <w:r w:rsidR="006C3E3F" w:rsidRPr="006C3E3F">
        <w:rPr>
          <w:rFonts w:ascii="Times New Roman" w:hAnsi="Times New Roman"/>
          <w:color w:val="000000"/>
        </w:rPr>
        <w:t>Country Meadows East Water System #2</w:t>
      </w:r>
      <w:r w:rsidRPr="0050505B">
        <w:rPr>
          <w:rFonts w:ascii="Times New Roman" w:hAnsi="Times New Roman"/>
          <w:color w:val="000000"/>
        </w:rPr>
        <w:t>.</w:t>
      </w:r>
    </w:p>
    <w:p w:rsidR="00D55916" w:rsidRPr="0050505B" w:rsidRDefault="00D55916" w:rsidP="00D55916">
      <w:pPr>
        <w:pStyle w:val="BodyText"/>
        <w:rPr>
          <w:rFonts w:ascii="Times New Roman" w:hAnsi="Times New Roman"/>
          <w:color w:val="000000"/>
        </w:rPr>
      </w:pPr>
    </w:p>
    <w:p w:rsidR="001D338C" w:rsidRPr="006C3E3F" w:rsidRDefault="00D55916" w:rsidP="006C3E3F">
      <w:pPr>
        <w:pStyle w:val="BodyText"/>
        <w:numPr>
          <w:ilvl w:val="0"/>
          <w:numId w:val="8"/>
        </w:numPr>
        <w:rPr>
          <w:rFonts w:ascii="Times New Roman" w:hAnsi="Times New Roman"/>
          <w:color w:val="000000"/>
        </w:rPr>
      </w:pPr>
      <w:r w:rsidRPr="0050505B">
        <w:rPr>
          <w:rFonts w:ascii="Times New Roman" w:hAnsi="Times New Roman"/>
          <w:color w:val="000000"/>
        </w:rPr>
        <w:t>A</w:t>
      </w:r>
      <w:r w:rsidR="006C3E3F" w:rsidRPr="006C3E3F">
        <w:rPr>
          <w:rFonts w:ascii="Times New Roman" w:hAnsi="Times New Roman"/>
          <w:color w:val="000000"/>
        </w:rPr>
        <w:t xml:space="preserve">pprove staff recommended </w:t>
      </w:r>
      <w:r w:rsidR="00B91F45" w:rsidRPr="006C3E3F">
        <w:rPr>
          <w:rFonts w:ascii="Times New Roman" w:hAnsi="Times New Roman"/>
          <w:color w:val="000000"/>
        </w:rPr>
        <w:t>revised rates filed by Country Meadows E</w:t>
      </w:r>
      <w:r w:rsidR="00CB5DFA">
        <w:rPr>
          <w:rFonts w:ascii="Times New Roman" w:hAnsi="Times New Roman"/>
          <w:color w:val="000000"/>
        </w:rPr>
        <w:t>.</w:t>
      </w:r>
      <w:r w:rsidR="00B91F45" w:rsidRPr="006C3E3F">
        <w:rPr>
          <w:rFonts w:ascii="Times New Roman" w:hAnsi="Times New Roman"/>
          <w:color w:val="000000"/>
        </w:rPr>
        <w:t xml:space="preserve"> Water System #2 on </w:t>
      </w:r>
      <w:r w:rsidR="00CB5DFA">
        <w:rPr>
          <w:rFonts w:ascii="Times New Roman" w:hAnsi="Times New Roman"/>
          <w:color w:val="000000"/>
        </w:rPr>
        <w:t xml:space="preserve">March </w:t>
      </w:r>
      <w:r w:rsidR="00B91F45" w:rsidRPr="006C3E3F">
        <w:rPr>
          <w:rFonts w:ascii="Times New Roman" w:hAnsi="Times New Roman"/>
          <w:color w:val="000000"/>
        </w:rPr>
        <w:t>1</w:t>
      </w:r>
      <w:r w:rsidR="00CB5DFA">
        <w:rPr>
          <w:rFonts w:ascii="Times New Roman" w:hAnsi="Times New Roman"/>
          <w:color w:val="000000"/>
        </w:rPr>
        <w:t>5</w:t>
      </w:r>
      <w:r w:rsidR="00B91F45" w:rsidRPr="006C3E3F">
        <w:rPr>
          <w:rFonts w:ascii="Times New Roman" w:hAnsi="Times New Roman"/>
          <w:color w:val="000000"/>
        </w:rPr>
        <w:t xml:space="preserve">, 2011, to become effective </w:t>
      </w:r>
      <w:r w:rsidR="00501873">
        <w:rPr>
          <w:rFonts w:ascii="Times New Roman" w:hAnsi="Times New Roman"/>
          <w:color w:val="000000"/>
        </w:rPr>
        <w:t xml:space="preserve">April </w:t>
      </w:r>
      <w:r w:rsidR="00B91F45" w:rsidRPr="006C3E3F">
        <w:rPr>
          <w:rFonts w:ascii="Times New Roman" w:hAnsi="Times New Roman"/>
          <w:color w:val="000000"/>
        </w:rPr>
        <w:t>1, 2011</w:t>
      </w:r>
      <w:r w:rsidR="006C3E3F" w:rsidRPr="006C3E3F">
        <w:rPr>
          <w:rFonts w:ascii="Times New Roman" w:hAnsi="Times New Roman"/>
          <w:color w:val="000000"/>
        </w:rPr>
        <w:t>.</w:t>
      </w:r>
    </w:p>
    <w:p w:rsidR="00487380" w:rsidRPr="006C3E3F" w:rsidRDefault="00487380" w:rsidP="006C3E3F">
      <w:pPr>
        <w:pStyle w:val="BodyText"/>
        <w:rPr>
          <w:rFonts w:ascii="Times New Roman" w:hAnsi="Times New Roman"/>
          <w:color w:val="000000"/>
        </w:rPr>
      </w:pPr>
    </w:p>
    <w:p w:rsidR="006C3C23" w:rsidRDefault="006C3C23" w:rsidP="006C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2096A">
        <w:rPr>
          <w:b/>
          <w:bCs/>
          <w:sz w:val="24"/>
          <w:u w:val="single"/>
        </w:rPr>
        <w:t>Discussion</w:t>
      </w:r>
    </w:p>
    <w:p w:rsidR="0045500C" w:rsidRPr="0042096A"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640B09" w:rsidRDefault="00B91F45" w:rsidP="00B91F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O</w:t>
      </w:r>
      <w:r w:rsidRPr="00B34AE0">
        <w:rPr>
          <w:sz w:val="24"/>
        </w:rPr>
        <w:t xml:space="preserve">n </w:t>
      </w:r>
      <w:r w:rsidR="00980C39">
        <w:rPr>
          <w:sz w:val="24"/>
        </w:rPr>
        <w:t>December 20, 2010,</w:t>
      </w:r>
      <w:r w:rsidR="00B02091">
        <w:rPr>
          <w:sz w:val="24"/>
        </w:rPr>
        <w:t xml:space="preserve"> </w:t>
      </w:r>
      <w:r>
        <w:rPr>
          <w:sz w:val="24"/>
        </w:rPr>
        <w:t>Country Meadows E</w:t>
      </w:r>
      <w:r w:rsidR="003B3246">
        <w:rPr>
          <w:sz w:val="24"/>
        </w:rPr>
        <w:t>ast</w:t>
      </w:r>
      <w:r>
        <w:rPr>
          <w:sz w:val="24"/>
        </w:rPr>
        <w:t xml:space="preserve"> Water System #2 (Country Meadows or company) filed </w:t>
      </w:r>
      <w:r w:rsidRPr="00B34AE0">
        <w:rPr>
          <w:sz w:val="24"/>
        </w:rPr>
        <w:t>with the Utilities and Transportation Commission (</w:t>
      </w:r>
      <w:r>
        <w:rPr>
          <w:sz w:val="24"/>
        </w:rPr>
        <w:t>c</w:t>
      </w:r>
      <w:r w:rsidRPr="00B34AE0">
        <w:rPr>
          <w:sz w:val="24"/>
        </w:rPr>
        <w:t xml:space="preserve">ommission) </w:t>
      </w:r>
      <w:r w:rsidRPr="00040E04">
        <w:rPr>
          <w:sz w:val="24"/>
        </w:rPr>
        <w:t xml:space="preserve">tariff revisions </w:t>
      </w:r>
      <w:r>
        <w:rPr>
          <w:sz w:val="24"/>
        </w:rPr>
        <w:t xml:space="preserve">that would generate </w:t>
      </w:r>
      <w:r w:rsidRPr="00AF7170">
        <w:rPr>
          <w:sz w:val="24"/>
        </w:rPr>
        <w:t>$</w:t>
      </w:r>
      <w:r>
        <w:rPr>
          <w:sz w:val="24"/>
        </w:rPr>
        <w:t>5,760</w:t>
      </w:r>
      <w:r w:rsidRPr="00AF7170">
        <w:rPr>
          <w:sz w:val="24"/>
        </w:rPr>
        <w:t xml:space="preserve"> </w:t>
      </w:r>
      <w:r>
        <w:rPr>
          <w:sz w:val="24"/>
        </w:rPr>
        <w:t xml:space="preserve">(98.4 </w:t>
      </w:r>
      <w:r w:rsidRPr="00B34AE0">
        <w:rPr>
          <w:sz w:val="24"/>
        </w:rPr>
        <w:t xml:space="preserve">percent) in additional </w:t>
      </w:r>
      <w:r>
        <w:rPr>
          <w:sz w:val="24"/>
        </w:rPr>
        <w:t xml:space="preserve">annual </w:t>
      </w:r>
      <w:r w:rsidRPr="00B34AE0">
        <w:rPr>
          <w:sz w:val="24"/>
        </w:rPr>
        <w:t>revenue</w:t>
      </w:r>
      <w:r>
        <w:rPr>
          <w:sz w:val="24"/>
        </w:rPr>
        <w:t xml:space="preserve">. </w:t>
      </w:r>
      <w:r w:rsidRPr="002047C9">
        <w:rPr>
          <w:bCs/>
          <w:sz w:val="24"/>
        </w:rPr>
        <w:t>The company serves 1</w:t>
      </w:r>
      <w:r>
        <w:rPr>
          <w:bCs/>
          <w:sz w:val="24"/>
        </w:rPr>
        <w:t xml:space="preserve">6 </w:t>
      </w:r>
      <w:r w:rsidRPr="002047C9">
        <w:rPr>
          <w:bCs/>
          <w:sz w:val="24"/>
        </w:rPr>
        <w:t xml:space="preserve">customers in </w:t>
      </w:r>
      <w:r>
        <w:rPr>
          <w:bCs/>
          <w:sz w:val="24"/>
        </w:rPr>
        <w:t>Pierce County</w:t>
      </w:r>
      <w:r w:rsidRPr="002047C9">
        <w:rPr>
          <w:sz w:val="24"/>
        </w:rPr>
        <w:t>. Th</w:t>
      </w:r>
      <w:r>
        <w:rPr>
          <w:sz w:val="24"/>
        </w:rPr>
        <w:t xml:space="preserve">e company came under regulation </w:t>
      </w:r>
      <w:r w:rsidRPr="002047C9">
        <w:rPr>
          <w:sz w:val="24"/>
        </w:rPr>
        <w:t xml:space="preserve">on </w:t>
      </w:r>
      <w:r>
        <w:rPr>
          <w:sz w:val="24"/>
        </w:rPr>
        <w:t>May</w:t>
      </w:r>
      <w:r w:rsidRPr="002047C9">
        <w:rPr>
          <w:sz w:val="24"/>
        </w:rPr>
        <w:t xml:space="preserve"> </w:t>
      </w:r>
      <w:r>
        <w:rPr>
          <w:sz w:val="24"/>
        </w:rPr>
        <w:t>14</w:t>
      </w:r>
      <w:r w:rsidRPr="002047C9">
        <w:rPr>
          <w:sz w:val="24"/>
        </w:rPr>
        <w:t>, 200</w:t>
      </w:r>
      <w:r>
        <w:rPr>
          <w:sz w:val="24"/>
        </w:rPr>
        <w:t>3, this is the</w:t>
      </w:r>
      <w:r w:rsidRPr="002047C9">
        <w:rPr>
          <w:sz w:val="24"/>
        </w:rPr>
        <w:t xml:space="preserve"> company’s </w:t>
      </w:r>
      <w:r>
        <w:rPr>
          <w:sz w:val="24"/>
        </w:rPr>
        <w:t xml:space="preserve">first </w:t>
      </w:r>
      <w:r w:rsidRPr="002047C9">
        <w:rPr>
          <w:sz w:val="24"/>
        </w:rPr>
        <w:t>general rate increase</w:t>
      </w:r>
      <w:r w:rsidRPr="007A5EDA">
        <w:rPr>
          <w:sz w:val="24"/>
        </w:rPr>
        <w:t>.</w:t>
      </w:r>
    </w:p>
    <w:p w:rsidR="00640B09" w:rsidRDefault="00640B09" w:rsidP="00B91F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91F45" w:rsidRDefault="00B91F45" w:rsidP="00B91F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047C9">
        <w:rPr>
          <w:sz w:val="24"/>
        </w:rPr>
        <w:t xml:space="preserve">The proposed rates are prompted by increases in operating costs such as </w:t>
      </w:r>
      <w:r>
        <w:rPr>
          <w:sz w:val="24"/>
        </w:rPr>
        <w:t>chemicals, testing, and electrical power</w:t>
      </w:r>
      <w:r w:rsidRPr="00C620B9">
        <w:rPr>
          <w:sz w:val="24"/>
        </w:rPr>
        <w:t xml:space="preserve">. </w:t>
      </w:r>
      <w:r>
        <w:rPr>
          <w:sz w:val="24"/>
        </w:rPr>
        <w:t>Country Meadows</w:t>
      </w:r>
      <w:r w:rsidRPr="00C620B9">
        <w:rPr>
          <w:sz w:val="24"/>
        </w:rPr>
        <w:t xml:space="preserve"> also filed to update tariff language and adjust ancillary charges</w:t>
      </w:r>
      <w:r>
        <w:rPr>
          <w:sz w:val="24"/>
        </w:rPr>
        <w:t xml:space="preserve"> for </w:t>
      </w:r>
      <w:r w:rsidRPr="00C620B9">
        <w:rPr>
          <w:sz w:val="24"/>
        </w:rPr>
        <w:t xml:space="preserve">reconnection, disconnection, </w:t>
      </w:r>
      <w:r>
        <w:rPr>
          <w:sz w:val="24"/>
        </w:rPr>
        <w:t xml:space="preserve">service visit, </w:t>
      </w:r>
      <w:r w:rsidRPr="00C620B9">
        <w:rPr>
          <w:sz w:val="24"/>
        </w:rPr>
        <w:t xml:space="preserve">late payment, account setup, </w:t>
      </w:r>
      <w:r>
        <w:rPr>
          <w:sz w:val="24"/>
        </w:rPr>
        <w:t>non-sufficient funds (NSF)</w:t>
      </w:r>
      <w:r w:rsidRPr="00C620B9">
        <w:rPr>
          <w:sz w:val="24"/>
        </w:rPr>
        <w:t xml:space="preserve"> check, and water availability letter. In addition, </w:t>
      </w:r>
      <w:r>
        <w:rPr>
          <w:sz w:val="24"/>
        </w:rPr>
        <w:t>Country Meadows</w:t>
      </w:r>
      <w:r w:rsidRPr="00C620B9">
        <w:rPr>
          <w:sz w:val="24"/>
        </w:rPr>
        <w:t xml:space="preserve"> adds cross-connection control language and charges. </w:t>
      </w:r>
      <w:r>
        <w:rPr>
          <w:sz w:val="24"/>
        </w:rPr>
        <w:t xml:space="preserve">Fourteen customers are metered and two customers are unmetered. The company plans to install the two remaining meters </w:t>
      </w:r>
      <w:r w:rsidRPr="00BC18D8">
        <w:rPr>
          <w:sz w:val="24"/>
        </w:rPr>
        <w:t xml:space="preserve">by </w:t>
      </w:r>
      <w:r>
        <w:rPr>
          <w:sz w:val="24"/>
        </w:rPr>
        <w:t>June 1,</w:t>
      </w:r>
      <w:r w:rsidRPr="00BC18D8">
        <w:rPr>
          <w:sz w:val="24"/>
        </w:rPr>
        <w:t xml:space="preserve"> 2011</w:t>
      </w:r>
      <w:r>
        <w:rPr>
          <w:sz w:val="24"/>
        </w:rPr>
        <w:t>.</w:t>
      </w:r>
    </w:p>
    <w:p w:rsidR="00B91F45" w:rsidRDefault="00B91F45" w:rsidP="00B91F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91F45" w:rsidRDefault="00B91F45" w:rsidP="00B91F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All customers are currently charged a flat rate. </w:t>
      </w:r>
      <w:r w:rsidRPr="00CF3650">
        <w:rPr>
          <w:sz w:val="24"/>
        </w:rPr>
        <w:t>The pr</w:t>
      </w:r>
      <w:r>
        <w:rPr>
          <w:sz w:val="24"/>
        </w:rPr>
        <w:t>oposed rate design helps encourage conservation by moving from an unmetered rate to meter usage rates and blocks, adding upsize meter rates and blocks, adding a ready-to-serve charge, and increasing unmetered charges.</w:t>
      </w:r>
    </w:p>
    <w:p w:rsidR="006F3ED6" w:rsidRDefault="006F3ED6" w:rsidP="00B91F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6F3ED6" w:rsidRDefault="00F929EF" w:rsidP="00B91F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D30610">
        <w:rPr>
          <w:sz w:val="24"/>
        </w:rPr>
        <w:t>Staff and</w:t>
      </w:r>
      <w:r w:rsidRPr="007E4B76">
        <w:rPr>
          <w:sz w:val="24"/>
        </w:rPr>
        <w:t xml:space="preserve"> the company agreed to a </w:t>
      </w:r>
      <w:r w:rsidRPr="00F063AC">
        <w:rPr>
          <w:sz w:val="24"/>
        </w:rPr>
        <w:t>revised revenue requirement of $</w:t>
      </w:r>
      <w:r>
        <w:rPr>
          <w:sz w:val="24"/>
        </w:rPr>
        <w:t>4,</w:t>
      </w:r>
      <w:r w:rsidR="00CE33AF">
        <w:rPr>
          <w:sz w:val="24"/>
        </w:rPr>
        <w:t>732</w:t>
      </w:r>
      <w:r w:rsidRPr="00F063AC">
        <w:rPr>
          <w:sz w:val="24"/>
        </w:rPr>
        <w:t xml:space="preserve"> (</w:t>
      </w:r>
      <w:r w:rsidR="00CE33AF">
        <w:rPr>
          <w:sz w:val="24"/>
        </w:rPr>
        <w:t>80.8</w:t>
      </w:r>
      <w:r w:rsidRPr="00F063AC">
        <w:rPr>
          <w:sz w:val="24"/>
        </w:rPr>
        <w:t xml:space="preserve"> percent) in additional annual revenue and revised rates.</w:t>
      </w:r>
      <w:r>
        <w:rPr>
          <w:sz w:val="24"/>
        </w:rPr>
        <w:t xml:space="preserve"> </w:t>
      </w:r>
      <w:r w:rsidR="006F3ED6">
        <w:rPr>
          <w:sz w:val="24"/>
        </w:rPr>
        <w:t>On January 1</w:t>
      </w:r>
      <w:r w:rsidR="006F3ED6" w:rsidRPr="00D07EC1">
        <w:rPr>
          <w:sz w:val="24"/>
        </w:rPr>
        <w:t>3, 2011, the</w:t>
      </w:r>
      <w:r w:rsidR="006F3ED6" w:rsidRPr="00F063AC">
        <w:rPr>
          <w:sz w:val="24"/>
        </w:rPr>
        <w:t xml:space="preserve"> company filed revised rates</w:t>
      </w:r>
      <w:r w:rsidR="006F3ED6">
        <w:rPr>
          <w:sz w:val="24"/>
        </w:rPr>
        <w:t>.</w:t>
      </w:r>
    </w:p>
    <w:p w:rsidR="003C47FF" w:rsidRDefault="003C47FF" w:rsidP="00B91F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A30E1" w:rsidRDefault="005A30E1" w:rsidP="005A3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F694B">
        <w:rPr>
          <w:sz w:val="24"/>
        </w:rPr>
        <w:t xml:space="preserve">On </w:t>
      </w:r>
      <w:r w:rsidR="003C47FF">
        <w:rPr>
          <w:sz w:val="24"/>
        </w:rPr>
        <w:t>January</w:t>
      </w:r>
      <w:r>
        <w:rPr>
          <w:sz w:val="24"/>
        </w:rPr>
        <w:t xml:space="preserve"> 2</w:t>
      </w:r>
      <w:r w:rsidR="003C47FF">
        <w:rPr>
          <w:sz w:val="24"/>
        </w:rPr>
        <w:t>7</w:t>
      </w:r>
      <w:r w:rsidRPr="005F694B">
        <w:rPr>
          <w:sz w:val="24"/>
        </w:rPr>
        <w:t>, 20</w:t>
      </w:r>
      <w:r w:rsidR="003C47FF">
        <w:rPr>
          <w:sz w:val="24"/>
        </w:rPr>
        <w:t>11</w:t>
      </w:r>
      <w:r w:rsidRPr="005F694B">
        <w:rPr>
          <w:sz w:val="24"/>
        </w:rPr>
        <w:t>, the commission issued a complaint and order suspending the tariff revisions filed by the compan</w:t>
      </w:r>
      <w:r>
        <w:rPr>
          <w:sz w:val="24"/>
        </w:rPr>
        <w:t>y</w:t>
      </w:r>
      <w:r w:rsidRPr="005F694B">
        <w:rPr>
          <w:sz w:val="24"/>
        </w:rPr>
        <w:t xml:space="preserve"> on </w:t>
      </w:r>
      <w:r w:rsidR="003C47FF" w:rsidRPr="003C47FF">
        <w:rPr>
          <w:sz w:val="24"/>
        </w:rPr>
        <w:t xml:space="preserve">December 20, 2010, and </w:t>
      </w:r>
      <w:r w:rsidR="00A74C84">
        <w:rPr>
          <w:sz w:val="24"/>
        </w:rPr>
        <w:t>January</w:t>
      </w:r>
      <w:r>
        <w:rPr>
          <w:sz w:val="24"/>
        </w:rPr>
        <w:t xml:space="preserve"> 1</w:t>
      </w:r>
      <w:r w:rsidR="00A74C84">
        <w:rPr>
          <w:sz w:val="24"/>
        </w:rPr>
        <w:t>3</w:t>
      </w:r>
      <w:r>
        <w:rPr>
          <w:sz w:val="24"/>
        </w:rPr>
        <w:t>, 20</w:t>
      </w:r>
      <w:r w:rsidR="00A74C84">
        <w:rPr>
          <w:sz w:val="24"/>
        </w:rPr>
        <w:t>11</w:t>
      </w:r>
      <w:r w:rsidRPr="005F694B">
        <w:rPr>
          <w:sz w:val="24"/>
        </w:rPr>
        <w:t>.</w:t>
      </w:r>
      <w:r w:rsidR="003C47FF">
        <w:rPr>
          <w:sz w:val="24"/>
        </w:rPr>
        <w:t xml:space="preserve"> </w:t>
      </w:r>
      <w:r w:rsidR="00411DC5">
        <w:rPr>
          <w:sz w:val="24"/>
        </w:rPr>
        <w:t>This action was prom</w:t>
      </w:r>
      <w:r w:rsidR="00EC10D7">
        <w:rPr>
          <w:sz w:val="24"/>
        </w:rPr>
        <w:t>p</w:t>
      </w:r>
      <w:r w:rsidR="00411DC5">
        <w:rPr>
          <w:sz w:val="24"/>
        </w:rPr>
        <w:t xml:space="preserve">ted by </w:t>
      </w:r>
      <w:r w:rsidR="003C47FF">
        <w:rPr>
          <w:sz w:val="24"/>
        </w:rPr>
        <w:t>additional</w:t>
      </w:r>
      <w:r w:rsidR="003C47FF" w:rsidRPr="003C47FF">
        <w:rPr>
          <w:sz w:val="24"/>
        </w:rPr>
        <w:t xml:space="preserve"> </w:t>
      </w:r>
      <w:r w:rsidR="003C47FF">
        <w:rPr>
          <w:sz w:val="24"/>
        </w:rPr>
        <w:t>inquiries</w:t>
      </w:r>
      <w:r w:rsidR="00411DC5">
        <w:rPr>
          <w:sz w:val="24"/>
        </w:rPr>
        <w:t xml:space="preserve"> about the </w:t>
      </w:r>
      <w:r w:rsidR="00EC10D7">
        <w:rPr>
          <w:sz w:val="24"/>
        </w:rPr>
        <w:t xml:space="preserve">water </w:t>
      </w:r>
      <w:r w:rsidR="00411DC5">
        <w:rPr>
          <w:sz w:val="24"/>
        </w:rPr>
        <w:t>system</w:t>
      </w:r>
      <w:r w:rsidR="008A04A1">
        <w:rPr>
          <w:sz w:val="24"/>
        </w:rPr>
        <w:t xml:space="preserve"> related to </w:t>
      </w:r>
      <w:r w:rsidR="00EC10D7">
        <w:rPr>
          <w:sz w:val="24"/>
        </w:rPr>
        <w:t xml:space="preserve">what </w:t>
      </w:r>
      <w:r w:rsidR="00411DC5">
        <w:rPr>
          <w:sz w:val="24"/>
        </w:rPr>
        <w:t>testing</w:t>
      </w:r>
      <w:r w:rsidR="00EC10D7">
        <w:rPr>
          <w:sz w:val="24"/>
        </w:rPr>
        <w:t xml:space="preserve"> is required</w:t>
      </w:r>
      <w:r w:rsidR="00457E34">
        <w:rPr>
          <w:sz w:val="24"/>
        </w:rPr>
        <w:t>, ownership of the water system,</w:t>
      </w:r>
      <w:r w:rsidR="00411DC5">
        <w:rPr>
          <w:sz w:val="24"/>
        </w:rPr>
        <w:t xml:space="preserve"> and</w:t>
      </w:r>
      <w:r w:rsidR="008A04A1">
        <w:rPr>
          <w:sz w:val="24"/>
        </w:rPr>
        <w:t xml:space="preserve"> whether to allow </w:t>
      </w:r>
      <w:r w:rsidR="00411DC5">
        <w:rPr>
          <w:sz w:val="24"/>
        </w:rPr>
        <w:t xml:space="preserve">the company </w:t>
      </w:r>
      <w:r w:rsidR="008A04A1">
        <w:rPr>
          <w:sz w:val="24"/>
        </w:rPr>
        <w:t xml:space="preserve">to </w:t>
      </w:r>
      <w:r w:rsidR="00411DC5">
        <w:rPr>
          <w:sz w:val="24"/>
        </w:rPr>
        <w:t>outsourc</w:t>
      </w:r>
      <w:r w:rsidR="008A04A1">
        <w:rPr>
          <w:sz w:val="24"/>
        </w:rPr>
        <w:t>e</w:t>
      </w:r>
      <w:r w:rsidR="00411DC5">
        <w:rPr>
          <w:sz w:val="24"/>
        </w:rPr>
        <w:t xml:space="preserve"> operations to a satellite management agency (SMA)</w:t>
      </w:r>
      <w:r w:rsidR="003C47FF">
        <w:rPr>
          <w:sz w:val="24"/>
        </w:rPr>
        <w:t>.</w:t>
      </w:r>
    </w:p>
    <w:p w:rsidR="00EC10D7" w:rsidRDefault="00EC10D7" w:rsidP="005A3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3B3508" w:rsidRDefault="003B3508" w:rsidP="005A3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3B3508" w:rsidRDefault="003B3508" w:rsidP="005A3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C10D7" w:rsidRPr="00411DC5" w:rsidRDefault="008A04A1" w:rsidP="00EC10D7">
      <w:pPr>
        <w:pStyle w:val="BodyText"/>
        <w:rPr>
          <w:rFonts w:ascii="Times New Roman" w:hAnsi="Times New Roman"/>
        </w:rPr>
      </w:pPr>
      <w:r>
        <w:rPr>
          <w:rFonts w:ascii="Times New Roman" w:hAnsi="Times New Roman"/>
        </w:rPr>
        <w:lastRenderedPageBreak/>
        <w:t>During t</w:t>
      </w:r>
      <w:r w:rsidR="00EC10D7" w:rsidRPr="00EC10D7">
        <w:rPr>
          <w:rFonts w:ascii="Times New Roman" w:hAnsi="Times New Roman"/>
        </w:rPr>
        <w:t xml:space="preserve">he open meeting </w:t>
      </w:r>
      <w:r w:rsidR="00CC71BD">
        <w:rPr>
          <w:rFonts w:ascii="Times New Roman" w:hAnsi="Times New Roman"/>
        </w:rPr>
        <w:t xml:space="preserve">of </w:t>
      </w:r>
      <w:r w:rsidR="00481405" w:rsidRPr="00EC10D7">
        <w:rPr>
          <w:rFonts w:ascii="Times New Roman" w:hAnsi="Times New Roman"/>
        </w:rPr>
        <w:t>January 27, 2011, staff informed commissioners that the water system had</w:t>
      </w:r>
      <w:r w:rsidR="00EC10D7" w:rsidRPr="00EC10D7">
        <w:rPr>
          <w:rFonts w:ascii="Times New Roman" w:hAnsi="Times New Roman"/>
        </w:rPr>
        <w:t xml:space="preserve"> a “green</w:t>
      </w:r>
      <w:r>
        <w:rPr>
          <w:rFonts w:ascii="Times New Roman" w:hAnsi="Times New Roman"/>
        </w:rPr>
        <w:t>”</w:t>
      </w:r>
      <w:r w:rsidR="00EC10D7" w:rsidRPr="00CC71BD">
        <w:rPr>
          <w:rStyle w:val="FootnoteReference"/>
          <w:rFonts w:ascii="Times New Roman" w:hAnsi="Times New Roman"/>
          <w:vertAlign w:val="superscript"/>
        </w:rPr>
        <w:footnoteReference w:id="1"/>
      </w:r>
      <w:r w:rsidR="00EC10D7" w:rsidRPr="00EC10D7">
        <w:rPr>
          <w:rFonts w:ascii="Times New Roman" w:hAnsi="Times New Roman"/>
        </w:rPr>
        <w:t xml:space="preserve"> color rating according to </w:t>
      </w:r>
      <w:r w:rsidR="00481405" w:rsidRPr="00EC10D7">
        <w:rPr>
          <w:rFonts w:ascii="Times New Roman" w:hAnsi="Times New Roman"/>
        </w:rPr>
        <w:t>Washington State Department of Health</w:t>
      </w:r>
      <w:r w:rsidR="00CC71BD">
        <w:rPr>
          <w:rFonts w:ascii="Times New Roman" w:hAnsi="Times New Roman"/>
        </w:rPr>
        <w:t>’s (DOH) website.</w:t>
      </w:r>
      <w:r w:rsidR="00663F01">
        <w:rPr>
          <w:rFonts w:ascii="Times New Roman" w:hAnsi="Times New Roman"/>
        </w:rPr>
        <w:t xml:space="preserve"> </w:t>
      </w:r>
      <w:r w:rsidR="00CC71BD">
        <w:rPr>
          <w:rFonts w:ascii="Times New Roman" w:hAnsi="Times New Roman"/>
        </w:rPr>
        <w:t>Subsequently, DOH updated their website to indicate the water system with a “blue</w:t>
      </w:r>
      <w:r>
        <w:rPr>
          <w:rFonts w:ascii="Times New Roman" w:hAnsi="Times New Roman"/>
        </w:rPr>
        <w:t>”</w:t>
      </w:r>
      <w:r w:rsidR="00CC71BD" w:rsidRPr="00CC71BD">
        <w:rPr>
          <w:rStyle w:val="FootnoteReference"/>
          <w:rFonts w:ascii="Times New Roman" w:hAnsi="Times New Roman"/>
          <w:vertAlign w:val="superscript"/>
        </w:rPr>
        <w:footnoteReference w:id="2"/>
      </w:r>
      <w:r w:rsidR="00CC71BD">
        <w:rPr>
          <w:rFonts w:ascii="Times New Roman" w:hAnsi="Times New Roman"/>
        </w:rPr>
        <w:t xml:space="preserve"> col</w:t>
      </w:r>
      <w:r>
        <w:rPr>
          <w:rFonts w:ascii="Times New Roman" w:hAnsi="Times New Roman"/>
        </w:rPr>
        <w:t>or rating on January 27, 2011.</w:t>
      </w:r>
    </w:p>
    <w:p w:rsidR="00411DC5" w:rsidRPr="00411DC5" w:rsidRDefault="00411DC5" w:rsidP="005A30E1">
      <w:pPr>
        <w:pStyle w:val="BodyText"/>
        <w:rPr>
          <w:rFonts w:ascii="Times New Roman" w:hAnsi="Times New Roman"/>
        </w:rPr>
      </w:pPr>
    </w:p>
    <w:p w:rsidR="005A30E1" w:rsidRDefault="008A04A1" w:rsidP="00B91F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Country Meadows is required to employ a </w:t>
      </w:r>
      <w:r w:rsidRPr="005A30E1">
        <w:rPr>
          <w:sz w:val="24"/>
        </w:rPr>
        <w:t>certified</w:t>
      </w:r>
      <w:r>
        <w:rPr>
          <w:sz w:val="24"/>
        </w:rPr>
        <w:t xml:space="preserve"> operator to carry out operational functions, due to the water system being classified as a “Group A Community” in</w:t>
      </w:r>
      <w:r w:rsidR="00B62A6A">
        <w:rPr>
          <w:sz w:val="24"/>
        </w:rPr>
        <w:t xml:space="preserve"> </w:t>
      </w:r>
      <w:r>
        <w:rPr>
          <w:sz w:val="24"/>
        </w:rPr>
        <w:t xml:space="preserve">accordance with </w:t>
      </w:r>
      <w:r w:rsidR="00CC71BD">
        <w:rPr>
          <w:sz w:val="24"/>
        </w:rPr>
        <w:t>DOH</w:t>
      </w:r>
      <w:r>
        <w:rPr>
          <w:sz w:val="24"/>
        </w:rPr>
        <w:t xml:space="preserve"> regulations in WAC 246-292.</w:t>
      </w:r>
      <w:r w:rsidR="00663F01">
        <w:rPr>
          <w:sz w:val="24"/>
        </w:rPr>
        <w:t xml:space="preserve"> </w:t>
      </w:r>
      <w:r w:rsidR="003C47FF" w:rsidRPr="00A74C84">
        <w:rPr>
          <w:sz w:val="24"/>
        </w:rPr>
        <w:t>WAC 246-292-020 defines who must have a certified operator, and WAC 246-292-050 details the minimum certification requirements for the various tasks involved in a small water system.</w:t>
      </w:r>
    </w:p>
    <w:p w:rsidR="00457E34" w:rsidRDefault="00457E34" w:rsidP="00B91F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7F7F" w:rsidRDefault="00B62A6A" w:rsidP="00B91F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WAC 246-290-300 require</w:t>
      </w:r>
      <w:r w:rsidR="001F47C4">
        <w:rPr>
          <w:sz w:val="24"/>
        </w:rPr>
        <w:t>s</w:t>
      </w:r>
      <w:r>
        <w:rPr>
          <w:sz w:val="24"/>
        </w:rPr>
        <w:t xml:space="preserve"> Group A water system</w:t>
      </w:r>
      <w:r w:rsidR="004E08A1">
        <w:rPr>
          <w:sz w:val="24"/>
        </w:rPr>
        <w:t>s to test for the following:</w:t>
      </w:r>
      <w:r w:rsidR="00457E34">
        <w:rPr>
          <w:sz w:val="24"/>
        </w:rPr>
        <w:t xml:space="preserve"> Volatile Organic Chemical (VOC), </w:t>
      </w:r>
      <w:r w:rsidR="009E1CD4">
        <w:rPr>
          <w:sz w:val="24"/>
        </w:rPr>
        <w:t xml:space="preserve">Inorganic Chemical (IOC), </w:t>
      </w:r>
      <w:r w:rsidR="00457E34">
        <w:rPr>
          <w:sz w:val="24"/>
        </w:rPr>
        <w:t xml:space="preserve">Synthetic Organic </w:t>
      </w:r>
      <w:r w:rsidR="008038F7">
        <w:rPr>
          <w:sz w:val="24"/>
        </w:rPr>
        <w:t>Compound</w:t>
      </w:r>
      <w:r w:rsidR="00457E34">
        <w:rPr>
          <w:sz w:val="24"/>
        </w:rPr>
        <w:t xml:space="preserve"> (SOC), Radiological (</w:t>
      </w:r>
      <w:r w:rsidR="009E1CD4">
        <w:rPr>
          <w:sz w:val="24"/>
        </w:rPr>
        <w:t>Radium + Alpha)</w:t>
      </w:r>
      <w:r w:rsidR="00457E34">
        <w:rPr>
          <w:sz w:val="24"/>
        </w:rPr>
        <w:t xml:space="preserve">, </w:t>
      </w:r>
      <w:r w:rsidR="009E1CD4">
        <w:rPr>
          <w:sz w:val="24"/>
        </w:rPr>
        <w:t>Nitrate</w:t>
      </w:r>
      <w:r w:rsidR="00457E34">
        <w:rPr>
          <w:sz w:val="24"/>
        </w:rPr>
        <w:t xml:space="preserve">, Lead and Copper, </w:t>
      </w:r>
      <w:r w:rsidR="004E7F7F">
        <w:rPr>
          <w:sz w:val="24"/>
        </w:rPr>
        <w:t>and Coliform</w:t>
      </w:r>
      <w:r w:rsidR="009E1CD4">
        <w:rPr>
          <w:sz w:val="24"/>
        </w:rPr>
        <w:t>.</w:t>
      </w:r>
      <w:r w:rsidR="00663F01">
        <w:rPr>
          <w:sz w:val="24"/>
        </w:rPr>
        <w:t xml:space="preserve"> </w:t>
      </w:r>
      <w:r>
        <w:rPr>
          <w:sz w:val="24"/>
        </w:rPr>
        <w:t xml:space="preserve">The </w:t>
      </w:r>
      <w:r w:rsidR="004E08A1">
        <w:rPr>
          <w:sz w:val="24"/>
        </w:rPr>
        <w:t xml:space="preserve">testing </w:t>
      </w:r>
      <w:r>
        <w:rPr>
          <w:sz w:val="24"/>
        </w:rPr>
        <w:t>frequency varies from monthly to twice every ten years.</w:t>
      </w:r>
      <w:r w:rsidR="00663F01">
        <w:rPr>
          <w:sz w:val="24"/>
        </w:rPr>
        <w:t xml:space="preserve"> </w:t>
      </w:r>
      <w:r>
        <w:rPr>
          <w:sz w:val="24"/>
        </w:rPr>
        <w:t>Staff made adjustments to the company’s records to normalize the testing cost within the test period (s</w:t>
      </w:r>
      <w:r w:rsidR="004E7F7F">
        <w:rPr>
          <w:sz w:val="24"/>
        </w:rPr>
        <w:t xml:space="preserve">ee </w:t>
      </w:r>
      <w:r w:rsidR="00501873">
        <w:rPr>
          <w:sz w:val="24"/>
        </w:rPr>
        <w:t>“</w:t>
      </w:r>
      <w:r w:rsidR="004E7F7F">
        <w:rPr>
          <w:sz w:val="24"/>
        </w:rPr>
        <w:t>Table 1 –Testing</w:t>
      </w:r>
      <w:r w:rsidR="00501873">
        <w:rPr>
          <w:sz w:val="24"/>
        </w:rPr>
        <w:t>”</w:t>
      </w:r>
      <w:r w:rsidR="004E7F7F">
        <w:rPr>
          <w:sz w:val="24"/>
        </w:rPr>
        <w:t xml:space="preserve"> below</w:t>
      </w:r>
      <w:r>
        <w:rPr>
          <w:sz w:val="24"/>
        </w:rPr>
        <w:t>)</w:t>
      </w:r>
      <w:r w:rsidR="004E7F7F">
        <w:rPr>
          <w:sz w:val="24"/>
        </w:rPr>
        <w:t>.</w:t>
      </w:r>
    </w:p>
    <w:p w:rsidR="004E7F7F" w:rsidRPr="001F47C4" w:rsidRDefault="004E7F7F" w:rsidP="001F47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p>
    <w:p w:rsidR="004E7F7F" w:rsidRPr="004E7F7F" w:rsidRDefault="004E7F7F" w:rsidP="001F47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0"/>
        </w:rPr>
      </w:pPr>
      <w:r w:rsidRPr="001F47C4">
        <w:rPr>
          <w:b/>
          <w:sz w:val="24"/>
        </w:rPr>
        <w:t>Table 1 - Testing</w:t>
      </w:r>
    </w:p>
    <w:tbl>
      <w:tblPr>
        <w:tblStyle w:val="TableClassic1"/>
        <w:tblW w:w="5000" w:type="pct"/>
        <w:tblLook w:val="04A0"/>
      </w:tblPr>
      <w:tblGrid>
        <w:gridCol w:w="3428"/>
        <w:gridCol w:w="3074"/>
        <w:gridCol w:w="3074"/>
      </w:tblGrid>
      <w:tr w:rsidR="004E7F7F" w:rsidRPr="004E7F7F" w:rsidTr="001D1445">
        <w:trPr>
          <w:cnfStyle w:val="100000000000"/>
          <w:trHeight w:val="276"/>
        </w:trPr>
        <w:tc>
          <w:tcPr>
            <w:cnfStyle w:val="001000000000"/>
            <w:tcW w:w="1790" w:type="pct"/>
            <w:hideMark/>
          </w:tcPr>
          <w:p w:rsidR="004E7F7F" w:rsidRPr="00720011" w:rsidRDefault="004E7F7F" w:rsidP="004E7F7F">
            <w:pPr>
              <w:widowControl/>
              <w:autoSpaceDE/>
              <w:autoSpaceDN/>
              <w:adjustRightInd/>
              <w:jc w:val="center"/>
              <w:rPr>
                <w:sz w:val="24"/>
              </w:rPr>
            </w:pPr>
            <w:r w:rsidRPr="00720011">
              <w:rPr>
                <w:sz w:val="24"/>
              </w:rPr>
              <w:t>Chemical Test</w:t>
            </w:r>
          </w:p>
        </w:tc>
        <w:tc>
          <w:tcPr>
            <w:tcW w:w="1605" w:type="pct"/>
            <w:tcBorders>
              <w:top w:val="single" w:sz="12" w:space="0" w:color="000000"/>
              <w:right w:val="single" w:sz="4" w:space="0" w:color="auto"/>
            </w:tcBorders>
            <w:hideMark/>
          </w:tcPr>
          <w:p w:rsidR="004E7F7F" w:rsidRPr="00720011" w:rsidRDefault="004E7F7F" w:rsidP="004E7F7F">
            <w:pPr>
              <w:widowControl/>
              <w:autoSpaceDE/>
              <w:autoSpaceDN/>
              <w:adjustRightInd/>
              <w:jc w:val="center"/>
              <w:cnfStyle w:val="100000000000"/>
              <w:rPr>
                <w:sz w:val="24"/>
              </w:rPr>
            </w:pPr>
            <w:r w:rsidRPr="00720011">
              <w:rPr>
                <w:sz w:val="24"/>
              </w:rPr>
              <w:t>Company Paid (Test Period)</w:t>
            </w:r>
          </w:p>
        </w:tc>
        <w:tc>
          <w:tcPr>
            <w:tcW w:w="1605" w:type="pct"/>
            <w:tcBorders>
              <w:left w:val="single" w:sz="4" w:space="0" w:color="auto"/>
            </w:tcBorders>
            <w:hideMark/>
          </w:tcPr>
          <w:p w:rsidR="004E7F7F" w:rsidRPr="00720011" w:rsidRDefault="004E7F7F" w:rsidP="004E7F7F">
            <w:pPr>
              <w:widowControl/>
              <w:autoSpaceDE/>
              <w:autoSpaceDN/>
              <w:adjustRightInd/>
              <w:jc w:val="center"/>
              <w:cnfStyle w:val="100000000000"/>
              <w:rPr>
                <w:sz w:val="24"/>
              </w:rPr>
            </w:pPr>
            <w:r w:rsidRPr="00720011">
              <w:rPr>
                <w:sz w:val="24"/>
              </w:rPr>
              <w:t>Regulated Annual Cost</w:t>
            </w:r>
          </w:p>
        </w:tc>
      </w:tr>
      <w:tr w:rsidR="004E7F7F" w:rsidRPr="004E7F7F" w:rsidTr="00720011">
        <w:trPr>
          <w:trHeight w:val="300"/>
        </w:trPr>
        <w:tc>
          <w:tcPr>
            <w:cnfStyle w:val="001000000000"/>
            <w:tcW w:w="1790" w:type="pct"/>
            <w:noWrap/>
            <w:hideMark/>
          </w:tcPr>
          <w:p w:rsidR="004E7F7F" w:rsidRPr="00720011" w:rsidRDefault="004E7F7F" w:rsidP="004E7F7F">
            <w:pPr>
              <w:widowControl/>
              <w:autoSpaceDE/>
              <w:autoSpaceDN/>
              <w:adjustRightInd/>
              <w:rPr>
                <w:sz w:val="24"/>
              </w:rPr>
            </w:pPr>
            <w:r w:rsidRPr="00720011">
              <w:rPr>
                <w:sz w:val="24"/>
              </w:rPr>
              <w:t>VOC</w:t>
            </w:r>
          </w:p>
        </w:tc>
        <w:tc>
          <w:tcPr>
            <w:tcW w:w="1605" w:type="pct"/>
            <w:tcBorders>
              <w:right w:val="single" w:sz="4" w:space="0" w:color="auto"/>
            </w:tcBorders>
            <w:noWrap/>
            <w:vAlign w:val="center"/>
            <w:hideMark/>
          </w:tcPr>
          <w:p w:rsidR="004E7F7F" w:rsidRPr="00720011" w:rsidRDefault="00720011" w:rsidP="00EB2998">
            <w:pPr>
              <w:widowControl/>
              <w:autoSpaceDE/>
              <w:autoSpaceDN/>
              <w:adjustRightInd/>
              <w:jc w:val="center"/>
              <w:cnfStyle w:val="000000000000"/>
              <w:rPr>
                <w:sz w:val="24"/>
              </w:rPr>
            </w:pPr>
            <w:r>
              <w:rPr>
                <w:sz w:val="24"/>
              </w:rPr>
              <w:t xml:space="preserve">$    </w:t>
            </w:r>
            <w:r w:rsidR="004E7F7F" w:rsidRPr="00720011">
              <w:rPr>
                <w:sz w:val="24"/>
              </w:rPr>
              <w:t>325.00</w:t>
            </w:r>
          </w:p>
        </w:tc>
        <w:tc>
          <w:tcPr>
            <w:tcW w:w="1605" w:type="pct"/>
            <w:tcBorders>
              <w:left w:val="single" w:sz="4" w:space="0" w:color="auto"/>
            </w:tcBorders>
            <w:noWrap/>
            <w:vAlign w:val="center"/>
            <w:hideMark/>
          </w:tcPr>
          <w:p w:rsidR="004E7F7F" w:rsidRPr="00720011" w:rsidRDefault="004E7F7F" w:rsidP="00EB2998">
            <w:pPr>
              <w:widowControl/>
              <w:autoSpaceDE/>
              <w:autoSpaceDN/>
              <w:adjustRightInd/>
              <w:jc w:val="center"/>
              <w:cnfStyle w:val="000000000000"/>
              <w:rPr>
                <w:sz w:val="24"/>
              </w:rPr>
            </w:pPr>
            <w:r w:rsidRPr="00720011">
              <w:rPr>
                <w:sz w:val="24"/>
              </w:rPr>
              <w:t xml:space="preserve">$ </w:t>
            </w:r>
            <w:r w:rsidR="00720011">
              <w:rPr>
                <w:sz w:val="24"/>
              </w:rPr>
              <w:t xml:space="preserve">   1</w:t>
            </w:r>
            <w:r w:rsidRPr="00720011">
              <w:rPr>
                <w:sz w:val="24"/>
              </w:rPr>
              <w:t>30.00</w:t>
            </w:r>
          </w:p>
        </w:tc>
      </w:tr>
      <w:tr w:rsidR="004E7F7F" w:rsidRPr="004E7F7F" w:rsidTr="00720011">
        <w:trPr>
          <w:trHeight w:val="300"/>
        </w:trPr>
        <w:tc>
          <w:tcPr>
            <w:cnfStyle w:val="001000000000"/>
            <w:tcW w:w="1790" w:type="pct"/>
            <w:noWrap/>
            <w:hideMark/>
          </w:tcPr>
          <w:p w:rsidR="004E7F7F" w:rsidRPr="00720011" w:rsidRDefault="004E7F7F" w:rsidP="004E7F7F">
            <w:pPr>
              <w:widowControl/>
              <w:autoSpaceDE/>
              <w:autoSpaceDN/>
              <w:adjustRightInd/>
              <w:rPr>
                <w:sz w:val="24"/>
              </w:rPr>
            </w:pPr>
            <w:r w:rsidRPr="00720011">
              <w:rPr>
                <w:sz w:val="24"/>
              </w:rPr>
              <w:t>IOC</w:t>
            </w:r>
          </w:p>
        </w:tc>
        <w:tc>
          <w:tcPr>
            <w:tcW w:w="1605" w:type="pct"/>
            <w:tcBorders>
              <w:right w:val="single" w:sz="4" w:space="0" w:color="auto"/>
            </w:tcBorders>
            <w:noWrap/>
            <w:vAlign w:val="center"/>
            <w:hideMark/>
          </w:tcPr>
          <w:p w:rsidR="004E7F7F" w:rsidRPr="00720011" w:rsidRDefault="00720011" w:rsidP="00EB2998">
            <w:pPr>
              <w:widowControl/>
              <w:autoSpaceDE/>
              <w:autoSpaceDN/>
              <w:adjustRightInd/>
              <w:jc w:val="center"/>
              <w:cnfStyle w:val="000000000000"/>
              <w:rPr>
                <w:sz w:val="24"/>
              </w:rPr>
            </w:pPr>
            <w:r>
              <w:rPr>
                <w:sz w:val="24"/>
              </w:rPr>
              <w:t>$</w:t>
            </w:r>
            <w:r w:rsidR="00EB2998">
              <w:rPr>
                <w:sz w:val="24"/>
              </w:rPr>
              <w:t xml:space="preserve">     </w:t>
            </w:r>
            <w:r>
              <w:rPr>
                <w:sz w:val="24"/>
              </w:rPr>
              <w:t xml:space="preserve">        </w:t>
            </w:r>
            <w:r w:rsidR="004E7F7F" w:rsidRPr="00720011">
              <w:rPr>
                <w:sz w:val="24"/>
              </w:rPr>
              <w:t>-</w:t>
            </w:r>
          </w:p>
        </w:tc>
        <w:tc>
          <w:tcPr>
            <w:tcW w:w="1605" w:type="pct"/>
            <w:tcBorders>
              <w:left w:val="single" w:sz="4" w:space="0" w:color="auto"/>
            </w:tcBorders>
            <w:noWrap/>
            <w:vAlign w:val="center"/>
            <w:hideMark/>
          </w:tcPr>
          <w:p w:rsidR="004E7F7F" w:rsidRPr="00720011" w:rsidRDefault="004E7F7F" w:rsidP="00EB2998">
            <w:pPr>
              <w:widowControl/>
              <w:autoSpaceDE/>
              <w:autoSpaceDN/>
              <w:adjustRightInd/>
              <w:jc w:val="center"/>
              <w:cnfStyle w:val="000000000000"/>
              <w:rPr>
                <w:sz w:val="24"/>
              </w:rPr>
            </w:pPr>
            <w:r w:rsidRPr="00720011">
              <w:rPr>
                <w:sz w:val="24"/>
              </w:rPr>
              <w:t xml:space="preserve">$ </w:t>
            </w:r>
            <w:r w:rsidR="00720011">
              <w:rPr>
                <w:sz w:val="24"/>
              </w:rPr>
              <w:t xml:space="preserve">     </w:t>
            </w:r>
            <w:r w:rsidRPr="00720011">
              <w:rPr>
                <w:sz w:val="24"/>
              </w:rPr>
              <w:t>73.60</w:t>
            </w:r>
          </w:p>
        </w:tc>
      </w:tr>
      <w:tr w:rsidR="004E7F7F" w:rsidRPr="004E7F7F" w:rsidTr="00720011">
        <w:trPr>
          <w:trHeight w:val="300"/>
        </w:trPr>
        <w:tc>
          <w:tcPr>
            <w:cnfStyle w:val="001000000000"/>
            <w:tcW w:w="1790" w:type="pct"/>
            <w:noWrap/>
            <w:hideMark/>
          </w:tcPr>
          <w:p w:rsidR="004E7F7F" w:rsidRPr="00720011" w:rsidRDefault="004E7F7F" w:rsidP="004E7F7F">
            <w:pPr>
              <w:widowControl/>
              <w:autoSpaceDE/>
              <w:autoSpaceDN/>
              <w:adjustRightInd/>
              <w:rPr>
                <w:sz w:val="24"/>
              </w:rPr>
            </w:pPr>
            <w:r w:rsidRPr="00720011">
              <w:rPr>
                <w:sz w:val="24"/>
              </w:rPr>
              <w:t>SOC</w:t>
            </w:r>
          </w:p>
        </w:tc>
        <w:tc>
          <w:tcPr>
            <w:tcW w:w="1605" w:type="pct"/>
            <w:tcBorders>
              <w:right w:val="single" w:sz="4" w:space="0" w:color="auto"/>
            </w:tcBorders>
            <w:noWrap/>
            <w:vAlign w:val="center"/>
            <w:hideMark/>
          </w:tcPr>
          <w:p w:rsidR="004E7F7F" w:rsidRPr="00720011" w:rsidRDefault="004E7F7F" w:rsidP="00EB2998">
            <w:pPr>
              <w:widowControl/>
              <w:autoSpaceDE/>
              <w:autoSpaceDN/>
              <w:adjustRightInd/>
              <w:jc w:val="center"/>
              <w:cnfStyle w:val="000000000000"/>
              <w:rPr>
                <w:sz w:val="24"/>
              </w:rPr>
            </w:pPr>
            <w:r w:rsidRPr="00720011">
              <w:rPr>
                <w:sz w:val="24"/>
              </w:rPr>
              <w:t xml:space="preserve">$ </w:t>
            </w:r>
            <w:r w:rsidR="00720011">
              <w:rPr>
                <w:sz w:val="24"/>
              </w:rPr>
              <w:t xml:space="preserve">   </w:t>
            </w:r>
            <w:r w:rsidRPr="00720011">
              <w:rPr>
                <w:sz w:val="24"/>
              </w:rPr>
              <w:t>734.50</w:t>
            </w:r>
          </w:p>
        </w:tc>
        <w:tc>
          <w:tcPr>
            <w:tcW w:w="1605" w:type="pct"/>
            <w:tcBorders>
              <w:left w:val="single" w:sz="4" w:space="0" w:color="auto"/>
            </w:tcBorders>
            <w:noWrap/>
            <w:vAlign w:val="center"/>
            <w:hideMark/>
          </w:tcPr>
          <w:p w:rsidR="004E7F7F" w:rsidRPr="00720011" w:rsidRDefault="004E7F7F" w:rsidP="00EB2998">
            <w:pPr>
              <w:widowControl/>
              <w:autoSpaceDE/>
              <w:autoSpaceDN/>
              <w:adjustRightInd/>
              <w:jc w:val="center"/>
              <w:cnfStyle w:val="000000000000"/>
              <w:rPr>
                <w:sz w:val="24"/>
              </w:rPr>
            </w:pPr>
            <w:r w:rsidRPr="00720011">
              <w:rPr>
                <w:sz w:val="24"/>
              </w:rPr>
              <w:t xml:space="preserve">$ </w:t>
            </w:r>
            <w:r w:rsidR="00720011">
              <w:rPr>
                <w:sz w:val="24"/>
              </w:rPr>
              <w:t xml:space="preserve">   </w:t>
            </w:r>
            <w:r w:rsidRPr="00720011">
              <w:rPr>
                <w:sz w:val="24"/>
              </w:rPr>
              <w:t>148.33</w:t>
            </w:r>
          </w:p>
        </w:tc>
      </w:tr>
      <w:tr w:rsidR="004E7F7F" w:rsidRPr="004E7F7F" w:rsidTr="00720011">
        <w:trPr>
          <w:trHeight w:val="300"/>
        </w:trPr>
        <w:tc>
          <w:tcPr>
            <w:cnfStyle w:val="001000000000"/>
            <w:tcW w:w="1790" w:type="pct"/>
            <w:noWrap/>
            <w:hideMark/>
          </w:tcPr>
          <w:p w:rsidR="004E7F7F" w:rsidRPr="00720011" w:rsidRDefault="004E7F7F" w:rsidP="004E7F7F">
            <w:pPr>
              <w:widowControl/>
              <w:autoSpaceDE/>
              <w:autoSpaceDN/>
              <w:adjustRightInd/>
              <w:rPr>
                <w:sz w:val="24"/>
              </w:rPr>
            </w:pPr>
            <w:r w:rsidRPr="00720011">
              <w:rPr>
                <w:sz w:val="24"/>
              </w:rPr>
              <w:t>Lead + Copper</w:t>
            </w:r>
          </w:p>
        </w:tc>
        <w:tc>
          <w:tcPr>
            <w:tcW w:w="1605" w:type="pct"/>
            <w:tcBorders>
              <w:right w:val="single" w:sz="4" w:space="0" w:color="auto"/>
            </w:tcBorders>
            <w:noWrap/>
            <w:vAlign w:val="center"/>
            <w:hideMark/>
          </w:tcPr>
          <w:p w:rsidR="004E7F7F" w:rsidRPr="00720011" w:rsidRDefault="004E7F7F" w:rsidP="00EB2998">
            <w:pPr>
              <w:widowControl/>
              <w:autoSpaceDE/>
              <w:autoSpaceDN/>
              <w:adjustRightInd/>
              <w:jc w:val="center"/>
              <w:cnfStyle w:val="000000000000"/>
              <w:rPr>
                <w:sz w:val="24"/>
              </w:rPr>
            </w:pPr>
            <w:r w:rsidRPr="00720011">
              <w:rPr>
                <w:sz w:val="24"/>
              </w:rPr>
              <w:t xml:space="preserve">$ </w:t>
            </w:r>
            <w:r w:rsidR="00720011">
              <w:rPr>
                <w:sz w:val="24"/>
              </w:rPr>
              <w:t xml:space="preserve"> </w:t>
            </w:r>
            <w:r w:rsidR="00EB2998">
              <w:rPr>
                <w:sz w:val="24"/>
              </w:rPr>
              <w:t xml:space="preserve">     </w:t>
            </w:r>
            <w:r w:rsidR="00720011">
              <w:rPr>
                <w:sz w:val="24"/>
              </w:rPr>
              <w:t xml:space="preserve">      </w:t>
            </w:r>
            <w:r w:rsidRPr="00720011">
              <w:rPr>
                <w:sz w:val="24"/>
              </w:rPr>
              <w:t>-</w:t>
            </w:r>
          </w:p>
        </w:tc>
        <w:tc>
          <w:tcPr>
            <w:tcW w:w="1605" w:type="pct"/>
            <w:tcBorders>
              <w:left w:val="single" w:sz="4" w:space="0" w:color="auto"/>
            </w:tcBorders>
            <w:noWrap/>
            <w:vAlign w:val="center"/>
            <w:hideMark/>
          </w:tcPr>
          <w:p w:rsidR="004E7F7F" w:rsidRPr="00720011" w:rsidRDefault="004E7F7F" w:rsidP="00EB2998">
            <w:pPr>
              <w:widowControl/>
              <w:autoSpaceDE/>
              <w:autoSpaceDN/>
              <w:adjustRightInd/>
              <w:jc w:val="center"/>
              <w:cnfStyle w:val="000000000000"/>
              <w:rPr>
                <w:sz w:val="24"/>
              </w:rPr>
            </w:pPr>
            <w:r w:rsidRPr="00720011">
              <w:rPr>
                <w:sz w:val="24"/>
              </w:rPr>
              <w:t xml:space="preserve">$ </w:t>
            </w:r>
            <w:r w:rsidR="00720011">
              <w:rPr>
                <w:sz w:val="24"/>
              </w:rPr>
              <w:t xml:space="preserve">     </w:t>
            </w:r>
            <w:r w:rsidRPr="00720011">
              <w:rPr>
                <w:sz w:val="24"/>
              </w:rPr>
              <w:t>55.00</w:t>
            </w:r>
          </w:p>
        </w:tc>
      </w:tr>
      <w:tr w:rsidR="004E7F7F" w:rsidRPr="004E7F7F" w:rsidTr="00720011">
        <w:trPr>
          <w:trHeight w:val="300"/>
        </w:trPr>
        <w:tc>
          <w:tcPr>
            <w:cnfStyle w:val="001000000000"/>
            <w:tcW w:w="1790" w:type="pct"/>
            <w:noWrap/>
            <w:hideMark/>
          </w:tcPr>
          <w:p w:rsidR="004E7F7F" w:rsidRPr="00720011" w:rsidRDefault="008038F7" w:rsidP="004E7F7F">
            <w:pPr>
              <w:widowControl/>
              <w:autoSpaceDE/>
              <w:autoSpaceDN/>
              <w:adjustRightInd/>
              <w:rPr>
                <w:sz w:val="24"/>
              </w:rPr>
            </w:pPr>
            <w:r w:rsidRPr="00720011">
              <w:rPr>
                <w:sz w:val="24"/>
              </w:rPr>
              <w:t>Coliform</w:t>
            </w:r>
          </w:p>
        </w:tc>
        <w:tc>
          <w:tcPr>
            <w:tcW w:w="1605" w:type="pct"/>
            <w:tcBorders>
              <w:right w:val="single" w:sz="4" w:space="0" w:color="auto"/>
            </w:tcBorders>
            <w:noWrap/>
            <w:vAlign w:val="center"/>
            <w:hideMark/>
          </w:tcPr>
          <w:p w:rsidR="004E7F7F" w:rsidRPr="00720011" w:rsidRDefault="004E7F7F" w:rsidP="00EB2998">
            <w:pPr>
              <w:widowControl/>
              <w:autoSpaceDE/>
              <w:autoSpaceDN/>
              <w:adjustRightInd/>
              <w:jc w:val="center"/>
              <w:cnfStyle w:val="000000000000"/>
              <w:rPr>
                <w:sz w:val="24"/>
              </w:rPr>
            </w:pPr>
            <w:r w:rsidRPr="00720011">
              <w:rPr>
                <w:sz w:val="24"/>
              </w:rPr>
              <w:t xml:space="preserve">$ </w:t>
            </w:r>
            <w:r w:rsidR="00720011">
              <w:rPr>
                <w:sz w:val="24"/>
              </w:rPr>
              <w:t xml:space="preserve">   </w:t>
            </w:r>
            <w:r w:rsidRPr="00720011">
              <w:rPr>
                <w:sz w:val="24"/>
              </w:rPr>
              <w:t>316.02</w:t>
            </w:r>
          </w:p>
        </w:tc>
        <w:tc>
          <w:tcPr>
            <w:tcW w:w="1605" w:type="pct"/>
            <w:tcBorders>
              <w:left w:val="single" w:sz="4" w:space="0" w:color="auto"/>
            </w:tcBorders>
            <w:noWrap/>
            <w:vAlign w:val="center"/>
            <w:hideMark/>
          </w:tcPr>
          <w:p w:rsidR="004E7F7F" w:rsidRPr="00720011" w:rsidRDefault="004E7F7F" w:rsidP="00EB2998">
            <w:pPr>
              <w:widowControl/>
              <w:autoSpaceDE/>
              <w:autoSpaceDN/>
              <w:adjustRightInd/>
              <w:jc w:val="center"/>
              <w:cnfStyle w:val="000000000000"/>
              <w:rPr>
                <w:sz w:val="24"/>
              </w:rPr>
            </w:pPr>
            <w:r w:rsidRPr="00720011">
              <w:rPr>
                <w:sz w:val="24"/>
              </w:rPr>
              <w:t xml:space="preserve">$ </w:t>
            </w:r>
            <w:r w:rsidR="00720011">
              <w:rPr>
                <w:sz w:val="24"/>
              </w:rPr>
              <w:t xml:space="preserve">   </w:t>
            </w:r>
            <w:r w:rsidRPr="00720011">
              <w:rPr>
                <w:sz w:val="24"/>
              </w:rPr>
              <w:t>231.84</w:t>
            </w:r>
          </w:p>
        </w:tc>
      </w:tr>
      <w:tr w:rsidR="004E7F7F" w:rsidRPr="004E7F7F" w:rsidTr="00720011">
        <w:trPr>
          <w:trHeight w:val="300"/>
        </w:trPr>
        <w:tc>
          <w:tcPr>
            <w:cnfStyle w:val="001000000000"/>
            <w:tcW w:w="1790" w:type="pct"/>
            <w:tcBorders>
              <w:bottom w:val="nil"/>
            </w:tcBorders>
            <w:noWrap/>
            <w:hideMark/>
          </w:tcPr>
          <w:p w:rsidR="004E7F7F" w:rsidRPr="00720011" w:rsidRDefault="004E7F7F" w:rsidP="004E7F7F">
            <w:pPr>
              <w:widowControl/>
              <w:autoSpaceDE/>
              <w:autoSpaceDN/>
              <w:adjustRightInd/>
              <w:rPr>
                <w:sz w:val="24"/>
              </w:rPr>
            </w:pPr>
            <w:r w:rsidRPr="00720011">
              <w:rPr>
                <w:sz w:val="24"/>
              </w:rPr>
              <w:t>Radium + Alpha</w:t>
            </w:r>
          </w:p>
        </w:tc>
        <w:tc>
          <w:tcPr>
            <w:tcW w:w="1605" w:type="pct"/>
            <w:tcBorders>
              <w:bottom w:val="nil"/>
              <w:right w:val="single" w:sz="4" w:space="0" w:color="auto"/>
            </w:tcBorders>
            <w:noWrap/>
            <w:vAlign w:val="center"/>
            <w:hideMark/>
          </w:tcPr>
          <w:p w:rsidR="004E7F7F" w:rsidRPr="00720011" w:rsidRDefault="004E7F7F" w:rsidP="00EB2998">
            <w:pPr>
              <w:widowControl/>
              <w:autoSpaceDE/>
              <w:autoSpaceDN/>
              <w:adjustRightInd/>
              <w:jc w:val="center"/>
              <w:cnfStyle w:val="000000000000"/>
              <w:rPr>
                <w:sz w:val="24"/>
              </w:rPr>
            </w:pPr>
            <w:r w:rsidRPr="00720011">
              <w:rPr>
                <w:sz w:val="24"/>
              </w:rPr>
              <w:t xml:space="preserve">$ </w:t>
            </w:r>
            <w:r w:rsidR="00720011">
              <w:rPr>
                <w:sz w:val="24"/>
              </w:rPr>
              <w:t xml:space="preserve">   </w:t>
            </w:r>
            <w:r w:rsidRPr="00720011">
              <w:rPr>
                <w:sz w:val="24"/>
              </w:rPr>
              <w:t>305.50</w:t>
            </w:r>
          </w:p>
        </w:tc>
        <w:tc>
          <w:tcPr>
            <w:tcW w:w="1605" w:type="pct"/>
            <w:tcBorders>
              <w:left w:val="single" w:sz="4" w:space="0" w:color="auto"/>
              <w:bottom w:val="nil"/>
            </w:tcBorders>
            <w:noWrap/>
            <w:vAlign w:val="center"/>
            <w:hideMark/>
          </w:tcPr>
          <w:p w:rsidR="004E7F7F" w:rsidRPr="00720011" w:rsidRDefault="004E7F7F" w:rsidP="00EB2998">
            <w:pPr>
              <w:widowControl/>
              <w:autoSpaceDE/>
              <w:autoSpaceDN/>
              <w:adjustRightInd/>
              <w:jc w:val="center"/>
              <w:cnfStyle w:val="000000000000"/>
              <w:rPr>
                <w:sz w:val="24"/>
              </w:rPr>
            </w:pPr>
            <w:r w:rsidRPr="00720011">
              <w:rPr>
                <w:sz w:val="24"/>
              </w:rPr>
              <w:t xml:space="preserve">$ </w:t>
            </w:r>
            <w:r w:rsidR="00720011">
              <w:rPr>
                <w:sz w:val="24"/>
              </w:rPr>
              <w:t xml:space="preserve">   </w:t>
            </w:r>
            <w:r w:rsidRPr="00720011">
              <w:rPr>
                <w:sz w:val="24"/>
              </w:rPr>
              <w:t>186.67</w:t>
            </w:r>
          </w:p>
        </w:tc>
      </w:tr>
      <w:tr w:rsidR="004E7F7F" w:rsidRPr="004E7F7F" w:rsidTr="00720011">
        <w:trPr>
          <w:trHeight w:val="300"/>
        </w:trPr>
        <w:tc>
          <w:tcPr>
            <w:cnfStyle w:val="001000000000"/>
            <w:tcW w:w="1790" w:type="pct"/>
            <w:tcBorders>
              <w:top w:val="nil"/>
              <w:bottom w:val="single" w:sz="4" w:space="0" w:color="auto"/>
            </w:tcBorders>
            <w:noWrap/>
            <w:hideMark/>
          </w:tcPr>
          <w:p w:rsidR="004E7F7F" w:rsidRPr="00720011" w:rsidRDefault="004E7F7F" w:rsidP="004E7F7F">
            <w:pPr>
              <w:widowControl/>
              <w:autoSpaceDE/>
              <w:autoSpaceDN/>
              <w:adjustRightInd/>
              <w:rPr>
                <w:sz w:val="24"/>
              </w:rPr>
            </w:pPr>
            <w:r w:rsidRPr="00720011">
              <w:rPr>
                <w:sz w:val="24"/>
              </w:rPr>
              <w:t>Nitrate</w:t>
            </w:r>
          </w:p>
        </w:tc>
        <w:tc>
          <w:tcPr>
            <w:tcW w:w="1605" w:type="pct"/>
            <w:tcBorders>
              <w:top w:val="nil"/>
              <w:bottom w:val="single" w:sz="4" w:space="0" w:color="auto"/>
              <w:right w:val="single" w:sz="4" w:space="0" w:color="auto"/>
            </w:tcBorders>
            <w:noWrap/>
            <w:vAlign w:val="center"/>
            <w:hideMark/>
          </w:tcPr>
          <w:p w:rsidR="004E7F7F" w:rsidRPr="00720011" w:rsidRDefault="004E7F7F" w:rsidP="00EB2998">
            <w:pPr>
              <w:widowControl/>
              <w:autoSpaceDE/>
              <w:autoSpaceDN/>
              <w:adjustRightInd/>
              <w:jc w:val="center"/>
              <w:cnfStyle w:val="000000000000"/>
              <w:rPr>
                <w:sz w:val="24"/>
              </w:rPr>
            </w:pPr>
            <w:r w:rsidRPr="00720011">
              <w:rPr>
                <w:sz w:val="24"/>
              </w:rPr>
              <w:t xml:space="preserve">$ </w:t>
            </w:r>
            <w:r w:rsidR="00720011">
              <w:rPr>
                <w:sz w:val="24"/>
              </w:rPr>
              <w:t xml:space="preserve">   </w:t>
            </w:r>
            <w:r w:rsidRPr="00720011">
              <w:rPr>
                <w:sz w:val="24"/>
              </w:rPr>
              <w:t xml:space="preserve">  56.00</w:t>
            </w:r>
          </w:p>
        </w:tc>
        <w:tc>
          <w:tcPr>
            <w:tcW w:w="1605" w:type="pct"/>
            <w:tcBorders>
              <w:top w:val="nil"/>
              <w:left w:val="single" w:sz="4" w:space="0" w:color="auto"/>
              <w:bottom w:val="single" w:sz="4" w:space="0" w:color="auto"/>
            </w:tcBorders>
            <w:noWrap/>
            <w:vAlign w:val="center"/>
            <w:hideMark/>
          </w:tcPr>
          <w:p w:rsidR="004E7F7F" w:rsidRPr="00720011" w:rsidRDefault="004E7F7F" w:rsidP="00EB2998">
            <w:pPr>
              <w:widowControl/>
              <w:autoSpaceDE/>
              <w:autoSpaceDN/>
              <w:adjustRightInd/>
              <w:jc w:val="center"/>
              <w:cnfStyle w:val="000000000000"/>
              <w:rPr>
                <w:sz w:val="24"/>
              </w:rPr>
            </w:pPr>
            <w:r w:rsidRPr="00720011">
              <w:rPr>
                <w:sz w:val="24"/>
              </w:rPr>
              <w:t xml:space="preserve">$ </w:t>
            </w:r>
            <w:r w:rsidR="00720011">
              <w:rPr>
                <w:sz w:val="24"/>
              </w:rPr>
              <w:t xml:space="preserve">     </w:t>
            </w:r>
            <w:r w:rsidRPr="00720011">
              <w:rPr>
                <w:sz w:val="24"/>
              </w:rPr>
              <w:t>56.00</w:t>
            </w:r>
          </w:p>
        </w:tc>
      </w:tr>
      <w:tr w:rsidR="004E7F7F" w:rsidRPr="004E7F7F" w:rsidTr="00720011">
        <w:trPr>
          <w:trHeight w:val="300"/>
        </w:trPr>
        <w:tc>
          <w:tcPr>
            <w:cnfStyle w:val="001000000000"/>
            <w:tcW w:w="1790" w:type="pct"/>
            <w:tcBorders>
              <w:top w:val="single" w:sz="4" w:space="0" w:color="auto"/>
              <w:bottom w:val="nil"/>
            </w:tcBorders>
            <w:noWrap/>
            <w:hideMark/>
          </w:tcPr>
          <w:p w:rsidR="004E7F7F" w:rsidRPr="00720011" w:rsidRDefault="004E7F7F" w:rsidP="004E7F7F">
            <w:pPr>
              <w:widowControl/>
              <w:autoSpaceDE/>
              <w:autoSpaceDN/>
              <w:adjustRightInd/>
              <w:jc w:val="center"/>
              <w:rPr>
                <w:sz w:val="24"/>
              </w:rPr>
            </w:pPr>
            <w:r w:rsidRPr="00720011">
              <w:rPr>
                <w:sz w:val="24"/>
              </w:rPr>
              <w:t>Sub-Total</w:t>
            </w:r>
          </w:p>
        </w:tc>
        <w:tc>
          <w:tcPr>
            <w:tcW w:w="1605" w:type="pct"/>
            <w:tcBorders>
              <w:top w:val="single" w:sz="4" w:space="0" w:color="auto"/>
              <w:bottom w:val="nil"/>
              <w:right w:val="single" w:sz="4" w:space="0" w:color="auto"/>
            </w:tcBorders>
            <w:noWrap/>
            <w:vAlign w:val="center"/>
            <w:hideMark/>
          </w:tcPr>
          <w:p w:rsidR="004E7F7F" w:rsidRPr="00720011" w:rsidRDefault="004E7F7F" w:rsidP="00EB2998">
            <w:pPr>
              <w:widowControl/>
              <w:autoSpaceDE/>
              <w:autoSpaceDN/>
              <w:adjustRightInd/>
              <w:jc w:val="center"/>
              <w:cnfStyle w:val="000000000000"/>
              <w:rPr>
                <w:sz w:val="24"/>
              </w:rPr>
            </w:pPr>
            <w:r w:rsidRPr="00720011">
              <w:rPr>
                <w:sz w:val="24"/>
              </w:rPr>
              <w:t>$ 1,737.02</w:t>
            </w:r>
          </w:p>
        </w:tc>
        <w:tc>
          <w:tcPr>
            <w:tcW w:w="1605" w:type="pct"/>
            <w:tcBorders>
              <w:top w:val="single" w:sz="4" w:space="0" w:color="auto"/>
              <w:left w:val="single" w:sz="4" w:space="0" w:color="auto"/>
              <w:bottom w:val="nil"/>
            </w:tcBorders>
            <w:noWrap/>
            <w:vAlign w:val="center"/>
            <w:hideMark/>
          </w:tcPr>
          <w:p w:rsidR="004E7F7F" w:rsidRPr="00720011" w:rsidRDefault="004E7F7F" w:rsidP="00EB2998">
            <w:pPr>
              <w:widowControl/>
              <w:autoSpaceDE/>
              <w:autoSpaceDN/>
              <w:adjustRightInd/>
              <w:jc w:val="center"/>
              <w:cnfStyle w:val="000000000000"/>
              <w:rPr>
                <w:sz w:val="24"/>
              </w:rPr>
            </w:pPr>
            <w:r w:rsidRPr="00720011">
              <w:rPr>
                <w:sz w:val="24"/>
              </w:rPr>
              <w:t xml:space="preserve">$ </w:t>
            </w:r>
            <w:r w:rsidR="00720011">
              <w:rPr>
                <w:sz w:val="24"/>
              </w:rPr>
              <w:t xml:space="preserve">   </w:t>
            </w:r>
            <w:r w:rsidRPr="00720011">
              <w:rPr>
                <w:sz w:val="24"/>
              </w:rPr>
              <w:t>881.44</w:t>
            </w:r>
          </w:p>
        </w:tc>
      </w:tr>
      <w:tr w:rsidR="004E7F7F" w:rsidRPr="004E7F7F" w:rsidTr="00720011">
        <w:trPr>
          <w:trHeight w:val="300"/>
        </w:trPr>
        <w:tc>
          <w:tcPr>
            <w:cnfStyle w:val="001000000000"/>
            <w:tcW w:w="1790" w:type="pct"/>
            <w:tcBorders>
              <w:top w:val="nil"/>
              <w:bottom w:val="single" w:sz="4" w:space="0" w:color="auto"/>
            </w:tcBorders>
            <w:noWrap/>
            <w:hideMark/>
          </w:tcPr>
          <w:p w:rsidR="004E7F7F" w:rsidRPr="00720011" w:rsidRDefault="004E7F7F" w:rsidP="004E7F7F">
            <w:pPr>
              <w:widowControl/>
              <w:autoSpaceDE/>
              <w:autoSpaceDN/>
              <w:adjustRightInd/>
              <w:rPr>
                <w:sz w:val="24"/>
              </w:rPr>
            </w:pPr>
            <w:r w:rsidRPr="00720011">
              <w:rPr>
                <w:sz w:val="24"/>
              </w:rPr>
              <w:t>Laboratory Fee</w:t>
            </w:r>
          </w:p>
        </w:tc>
        <w:tc>
          <w:tcPr>
            <w:tcW w:w="1605" w:type="pct"/>
            <w:tcBorders>
              <w:top w:val="nil"/>
              <w:bottom w:val="single" w:sz="4" w:space="0" w:color="auto"/>
              <w:right w:val="single" w:sz="4" w:space="0" w:color="auto"/>
            </w:tcBorders>
            <w:noWrap/>
            <w:vAlign w:val="center"/>
            <w:hideMark/>
          </w:tcPr>
          <w:p w:rsidR="004E7F7F" w:rsidRPr="00720011" w:rsidRDefault="004E7F7F" w:rsidP="00EB2998">
            <w:pPr>
              <w:widowControl/>
              <w:autoSpaceDE/>
              <w:autoSpaceDN/>
              <w:adjustRightInd/>
              <w:jc w:val="center"/>
              <w:cnfStyle w:val="000000000000"/>
              <w:rPr>
                <w:sz w:val="24"/>
              </w:rPr>
            </w:pPr>
            <w:r w:rsidRPr="00720011">
              <w:rPr>
                <w:sz w:val="24"/>
              </w:rPr>
              <w:t xml:space="preserve">$ </w:t>
            </w:r>
            <w:r w:rsidR="00720011">
              <w:rPr>
                <w:sz w:val="24"/>
              </w:rPr>
              <w:t xml:space="preserve">    </w:t>
            </w:r>
            <w:r w:rsidR="00EB2998">
              <w:rPr>
                <w:sz w:val="24"/>
              </w:rPr>
              <w:t xml:space="preserve">     </w:t>
            </w:r>
            <w:r w:rsidR="00720011">
              <w:rPr>
                <w:sz w:val="24"/>
              </w:rPr>
              <w:t xml:space="preserve">   </w:t>
            </w:r>
            <w:r w:rsidRPr="00720011">
              <w:rPr>
                <w:sz w:val="24"/>
              </w:rPr>
              <w:t>-</w:t>
            </w:r>
          </w:p>
        </w:tc>
        <w:tc>
          <w:tcPr>
            <w:tcW w:w="1605" w:type="pct"/>
            <w:tcBorders>
              <w:top w:val="nil"/>
              <w:left w:val="single" w:sz="4" w:space="0" w:color="auto"/>
              <w:bottom w:val="single" w:sz="4" w:space="0" w:color="auto"/>
            </w:tcBorders>
            <w:noWrap/>
            <w:vAlign w:val="center"/>
            <w:hideMark/>
          </w:tcPr>
          <w:p w:rsidR="004E7F7F" w:rsidRPr="00720011" w:rsidRDefault="004E7F7F" w:rsidP="00EB2998">
            <w:pPr>
              <w:widowControl/>
              <w:autoSpaceDE/>
              <w:autoSpaceDN/>
              <w:adjustRightInd/>
              <w:jc w:val="center"/>
              <w:cnfStyle w:val="000000000000"/>
              <w:rPr>
                <w:sz w:val="24"/>
              </w:rPr>
            </w:pPr>
            <w:r w:rsidRPr="00720011">
              <w:rPr>
                <w:sz w:val="24"/>
              </w:rPr>
              <w:t xml:space="preserve">$ </w:t>
            </w:r>
            <w:r w:rsidR="00720011">
              <w:rPr>
                <w:sz w:val="24"/>
              </w:rPr>
              <w:t xml:space="preserve">   </w:t>
            </w:r>
            <w:r w:rsidRPr="00720011">
              <w:rPr>
                <w:sz w:val="24"/>
              </w:rPr>
              <w:t>132.22</w:t>
            </w:r>
          </w:p>
        </w:tc>
      </w:tr>
      <w:tr w:rsidR="004E7F7F" w:rsidRPr="004E7F7F" w:rsidTr="00720011">
        <w:trPr>
          <w:trHeight w:val="300"/>
        </w:trPr>
        <w:tc>
          <w:tcPr>
            <w:cnfStyle w:val="001000000000"/>
            <w:tcW w:w="1790" w:type="pct"/>
            <w:tcBorders>
              <w:top w:val="single" w:sz="4" w:space="0" w:color="auto"/>
            </w:tcBorders>
            <w:noWrap/>
            <w:hideMark/>
          </w:tcPr>
          <w:p w:rsidR="004E7F7F" w:rsidRPr="00720011" w:rsidRDefault="004E7F7F" w:rsidP="004E7F7F">
            <w:pPr>
              <w:widowControl/>
              <w:autoSpaceDE/>
              <w:autoSpaceDN/>
              <w:adjustRightInd/>
              <w:jc w:val="center"/>
              <w:rPr>
                <w:sz w:val="24"/>
              </w:rPr>
            </w:pPr>
            <w:r w:rsidRPr="00720011">
              <w:rPr>
                <w:sz w:val="24"/>
              </w:rPr>
              <w:t>Grand Total</w:t>
            </w:r>
          </w:p>
        </w:tc>
        <w:tc>
          <w:tcPr>
            <w:tcW w:w="1605" w:type="pct"/>
            <w:tcBorders>
              <w:top w:val="single" w:sz="4" w:space="0" w:color="auto"/>
              <w:bottom w:val="single" w:sz="12" w:space="0" w:color="000000"/>
              <w:right w:val="single" w:sz="4" w:space="0" w:color="auto"/>
            </w:tcBorders>
            <w:noWrap/>
            <w:vAlign w:val="center"/>
            <w:hideMark/>
          </w:tcPr>
          <w:p w:rsidR="004E7F7F" w:rsidRPr="00720011" w:rsidRDefault="004E7F7F" w:rsidP="00EB2998">
            <w:pPr>
              <w:widowControl/>
              <w:autoSpaceDE/>
              <w:autoSpaceDN/>
              <w:adjustRightInd/>
              <w:jc w:val="center"/>
              <w:cnfStyle w:val="000000000000"/>
              <w:rPr>
                <w:sz w:val="24"/>
              </w:rPr>
            </w:pPr>
            <w:r w:rsidRPr="00720011">
              <w:rPr>
                <w:sz w:val="24"/>
              </w:rPr>
              <w:t>$ 1,737.02</w:t>
            </w:r>
          </w:p>
        </w:tc>
        <w:tc>
          <w:tcPr>
            <w:tcW w:w="1605" w:type="pct"/>
            <w:tcBorders>
              <w:top w:val="single" w:sz="4" w:space="0" w:color="auto"/>
              <w:left w:val="single" w:sz="4" w:space="0" w:color="auto"/>
            </w:tcBorders>
            <w:noWrap/>
            <w:vAlign w:val="center"/>
            <w:hideMark/>
          </w:tcPr>
          <w:p w:rsidR="004E7F7F" w:rsidRPr="00720011" w:rsidRDefault="004E7F7F" w:rsidP="00EB2998">
            <w:pPr>
              <w:widowControl/>
              <w:autoSpaceDE/>
              <w:autoSpaceDN/>
              <w:adjustRightInd/>
              <w:jc w:val="center"/>
              <w:cnfStyle w:val="000000000000"/>
              <w:rPr>
                <w:sz w:val="24"/>
              </w:rPr>
            </w:pPr>
            <w:r w:rsidRPr="00720011">
              <w:rPr>
                <w:sz w:val="24"/>
              </w:rPr>
              <w:t>$ 1,013.66</w:t>
            </w:r>
          </w:p>
        </w:tc>
      </w:tr>
    </w:tbl>
    <w:p w:rsidR="00B64255" w:rsidRDefault="00B64255" w:rsidP="00B91F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3B3508" w:rsidRPr="003B3508" w:rsidRDefault="0042466D" w:rsidP="003B35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Country Meadows was originally owned by </w:t>
      </w:r>
      <w:r w:rsidR="002B561C">
        <w:rPr>
          <w:sz w:val="24"/>
        </w:rPr>
        <w:t xml:space="preserve">Frank L. Naccarato </w:t>
      </w:r>
      <w:r w:rsidR="006B398B">
        <w:rPr>
          <w:sz w:val="24"/>
        </w:rPr>
        <w:t xml:space="preserve">through the legal name of </w:t>
      </w:r>
      <w:r w:rsidR="002B561C">
        <w:rPr>
          <w:sz w:val="24"/>
        </w:rPr>
        <w:t xml:space="preserve">Horizons West Development, Inc. </w:t>
      </w:r>
      <w:r w:rsidR="001F47C4">
        <w:rPr>
          <w:sz w:val="24"/>
        </w:rPr>
        <w:t>D</w:t>
      </w:r>
      <w:r w:rsidR="00C014D4">
        <w:rPr>
          <w:sz w:val="24"/>
        </w:rPr>
        <w:t>ue to financial difficulties</w:t>
      </w:r>
      <w:r w:rsidR="001F47C4">
        <w:rPr>
          <w:sz w:val="24"/>
        </w:rPr>
        <w:t>,</w:t>
      </w:r>
      <w:r w:rsidR="00757220">
        <w:rPr>
          <w:sz w:val="24"/>
        </w:rPr>
        <w:t xml:space="preserve"> </w:t>
      </w:r>
      <w:r w:rsidR="006B398B">
        <w:rPr>
          <w:sz w:val="24"/>
        </w:rPr>
        <w:t>the Country Meadows water system and some additional p</w:t>
      </w:r>
      <w:r w:rsidR="00FD5545">
        <w:rPr>
          <w:sz w:val="24"/>
        </w:rPr>
        <w:t>arcel</w:t>
      </w:r>
      <w:r w:rsidR="006B398B">
        <w:rPr>
          <w:sz w:val="24"/>
        </w:rPr>
        <w:t xml:space="preserve"> lots were transferred to Olympic Coast Investment, Inc.</w:t>
      </w:r>
      <w:r w:rsidR="001C4643">
        <w:rPr>
          <w:sz w:val="24"/>
        </w:rPr>
        <w:t xml:space="preserve"> (Olympic)</w:t>
      </w:r>
      <w:r w:rsidR="006B398B">
        <w:rPr>
          <w:sz w:val="24"/>
        </w:rPr>
        <w:t>,</w:t>
      </w:r>
      <w:r w:rsidR="001C4643">
        <w:rPr>
          <w:sz w:val="24"/>
        </w:rPr>
        <w:t xml:space="preserve"> </w:t>
      </w:r>
      <w:r w:rsidR="006B398B">
        <w:rPr>
          <w:sz w:val="24"/>
        </w:rPr>
        <w:t xml:space="preserve">which is a partnership </w:t>
      </w:r>
      <w:r w:rsidR="004E08A1">
        <w:rPr>
          <w:sz w:val="24"/>
        </w:rPr>
        <w:t xml:space="preserve">of </w:t>
      </w:r>
      <w:r w:rsidR="006B398B">
        <w:rPr>
          <w:sz w:val="24"/>
        </w:rPr>
        <w:t xml:space="preserve">Robert W. Hoss and John Hoss. The </w:t>
      </w:r>
      <w:r w:rsidR="00FD5545">
        <w:rPr>
          <w:sz w:val="24"/>
        </w:rPr>
        <w:t>two parcels</w:t>
      </w:r>
      <w:r w:rsidR="00FB4550">
        <w:rPr>
          <w:sz w:val="24"/>
        </w:rPr>
        <w:t xml:space="preserve"> where</w:t>
      </w:r>
      <w:r w:rsidR="006B398B">
        <w:rPr>
          <w:sz w:val="24"/>
        </w:rPr>
        <w:t xml:space="preserve"> Country Meadows water system’s wells </w:t>
      </w:r>
      <w:r w:rsidR="00FD5545">
        <w:rPr>
          <w:sz w:val="24"/>
        </w:rPr>
        <w:t xml:space="preserve">and pump houses </w:t>
      </w:r>
      <w:r w:rsidR="006B398B">
        <w:rPr>
          <w:sz w:val="24"/>
        </w:rPr>
        <w:t xml:space="preserve">are </w:t>
      </w:r>
      <w:r w:rsidR="00FD5545">
        <w:rPr>
          <w:sz w:val="24"/>
        </w:rPr>
        <w:t xml:space="preserve">located </w:t>
      </w:r>
      <w:r w:rsidR="006B398B">
        <w:rPr>
          <w:sz w:val="24"/>
        </w:rPr>
        <w:t>are owned by Frontier Bank, Trustee for Robert W. Hoss IRA</w:t>
      </w:r>
      <w:r w:rsidR="001C4643">
        <w:rPr>
          <w:sz w:val="24"/>
        </w:rPr>
        <w:t xml:space="preserve"> (Frontier IRA)</w:t>
      </w:r>
      <w:r w:rsidR="006B398B">
        <w:rPr>
          <w:sz w:val="24"/>
        </w:rPr>
        <w:t>.</w:t>
      </w:r>
      <w:r w:rsidR="001C4643">
        <w:rPr>
          <w:sz w:val="24"/>
        </w:rPr>
        <w:t xml:space="preserve"> </w:t>
      </w:r>
      <w:r w:rsidR="00FD5545">
        <w:rPr>
          <w:sz w:val="24"/>
        </w:rPr>
        <w:t xml:space="preserve">Staff was informed that </w:t>
      </w:r>
      <w:r w:rsidR="006B398B">
        <w:rPr>
          <w:sz w:val="24"/>
        </w:rPr>
        <w:t xml:space="preserve">Olympic and </w:t>
      </w:r>
      <w:r w:rsidR="00FD5545">
        <w:rPr>
          <w:sz w:val="24"/>
        </w:rPr>
        <w:t>Frontier IRA</w:t>
      </w:r>
      <w:r w:rsidR="006B398B">
        <w:rPr>
          <w:sz w:val="24"/>
        </w:rPr>
        <w:t xml:space="preserve"> are consolidating all of the Country Meadows</w:t>
      </w:r>
      <w:r w:rsidR="00FD5545">
        <w:rPr>
          <w:sz w:val="24"/>
        </w:rPr>
        <w:t xml:space="preserve"> water system</w:t>
      </w:r>
      <w:r w:rsidR="006B398B">
        <w:rPr>
          <w:sz w:val="24"/>
        </w:rPr>
        <w:t xml:space="preserve">’s assets into its own legal </w:t>
      </w:r>
      <w:r w:rsidR="00FD5545">
        <w:rPr>
          <w:sz w:val="24"/>
        </w:rPr>
        <w:t>entity.</w:t>
      </w:r>
      <w:r w:rsidR="00663F01">
        <w:rPr>
          <w:sz w:val="24"/>
        </w:rPr>
        <w:t xml:space="preserve"> </w:t>
      </w:r>
      <w:r w:rsidR="003B3508" w:rsidRPr="003B3508">
        <w:rPr>
          <w:sz w:val="24"/>
        </w:rPr>
        <w:t>Presently there are no higher levels of ownership and there is no owner’s compensation</w:t>
      </w:r>
      <w:r w:rsidR="004E08A1">
        <w:rPr>
          <w:sz w:val="24"/>
        </w:rPr>
        <w:t>,</w:t>
      </w:r>
      <w:r w:rsidR="003B3508" w:rsidRPr="003B3508">
        <w:rPr>
          <w:sz w:val="24"/>
        </w:rPr>
        <w:t xml:space="preserve"> other than return on investment</w:t>
      </w:r>
      <w:r w:rsidR="004E08A1">
        <w:rPr>
          <w:sz w:val="24"/>
        </w:rPr>
        <w:t xml:space="preserve">, </w:t>
      </w:r>
      <w:r w:rsidR="004E08A1" w:rsidRPr="003B3508">
        <w:rPr>
          <w:sz w:val="24"/>
        </w:rPr>
        <w:t>imbedded within the rates</w:t>
      </w:r>
      <w:r w:rsidR="003B3508" w:rsidRPr="003B3508">
        <w:rPr>
          <w:sz w:val="24"/>
        </w:rPr>
        <w:t>.</w:t>
      </w:r>
    </w:p>
    <w:p w:rsidR="006B398B" w:rsidRDefault="006B398B" w:rsidP="00B91F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1C4643" w:rsidRDefault="001C4643" w:rsidP="00B91F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140DA" w:rsidRDefault="003B3508" w:rsidP="00B91F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Country Meadows originally hired </w:t>
      </w:r>
      <w:r w:rsidR="00457E34">
        <w:rPr>
          <w:sz w:val="24"/>
        </w:rPr>
        <w:t>Helen’s Pumps &amp; Fil</w:t>
      </w:r>
      <w:r w:rsidR="00C7387B">
        <w:rPr>
          <w:sz w:val="24"/>
        </w:rPr>
        <w:t>t</w:t>
      </w:r>
      <w:r w:rsidR="00457E34">
        <w:rPr>
          <w:sz w:val="24"/>
        </w:rPr>
        <w:t>ers, Inc. (Helen’s Pumps)</w:t>
      </w:r>
      <w:r w:rsidR="004E08A1">
        <w:rPr>
          <w:sz w:val="24"/>
        </w:rPr>
        <w:t>,</w:t>
      </w:r>
      <w:r>
        <w:rPr>
          <w:sz w:val="24"/>
        </w:rPr>
        <w:t xml:space="preserve"> </w:t>
      </w:r>
      <w:r w:rsidR="00F9214F">
        <w:rPr>
          <w:sz w:val="24"/>
        </w:rPr>
        <w:t xml:space="preserve">to </w:t>
      </w:r>
      <w:r w:rsidR="00457E34">
        <w:rPr>
          <w:sz w:val="24"/>
        </w:rPr>
        <w:t>r</w:t>
      </w:r>
      <w:r w:rsidR="00F9214F">
        <w:rPr>
          <w:sz w:val="24"/>
        </w:rPr>
        <w:t>u</w:t>
      </w:r>
      <w:r w:rsidR="00457E34">
        <w:rPr>
          <w:sz w:val="24"/>
        </w:rPr>
        <w:t>n the Country Meadows water system at a rate of $320 per month</w:t>
      </w:r>
      <w:r>
        <w:rPr>
          <w:sz w:val="24"/>
        </w:rPr>
        <w:t>. H</w:t>
      </w:r>
      <w:r w:rsidR="00F9214F">
        <w:rPr>
          <w:sz w:val="24"/>
        </w:rPr>
        <w:t xml:space="preserve">owever, Helen’s Pumps was not a </w:t>
      </w:r>
      <w:r w:rsidR="00663F01">
        <w:rPr>
          <w:sz w:val="24"/>
        </w:rPr>
        <w:t>certified</w:t>
      </w:r>
      <w:r w:rsidR="00F9214F">
        <w:rPr>
          <w:sz w:val="24"/>
        </w:rPr>
        <w:t xml:space="preserve"> operator</w:t>
      </w:r>
      <w:r w:rsidR="0042466D">
        <w:rPr>
          <w:sz w:val="24"/>
        </w:rPr>
        <w:t>, nor did Helen’s Pumps perform regular testing, paperwork, or keep certification’s current</w:t>
      </w:r>
      <w:r w:rsidR="00F9214F">
        <w:rPr>
          <w:sz w:val="24"/>
        </w:rPr>
        <w:t xml:space="preserve"> in accordance with DOH requirements</w:t>
      </w:r>
      <w:r w:rsidR="00457E34">
        <w:rPr>
          <w:sz w:val="24"/>
        </w:rPr>
        <w:t>.</w:t>
      </w:r>
      <w:r w:rsidR="0042466D">
        <w:rPr>
          <w:sz w:val="24"/>
        </w:rPr>
        <w:t xml:space="preserve"> </w:t>
      </w:r>
      <w:r w:rsidR="00F9214F">
        <w:rPr>
          <w:sz w:val="24"/>
        </w:rPr>
        <w:t xml:space="preserve">Therefore, the company </w:t>
      </w:r>
      <w:r w:rsidR="003B7A21">
        <w:rPr>
          <w:sz w:val="24"/>
        </w:rPr>
        <w:t>transferred</w:t>
      </w:r>
      <w:r w:rsidR="00FB4550">
        <w:rPr>
          <w:sz w:val="24"/>
        </w:rPr>
        <w:t xml:space="preserve"> operations</w:t>
      </w:r>
      <w:r w:rsidR="001F47C4">
        <w:rPr>
          <w:sz w:val="24"/>
        </w:rPr>
        <w:t xml:space="preserve"> to a certified </w:t>
      </w:r>
      <w:r w:rsidR="00F9214F">
        <w:rPr>
          <w:sz w:val="24"/>
        </w:rPr>
        <w:t>SMA</w:t>
      </w:r>
      <w:r w:rsidR="007140DA">
        <w:rPr>
          <w:sz w:val="24"/>
        </w:rPr>
        <w:t xml:space="preserve">, </w:t>
      </w:r>
      <w:r w:rsidR="00F9214F">
        <w:rPr>
          <w:sz w:val="24"/>
        </w:rPr>
        <w:t>Northwest Water Systems</w:t>
      </w:r>
      <w:r w:rsidR="007140DA">
        <w:rPr>
          <w:sz w:val="24"/>
        </w:rPr>
        <w:t xml:space="preserve"> (NWS</w:t>
      </w:r>
      <w:r w:rsidR="00F9214F">
        <w:rPr>
          <w:sz w:val="24"/>
        </w:rPr>
        <w:t>)</w:t>
      </w:r>
      <w:r w:rsidR="007140DA">
        <w:rPr>
          <w:sz w:val="24"/>
        </w:rPr>
        <w:t>,</w:t>
      </w:r>
      <w:r w:rsidR="00F9214F">
        <w:rPr>
          <w:sz w:val="24"/>
        </w:rPr>
        <w:t xml:space="preserve"> to run the Country Meadows water system</w:t>
      </w:r>
      <w:r w:rsidR="007140DA">
        <w:rPr>
          <w:sz w:val="24"/>
        </w:rPr>
        <w:t>.</w:t>
      </w:r>
    </w:p>
    <w:p w:rsidR="007140DA" w:rsidRDefault="007140DA" w:rsidP="00B91F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bookmarkStart w:id="0" w:name="_GoBack"/>
      <w:bookmarkEnd w:id="0"/>
    </w:p>
    <w:p w:rsidR="00457E34" w:rsidRDefault="007140DA" w:rsidP="00B91F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NWS provides multiple services such as, operat</w:t>
      </w:r>
      <w:r w:rsidR="00FB4550">
        <w:rPr>
          <w:sz w:val="24"/>
        </w:rPr>
        <w:t>ion</w:t>
      </w:r>
      <w:r>
        <w:rPr>
          <w:sz w:val="24"/>
        </w:rPr>
        <w:t xml:space="preserve"> and management of water system, perform quality monitoring, scheduled maintenance, meter readings, 24-hour standby, phone support, water testing, water bills (with postage), collections, prepare annual consumer confidence reports, recordkeeping, minor repairs (under $500), flushes, provide a cross control program, preventative maintenance, and analyze laboratory test. N</w:t>
      </w:r>
      <w:r w:rsidR="00757220">
        <w:rPr>
          <w:sz w:val="24"/>
        </w:rPr>
        <w:t>WS took over operations for Cou</w:t>
      </w:r>
      <w:r>
        <w:rPr>
          <w:sz w:val="24"/>
        </w:rPr>
        <w:t>n</w:t>
      </w:r>
      <w:r w:rsidR="00757220">
        <w:rPr>
          <w:sz w:val="24"/>
        </w:rPr>
        <w:t>t</w:t>
      </w:r>
      <w:r>
        <w:rPr>
          <w:sz w:val="24"/>
        </w:rPr>
        <w:t xml:space="preserve">ry Meadows on March </w:t>
      </w:r>
      <w:r w:rsidR="001F008A">
        <w:rPr>
          <w:sz w:val="24"/>
        </w:rPr>
        <w:t>2</w:t>
      </w:r>
      <w:r>
        <w:rPr>
          <w:sz w:val="24"/>
        </w:rPr>
        <w:t>2, 2010</w:t>
      </w:r>
      <w:r w:rsidR="001F47C4">
        <w:rPr>
          <w:sz w:val="24"/>
        </w:rPr>
        <w:t>, and charges</w:t>
      </w:r>
      <w:r w:rsidR="001F47C4" w:rsidRPr="001F47C4">
        <w:rPr>
          <w:sz w:val="24"/>
        </w:rPr>
        <w:t xml:space="preserve"> </w:t>
      </w:r>
      <w:r w:rsidR="001F47C4">
        <w:rPr>
          <w:sz w:val="24"/>
        </w:rPr>
        <w:t>$315 per month</w:t>
      </w:r>
      <w:r>
        <w:rPr>
          <w:sz w:val="24"/>
        </w:rPr>
        <w:t>.</w:t>
      </w:r>
    </w:p>
    <w:p w:rsidR="00C30DF8" w:rsidRDefault="00C30DF8" w:rsidP="00AF7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6F3ED6" w:rsidRDefault="006F3ED6" w:rsidP="006F3E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30610">
        <w:rPr>
          <w:sz w:val="24"/>
        </w:rPr>
        <w:t xml:space="preserve">Staff </w:t>
      </w:r>
      <w:r w:rsidR="004D0023">
        <w:rPr>
          <w:sz w:val="24"/>
        </w:rPr>
        <w:t xml:space="preserve">made </w:t>
      </w:r>
      <w:r w:rsidR="008038F7">
        <w:rPr>
          <w:sz w:val="24"/>
        </w:rPr>
        <w:t>several</w:t>
      </w:r>
      <w:r w:rsidR="00757220">
        <w:rPr>
          <w:sz w:val="24"/>
        </w:rPr>
        <w:t xml:space="preserve"> a</w:t>
      </w:r>
      <w:r w:rsidR="004D0023">
        <w:rPr>
          <w:sz w:val="24"/>
        </w:rPr>
        <w:t>djustments</w:t>
      </w:r>
      <w:r w:rsidR="00757220">
        <w:rPr>
          <w:sz w:val="24"/>
        </w:rPr>
        <w:t xml:space="preserve"> to the </w:t>
      </w:r>
      <w:r w:rsidR="00D015DA">
        <w:rPr>
          <w:sz w:val="24"/>
        </w:rPr>
        <w:t>water systems books and records</w:t>
      </w:r>
      <w:r w:rsidR="001C4643">
        <w:rPr>
          <w:sz w:val="24"/>
        </w:rPr>
        <w:t xml:space="preserve">, such as, removing property taxes </w:t>
      </w:r>
      <w:r w:rsidR="00D015DA">
        <w:rPr>
          <w:sz w:val="24"/>
        </w:rPr>
        <w:t xml:space="preserve">pertaining to </w:t>
      </w:r>
      <w:r w:rsidR="001C4643">
        <w:rPr>
          <w:sz w:val="24"/>
        </w:rPr>
        <w:t xml:space="preserve">Frontier IRA and </w:t>
      </w:r>
      <w:r w:rsidR="00D015DA">
        <w:rPr>
          <w:sz w:val="24"/>
        </w:rPr>
        <w:t xml:space="preserve">increasing </w:t>
      </w:r>
      <w:r w:rsidR="001C4643">
        <w:rPr>
          <w:sz w:val="24"/>
        </w:rPr>
        <w:t>rate case cost</w:t>
      </w:r>
      <w:r w:rsidR="00757220">
        <w:rPr>
          <w:sz w:val="24"/>
        </w:rPr>
        <w:t xml:space="preserve">. </w:t>
      </w:r>
      <w:r w:rsidR="008038F7">
        <w:rPr>
          <w:sz w:val="24"/>
        </w:rPr>
        <w:t xml:space="preserve">Staff </w:t>
      </w:r>
      <w:r w:rsidR="008038F7" w:rsidRPr="00D30610">
        <w:rPr>
          <w:sz w:val="24"/>
        </w:rPr>
        <w:t>and</w:t>
      </w:r>
      <w:r w:rsidR="008038F7" w:rsidRPr="007E4B76">
        <w:rPr>
          <w:sz w:val="24"/>
        </w:rPr>
        <w:t xml:space="preserve"> the company agreed to a </w:t>
      </w:r>
      <w:r w:rsidR="008038F7">
        <w:rPr>
          <w:sz w:val="24"/>
        </w:rPr>
        <w:t xml:space="preserve">second </w:t>
      </w:r>
      <w:r w:rsidR="008038F7" w:rsidRPr="00F063AC">
        <w:rPr>
          <w:sz w:val="24"/>
        </w:rPr>
        <w:t>revised revenue requirement of $</w:t>
      </w:r>
      <w:r w:rsidR="008038F7">
        <w:rPr>
          <w:sz w:val="24"/>
        </w:rPr>
        <w:t>4,766</w:t>
      </w:r>
      <w:r w:rsidR="008038F7" w:rsidRPr="00F063AC">
        <w:rPr>
          <w:sz w:val="24"/>
        </w:rPr>
        <w:t xml:space="preserve"> (</w:t>
      </w:r>
      <w:r w:rsidR="008038F7">
        <w:rPr>
          <w:sz w:val="24"/>
        </w:rPr>
        <w:t>81</w:t>
      </w:r>
      <w:r w:rsidR="008038F7" w:rsidRPr="00F063AC">
        <w:rPr>
          <w:sz w:val="24"/>
        </w:rPr>
        <w:t>.</w:t>
      </w:r>
      <w:r w:rsidR="008038F7">
        <w:rPr>
          <w:sz w:val="24"/>
        </w:rPr>
        <w:t>4</w:t>
      </w:r>
      <w:r w:rsidR="008038F7" w:rsidRPr="00F063AC">
        <w:rPr>
          <w:sz w:val="24"/>
        </w:rPr>
        <w:t xml:space="preserve"> percent) in additional annual revenue</w:t>
      </w:r>
      <w:r w:rsidR="004E08A1">
        <w:rPr>
          <w:sz w:val="24"/>
        </w:rPr>
        <w:t>. T</w:t>
      </w:r>
      <w:r w:rsidR="008038F7">
        <w:rPr>
          <w:sz w:val="24"/>
        </w:rPr>
        <w:t xml:space="preserve">he company </w:t>
      </w:r>
      <w:r w:rsidR="003B7A21">
        <w:rPr>
          <w:sz w:val="24"/>
        </w:rPr>
        <w:t>chose</w:t>
      </w:r>
      <w:r w:rsidR="008038F7">
        <w:rPr>
          <w:sz w:val="24"/>
        </w:rPr>
        <w:t xml:space="preserve"> not to file second </w:t>
      </w:r>
      <w:r w:rsidR="008038F7" w:rsidRPr="00F063AC">
        <w:rPr>
          <w:sz w:val="24"/>
        </w:rPr>
        <w:t>revised rates</w:t>
      </w:r>
      <w:r w:rsidR="008038F7">
        <w:rPr>
          <w:sz w:val="24"/>
        </w:rPr>
        <w:t xml:space="preserve"> for the additional $34 in annual revenue</w:t>
      </w:r>
      <w:r w:rsidR="001F47C4">
        <w:rPr>
          <w:sz w:val="24"/>
        </w:rPr>
        <w:t xml:space="preserve">. The company </w:t>
      </w:r>
      <w:r w:rsidR="008038F7">
        <w:rPr>
          <w:sz w:val="24"/>
        </w:rPr>
        <w:t>file</w:t>
      </w:r>
      <w:r w:rsidR="001F47C4">
        <w:rPr>
          <w:sz w:val="24"/>
        </w:rPr>
        <w:t>d</w:t>
      </w:r>
      <w:r w:rsidR="008038F7">
        <w:rPr>
          <w:sz w:val="24"/>
        </w:rPr>
        <w:t xml:space="preserve"> </w:t>
      </w:r>
      <w:r w:rsidR="001F47C4">
        <w:rPr>
          <w:sz w:val="24"/>
        </w:rPr>
        <w:t xml:space="preserve">revised </w:t>
      </w:r>
      <w:r w:rsidR="008038F7">
        <w:rPr>
          <w:sz w:val="24"/>
        </w:rPr>
        <w:t>tariff pages on March 15, 2011, to correct the company’s name on the tariff filing to Country Meadows E. Water System #2</w:t>
      </w:r>
      <w:r w:rsidR="008038F7" w:rsidRPr="00F063AC">
        <w:rPr>
          <w:sz w:val="24"/>
        </w:rPr>
        <w:t>.</w:t>
      </w:r>
    </w:p>
    <w:p w:rsidR="006F3ED6" w:rsidRPr="001113F5" w:rsidRDefault="006F3ED6" w:rsidP="006F3ED6">
      <w:pPr>
        <w:rPr>
          <w:sz w:val="24"/>
        </w:rPr>
      </w:pPr>
    </w:p>
    <w:p w:rsidR="006F3ED6" w:rsidRDefault="006F3ED6" w:rsidP="006F3E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 company bills bi-monthly. A customer using 27,809</w:t>
      </w:r>
      <w:r w:rsidRPr="002047C9">
        <w:rPr>
          <w:sz w:val="24"/>
        </w:rPr>
        <w:t xml:space="preserve"> </w:t>
      </w:r>
      <w:r>
        <w:rPr>
          <w:sz w:val="24"/>
        </w:rPr>
        <w:t>gallons</w:t>
      </w:r>
      <w:r w:rsidRPr="004E3534">
        <w:rPr>
          <w:rStyle w:val="FootnoteReference"/>
          <w:sz w:val="24"/>
          <w:vertAlign w:val="superscript"/>
        </w:rPr>
        <w:footnoteReference w:id="3"/>
      </w:r>
      <w:r w:rsidRPr="002047C9">
        <w:rPr>
          <w:sz w:val="24"/>
        </w:rPr>
        <w:t xml:space="preserve"> (the calculated company-wide </w:t>
      </w:r>
      <w:r>
        <w:rPr>
          <w:sz w:val="24"/>
        </w:rPr>
        <w:t xml:space="preserve">annual </w:t>
      </w:r>
      <w:r w:rsidRPr="002047C9">
        <w:rPr>
          <w:sz w:val="24"/>
        </w:rPr>
        <w:t xml:space="preserve">average water usage) of water per </w:t>
      </w:r>
      <w:r>
        <w:rPr>
          <w:sz w:val="24"/>
        </w:rPr>
        <w:t>bi-</w:t>
      </w:r>
      <w:r w:rsidRPr="002047C9">
        <w:rPr>
          <w:sz w:val="24"/>
        </w:rPr>
        <w:t>month</w:t>
      </w:r>
      <w:r>
        <w:rPr>
          <w:sz w:val="24"/>
        </w:rPr>
        <w:t>ly</w:t>
      </w:r>
      <w:r w:rsidRPr="002047C9">
        <w:rPr>
          <w:sz w:val="24"/>
        </w:rPr>
        <w:t xml:space="preserve"> </w:t>
      </w:r>
      <w:r w:rsidR="003B7A21">
        <w:rPr>
          <w:sz w:val="24"/>
        </w:rPr>
        <w:t xml:space="preserve">billing period </w:t>
      </w:r>
      <w:r w:rsidRPr="002047C9">
        <w:rPr>
          <w:sz w:val="24"/>
        </w:rPr>
        <w:t>would pay $</w:t>
      </w:r>
      <w:r>
        <w:rPr>
          <w:sz w:val="24"/>
        </w:rPr>
        <w:t>3</w:t>
      </w:r>
      <w:r w:rsidR="004F5CDC">
        <w:rPr>
          <w:sz w:val="24"/>
        </w:rPr>
        <w:t>5</w:t>
      </w:r>
      <w:r>
        <w:rPr>
          <w:sz w:val="24"/>
        </w:rPr>
        <w:t>.</w:t>
      </w:r>
      <w:r w:rsidR="004F5CDC">
        <w:rPr>
          <w:sz w:val="24"/>
        </w:rPr>
        <w:t>77</w:t>
      </w:r>
      <w:r w:rsidRPr="002047C9">
        <w:rPr>
          <w:sz w:val="24"/>
        </w:rPr>
        <w:t xml:space="preserve"> (</w:t>
      </w:r>
      <w:r w:rsidR="004F5CDC">
        <w:rPr>
          <w:sz w:val="24"/>
        </w:rPr>
        <w:t>51.</w:t>
      </w:r>
      <w:r>
        <w:rPr>
          <w:sz w:val="24"/>
        </w:rPr>
        <w:t>3</w:t>
      </w:r>
      <w:r w:rsidRPr="002047C9">
        <w:rPr>
          <w:sz w:val="24"/>
        </w:rPr>
        <w:t xml:space="preserve"> percent) </w:t>
      </w:r>
      <w:r>
        <w:rPr>
          <w:sz w:val="24"/>
        </w:rPr>
        <w:t>more</w:t>
      </w:r>
      <w:r w:rsidRPr="002047C9">
        <w:rPr>
          <w:sz w:val="24"/>
        </w:rPr>
        <w:t xml:space="preserve"> per </w:t>
      </w:r>
      <w:r>
        <w:rPr>
          <w:sz w:val="24"/>
        </w:rPr>
        <w:t>bill</w:t>
      </w:r>
      <w:r w:rsidRPr="002047C9">
        <w:rPr>
          <w:sz w:val="24"/>
        </w:rPr>
        <w:t xml:space="preserve"> using the revised rates instead of $</w:t>
      </w:r>
      <w:r>
        <w:rPr>
          <w:sz w:val="24"/>
        </w:rPr>
        <w:t>61.27</w:t>
      </w:r>
      <w:r w:rsidRPr="002047C9">
        <w:rPr>
          <w:sz w:val="24"/>
        </w:rPr>
        <w:t xml:space="preserve"> (</w:t>
      </w:r>
      <w:r>
        <w:rPr>
          <w:sz w:val="24"/>
        </w:rPr>
        <w:t>88.0</w:t>
      </w:r>
      <w:r w:rsidRPr="002047C9">
        <w:rPr>
          <w:sz w:val="24"/>
        </w:rPr>
        <w:t xml:space="preserve"> percent) more using the original rates proposed by the company (see “Average Bill Comparison” table below)</w:t>
      </w:r>
      <w:r w:rsidRPr="001113F5">
        <w:rPr>
          <w:sz w:val="24"/>
        </w:rPr>
        <w:t>.</w:t>
      </w:r>
    </w:p>
    <w:p w:rsidR="006F3ED6" w:rsidRDefault="006F3ED6" w:rsidP="006F3E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F3ED6" w:rsidRDefault="006F3ED6" w:rsidP="006F3E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Using the test period water usage reported by the company, </w:t>
      </w:r>
      <w:r w:rsidR="00F929EF">
        <w:rPr>
          <w:sz w:val="24"/>
        </w:rPr>
        <w:t>four</w:t>
      </w:r>
      <w:r>
        <w:rPr>
          <w:sz w:val="24"/>
        </w:rPr>
        <w:t xml:space="preserve"> customers would experience a decrease in their annual water bills and 1</w:t>
      </w:r>
      <w:r w:rsidR="00F929EF">
        <w:rPr>
          <w:sz w:val="24"/>
        </w:rPr>
        <w:t>2</w:t>
      </w:r>
      <w:r>
        <w:rPr>
          <w:sz w:val="24"/>
        </w:rPr>
        <w:t xml:space="preserve"> customers would experience increases in their annual water bills. The largest annual water bill would increase from $</w:t>
      </w:r>
      <w:r w:rsidRPr="00F929EF">
        <w:rPr>
          <w:sz w:val="24"/>
        </w:rPr>
        <w:t>418</w:t>
      </w:r>
      <w:r>
        <w:rPr>
          <w:sz w:val="24"/>
        </w:rPr>
        <w:t xml:space="preserve"> to $</w:t>
      </w:r>
      <w:r w:rsidRPr="00F929EF">
        <w:rPr>
          <w:sz w:val="24"/>
        </w:rPr>
        <w:t>1,</w:t>
      </w:r>
      <w:r w:rsidR="00F929EF">
        <w:rPr>
          <w:sz w:val="24"/>
        </w:rPr>
        <w:t>050</w:t>
      </w:r>
      <w:r>
        <w:rPr>
          <w:sz w:val="24"/>
        </w:rPr>
        <w:t xml:space="preserve"> (</w:t>
      </w:r>
      <w:r w:rsidRPr="00F929EF">
        <w:rPr>
          <w:sz w:val="24"/>
        </w:rPr>
        <w:t>1</w:t>
      </w:r>
      <w:r w:rsidR="00F929EF">
        <w:rPr>
          <w:sz w:val="24"/>
        </w:rPr>
        <w:t>51.1</w:t>
      </w:r>
      <w:r>
        <w:rPr>
          <w:sz w:val="24"/>
        </w:rPr>
        <w:t xml:space="preserve"> percent).</w:t>
      </w:r>
    </w:p>
    <w:p w:rsidR="00630ED6" w:rsidRDefault="00630ED6" w:rsidP="00AF7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90455E" w:rsidRDefault="0090455E" w:rsidP="009045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color w:val="000000"/>
          <w:u w:val="single"/>
        </w:rPr>
      </w:pPr>
      <w:r w:rsidRPr="0090455E">
        <w:rPr>
          <w:b/>
          <w:sz w:val="24"/>
          <w:u w:val="single"/>
        </w:rPr>
        <w:t>Customer Comments</w:t>
      </w:r>
    </w:p>
    <w:p w:rsidR="0094460F" w:rsidRDefault="0094460F" w:rsidP="001209F8">
      <w:pPr>
        <w:rPr>
          <w:sz w:val="24"/>
        </w:rPr>
      </w:pPr>
    </w:p>
    <w:p w:rsidR="001209F8" w:rsidRPr="0094460F" w:rsidRDefault="001209F8" w:rsidP="001209F8">
      <w:pPr>
        <w:rPr>
          <w:sz w:val="24"/>
        </w:rPr>
      </w:pPr>
      <w:r w:rsidRPr="0094460F">
        <w:rPr>
          <w:sz w:val="24"/>
        </w:rPr>
        <w:t xml:space="preserve">On December 21, 2010, the company notified its customers of the proposed increase by mail. Four customer comments were received, all opposed to the proposed increase. </w:t>
      </w:r>
    </w:p>
    <w:p w:rsidR="001209F8" w:rsidRPr="0094460F" w:rsidRDefault="001209F8" w:rsidP="001209F8">
      <w:pPr>
        <w:rPr>
          <w:sz w:val="24"/>
        </w:rPr>
      </w:pPr>
    </w:p>
    <w:p w:rsidR="001209F8" w:rsidRPr="0094460F" w:rsidRDefault="001209F8" w:rsidP="001209F8">
      <w:pPr>
        <w:rPr>
          <w:b/>
          <w:sz w:val="24"/>
        </w:rPr>
      </w:pPr>
      <w:r w:rsidRPr="0094460F">
        <w:rPr>
          <w:b/>
          <w:sz w:val="24"/>
        </w:rPr>
        <w:t>Filing Documents and Methodology</w:t>
      </w:r>
    </w:p>
    <w:p w:rsidR="001209F8" w:rsidRPr="0094460F" w:rsidRDefault="001209F8" w:rsidP="0094460F">
      <w:pPr>
        <w:pStyle w:val="ListParagraph"/>
        <w:numPr>
          <w:ilvl w:val="0"/>
          <w:numId w:val="25"/>
        </w:numPr>
        <w:rPr>
          <w:sz w:val="24"/>
        </w:rPr>
      </w:pPr>
      <w:r w:rsidRPr="0094460F">
        <w:rPr>
          <w:sz w:val="24"/>
        </w:rPr>
        <w:t>Two customers commented on the amount of the increase; one said the rates are higher than those in Tacoma.</w:t>
      </w:r>
    </w:p>
    <w:p w:rsidR="001209F8" w:rsidRPr="0094460F" w:rsidRDefault="001209F8" w:rsidP="001209F8">
      <w:pPr>
        <w:rPr>
          <w:sz w:val="24"/>
        </w:rPr>
      </w:pPr>
    </w:p>
    <w:p w:rsidR="001209F8" w:rsidRPr="0094460F" w:rsidRDefault="001209F8" w:rsidP="0094460F">
      <w:pPr>
        <w:ind w:firstLine="720"/>
        <w:rPr>
          <w:i/>
          <w:sz w:val="24"/>
        </w:rPr>
      </w:pPr>
      <w:r w:rsidRPr="0094460F">
        <w:rPr>
          <w:i/>
          <w:sz w:val="24"/>
        </w:rPr>
        <w:t>Staff Response</w:t>
      </w:r>
    </w:p>
    <w:p w:rsidR="001209F8" w:rsidRPr="0094460F" w:rsidRDefault="001209F8" w:rsidP="0094460F">
      <w:pPr>
        <w:ind w:left="720"/>
        <w:rPr>
          <w:sz w:val="24"/>
        </w:rPr>
      </w:pPr>
      <w:r w:rsidRPr="0094460F">
        <w:rPr>
          <w:sz w:val="24"/>
        </w:rPr>
        <w:t xml:space="preserve">Staff sets rates that are fair and reasonable, and sufficient to allow the company the opportunity to recover reasonable operating expenses and earn a reasonable return on </w:t>
      </w:r>
      <w:r w:rsidRPr="0094460F">
        <w:rPr>
          <w:sz w:val="24"/>
        </w:rPr>
        <w:lastRenderedPageBreak/>
        <w:t>investment. Staff does not compare the rates of neighboring water suppliers when setting rates.</w:t>
      </w:r>
    </w:p>
    <w:p w:rsidR="001209F8" w:rsidRPr="0094460F" w:rsidRDefault="001209F8" w:rsidP="001209F8">
      <w:pPr>
        <w:rPr>
          <w:sz w:val="24"/>
        </w:rPr>
      </w:pPr>
    </w:p>
    <w:p w:rsidR="001209F8" w:rsidRPr="0094460F" w:rsidRDefault="001209F8" w:rsidP="001209F8">
      <w:pPr>
        <w:rPr>
          <w:b/>
          <w:sz w:val="24"/>
        </w:rPr>
      </w:pPr>
      <w:r w:rsidRPr="0094460F">
        <w:rPr>
          <w:b/>
          <w:sz w:val="24"/>
        </w:rPr>
        <w:t>General Comment</w:t>
      </w:r>
    </w:p>
    <w:p w:rsidR="001209F8" w:rsidRPr="0094460F" w:rsidRDefault="001209F8" w:rsidP="0094460F">
      <w:pPr>
        <w:pStyle w:val="ListParagraph"/>
        <w:numPr>
          <w:ilvl w:val="0"/>
          <w:numId w:val="25"/>
        </w:numPr>
        <w:rPr>
          <w:sz w:val="24"/>
        </w:rPr>
      </w:pPr>
      <w:r w:rsidRPr="0094460F">
        <w:rPr>
          <w:sz w:val="24"/>
        </w:rPr>
        <w:t>One customer commented that the water is not suitable for drinking; another acknowledged that the water was safe to drink, however the taste and odor is unpleasant.</w:t>
      </w:r>
    </w:p>
    <w:p w:rsidR="001209F8" w:rsidRPr="0094460F" w:rsidRDefault="001209F8" w:rsidP="0094460F">
      <w:pPr>
        <w:rPr>
          <w:sz w:val="24"/>
        </w:rPr>
      </w:pPr>
    </w:p>
    <w:p w:rsidR="001209F8" w:rsidRPr="0094460F" w:rsidRDefault="001209F8" w:rsidP="0094460F">
      <w:pPr>
        <w:ind w:firstLine="720"/>
        <w:rPr>
          <w:i/>
          <w:sz w:val="24"/>
        </w:rPr>
      </w:pPr>
      <w:r w:rsidRPr="0094460F">
        <w:rPr>
          <w:i/>
          <w:sz w:val="24"/>
        </w:rPr>
        <w:t xml:space="preserve">Staff Response  </w:t>
      </w:r>
    </w:p>
    <w:p w:rsidR="00E1256C" w:rsidRPr="0094460F" w:rsidRDefault="00E1256C" w:rsidP="00E1256C">
      <w:pPr>
        <w:ind w:left="720"/>
        <w:rPr>
          <w:sz w:val="24"/>
        </w:rPr>
      </w:pPr>
      <w:r>
        <w:rPr>
          <w:sz w:val="24"/>
        </w:rPr>
        <w:t>DOH has regulatory authority over water quality and quantity issues; however, staff</w:t>
      </w:r>
      <w:r w:rsidRPr="0094460F">
        <w:rPr>
          <w:sz w:val="24"/>
        </w:rPr>
        <w:t xml:space="preserve"> talked to a company representative and was told that the water is drinkable</w:t>
      </w:r>
      <w:r>
        <w:rPr>
          <w:sz w:val="24"/>
        </w:rPr>
        <w:t xml:space="preserve"> according to DOH standards. The issues with taste and odor are due to </w:t>
      </w:r>
      <w:r w:rsidRPr="0094460F">
        <w:rPr>
          <w:sz w:val="24"/>
        </w:rPr>
        <w:t xml:space="preserve">iron </w:t>
      </w:r>
      <w:r>
        <w:rPr>
          <w:sz w:val="24"/>
        </w:rPr>
        <w:t xml:space="preserve">and </w:t>
      </w:r>
      <w:r w:rsidRPr="0094460F">
        <w:rPr>
          <w:sz w:val="24"/>
        </w:rPr>
        <w:t>manganese</w:t>
      </w:r>
      <w:r>
        <w:rPr>
          <w:sz w:val="24"/>
        </w:rPr>
        <w:t>, which are</w:t>
      </w:r>
      <w:r w:rsidRPr="0094460F">
        <w:rPr>
          <w:sz w:val="24"/>
        </w:rPr>
        <w:t xml:space="preserve"> considered by DOH to be </w:t>
      </w:r>
      <w:r>
        <w:rPr>
          <w:sz w:val="24"/>
        </w:rPr>
        <w:t>secondary</w:t>
      </w:r>
      <w:r w:rsidRPr="0094460F">
        <w:rPr>
          <w:sz w:val="24"/>
        </w:rPr>
        <w:t xml:space="preserve"> contaminant</w:t>
      </w:r>
      <w:r>
        <w:rPr>
          <w:sz w:val="24"/>
        </w:rPr>
        <w:t>s. The company is in the process of getting authorization from DOH to interconnect wells within the water system, which would help to resolve the iron issue. The company is exploring options for addressing the manganese issue.</w:t>
      </w:r>
    </w:p>
    <w:p w:rsidR="001209F8" w:rsidRPr="0094460F" w:rsidRDefault="001209F8" w:rsidP="0094460F">
      <w:pPr>
        <w:rPr>
          <w:sz w:val="24"/>
        </w:rPr>
      </w:pPr>
    </w:p>
    <w:p w:rsidR="001209F8" w:rsidRPr="0094460F" w:rsidRDefault="001209F8" w:rsidP="001209F8">
      <w:pPr>
        <w:rPr>
          <w:sz w:val="24"/>
        </w:rPr>
      </w:pPr>
      <w:r w:rsidRPr="0094460F">
        <w:rPr>
          <w:sz w:val="24"/>
        </w:rPr>
        <w:t xml:space="preserve">Consumer Protection staff advised customers that they may access company documents pertinent to this rate case at www.utc.wa.gov/water, and that they may contact John Cupp at </w:t>
      </w:r>
    </w:p>
    <w:p w:rsidR="001209F8" w:rsidRPr="0094460F" w:rsidRDefault="001209F8" w:rsidP="001209F8">
      <w:pPr>
        <w:rPr>
          <w:sz w:val="24"/>
        </w:rPr>
      </w:pPr>
      <w:r w:rsidRPr="0094460F">
        <w:rPr>
          <w:sz w:val="24"/>
        </w:rPr>
        <w:t>1-888-333-WUTC (9882) with questions or concerns.</w:t>
      </w:r>
    </w:p>
    <w:p w:rsidR="00CD06B9" w:rsidRPr="0094460F" w:rsidRDefault="00CD06B9" w:rsidP="0094460F">
      <w:pPr>
        <w:rPr>
          <w:sz w:val="24"/>
        </w:rPr>
      </w:pPr>
    </w:p>
    <w:p w:rsidR="00B91F45" w:rsidRDefault="00B91F45" w:rsidP="00B91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sidRPr="000D73DD">
        <w:rPr>
          <w:b/>
          <w:sz w:val="24"/>
          <w:u w:val="single"/>
        </w:rPr>
        <w:t>Rate Comparison</w:t>
      </w:r>
    </w:p>
    <w:p w:rsidR="00B91F45" w:rsidRDefault="00B91F45" w:rsidP="00B91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8"/>
        <w:gridCol w:w="2160"/>
        <w:gridCol w:w="2160"/>
        <w:gridCol w:w="2088"/>
      </w:tblGrid>
      <w:tr w:rsidR="00B91F45" w:rsidRPr="001D6BD3" w:rsidTr="00B91F45">
        <w:tc>
          <w:tcPr>
            <w:tcW w:w="1654" w:type="pct"/>
          </w:tcPr>
          <w:p w:rsidR="00B91F45" w:rsidRPr="001D6BD3" w:rsidRDefault="00B91F45" w:rsidP="00507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1D6BD3">
              <w:rPr>
                <w:b/>
                <w:sz w:val="24"/>
              </w:rPr>
              <w:t>Monthly Rate</w:t>
            </w:r>
          </w:p>
        </w:tc>
        <w:tc>
          <w:tcPr>
            <w:tcW w:w="1128" w:type="pct"/>
            <w:vAlign w:val="bottom"/>
          </w:tcPr>
          <w:p w:rsidR="00B91F45" w:rsidRPr="001D6BD3" w:rsidRDefault="00B91F45" w:rsidP="00B91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1D6BD3">
              <w:rPr>
                <w:b/>
                <w:sz w:val="24"/>
              </w:rPr>
              <w:t>Current Rate</w:t>
            </w:r>
          </w:p>
        </w:tc>
        <w:tc>
          <w:tcPr>
            <w:tcW w:w="1128" w:type="pct"/>
            <w:vAlign w:val="bottom"/>
          </w:tcPr>
          <w:p w:rsidR="00B91F45" w:rsidRPr="001D6BD3" w:rsidRDefault="00B91F45" w:rsidP="00B91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1D6BD3">
              <w:rPr>
                <w:b/>
                <w:sz w:val="24"/>
              </w:rPr>
              <w:t>Proposed Rate</w:t>
            </w:r>
          </w:p>
        </w:tc>
        <w:tc>
          <w:tcPr>
            <w:tcW w:w="1090" w:type="pct"/>
            <w:vAlign w:val="bottom"/>
          </w:tcPr>
          <w:p w:rsidR="00B91F45" w:rsidRPr="001D6BD3" w:rsidRDefault="00B91F45" w:rsidP="00B91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1D6BD3">
              <w:rPr>
                <w:b/>
                <w:sz w:val="24"/>
              </w:rPr>
              <w:t>Revised Rate</w:t>
            </w:r>
          </w:p>
        </w:tc>
      </w:tr>
      <w:tr w:rsidR="00B91F45" w:rsidRPr="001D6BD3" w:rsidTr="005077A3">
        <w:tc>
          <w:tcPr>
            <w:tcW w:w="1654" w:type="pct"/>
          </w:tcPr>
          <w:p w:rsidR="00B91F45" w:rsidRPr="001D6BD3" w:rsidRDefault="00B91F45" w:rsidP="00507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vertAlign w:val="superscript"/>
              </w:rPr>
            </w:pPr>
            <w:r w:rsidRPr="001D6BD3">
              <w:rPr>
                <w:sz w:val="24"/>
              </w:rPr>
              <w:t>Flat Rate (Unmetered)</w:t>
            </w:r>
          </w:p>
        </w:tc>
        <w:tc>
          <w:tcPr>
            <w:tcW w:w="1128" w:type="pct"/>
            <w:vAlign w:val="center"/>
          </w:tcPr>
          <w:p w:rsidR="00B91F45" w:rsidRDefault="00B91F45" w:rsidP="00507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1D6BD3">
              <w:rPr>
                <w:sz w:val="24"/>
              </w:rPr>
              <w:t>$</w:t>
            </w:r>
            <w:r>
              <w:rPr>
                <w:sz w:val="24"/>
              </w:rPr>
              <w:t>34.83</w:t>
            </w:r>
          </w:p>
        </w:tc>
        <w:tc>
          <w:tcPr>
            <w:tcW w:w="1128" w:type="pct"/>
          </w:tcPr>
          <w:p w:rsidR="00B91F45" w:rsidRDefault="00B91F45" w:rsidP="00507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1D6BD3">
              <w:rPr>
                <w:sz w:val="24"/>
              </w:rPr>
              <w:t>$</w:t>
            </w:r>
            <w:r>
              <w:rPr>
                <w:sz w:val="24"/>
              </w:rPr>
              <w:t>68</w:t>
            </w:r>
            <w:r w:rsidRPr="001D6BD3">
              <w:rPr>
                <w:sz w:val="24"/>
              </w:rPr>
              <w:t>.</w:t>
            </w:r>
            <w:r>
              <w:rPr>
                <w:sz w:val="24"/>
              </w:rPr>
              <w:t>40</w:t>
            </w:r>
          </w:p>
        </w:tc>
        <w:tc>
          <w:tcPr>
            <w:tcW w:w="1090" w:type="pct"/>
          </w:tcPr>
          <w:p w:rsidR="00B91F45" w:rsidRDefault="00B91F45" w:rsidP="00507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1D6BD3">
              <w:rPr>
                <w:sz w:val="24"/>
              </w:rPr>
              <w:t>$</w:t>
            </w:r>
            <w:r>
              <w:rPr>
                <w:sz w:val="24"/>
              </w:rPr>
              <w:t>68</w:t>
            </w:r>
            <w:r w:rsidRPr="001D6BD3">
              <w:rPr>
                <w:sz w:val="24"/>
              </w:rPr>
              <w:t>.</w:t>
            </w:r>
            <w:r>
              <w:rPr>
                <w:sz w:val="24"/>
              </w:rPr>
              <w:t>40</w:t>
            </w:r>
          </w:p>
        </w:tc>
      </w:tr>
      <w:tr w:rsidR="00B91F45" w:rsidRPr="001D6BD3" w:rsidTr="005077A3">
        <w:tc>
          <w:tcPr>
            <w:tcW w:w="1654" w:type="pct"/>
          </w:tcPr>
          <w:p w:rsidR="00B91F45" w:rsidRPr="001D6BD3" w:rsidRDefault="00B91F45" w:rsidP="00507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vertAlign w:val="superscript"/>
              </w:rPr>
            </w:pPr>
            <w:r>
              <w:rPr>
                <w:sz w:val="24"/>
              </w:rPr>
              <w:t>Ready-to-Serve (RTS)</w:t>
            </w:r>
          </w:p>
        </w:tc>
        <w:tc>
          <w:tcPr>
            <w:tcW w:w="1128" w:type="pct"/>
            <w:vAlign w:val="center"/>
          </w:tcPr>
          <w:p w:rsidR="00B91F45" w:rsidRDefault="00B91F45" w:rsidP="00507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N/A</w:t>
            </w:r>
          </w:p>
        </w:tc>
        <w:tc>
          <w:tcPr>
            <w:tcW w:w="1128" w:type="pct"/>
          </w:tcPr>
          <w:p w:rsidR="00B91F45" w:rsidRDefault="00B91F45" w:rsidP="00507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1D6BD3">
              <w:rPr>
                <w:sz w:val="24"/>
              </w:rPr>
              <w:t>$</w:t>
            </w:r>
            <w:r>
              <w:rPr>
                <w:sz w:val="24"/>
              </w:rPr>
              <w:t>28.75</w:t>
            </w:r>
          </w:p>
        </w:tc>
        <w:tc>
          <w:tcPr>
            <w:tcW w:w="1090" w:type="pct"/>
          </w:tcPr>
          <w:p w:rsidR="00B91F45" w:rsidRDefault="00B91F45" w:rsidP="00507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1D6BD3">
              <w:rPr>
                <w:sz w:val="24"/>
              </w:rPr>
              <w:t>$</w:t>
            </w:r>
            <w:r>
              <w:rPr>
                <w:sz w:val="24"/>
              </w:rPr>
              <w:t>16</w:t>
            </w:r>
            <w:r w:rsidRPr="001D6BD3">
              <w:rPr>
                <w:sz w:val="24"/>
              </w:rPr>
              <w:t>.</w:t>
            </w:r>
            <w:r>
              <w:rPr>
                <w:sz w:val="24"/>
              </w:rPr>
              <w:t>00</w:t>
            </w:r>
          </w:p>
        </w:tc>
      </w:tr>
      <w:tr w:rsidR="00B91F45" w:rsidRPr="001D6BD3" w:rsidTr="005077A3">
        <w:tc>
          <w:tcPr>
            <w:tcW w:w="1654" w:type="pct"/>
          </w:tcPr>
          <w:p w:rsidR="00B91F45" w:rsidRPr="001D6BD3" w:rsidRDefault="00B91F45" w:rsidP="00507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1D6BD3">
              <w:rPr>
                <w:sz w:val="24"/>
              </w:rPr>
              <w:t>Base Rate (</w:t>
            </w:r>
            <w:r>
              <w:rPr>
                <w:sz w:val="24"/>
              </w:rPr>
              <w:t>5/8</w:t>
            </w:r>
            <w:r w:rsidRPr="001D6BD3">
              <w:rPr>
                <w:sz w:val="24"/>
              </w:rPr>
              <w:t>-inch meter)</w:t>
            </w:r>
            <w:r w:rsidRPr="001D6BD3">
              <w:rPr>
                <w:sz w:val="24"/>
                <w:vertAlign w:val="superscript"/>
              </w:rPr>
              <w:t>1</w:t>
            </w:r>
          </w:p>
        </w:tc>
        <w:tc>
          <w:tcPr>
            <w:tcW w:w="1128" w:type="pct"/>
          </w:tcPr>
          <w:p w:rsidR="00B91F45" w:rsidRDefault="00B91F45" w:rsidP="00507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N/A</w:t>
            </w:r>
          </w:p>
        </w:tc>
        <w:tc>
          <w:tcPr>
            <w:tcW w:w="1128" w:type="pct"/>
          </w:tcPr>
          <w:p w:rsidR="00B91F45" w:rsidRDefault="00B91F45" w:rsidP="00507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1D6BD3">
              <w:rPr>
                <w:sz w:val="24"/>
              </w:rPr>
              <w:t>$</w:t>
            </w:r>
            <w:r>
              <w:rPr>
                <w:sz w:val="24"/>
              </w:rPr>
              <w:t>28</w:t>
            </w:r>
            <w:r w:rsidRPr="001D6BD3">
              <w:rPr>
                <w:sz w:val="24"/>
              </w:rPr>
              <w:t>.</w:t>
            </w:r>
            <w:r>
              <w:rPr>
                <w:sz w:val="24"/>
              </w:rPr>
              <w:t>75</w:t>
            </w:r>
          </w:p>
        </w:tc>
        <w:tc>
          <w:tcPr>
            <w:tcW w:w="1090" w:type="pct"/>
          </w:tcPr>
          <w:p w:rsidR="00B91F45" w:rsidRDefault="00B91F45" w:rsidP="00507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$16</w:t>
            </w:r>
            <w:r w:rsidRPr="001D6BD3">
              <w:rPr>
                <w:sz w:val="24"/>
              </w:rPr>
              <w:t>.</w:t>
            </w:r>
            <w:r>
              <w:rPr>
                <w:sz w:val="24"/>
              </w:rPr>
              <w:t>00</w:t>
            </w:r>
          </w:p>
        </w:tc>
      </w:tr>
      <w:tr w:rsidR="00B91F45" w:rsidRPr="001D6BD3" w:rsidTr="005077A3">
        <w:tc>
          <w:tcPr>
            <w:tcW w:w="1654" w:type="pct"/>
          </w:tcPr>
          <w:p w:rsidR="00B91F45" w:rsidRPr="001D6BD3" w:rsidRDefault="00B91F45" w:rsidP="00507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1D6BD3">
              <w:rPr>
                <w:sz w:val="24"/>
              </w:rPr>
              <w:t xml:space="preserve">0 – </w:t>
            </w:r>
            <w:r>
              <w:rPr>
                <w:sz w:val="24"/>
              </w:rPr>
              <w:t>10,000</w:t>
            </w:r>
            <w:r w:rsidRPr="001D6BD3">
              <w:rPr>
                <w:sz w:val="24"/>
              </w:rPr>
              <w:t xml:space="preserve"> </w:t>
            </w:r>
            <w:r>
              <w:rPr>
                <w:sz w:val="24"/>
              </w:rPr>
              <w:t>Gallons</w:t>
            </w:r>
            <w:r w:rsidRPr="001D6BD3">
              <w:rPr>
                <w:sz w:val="24"/>
                <w:vertAlign w:val="superscript"/>
              </w:rPr>
              <w:t>1,</w:t>
            </w:r>
            <w:r>
              <w:rPr>
                <w:sz w:val="24"/>
                <w:vertAlign w:val="superscript"/>
              </w:rPr>
              <w:t>2</w:t>
            </w:r>
          </w:p>
        </w:tc>
        <w:tc>
          <w:tcPr>
            <w:tcW w:w="1128" w:type="pct"/>
          </w:tcPr>
          <w:p w:rsidR="00B91F45" w:rsidRDefault="00B91F45" w:rsidP="005077A3">
            <w:pPr>
              <w:jc w:val="center"/>
            </w:pPr>
            <w:r w:rsidRPr="002E125A">
              <w:rPr>
                <w:sz w:val="24"/>
              </w:rPr>
              <w:t>N/A</w:t>
            </w:r>
          </w:p>
        </w:tc>
        <w:tc>
          <w:tcPr>
            <w:tcW w:w="1128" w:type="pct"/>
          </w:tcPr>
          <w:p w:rsidR="00B91F45" w:rsidRDefault="00B91F45" w:rsidP="00507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1D6BD3">
              <w:rPr>
                <w:sz w:val="24"/>
              </w:rPr>
              <w:t>$</w:t>
            </w:r>
            <w:r>
              <w:rPr>
                <w:sz w:val="24"/>
              </w:rPr>
              <w:t>2</w:t>
            </w:r>
            <w:r w:rsidRPr="001D6BD3">
              <w:rPr>
                <w:sz w:val="24"/>
              </w:rPr>
              <w:t>.5</w:t>
            </w:r>
            <w:r>
              <w:rPr>
                <w:sz w:val="24"/>
              </w:rPr>
              <w:t>0</w:t>
            </w:r>
          </w:p>
        </w:tc>
        <w:tc>
          <w:tcPr>
            <w:tcW w:w="1090" w:type="pct"/>
          </w:tcPr>
          <w:p w:rsidR="00B91F45" w:rsidRDefault="00B91F45" w:rsidP="007E53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1D6BD3">
              <w:rPr>
                <w:sz w:val="24"/>
              </w:rPr>
              <w:t>$</w:t>
            </w:r>
            <w:r>
              <w:rPr>
                <w:sz w:val="24"/>
              </w:rPr>
              <w:t>2</w:t>
            </w:r>
            <w:r w:rsidRPr="001D6BD3">
              <w:rPr>
                <w:sz w:val="24"/>
              </w:rPr>
              <w:t>.</w:t>
            </w:r>
            <w:r w:rsidR="007E53C2">
              <w:rPr>
                <w:sz w:val="24"/>
              </w:rPr>
              <w:t>5</w:t>
            </w:r>
            <w:r>
              <w:rPr>
                <w:sz w:val="24"/>
              </w:rPr>
              <w:t>0</w:t>
            </w:r>
          </w:p>
        </w:tc>
      </w:tr>
      <w:tr w:rsidR="00B91F45" w:rsidRPr="001D6BD3" w:rsidTr="005077A3">
        <w:tc>
          <w:tcPr>
            <w:tcW w:w="1654" w:type="pct"/>
          </w:tcPr>
          <w:p w:rsidR="00B91F45" w:rsidRPr="001D6BD3" w:rsidRDefault="00B91F45" w:rsidP="00507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10,001 – 40,000</w:t>
            </w:r>
            <w:r w:rsidRPr="001D6BD3">
              <w:rPr>
                <w:sz w:val="24"/>
              </w:rPr>
              <w:t xml:space="preserve"> </w:t>
            </w:r>
            <w:r>
              <w:rPr>
                <w:sz w:val="24"/>
              </w:rPr>
              <w:t>Gallons</w:t>
            </w:r>
            <w:r w:rsidRPr="001D6BD3">
              <w:rPr>
                <w:sz w:val="24"/>
                <w:vertAlign w:val="superscript"/>
              </w:rPr>
              <w:t>1,</w:t>
            </w:r>
            <w:r>
              <w:rPr>
                <w:sz w:val="24"/>
                <w:vertAlign w:val="superscript"/>
              </w:rPr>
              <w:t>2</w:t>
            </w:r>
          </w:p>
        </w:tc>
        <w:tc>
          <w:tcPr>
            <w:tcW w:w="1128" w:type="pct"/>
          </w:tcPr>
          <w:p w:rsidR="00B91F45" w:rsidRDefault="00B91F45" w:rsidP="005077A3">
            <w:pPr>
              <w:jc w:val="center"/>
            </w:pPr>
            <w:r w:rsidRPr="002E125A">
              <w:rPr>
                <w:sz w:val="24"/>
              </w:rPr>
              <w:t>N/A</w:t>
            </w:r>
          </w:p>
        </w:tc>
        <w:tc>
          <w:tcPr>
            <w:tcW w:w="1128" w:type="pct"/>
          </w:tcPr>
          <w:p w:rsidR="00B91F45" w:rsidRDefault="00B91F45" w:rsidP="00507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$3.00</w:t>
            </w:r>
          </w:p>
        </w:tc>
        <w:tc>
          <w:tcPr>
            <w:tcW w:w="1090" w:type="pct"/>
          </w:tcPr>
          <w:p w:rsidR="00B91F45" w:rsidRDefault="00B91F45" w:rsidP="00630E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007E53C2">
              <w:rPr>
                <w:sz w:val="24"/>
              </w:rPr>
              <w:t>3</w:t>
            </w:r>
            <w:r>
              <w:rPr>
                <w:sz w:val="24"/>
              </w:rPr>
              <w:t>.</w:t>
            </w:r>
            <w:r w:rsidR="007E53C2">
              <w:rPr>
                <w:sz w:val="24"/>
              </w:rPr>
              <w:t>0</w:t>
            </w:r>
            <w:r>
              <w:rPr>
                <w:sz w:val="24"/>
              </w:rPr>
              <w:t>0</w:t>
            </w:r>
          </w:p>
        </w:tc>
      </w:tr>
      <w:tr w:rsidR="00B91F45" w:rsidRPr="001D6BD3" w:rsidTr="005077A3">
        <w:tc>
          <w:tcPr>
            <w:tcW w:w="1654" w:type="pct"/>
          </w:tcPr>
          <w:p w:rsidR="00B91F45" w:rsidRPr="001D6BD3" w:rsidRDefault="00B91F45" w:rsidP="00507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Over 40</w:t>
            </w:r>
            <w:r w:rsidRPr="001D6BD3">
              <w:rPr>
                <w:sz w:val="24"/>
              </w:rPr>
              <w:t>,</w:t>
            </w:r>
            <w:r>
              <w:rPr>
                <w:sz w:val="24"/>
              </w:rPr>
              <w:t>00</w:t>
            </w:r>
            <w:r w:rsidRPr="001D6BD3">
              <w:rPr>
                <w:sz w:val="24"/>
              </w:rPr>
              <w:t xml:space="preserve">0 </w:t>
            </w:r>
            <w:r>
              <w:rPr>
                <w:sz w:val="24"/>
              </w:rPr>
              <w:t>Gallons</w:t>
            </w:r>
            <w:r w:rsidRPr="001D6BD3">
              <w:rPr>
                <w:sz w:val="24"/>
                <w:vertAlign w:val="superscript"/>
              </w:rPr>
              <w:t>1,</w:t>
            </w:r>
            <w:r>
              <w:rPr>
                <w:sz w:val="24"/>
                <w:vertAlign w:val="superscript"/>
              </w:rPr>
              <w:t>2</w:t>
            </w:r>
          </w:p>
        </w:tc>
        <w:tc>
          <w:tcPr>
            <w:tcW w:w="1128" w:type="pct"/>
          </w:tcPr>
          <w:p w:rsidR="00B91F45" w:rsidRDefault="00B91F45" w:rsidP="005077A3">
            <w:pPr>
              <w:jc w:val="center"/>
            </w:pPr>
            <w:r w:rsidRPr="002E125A">
              <w:rPr>
                <w:sz w:val="24"/>
              </w:rPr>
              <w:t>N/A</w:t>
            </w:r>
          </w:p>
        </w:tc>
        <w:tc>
          <w:tcPr>
            <w:tcW w:w="1128" w:type="pct"/>
          </w:tcPr>
          <w:p w:rsidR="00B91F45" w:rsidRDefault="00B91F45" w:rsidP="00507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1D6BD3">
              <w:rPr>
                <w:sz w:val="24"/>
              </w:rPr>
              <w:t>$</w:t>
            </w:r>
            <w:r>
              <w:rPr>
                <w:sz w:val="24"/>
              </w:rPr>
              <w:t>3.50</w:t>
            </w:r>
          </w:p>
        </w:tc>
        <w:tc>
          <w:tcPr>
            <w:tcW w:w="1090" w:type="pct"/>
          </w:tcPr>
          <w:p w:rsidR="00B91F45" w:rsidRDefault="00B91F45" w:rsidP="007E53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1D6BD3">
              <w:rPr>
                <w:sz w:val="24"/>
              </w:rPr>
              <w:t>$</w:t>
            </w:r>
            <w:r>
              <w:rPr>
                <w:sz w:val="24"/>
              </w:rPr>
              <w:t>3.</w:t>
            </w:r>
            <w:r w:rsidR="007E53C2">
              <w:rPr>
                <w:sz w:val="24"/>
              </w:rPr>
              <w:t>5</w:t>
            </w:r>
            <w:r>
              <w:rPr>
                <w:sz w:val="24"/>
              </w:rPr>
              <w:t>0</w:t>
            </w:r>
          </w:p>
        </w:tc>
      </w:tr>
    </w:tbl>
    <w:p w:rsidR="00B91F45" w:rsidRPr="00145029" w:rsidRDefault="00B91F45" w:rsidP="00B91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vertAlign w:val="superscript"/>
        </w:rPr>
      </w:pPr>
      <w:r w:rsidRPr="007F1366">
        <w:rPr>
          <w:sz w:val="24"/>
          <w:vertAlign w:val="superscript"/>
        </w:rPr>
        <w:t xml:space="preserve">1 – Based on </w:t>
      </w:r>
      <w:r>
        <w:rPr>
          <w:sz w:val="24"/>
          <w:vertAlign w:val="superscript"/>
        </w:rPr>
        <w:t>5</w:t>
      </w:r>
      <w:r w:rsidRPr="007F1366">
        <w:rPr>
          <w:sz w:val="24"/>
          <w:vertAlign w:val="superscript"/>
        </w:rPr>
        <w:t>/</w:t>
      </w:r>
      <w:r>
        <w:rPr>
          <w:sz w:val="24"/>
          <w:vertAlign w:val="superscript"/>
        </w:rPr>
        <w:t>8</w:t>
      </w:r>
      <w:r w:rsidRPr="007F1366">
        <w:rPr>
          <w:sz w:val="24"/>
          <w:vertAlign w:val="superscript"/>
        </w:rPr>
        <w:t>-inch meter classification, see company’s tariff for upsize meter classification, usage blocks and rates.</w:t>
      </w:r>
    </w:p>
    <w:p w:rsidR="00B91F45" w:rsidRPr="007F1366" w:rsidRDefault="00B91F45" w:rsidP="00B91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vertAlign w:val="superscript"/>
        </w:rPr>
      </w:pPr>
      <w:r>
        <w:rPr>
          <w:sz w:val="24"/>
          <w:vertAlign w:val="superscript"/>
        </w:rPr>
        <w:t>2</w:t>
      </w:r>
      <w:r w:rsidRPr="007F1366">
        <w:rPr>
          <w:sz w:val="24"/>
          <w:vertAlign w:val="superscript"/>
        </w:rPr>
        <w:t xml:space="preserve"> – Based on “per 1</w:t>
      </w:r>
      <w:r>
        <w:rPr>
          <w:sz w:val="24"/>
          <w:vertAlign w:val="superscript"/>
        </w:rPr>
        <w:t>,0</w:t>
      </w:r>
      <w:r w:rsidRPr="007F1366">
        <w:rPr>
          <w:sz w:val="24"/>
          <w:vertAlign w:val="superscript"/>
        </w:rPr>
        <w:t xml:space="preserve">00 </w:t>
      </w:r>
      <w:r>
        <w:rPr>
          <w:sz w:val="24"/>
          <w:vertAlign w:val="superscript"/>
        </w:rPr>
        <w:t>gallons</w:t>
      </w:r>
      <w:r w:rsidRPr="007F1366">
        <w:rPr>
          <w:sz w:val="24"/>
          <w:vertAlign w:val="superscript"/>
        </w:rPr>
        <w:t>”.</w:t>
      </w:r>
    </w:p>
    <w:p w:rsidR="00B91F45" w:rsidRDefault="00B91F45" w:rsidP="00B91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Style w:val="TableGrid"/>
        <w:tblW w:w="5000" w:type="pct"/>
        <w:tblLook w:val="01E0"/>
      </w:tblPr>
      <w:tblGrid>
        <w:gridCol w:w="3168"/>
        <w:gridCol w:w="2160"/>
        <w:gridCol w:w="2160"/>
        <w:gridCol w:w="2088"/>
      </w:tblGrid>
      <w:tr w:rsidR="00B91F45" w:rsidTr="00B91F45">
        <w:tc>
          <w:tcPr>
            <w:tcW w:w="1654" w:type="pct"/>
          </w:tcPr>
          <w:p w:rsidR="00B91F45" w:rsidRPr="00591778" w:rsidRDefault="00B91F45" w:rsidP="00507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591778">
              <w:rPr>
                <w:b/>
                <w:sz w:val="24"/>
              </w:rPr>
              <w:t>Ancillary Charge</w:t>
            </w:r>
          </w:p>
        </w:tc>
        <w:tc>
          <w:tcPr>
            <w:tcW w:w="1128" w:type="pct"/>
            <w:vAlign w:val="bottom"/>
          </w:tcPr>
          <w:p w:rsidR="00B91F45" w:rsidRPr="00591778" w:rsidRDefault="00B91F45" w:rsidP="00B91F45">
            <w:pPr>
              <w:jc w:val="center"/>
              <w:rPr>
                <w:b/>
                <w:sz w:val="24"/>
              </w:rPr>
            </w:pPr>
            <w:r>
              <w:rPr>
                <w:b/>
                <w:sz w:val="24"/>
              </w:rPr>
              <w:t>Current Rate</w:t>
            </w:r>
          </w:p>
        </w:tc>
        <w:tc>
          <w:tcPr>
            <w:tcW w:w="1128" w:type="pct"/>
            <w:vAlign w:val="bottom"/>
          </w:tcPr>
          <w:p w:rsidR="00B91F45" w:rsidRPr="00591778" w:rsidRDefault="00B91F45" w:rsidP="00B91F45">
            <w:pPr>
              <w:jc w:val="center"/>
              <w:rPr>
                <w:b/>
                <w:sz w:val="24"/>
              </w:rPr>
            </w:pPr>
            <w:r>
              <w:rPr>
                <w:b/>
                <w:sz w:val="24"/>
              </w:rPr>
              <w:t>Proposed Rate</w:t>
            </w:r>
          </w:p>
        </w:tc>
        <w:tc>
          <w:tcPr>
            <w:tcW w:w="1090" w:type="pct"/>
            <w:vAlign w:val="bottom"/>
          </w:tcPr>
          <w:p w:rsidR="00B91F45" w:rsidRPr="00591778" w:rsidRDefault="00B91F45" w:rsidP="00B91F45">
            <w:pPr>
              <w:jc w:val="center"/>
              <w:rPr>
                <w:b/>
                <w:sz w:val="24"/>
              </w:rPr>
            </w:pPr>
            <w:r>
              <w:rPr>
                <w:b/>
                <w:sz w:val="24"/>
              </w:rPr>
              <w:t>Revised Rate</w:t>
            </w:r>
          </w:p>
        </w:tc>
      </w:tr>
      <w:tr w:rsidR="00B91F45" w:rsidTr="005077A3">
        <w:tc>
          <w:tcPr>
            <w:tcW w:w="1654" w:type="pct"/>
          </w:tcPr>
          <w:p w:rsidR="00B91F45" w:rsidRPr="00A43D26" w:rsidRDefault="00B91F45" w:rsidP="005077A3">
            <w:pPr>
              <w:rPr>
                <w:sz w:val="24"/>
              </w:rPr>
            </w:pPr>
            <w:r w:rsidRPr="00A43D26">
              <w:rPr>
                <w:sz w:val="24"/>
              </w:rPr>
              <w:t>Reconnection</w:t>
            </w:r>
          </w:p>
        </w:tc>
        <w:tc>
          <w:tcPr>
            <w:tcW w:w="1128" w:type="pct"/>
          </w:tcPr>
          <w:p w:rsidR="00B91F45" w:rsidRDefault="00B91F45" w:rsidP="005077A3">
            <w:pPr>
              <w:jc w:val="center"/>
              <w:rPr>
                <w:sz w:val="24"/>
              </w:rPr>
            </w:pPr>
            <w:r w:rsidRPr="00A43D26">
              <w:rPr>
                <w:sz w:val="24"/>
              </w:rPr>
              <w:t>$50.00</w:t>
            </w:r>
          </w:p>
        </w:tc>
        <w:tc>
          <w:tcPr>
            <w:tcW w:w="1128" w:type="pct"/>
          </w:tcPr>
          <w:p w:rsidR="00B91F45" w:rsidRDefault="00B91F45" w:rsidP="005077A3">
            <w:pPr>
              <w:jc w:val="center"/>
              <w:rPr>
                <w:sz w:val="24"/>
              </w:rPr>
            </w:pPr>
            <w:r w:rsidRPr="00A43D26">
              <w:rPr>
                <w:sz w:val="24"/>
              </w:rPr>
              <w:t>$</w:t>
            </w:r>
            <w:r>
              <w:rPr>
                <w:sz w:val="24"/>
              </w:rPr>
              <w:t>8</w:t>
            </w:r>
            <w:r w:rsidRPr="00A43D26">
              <w:rPr>
                <w:sz w:val="24"/>
              </w:rPr>
              <w:t>5.00</w:t>
            </w:r>
          </w:p>
        </w:tc>
        <w:tc>
          <w:tcPr>
            <w:tcW w:w="1090" w:type="pct"/>
          </w:tcPr>
          <w:p w:rsidR="00B91F45" w:rsidRDefault="00B91F45" w:rsidP="005077A3">
            <w:pPr>
              <w:jc w:val="center"/>
              <w:rPr>
                <w:sz w:val="24"/>
              </w:rPr>
            </w:pPr>
            <w:r w:rsidRPr="00A43D26">
              <w:rPr>
                <w:sz w:val="24"/>
              </w:rPr>
              <w:t>$</w:t>
            </w:r>
            <w:r>
              <w:rPr>
                <w:sz w:val="24"/>
              </w:rPr>
              <w:t>8</w:t>
            </w:r>
            <w:r w:rsidRPr="00A43D26">
              <w:rPr>
                <w:sz w:val="24"/>
              </w:rPr>
              <w:t>5.00</w:t>
            </w:r>
          </w:p>
        </w:tc>
      </w:tr>
      <w:tr w:rsidR="00B91F45" w:rsidTr="005077A3">
        <w:tc>
          <w:tcPr>
            <w:tcW w:w="1654" w:type="pct"/>
          </w:tcPr>
          <w:p w:rsidR="00B91F45" w:rsidRPr="00A43D26" w:rsidRDefault="00B91F45" w:rsidP="005077A3">
            <w:pPr>
              <w:rPr>
                <w:sz w:val="24"/>
              </w:rPr>
            </w:pPr>
            <w:r w:rsidRPr="00A43D26">
              <w:rPr>
                <w:sz w:val="24"/>
              </w:rPr>
              <w:t>Disconnection</w:t>
            </w:r>
          </w:p>
        </w:tc>
        <w:tc>
          <w:tcPr>
            <w:tcW w:w="1128" w:type="pct"/>
          </w:tcPr>
          <w:p w:rsidR="00B91F45" w:rsidRDefault="00B91F45" w:rsidP="005077A3">
            <w:pPr>
              <w:jc w:val="center"/>
              <w:rPr>
                <w:sz w:val="24"/>
              </w:rPr>
            </w:pPr>
            <w:r w:rsidRPr="00A43D26">
              <w:rPr>
                <w:sz w:val="24"/>
              </w:rPr>
              <w:t>$</w:t>
            </w:r>
            <w:r>
              <w:rPr>
                <w:sz w:val="24"/>
              </w:rPr>
              <w:t>5</w:t>
            </w:r>
            <w:r w:rsidRPr="00A43D26">
              <w:rPr>
                <w:sz w:val="24"/>
              </w:rPr>
              <w:t>0</w:t>
            </w:r>
            <w:r>
              <w:rPr>
                <w:sz w:val="24"/>
              </w:rPr>
              <w:t>.00</w:t>
            </w:r>
          </w:p>
        </w:tc>
        <w:tc>
          <w:tcPr>
            <w:tcW w:w="1128" w:type="pct"/>
          </w:tcPr>
          <w:p w:rsidR="00B91F45" w:rsidRDefault="00B91F45" w:rsidP="005077A3">
            <w:pPr>
              <w:jc w:val="center"/>
              <w:rPr>
                <w:sz w:val="24"/>
              </w:rPr>
            </w:pPr>
            <w:r w:rsidRPr="00A43D26">
              <w:rPr>
                <w:sz w:val="24"/>
              </w:rPr>
              <w:t>$</w:t>
            </w:r>
            <w:r>
              <w:rPr>
                <w:sz w:val="24"/>
              </w:rPr>
              <w:t>85.00</w:t>
            </w:r>
          </w:p>
        </w:tc>
        <w:tc>
          <w:tcPr>
            <w:tcW w:w="1090" w:type="pct"/>
          </w:tcPr>
          <w:p w:rsidR="00B91F45" w:rsidRDefault="00B91F45" w:rsidP="005077A3">
            <w:pPr>
              <w:jc w:val="center"/>
              <w:rPr>
                <w:sz w:val="24"/>
              </w:rPr>
            </w:pPr>
            <w:r w:rsidRPr="00A43D26">
              <w:rPr>
                <w:sz w:val="24"/>
              </w:rPr>
              <w:t>$</w:t>
            </w:r>
            <w:r>
              <w:rPr>
                <w:sz w:val="24"/>
              </w:rPr>
              <w:t>8</w:t>
            </w:r>
            <w:r w:rsidRPr="00A43D26">
              <w:rPr>
                <w:sz w:val="24"/>
              </w:rPr>
              <w:t>5.00</w:t>
            </w:r>
          </w:p>
        </w:tc>
      </w:tr>
      <w:tr w:rsidR="00B91F45" w:rsidTr="005077A3">
        <w:tc>
          <w:tcPr>
            <w:tcW w:w="1654" w:type="pct"/>
          </w:tcPr>
          <w:p w:rsidR="00B91F45" w:rsidRPr="00A43D26" w:rsidRDefault="00B91F45" w:rsidP="005077A3">
            <w:pPr>
              <w:rPr>
                <w:sz w:val="24"/>
              </w:rPr>
            </w:pPr>
            <w:r w:rsidRPr="00A43D26">
              <w:rPr>
                <w:sz w:val="24"/>
              </w:rPr>
              <w:t>Service Visit</w:t>
            </w:r>
          </w:p>
        </w:tc>
        <w:tc>
          <w:tcPr>
            <w:tcW w:w="1128" w:type="pct"/>
          </w:tcPr>
          <w:p w:rsidR="00B91F45" w:rsidRDefault="00B91F45" w:rsidP="005077A3">
            <w:pPr>
              <w:jc w:val="center"/>
              <w:rPr>
                <w:sz w:val="24"/>
              </w:rPr>
            </w:pPr>
            <w:r>
              <w:rPr>
                <w:sz w:val="24"/>
              </w:rPr>
              <w:t>N/A</w:t>
            </w:r>
          </w:p>
        </w:tc>
        <w:tc>
          <w:tcPr>
            <w:tcW w:w="1128" w:type="pct"/>
          </w:tcPr>
          <w:p w:rsidR="00B91F45" w:rsidRDefault="00B91F45" w:rsidP="005077A3">
            <w:pPr>
              <w:jc w:val="center"/>
              <w:rPr>
                <w:sz w:val="24"/>
              </w:rPr>
            </w:pPr>
            <w:r w:rsidRPr="00A43D26">
              <w:rPr>
                <w:sz w:val="24"/>
              </w:rPr>
              <w:t>$</w:t>
            </w:r>
            <w:r>
              <w:rPr>
                <w:sz w:val="24"/>
              </w:rPr>
              <w:t>85.00</w:t>
            </w:r>
          </w:p>
        </w:tc>
        <w:tc>
          <w:tcPr>
            <w:tcW w:w="1090" w:type="pct"/>
          </w:tcPr>
          <w:p w:rsidR="00B91F45" w:rsidRDefault="00B91F45" w:rsidP="005077A3">
            <w:pPr>
              <w:jc w:val="center"/>
              <w:rPr>
                <w:sz w:val="24"/>
              </w:rPr>
            </w:pPr>
            <w:r w:rsidRPr="00A43D26">
              <w:rPr>
                <w:sz w:val="24"/>
              </w:rPr>
              <w:t>$</w:t>
            </w:r>
            <w:r>
              <w:rPr>
                <w:sz w:val="24"/>
              </w:rPr>
              <w:t>8</w:t>
            </w:r>
            <w:r w:rsidRPr="00A43D26">
              <w:rPr>
                <w:sz w:val="24"/>
              </w:rPr>
              <w:t>5.00</w:t>
            </w:r>
          </w:p>
        </w:tc>
      </w:tr>
      <w:tr w:rsidR="00B91F45" w:rsidTr="005077A3">
        <w:tc>
          <w:tcPr>
            <w:tcW w:w="1654" w:type="pct"/>
          </w:tcPr>
          <w:p w:rsidR="00B91F45" w:rsidRDefault="00B91F45" w:rsidP="00507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NSF Check</w:t>
            </w:r>
          </w:p>
        </w:tc>
        <w:tc>
          <w:tcPr>
            <w:tcW w:w="1128" w:type="pct"/>
          </w:tcPr>
          <w:p w:rsidR="00B91F45" w:rsidRDefault="00B91F45" w:rsidP="00507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$25.00</w:t>
            </w:r>
          </w:p>
        </w:tc>
        <w:tc>
          <w:tcPr>
            <w:tcW w:w="1128" w:type="pct"/>
          </w:tcPr>
          <w:p w:rsidR="00B91F45" w:rsidRDefault="00B91F45" w:rsidP="00507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$40.00</w:t>
            </w:r>
          </w:p>
        </w:tc>
        <w:tc>
          <w:tcPr>
            <w:tcW w:w="1090" w:type="pct"/>
          </w:tcPr>
          <w:p w:rsidR="00B91F45" w:rsidRDefault="00B91F45" w:rsidP="00507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$39.00</w:t>
            </w:r>
          </w:p>
        </w:tc>
      </w:tr>
      <w:tr w:rsidR="00B91F45" w:rsidTr="005077A3">
        <w:tc>
          <w:tcPr>
            <w:tcW w:w="1654" w:type="pct"/>
          </w:tcPr>
          <w:p w:rsidR="00B91F45" w:rsidRPr="00A43D26" w:rsidRDefault="00B91F45" w:rsidP="005077A3">
            <w:pPr>
              <w:rPr>
                <w:sz w:val="24"/>
              </w:rPr>
            </w:pPr>
            <w:r>
              <w:rPr>
                <w:sz w:val="24"/>
              </w:rPr>
              <w:t>Backflow Assembly Testing</w:t>
            </w:r>
          </w:p>
        </w:tc>
        <w:tc>
          <w:tcPr>
            <w:tcW w:w="1128" w:type="pct"/>
          </w:tcPr>
          <w:p w:rsidR="00B91F45" w:rsidRDefault="00B91F45" w:rsidP="005077A3">
            <w:pPr>
              <w:jc w:val="center"/>
              <w:rPr>
                <w:sz w:val="24"/>
              </w:rPr>
            </w:pPr>
            <w:r>
              <w:rPr>
                <w:sz w:val="24"/>
              </w:rPr>
              <w:t>N/A</w:t>
            </w:r>
          </w:p>
        </w:tc>
        <w:tc>
          <w:tcPr>
            <w:tcW w:w="1128" w:type="pct"/>
          </w:tcPr>
          <w:p w:rsidR="00B91F45" w:rsidRDefault="00B91F45" w:rsidP="005077A3">
            <w:pPr>
              <w:jc w:val="center"/>
              <w:rPr>
                <w:sz w:val="24"/>
              </w:rPr>
            </w:pPr>
            <w:r w:rsidRPr="00A43D26">
              <w:rPr>
                <w:sz w:val="24"/>
              </w:rPr>
              <w:t>$</w:t>
            </w:r>
            <w:r>
              <w:rPr>
                <w:sz w:val="24"/>
              </w:rPr>
              <w:t>85.00</w:t>
            </w:r>
          </w:p>
        </w:tc>
        <w:tc>
          <w:tcPr>
            <w:tcW w:w="1090" w:type="pct"/>
          </w:tcPr>
          <w:p w:rsidR="00B91F45" w:rsidRDefault="00B91F45" w:rsidP="005077A3">
            <w:pPr>
              <w:jc w:val="center"/>
              <w:rPr>
                <w:sz w:val="24"/>
              </w:rPr>
            </w:pPr>
            <w:r w:rsidRPr="00A43D26">
              <w:rPr>
                <w:sz w:val="24"/>
              </w:rPr>
              <w:t>$</w:t>
            </w:r>
            <w:r>
              <w:rPr>
                <w:sz w:val="24"/>
              </w:rPr>
              <w:t>8</w:t>
            </w:r>
            <w:r w:rsidRPr="00A43D26">
              <w:rPr>
                <w:sz w:val="24"/>
              </w:rPr>
              <w:t>5.00</w:t>
            </w:r>
          </w:p>
        </w:tc>
      </w:tr>
      <w:tr w:rsidR="00B91F45" w:rsidTr="005077A3">
        <w:tc>
          <w:tcPr>
            <w:tcW w:w="1654" w:type="pct"/>
          </w:tcPr>
          <w:p w:rsidR="00B91F45" w:rsidRPr="00A43D26" w:rsidRDefault="00B91F45" w:rsidP="005077A3">
            <w:pPr>
              <w:rPr>
                <w:sz w:val="24"/>
              </w:rPr>
            </w:pPr>
            <w:r>
              <w:rPr>
                <w:sz w:val="24"/>
              </w:rPr>
              <w:t>Water Availability Letter</w:t>
            </w:r>
          </w:p>
        </w:tc>
        <w:tc>
          <w:tcPr>
            <w:tcW w:w="1128" w:type="pct"/>
          </w:tcPr>
          <w:p w:rsidR="00B91F45" w:rsidRDefault="00B91F45" w:rsidP="005077A3">
            <w:pPr>
              <w:jc w:val="center"/>
              <w:rPr>
                <w:sz w:val="24"/>
              </w:rPr>
            </w:pPr>
            <w:r w:rsidRPr="00A43D26">
              <w:rPr>
                <w:sz w:val="24"/>
              </w:rPr>
              <w:t>$</w:t>
            </w:r>
            <w:r>
              <w:rPr>
                <w:sz w:val="24"/>
              </w:rPr>
              <w:t>5</w:t>
            </w:r>
            <w:r w:rsidRPr="00A43D26">
              <w:rPr>
                <w:sz w:val="24"/>
              </w:rPr>
              <w:t>0</w:t>
            </w:r>
            <w:r>
              <w:rPr>
                <w:sz w:val="24"/>
              </w:rPr>
              <w:t>.00</w:t>
            </w:r>
          </w:p>
        </w:tc>
        <w:tc>
          <w:tcPr>
            <w:tcW w:w="1128" w:type="pct"/>
          </w:tcPr>
          <w:p w:rsidR="00B91F45" w:rsidRDefault="00B91F45" w:rsidP="005077A3">
            <w:pPr>
              <w:jc w:val="center"/>
              <w:rPr>
                <w:sz w:val="24"/>
              </w:rPr>
            </w:pPr>
            <w:r w:rsidRPr="00A43D26">
              <w:rPr>
                <w:sz w:val="24"/>
              </w:rPr>
              <w:t>$</w:t>
            </w:r>
            <w:r>
              <w:rPr>
                <w:sz w:val="24"/>
              </w:rPr>
              <w:t>25.00</w:t>
            </w:r>
          </w:p>
        </w:tc>
        <w:tc>
          <w:tcPr>
            <w:tcW w:w="1090" w:type="pct"/>
          </w:tcPr>
          <w:p w:rsidR="00B91F45" w:rsidRDefault="00B91F45" w:rsidP="005077A3">
            <w:pPr>
              <w:jc w:val="center"/>
              <w:rPr>
                <w:sz w:val="24"/>
              </w:rPr>
            </w:pPr>
            <w:r w:rsidRPr="00A43D26">
              <w:rPr>
                <w:sz w:val="24"/>
              </w:rPr>
              <w:t>$2</w:t>
            </w:r>
            <w:r>
              <w:rPr>
                <w:sz w:val="24"/>
              </w:rPr>
              <w:t>5</w:t>
            </w:r>
            <w:r w:rsidRPr="00A43D26">
              <w:rPr>
                <w:sz w:val="24"/>
              </w:rPr>
              <w:t>.00</w:t>
            </w:r>
          </w:p>
        </w:tc>
      </w:tr>
      <w:tr w:rsidR="00B91F45" w:rsidTr="005077A3">
        <w:tc>
          <w:tcPr>
            <w:tcW w:w="1654" w:type="pct"/>
          </w:tcPr>
          <w:p w:rsidR="00B91F45" w:rsidRPr="00A43D26" w:rsidRDefault="00B91F45" w:rsidP="005077A3">
            <w:pPr>
              <w:rPr>
                <w:sz w:val="24"/>
              </w:rPr>
            </w:pPr>
            <w:r w:rsidRPr="00A43D26">
              <w:rPr>
                <w:sz w:val="24"/>
              </w:rPr>
              <w:t>Account Setup</w:t>
            </w:r>
          </w:p>
        </w:tc>
        <w:tc>
          <w:tcPr>
            <w:tcW w:w="1128" w:type="pct"/>
          </w:tcPr>
          <w:p w:rsidR="00B91F45" w:rsidRDefault="00B91F45" w:rsidP="005077A3">
            <w:pPr>
              <w:jc w:val="center"/>
              <w:rPr>
                <w:sz w:val="24"/>
              </w:rPr>
            </w:pPr>
            <w:r w:rsidRPr="00A43D26">
              <w:rPr>
                <w:sz w:val="24"/>
              </w:rPr>
              <w:t>$</w:t>
            </w:r>
            <w:r>
              <w:rPr>
                <w:sz w:val="24"/>
              </w:rPr>
              <w:t>3</w:t>
            </w:r>
            <w:r w:rsidRPr="00A43D26">
              <w:rPr>
                <w:sz w:val="24"/>
              </w:rPr>
              <w:t>0</w:t>
            </w:r>
            <w:r>
              <w:rPr>
                <w:sz w:val="24"/>
              </w:rPr>
              <w:t>.00</w:t>
            </w:r>
          </w:p>
        </w:tc>
        <w:tc>
          <w:tcPr>
            <w:tcW w:w="1128" w:type="pct"/>
          </w:tcPr>
          <w:p w:rsidR="00B91F45" w:rsidRDefault="00B91F45" w:rsidP="005077A3">
            <w:pPr>
              <w:jc w:val="center"/>
              <w:rPr>
                <w:sz w:val="24"/>
              </w:rPr>
            </w:pPr>
            <w:r w:rsidRPr="00A43D26">
              <w:rPr>
                <w:sz w:val="24"/>
              </w:rPr>
              <w:t>$</w:t>
            </w:r>
            <w:r>
              <w:rPr>
                <w:sz w:val="24"/>
              </w:rPr>
              <w:t>4</w:t>
            </w:r>
            <w:r w:rsidRPr="00A43D26">
              <w:rPr>
                <w:sz w:val="24"/>
              </w:rPr>
              <w:t>0</w:t>
            </w:r>
            <w:r>
              <w:rPr>
                <w:sz w:val="24"/>
              </w:rPr>
              <w:t>.00</w:t>
            </w:r>
          </w:p>
        </w:tc>
        <w:tc>
          <w:tcPr>
            <w:tcW w:w="1090" w:type="pct"/>
          </w:tcPr>
          <w:p w:rsidR="00B91F45" w:rsidRDefault="00B91F45" w:rsidP="005077A3">
            <w:pPr>
              <w:jc w:val="center"/>
              <w:rPr>
                <w:sz w:val="24"/>
              </w:rPr>
            </w:pPr>
            <w:r w:rsidRPr="00A43D26">
              <w:rPr>
                <w:sz w:val="24"/>
              </w:rPr>
              <w:t>$</w:t>
            </w:r>
            <w:r>
              <w:rPr>
                <w:sz w:val="24"/>
              </w:rPr>
              <w:t>40</w:t>
            </w:r>
            <w:r w:rsidRPr="00A43D26">
              <w:rPr>
                <w:sz w:val="24"/>
              </w:rPr>
              <w:t>.00</w:t>
            </w:r>
          </w:p>
        </w:tc>
      </w:tr>
      <w:tr w:rsidR="00DD43A1" w:rsidTr="005077A3">
        <w:tc>
          <w:tcPr>
            <w:tcW w:w="1654" w:type="pct"/>
          </w:tcPr>
          <w:p w:rsidR="00DD43A1" w:rsidRPr="005A30E1" w:rsidRDefault="00DD43A1" w:rsidP="005A30E1">
            <w:pPr>
              <w:rPr>
                <w:sz w:val="24"/>
                <w:vertAlign w:val="superscript"/>
              </w:rPr>
            </w:pPr>
            <w:r>
              <w:rPr>
                <w:sz w:val="24"/>
              </w:rPr>
              <w:t>Service Connection</w:t>
            </w:r>
            <w:r w:rsidR="005A30E1">
              <w:rPr>
                <w:sz w:val="24"/>
                <w:vertAlign w:val="superscript"/>
              </w:rPr>
              <w:t>3</w:t>
            </w:r>
          </w:p>
        </w:tc>
        <w:tc>
          <w:tcPr>
            <w:tcW w:w="1128" w:type="pct"/>
          </w:tcPr>
          <w:p w:rsidR="00DD43A1" w:rsidRPr="00A43D26" w:rsidRDefault="00DD43A1" w:rsidP="00DD43A1">
            <w:pPr>
              <w:jc w:val="center"/>
              <w:rPr>
                <w:sz w:val="24"/>
              </w:rPr>
            </w:pPr>
            <w:r>
              <w:rPr>
                <w:sz w:val="24"/>
              </w:rPr>
              <w:t>N/A</w:t>
            </w:r>
          </w:p>
        </w:tc>
        <w:tc>
          <w:tcPr>
            <w:tcW w:w="1128" w:type="pct"/>
          </w:tcPr>
          <w:p w:rsidR="00DD43A1" w:rsidRPr="00A43D26" w:rsidRDefault="00DD43A1" w:rsidP="00DD43A1">
            <w:pPr>
              <w:jc w:val="center"/>
              <w:rPr>
                <w:sz w:val="24"/>
              </w:rPr>
            </w:pPr>
            <w:r>
              <w:rPr>
                <w:sz w:val="24"/>
              </w:rPr>
              <w:t>$750.00</w:t>
            </w:r>
          </w:p>
        </w:tc>
        <w:tc>
          <w:tcPr>
            <w:tcW w:w="1090" w:type="pct"/>
          </w:tcPr>
          <w:p w:rsidR="00DD43A1" w:rsidRPr="00A43D26" w:rsidRDefault="00DD43A1" w:rsidP="00DD43A1">
            <w:pPr>
              <w:jc w:val="center"/>
              <w:rPr>
                <w:sz w:val="24"/>
              </w:rPr>
            </w:pPr>
            <w:r>
              <w:rPr>
                <w:sz w:val="24"/>
              </w:rPr>
              <w:t>$750.00</w:t>
            </w:r>
          </w:p>
        </w:tc>
      </w:tr>
      <w:tr w:rsidR="00DD43A1" w:rsidTr="005077A3">
        <w:tc>
          <w:tcPr>
            <w:tcW w:w="1654" w:type="pct"/>
          </w:tcPr>
          <w:p w:rsidR="00DD43A1" w:rsidRPr="00A43D26" w:rsidRDefault="00DD43A1" w:rsidP="005077A3">
            <w:pPr>
              <w:rPr>
                <w:sz w:val="24"/>
              </w:rPr>
            </w:pPr>
            <w:r>
              <w:rPr>
                <w:sz w:val="24"/>
              </w:rPr>
              <w:t>Meter Installation</w:t>
            </w:r>
          </w:p>
        </w:tc>
        <w:tc>
          <w:tcPr>
            <w:tcW w:w="1128" w:type="pct"/>
          </w:tcPr>
          <w:p w:rsidR="00DD43A1" w:rsidRDefault="00DD43A1" w:rsidP="00DD43A1">
            <w:pPr>
              <w:jc w:val="center"/>
              <w:rPr>
                <w:sz w:val="24"/>
              </w:rPr>
            </w:pPr>
            <w:r>
              <w:rPr>
                <w:sz w:val="24"/>
              </w:rPr>
              <w:t>N/A</w:t>
            </w:r>
          </w:p>
        </w:tc>
        <w:tc>
          <w:tcPr>
            <w:tcW w:w="1128" w:type="pct"/>
          </w:tcPr>
          <w:p w:rsidR="00DD43A1" w:rsidRDefault="00DD43A1" w:rsidP="00DD43A1">
            <w:pPr>
              <w:jc w:val="center"/>
              <w:rPr>
                <w:sz w:val="24"/>
              </w:rPr>
            </w:pPr>
            <w:r>
              <w:rPr>
                <w:sz w:val="24"/>
              </w:rPr>
              <w:t>$500.00</w:t>
            </w:r>
          </w:p>
        </w:tc>
        <w:tc>
          <w:tcPr>
            <w:tcW w:w="1090" w:type="pct"/>
          </w:tcPr>
          <w:p w:rsidR="00DD43A1" w:rsidRDefault="00DD43A1" w:rsidP="00DD43A1">
            <w:pPr>
              <w:jc w:val="center"/>
              <w:rPr>
                <w:sz w:val="24"/>
              </w:rPr>
            </w:pPr>
            <w:r>
              <w:rPr>
                <w:sz w:val="24"/>
              </w:rPr>
              <w:t>$500.00</w:t>
            </w:r>
          </w:p>
        </w:tc>
      </w:tr>
      <w:tr w:rsidR="00B91F45" w:rsidTr="005077A3">
        <w:tc>
          <w:tcPr>
            <w:tcW w:w="1654" w:type="pct"/>
          </w:tcPr>
          <w:p w:rsidR="00B91F45" w:rsidRDefault="00B91F45" w:rsidP="00507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Late Payment</w:t>
            </w:r>
          </w:p>
        </w:tc>
        <w:tc>
          <w:tcPr>
            <w:tcW w:w="1128" w:type="pct"/>
          </w:tcPr>
          <w:p w:rsidR="00B91F45" w:rsidRDefault="00B91F45" w:rsidP="00507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 or min $1.00</w:t>
            </w:r>
          </w:p>
        </w:tc>
        <w:tc>
          <w:tcPr>
            <w:tcW w:w="1128" w:type="pct"/>
          </w:tcPr>
          <w:p w:rsidR="00B91F45" w:rsidRDefault="00B91F45" w:rsidP="00507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 or min $1.00</w:t>
            </w:r>
          </w:p>
        </w:tc>
        <w:tc>
          <w:tcPr>
            <w:tcW w:w="1090" w:type="pct"/>
          </w:tcPr>
          <w:p w:rsidR="00B91F45" w:rsidRDefault="00B91F45" w:rsidP="00507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 or min $1.00</w:t>
            </w:r>
          </w:p>
        </w:tc>
      </w:tr>
    </w:tbl>
    <w:p w:rsidR="005A30E1" w:rsidRPr="00145029" w:rsidRDefault="005A30E1" w:rsidP="005A3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vertAlign w:val="superscript"/>
        </w:rPr>
      </w:pPr>
      <w:r>
        <w:rPr>
          <w:sz w:val="24"/>
          <w:vertAlign w:val="superscript"/>
        </w:rPr>
        <w:t>3</w:t>
      </w:r>
      <w:r w:rsidRPr="007F1366">
        <w:rPr>
          <w:sz w:val="24"/>
          <w:vertAlign w:val="superscript"/>
        </w:rPr>
        <w:t xml:space="preserve"> – </w:t>
      </w:r>
      <w:r>
        <w:rPr>
          <w:sz w:val="24"/>
          <w:vertAlign w:val="superscript"/>
        </w:rPr>
        <w:t>Applies to new service connections only.</w:t>
      </w:r>
    </w:p>
    <w:p w:rsidR="00B91F45" w:rsidRDefault="00B91F45" w:rsidP="00B91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91F45" w:rsidRDefault="00B91F45" w:rsidP="00B91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sidRPr="001D6BD3">
        <w:rPr>
          <w:b/>
          <w:sz w:val="24"/>
          <w:u w:val="single"/>
        </w:rPr>
        <w:lastRenderedPageBreak/>
        <w:t>Average Bill Comparison</w:t>
      </w:r>
    </w:p>
    <w:p w:rsidR="00B91F45" w:rsidRPr="001D6BD3" w:rsidRDefault="00B91F45" w:rsidP="00B91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16"/>
        <w:gridCol w:w="2112"/>
        <w:gridCol w:w="2160"/>
        <w:gridCol w:w="2088"/>
      </w:tblGrid>
      <w:tr w:rsidR="00B91F45" w:rsidRPr="001D6BD3" w:rsidTr="00B91F45">
        <w:tc>
          <w:tcPr>
            <w:tcW w:w="1679" w:type="pct"/>
          </w:tcPr>
          <w:p w:rsidR="00B91F45" w:rsidRPr="001D6BD3" w:rsidRDefault="00B91F45" w:rsidP="00507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vertAlign w:val="superscript"/>
              </w:rPr>
            </w:pPr>
            <w:r w:rsidRPr="001D6BD3">
              <w:rPr>
                <w:b/>
                <w:sz w:val="24"/>
              </w:rPr>
              <w:t xml:space="preserve">Average </w:t>
            </w:r>
            <w:r w:rsidR="00CD3A1E">
              <w:rPr>
                <w:b/>
                <w:sz w:val="24"/>
              </w:rPr>
              <w:t>Bi-</w:t>
            </w:r>
            <w:r w:rsidRPr="001D6BD3">
              <w:rPr>
                <w:b/>
                <w:sz w:val="24"/>
              </w:rPr>
              <w:t>Monthly Usage</w:t>
            </w:r>
            <w:r w:rsidR="00C2428C">
              <w:rPr>
                <w:b/>
                <w:sz w:val="24"/>
              </w:rPr>
              <w:t xml:space="preserve"> </w:t>
            </w:r>
            <w:r>
              <w:rPr>
                <w:b/>
                <w:sz w:val="24"/>
              </w:rPr>
              <w:t>27,809</w:t>
            </w:r>
            <w:r w:rsidRPr="001D6BD3">
              <w:rPr>
                <w:b/>
                <w:sz w:val="24"/>
              </w:rPr>
              <w:t xml:space="preserve"> </w:t>
            </w:r>
            <w:r>
              <w:rPr>
                <w:b/>
                <w:sz w:val="24"/>
              </w:rPr>
              <w:t>gallons</w:t>
            </w:r>
            <w:r w:rsidR="005A30E1">
              <w:rPr>
                <w:sz w:val="24"/>
                <w:vertAlign w:val="superscript"/>
              </w:rPr>
              <w:t>4</w:t>
            </w:r>
          </w:p>
        </w:tc>
        <w:tc>
          <w:tcPr>
            <w:tcW w:w="1103" w:type="pct"/>
            <w:vAlign w:val="bottom"/>
          </w:tcPr>
          <w:p w:rsidR="00B91F45" w:rsidRPr="001D6BD3" w:rsidRDefault="00B91F45" w:rsidP="00B91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p>
          <w:p w:rsidR="00B91F45" w:rsidRPr="001D6BD3" w:rsidRDefault="00B91F45" w:rsidP="00B91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1D6BD3">
              <w:rPr>
                <w:b/>
                <w:sz w:val="24"/>
              </w:rPr>
              <w:t>Current Rate</w:t>
            </w:r>
            <w:r w:rsidR="005A30E1">
              <w:rPr>
                <w:sz w:val="24"/>
                <w:vertAlign w:val="superscript"/>
              </w:rPr>
              <w:t>5</w:t>
            </w:r>
          </w:p>
        </w:tc>
        <w:tc>
          <w:tcPr>
            <w:tcW w:w="1128" w:type="pct"/>
            <w:vAlign w:val="bottom"/>
          </w:tcPr>
          <w:p w:rsidR="00B91F45" w:rsidRPr="001D6BD3" w:rsidRDefault="00B91F45" w:rsidP="00B91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p>
          <w:p w:rsidR="00B91F45" w:rsidRPr="001D6BD3" w:rsidRDefault="00B91F45" w:rsidP="00B91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1D6BD3">
              <w:rPr>
                <w:b/>
                <w:sz w:val="24"/>
              </w:rPr>
              <w:t>Proposed Rate</w:t>
            </w:r>
          </w:p>
        </w:tc>
        <w:tc>
          <w:tcPr>
            <w:tcW w:w="1090" w:type="pct"/>
            <w:vAlign w:val="bottom"/>
          </w:tcPr>
          <w:p w:rsidR="00B91F45" w:rsidRPr="001D6BD3" w:rsidRDefault="00B91F45" w:rsidP="00B91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1D6BD3">
              <w:rPr>
                <w:b/>
                <w:sz w:val="24"/>
              </w:rPr>
              <w:t>Revised Rate</w:t>
            </w:r>
          </w:p>
        </w:tc>
      </w:tr>
      <w:tr w:rsidR="00B91F45" w:rsidRPr="001D6BD3" w:rsidTr="00B91F45">
        <w:tc>
          <w:tcPr>
            <w:tcW w:w="1679" w:type="pct"/>
          </w:tcPr>
          <w:p w:rsidR="00B91F45" w:rsidRPr="001D6BD3" w:rsidRDefault="00B91F45" w:rsidP="00507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1D6BD3">
              <w:rPr>
                <w:sz w:val="24"/>
              </w:rPr>
              <w:t>Base Rate (</w:t>
            </w:r>
            <w:r>
              <w:rPr>
                <w:sz w:val="24"/>
              </w:rPr>
              <w:t>5/8</w:t>
            </w:r>
            <w:r w:rsidRPr="001D6BD3">
              <w:rPr>
                <w:sz w:val="24"/>
              </w:rPr>
              <w:t>-inch meter)</w:t>
            </w:r>
          </w:p>
        </w:tc>
        <w:tc>
          <w:tcPr>
            <w:tcW w:w="1103" w:type="pct"/>
            <w:vAlign w:val="bottom"/>
          </w:tcPr>
          <w:p w:rsidR="00B91F45" w:rsidRPr="001D6BD3" w:rsidRDefault="00B91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0073544A">
              <w:rPr>
                <w:sz w:val="24"/>
              </w:rPr>
              <w:t>69.66</w:t>
            </w:r>
          </w:p>
        </w:tc>
        <w:tc>
          <w:tcPr>
            <w:tcW w:w="1128" w:type="pct"/>
            <w:vAlign w:val="bottom"/>
          </w:tcPr>
          <w:p w:rsidR="00B91F45" w:rsidRPr="001D6BD3" w:rsidRDefault="00B91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1D6BD3">
              <w:rPr>
                <w:sz w:val="24"/>
              </w:rPr>
              <w:t>$</w:t>
            </w:r>
            <w:r w:rsidR="0073544A">
              <w:rPr>
                <w:sz w:val="24"/>
              </w:rPr>
              <w:t>57.50</w:t>
            </w:r>
          </w:p>
        </w:tc>
        <w:tc>
          <w:tcPr>
            <w:tcW w:w="1090" w:type="pct"/>
            <w:vAlign w:val="bottom"/>
          </w:tcPr>
          <w:p w:rsidR="00B91F45" w:rsidRPr="001D6BD3" w:rsidRDefault="00B91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1D6BD3">
              <w:rPr>
                <w:sz w:val="24"/>
              </w:rPr>
              <w:t>$</w:t>
            </w:r>
            <w:r w:rsidR="0073544A">
              <w:rPr>
                <w:sz w:val="24"/>
              </w:rPr>
              <w:t>32</w:t>
            </w:r>
            <w:r>
              <w:rPr>
                <w:sz w:val="24"/>
              </w:rPr>
              <w:t>.00</w:t>
            </w:r>
          </w:p>
        </w:tc>
      </w:tr>
      <w:tr w:rsidR="00B91F45" w:rsidRPr="001D6BD3" w:rsidTr="00B91F45">
        <w:tc>
          <w:tcPr>
            <w:tcW w:w="1679" w:type="pct"/>
          </w:tcPr>
          <w:p w:rsidR="00B91F45" w:rsidRPr="001D6BD3" w:rsidRDefault="00083D09" w:rsidP="00507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0 – 2</w:t>
            </w:r>
            <w:r w:rsidR="00B91F45">
              <w:rPr>
                <w:sz w:val="24"/>
              </w:rPr>
              <w:t>0,000</w:t>
            </w:r>
            <w:r w:rsidR="00B91F45" w:rsidRPr="001D6BD3">
              <w:rPr>
                <w:sz w:val="24"/>
              </w:rPr>
              <w:t xml:space="preserve"> </w:t>
            </w:r>
            <w:r w:rsidR="00B91F45">
              <w:rPr>
                <w:sz w:val="24"/>
              </w:rPr>
              <w:t>Gallons</w:t>
            </w:r>
          </w:p>
        </w:tc>
        <w:tc>
          <w:tcPr>
            <w:tcW w:w="1103" w:type="pct"/>
            <w:vAlign w:val="bottom"/>
          </w:tcPr>
          <w:p w:rsidR="00B91F45" w:rsidRPr="001D6BD3" w:rsidRDefault="00B91F45" w:rsidP="00B91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1D6BD3">
              <w:rPr>
                <w:sz w:val="24"/>
              </w:rPr>
              <w:t>$</w:t>
            </w:r>
            <w:r>
              <w:rPr>
                <w:sz w:val="24"/>
              </w:rPr>
              <w:t>0</w:t>
            </w:r>
            <w:r w:rsidRPr="001D6BD3">
              <w:rPr>
                <w:sz w:val="24"/>
              </w:rPr>
              <w:t>.</w:t>
            </w:r>
            <w:r>
              <w:rPr>
                <w:sz w:val="24"/>
              </w:rPr>
              <w:t>00</w:t>
            </w:r>
          </w:p>
        </w:tc>
        <w:tc>
          <w:tcPr>
            <w:tcW w:w="1128" w:type="pct"/>
            <w:vAlign w:val="bottom"/>
          </w:tcPr>
          <w:p w:rsidR="00B91F45" w:rsidRPr="001D6BD3" w:rsidRDefault="00B91F45" w:rsidP="00083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1D6BD3">
              <w:rPr>
                <w:sz w:val="24"/>
              </w:rPr>
              <w:t>$</w:t>
            </w:r>
            <w:r w:rsidR="00083D09">
              <w:rPr>
                <w:sz w:val="24"/>
              </w:rPr>
              <w:t>50</w:t>
            </w:r>
            <w:r>
              <w:rPr>
                <w:sz w:val="24"/>
              </w:rPr>
              <w:t>.00</w:t>
            </w:r>
          </w:p>
        </w:tc>
        <w:tc>
          <w:tcPr>
            <w:tcW w:w="1090" w:type="pct"/>
            <w:vAlign w:val="bottom"/>
          </w:tcPr>
          <w:p w:rsidR="00B91F45" w:rsidRPr="001D6BD3" w:rsidRDefault="00B91F45" w:rsidP="007E53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1D6BD3">
              <w:rPr>
                <w:sz w:val="24"/>
              </w:rPr>
              <w:t>$</w:t>
            </w:r>
            <w:r w:rsidR="007E53C2">
              <w:rPr>
                <w:sz w:val="24"/>
              </w:rPr>
              <w:t>50</w:t>
            </w:r>
            <w:r>
              <w:rPr>
                <w:sz w:val="24"/>
              </w:rPr>
              <w:t>.00</w:t>
            </w:r>
          </w:p>
        </w:tc>
      </w:tr>
      <w:tr w:rsidR="00B91F45" w:rsidRPr="001D6BD3" w:rsidTr="00B91F45">
        <w:tc>
          <w:tcPr>
            <w:tcW w:w="1679" w:type="pct"/>
          </w:tcPr>
          <w:p w:rsidR="00B91F45" w:rsidRPr="001D6BD3" w:rsidRDefault="00083D09" w:rsidP="00507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2</w:t>
            </w:r>
            <w:r w:rsidR="00B91F45">
              <w:rPr>
                <w:sz w:val="24"/>
              </w:rPr>
              <w:t>0,001 – 27,809</w:t>
            </w:r>
            <w:r w:rsidR="00B91F45" w:rsidRPr="001D6BD3">
              <w:rPr>
                <w:sz w:val="24"/>
              </w:rPr>
              <w:t xml:space="preserve"> </w:t>
            </w:r>
            <w:r w:rsidR="00B91F45">
              <w:rPr>
                <w:sz w:val="24"/>
              </w:rPr>
              <w:t>Gallons</w:t>
            </w:r>
          </w:p>
        </w:tc>
        <w:tc>
          <w:tcPr>
            <w:tcW w:w="1103" w:type="pct"/>
            <w:vAlign w:val="bottom"/>
          </w:tcPr>
          <w:p w:rsidR="00B91F45" w:rsidRPr="001D6BD3" w:rsidRDefault="00B91F45" w:rsidP="00B91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1D6BD3">
              <w:rPr>
                <w:sz w:val="24"/>
              </w:rPr>
              <w:t>$</w:t>
            </w:r>
            <w:r>
              <w:rPr>
                <w:sz w:val="24"/>
              </w:rPr>
              <w:t>0.00</w:t>
            </w:r>
          </w:p>
        </w:tc>
        <w:tc>
          <w:tcPr>
            <w:tcW w:w="1128" w:type="pct"/>
            <w:vAlign w:val="bottom"/>
          </w:tcPr>
          <w:p w:rsidR="00B91F45" w:rsidRPr="001D6BD3" w:rsidRDefault="00B91F45" w:rsidP="00083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1D6BD3">
              <w:rPr>
                <w:sz w:val="24"/>
              </w:rPr>
              <w:t>$</w:t>
            </w:r>
            <w:r w:rsidR="00083D09">
              <w:rPr>
                <w:sz w:val="24"/>
              </w:rPr>
              <w:t>2</w:t>
            </w:r>
            <w:r>
              <w:rPr>
                <w:sz w:val="24"/>
              </w:rPr>
              <w:t>3.43</w:t>
            </w:r>
          </w:p>
        </w:tc>
        <w:tc>
          <w:tcPr>
            <w:tcW w:w="1090" w:type="pct"/>
            <w:vAlign w:val="bottom"/>
          </w:tcPr>
          <w:p w:rsidR="00B91F45" w:rsidRPr="001D6BD3" w:rsidRDefault="00B91F45" w:rsidP="007E53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1D6BD3">
              <w:rPr>
                <w:sz w:val="24"/>
              </w:rPr>
              <w:t>$</w:t>
            </w:r>
            <w:r w:rsidR="007E53C2">
              <w:rPr>
                <w:sz w:val="24"/>
              </w:rPr>
              <w:t>23</w:t>
            </w:r>
            <w:r>
              <w:rPr>
                <w:sz w:val="24"/>
              </w:rPr>
              <w:t>.</w:t>
            </w:r>
            <w:r w:rsidR="007E53C2">
              <w:rPr>
                <w:sz w:val="24"/>
              </w:rPr>
              <w:t>43</w:t>
            </w:r>
          </w:p>
        </w:tc>
      </w:tr>
      <w:tr w:rsidR="00B91F45" w:rsidRPr="001D6BD3" w:rsidTr="00B91F45">
        <w:tc>
          <w:tcPr>
            <w:tcW w:w="1679" w:type="pct"/>
          </w:tcPr>
          <w:p w:rsidR="00B91F45" w:rsidRPr="001D6BD3" w:rsidRDefault="00B91F45" w:rsidP="00507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1D6BD3">
              <w:rPr>
                <w:sz w:val="24"/>
              </w:rPr>
              <w:t xml:space="preserve">Average </w:t>
            </w:r>
            <w:r w:rsidR="00535842">
              <w:rPr>
                <w:sz w:val="24"/>
              </w:rPr>
              <w:t>Bi-</w:t>
            </w:r>
            <w:r w:rsidRPr="001D6BD3">
              <w:rPr>
                <w:sz w:val="24"/>
              </w:rPr>
              <w:t>Monthly Bill</w:t>
            </w:r>
          </w:p>
        </w:tc>
        <w:tc>
          <w:tcPr>
            <w:tcW w:w="1103" w:type="pct"/>
            <w:tcBorders>
              <w:top w:val="single" w:sz="18" w:space="0" w:color="auto"/>
              <w:bottom w:val="single" w:sz="18" w:space="0" w:color="auto"/>
            </w:tcBorders>
            <w:vAlign w:val="bottom"/>
          </w:tcPr>
          <w:p w:rsidR="00B91F45" w:rsidRPr="001D6BD3" w:rsidRDefault="007B26D6" w:rsidP="00B91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fldChar w:fldCharType="begin"/>
            </w:r>
            <w:r w:rsidR="00B91F45">
              <w:rPr>
                <w:sz w:val="24"/>
              </w:rPr>
              <w:instrText xml:space="preserve"> =SUM(ABOVE) </w:instrText>
            </w:r>
            <w:r>
              <w:rPr>
                <w:sz w:val="24"/>
              </w:rPr>
              <w:fldChar w:fldCharType="separate"/>
            </w:r>
            <w:r w:rsidR="006C424C">
              <w:rPr>
                <w:noProof/>
                <w:sz w:val="24"/>
              </w:rPr>
              <w:t>$69.66</w:t>
            </w:r>
            <w:r>
              <w:rPr>
                <w:sz w:val="24"/>
              </w:rPr>
              <w:fldChar w:fldCharType="end"/>
            </w:r>
          </w:p>
        </w:tc>
        <w:tc>
          <w:tcPr>
            <w:tcW w:w="1128" w:type="pct"/>
            <w:tcBorders>
              <w:top w:val="single" w:sz="18" w:space="0" w:color="auto"/>
              <w:bottom w:val="single" w:sz="18" w:space="0" w:color="auto"/>
            </w:tcBorders>
            <w:vAlign w:val="bottom"/>
          </w:tcPr>
          <w:p w:rsidR="00B91F45" w:rsidRPr="001D6BD3" w:rsidRDefault="007B26D6" w:rsidP="00B91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noProof/>
                <w:sz w:val="24"/>
              </w:rPr>
            </w:pPr>
            <w:r>
              <w:rPr>
                <w:sz w:val="24"/>
              </w:rPr>
              <w:fldChar w:fldCharType="begin"/>
            </w:r>
            <w:r w:rsidR="00B91F45">
              <w:rPr>
                <w:sz w:val="24"/>
              </w:rPr>
              <w:instrText xml:space="preserve"> =SUM(above) </w:instrText>
            </w:r>
            <w:r>
              <w:rPr>
                <w:sz w:val="24"/>
              </w:rPr>
              <w:fldChar w:fldCharType="separate"/>
            </w:r>
            <w:r w:rsidR="00083D09">
              <w:rPr>
                <w:noProof/>
                <w:sz w:val="24"/>
              </w:rPr>
              <w:t>$130.93</w:t>
            </w:r>
            <w:r>
              <w:rPr>
                <w:sz w:val="24"/>
              </w:rPr>
              <w:fldChar w:fldCharType="end"/>
            </w:r>
          </w:p>
        </w:tc>
        <w:tc>
          <w:tcPr>
            <w:tcW w:w="1090" w:type="pct"/>
            <w:tcBorders>
              <w:top w:val="single" w:sz="18" w:space="0" w:color="auto"/>
              <w:bottom w:val="single" w:sz="18" w:space="0" w:color="auto"/>
            </w:tcBorders>
            <w:vAlign w:val="bottom"/>
          </w:tcPr>
          <w:p w:rsidR="00B91F45" w:rsidRPr="001D6BD3" w:rsidRDefault="007B26D6" w:rsidP="00B91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fldChar w:fldCharType="begin"/>
            </w:r>
            <w:r w:rsidR="00B91F45">
              <w:rPr>
                <w:sz w:val="24"/>
              </w:rPr>
              <w:instrText xml:space="preserve"> =SUM(ABOVE) </w:instrText>
            </w:r>
            <w:r>
              <w:rPr>
                <w:sz w:val="24"/>
              </w:rPr>
              <w:fldChar w:fldCharType="separate"/>
            </w:r>
            <w:r w:rsidR="007E53C2">
              <w:rPr>
                <w:noProof/>
                <w:sz w:val="24"/>
              </w:rPr>
              <w:t>$105.43</w:t>
            </w:r>
            <w:r>
              <w:rPr>
                <w:sz w:val="24"/>
              </w:rPr>
              <w:fldChar w:fldCharType="end"/>
            </w:r>
          </w:p>
        </w:tc>
      </w:tr>
      <w:tr w:rsidR="00B91F45" w:rsidRPr="001D6BD3" w:rsidTr="00B91F45">
        <w:tc>
          <w:tcPr>
            <w:tcW w:w="2782" w:type="pct"/>
            <w:gridSpan w:val="2"/>
          </w:tcPr>
          <w:p w:rsidR="00B91F45" w:rsidRPr="001D6BD3" w:rsidRDefault="00B91F45" w:rsidP="00507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1D6BD3">
              <w:rPr>
                <w:sz w:val="24"/>
              </w:rPr>
              <w:t>Increase from Current Rate</w:t>
            </w:r>
          </w:p>
        </w:tc>
        <w:tc>
          <w:tcPr>
            <w:tcW w:w="1128" w:type="pct"/>
            <w:tcBorders>
              <w:top w:val="single" w:sz="18" w:space="0" w:color="auto"/>
              <w:bottom w:val="double" w:sz="4" w:space="0" w:color="auto"/>
            </w:tcBorders>
            <w:vAlign w:val="bottom"/>
          </w:tcPr>
          <w:p w:rsidR="00B91F45" w:rsidRPr="001D6BD3" w:rsidRDefault="00CC49EA" w:rsidP="00CC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88</w:t>
            </w:r>
            <w:r w:rsidR="0073544A">
              <w:rPr>
                <w:sz w:val="24"/>
              </w:rPr>
              <w:t>.</w:t>
            </w:r>
            <w:r>
              <w:rPr>
                <w:sz w:val="24"/>
              </w:rPr>
              <w:t>0</w:t>
            </w:r>
            <w:r w:rsidR="00B91F45" w:rsidRPr="001D6BD3">
              <w:rPr>
                <w:sz w:val="24"/>
              </w:rPr>
              <w:t>%</w:t>
            </w:r>
          </w:p>
        </w:tc>
        <w:tc>
          <w:tcPr>
            <w:tcW w:w="1090" w:type="pct"/>
            <w:tcBorders>
              <w:top w:val="single" w:sz="18" w:space="0" w:color="auto"/>
              <w:bottom w:val="double" w:sz="4" w:space="0" w:color="auto"/>
            </w:tcBorders>
            <w:vAlign w:val="bottom"/>
          </w:tcPr>
          <w:p w:rsidR="00B91F45" w:rsidRPr="001D6BD3" w:rsidRDefault="004F5CDC" w:rsidP="004F5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51</w:t>
            </w:r>
            <w:r w:rsidR="0073544A">
              <w:rPr>
                <w:sz w:val="24"/>
              </w:rPr>
              <w:t>.</w:t>
            </w:r>
            <w:r>
              <w:rPr>
                <w:sz w:val="24"/>
              </w:rPr>
              <w:t>3</w:t>
            </w:r>
            <w:r w:rsidR="00B91F45" w:rsidRPr="001D6BD3">
              <w:rPr>
                <w:sz w:val="24"/>
              </w:rPr>
              <w:t>%</w:t>
            </w:r>
          </w:p>
        </w:tc>
      </w:tr>
    </w:tbl>
    <w:p w:rsidR="00B91F45" w:rsidRDefault="005A30E1" w:rsidP="00B91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vertAlign w:val="superscript"/>
        </w:rPr>
      </w:pPr>
      <w:r>
        <w:rPr>
          <w:sz w:val="24"/>
          <w:vertAlign w:val="superscript"/>
        </w:rPr>
        <w:t>4</w:t>
      </w:r>
      <w:r w:rsidR="00B91F45" w:rsidRPr="001D6BD3">
        <w:rPr>
          <w:sz w:val="24"/>
          <w:vertAlign w:val="superscript"/>
        </w:rPr>
        <w:t xml:space="preserve"> – Based on company-wide </w:t>
      </w:r>
      <w:r w:rsidR="00B91F45">
        <w:rPr>
          <w:sz w:val="24"/>
          <w:vertAlign w:val="superscript"/>
        </w:rPr>
        <w:t xml:space="preserve">annual </w:t>
      </w:r>
      <w:r w:rsidR="00B91F45" w:rsidRPr="001D6BD3">
        <w:rPr>
          <w:sz w:val="24"/>
          <w:vertAlign w:val="superscript"/>
        </w:rPr>
        <w:t>average customer water usage.</w:t>
      </w:r>
    </w:p>
    <w:p w:rsidR="00B91F45" w:rsidRPr="001D6BD3" w:rsidRDefault="005A30E1" w:rsidP="00B91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vertAlign w:val="superscript"/>
        </w:rPr>
      </w:pPr>
      <w:r>
        <w:rPr>
          <w:sz w:val="24"/>
          <w:vertAlign w:val="superscript"/>
        </w:rPr>
        <w:t>5</w:t>
      </w:r>
      <w:r w:rsidR="00B91F45" w:rsidRPr="001D6BD3">
        <w:rPr>
          <w:sz w:val="24"/>
          <w:vertAlign w:val="superscript"/>
        </w:rPr>
        <w:t xml:space="preserve"> – </w:t>
      </w:r>
      <w:r w:rsidR="00B91F45">
        <w:rPr>
          <w:sz w:val="24"/>
          <w:vertAlign w:val="superscript"/>
        </w:rPr>
        <w:t>Unmetered Rate only</w:t>
      </w:r>
      <w:r w:rsidR="00B91F45" w:rsidRPr="001D6BD3">
        <w:rPr>
          <w:sz w:val="24"/>
          <w:vertAlign w:val="superscript"/>
        </w:rPr>
        <w:t>.</w:t>
      </w:r>
    </w:p>
    <w:p w:rsidR="00B91F45" w:rsidRDefault="00B91F45" w:rsidP="00B91F45">
      <w:pPr>
        <w:widowControl/>
        <w:autoSpaceDE/>
        <w:autoSpaceDN/>
        <w:adjustRightInd/>
        <w:rPr>
          <w:b/>
          <w:sz w:val="24"/>
          <w:u w:val="single"/>
        </w:rPr>
      </w:pPr>
    </w:p>
    <w:p w:rsidR="00B91F45" w:rsidRPr="00F720D5" w:rsidRDefault="00B91F45" w:rsidP="00B91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720D5">
        <w:rPr>
          <w:b/>
          <w:sz w:val="24"/>
          <w:u w:val="single"/>
        </w:rPr>
        <w:t>Conclusion</w:t>
      </w:r>
    </w:p>
    <w:p w:rsidR="00B91F45" w:rsidRDefault="00B91F45" w:rsidP="00B91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91F45" w:rsidRPr="00D76CE3" w:rsidRDefault="00B91F45" w:rsidP="00B91F45">
      <w:pPr>
        <w:rPr>
          <w:sz w:val="24"/>
        </w:rPr>
      </w:pPr>
      <w:r w:rsidRPr="00D76CE3">
        <w:rPr>
          <w:sz w:val="24"/>
        </w:rPr>
        <w:t>Commission staff has completed its review of the company’s supporting financial documents, books and records. Staff’s review shows that the expenses are reasonable and required as part of the compan</w:t>
      </w:r>
      <w:r>
        <w:rPr>
          <w:sz w:val="24"/>
        </w:rPr>
        <w:t>y</w:t>
      </w:r>
      <w:r w:rsidRPr="00D76CE3">
        <w:rPr>
          <w:sz w:val="24"/>
        </w:rPr>
        <w:t>’</w:t>
      </w:r>
      <w:r>
        <w:rPr>
          <w:sz w:val="24"/>
        </w:rPr>
        <w:t>s</w:t>
      </w:r>
      <w:r w:rsidRPr="00D76CE3">
        <w:rPr>
          <w:sz w:val="24"/>
        </w:rPr>
        <w:t xml:space="preserve"> operation. </w:t>
      </w:r>
      <w:r w:rsidR="006C3E3F" w:rsidRPr="00D76CE3">
        <w:rPr>
          <w:sz w:val="24"/>
        </w:rPr>
        <w:t xml:space="preserve">The </w:t>
      </w:r>
      <w:r w:rsidR="006C3E3F" w:rsidRPr="0024691D">
        <w:rPr>
          <w:sz w:val="24"/>
        </w:rPr>
        <w:t>customer’s comments do not change staff’s opinion that the</w:t>
      </w:r>
      <w:r w:rsidR="006C3E3F">
        <w:rPr>
          <w:sz w:val="24"/>
        </w:rPr>
        <w:t xml:space="preserve"> </w:t>
      </w:r>
      <w:r w:rsidR="006C3E3F" w:rsidRPr="00D76CE3">
        <w:rPr>
          <w:sz w:val="24"/>
        </w:rPr>
        <w:t>compan</w:t>
      </w:r>
      <w:r w:rsidR="006C3E3F">
        <w:rPr>
          <w:sz w:val="24"/>
        </w:rPr>
        <w:t>y</w:t>
      </w:r>
      <w:r w:rsidR="006C3E3F" w:rsidRPr="00D76CE3">
        <w:rPr>
          <w:sz w:val="24"/>
        </w:rPr>
        <w:t>’</w:t>
      </w:r>
      <w:r w:rsidR="006C3E3F">
        <w:rPr>
          <w:sz w:val="24"/>
        </w:rPr>
        <w:t>s</w:t>
      </w:r>
      <w:r w:rsidR="006C3E3F" w:rsidRPr="00D76CE3">
        <w:rPr>
          <w:sz w:val="24"/>
        </w:rPr>
        <w:t xml:space="preserve"> financial information support</w:t>
      </w:r>
      <w:r w:rsidR="006C3E3F">
        <w:rPr>
          <w:sz w:val="24"/>
        </w:rPr>
        <w:t>s</w:t>
      </w:r>
      <w:r w:rsidR="006C3E3F" w:rsidRPr="00D76CE3">
        <w:rPr>
          <w:sz w:val="24"/>
        </w:rPr>
        <w:t xml:space="preserve"> the revised revenue requirement and the revised rates and charges are fair, just, reasonable, and sufficient.</w:t>
      </w:r>
    </w:p>
    <w:p w:rsidR="00B91F45" w:rsidRDefault="00B91F45" w:rsidP="00B91F45">
      <w:pPr>
        <w:pStyle w:val="ListParagraph"/>
        <w:ind w:left="0"/>
        <w:rPr>
          <w:sz w:val="24"/>
        </w:rPr>
      </w:pPr>
    </w:p>
    <w:p w:rsidR="00CD06B9" w:rsidRDefault="00CD06B9" w:rsidP="00B91F45">
      <w:pPr>
        <w:pStyle w:val="ListParagraph"/>
        <w:ind w:left="0"/>
        <w:rPr>
          <w:sz w:val="24"/>
        </w:rPr>
      </w:pPr>
      <w:r>
        <w:rPr>
          <w:sz w:val="24"/>
        </w:rPr>
        <w:t>Staff recommends that the commission:</w:t>
      </w:r>
    </w:p>
    <w:p w:rsidR="00CD06B9" w:rsidRDefault="00CD06B9" w:rsidP="00B91F45">
      <w:pPr>
        <w:pStyle w:val="ListParagraph"/>
        <w:ind w:left="0"/>
        <w:rPr>
          <w:sz w:val="24"/>
        </w:rPr>
      </w:pPr>
    </w:p>
    <w:p w:rsidR="00CB5DFA" w:rsidRPr="0050505B" w:rsidRDefault="00CB5DFA" w:rsidP="00CB5DFA">
      <w:pPr>
        <w:pStyle w:val="BodyText"/>
        <w:numPr>
          <w:ilvl w:val="0"/>
          <w:numId w:val="22"/>
        </w:numPr>
        <w:rPr>
          <w:rFonts w:ascii="Times New Roman" w:hAnsi="Times New Roman"/>
          <w:color w:val="000000"/>
        </w:rPr>
      </w:pPr>
      <w:r w:rsidRPr="0050505B">
        <w:rPr>
          <w:rFonts w:ascii="Times New Roman" w:hAnsi="Times New Roman"/>
          <w:color w:val="000000"/>
        </w:rPr>
        <w:t xml:space="preserve">Dismiss the Complaint and Order Suspending the Tariff Revisions filed by </w:t>
      </w:r>
      <w:r w:rsidRPr="006C3E3F">
        <w:rPr>
          <w:rFonts w:ascii="Times New Roman" w:hAnsi="Times New Roman"/>
          <w:color w:val="000000"/>
        </w:rPr>
        <w:t>Country Meadows East Water System #2</w:t>
      </w:r>
      <w:r w:rsidRPr="0050505B">
        <w:rPr>
          <w:rFonts w:ascii="Times New Roman" w:hAnsi="Times New Roman"/>
          <w:color w:val="000000"/>
        </w:rPr>
        <w:t>.</w:t>
      </w:r>
    </w:p>
    <w:p w:rsidR="00CB5DFA" w:rsidRPr="0050505B" w:rsidRDefault="00CB5DFA" w:rsidP="00CB5DFA">
      <w:pPr>
        <w:pStyle w:val="BodyText"/>
        <w:rPr>
          <w:rFonts w:ascii="Times New Roman" w:hAnsi="Times New Roman"/>
          <w:color w:val="000000"/>
        </w:rPr>
      </w:pPr>
    </w:p>
    <w:p w:rsidR="00476C07" w:rsidRPr="00CB5DFA" w:rsidRDefault="00CB5DFA" w:rsidP="00CB5DFA">
      <w:pPr>
        <w:pStyle w:val="BodyText"/>
        <w:numPr>
          <w:ilvl w:val="0"/>
          <w:numId w:val="22"/>
        </w:numPr>
        <w:rPr>
          <w:rFonts w:ascii="Times New Roman" w:hAnsi="Times New Roman"/>
          <w:color w:val="000000"/>
        </w:rPr>
      </w:pPr>
      <w:r w:rsidRPr="0050505B">
        <w:rPr>
          <w:rFonts w:ascii="Times New Roman" w:hAnsi="Times New Roman"/>
          <w:color w:val="000000"/>
        </w:rPr>
        <w:t>A</w:t>
      </w:r>
      <w:r w:rsidRPr="006C3E3F">
        <w:rPr>
          <w:rFonts w:ascii="Times New Roman" w:hAnsi="Times New Roman"/>
          <w:color w:val="000000"/>
        </w:rPr>
        <w:t>pprove staff recommended revised rates filed by Country Meadows E</w:t>
      </w:r>
      <w:r>
        <w:rPr>
          <w:rFonts w:ascii="Times New Roman" w:hAnsi="Times New Roman"/>
          <w:color w:val="000000"/>
        </w:rPr>
        <w:t>.</w:t>
      </w:r>
      <w:r w:rsidRPr="006C3E3F">
        <w:rPr>
          <w:rFonts w:ascii="Times New Roman" w:hAnsi="Times New Roman"/>
          <w:color w:val="000000"/>
        </w:rPr>
        <w:t xml:space="preserve"> Water System #2 on </w:t>
      </w:r>
      <w:r>
        <w:rPr>
          <w:rFonts w:ascii="Times New Roman" w:hAnsi="Times New Roman"/>
          <w:color w:val="000000"/>
        </w:rPr>
        <w:t xml:space="preserve">March </w:t>
      </w:r>
      <w:r w:rsidRPr="006C3E3F">
        <w:rPr>
          <w:rFonts w:ascii="Times New Roman" w:hAnsi="Times New Roman"/>
          <w:color w:val="000000"/>
        </w:rPr>
        <w:t>1</w:t>
      </w:r>
      <w:r>
        <w:rPr>
          <w:rFonts w:ascii="Times New Roman" w:hAnsi="Times New Roman"/>
          <w:color w:val="000000"/>
        </w:rPr>
        <w:t>5</w:t>
      </w:r>
      <w:r w:rsidRPr="006C3E3F">
        <w:rPr>
          <w:rFonts w:ascii="Times New Roman" w:hAnsi="Times New Roman"/>
          <w:color w:val="000000"/>
        </w:rPr>
        <w:t xml:space="preserve">, 2011, to become effective </w:t>
      </w:r>
      <w:r>
        <w:rPr>
          <w:rFonts w:ascii="Times New Roman" w:hAnsi="Times New Roman"/>
          <w:color w:val="000000"/>
        </w:rPr>
        <w:t xml:space="preserve">April </w:t>
      </w:r>
      <w:r w:rsidRPr="006C3E3F">
        <w:rPr>
          <w:rFonts w:ascii="Times New Roman" w:hAnsi="Times New Roman"/>
          <w:color w:val="000000"/>
        </w:rPr>
        <w:t>1, 2011.</w:t>
      </w:r>
    </w:p>
    <w:sectPr w:rsidR="00476C07" w:rsidRPr="00CB5DFA" w:rsidSect="004E7F7F">
      <w:headerReference w:type="default" r:id="rId11"/>
      <w:headerReference w:type="first" r:id="rId12"/>
      <w:footnotePr>
        <w:numRestart w:val="eachSect"/>
      </w:footnotePr>
      <w:endnotePr>
        <w:numFmt w:val="decimal"/>
        <w:numRestart w:val="eachSect"/>
      </w:endnotePr>
      <w:type w:val="continuous"/>
      <w:pgSz w:w="12240" w:h="15840" w:code="1"/>
      <w:pgMar w:top="1440" w:right="1440" w:bottom="1440" w:left="1440" w:header="1008" w:footer="72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5A5" w:rsidRDefault="00BC25A5">
      <w:r>
        <w:separator/>
      </w:r>
    </w:p>
  </w:endnote>
  <w:endnote w:type="continuationSeparator" w:id="0">
    <w:p w:rsidR="00BC25A5" w:rsidRDefault="00BC25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5A5" w:rsidRDefault="00BC25A5">
      <w:r>
        <w:separator/>
      </w:r>
    </w:p>
  </w:footnote>
  <w:footnote w:type="continuationSeparator" w:id="0">
    <w:p w:rsidR="00BC25A5" w:rsidRDefault="00BC25A5">
      <w:r>
        <w:continuationSeparator/>
      </w:r>
    </w:p>
  </w:footnote>
  <w:footnote w:id="1">
    <w:p w:rsidR="00BC25A5" w:rsidRDefault="00BC25A5">
      <w:pPr>
        <w:pStyle w:val="FootnoteText"/>
      </w:pPr>
      <w:r>
        <w:rPr>
          <w:rStyle w:val="FootnoteReference"/>
        </w:rPr>
        <w:footnoteRef/>
      </w:r>
      <w:r>
        <w:t xml:space="preserve"> Green – a</w:t>
      </w:r>
      <w:r w:rsidRPr="00411DC5">
        <w:t>dequate for existing uses and adding new service connections up to the number of approved service connections</w:t>
      </w:r>
      <w:r>
        <w:t>.</w:t>
      </w:r>
    </w:p>
  </w:footnote>
  <w:footnote w:id="2">
    <w:p w:rsidR="00BC25A5" w:rsidRPr="00CC71BD" w:rsidRDefault="00BC25A5">
      <w:pPr>
        <w:pStyle w:val="FootnoteText"/>
      </w:pPr>
      <w:r w:rsidRPr="00CC71BD">
        <w:footnoteRef/>
      </w:r>
      <w:r>
        <w:t xml:space="preserve"> Blue – </w:t>
      </w:r>
      <w:r w:rsidRPr="00CC71BD">
        <w:t>adequate</w:t>
      </w:r>
      <w:r>
        <w:t xml:space="preserve"> </w:t>
      </w:r>
      <w:r w:rsidRPr="00CC71BD">
        <w:t>for existing uses, but not adequate for adding new service connections.</w:t>
      </w:r>
    </w:p>
  </w:footnote>
  <w:footnote w:id="3">
    <w:p w:rsidR="00BC25A5" w:rsidRDefault="00BC25A5" w:rsidP="006F3ED6">
      <w:pPr>
        <w:pStyle w:val="FootnoteText"/>
      </w:pPr>
      <w:r w:rsidRPr="004E3534">
        <w:rPr>
          <w:rStyle w:val="FootnoteReference"/>
          <w:vertAlign w:val="superscript"/>
        </w:rPr>
        <w:footnoteRef/>
      </w:r>
      <w:r w:rsidR="00663F01">
        <w:rPr>
          <w:vertAlign w:val="superscript"/>
        </w:rPr>
        <w:t xml:space="preserve"> </w:t>
      </w:r>
      <w:r>
        <w:t>27,809 gallons is equivalent to 3,717 cubic feet.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5A5" w:rsidRPr="00156D99" w:rsidRDefault="00BC25A5" w:rsidP="00156D99">
    <w:pPr>
      <w:pStyle w:val="Header"/>
    </w:pPr>
    <w:r w:rsidRPr="00156D99">
      <w:t xml:space="preserve">Docket </w:t>
    </w:r>
    <w:r>
      <w:t>UW</w:t>
    </w:r>
    <w:r w:rsidRPr="00156D99">
      <w:t>-10</w:t>
    </w:r>
    <w:r>
      <w:t>2034</w:t>
    </w:r>
  </w:p>
  <w:p w:rsidR="00BC25A5" w:rsidRPr="00156D99" w:rsidRDefault="00BC25A5" w:rsidP="00156D99">
    <w:pPr>
      <w:pStyle w:val="Header"/>
    </w:pPr>
    <w:r>
      <w:t xml:space="preserve">March </w:t>
    </w:r>
    <w:r w:rsidRPr="00156D99">
      <w:t>2</w:t>
    </w:r>
    <w:r>
      <w:t>4</w:t>
    </w:r>
    <w:r w:rsidRPr="00156D99">
      <w:t>, 201</w:t>
    </w:r>
    <w:r>
      <w:t>1</w:t>
    </w:r>
  </w:p>
  <w:p w:rsidR="00BC25A5" w:rsidRPr="00156D99" w:rsidRDefault="00BC25A5" w:rsidP="00156D99">
    <w:pPr>
      <w:pStyle w:val="Header"/>
    </w:pPr>
    <w:r w:rsidRPr="00156D99">
      <w:t xml:space="preserve">Page </w:t>
    </w:r>
    <w:r w:rsidR="007B26D6">
      <w:fldChar w:fldCharType="begin"/>
    </w:r>
    <w:r>
      <w:instrText xml:space="preserve"> PAGE </w:instrText>
    </w:r>
    <w:r w:rsidR="007B26D6">
      <w:fldChar w:fldCharType="separate"/>
    </w:r>
    <w:r w:rsidR="00495F94">
      <w:rPr>
        <w:noProof/>
      </w:rPr>
      <w:t>5</w:t>
    </w:r>
    <w:r w:rsidR="007B26D6">
      <w:rPr>
        <w:noProof/>
      </w:rPr>
      <w:fldChar w:fldCharType="end"/>
    </w:r>
  </w:p>
  <w:p w:rsidR="00BC25A5" w:rsidRPr="00156D99" w:rsidRDefault="00BC25A5" w:rsidP="00156D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5A5" w:rsidRPr="00D84B7C" w:rsidRDefault="00BC25A5" w:rsidP="00D84B7C">
    <w:pPr>
      <w:spacing w:line="238"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175F"/>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F255DC"/>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A64D71"/>
    <w:multiLevelType w:val="hybridMultilevel"/>
    <w:tmpl w:val="791A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44B52"/>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858597C"/>
    <w:multiLevelType w:val="hybridMultilevel"/>
    <w:tmpl w:val="DCE6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B80675C"/>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4BB1021"/>
    <w:multiLevelType w:val="hybridMultilevel"/>
    <w:tmpl w:val="0846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34616D"/>
    <w:multiLevelType w:val="hybridMultilevel"/>
    <w:tmpl w:val="2D30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3B2267"/>
    <w:multiLevelType w:val="hybridMultilevel"/>
    <w:tmpl w:val="7AE071A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6800C42"/>
    <w:multiLevelType w:val="hybridMultilevel"/>
    <w:tmpl w:val="D6CA7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C83829"/>
    <w:multiLevelType w:val="hybridMultilevel"/>
    <w:tmpl w:val="6B2E50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B401C7"/>
    <w:multiLevelType w:val="hybridMultilevel"/>
    <w:tmpl w:val="C1288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6427610"/>
    <w:multiLevelType w:val="hybridMultilevel"/>
    <w:tmpl w:val="1EA4E60C"/>
    <w:lvl w:ilvl="0" w:tplc="41687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4652D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69B51069"/>
    <w:multiLevelType w:val="hybridMultilevel"/>
    <w:tmpl w:val="295859AE"/>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1">
    <w:nsid w:val="707E723F"/>
    <w:multiLevelType w:val="hybridMultilevel"/>
    <w:tmpl w:val="04D0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F45F8B"/>
    <w:multiLevelType w:val="hybridMultilevel"/>
    <w:tmpl w:val="BA2E240C"/>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8"/>
  </w:num>
  <w:num w:numId="2">
    <w:abstractNumId w:val="16"/>
  </w:num>
  <w:num w:numId="3">
    <w:abstractNumId w:val="5"/>
  </w:num>
  <w:num w:numId="4">
    <w:abstractNumId w:val="23"/>
  </w:num>
  <w:num w:numId="5">
    <w:abstractNumId w:val="13"/>
  </w:num>
  <w:num w:numId="6">
    <w:abstractNumId w:val="19"/>
  </w:num>
  <w:num w:numId="7">
    <w:abstractNumId w:val="14"/>
  </w:num>
  <w:num w:numId="8">
    <w:abstractNumId w:val="17"/>
  </w:num>
  <w:num w:numId="9">
    <w:abstractNumId w:val="7"/>
  </w:num>
  <w:num w:numId="10">
    <w:abstractNumId w:val="15"/>
  </w:num>
  <w:num w:numId="11">
    <w:abstractNumId w:val="1"/>
  </w:num>
  <w:num w:numId="12">
    <w:abstractNumId w:val="21"/>
  </w:num>
  <w:num w:numId="13">
    <w:abstractNumId w:val="22"/>
  </w:num>
  <w:num w:numId="14">
    <w:abstractNumId w:val="8"/>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9"/>
  </w:num>
  <w:num w:numId="18">
    <w:abstractNumId w:val="2"/>
  </w:num>
  <w:num w:numId="19">
    <w:abstractNumId w:val="12"/>
  </w:num>
  <w:num w:numId="20">
    <w:abstractNumId w:val="6"/>
  </w:num>
  <w:num w:numId="21">
    <w:abstractNumId w:val="3"/>
  </w:num>
  <w:num w:numId="22">
    <w:abstractNumId w:val="0"/>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removePersonalInformation/>
  <w:removeDateAndTime/>
  <w:bordersDoNotSurroundHeader/>
  <w:bordersDoNotSurroundFooter/>
  <w:hideSpellingErrors/>
  <w:hideGrammaticalErrors/>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98305"/>
  </w:hdrShapeDefaults>
  <w:footnotePr>
    <w:numRestart w:val="eachSect"/>
    <w:footnote w:id="-1"/>
    <w:footnote w:id="0"/>
  </w:footnotePr>
  <w:endnotePr>
    <w:numFmt w:val="decimal"/>
    <w:numRestart w:val="eachSect"/>
    <w:endnote w:id="-1"/>
    <w:endnote w:id="0"/>
  </w:endnotePr>
  <w:compat/>
  <w:rsids>
    <w:rsidRoot w:val="007155BE"/>
    <w:rsid w:val="00016E6E"/>
    <w:rsid w:val="00021C05"/>
    <w:rsid w:val="000231A7"/>
    <w:rsid w:val="0002730A"/>
    <w:rsid w:val="000377B4"/>
    <w:rsid w:val="0004008D"/>
    <w:rsid w:val="00040E04"/>
    <w:rsid w:val="00041309"/>
    <w:rsid w:val="00041F8B"/>
    <w:rsid w:val="00055129"/>
    <w:rsid w:val="00066BF9"/>
    <w:rsid w:val="00071B8B"/>
    <w:rsid w:val="00072E8D"/>
    <w:rsid w:val="00074C54"/>
    <w:rsid w:val="00083D09"/>
    <w:rsid w:val="0009317F"/>
    <w:rsid w:val="000935F9"/>
    <w:rsid w:val="000A0AD4"/>
    <w:rsid w:val="000A0CB5"/>
    <w:rsid w:val="000A23CA"/>
    <w:rsid w:val="000A2FD7"/>
    <w:rsid w:val="000A45E5"/>
    <w:rsid w:val="000A6847"/>
    <w:rsid w:val="000B3736"/>
    <w:rsid w:val="000B5EAF"/>
    <w:rsid w:val="000C7B7A"/>
    <w:rsid w:val="000D0D9B"/>
    <w:rsid w:val="000D2F0C"/>
    <w:rsid w:val="000D6EE8"/>
    <w:rsid w:val="000D73DD"/>
    <w:rsid w:val="000D7B14"/>
    <w:rsid w:val="000E0A65"/>
    <w:rsid w:val="000E186B"/>
    <w:rsid w:val="000E5DC6"/>
    <w:rsid w:val="000F23B0"/>
    <w:rsid w:val="000F5982"/>
    <w:rsid w:val="000F71DA"/>
    <w:rsid w:val="00103513"/>
    <w:rsid w:val="00105F8B"/>
    <w:rsid w:val="00110FAE"/>
    <w:rsid w:val="001113F5"/>
    <w:rsid w:val="00111531"/>
    <w:rsid w:val="00114DD1"/>
    <w:rsid w:val="001209F8"/>
    <w:rsid w:val="00131C9E"/>
    <w:rsid w:val="00135861"/>
    <w:rsid w:val="00137FE5"/>
    <w:rsid w:val="00145029"/>
    <w:rsid w:val="0015140F"/>
    <w:rsid w:val="00156D17"/>
    <w:rsid w:val="00156D99"/>
    <w:rsid w:val="0016108B"/>
    <w:rsid w:val="001618A9"/>
    <w:rsid w:val="00161E2E"/>
    <w:rsid w:val="00164BEE"/>
    <w:rsid w:val="00173445"/>
    <w:rsid w:val="00175973"/>
    <w:rsid w:val="00180222"/>
    <w:rsid w:val="0019005A"/>
    <w:rsid w:val="0019186A"/>
    <w:rsid w:val="001B09AF"/>
    <w:rsid w:val="001B4800"/>
    <w:rsid w:val="001C037D"/>
    <w:rsid w:val="001C187C"/>
    <w:rsid w:val="001C4643"/>
    <w:rsid w:val="001D1445"/>
    <w:rsid w:val="001D26E3"/>
    <w:rsid w:val="001D28F3"/>
    <w:rsid w:val="001D338C"/>
    <w:rsid w:val="001D636B"/>
    <w:rsid w:val="001D6BD3"/>
    <w:rsid w:val="001D6D6C"/>
    <w:rsid w:val="001E2BF6"/>
    <w:rsid w:val="001E5965"/>
    <w:rsid w:val="001E641B"/>
    <w:rsid w:val="001E75A4"/>
    <w:rsid w:val="001F008A"/>
    <w:rsid w:val="001F1C87"/>
    <w:rsid w:val="001F47C4"/>
    <w:rsid w:val="002011E0"/>
    <w:rsid w:val="00203489"/>
    <w:rsid w:val="002047C9"/>
    <w:rsid w:val="00204E23"/>
    <w:rsid w:val="00217468"/>
    <w:rsid w:val="00230B69"/>
    <w:rsid w:val="00233439"/>
    <w:rsid w:val="002348E0"/>
    <w:rsid w:val="002349CB"/>
    <w:rsid w:val="0024162C"/>
    <w:rsid w:val="00242000"/>
    <w:rsid w:val="00242972"/>
    <w:rsid w:val="0024691D"/>
    <w:rsid w:val="0024704F"/>
    <w:rsid w:val="002520CC"/>
    <w:rsid w:val="00253998"/>
    <w:rsid w:val="002546F5"/>
    <w:rsid w:val="00264FBF"/>
    <w:rsid w:val="0026637B"/>
    <w:rsid w:val="00267644"/>
    <w:rsid w:val="002761A1"/>
    <w:rsid w:val="0027629F"/>
    <w:rsid w:val="0028209E"/>
    <w:rsid w:val="002827B9"/>
    <w:rsid w:val="00282B08"/>
    <w:rsid w:val="0028479C"/>
    <w:rsid w:val="00290FCA"/>
    <w:rsid w:val="002928AA"/>
    <w:rsid w:val="0029365C"/>
    <w:rsid w:val="0029443A"/>
    <w:rsid w:val="0029615A"/>
    <w:rsid w:val="002A1B14"/>
    <w:rsid w:val="002A5D58"/>
    <w:rsid w:val="002B1B73"/>
    <w:rsid w:val="002B20A1"/>
    <w:rsid w:val="002B3B6D"/>
    <w:rsid w:val="002B561C"/>
    <w:rsid w:val="002C151B"/>
    <w:rsid w:val="002C1D40"/>
    <w:rsid w:val="002D3175"/>
    <w:rsid w:val="002D4C72"/>
    <w:rsid w:val="002D4F2A"/>
    <w:rsid w:val="002D64E6"/>
    <w:rsid w:val="002D6B9D"/>
    <w:rsid w:val="002E0C08"/>
    <w:rsid w:val="002F03A3"/>
    <w:rsid w:val="00303781"/>
    <w:rsid w:val="00313257"/>
    <w:rsid w:val="00313EEB"/>
    <w:rsid w:val="00316CEE"/>
    <w:rsid w:val="0032624B"/>
    <w:rsid w:val="0033289B"/>
    <w:rsid w:val="00333F5C"/>
    <w:rsid w:val="00341372"/>
    <w:rsid w:val="00342C1E"/>
    <w:rsid w:val="00350743"/>
    <w:rsid w:val="00353188"/>
    <w:rsid w:val="00354ECA"/>
    <w:rsid w:val="003568A1"/>
    <w:rsid w:val="0036109B"/>
    <w:rsid w:val="00361D71"/>
    <w:rsid w:val="00370CA1"/>
    <w:rsid w:val="00371383"/>
    <w:rsid w:val="00373AEC"/>
    <w:rsid w:val="00376C63"/>
    <w:rsid w:val="00377CFC"/>
    <w:rsid w:val="00382C0C"/>
    <w:rsid w:val="00386E17"/>
    <w:rsid w:val="00393E46"/>
    <w:rsid w:val="003A2597"/>
    <w:rsid w:val="003A789A"/>
    <w:rsid w:val="003B3246"/>
    <w:rsid w:val="003B3508"/>
    <w:rsid w:val="003B41F4"/>
    <w:rsid w:val="003B7A21"/>
    <w:rsid w:val="003C18AE"/>
    <w:rsid w:val="003C2A09"/>
    <w:rsid w:val="003C3D11"/>
    <w:rsid w:val="003C47FF"/>
    <w:rsid w:val="003D1063"/>
    <w:rsid w:val="003D7349"/>
    <w:rsid w:val="003E2910"/>
    <w:rsid w:val="003E2C21"/>
    <w:rsid w:val="003E4343"/>
    <w:rsid w:val="003E4D88"/>
    <w:rsid w:val="003E729C"/>
    <w:rsid w:val="003F10C8"/>
    <w:rsid w:val="004076BE"/>
    <w:rsid w:val="00411DC5"/>
    <w:rsid w:val="0042096A"/>
    <w:rsid w:val="00423720"/>
    <w:rsid w:val="0042466D"/>
    <w:rsid w:val="00425275"/>
    <w:rsid w:val="00426589"/>
    <w:rsid w:val="00427A22"/>
    <w:rsid w:val="00430B38"/>
    <w:rsid w:val="00431820"/>
    <w:rsid w:val="00433B87"/>
    <w:rsid w:val="0044302E"/>
    <w:rsid w:val="00444FAE"/>
    <w:rsid w:val="00450022"/>
    <w:rsid w:val="00452078"/>
    <w:rsid w:val="0045500C"/>
    <w:rsid w:val="00457E34"/>
    <w:rsid w:val="00463927"/>
    <w:rsid w:val="00465FC8"/>
    <w:rsid w:val="00467164"/>
    <w:rsid w:val="004721BB"/>
    <w:rsid w:val="00475ADF"/>
    <w:rsid w:val="00476C07"/>
    <w:rsid w:val="00481405"/>
    <w:rsid w:val="004827C9"/>
    <w:rsid w:val="00482E3F"/>
    <w:rsid w:val="00487380"/>
    <w:rsid w:val="00490F8D"/>
    <w:rsid w:val="00493276"/>
    <w:rsid w:val="00493CA6"/>
    <w:rsid w:val="004952D2"/>
    <w:rsid w:val="00495F94"/>
    <w:rsid w:val="00497914"/>
    <w:rsid w:val="004A1FDD"/>
    <w:rsid w:val="004A3E1A"/>
    <w:rsid w:val="004A53E9"/>
    <w:rsid w:val="004A6812"/>
    <w:rsid w:val="004A6EE8"/>
    <w:rsid w:val="004A763B"/>
    <w:rsid w:val="004B4F08"/>
    <w:rsid w:val="004D0023"/>
    <w:rsid w:val="004D0D89"/>
    <w:rsid w:val="004D28EE"/>
    <w:rsid w:val="004D6B7E"/>
    <w:rsid w:val="004E08A1"/>
    <w:rsid w:val="004E7758"/>
    <w:rsid w:val="004E7B6A"/>
    <w:rsid w:val="004E7F7F"/>
    <w:rsid w:val="004F5CDC"/>
    <w:rsid w:val="00501873"/>
    <w:rsid w:val="0050347B"/>
    <w:rsid w:val="00503B79"/>
    <w:rsid w:val="005077A3"/>
    <w:rsid w:val="005113BB"/>
    <w:rsid w:val="005123CA"/>
    <w:rsid w:val="0051493E"/>
    <w:rsid w:val="005217FE"/>
    <w:rsid w:val="00522A88"/>
    <w:rsid w:val="00522AD8"/>
    <w:rsid w:val="00533BFC"/>
    <w:rsid w:val="00535842"/>
    <w:rsid w:val="0054218E"/>
    <w:rsid w:val="00543DD9"/>
    <w:rsid w:val="00544FCF"/>
    <w:rsid w:val="0055788D"/>
    <w:rsid w:val="005612F3"/>
    <w:rsid w:val="0056162E"/>
    <w:rsid w:val="005664E5"/>
    <w:rsid w:val="00573088"/>
    <w:rsid w:val="005770E2"/>
    <w:rsid w:val="005866C1"/>
    <w:rsid w:val="00591778"/>
    <w:rsid w:val="00594464"/>
    <w:rsid w:val="00596266"/>
    <w:rsid w:val="005966FF"/>
    <w:rsid w:val="005A2763"/>
    <w:rsid w:val="005A30E1"/>
    <w:rsid w:val="005B4AE8"/>
    <w:rsid w:val="005C0529"/>
    <w:rsid w:val="005C27C6"/>
    <w:rsid w:val="005C2901"/>
    <w:rsid w:val="005C5C86"/>
    <w:rsid w:val="005C6FBE"/>
    <w:rsid w:val="005D2457"/>
    <w:rsid w:val="005D2EF9"/>
    <w:rsid w:val="005D32BD"/>
    <w:rsid w:val="005F4E63"/>
    <w:rsid w:val="005F7DA5"/>
    <w:rsid w:val="006005B0"/>
    <w:rsid w:val="00602CB2"/>
    <w:rsid w:val="0060344F"/>
    <w:rsid w:val="00605346"/>
    <w:rsid w:val="0060574B"/>
    <w:rsid w:val="006063DE"/>
    <w:rsid w:val="00613D6A"/>
    <w:rsid w:val="0061511A"/>
    <w:rsid w:val="00620B46"/>
    <w:rsid w:val="00622736"/>
    <w:rsid w:val="0062357E"/>
    <w:rsid w:val="006267F1"/>
    <w:rsid w:val="00630ED6"/>
    <w:rsid w:val="006326CE"/>
    <w:rsid w:val="00640B09"/>
    <w:rsid w:val="00644C3C"/>
    <w:rsid w:val="0064714F"/>
    <w:rsid w:val="00650788"/>
    <w:rsid w:val="0065301B"/>
    <w:rsid w:val="006536CD"/>
    <w:rsid w:val="006540D9"/>
    <w:rsid w:val="0065659A"/>
    <w:rsid w:val="00656655"/>
    <w:rsid w:val="0066284C"/>
    <w:rsid w:val="00663672"/>
    <w:rsid w:val="00663F01"/>
    <w:rsid w:val="00664598"/>
    <w:rsid w:val="00665BFB"/>
    <w:rsid w:val="00674E59"/>
    <w:rsid w:val="00675AA7"/>
    <w:rsid w:val="006775D8"/>
    <w:rsid w:val="00681001"/>
    <w:rsid w:val="0068313F"/>
    <w:rsid w:val="00697E4B"/>
    <w:rsid w:val="006A164C"/>
    <w:rsid w:val="006B398B"/>
    <w:rsid w:val="006B3E31"/>
    <w:rsid w:val="006B43DB"/>
    <w:rsid w:val="006B4679"/>
    <w:rsid w:val="006B5516"/>
    <w:rsid w:val="006B5540"/>
    <w:rsid w:val="006B5A31"/>
    <w:rsid w:val="006C1863"/>
    <w:rsid w:val="006C1FFD"/>
    <w:rsid w:val="006C2E93"/>
    <w:rsid w:val="006C3C23"/>
    <w:rsid w:val="006C3E3F"/>
    <w:rsid w:val="006C424C"/>
    <w:rsid w:val="006C46E4"/>
    <w:rsid w:val="006C7551"/>
    <w:rsid w:val="006D1C3C"/>
    <w:rsid w:val="006E03AC"/>
    <w:rsid w:val="006E238F"/>
    <w:rsid w:val="006E4D50"/>
    <w:rsid w:val="006F3ED6"/>
    <w:rsid w:val="00704EB6"/>
    <w:rsid w:val="00705045"/>
    <w:rsid w:val="0070506B"/>
    <w:rsid w:val="00712EAF"/>
    <w:rsid w:val="007140DA"/>
    <w:rsid w:val="007155BE"/>
    <w:rsid w:val="00716230"/>
    <w:rsid w:val="00716994"/>
    <w:rsid w:val="00717F25"/>
    <w:rsid w:val="00720011"/>
    <w:rsid w:val="00720462"/>
    <w:rsid w:val="00724965"/>
    <w:rsid w:val="00732CD4"/>
    <w:rsid w:val="0073544A"/>
    <w:rsid w:val="00736665"/>
    <w:rsid w:val="00737B9F"/>
    <w:rsid w:val="00750CE3"/>
    <w:rsid w:val="0075204B"/>
    <w:rsid w:val="00754F16"/>
    <w:rsid w:val="00757220"/>
    <w:rsid w:val="00761AD1"/>
    <w:rsid w:val="007672EC"/>
    <w:rsid w:val="00772EE0"/>
    <w:rsid w:val="00774C10"/>
    <w:rsid w:val="007833C7"/>
    <w:rsid w:val="00786935"/>
    <w:rsid w:val="00790133"/>
    <w:rsid w:val="00792A0E"/>
    <w:rsid w:val="007A2598"/>
    <w:rsid w:val="007A3E61"/>
    <w:rsid w:val="007A5EDA"/>
    <w:rsid w:val="007B26D6"/>
    <w:rsid w:val="007C1134"/>
    <w:rsid w:val="007C6071"/>
    <w:rsid w:val="007C7B37"/>
    <w:rsid w:val="007D3909"/>
    <w:rsid w:val="007D414B"/>
    <w:rsid w:val="007D7BA1"/>
    <w:rsid w:val="007E068A"/>
    <w:rsid w:val="007E1807"/>
    <w:rsid w:val="007E4B76"/>
    <w:rsid w:val="007E53C2"/>
    <w:rsid w:val="007F0A9C"/>
    <w:rsid w:val="007F1366"/>
    <w:rsid w:val="007F158A"/>
    <w:rsid w:val="007F429A"/>
    <w:rsid w:val="007F5F8D"/>
    <w:rsid w:val="00801602"/>
    <w:rsid w:val="00801742"/>
    <w:rsid w:val="008025A9"/>
    <w:rsid w:val="008026CF"/>
    <w:rsid w:val="008038F7"/>
    <w:rsid w:val="00803B0C"/>
    <w:rsid w:val="008058FE"/>
    <w:rsid w:val="00805D0D"/>
    <w:rsid w:val="00807220"/>
    <w:rsid w:val="008123BB"/>
    <w:rsid w:val="008139A2"/>
    <w:rsid w:val="008234B5"/>
    <w:rsid w:val="00824A29"/>
    <w:rsid w:val="00832AA3"/>
    <w:rsid w:val="00842072"/>
    <w:rsid w:val="00842F17"/>
    <w:rsid w:val="008506EB"/>
    <w:rsid w:val="008550E6"/>
    <w:rsid w:val="00861EB7"/>
    <w:rsid w:val="00863257"/>
    <w:rsid w:val="0086429A"/>
    <w:rsid w:val="00867E78"/>
    <w:rsid w:val="00876E35"/>
    <w:rsid w:val="00887599"/>
    <w:rsid w:val="00890A4C"/>
    <w:rsid w:val="0089153B"/>
    <w:rsid w:val="008956A7"/>
    <w:rsid w:val="00897187"/>
    <w:rsid w:val="008A04A1"/>
    <w:rsid w:val="008A49D4"/>
    <w:rsid w:val="008A5620"/>
    <w:rsid w:val="008A674C"/>
    <w:rsid w:val="008B44FE"/>
    <w:rsid w:val="008B50E0"/>
    <w:rsid w:val="008B66BD"/>
    <w:rsid w:val="008C4178"/>
    <w:rsid w:val="008D36A8"/>
    <w:rsid w:val="008D6D28"/>
    <w:rsid w:val="008D7832"/>
    <w:rsid w:val="008F2EF6"/>
    <w:rsid w:val="00903BB9"/>
    <w:rsid w:val="00903FF9"/>
    <w:rsid w:val="0090455E"/>
    <w:rsid w:val="00904F3F"/>
    <w:rsid w:val="00910747"/>
    <w:rsid w:val="00916157"/>
    <w:rsid w:val="00917864"/>
    <w:rsid w:val="00921DA3"/>
    <w:rsid w:val="00930600"/>
    <w:rsid w:val="00933C8F"/>
    <w:rsid w:val="00940D68"/>
    <w:rsid w:val="009425D1"/>
    <w:rsid w:val="0094460F"/>
    <w:rsid w:val="0094567D"/>
    <w:rsid w:val="00950C19"/>
    <w:rsid w:val="00951684"/>
    <w:rsid w:val="00955A1B"/>
    <w:rsid w:val="00957836"/>
    <w:rsid w:val="009579C1"/>
    <w:rsid w:val="00961BA1"/>
    <w:rsid w:val="00970EDB"/>
    <w:rsid w:val="00970F01"/>
    <w:rsid w:val="00973093"/>
    <w:rsid w:val="009745CA"/>
    <w:rsid w:val="0097608F"/>
    <w:rsid w:val="00980C39"/>
    <w:rsid w:val="009821E7"/>
    <w:rsid w:val="0098380F"/>
    <w:rsid w:val="00985537"/>
    <w:rsid w:val="0098684D"/>
    <w:rsid w:val="0098762F"/>
    <w:rsid w:val="009A05FA"/>
    <w:rsid w:val="009A33FE"/>
    <w:rsid w:val="009A39CD"/>
    <w:rsid w:val="009B7577"/>
    <w:rsid w:val="009D1E51"/>
    <w:rsid w:val="009D48B1"/>
    <w:rsid w:val="009D4F84"/>
    <w:rsid w:val="009D6E2A"/>
    <w:rsid w:val="009E0F64"/>
    <w:rsid w:val="009E197E"/>
    <w:rsid w:val="009E1CD4"/>
    <w:rsid w:val="009E7631"/>
    <w:rsid w:val="009F0527"/>
    <w:rsid w:val="009F549F"/>
    <w:rsid w:val="009F7B9B"/>
    <w:rsid w:val="00A04841"/>
    <w:rsid w:val="00A0489E"/>
    <w:rsid w:val="00A13F6B"/>
    <w:rsid w:val="00A15637"/>
    <w:rsid w:val="00A1759B"/>
    <w:rsid w:val="00A21FD8"/>
    <w:rsid w:val="00A24F0F"/>
    <w:rsid w:val="00A262D5"/>
    <w:rsid w:val="00A277CA"/>
    <w:rsid w:val="00A3544F"/>
    <w:rsid w:val="00A37B52"/>
    <w:rsid w:val="00A447A5"/>
    <w:rsid w:val="00A470C8"/>
    <w:rsid w:val="00A57B8A"/>
    <w:rsid w:val="00A614DA"/>
    <w:rsid w:val="00A62535"/>
    <w:rsid w:val="00A674E8"/>
    <w:rsid w:val="00A67FCE"/>
    <w:rsid w:val="00A74C84"/>
    <w:rsid w:val="00A81E7F"/>
    <w:rsid w:val="00A82198"/>
    <w:rsid w:val="00A8224D"/>
    <w:rsid w:val="00A84A6B"/>
    <w:rsid w:val="00A94E8C"/>
    <w:rsid w:val="00A94F66"/>
    <w:rsid w:val="00AB7F3F"/>
    <w:rsid w:val="00AC0A88"/>
    <w:rsid w:val="00AC447C"/>
    <w:rsid w:val="00AC7EC8"/>
    <w:rsid w:val="00AD2E88"/>
    <w:rsid w:val="00AD6225"/>
    <w:rsid w:val="00AE36B5"/>
    <w:rsid w:val="00AE3869"/>
    <w:rsid w:val="00AE55DC"/>
    <w:rsid w:val="00AE6C13"/>
    <w:rsid w:val="00AE790C"/>
    <w:rsid w:val="00AF113E"/>
    <w:rsid w:val="00AF1A52"/>
    <w:rsid w:val="00AF7170"/>
    <w:rsid w:val="00AF7AFF"/>
    <w:rsid w:val="00B02091"/>
    <w:rsid w:val="00B06066"/>
    <w:rsid w:val="00B065CE"/>
    <w:rsid w:val="00B07439"/>
    <w:rsid w:val="00B1076A"/>
    <w:rsid w:val="00B11E23"/>
    <w:rsid w:val="00B16054"/>
    <w:rsid w:val="00B200A5"/>
    <w:rsid w:val="00B34AE0"/>
    <w:rsid w:val="00B35EA6"/>
    <w:rsid w:val="00B45DD3"/>
    <w:rsid w:val="00B47BBA"/>
    <w:rsid w:val="00B57C91"/>
    <w:rsid w:val="00B62A6A"/>
    <w:rsid w:val="00B64255"/>
    <w:rsid w:val="00B64ACF"/>
    <w:rsid w:val="00B67A7C"/>
    <w:rsid w:val="00B67B15"/>
    <w:rsid w:val="00B74DDB"/>
    <w:rsid w:val="00B81754"/>
    <w:rsid w:val="00B84712"/>
    <w:rsid w:val="00B87F9F"/>
    <w:rsid w:val="00B91F45"/>
    <w:rsid w:val="00B925F4"/>
    <w:rsid w:val="00B94DB6"/>
    <w:rsid w:val="00B9788A"/>
    <w:rsid w:val="00BA095A"/>
    <w:rsid w:val="00BA7020"/>
    <w:rsid w:val="00BA7938"/>
    <w:rsid w:val="00BB1465"/>
    <w:rsid w:val="00BB3EB7"/>
    <w:rsid w:val="00BB7AF1"/>
    <w:rsid w:val="00BC25A5"/>
    <w:rsid w:val="00BC372B"/>
    <w:rsid w:val="00BC5CEE"/>
    <w:rsid w:val="00BD0937"/>
    <w:rsid w:val="00BD4D80"/>
    <w:rsid w:val="00BD50CD"/>
    <w:rsid w:val="00BE0150"/>
    <w:rsid w:val="00BE172A"/>
    <w:rsid w:val="00BE2F9E"/>
    <w:rsid w:val="00BE35F9"/>
    <w:rsid w:val="00BE56A0"/>
    <w:rsid w:val="00BF47C6"/>
    <w:rsid w:val="00BF4E0E"/>
    <w:rsid w:val="00BF68B6"/>
    <w:rsid w:val="00C014D4"/>
    <w:rsid w:val="00C122A1"/>
    <w:rsid w:val="00C1295B"/>
    <w:rsid w:val="00C13D84"/>
    <w:rsid w:val="00C20C46"/>
    <w:rsid w:val="00C23C07"/>
    <w:rsid w:val="00C2428C"/>
    <w:rsid w:val="00C2474C"/>
    <w:rsid w:val="00C25C2C"/>
    <w:rsid w:val="00C30DF8"/>
    <w:rsid w:val="00C34B24"/>
    <w:rsid w:val="00C37AD1"/>
    <w:rsid w:val="00C37DE9"/>
    <w:rsid w:val="00C40858"/>
    <w:rsid w:val="00C4158A"/>
    <w:rsid w:val="00C4692D"/>
    <w:rsid w:val="00C50796"/>
    <w:rsid w:val="00C51415"/>
    <w:rsid w:val="00C60CB2"/>
    <w:rsid w:val="00C60D28"/>
    <w:rsid w:val="00C61311"/>
    <w:rsid w:val="00C63BAC"/>
    <w:rsid w:val="00C66289"/>
    <w:rsid w:val="00C7387B"/>
    <w:rsid w:val="00C76A0C"/>
    <w:rsid w:val="00C83F63"/>
    <w:rsid w:val="00C83FE0"/>
    <w:rsid w:val="00C85133"/>
    <w:rsid w:val="00C855C0"/>
    <w:rsid w:val="00C85E75"/>
    <w:rsid w:val="00C9123C"/>
    <w:rsid w:val="00C92608"/>
    <w:rsid w:val="00C932DF"/>
    <w:rsid w:val="00C9557A"/>
    <w:rsid w:val="00C96F4F"/>
    <w:rsid w:val="00CA1DCA"/>
    <w:rsid w:val="00CA4063"/>
    <w:rsid w:val="00CA72A0"/>
    <w:rsid w:val="00CB5DFA"/>
    <w:rsid w:val="00CB730A"/>
    <w:rsid w:val="00CB75C6"/>
    <w:rsid w:val="00CC49EA"/>
    <w:rsid w:val="00CC4A9A"/>
    <w:rsid w:val="00CC572A"/>
    <w:rsid w:val="00CC70B2"/>
    <w:rsid w:val="00CC71A3"/>
    <w:rsid w:val="00CC71BD"/>
    <w:rsid w:val="00CD06B9"/>
    <w:rsid w:val="00CD3A1E"/>
    <w:rsid w:val="00CD423C"/>
    <w:rsid w:val="00CD6A67"/>
    <w:rsid w:val="00CD6BE3"/>
    <w:rsid w:val="00CE07E6"/>
    <w:rsid w:val="00CE33AF"/>
    <w:rsid w:val="00CE78A0"/>
    <w:rsid w:val="00CF1A13"/>
    <w:rsid w:val="00CF24FB"/>
    <w:rsid w:val="00CF3ACE"/>
    <w:rsid w:val="00D015DA"/>
    <w:rsid w:val="00D0635E"/>
    <w:rsid w:val="00D15D5D"/>
    <w:rsid w:val="00D226A4"/>
    <w:rsid w:val="00D27383"/>
    <w:rsid w:val="00D30610"/>
    <w:rsid w:val="00D31736"/>
    <w:rsid w:val="00D41717"/>
    <w:rsid w:val="00D50ECE"/>
    <w:rsid w:val="00D55916"/>
    <w:rsid w:val="00D57BBD"/>
    <w:rsid w:val="00D70873"/>
    <w:rsid w:val="00D84B7C"/>
    <w:rsid w:val="00D85988"/>
    <w:rsid w:val="00D91508"/>
    <w:rsid w:val="00D928CE"/>
    <w:rsid w:val="00D93561"/>
    <w:rsid w:val="00D942B2"/>
    <w:rsid w:val="00DA42DE"/>
    <w:rsid w:val="00DB4DC6"/>
    <w:rsid w:val="00DB6CB8"/>
    <w:rsid w:val="00DC1F9A"/>
    <w:rsid w:val="00DD195B"/>
    <w:rsid w:val="00DD2AA8"/>
    <w:rsid w:val="00DD31CB"/>
    <w:rsid w:val="00DD43A1"/>
    <w:rsid w:val="00DD5104"/>
    <w:rsid w:val="00DD6C20"/>
    <w:rsid w:val="00DD6D79"/>
    <w:rsid w:val="00DD75B3"/>
    <w:rsid w:val="00DE1D10"/>
    <w:rsid w:val="00DE30AD"/>
    <w:rsid w:val="00DE3F53"/>
    <w:rsid w:val="00DE6C81"/>
    <w:rsid w:val="00DE790F"/>
    <w:rsid w:val="00DE7B06"/>
    <w:rsid w:val="00DF102E"/>
    <w:rsid w:val="00DF714E"/>
    <w:rsid w:val="00E014D9"/>
    <w:rsid w:val="00E0261D"/>
    <w:rsid w:val="00E03F74"/>
    <w:rsid w:val="00E07A72"/>
    <w:rsid w:val="00E1256C"/>
    <w:rsid w:val="00E16AEB"/>
    <w:rsid w:val="00E20755"/>
    <w:rsid w:val="00E25CDB"/>
    <w:rsid w:val="00E27D91"/>
    <w:rsid w:val="00E3062B"/>
    <w:rsid w:val="00E33599"/>
    <w:rsid w:val="00E3602E"/>
    <w:rsid w:val="00E37428"/>
    <w:rsid w:val="00E4050B"/>
    <w:rsid w:val="00E41204"/>
    <w:rsid w:val="00E42D80"/>
    <w:rsid w:val="00E44F84"/>
    <w:rsid w:val="00E452EA"/>
    <w:rsid w:val="00E540CE"/>
    <w:rsid w:val="00E540FA"/>
    <w:rsid w:val="00E558EE"/>
    <w:rsid w:val="00E60B5B"/>
    <w:rsid w:val="00E64636"/>
    <w:rsid w:val="00E64C9D"/>
    <w:rsid w:val="00E702E9"/>
    <w:rsid w:val="00E7074E"/>
    <w:rsid w:val="00E736E5"/>
    <w:rsid w:val="00E754AB"/>
    <w:rsid w:val="00E75883"/>
    <w:rsid w:val="00E7670E"/>
    <w:rsid w:val="00E829F9"/>
    <w:rsid w:val="00E85A0E"/>
    <w:rsid w:val="00E9031F"/>
    <w:rsid w:val="00EA5739"/>
    <w:rsid w:val="00EB271B"/>
    <w:rsid w:val="00EB2769"/>
    <w:rsid w:val="00EB2998"/>
    <w:rsid w:val="00EB3969"/>
    <w:rsid w:val="00EB490A"/>
    <w:rsid w:val="00EB6C05"/>
    <w:rsid w:val="00EB7715"/>
    <w:rsid w:val="00EC0BB8"/>
    <w:rsid w:val="00EC10D7"/>
    <w:rsid w:val="00EC634E"/>
    <w:rsid w:val="00EE1C95"/>
    <w:rsid w:val="00EE1F43"/>
    <w:rsid w:val="00EE21DA"/>
    <w:rsid w:val="00EF0E49"/>
    <w:rsid w:val="00EF3F8E"/>
    <w:rsid w:val="00EF4C3E"/>
    <w:rsid w:val="00EF4D03"/>
    <w:rsid w:val="00EF7F05"/>
    <w:rsid w:val="00F00FCA"/>
    <w:rsid w:val="00F03910"/>
    <w:rsid w:val="00F061F8"/>
    <w:rsid w:val="00F063AC"/>
    <w:rsid w:val="00F11665"/>
    <w:rsid w:val="00F119F2"/>
    <w:rsid w:val="00F21617"/>
    <w:rsid w:val="00F235DC"/>
    <w:rsid w:val="00F25574"/>
    <w:rsid w:val="00F40862"/>
    <w:rsid w:val="00F53432"/>
    <w:rsid w:val="00F60DC4"/>
    <w:rsid w:val="00F62BCC"/>
    <w:rsid w:val="00F645CA"/>
    <w:rsid w:val="00F720D5"/>
    <w:rsid w:val="00F7392A"/>
    <w:rsid w:val="00F74215"/>
    <w:rsid w:val="00F77B5D"/>
    <w:rsid w:val="00F81039"/>
    <w:rsid w:val="00F81F53"/>
    <w:rsid w:val="00F839AE"/>
    <w:rsid w:val="00F8530F"/>
    <w:rsid w:val="00F85C89"/>
    <w:rsid w:val="00F879A2"/>
    <w:rsid w:val="00F9214F"/>
    <w:rsid w:val="00F929EF"/>
    <w:rsid w:val="00F96342"/>
    <w:rsid w:val="00FA6E9A"/>
    <w:rsid w:val="00FA775F"/>
    <w:rsid w:val="00FB4550"/>
    <w:rsid w:val="00FB5984"/>
    <w:rsid w:val="00FB7421"/>
    <w:rsid w:val="00FC2E4A"/>
    <w:rsid w:val="00FC46BC"/>
    <w:rsid w:val="00FC77A8"/>
    <w:rsid w:val="00FD1A63"/>
    <w:rsid w:val="00FD2E81"/>
    <w:rsid w:val="00FD5206"/>
    <w:rsid w:val="00FD5545"/>
    <w:rsid w:val="00FE0AD1"/>
    <w:rsid w:val="00FE2920"/>
    <w:rsid w:val="00FE36E5"/>
    <w:rsid w:val="00FF0963"/>
    <w:rsid w:val="00FF27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 w:type="character" w:customStyle="1" w:styleId="apple-style-span">
    <w:name w:val="apple-style-span"/>
    <w:basedOn w:val="DefaultParagraphFont"/>
    <w:rsid w:val="00411DC5"/>
  </w:style>
  <w:style w:type="table" w:styleId="TableSubtle2">
    <w:name w:val="Table Subtle 2"/>
    <w:basedOn w:val="TableNormal"/>
    <w:rsid w:val="004E7F7F"/>
    <w:pPr>
      <w:widowControl w:val="0"/>
      <w:autoSpaceDE w:val="0"/>
      <w:autoSpaceDN w:val="0"/>
      <w:adjustRightInd w:val="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E7F7F"/>
    <w:pPr>
      <w:widowControl w:val="0"/>
      <w:autoSpaceDE w:val="0"/>
      <w:autoSpaceDN w:val="0"/>
      <w:adjustRightInd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E7F7F"/>
    <w:pPr>
      <w:widowControl w:val="0"/>
      <w:autoSpaceDE w:val="0"/>
      <w:autoSpaceDN w:val="0"/>
      <w:adjustRightInd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1719140">
      <w:bodyDiv w:val="1"/>
      <w:marLeft w:val="0"/>
      <w:marRight w:val="0"/>
      <w:marTop w:val="0"/>
      <w:marBottom w:val="0"/>
      <w:divBdr>
        <w:top w:val="none" w:sz="0" w:space="0" w:color="auto"/>
        <w:left w:val="none" w:sz="0" w:space="0" w:color="auto"/>
        <w:bottom w:val="none" w:sz="0" w:space="0" w:color="auto"/>
        <w:right w:val="none" w:sz="0" w:space="0" w:color="auto"/>
      </w:divBdr>
    </w:div>
    <w:div w:id="944003069">
      <w:bodyDiv w:val="1"/>
      <w:marLeft w:val="0"/>
      <w:marRight w:val="0"/>
      <w:marTop w:val="0"/>
      <w:marBottom w:val="0"/>
      <w:divBdr>
        <w:top w:val="none" w:sz="0" w:space="0" w:color="auto"/>
        <w:left w:val="none" w:sz="0" w:space="0" w:color="auto"/>
        <w:bottom w:val="none" w:sz="0" w:space="0" w:color="auto"/>
        <w:right w:val="none" w:sz="0" w:space="0" w:color="auto"/>
      </w:divBdr>
    </w:div>
    <w:div w:id="1072239548">
      <w:bodyDiv w:val="1"/>
      <w:marLeft w:val="0"/>
      <w:marRight w:val="0"/>
      <w:marTop w:val="0"/>
      <w:marBottom w:val="0"/>
      <w:divBdr>
        <w:top w:val="none" w:sz="0" w:space="0" w:color="auto"/>
        <w:left w:val="none" w:sz="0" w:space="0" w:color="auto"/>
        <w:bottom w:val="none" w:sz="0" w:space="0" w:color="auto"/>
        <w:right w:val="none" w:sz="0" w:space="0" w:color="auto"/>
      </w:divBdr>
    </w:div>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1272666197">
      <w:bodyDiv w:val="1"/>
      <w:marLeft w:val="0"/>
      <w:marRight w:val="0"/>
      <w:marTop w:val="0"/>
      <w:marBottom w:val="0"/>
      <w:divBdr>
        <w:top w:val="none" w:sz="0" w:space="0" w:color="auto"/>
        <w:left w:val="none" w:sz="0" w:space="0" w:color="auto"/>
        <w:bottom w:val="none" w:sz="0" w:space="0" w:color="auto"/>
        <w:right w:val="none" w:sz="0" w:space="0" w:color="auto"/>
      </w:divBdr>
    </w:div>
    <w:div w:id="1370496157">
      <w:bodyDiv w:val="1"/>
      <w:marLeft w:val="0"/>
      <w:marRight w:val="0"/>
      <w:marTop w:val="0"/>
      <w:marBottom w:val="0"/>
      <w:divBdr>
        <w:top w:val="none" w:sz="0" w:space="0" w:color="auto"/>
        <w:left w:val="none" w:sz="0" w:space="0" w:color="auto"/>
        <w:bottom w:val="none" w:sz="0" w:space="0" w:color="auto"/>
        <w:right w:val="none" w:sz="0" w:space="0" w:color="auto"/>
      </w:divBdr>
    </w:div>
    <w:div w:id="1744982035">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055540684">
      <w:bodyDiv w:val="1"/>
      <w:marLeft w:val="0"/>
      <w:marRight w:val="0"/>
      <w:marTop w:val="0"/>
      <w:marBottom w:val="0"/>
      <w:divBdr>
        <w:top w:val="none" w:sz="0" w:space="0" w:color="auto"/>
        <w:left w:val="none" w:sz="0" w:space="0" w:color="auto"/>
        <w:bottom w:val="none" w:sz="0" w:space="0" w:color="auto"/>
        <w:right w:val="none" w:sz="0" w:space="0" w:color="auto"/>
      </w:divBdr>
      <w:divsChild>
        <w:div w:id="2025085994">
          <w:marLeft w:val="0"/>
          <w:marRight w:val="0"/>
          <w:marTop w:val="0"/>
          <w:marBottom w:val="0"/>
          <w:divBdr>
            <w:top w:val="none" w:sz="0" w:space="0" w:color="auto"/>
            <w:left w:val="none" w:sz="0" w:space="0" w:color="auto"/>
            <w:bottom w:val="none" w:sz="0" w:space="0" w:color="auto"/>
            <w:right w:val="none" w:sz="0" w:space="0" w:color="auto"/>
          </w:divBdr>
          <w:divsChild>
            <w:div w:id="795756997">
              <w:marLeft w:val="0"/>
              <w:marRight w:val="0"/>
              <w:marTop w:val="0"/>
              <w:marBottom w:val="0"/>
              <w:divBdr>
                <w:top w:val="none" w:sz="0" w:space="0" w:color="auto"/>
                <w:left w:val="none" w:sz="0" w:space="0" w:color="auto"/>
                <w:bottom w:val="none" w:sz="0" w:space="0" w:color="auto"/>
                <w:right w:val="none" w:sz="0" w:space="0" w:color="auto"/>
              </w:divBdr>
              <w:divsChild>
                <w:div w:id="167503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7E8FC1BA6B3B42BC91B762FC7051D7" ma:contentTypeVersion="131" ma:contentTypeDescription="" ma:contentTypeScope="" ma:versionID="26838c36d1e52895974c8b8bc1976f4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2010-12-20T08:00:00+00:00</OpenedDate>
    <Date1 xmlns="dc463f71-b30c-4ab2-9473-d307f9d35888">2011-03-24T07:00:00+00:00</Date1>
    <IsDocumentOrder xmlns="dc463f71-b30c-4ab2-9473-d307f9d35888" xsi:nil="true"/>
    <IsHighlyConfidential xmlns="dc463f71-b30c-4ab2-9473-d307f9d35888">false</IsHighlyConfidential>
    <CaseCompanyNames xmlns="dc463f71-b30c-4ab2-9473-d307f9d35888">Country Meadows E. Water System #2</CaseCompanyNames>
    <DocketNumber xmlns="dc463f71-b30c-4ab2-9473-d307f9d35888">102034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F691-B3A1-498F-B53B-C225359E3226}"/>
</file>

<file path=customXml/itemProps2.xml><?xml version="1.0" encoding="utf-8"?>
<ds:datastoreItem xmlns:ds="http://schemas.openxmlformats.org/officeDocument/2006/customXml" ds:itemID="{E6BE0B46-9149-4AEB-9C2E-6586A8AB951C}"/>
</file>

<file path=customXml/itemProps3.xml><?xml version="1.0" encoding="utf-8"?>
<ds:datastoreItem xmlns:ds="http://schemas.openxmlformats.org/officeDocument/2006/customXml" ds:itemID="{C22B5F83-5867-4597-B61F-C762792EE46E}"/>
</file>

<file path=customXml/itemProps4.xml><?xml version="1.0" encoding="utf-8"?>
<ds:datastoreItem xmlns:ds="http://schemas.openxmlformats.org/officeDocument/2006/customXml" ds:itemID="{2582C022-24AB-4199-8CA7-94BBACFFFA5E}"/>
</file>

<file path=customXml/itemProps5.xml><?xml version="1.0" encoding="utf-8"?>
<ds:datastoreItem xmlns:ds="http://schemas.openxmlformats.org/officeDocument/2006/customXml" ds:itemID="{E0EB6B22-56FA-454B-8316-DB5111ABE0EF}"/>
</file>

<file path=docProps/app.xml><?xml version="1.0" encoding="utf-8"?>
<Properties xmlns="http://schemas.openxmlformats.org/officeDocument/2006/extended-properties" xmlns:vt="http://schemas.openxmlformats.org/officeDocument/2006/docPropsVTypes">
  <Template>Normal</Template>
  <TotalTime>0</TotalTime>
  <Pages>5</Pages>
  <Words>1589</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2011-03-22T16:57:00Z</dcterms:created>
  <dcterms:modified xsi:type="dcterms:W3CDTF">2011-03-22T16:57:00Z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0x0101006E56B4D1795A2E4DB2F0B01679ED314A00F67E8FC1BA6B3B42BC91B762FC7051D7</vt:lpwstr>
  </property>
  <property fmtid="{D5CDD505-2E9C-101B-9397-08002B2CF9AE}" pid="3" name="_docset_NoMedatataSyncRequired">
    <vt:lpwstr>False</vt:lpwstr>
  </property>
</Properties>
</file>