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58" w:rsidRDefault="00154718" w:rsidP="00BE5610">
      <w:r w:rsidRPr="00EB4CE3">
        <w:t xml:space="preserve">Agenda Date: </w:t>
      </w:r>
      <w:r w:rsidRPr="00EB4CE3">
        <w:tab/>
      </w:r>
      <w:r w:rsidRPr="00EB4CE3">
        <w:tab/>
      </w:r>
      <w:r w:rsidR="00F86908">
        <w:t>February 25</w:t>
      </w:r>
      <w:r w:rsidRPr="00EB4CE3">
        <w:t xml:space="preserve">, </w:t>
      </w:r>
      <w:r w:rsidR="00705164">
        <w:t>201</w:t>
      </w:r>
      <w:r w:rsidR="00F86908">
        <w:t>1</w:t>
      </w:r>
      <w:r w:rsidR="004456FB">
        <w:tab/>
      </w:r>
      <w:r w:rsidR="004456FB">
        <w:tab/>
      </w:r>
    </w:p>
    <w:p w:rsidR="00154718" w:rsidRDefault="00154718" w:rsidP="00BE5610">
      <w:r w:rsidRPr="00EB4CE3">
        <w:t>Item Number:</w:t>
      </w:r>
      <w:r w:rsidRPr="00EB4CE3">
        <w:tab/>
      </w:r>
      <w:r w:rsidRPr="00EB4CE3">
        <w:tab/>
      </w:r>
      <w:r w:rsidR="002C6110" w:rsidRPr="00EB4CE3">
        <w:t>A</w:t>
      </w:r>
      <w:r w:rsidR="000201CA">
        <w:t>3</w:t>
      </w:r>
    </w:p>
    <w:p w:rsidR="006E3B58" w:rsidRPr="00EB4CE3" w:rsidRDefault="006E3B58" w:rsidP="00BE5610"/>
    <w:p w:rsidR="00154718" w:rsidRPr="00EB4CE3" w:rsidRDefault="00154718" w:rsidP="00BE5610">
      <w:r w:rsidRPr="00EB4CE3">
        <w:t xml:space="preserve">Docket: </w:t>
      </w:r>
      <w:r w:rsidRPr="00EB4CE3">
        <w:tab/>
      </w:r>
      <w:r w:rsidRPr="00EB4CE3">
        <w:tab/>
        <w:t>UW-</w:t>
      </w:r>
      <w:r w:rsidR="00705164">
        <w:t>10</w:t>
      </w:r>
      <w:r w:rsidR="00002F08">
        <w:t>1718</w:t>
      </w:r>
    </w:p>
    <w:p w:rsidR="00154718" w:rsidRPr="00EB4CE3" w:rsidRDefault="00A41C23" w:rsidP="00BE5610">
      <w:r w:rsidRPr="00EB4CE3">
        <w:t>Company Name:</w:t>
      </w:r>
      <w:r w:rsidRPr="00EB4CE3">
        <w:tab/>
      </w:r>
      <w:r w:rsidR="00002F08">
        <w:t>Burton Water Company</w:t>
      </w:r>
      <w:r w:rsidR="00187E0D">
        <w:t>, Inc.</w:t>
      </w:r>
    </w:p>
    <w:p w:rsidR="00154718" w:rsidRPr="00EB4CE3" w:rsidRDefault="00154718" w:rsidP="00BE5610"/>
    <w:p w:rsidR="00154718" w:rsidRDefault="00595023" w:rsidP="00BE5610">
      <w:r w:rsidRPr="00EB4CE3">
        <w:t xml:space="preserve">Staff: </w:t>
      </w:r>
      <w:r w:rsidRPr="00EB4CE3">
        <w:tab/>
      </w:r>
      <w:r w:rsidRPr="00EB4CE3">
        <w:tab/>
      </w:r>
      <w:r w:rsidRPr="00EB4CE3">
        <w:tab/>
        <w:t>Jim Ward</w:t>
      </w:r>
      <w:r w:rsidR="00154718" w:rsidRPr="00EB4CE3">
        <w:t>, Regulatory Analyst</w:t>
      </w:r>
    </w:p>
    <w:p w:rsidR="00154718" w:rsidRPr="00EB4CE3" w:rsidRDefault="00154718" w:rsidP="00705164">
      <w:pPr>
        <w:ind w:left="1440" w:firstLine="720"/>
      </w:pPr>
      <w:r w:rsidRPr="00EB4CE3">
        <w:t>Dennis Shutler, Consumer Protection Staff</w:t>
      </w:r>
    </w:p>
    <w:p w:rsidR="00154718" w:rsidRPr="00EB4CE3" w:rsidRDefault="00154718" w:rsidP="00BE5610"/>
    <w:p w:rsidR="00154718" w:rsidRPr="00935AF2" w:rsidRDefault="00154718" w:rsidP="00BE5610">
      <w:pPr>
        <w:rPr>
          <w:b/>
          <w:u w:val="single"/>
        </w:rPr>
      </w:pPr>
      <w:r w:rsidRPr="00935AF2">
        <w:rPr>
          <w:b/>
          <w:u w:val="single"/>
        </w:rPr>
        <w:t>Recommendation</w:t>
      </w:r>
      <w:r w:rsidR="00DC67A8">
        <w:rPr>
          <w:b/>
          <w:u w:val="single"/>
        </w:rPr>
        <w:t>s</w:t>
      </w:r>
    </w:p>
    <w:p w:rsidR="00D17019" w:rsidRPr="0050505B" w:rsidRDefault="00D17019"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D17019" w:rsidRPr="0050505B" w:rsidRDefault="00D17019" w:rsidP="00D17019">
      <w:pPr>
        <w:pStyle w:val="BodyText"/>
        <w:widowControl w:val="0"/>
        <w:numPr>
          <w:ilvl w:val="0"/>
          <w:numId w:val="3"/>
        </w:numPr>
        <w:adjustRightInd w:val="0"/>
        <w:rPr>
          <w:rFonts w:ascii="Times New Roman" w:hAnsi="Times New Roman"/>
          <w:color w:val="000000"/>
        </w:rPr>
      </w:pPr>
      <w:r w:rsidRPr="0050505B">
        <w:rPr>
          <w:rFonts w:ascii="Times New Roman" w:hAnsi="Times New Roman"/>
          <w:color w:val="000000"/>
        </w:rPr>
        <w:t xml:space="preserve">Dismiss the Complaint and Order Suspending the Tariff Revisions filed by </w:t>
      </w:r>
      <w:r w:rsidR="00887299">
        <w:rPr>
          <w:rFonts w:ascii="Times New Roman" w:hAnsi="Times New Roman"/>
          <w:color w:val="000000"/>
        </w:rPr>
        <w:t>Burton Water Company, Inc</w:t>
      </w:r>
      <w:r w:rsidRPr="0050505B">
        <w:rPr>
          <w:rFonts w:ascii="Times New Roman" w:hAnsi="Times New Roman"/>
          <w:color w:val="000000"/>
        </w:rPr>
        <w:t>.</w:t>
      </w:r>
      <w:r w:rsidR="005522E7">
        <w:rPr>
          <w:rFonts w:ascii="Times New Roman" w:hAnsi="Times New Roman"/>
          <w:color w:val="000000"/>
        </w:rPr>
        <w:t>; and</w:t>
      </w:r>
    </w:p>
    <w:p w:rsidR="00D17019" w:rsidRPr="0050505B" w:rsidRDefault="00D17019" w:rsidP="00D17019">
      <w:pPr>
        <w:pStyle w:val="BodyText"/>
        <w:rPr>
          <w:rFonts w:ascii="Times New Roman" w:hAnsi="Times New Roman"/>
          <w:color w:val="000000"/>
        </w:rPr>
      </w:pPr>
    </w:p>
    <w:p w:rsidR="00D17019" w:rsidRPr="0050505B" w:rsidRDefault="00D17019" w:rsidP="00D17019">
      <w:pPr>
        <w:pStyle w:val="BodyText"/>
        <w:widowControl w:val="0"/>
        <w:numPr>
          <w:ilvl w:val="0"/>
          <w:numId w:val="3"/>
        </w:numPr>
        <w:adjustRightInd w:val="0"/>
        <w:rPr>
          <w:rFonts w:ascii="Times New Roman" w:hAnsi="Times New Roman"/>
          <w:color w:val="000000"/>
        </w:rPr>
      </w:pPr>
      <w:r w:rsidRPr="0050505B">
        <w:rPr>
          <w:rFonts w:ascii="Times New Roman" w:hAnsi="Times New Roman"/>
          <w:color w:val="000000"/>
        </w:rPr>
        <w:t>A</w:t>
      </w:r>
      <w:r w:rsidR="005522E7">
        <w:rPr>
          <w:rFonts w:ascii="Times New Roman" w:hAnsi="Times New Roman"/>
          <w:color w:val="000000"/>
        </w:rPr>
        <w:t>llow the</w:t>
      </w:r>
      <w:r w:rsidRPr="0050505B">
        <w:rPr>
          <w:rFonts w:ascii="Times New Roman" w:hAnsi="Times New Roman"/>
          <w:color w:val="000000"/>
        </w:rPr>
        <w:t xml:space="preserve"> staff recommended revised rates as filed by the </w:t>
      </w:r>
      <w:r w:rsidR="006172EA">
        <w:rPr>
          <w:rFonts w:ascii="Times New Roman" w:hAnsi="Times New Roman"/>
          <w:color w:val="000000"/>
        </w:rPr>
        <w:t>Burton Water Company, Inc</w:t>
      </w:r>
      <w:r w:rsidR="006172EA" w:rsidRPr="0050505B">
        <w:rPr>
          <w:rFonts w:ascii="Times New Roman" w:hAnsi="Times New Roman"/>
          <w:color w:val="000000"/>
        </w:rPr>
        <w:t>.</w:t>
      </w:r>
      <w:r w:rsidR="006172EA">
        <w:rPr>
          <w:rFonts w:ascii="Times New Roman" w:hAnsi="Times New Roman"/>
          <w:color w:val="000000"/>
        </w:rPr>
        <w:t>,</w:t>
      </w:r>
      <w:r w:rsidRPr="0050505B">
        <w:rPr>
          <w:rFonts w:ascii="Times New Roman" w:hAnsi="Times New Roman"/>
          <w:color w:val="000000"/>
        </w:rPr>
        <w:t xml:space="preserve"> on </w:t>
      </w:r>
      <w:r w:rsidR="00DC1703">
        <w:rPr>
          <w:rFonts w:ascii="Times New Roman" w:hAnsi="Times New Roman"/>
          <w:color w:val="000000"/>
        </w:rPr>
        <w:t>January 3</w:t>
      </w:r>
      <w:r w:rsidRPr="0050505B">
        <w:rPr>
          <w:rFonts w:ascii="Times New Roman" w:hAnsi="Times New Roman"/>
          <w:color w:val="000000"/>
        </w:rPr>
        <w:t>, 20</w:t>
      </w:r>
      <w:r w:rsidR="00825E62">
        <w:rPr>
          <w:rFonts w:ascii="Times New Roman" w:hAnsi="Times New Roman"/>
          <w:color w:val="000000"/>
        </w:rPr>
        <w:t>1</w:t>
      </w:r>
      <w:r w:rsidR="00DC1703">
        <w:rPr>
          <w:rFonts w:ascii="Times New Roman" w:hAnsi="Times New Roman"/>
          <w:color w:val="000000"/>
        </w:rPr>
        <w:t>1</w:t>
      </w:r>
      <w:r w:rsidRPr="0050505B">
        <w:rPr>
          <w:rFonts w:ascii="Times New Roman" w:hAnsi="Times New Roman"/>
          <w:color w:val="000000"/>
        </w:rPr>
        <w:t xml:space="preserve">, to become effective </w:t>
      </w:r>
      <w:r w:rsidR="00402DBF">
        <w:rPr>
          <w:rFonts w:ascii="Times New Roman" w:hAnsi="Times New Roman"/>
          <w:color w:val="000000"/>
        </w:rPr>
        <w:t xml:space="preserve">on </w:t>
      </w:r>
      <w:r w:rsidR="00DC1703">
        <w:rPr>
          <w:rFonts w:ascii="Times New Roman" w:hAnsi="Times New Roman"/>
          <w:color w:val="000000"/>
        </w:rPr>
        <w:t>February 26</w:t>
      </w:r>
      <w:r w:rsidRPr="0050505B">
        <w:rPr>
          <w:rFonts w:ascii="Times New Roman" w:hAnsi="Times New Roman"/>
          <w:color w:val="000000"/>
        </w:rPr>
        <w:t>, 20</w:t>
      </w:r>
      <w:r w:rsidR="00825E62">
        <w:rPr>
          <w:rFonts w:ascii="Times New Roman" w:hAnsi="Times New Roman"/>
          <w:color w:val="000000"/>
        </w:rPr>
        <w:t>11</w:t>
      </w:r>
      <w:r w:rsidR="00657E06">
        <w:rPr>
          <w:rFonts w:ascii="Times New Roman" w:hAnsi="Times New Roman"/>
          <w:color w:val="000000"/>
        </w:rPr>
        <w:t>,</w:t>
      </w:r>
      <w:r w:rsidR="00DC1703">
        <w:rPr>
          <w:rFonts w:ascii="Times New Roman" w:hAnsi="Times New Roman"/>
          <w:color w:val="000000"/>
        </w:rPr>
        <w:t xml:space="preserve"> on a permanent basis</w:t>
      </w:r>
      <w:r w:rsidRPr="0050505B">
        <w:rPr>
          <w:rFonts w:ascii="Times New Roman" w:hAnsi="Times New Roman"/>
          <w:color w:val="000000"/>
        </w:rPr>
        <w:t>.</w:t>
      </w:r>
    </w:p>
    <w:p w:rsidR="004D7E01" w:rsidRPr="004D7E01" w:rsidRDefault="004D7E01" w:rsidP="00D17019">
      <w:pPr>
        <w:widowControl w:val="0"/>
        <w:autoSpaceDE w:val="0"/>
        <w:autoSpaceDN w:val="0"/>
        <w:adjustRightInd w:val="0"/>
        <w:rPr>
          <w:color w:val="000000"/>
          <w:sz w:val="22"/>
          <w:szCs w:val="22"/>
          <w:lang w:bidi="ar-SA"/>
        </w:rPr>
      </w:pPr>
    </w:p>
    <w:p w:rsidR="00154718" w:rsidRPr="00935AF2" w:rsidRDefault="00D17019" w:rsidP="00BE5610">
      <w:pPr>
        <w:rPr>
          <w:b/>
          <w:u w:val="single"/>
        </w:rPr>
      </w:pPr>
      <w:r>
        <w:rPr>
          <w:b/>
          <w:u w:val="single"/>
        </w:rPr>
        <w:t>Background</w:t>
      </w:r>
    </w:p>
    <w:p w:rsidR="00154718" w:rsidRPr="00EB4CE3" w:rsidRDefault="00154718" w:rsidP="00BE5610"/>
    <w:p w:rsidR="00AD3DD8" w:rsidRDefault="00DD65A6" w:rsidP="008C168F">
      <w:r>
        <w:rPr>
          <w:color w:val="000000"/>
        </w:rPr>
        <w:t xml:space="preserve">On </w:t>
      </w:r>
      <w:r w:rsidR="00002F08">
        <w:rPr>
          <w:color w:val="000000"/>
        </w:rPr>
        <w:t>October 20</w:t>
      </w:r>
      <w:r>
        <w:rPr>
          <w:color w:val="000000"/>
        </w:rPr>
        <w:t xml:space="preserve">, </w:t>
      </w:r>
      <w:r w:rsidR="00705164">
        <w:rPr>
          <w:color w:val="000000"/>
        </w:rPr>
        <w:t>2010</w:t>
      </w:r>
      <w:r>
        <w:rPr>
          <w:color w:val="000000"/>
        </w:rPr>
        <w:t xml:space="preserve">, </w:t>
      </w:r>
      <w:r w:rsidR="00002F08">
        <w:t>Burton Water Company</w:t>
      </w:r>
      <w:r w:rsidR="00187E0D">
        <w:t xml:space="preserve">, </w:t>
      </w:r>
      <w:r w:rsidR="00C272A0">
        <w:t>Inc.</w:t>
      </w:r>
      <w:r>
        <w:t xml:space="preserve"> (</w:t>
      </w:r>
      <w:r w:rsidR="00002F08">
        <w:t>Burton</w:t>
      </w:r>
      <w:r w:rsidR="00187E0D">
        <w:t xml:space="preserve"> Water</w:t>
      </w:r>
      <w:r>
        <w:t xml:space="preserve"> or company</w:t>
      </w:r>
      <w:r w:rsidR="00A201C0">
        <w:t>)</w:t>
      </w:r>
      <w:r w:rsidR="00D0403B">
        <w:t>,</w:t>
      </w:r>
      <w:r w:rsidR="00A201C0">
        <w:t xml:space="preserve"> filed</w:t>
      </w:r>
      <w:r>
        <w:t xml:space="preserve"> </w:t>
      </w:r>
      <w:r w:rsidR="008C168F">
        <w:t>t</w:t>
      </w:r>
      <w:r w:rsidR="008C168F" w:rsidRPr="008C168F">
        <w:rPr>
          <w:rFonts w:eastAsia="Times New Roman"/>
          <w:lang w:bidi="ar-SA"/>
        </w:rPr>
        <w:t>ariff revision</w:t>
      </w:r>
      <w:r w:rsidR="00657E06">
        <w:rPr>
          <w:rFonts w:eastAsia="Times New Roman"/>
          <w:lang w:bidi="ar-SA"/>
        </w:rPr>
        <w:t>s</w:t>
      </w:r>
      <w:r w:rsidR="008C168F" w:rsidRPr="008C168F">
        <w:rPr>
          <w:rFonts w:eastAsia="Times New Roman"/>
          <w:lang w:bidi="ar-SA"/>
        </w:rPr>
        <w:t xml:space="preserve"> to </w:t>
      </w:r>
      <w:r w:rsidR="00B84E56">
        <w:rPr>
          <w:rFonts w:eastAsia="Times New Roman"/>
          <w:lang w:bidi="ar-SA"/>
        </w:rPr>
        <w:t xml:space="preserve">its </w:t>
      </w:r>
      <w:r w:rsidR="006E3B58">
        <w:rPr>
          <w:rFonts w:eastAsia="Times New Roman"/>
          <w:lang w:bidi="ar-SA"/>
        </w:rPr>
        <w:t>currently effective tariff</w:t>
      </w:r>
      <w:r w:rsidR="00863543">
        <w:rPr>
          <w:rFonts w:eastAsia="Times New Roman"/>
          <w:lang w:bidi="ar-SA"/>
        </w:rPr>
        <w:t xml:space="preserve"> that </w:t>
      </w:r>
      <w:r w:rsidR="00863543" w:rsidRPr="00863543">
        <w:rPr>
          <w:rFonts w:eastAsia="Times New Roman"/>
          <w:lang w:bidi="ar-SA"/>
        </w:rPr>
        <w:t xml:space="preserve">would generate </w:t>
      </w:r>
      <w:r w:rsidR="00CC4FE2" w:rsidRPr="00407C80">
        <w:t>$</w:t>
      </w:r>
      <w:r w:rsidR="00002F08">
        <w:t>58,785</w:t>
      </w:r>
      <w:r w:rsidR="00CC4FE2" w:rsidRPr="00407C80">
        <w:t xml:space="preserve"> (</w:t>
      </w:r>
      <w:r w:rsidR="00002F08">
        <w:t>38.2</w:t>
      </w:r>
      <w:r w:rsidR="00CC4FE2" w:rsidRPr="00407C80">
        <w:t xml:space="preserve"> percent) </w:t>
      </w:r>
      <w:r w:rsidR="008B479D">
        <w:t xml:space="preserve">in </w:t>
      </w:r>
      <w:r w:rsidR="00863543">
        <w:t>additional annual revenue</w:t>
      </w:r>
      <w:r w:rsidR="00CC4FE2" w:rsidRPr="00407C80">
        <w:t xml:space="preserve">. </w:t>
      </w:r>
      <w:r w:rsidR="00451AF9">
        <w:t xml:space="preserve">The </w:t>
      </w:r>
      <w:r w:rsidR="00D96246">
        <w:t>stat</w:t>
      </w:r>
      <w:r w:rsidR="00451AF9">
        <w:t xml:space="preserve">ed effective date is </w:t>
      </w:r>
      <w:r w:rsidR="00002F08">
        <w:t>November</w:t>
      </w:r>
      <w:r w:rsidR="00451AF9">
        <w:t xml:space="preserve"> </w:t>
      </w:r>
      <w:r w:rsidR="00187E0D">
        <w:t>20</w:t>
      </w:r>
      <w:r w:rsidR="00451AF9">
        <w:t xml:space="preserve">, 2010. The filing was prompted by </w:t>
      </w:r>
      <w:r w:rsidR="00002F08">
        <w:t xml:space="preserve">revenues falling below the level projected in the last rate case, </w:t>
      </w:r>
      <w:r w:rsidR="00C272A0">
        <w:t>cost</w:t>
      </w:r>
      <w:r w:rsidR="00D4026A">
        <w:t>s</w:t>
      </w:r>
      <w:r w:rsidR="00C272A0">
        <w:t xml:space="preserve"> associated with </w:t>
      </w:r>
      <w:r w:rsidR="00002F08">
        <w:t>replac</w:t>
      </w:r>
      <w:r w:rsidR="00C272A0">
        <w:t>ing</w:t>
      </w:r>
      <w:r w:rsidR="00002F08">
        <w:t xml:space="preserve"> computers and billing software</w:t>
      </w:r>
      <w:r w:rsidR="00C272A0">
        <w:t>,</w:t>
      </w:r>
      <w:r w:rsidR="00002F08">
        <w:t xml:space="preserve"> and </w:t>
      </w:r>
      <w:r w:rsidR="00C272A0">
        <w:t xml:space="preserve">increased </w:t>
      </w:r>
      <w:r w:rsidR="00002F08">
        <w:t>fee</w:t>
      </w:r>
      <w:r w:rsidR="00C272A0">
        <w:t>s</w:t>
      </w:r>
      <w:r w:rsidR="00002F08">
        <w:t xml:space="preserve"> </w:t>
      </w:r>
      <w:r w:rsidR="00C272A0">
        <w:t xml:space="preserve">charged </w:t>
      </w:r>
      <w:r w:rsidR="00002F08">
        <w:t xml:space="preserve">by regulating agencies. The company </w:t>
      </w:r>
      <w:r w:rsidR="00C272A0">
        <w:t xml:space="preserve">proposes </w:t>
      </w:r>
      <w:r w:rsidR="00002F08">
        <w:t>to increase base meter charge</w:t>
      </w:r>
      <w:r w:rsidR="00B3307B">
        <w:t>s</w:t>
      </w:r>
      <w:r w:rsidR="00002F08">
        <w:t xml:space="preserve"> and </w:t>
      </w:r>
      <w:r w:rsidR="00C272A0">
        <w:t xml:space="preserve">the </w:t>
      </w:r>
      <w:r w:rsidR="00002F08">
        <w:t xml:space="preserve">ready-to-serve charge. The company </w:t>
      </w:r>
      <w:r w:rsidR="00002F08" w:rsidRPr="00DE3D12">
        <w:t xml:space="preserve">serves </w:t>
      </w:r>
      <w:r w:rsidR="00002F08">
        <w:t>415</w:t>
      </w:r>
      <w:r w:rsidR="00002F08" w:rsidRPr="00DE3D12">
        <w:t xml:space="preserve"> c</w:t>
      </w:r>
      <w:r w:rsidR="00002F08">
        <w:t>ustomer</w:t>
      </w:r>
      <w:r w:rsidR="00002F08" w:rsidRPr="00DE3D12">
        <w:t xml:space="preserve">s </w:t>
      </w:r>
      <w:r w:rsidR="00002F08">
        <w:t>on Vashon Island,</w:t>
      </w:r>
      <w:r w:rsidR="00002F08" w:rsidRPr="00DE3D12">
        <w:t xml:space="preserve"> in </w:t>
      </w:r>
      <w:r w:rsidR="00002F08">
        <w:t>King</w:t>
      </w:r>
      <w:r w:rsidR="00002F08" w:rsidRPr="00DE3D12">
        <w:t xml:space="preserve"> County.</w:t>
      </w:r>
      <w:r w:rsidR="00002F08" w:rsidRPr="00DE3D12">
        <w:rPr>
          <w:color w:val="000000"/>
        </w:rPr>
        <w:t xml:space="preserve"> </w:t>
      </w:r>
      <w:r w:rsidR="00002F08" w:rsidRPr="00DE3D12">
        <w:t>The company</w:t>
      </w:r>
      <w:r w:rsidR="00002F08">
        <w:t>’s</w:t>
      </w:r>
      <w:r w:rsidR="00002F08" w:rsidRPr="00DE3D12">
        <w:t xml:space="preserve"> </w:t>
      </w:r>
      <w:r w:rsidR="00002F08">
        <w:t>last general rate increase was February 1, 2010.</w:t>
      </w:r>
    </w:p>
    <w:p w:rsidR="00D17019" w:rsidRDefault="00D17019" w:rsidP="008C168F"/>
    <w:p w:rsidR="00D17019" w:rsidRDefault="00D17019"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505B">
        <w:t xml:space="preserve">On </w:t>
      </w:r>
      <w:r>
        <w:t>November 10</w:t>
      </w:r>
      <w:r w:rsidRPr="0050505B">
        <w:t>, 20</w:t>
      </w:r>
      <w:r>
        <w:t>1</w:t>
      </w:r>
      <w:r w:rsidRPr="0050505B">
        <w:t xml:space="preserve">0, the commission issued a complaint and order suspending the proposed tariff revisions filed by the company on </w:t>
      </w:r>
      <w:r w:rsidR="00825E62">
        <w:t>October</w:t>
      </w:r>
      <w:r w:rsidR="00887299">
        <w:t xml:space="preserve"> 20</w:t>
      </w:r>
      <w:r w:rsidRPr="0050505B">
        <w:t>, 20</w:t>
      </w:r>
      <w:r w:rsidR="00887299">
        <w:t>1</w:t>
      </w:r>
      <w:r w:rsidRPr="0050505B">
        <w:t>0.</w:t>
      </w:r>
    </w:p>
    <w:p w:rsidR="00DC1703" w:rsidRDefault="00DC1703" w:rsidP="00887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D5576" w:rsidRDefault="000D5576" w:rsidP="000D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505B">
        <w:t>After review and discussions, staff and the company agreed to a revised revenue requirement of $</w:t>
      </w:r>
      <w:r>
        <w:t>50</w:t>
      </w:r>
      <w:r w:rsidRPr="0050505B">
        <w:t>,1</w:t>
      </w:r>
      <w:r>
        <w:t>62</w:t>
      </w:r>
      <w:r w:rsidRPr="0050505B">
        <w:t xml:space="preserve"> (</w:t>
      </w:r>
      <w:r>
        <w:t>31.8</w:t>
      </w:r>
      <w:r w:rsidRPr="0050505B">
        <w:t xml:space="preserve"> percent) in additional annual revenue and revised rates. On </w:t>
      </w:r>
      <w:r>
        <w:t>January 3</w:t>
      </w:r>
      <w:r w:rsidRPr="0050505B">
        <w:t>, 20</w:t>
      </w:r>
      <w:r>
        <w:t>11</w:t>
      </w:r>
      <w:r w:rsidRPr="0050505B">
        <w:t>, the company filed revised rates at staff recommended levels.</w:t>
      </w:r>
      <w:r>
        <w:t xml:space="preserve"> Staff and the company agreed to a January 21, 2011, effective date to coincide with the company’s normal billing cycle.</w:t>
      </w:r>
    </w:p>
    <w:p w:rsidR="003E4C9E" w:rsidRDefault="003E4C9E" w:rsidP="000D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E4C9E" w:rsidRPr="0050505B" w:rsidRDefault="003E4C9E" w:rsidP="000D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Staff’s review of </w:t>
      </w:r>
      <w:r w:rsidRPr="005A39A1">
        <w:rPr>
          <w:bCs/>
        </w:rPr>
        <w:t>Burton</w:t>
      </w:r>
      <w:r>
        <w:t>’</w:t>
      </w:r>
      <w:r w:rsidRPr="00407C80">
        <w:t xml:space="preserve">s books, records and supporting documents </w:t>
      </w:r>
      <w:r>
        <w:t xml:space="preserve">shows a large portion of the rate increase resulted from additional investment in plant, which increased rate base by $185,136, increased depreciation by </w:t>
      </w:r>
      <w:r w:rsidRPr="00DB0EF5">
        <w:t>$</w:t>
      </w:r>
      <w:r>
        <w:t xml:space="preserve">4,623, increased interest by $12,222, and increased return on equity by </w:t>
      </w:r>
      <w:r w:rsidRPr="00DB0EF5">
        <w:t>$</w:t>
      </w:r>
      <w:r>
        <w:t>6,458. Expense increases included increased repair, materials and supplies of about $4,900, increased amortization of rate case costs of about $4,900, and increased federal and state taxes by about $3,300. Staff</w:t>
      </w:r>
      <w:r w:rsidRPr="00407C80">
        <w:t xml:space="preserve"> concluded </w:t>
      </w:r>
      <w:r>
        <w:t xml:space="preserve">that </w:t>
      </w:r>
      <w:r w:rsidRPr="005A39A1">
        <w:rPr>
          <w:bCs/>
        </w:rPr>
        <w:t>Burton</w:t>
      </w:r>
      <w:r w:rsidRPr="00407C80">
        <w:t xml:space="preserve"> has a revenue deficiency of $</w:t>
      </w:r>
      <w:r>
        <w:t>50,162</w:t>
      </w:r>
      <w:r w:rsidRPr="00407C80">
        <w:t xml:space="preserve"> </w:t>
      </w:r>
      <w:r>
        <w:t>(31.8</w:t>
      </w:r>
      <w:r w:rsidRPr="00407C80">
        <w:t xml:space="preserve"> percent</w:t>
      </w:r>
      <w:r>
        <w:t>)</w:t>
      </w:r>
      <w:r w:rsidRPr="00407C80">
        <w:t>.</w:t>
      </w:r>
    </w:p>
    <w:p w:rsidR="000D5576" w:rsidRDefault="000D5576" w:rsidP="000D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D5576" w:rsidRDefault="000D5576" w:rsidP="000D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505B">
        <w:t xml:space="preserve">Staff’s revised rate design is different from the </w:t>
      </w:r>
      <w:r>
        <w:t>proposed</w:t>
      </w:r>
      <w:r w:rsidRPr="0050505B">
        <w:t xml:space="preserve"> </w:t>
      </w:r>
      <w:r>
        <w:t xml:space="preserve">rate design the company filed with the commission and noticed </w:t>
      </w:r>
      <w:r w:rsidRPr="0050505B">
        <w:t xml:space="preserve">to customers. </w:t>
      </w:r>
      <w:r>
        <w:t xml:space="preserve">The company proposed to increase only the base change. </w:t>
      </w:r>
      <w:r w:rsidRPr="0050505B">
        <w:t xml:space="preserve">Staff’s revised rate design </w:t>
      </w:r>
      <w:r>
        <w:t>includes a small increase in the base meter charge and the ready-to-</w:t>
      </w:r>
      <w:r>
        <w:lastRenderedPageBreak/>
        <w:t xml:space="preserve">serve charge, and lowers </w:t>
      </w:r>
      <w:r w:rsidRPr="0050505B">
        <w:t>the water usage blocks</w:t>
      </w:r>
      <w:r>
        <w:t>. This rate design shifts more revenue to water usage</w:t>
      </w:r>
      <w:r w:rsidRPr="00B06D4C">
        <w:t xml:space="preserve"> </w:t>
      </w:r>
      <w:r>
        <w:t>and helps to promote conservation.</w:t>
      </w:r>
    </w:p>
    <w:p w:rsidR="00A60967" w:rsidRDefault="00A60967" w:rsidP="00A60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60967" w:rsidRDefault="00A60967" w:rsidP="00A60967">
      <w:r>
        <w:t>On January 13, 2011, t</w:t>
      </w:r>
      <w:r w:rsidRPr="00407C80">
        <w:t xml:space="preserve">he </w:t>
      </w:r>
      <w:r w:rsidR="002F187C">
        <w:t>c</w:t>
      </w:r>
      <w:r>
        <w:t>ommission</w:t>
      </w:r>
      <w:r w:rsidRPr="00407C80">
        <w:t xml:space="preserve"> </w:t>
      </w:r>
      <w:r w:rsidR="005522E7" w:rsidRPr="001D1CB5">
        <w:t xml:space="preserve">found it reasonable, based on </w:t>
      </w:r>
      <w:r w:rsidR="002F187C">
        <w:t>s</w:t>
      </w:r>
      <w:r w:rsidR="005522E7" w:rsidRPr="001D1CB5">
        <w:t>taff’s analysis, to a</w:t>
      </w:r>
      <w:r w:rsidR="005522E7">
        <w:t>llow</w:t>
      </w:r>
      <w:r w:rsidR="005522E7" w:rsidRPr="001D1CB5">
        <w:t xml:space="preserve"> the revised rates to become effective </w:t>
      </w:r>
      <w:r w:rsidR="00C34B7F">
        <w:t>January</w:t>
      </w:r>
      <w:r w:rsidR="005522E7">
        <w:t xml:space="preserve"> </w:t>
      </w:r>
      <w:r w:rsidR="00C34B7F">
        <w:t>2</w:t>
      </w:r>
      <w:r w:rsidR="005522E7">
        <w:t>1, 2011</w:t>
      </w:r>
      <w:r w:rsidR="005522E7" w:rsidRPr="001D1CB5">
        <w:t>, on a temporary basis, subject to refund. The commission suspended the revised rates to give customers notice of, and an opportunity to comment on, the revised rates. Allowing the revised rates to become effective on a temporary basis, subject to refund, protects both the customers and the company. It protects the customers by providing a refund if the commission sets lower permanent rates. It protects the company b</w:t>
      </w:r>
      <w:r w:rsidR="002F187C">
        <w:t>y</w:t>
      </w:r>
      <w:r w:rsidR="005522E7" w:rsidRPr="001D1CB5">
        <w:t xml:space="preserve"> ensuring the company receives the revenue it needs to cover reasonable operating expenses and the opportunity to earn a reasonable return. </w:t>
      </w:r>
      <w:r w:rsidRPr="00407C80">
        <w:t xml:space="preserve">The </w:t>
      </w:r>
      <w:r w:rsidR="00F62005">
        <w:t>c</w:t>
      </w:r>
      <w:r>
        <w:t>ommission</w:t>
      </w:r>
      <w:r w:rsidRPr="00407C80">
        <w:t xml:space="preserve"> may hold public hearings to determine whether the proposed </w:t>
      </w:r>
      <w:r>
        <w:rPr>
          <w:noProof/>
        </w:rPr>
        <w:t>changes are</w:t>
      </w:r>
      <w:r w:rsidRPr="00407C80">
        <w:t xml:space="preserve"> fair, just, reasonable and sufficient.</w:t>
      </w:r>
    </w:p>
    <w:p w:rsidR="00887299" w:rsidRDefault="00887299" w:rsidP="000D5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87299" w:rsidRPr="00887299" w:rsidRDefault="00887299" w:rsidP="00D17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87299">
        <w:rPr>
          <w:b/>
          <w:u w:val="single"/>
        </w:rPr>
        <w:t>Discussion</w:t>
      </w:r>
    </w:p>
    <w:p w:rsidR="00887299" w:rsidRDefault="00887299" w:rsidP="00887299">
      <w:pPr>
        <w:pStyle w:val="BodyText"/>
        <w:rPr>
          <w:rFonts w:ascii="Times New Roman" w:hAnsi="Times New Roman"/>
          <w:color w:val="000000"/>
          <w:u w:val="single"/>
        </w:rPr>
      </w:pPr>
    </w:p>
    <w:p w:rsidR="000D5576" w:rsidRPr="000D5576" w:rsidRDefault="000D5576" w:rsidP="00887299">
      <w:pPr>
        <w:pStyle w:val="BodyText"/>
        <w:rPr>
          <w:rFonts w:ascii="Times New Roman" w:hAnsi="Times New Roman"/>
          <w:color w:val="000000"/>
          <w:u w:val="single"/>
        </w:rPr>
      </w:pPr>
      <w:r w:rsidRPr="000D5576">
        <w:rPr>
          <w:rFonts w:ascii="Times New Roman" w:hAnsi="Times New Roman"/>
          <w:color w:val="000000"/>
          <w:u w:val="single"/>
        </w:rPr>
        <w:t>Customer Notice</w:t>
      </w:r>
    </w:p>
    <w:p w:rsidR="00887299" w:rsidRDefault="000D5576" w:rsidP="00BE5610">
      <w:r>
        <w:t>After discussions at the open meeting held January 13, 2011, it was determined that customers should receive an additional notice. This notice was prompted by the large difference in the rate design customers were noticed of on October 20, 2010</w:t>
      </w:r>
      <w:r w:rsidR="006E5A66">
        <w:t>,</w:t>
      </w:r>
      <w:r w:rsidR="00657E06">
        <w:t xml:space="preserve"> and staff’s revised rates</w:t>
      </w:r>
      <w:r>
        <w:t xml:space="preserve">. The company agreed and an additional notice was sent on January </w:t>
      </w:r>
      <w:r w:rsidR="0046482C">
        <w:t>19</w:t>
      </w:r>
      <w:r>
        <w:t>, 2011, to all customers of the company.</w:t>
      </w:r>
    </w:p>
    <w:p w:rsidR="000D5576" w:rsidRDefault="000D5576" w:rsidP="00BE5610"/>
    <w:p w:rsidR="00AD67EF" w:rsidRDefault="00AD67EF" w:rsidP="00AD67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8" w:lineRule="auto"/>
        <w:rPr>
          <w:rFonts w:eastAsia="Times New Roman"/>
          <w:u w:val="single"/>
          <w:lang w:bidi="ar-SA"/>
        </w:rPr>
      </w:pPr>
      <w:r>
        <w:rPr>
          <w:rFonts w:eastAsia="Times New Roman"/>
          <w:u w:val="single"/>
          <w:lang w:bidi="ar-SA"/>
        </w:rPr>
        <w:t xml:space="preserve">Customer Comments </w:t>
      </w:r>
    </w:p>
    <w:p w:rsidR="00AD67EF" w:rsidRDefault="00AD67EF" w:rsidP="00AD67EF">
      <w:r>
        <w:t xml:space="preserve">On October 20, 2010, the company notified its customers of the proposed rate increase by mail. </w:t>
      </w:r>
    </w:p>
    <w:p w:rsidR="00AD67EF" w:rsidRDefault="00AD67EF" w:rsidP="00AD67EF">
      <w:r>
        <w:t xml:space="preserve">Two customer comments were received, both opposed to the proposed increase. On January </w:t>
      </w:r>
      <w:r w:rsidR="00F62005">
        <w:t>19</w:t>
      </w:r>
      <w:r>
        <w:t>, 2011, the company sent a new notice to customers with staff’s revised rates and rate design. The commission received one more comment. Please note that customers often address several issues of concern within one comment. Therefore, subtotals may not equal the total number of comments submitted.</w:t>
      </w:r>
    </w:p>
    <w:p w:rsidR="00AD67EF" w:rsidRDefault="00AD67EF" w:rsidP="00AD67EF"/>
    <w:p w:rsidR="00AD67EF" w:rsidRDefault="00AD67EF" w:rsidP="00AD67EF">
      <w:pPr>
        <w:rPr>
          <w:b/>
        </w:rPr>
      </w:pPr>
      <w:r>
        <w:rPr>
          <w:b/>
        </w:rPr>
        <w:t>Business Practices</w:t>
      </w:r>
    </w:p>
    <w:p w:rsidR="00AD67EF" w:rsidRDefault="00AD67EF" w:rsidP="00AD67EF">
      <w:pPr>
        <w:pStyle w:val="ListParagraph"/>
        <w:numPr>
          <w:ilvl w:val="0"/>
          <w:numId w:val="17"/>
        </w:numPr>
        <w:rPr>
          <w:b/>
        </w:rPr>
      </w:pPr>
      <w:r>
        <w:t>Some customers are required to have one inch meters for indoor fire sprinkler systems. Why should they have to pay more than customers with ¾ inch meters?</w:t>
      </w:r>
    </w:p>
    <w:p w:rsidR="00AD67EF" w:rsidRDefault="00AD67EF" w:rsidP="00AD67EF">
      <w:pPr>
        <w:rPr>
          <w:b/>
        </w:rPr>
      </w:pPr>
    </w:p>
    <w:p w:rsidR="00AD67EF" w:rsidRDefault="00AD67EF" w:rsidP="00AD67EF">
      <w:pPr>
        <w:ind w:left="720"/>
        <w:rPr>
          <w:b/>
        </w:rPr>
      </w:pPr>
      <w:r>
        <w:rPr>
          <w:b/>
        </w:rPr>
        <w:t>Staff Response</w:t>
      </w:r>
    </w:p>
    <w:p w:rsidR="00AD67EF" w:rsidRDefault="00AD67EF" w:rsidP="00AD67EF">
      <w:pPr>
        <w:ind w:left="720"/>
      </w:pPr>
      <w:r>
        <w:t>One inch meters have the potential to use more water and take up a larger portion of the system’s capacity. The difference in the base rate between meter sizes is proportional to the potential usage.</w:t>
      </w:r>
    </w:p>
    <w:p w:rsidR="00AD67EF" w:rsidRDefault="00AD67EF" w:rsidP="00AD67EF">
      <w:pPr>
        <w:ind w:left="720"/>
      </w:pPr>
    </w:p>
    <w:p w:rsidR="00AD67EF" w:rsidRDefault="00AD67EF" w:rsidP="00AD67EF">
      <w:pPr>
        <w:pStyle w:val="ListParagraph"/>
        <w:numPr>
          <w:ilvl w:val="0"/>
          <w:numId w:val="17"/>
        </w:numPr>
      </w:pPr>
      <w:r>
        <w:t>The only fair way to bill for water is to bill only for the water used by each customer.</w:t>
      </w:r>
    </w:p>
    <w:p w:rsidR="00AD67EF" w:rsidRDefault="00AD67EF" w:rsidP="00AD67EF"/>
    <w:p w:rsidR="00AD67EF" w:rsidRDefault="00AD67EF" w:rsidP="00AD67EF">
      <w:pPr>
        <w:ind w:left="720"/>
        <w:rPr>
          <w:b/>
        </w:rPr>
      </w:pPr>
      <w:r>
        <w:rPr>
          <w:b/>
        </w:rPr>
        <w:t>Staff Response</w:t>
      </w:r>
    </w:p>
    <w:p w:rsidR="00AD67EF" w:rsidRDefault="00AD67EF" w:rsidP="00AD67EF">
      <w:pPr>
        <w:ind w:left="720"/>
      </w:pPr>
      <w:r>
        <w:t>Companies have fixed costs that do not vary according to water usage. The base rate is necessary in part to ensure that companies can recover fixed costs.</w:t>
      </w:r>
    </w:p>
    <w:p w:rsidR="00AD67EF" w:rsidRDefault="00AD67EF" w:rsidP="00AD67EF">
      <w:pPr>
        <w:ind w:left="720"/>
      </w:pPr>
    </w:p>
    <w:p w:rsidR="006172EA" w:rsidRDefault="006172EA">
      <w:pPr>
        <w:rPr>
          <w:b/>
        </w:rPr>
      </w:pPr>
      <w:r>
        <w:rPr>
          <w:b/>
        </w:rPr>
        <w:br w:type="page"/>
      </w:r>
    </w:p>
    <w:p w:rsidR="00AD67EF" w:rsidRDefault="00AD67EF" w:rsidP="00AD67EF">
      <w:pPr>
        <w:rPr>
          <w:b/>
        </w:rPr>
      </w:pPr>
      <w:r>
        <w:rPr>
          <w:b/>
        </w:rPr>
        <w:lastRenderedPageBreak/>
        <w:t>General Comment</w:t>
      </w:r>
    </w:p>
    <w:p w:rsidR="006172EA" w:rsidRDefault="006172EA" w:rsidP="00AD67EF"/>
    <w:p w:rsidR="00AD67EF" w:rsidRDefault="00AD67EF" w:rsidP="00AD67EF">
      <w:pPr>
        <w:widowControl w:val="0"/>
        <w:numPr>
          <w:ilvl w:val="0"/>
          <w:numId w:val="12"/>
        </w:numPr>
        <w:tabs>
          <w:tab w:val="left" w:pos="90"/>
        </w:tabs>
        <w:autoSpaceDE w:val="0"/>
        <w:autoSpaceDN w:val="0"/>
        <w:adjustRightInd w:val="0"/>
        <w:ind w:left="720"/>
      </w:pPr>
      <w:r>
        <w:t xml:space="preserve">Two customers believe the amount of the increase is excessive because the company increased rates last February. </w:t>
      </w:r>
    </w:p>
    <w:p w:rsidR="00AD67EF" w:rsidRDefault="00AD67EF" w:rsidP="00AD67EF">
      <w:pPr>
        <w:tabs>
          <w:tab w:val="left" w:pos="90"/>
        </w:tabs>
      </w:pPr>
    </w:p>
    <w:p w:rsidR="00AD67EF" w:rsidRDefault="00AD67EF" w:rsidP="00AD67EF">
      <w:pPr>
        <w:tabs>
          <w:tab w:val="left" w:pos="90"/>
        </w:tabs>
        <w:ind w:left="720"/>
        <w:rPr>
          <w:b/>
        </w:rPr>
      </w:pPr>
      <w:r>
        <w:rPr>
          <w:b/>
        </w:rPr>
        <w:t xml:space="preserve">Staff Response  </w:t>
      </w:r>
    </w:p>
    <w:p w:rsidR="00AD67EF" w:rsidRDefault="00AD67EF" w:rsidP="00AD67EF">
      <w:pPr>
        <w:ind w:left="720"/>
      </w:pPr>
      <w:r>
        <w:t>Customers were advised that state law requires rates to be fair, just, reasonable, and sufficient to allow the company to recover reasonable operating expenses and the opportunity to earn a reasonable return on investment. There are no limitations to the frequency with which a company may submit tariff changes. The company’s last general rate increase was last February. In order to have a rate increase approved by the commission, the company must prove a need for additional income.</w:t>
      </w:r>
    </w:p>
    <w:p w:rsidR="00AD67EF" w:rsidRDefault="00AD67EF" w:rsidP="00AD67EF">
      <w:pPr>
        <w:ind w:left="360"/>
      </w:pPr>
    </w:p>
    <w:p w:rsidR="00AD67EF" w:rsidRDefault="00AD67EF" w:rsidP="00AD67EF">
      <w:pPr>
        <w:numPr>
          <w:ilvl w:val="0"/>
          <w:numId w:val="18"/>
        </w:numPr>
      </w:pPr>
      <w:r>
        <w:t xml:space="preserve">One customer asked if </w:t>
      </w:r>
      <w:r>
        <w:rPr>
          <w:color w:val="000000"/>
          <w:lang w:bidi="ar-SA"/>
        </w:rPr>
        <w:t xml:space="preserve">the company has protested the claimed cost increases for right-of-way permits to King County. This customer </w:t>
      </w:r>
      <w:r>
        <w:t xml:space="preserve">believes the costs for King County right-of-way permits should be charged directly to new home builders and not spread out to all system customers. </w:t>
      </w:r>
    </w:p>
    <w:p w:rsidR="00AD67EF" w:rsidRDefault="00AD67EF" w:rsidP="00AD67EF">
      <w:pPr>
        <w:ind w:left="720"/>
        <w:rPr>
          <w:b/>
        </w:rPr>
      </w:pPr>
    </w:p>
    <w:p w:rsidR="00AD67EF" w:rsidRDefault="00AD67EF" w:rsidP="00AD67EF">
      <w:pPr>
        <w:ind w:left="720"/>
        <w:rPr>
          <w:b/>
        </w:rPr>
      </w:pPr>
      <w:r>
        <w:rPr>
          <w:b/>
        </w:rPr>
        <w:t>Staff Response</w:t>
      </w:r>
    </w:p>
    <w:p w:rsidR="00AD67EF" w:rsidRDefault="00AD67EF" w:rsidP="00AD67EF">
      <w:pPr>
        <w:ind w:left="720"/>
      </w:pPr>
      <w:r>
        <w:t xml:space="preserve">Customer was advised that the company may choose to dispute the costs for </w:t>
      </w:r>
      <w:r>
        <w:rPr>
          <w:lang w:bidi="ar-SA"/>
        </w:rPr>
        <w:t>right-of-way permits to King County</w:t>
      </w:r>
      <w:r>
        <w:t>. Depending on the company’s need and use of a right-of-way permit, the costs may be charged directly to the applicable customer, such as a new home builder, if that customer was the only customer to benefit from the right-of-way. For costs benefitting a widespread group of customers, the cost may be spread to all customers. Staff determines this on a case-by-case basis.</w:t>
      </w:r>
    </w:p>
    <w:p w:rsidR="00AD67EF" w:rsidRDefault="00AD67EF" w:rsidP="00AD67EF">
      <w:pPr>
        <w:tabs>
          <w:tab w:val="left" w:pos="90"/>
        </w:tabs>
        <w:ind w:left="720"/>
      </w:pPr>
    </w:p>
    <w:p w:rsidR="00AD67EF" w:rsidRDefault="00AD67EF" w:rsidP="00AD67EF">
      <w:pPr>
        <w:numPr>
          <w:ilvl w:val="0"/>
          <w:numId w:val="19"/>
        </w:numPr>
      </w:pPr>
      <w:r>
        <w:t>One customer questioned the company’s need for new computers and billing software.</w:t>
      </w:r>
    </w:p>
    <w:p w:rsidR="00AD67EF" w:rsidRDefault="00AD67EF" w:rsidP="00AD67EF"/>
    <w:p w:rsidR="00AD67EF" w:rsidRDefault="00AD67EF" w:rsidP="00AD67EF">
      <w:pPr>
        <w:ind w:left="720"/>
        <w:rPr>
          <w:b/>
        </w:rPr>
      </w:pPr>
      <w:r>
        <w:rPr>
          <w:b/>
        </w:rPr>
        <w:t>Staff Response</w:t>
      </w:r>
    </w:p>
    <w:p w:rsidR="00AD67EF" w:rsidRDefault="00AD67EF" w:rsidP="00AD67EF">
      <w:pPr>
        <w:ind w:left="720"/>
      </w:pPr>
      <w:r>
        <w:t xml:space="preserve">Customer was advised that the company may determine when new computers or new billing software is necessary to perform day-to-day business functions. </w:t>
      </w:r>
    </w:p>
    <w:p w:rsidR="00A60967" w:rsidRPr="006122A9" w:rsidRDefault="00A60967" w:rsidP="0046482C">
      <w:pPr>
        <w:spacing w:line="288" w:lineRule="auto"/>
      </w:pPr>
    </w:p>
    <w:p w:rsidR="006E5A66" w:rsidRDefault="00A60967" w:rsidP="00AB7892">
      <w:r w:rsidRPr="00700895">
        <w:t>A customer using 5</w:t>
      </w:r>
      <w:r>
        <w:t>99</w:t>
      </w:r>
      <w:r w:rsidRPr="00700895">
        <w:t xml:space="preserve"> cubic feet of water per month (the calculated company-wide average </w:t>
      </w:r>
      <w:r>
        <w:t xml:space="preserve">monthly </w:t>
      </w:r>
      <w:r w:rsidRPr="00700895">
        <w:t>water usage) would pay $</w:t>
      </w:r>
      <w:r>
        <w:t>3.66 (11.2</w:t>
      </w:r>
      <w:r w:rsidRPr="00700895">
        <w:t xml:space="preserve"> percent) more per month using the revised rates instead of $</w:t>
      </w:r>
      <w:r>
        <w:t>11.80 (36.3</w:t>
      </w:r>
      <w:r w:rsidRPr="00700895">
        <w:t xml:space="preserve"> percent) more using the original rates proposed by the company (see “Average Bill Comparison” table below).</w:t>
      </w:r>
      <w:r>
        <w:t xml:space="preserve"> The revised rates would result in some increases, as compared to the proposed rates. Customers using more than 1,200 cubic feet per month will pay more using the revised rates than they would have paid using the rates originally proposed by the company. The increases for monthly usage vary up to 57.3 percent greater than the original proposed rates.</w:t>
      </w:r>
    </w:p>
    <w:p w:rsidR="00A23D02" w:rsidRDefault="00A23D02" w:rsidP="00AB7892"/>
    <w:p w:rsidR="00A23D02" w:rsidRDefault="00A23D02" w:rsidP="00AB7892"/>
    <w:p w:rsidR="00A23D02" w:rsidRDefault="00A23D02" w:rsidP="00AB7892"/>
    <w:p w:rsidR="00A23D02" w:rsidRDefault="00A23D02" w:rsidP="00AB7892"/>
    <w:p w:rsidR="009270B9" w:rsidRDefault="00832CE0" w:rsidP="009270B9">
      <w:pPr>
        <w:jc w:val="center"/>
        <w:rPr>
          <w:b/>
          <w:u w:val="single"/>
        </w:rPr>
      </w:pPr>
      <w:r w:rsidRPr="00450175">
        <w:rPr>
          <w:b/>
          <w:u w:val="single"/>
        </w:rPr>
        <w:lastRenderedPageBreak/>
        <w:t>Rate Comparison</w:t>
      </w:r>
    </w:p>
    <w:p w:rsidR="00CA3026" w:rsidRDefault="00CA3026" w:rsidP="009270B9">
      <w:pPr>
        <w:jc w:val="center"/>
        <w:rPr>
          <w:b/>
          <w:u w:val="single"/>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8"/>
        <w:gridCol w:w="1444"/>
        <w:gridCol w:w="1534"/>
        <w:gridCol w:w="1538"/>
      </w:tblGrid>
      <w:tr w:rsidR="00887299" w:rsidRPr="009270B9" w:rsidTr="0012658A">
        <w:tc>
          <w:tcPr>
            <w:tcW w:w="2642" w:type="pct"/>
          </w:tcPr>
          <w:p w:rsidR="006172EA" w:rsidRDefault="006172EA" w:rsidP="009270B9">
            <w:pPr>
              <w:keepNext/>
              <w:widowControl w:val="0"/>
              <w:autoSpaceDE w:val="0"/>
              <w:autoSpaceDN w:val="0"/>
              <w:adjustRightInd w:val="0"/>
              <w:jc w:val="center"/>
              <w:outlineLvl w:val="0"/>
              <w:rPr>
                <w:rFonts w:eastAsia="Times New Roman"/>
                <w:b/>
                <w:lang w:bidi="ar-SA"/>
              </w:rPr>
            </w:pPr>
          </w:p>
          <w:p w:rsidR="00887299" w:rsidRPr="009270B9" w:rsidRDefault="0088729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754" w:type="pct"/>
            <w:vAlign w:val="center"/>
          </w:tcPr>
          <w:p w:rsidR="00887299" w:rsidRPr="009270B9" w:rsidRDefault="0088729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801" w:type="pct"/>
          </w:tcPr>
          <w:p w:rsidR="00887299" w:rsidRPr="009270B9" w:rsidRDefault="00887299" w:rsidP="0088729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803" w:type="pct"/>
          </w:tcPr>
          <w:p w:rsidR="00887299" w:rsidRPr="009270B9" w:rsidRDefault="00887299" w:rsidP="009270B9">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887299" w:rsidRPr="009270B9" w:rsidTr="0012658A">
        <w:tc>
          <w:tcPr>
            <w:tcW w:w="2642" w:type="pct"/>
          </w:tcPr>
          <w:p w:rsidR="00887299" w:rsidRDefault="00887299" w:rsidP="00B56E98">
            <w:pPr>
              <w:keepNext/>
              <w:widowControl w:val="0"/>
              <w:autoSpaceDE w:val="0"/>
              <w:autoSpaceDN w:val="0"/>
              <w:adjustRightInd w:val="0"/>
              <w:outlineLvl w:val="0"/>
              <w:rPr>
                <w:rFonts w:eastAsia="Times New Roman"/>
                <w:lang w:bidi="ar-SA"/>
              </w:rPr>
            </w:pPr>
            <w:r>
              <w:rPr>
                <w:rFonts w:eastAsia="Times New Roman"/>
                <w:lang w:bidi="ar-SA"/>
              </w:rPr>
              <w:t>Ready-to-Serve</w:t>
            </w:r>
          </w:p>
        </w:tc>
        <w:tc>
          <w:tcPr>
            <w:tcW w:w="754" w:type="pct"/>
          </w:tcPr>
          <w:p w:rsidR="00887299" w:rsidRPr="009270B9" w:rsidRDefault="00887299" w:rsidP="00D1701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w:t>
            </w:r>
            <w:r w:rsidRPr="009270B9">
              <w:rPr>
                <w:rFonts w:eastAsia="Times New Roman"/>
                <w:lang w:bidi="ar-SA"/>
              </w:rPr>
              <w:t>.</w:t>
            </w:r>
            <w:r>
              <w:rPr>
                <w:rFonts w:eastAsia="Times New Roman"/>
                <w:lang w:bidi="ar-SA"/>
              </w:rPr>
              <w:t>59</w:t>
            </w:r>
          </w:p>
        </w:tc>
        <w:tc>
          <w:tcPr>
            <w:tcW w:w="801" w:type="pct"/>
          </w:tcPr>
          <w:p w:rsidR="00887299" w:rsidRPr="009270B9" w:rsidRDefault="00887299"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c>
          <w:tcPr>
            <w:tcW w:w="803" w:type="pct"/>
          </w:tcPr>
          <w:p w:rsidR="00887299" w:rsidRPr="009270B9" w:rsidRDefault="00887299" w:rsidP="0077266B">
            <w:pPr>
              <w:widowControl w:val="0"/>
              <w:autoSpaceDE w:val="0"/>
              <w:autoSpaceDN w:val="0"/>
              <w:adjustRightInd w:val="0"/>
              <w:jc w:val="center"/>
              <w:rPr>
                <w:rFonts w:eastAsia="Times New Roman"/>
                <w:lang w:bidi="ar-SA"/>
              </w:rPr>
            </w:pPr>
            <w:r w:rsidRPr="009270B9">
              <w:rPr>
                <w:rFonts w:eastAsia="Times New Roman"/>
                <w:lang w:bidi="ar-SA"/>
              </w:rPr>
              <w:t>$</w:t>
            </w:r>
            <w:r w:rsidR="0077266B">
              <w:rPr>
                <w:rFonts w:eastAsia="Times New Roman"/>
                <w:lang w:bidi="ar-SA"/>
              </w:rPr>
              <w:t>25.25</w:t>
            </w:r>
          </w:p>
        </w:tc>
      </w:tr>
      <w:tr w:rsidR="00887299" w:rsidRPr="009270B9" w:rsidTr="0012658A">
        <w:tc>
          <w:tcPr>
            <w:tcW w:w="2642" w:type="pct"/>
          </w:tcPr>
          <w:p w:rsidR="00887299" w:rsidRPr="009270B9" w:rsidRDefault="00887299" w:rsidP="00C753C6">
            <w:pPr>
              <w:keepNext/>
              <w:widowControl w:val="0"/>
              <w:autoSpaceDE w:val="0"/>
              <w:autoSpaceDN w:val="0"/>
              <w:adjustRightInd w:val="0"/>
              <w:outlineLvl w:val="0"/>
              <w:rPr>
                <w:rFonts w:eastAsia="Times New Roman"/>
                <w:lang w:bidi="ar-SA"/>
              </w:rPr>
            </w:pPr>
            <w:r>
              <w:rPr>
                <w:rFonts w:eastAsia="Times New Roman"/>
                <w:lang w:bidi="ar-SA"/>
              </w:rPr>
              <w:t>Base Rate (3/4 I</w:t>
            </w:r>
            <w:r w:rsidRPr="009270B9">
              <w:rPr>
                <w:rFonts w:eastAsia="Times New Roman"/>
                <w:lang w:bidi="ar-SA"/>
              </w:rPr>
              <w:t xml:space="preserve">nch </w:t>
            </w:r>
            <w:r>
              <w:rPr>
                <w:rFonts w:eastAsia="Times New Roman"/>
                <w:lang w:bidi="ar-SA"/>
              </w:rPr>
              <w:t>M</w:t>
            </w:r>
            <w:r w:rsidRPr="009270B9">
              <w:rPr>
                <w:rFonts w:eastAsia="Times New Roman"/>
                <w:lang w:bidi="ar-SA"/>
              </w:rPr>
              <w:t>eter)</w:t>
            </w:r>
            <w:r w:rsidRPr="0050505B">
              <w:rPr>
                <w:vertAlign w:val="superscript"/>
              </w:rPr>
              <w:t xml:space="preserve"> 1</w:t>
            </w:r>
          </w:p>
        </w:tc>
        <w:tc>
          <w:tcPr>
            <w:tcW w:w="754" w:type="pct"/>
          </w:tcPr>
          <w:p w:rsidR="00887299" w:rsidRPr="009270B9" w:rsidRDefault="00887299" w:rsidP="005A14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w:t>
            </w:r>
            <w:r w:rsidRPr="009270B9">
              <w:rPr>
                <w:rFonts w:eastAsia="Times New Roman"/>
                <w:lang w:bidi="ar-SA"/>
              </w:rPr>
              <w:t>.</w:t>
            </w:r>
            <w:r>
              <w:rPr>
                <w:rFonts w:eastAsia="Times New Roman"/>
                <w:lang w:bidi="ar-SA"/>
              </w:rPr>
              <w:t>59</w:t>
            </w:r>
          </w:p>
        </w:tc>
        <w:tc>
          <w:tcPr>
            <w:tcW w:w="801" w:type="pct"/>
          </w:tcPr>
          <w:p w:rsidR="00887299" w:rsidRPr="009270B9" w:rsidRDefault="00887299"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c>
          <w:tcPr>
            <w:tcW w:w="803" w:type="pct"/>
          </w:tcPr>
          <w:p w:rsidR="00887299" w:rsidRPr="009270B9" w:rsidRDefault="00887299" w:rsidP="00177CFA">
            <w:pPr>
              <w:widowControl w:val="0"/>
              <w:autoSpaceDE w:val="0"/>
              <w:autoSpaceDN w:val="0"/>
              <w:adjustRightInd w:val="0"/>
              <w:jc w:val="center"/>
              <w:rPr>
                <w:rFonts w:eastAsia="Times New Roman"/>
                <w:lang w:bidi="ar-SA"/>
              </w:rPr>
            </w:pPr>
            <w:r w:rsidRPr="009270B9">
              <w:rPr>
                <w:rFonts w:eastAsia="Times New Roman"/>
                <w:lang w:bidi="ar-SA"/>
              </w:rPr>
              <w:t>$</w:t>
            </w:r>
            <w:r w:rsidR="0077266B">
              <w:rPr>
                <w:rFonts w:eastAsia="Times New Roman"/>
                <w:lang w:bidi="ar-SA"/>
              </w:rPr>
              <w:t>25.25</w:t>
            </w:r>
          </w:p>
        </w:tc>
      </w:tr>
      <w:tr w:rsidR="00887299" w:rsidRPr="009270B9" w:rsidTr="0012658A">
        <w:tc>
          <w:tcPr>
            <w:tcW w:w="2642" w:type="pct"/>
          </w:tcPr>
          <w:p w:rsidR="00887299" w:rsidRPr="009270B9" w:rsidRDefault="00887299" w:rsidP="00DC1703">
            <w:pPr>
              <w:widowControl w:val="0"/>
              <w:autoSpaceDE w:val="0"/>
              <w:autoSpaceDN w:val="0"/>
              <w:adjustRightInd w:val="0"/>
              <w:rPr>
                <w:rFonts w:eastAsia="Times New Roman"/>
                <w:lang w:bidi="ar-SA"/>
              </w:rPr>
            </w:pPr>
            <w:r>
              <w:t xml:space="preserve">Usage Block 0 – </w:t>
            </w:r>
            <w:r w:rsidR="00DC1703">
              <w:t>1,0</w:t>
            </w:r>
            <w:r>
              <w:t>00 Cubic Feet</w:t>
            </w:r>
            <w:r w:rsidRPr="0050505B">
              <w:rPr>
                <w:vertAlign w:val="superscript"/>
              </w:rPr>
              <w:t>1,2</w:t>
            </w:r>
          </w:p>
        </w:tc>
        <w:tc>
          <w:tcPr>
            <w:tcW w:w="754" w:type="pct"/>
          </w:tcPr>
          <w:p w:rsidR="00887299" w:rsidRPr="009270B9" w:rsidRDefault="00887299" w:rsidP="00177CFA">
            <w:pPr>
              <w:widowControl w:val="0"/>
              <w:autoSpaceDE w:val="0"/>
              <w:autoSpaceDN w:val="0"/>
              <w:adjustRightInd w:val="0"/>
              <w:jc w:val="center"/>
              <w:rPr>
                <w:rFonts w:eastAsia="Times New Roman"/>
                <w:lang w:bidi="ar-SA"/>
              </w:rPr>
            </w:pPr>
            <w:r>
              <w:rPr>
                <w:rFonts w:eastAsia="Times New Roman"/>
                <w:lang w:bidi="ar-SA"/>
              </w:rPr>
              <w:t>$1.83</w:t>
            </w:r>
          </w:p>
        </w:tc>
        <w:tc>
          <w:tcPr>
            <w:tcW w:w="801" w:type="pct"/>
          </w:tcPr>
          <w:p w:rsidR="00887299" w:rsidRPr="009270B9" w:rsidRDefault="00887299"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c>
          <w:tcPr>
            <w:tcW w:w="803" w:type="pct"/>
          </w:tcPr>
          <w:p w:rsidR="00887299" w:rsidRPr="009270B9" w:rsidRDefault="00887299" w:rsidP="00177CFA">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r>
      <w:tr w:rsidR="00DC1703" w:rsidRPr="009270B9" w:rsidTr="0012658A">
        <w:tc>
          <w:tcPr>
            <w:tcW w:w="2642" w:type="pct"/>
          </w:tcPr>
          <w:p w:rsidR="00DC1703" w:rsidRPr="009270B9" w:rsidRDefault="00DC1703" w:rsidP="00DC1703">
            <w:pPr>
              <w:widowControl w:val="0"/>
              <w:autoSpaceDE w:val="0"/>
              <w:autoSpaceDN w:val="0"/>
              <w:adjustRightInd w:val="0"/>
              <w:rPr>
                <w:rFonts w:eastAsia="Times New Roman"/>
                <w:lang w:bidi="ar-SA"/>
              </w:rPr>
            </w:pPr>
            <w:r>
              <w:t>Usage Block 1,001 – 1,700 Cubic Feet</w:t>
            </w:r>
            <w:r w:rsidRPr="0050505B">
              <w:rPr>
                <w:vertAlign w:val="superscript"/>
              </w:rPr>
              <w:t>1,2</w:t>
            </w:r>
          </w:p>
        </w:tc>
        <w:tc>
          <w:tcPr>
            <w:tcW w:w="754" w:type="pct"/>
          </w:tcPr>
          <w:p w:rsidR="00DC1703" w:rsidRPr="009270B9" w:rsidRDefault="00DC1703" w:rsidP="00DC1703">
            <w:pPr>
              <w:widowControl w:val="0"/>
              <w:autoSpaceDE w:val="0"/>
              <w:autoSpaceDN w:val="0"/>
              <w:adjustRightInd w:val="0"/>
              <w:jc w:val="center"/>
              <w:rPr>
                <w:rFonts w:eastAsia="Times New Roman"/>
                <w:lang w:bidi="ar-SA"/>
              </w:rPr>
            </w:pPr>
            <w:r>
              <w:rPr>
                <w:rFonts w:eastAsia="Times New Roman"/>
                <w:lang w:bidi="ar-SA"/>
              </w:rPr>
              <w:t>$1.83</w:t>
            </w:r>
          </w:p>
        </w:tc>
        <w:tc>
          <w:tcPr>
            <w:tcW w:w="801" w:type="pct"/>
          </w:tcPr>
          <w:p w:rsidR="00DC1703" w:rsidRPr="009270B9" w:rsidRDefault="00DC1703" w:rsidP="00DC170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c>
          <w:tcPr>
            <w:tcW w:w="803" w:type="pct"/>
          </w:tcPr>
          <w:p w:rsidR="00DC1703" w:rsidRPr="009270B9" w:rsidRDefault="00DC1703" w:rsidP="00DC170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4.71</w:t>
            </w:r>
          </w:p>
        </w:tc>
      </w:tr>
      <w:tr w:rsidR="00DC1703" w:rsidRPr="009270B9" w:rsidTr="0012658A">
        <w:tc>
          <w:tcPr>
            <w:tcW w:w="2642" w:type="pct"/>
          </w:tcPr>
          <w:p w:rsidR="00DC1703" w:rsidRPr="009270B9" w:rsidRDefault="00DC1703" w:rsidP="00DC1703">
            <w:pPr>
              <w:widowControl w:val="0"/>
              <w:autoSpaceDE w:val="0"/>
              <w:autoSpaceDN w:val="0"/>
              <w:adjustRightInd w:val="0"/>
              <w:rPr>
                <w:rFonts w:eastAsia="Times New Roman"/>
                <w:lang w:bidi="ar-SA"/>
              </w:rPr>
            </w:pPr>
            <w:r>
              <w:t>Usage Block 1,701 – 2,500 Cubic Feet</w:t>
            </w:r>
            <w:r w:rsidRPr="0050505B">
              <w:rPr>
                <w:vertAlign w:val="superscript"/>
              </w:rPr>
              <w:t>1,2</w:t>
            </w:r>
          </w:p>
        </w:tc>
        <w:tc>
          <w:tcPr>
            <w:tcW w:w="754" w:type="pct"/>
          </w:tcPr>
          <w:p w:rsidR="00DC1703" w:rsidRPr="009270B9" w:rsidRDefault="00DC1703" w:rsidP="00DC1703">
            <w:pPr>
              <w:widowControl w:val="0"/>
              <w:autoSpaceDE w:val="0"/>
              <w:autoSpaceDN w:val="0"/>
              <w:adjustRightInd w:val="0"/>
              <w:jc w:val="center"/>
              <w:rPr>
                <w:rFonts w:eastAsia="Times New Roman"/>
                <w:lang w:bidi="ar-SA"/>
              </w:rPr>
            </w:pPr>
            <w:r>
              <w:rPr>
                <w:rFonts w:eastAsia="Times New Roman"/>
                <w:lang w:bidi="ar-SA"/>
              </w:rPr>
              <w:t>$1.83</w:t>
            </w:r>
          </w:p>
        </w:tc>
        <w:tc>
          <w:tcPr>
            <w:tcW w:w="801" w:type="pct"/>
          </w:tcPr>
          <w:p w:rsidR="00DC1703" w:rsidRPr="009270B9" w:rsidRDefault="00DC1703" w:rsidP="00DC170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1.83</w:t>
            </w:r>
          </w:p>
        </w:tc>
        <w:tc>
          <w:tcPr>
            <w:tcW w:w="803" w:type="pct"/>
          </w:tcPr>
          <w:p w:rsidR="00DC1703" w:rsidRPr="009270B9" w:rsidRDefault="00DC1703" w:rsidP="00DC170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r>
      <w:tr w:rsidR="00DC1703" w:rsidRPr="009270B9" w:rsidTr="0012658A">
        <w:tc>
          <w:tcPr>
            <w:tcW w:w="2642" w:type="pct"/>
          </w:tcPr>
          <w:p w:rsidR="00DC1703" w:rsidRPr="009270B9" w:rsidRDefault="00DC1703" w:rsidP="005A1499">
            <w:pPr>
              <w:widowControl w:val="0"/>
              <w:autoSpaceDE w:val="0"/>
              <w:autoSpaceDN w:val="0"/>
              <w:adjustRightInd w:val="0"/>
              <w:rPr>
                <w:rFonts w:eastAsia="Times New Roman"/>
                <w:lang w:bidi="ar-SA"/>
              </w:rPr>
            </w:pPr>
            <w:r>
              <w:t>Usage Block 2,501 – 5,000 Cubic Feet</w:t>
            </w:r>
            <w:r w:rsidRPr="0050505B">
              <w:rPr>
                <w:vertAlign w:val="superscript"/>
              </w:rPr>
              <w:t>1,2</w:t>
            </w:r>
          </w:p>
        </w:tc>
        <w:tc>
          <w:tcPr>
            <w:tcW w:w="754" w:type="pct"/>
          </w:tcPr>
          <w:p w:rsidR="00DC1703" w:rsidRPr="009270B9" w:rsidRDefault="00DC1703" w:rsidP="005A1499">
            <w:pPr>
              <w:widowControl w:val="0"/>
              <w:autoSpaceDE w:val="0"/>
              <w:autoSpaceDN w:val="0"/>
              <w:adjustRightInd w:val="0"/>
              <w:jc w:val="center"/>
              <w:rPr>
                <w:rFonts w:eastAsia="Times New Roman"/>
                <w:lang w:bidi="ar-SA"/>
              </w:rPr>
            </w:pPr>
            <w:r>
              <w:rPr>
                <w:rFonts w:eastAsia="Times New Roman"/>
                <w:lang w:bidi="ar-SA"/>
              </w:rPr>
              <w:t>$4.71</w:t>
            </w:r>
          </w:p>
        </w:tc>
        <w:tc>
          <w:tcPr>
            <w:tcW w:w="801" w:type="pct"/>
          </w:tcPr>
          <w:p w:rsidR="00DC1703" w:rsidRPr="009270B9" w:rsidRDefault="00DC1703"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4.71</w:t>
            </w:r>
          </w:p>
        </w:tc>
        <w:tc>
          <w:tcPr>
            <w:tcW w:w="803" w:type="pct"/>
          </w:tcPr>
          <w:p w:rsidR="00DC1703" w:rsidRPr="009270B9" w:rsidRDefault="00DC1703" w:rsidP="00DC1703">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r>
      <w:tr w:rsidR="00DC1703" w:rsidRPr="009270B9" w:rsidTr="0012658A">
        <w:tc>
          <w:tcPr>
            <w:tcW w:w="2642" w:type="pct"/>
          </w:tcPr>
          <w:p w:rsidR="00DC1703" w:rsidRPr="009270B9" w:rsidRDefault="00DC1703" w:rsidP="005A1499">
            <w:pPr>
              <w:widowControl w:val="0"/>
              <w:autoSpaceDE w:val="0"/>
              <w:autoSpaceDN w:val="0"/>
              <w:adjustRightInd w:val="0"/>
              <w:rPr>
                <w:rFonts w:eastAsia="Times New Roman"/>
                <w:lang w:bidi="ar-SA"/>
              </w:rPr>
            </w:pPr>
            <w:r>
              <w:t>Over 5,000 Cubic Feet</w:t>
            </w:r>
            <w:r w:rsidRPr="0050505B">
              <w:rPr>
                <w:vertAlign w:val="superscript"/>
              </w:rPr>
              <w:t>1,2</w:t>
            </w:r>
          </w:p>
        </w:tc>
        <w:tc>
          <w:tcPr>
            <w:tcW w:w="754" w:type="pct"/>
          </w:tcPr>
          <w:p w:rsidR="00DC1703" w:rsidRPr="009270B9" w:rsidRDefault="00DC1703" w:rsidP="00EC4599">
            <w:pPr>
              <w:widowControl w:val="0"/>
              <w:autoSpaceDE w:val="0"/>
              <w:autoSpaceDN w:val="0"/>
              <w:adjustRightInd w:val="0"/>
              <w:jc w:val="center"/>
              <w:rPr>
                <w:rFonts w:eastAsia="Times New Roman"/>
                <w:lang w:bidi="ar-SA"/>
              </w:rPr>
            </w:pPr>
            <w:r>
              <w:rPr>
                <w:rFonts w:eastAsia="Times New Roman"/>
                <w:lang w:bidi="ar-SA"/>
              </w:rPr>
              <w:t>$6.00</w:t>
            </w:r>
          </w:p>
        </w:tc>
        <w:tc>
          <w:tcPr>
            <w:tcW w:w="801" w:type="pct"/>
          </w:tcPr>
          <w:p w:rsidR="00DC1703" w:rsidRPr="009270B9" w:rsidRDefault="00DC1703"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c>
          <w:tcPr>
            <w:tcW w:w="803" w:type="pct"/>
          </w:tcPr>
          <w:p w:rsidR="00DC1703" w:rsidRPr="009270B9" w:rsidRDefault="00DC1703" w:rsidP="005A14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6.00</w:t>
            </w:r>
          </w:p>
        </w:tc>
      </w:tr>
    </w:tbl>
    <w:p w:rsidR="00B3307B" w:rsidRDefault="00B3307B"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1 – Based on ¾-inch meter classification, see company’s tariff for upsize meter classification</w:t>
      </w:r>
      <w:r w:rsidR="00B3307B">
        <w:rPr>
          <w:vertAlign w:val="superscript"/>
        </w:rPr>
        <w:t>s</w:t>
      </w:r>
      <w:r w:rsidRPr="0050505B">
        <w:rPr>
          <w:vertAlign w:val="superscript"/>
        </w:rPr>
        <w:t>, usage blocks and rates.</w:t>
      </w: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2 – Based on “per 100 cubic feet”.</w:t>
      </w:r>
    </w:p>
    <w:p w:rsidR="00F148CB" w:rsidRDefault="00F148CB" w:rsidP="003F0972">
      <w:pPr>
        <w:jc w:val="center"/>
        <w:rPr>
          <w:rFonts w:eastAsia="Times New Roman"/>
          <w:b/>
          <w:u w:val="single"/>
          <w:lang w:bidi="ar-SA"/>
        </w:rPr>
      </w:pPr>
    </w:p>
    <w:p w:rsidR="009270B9" w:rsidRPr="009270B9" w:rsidRDefault="009270B9" w:rsidP="003F0972">
      <w:pPr>
        <w:jc w:val="center"/>
        <w:rPr>
          <w:rFonts w:eastAsia="Times New Roman"/>
          <w:b/>
          <w:u w:val="single"/>
          <w:lang w:bidi="ar-SA"/>
        </w:rPr>
      </w:pPr>
      <w:r w:rsidRPr="009270B9">
        <w:rPr>
          <w:rFonts w:eastAsia="Times New Roman"/>
          <w:b/>
          <w:u w:val="single"/>
          <w:lang w:bidi="ar-SA"/>
        </w:rPr>
        <w:t>Average Bill Comparison</w:t>
      </w:r>
    </w:p>
    <w:p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8"/>
        <w:gridCol w:w="1439"/>
        <w:gridCol w:w="1531"/>
        <w:gridCol w:w="1550"/>
      </w:tblGrid>
      <w:tr w:rsidR="00887299" w:rsidRPr="009270B9" w:rsidTr="0012658A">
        <w:tc>
          <w:tcPr>
            <w:tcW w:w="2640" w:type="pct"/>
          </w:tcPr>
          <w:p w:rsidR="00887299" w:rsidRPr="009270B9" w:rsidRDefault="00887299" w:rsidP="009270B9">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Average Monthly Usage</w:t>
            </w:r>
          </w:p>
          <w:p w:rsidR="00887299" w:rsidRPr="009270B9" w:rsidRDefault="00887299" w:rsidP="005A1499">
            <w:pPr>
              <w:keepNext/>
              <w:widowControl w:val="0"/>
              <w:autoSpaceDE w:val="0"/>
              <w:autoSpaceDN w:val="0"/>
              <w:adjustRightInd w:val="0"/>
              <w:jc w:val="center"/>
              <w:outlineLvl w:val="0"/>
              <w:rPr>
                <w:rFonts w:eastAsia="Times New Roman"/>
                <w:b/>
                <w:lang w:bidi="ar-SA"/>
              </w:rPr>
            </w:pPr>
            <w:r>
              <w:t>599</w:t>
            </w:r>
            <w:r w:rsidRPr="009442FC">
              <w:t xml:space="preserve"> </w:t>
            </w:r>
            <w:r>
              <w:t>Cubic Feet</w:t>
            </w:r>
            <w:r w:rsidRPr="00466174">
              <w:rPr>
                <w:vertAlign w:val="superscript"/>
              </w:rPr>
              <w:t>3</w:t>
            </w:r>
          </w:p>
        </w:tc>
        <w:tc>
          <w:tcPr>
            <w:tcW w:w="751" w:type="pct"/>
            <w:vAlign w:val="center"/>
          </w:tcPr>
          <w:p w:rsidR="00887299" w:rsidRPr="009270B9" w:rsidRDefault="00887299" w:rsidP="009270B9">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799" w:type="pct"/>
          </w:tcPr>
          <w:p w:rsidR="00887299" w:rsidRPr="009270B9" w:rsidRDefault="00887299" w:rsidP="00887299">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809" w:type="pct"/>
          </w:tcPr>
          <w:p w:rsidR="00887299" w:rsidRPr="009270B9" w:rsidRDefault="00887299" w:rsidP="00887299">
            <w:pPr>
              <w:widowControl w:val="0"/>
              <w:autoSpaceDE w:val="0"/>
              <w:autoSpaceDN w:val="0"/>
              <w:adjustRightInd w:val="0"/>
              <w:jc w:val="center"/>
              <w:rPr>
                <w:rFonts w:eastAsia="Times New Roman"/>
                <w:b/>
                <w:lang w:bidi="ar-SA"/>
              </w:rPr>
            </w:pPr>
            <w:r>
              <w:rPr>
                <w:rFonts w:eastAsia="Times New Roman"/>
                <w:b/>
                <w:lang w:bidi="ar-SA"/>
              </w:rPr>
              <w:t>Revis</w:t>
            </w:r>
            <w:r w:rsidRPr="009270B9">
              <w:rPr>
                <w:rFonts w:eastAsia="Times New Roman"/>
                <w:b/>
                <w:lang w:bidi="ar-SA"/>
              </w:rPr>
              <w:t>ed Rate</w:t>
            </w:r>
          </w:p>
        </w:tc>
      </w:tr>
      <w:tr w:rsidR="00887299" w:rsidRPr="009270B9" w:rsidTr="0012658A">
        <w:tc>
          <w:tcPr>
            <w:tcW w:w="2640" w:type="pct"/>
          </w:tcPr>
          <w:p w:rsidR="00887299" w:rsidRPr="009270B9" w:rsidRDefault="00887299" w:rsidP="00C753C6">
            <w:pPr>
              <w:keepNext/>
              <w:widowControl w:val="0"/>
              <w:autoSpaceDE w:val="0"/>
              <w:autoSpaceDN w:val="0"/>
              <w:adjustRightInd w:val="0"/>
              <w:outlineLvl w:val="0"/>
              <w:rPr>
                <w:rFonts w:eastAsia="Times New Roman"/>
                <w:lang w:bidi="ar-SA"/>
              </w:rPr>
            </w:pPr>
            <w:r>
              <w:rPr>
                <w:rFonts w:eastAsia="Times New Roman"/>
                <w:lang w:bidi="ar-SA"/>
              </w:rPr>
              <w:t>Base Rate (3/4 I</w:t>
            </w:r>
            <w:r w:rsidRPr="009270B9">
              <w:rPr>
                <w:rFonts w:eastAsia="Times New Roman"/>
                <w:lang w:bidi="ar-SA"/>
              </w:rPr>
              <w:t xml:space="preserve">nch </w:t>
            </w:r>
            <w:r>
              <w:rPr>
                <w:rFonts w:eastAsia="Times New Roman"/>
                <w:lang w:bidi="ar-SA"/>
              </w:rPr>
              <w:t>M</w:t>
            </w:r>
            <w:r w:rsidRPr="009270B9">
              <w:rPr>
                <w:rFonts w:eastAsia="Times New Roman"/>
                <w:lang w:bidi="ar-SA"/>
              </w:rPr>
              <w:t>eter)</w:t>
            </w:r>
          </w:p>
        </w:tc>
        <w:tc>
          <w:tcPr>
            <w:tcW w:w="751" w:type="pct"/>
          </w:tcPr>
          <w:p w:rsidR="00887299" w:rsidRPr="009270B9" w:rsidRDefault="00887299" w:rsidP="005A14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21.59</w:t>
            </w:r>
          </w:p>
        </w:tc>
        <w:tc>
          <w:tcPr>
            <w:tcW w:w="799" w:type="pct"/>
          </w:tcPr>
          <w:p w:rsidR="00887299" w:rsidRPr="009270B9" w:rsidRDefault="00887299"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33.39</w:t>
            </w:r>
          </w:p>
        </w:tc>
        <w:tc>
          <w:tcPr>
            <w:tcW w:w="809" w:type="pct"/>
          </w:tcPr>
          <w:p w:rsidR="00887299" w:rsidRPr="009270B9" w:rsidRDefault="00887299" w:rsidP="0077266B">
            <w:pPr>
              <w:widowControl w:val="0"/>
              <w:autoSpaceDE w:val="0"/>
              <w:autoSpaceDN w:val="0"/>
              <w:adjustRightInd w:val="0"/>
              <w:jc w:val="center"/>
              <w:rPr>
                <w:rFonts w:eastAsia="Times New Roman"/>
                <w:lang w:bidi="ar-SA"/>
              </w:rPr>
            </w:pPr>
            <w:r w:rsidRPr="009270B9">
              <w:rPr>
                <w:rFonts w:eastAsia="Times New Roman"/>
                <w:lang w:bidi="ar-SA"/>
              </w:rPr>
              <w:t>$</w:t>
            </w:r>
            <w:r w:rsidR="0077266B">
              <w:rPr>
                <w:rFonts w:eastAsia="Times New Roman"/>
                <w:lang w:bidi="ar-SA"/>
              </w:rPr>
              <w:t>25.25</w:t>
            </w:r>
          </w:p>
        </w:tc>
      </w:tr>
      <w:tr w:rsidR="00887299" w:rsidRPr="009270B9" w:rsidTr="0012658A">
        <w:tc>
          <w:tcPr>
            <w:tcW w:w="2640" w:type="pct"/>
          </w:tcPr>
          <w:p w:rsidR="00887299" w:rsidRPr="009270B9" w:rsidRDefault="00887299" w:rsidP="00E35CB7">
            <w:pPr>
              <w:widowControl w:val="0"/>
              <w:autoSpaceDE w:val="0"/>
              <w:autoSpaceDN w:val="0"/>
              <w:adjustRightInd w:val="0"/>
              <w:rPr>
                <w:rFonts w:eastAsia="Times New Roman"/>
                <w:lang w:bidi="ar-SA"/>
              </w:rPr>
            </w:pPr>
            <w:r>
              <w:rPr>
                <w:rFonts w:eastAsia="Times New Roman"/>
                <w:lang w:bidi="ar-SA"/>
              </w:rPr>
              <w:t>0 -  599 Cubic Feet</w:t>
            </w:r>
          </w:p>
        </w:tc>
        <w:tc>
          <w:tcPr>
            <w:tcW w:w="751" w:type="pct"/>
          </w:tcPr>
          <w:p w:rsidR="00887299" w:rsidRPr="009270B9" w:rsidRDefault="00887299" w:rsidP="008D4B4D">
            <w:pPr>
              <w:widowControl w:val="0"/>
              <w:autoSpaceDE w:val="0"/>
              <w:autoSpaceDN w:val="0"/>
              <w:adjustRightInd w:val="0"/>
              <w:jc w:val="center"/>
              <w:rPr>
                <w:rFonts w:eastAsia="Times New Roman"/>
                <w:lang w:bidi="ar-SA"/>
              </w:rPr>
            </w:pPr>
            <w:r>
              <w:rPr>
                <w:rFonts w:eastAsia="Times New Roman"/>
                <w:lang w:bidi="ar-SA"/>
              </w:rPr>
              <w:t>$10.96</w:t>
            </w:r>
          </w:p>
        </w:tc>
        <w:tc>
          <w:tcPr>
            <w:tcW w:w="799" w:type="pct"/>
          </w:tcPr>
          <w:p w:rsidR="00887299" w:rsidRPr="009270B9" w:rsidRDefault="00887299"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10.96</w:t>
            </w:r>
          </w:p>
        </w:tc>
        <w:tc>
          <w:tcPr>
            <w:tcW w:w="809" w:type="pct"/>
          </w:tcPr>
          <w:p w:rsidR="00887299" w:rsidRPr="009270B9" w:rsidRDefault="00887299" w:rsidP="00E35CB7">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10.96</w:t>
            </w:r>
          </w:p>
        </w:tc>
      </w:tr>
      <w:tr w:rsidR="00887299" w:rsidRPr="009270B9" w:rsidTr="0012658A">
        <w:tc>
          <w:tcPr>
            <w:tcW w:w="2640" w:type="pct"/>
          </w:tcPr>
          <w:p w:rsidR="00887299" w:rsidRPr="009270B9" w:rsidRDefault="00887299" w:rsidP="009270B9">
            <w:pPr>
              <w:widowControl w:val="0"/>
              <w:autoSpaceDE w:val="0"/>
              <w:autoSpaceDN w:val="0"/>
              <w:adjustRightInd w:val="0"/>
              <w:rPr>
                <w:rFonts w:eastAsia="Times New Roman"/>
                <w:lang w:bidi="ar-SA"/>
              </w:rPr>
            </w:pPr>
            <w:r w:rsidRPr="009270B9">
              <w:rPr>
                <w:rFonts w:eastAsia="Times New Roman"/>
                <w:lang w:bidi="ar-SA"/>
              </w:rPr>
              <w:t>Average Monthly Bill</w:t>
            </w:r>
          </w:p>
        </w:tc>
        <w:tc>
          <w:tcPr>
            <w:tcW w:w="751" w:type="pct"/>
            <w:tcBorders>
              <w:top w:val="single" w:sz="18" w:space="0" w:color="auto"/>
              <w:bottom w:val="single" w:sz="18" w:space="0" w:color="auto"/>
            </w:tcBorders>
          </w:tcPr>
          <w:p w:rsidR="00887299" w:rsidRPr="009270B9" w:rsidRDefault="00887299" w:rsidP="00E35CB7">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32.55</w:t>
            </w:r>
          </w:p>
        </w:tc>
        <w:tc>
          <w:tcPr>
            <w:tcW w:w="799" w:type="pct"/>
            <w:tcBorders>
              <w:top w:val="single" w:sz="18" w:space="0" w:color="auto"/>
              <w:bottom w:val="single" w:sz="18" w:space="0" w:color="auto"/>
            </w:tcBorders>
          </w:tcPr>
          <w:p w:rsidR="00887299" w:rsidRPr="009270B9" w:rsidRDefault="00887299" w:rsidP="00887299">
            <w:pPr>
              <w:widowControl w:val="0"/>
              <w:autoSpaceDE w:val="0"/>
              <w:autoSpaceDN w:val="0"/>
              <w:adjustRightInd w:val="0"/>
              <w:jc w:val="center"/>
              <w:rPr>
                <w:rFonts w:eastAsia="Times New Roman"/>
                <w:lang w:bidi="ar-SA"/>
              </w:rPr>
            </w:pPr>
            <w:r w:rsidRPr="009270B9">
              <w:rPr>
                <w:rFonts w:eastAsia="Times New Roman"/>
                <w:lang w:bidi="ar-SA"/>
              </w:rPr>
              <w:t>$</w:t>
            </w:r>
            <w:r>
              <w:rPr>
                <w:rFonts w:eastAsia="Times New Roman"/>
                <w:lang w:bidi="ar-SA"/>
              </w:rPr>
              <w:t>44.35</w:t>
            </w:r>
          </w:p>
        </w:tc>
        <w:tc>
          <w:tcPr>
            <w:tcW w:w="809" w:type="pct"/>
            <w:tcBorders>
              <w:top w:val="single" w:sz="18" w:space="0" w:color="auto"/>
              <w:bottom w:val="single" w:sz="18" w:space="0" w:color="auto"/>
            </w:tcBorders>
          </w:tcPr>
          <w:p w:rsidR="00887299" w:rsidRPr="009270B9" w:rsidRDefault="00887299" w:rsidP="00E35CB7">
            <w:pPr>
              <w:widowControl w:val="0"/>
              <w:autoSpaceDE w:val="0"/>
              <w:autoSpaceDN w:val="0"/>
              <w:adjustRightInd w:val="0"/>
              <w:jc w:val="center"/>
              <w:rPr>
                <w:rFonts w:eastAsia="Times New Roman"/>
                <w:lang w:bidi="ar-SA"/>
              </w:rPr>
            </w:pPr>
            <w:r w:rsidRPr="009270B9">
              <w:rPr>
                <w:rFonts w:eastAsia="Times New Roman"/>
                <w:lang w:bidi="ar-SA"/>
              </w:rPr>
              <w:t>$</w:t>
            </w:r>
            <w:r w:rsidR="0077266B">
              <w:rPr>
                <w:rFonts w:eastAsia="Times New Roman"/>
                <w:lang w:bidi="ar-SA"/>
              </w:rPr>
              <w:t>36.21</w:t>
            </w:r>
          </w:p>
        </w:tc>
      </w:tr>
      <w:tr w:rsidR="00887299" w:rsidRPr="009270B9" w:rsidTr="0012658A">
        <w:tc>
          <w:tcPr>
            <w:tcW w:w="2640" w:type="pct"/>
          </w:tcPr>
          <w:p w:rsidR="00887299" w:rsidRPr="009270B9" w:rsidRDefault="00887299" w:rsidP="009270B9">
            <w:pPr>
              <w:widowControl w:val="0"/>
              <w:autoSpaceDE w:val="0"/>
              <w:autoSpaceDN w:val="0"/>
              <w:adjustRightInd w:val="0"/>
              <w:rPr>
                <w:rFonts w:eastAsia="Times New Roman"/>
                <w:lang w:bidi="ar-SA"/>
              </w:rPr>
            </w:pPr>
            <w:r w:rsidRPr="007C07AE">
              <w:t>Increase From Current Rates</w:t>
            </w:r>
          </w:p>
        </w:tc>
        <w:tc>
          <w:tcPr>
            <w:tcW w:w="751" w:type="pct"/>
            <w:tcBorders>
              <w:top w:val="single" w:sz="18" w:space="0" w:color="auto"/>
              <w:bottom w:val="double" w:sz="4" w:space="0" w:color="auto"/>
            </w:tcBorders>
          </w:tcPr>
          <w:p w:rsidR="00887299" w:rsidRPr="009270B9" w:rsidRDefault="00887299" w:rsidP="009270B9">
            <w:pPr>
              <w:widowControl w:val="0"/>
              <w:autoSpaceDE w:val="0"/>
              <w:autoSpaceDN w:val="0"/>
              <w:adjustRightInd w:val="0"/>
              <w:jc w:val="center"/>
              <w:rPr>
                <w:rFonts w:eastAsia="Times New Roman"/>
                <w:lang w:bidi="ar-SA"/>
              </w:rPr>
            </w:pPr>
          </w:p>
        </w:tc>
        <w:tc>
          <w:tcPr>
            <w:tcW w:w="799" w:type="pct"/>
            <w:tcBorders>
              <w:top w:val="single" w:sz="18" w:space="0" w:color="auto"/>
              <w:bottom w:val="double" w:sz="4" w:space="0" w:color="auto"/>
            </w:tcBorders>
          </w:tcPr>
          <w:p w:rsidR="00887299" w:rsidRPr="009270B9" w:rsidRDefault="00887299" w:rsidP="00887299">
            <w:pPr>
              <w:widowControl w:val="0"/>
              <w:autoSpaceDE w:val="0"/>
              <w:autoSpaceDN w:val="0"/>
              <w:adjustRightInd w:val="0"/>
              <w:jc w:val="center"/>
              <w:rPr>
                <w:rFonts w:eastAsia="Times New Roman"/>
                <w:lang w:bidi="ar-SA"/>
              </w:rPr>
            </w:pPr>
            <w:r>
              <w:rPr>
                <w:rFonts w:eastAsia="Times New Roman"/>
                <w:lang w:bidi="ar-SA"/>
              </w:rPr>
              <w:t>36.3</w:t>
            </w:r>
            <w:r w:rsidRPr="009270B9">
              <w:rPr>
                <w:rFonts w:eastAsia="Times New Roman"/>
                <w:lang w:bidi="ar-SA"/>
              </w:rPr>
              <w:t xml:space="preserve"> %</w:t>
            </w:r>
          </w:p>
        </w:tc>
        <w:tc>
          <w:tcPr>
            <w:tcW w:w="809" w:type="pct"/>
            <w:tcBorders>
              <w:top w:val="single" w:sz="18" w:space="0" w:color="auto"/>
              <w:bottom w:val="double" w:sz="4" w:space="0" w:color="auto"/>
            </w:tcBorders>
          </w:tcPr>
          <w:p w:rsidR="00887299" w:rsidRPr="009270B9" w:rsidRDefault="0077266B" w:rsidP="00E35CB7">
            <w:pPr>
              <w:widowControl w:val="0"/>
              <w:autoSpaceDE w:val="0"/>
              <w:autoSpaceDN w:val="0"/>
              <w:adjustRightInd w:val="0"/>
              <w:jc w:val="center"/>
              <w:rPr>
                <w:rFonts w:eastAsia="Times New Roman"/>
                <w:lang w:bidi="ar-SA"/>
              </w:rPr>
            </w:pPr>
            <w:r>
              <w:rPr>
                <w:rFonts w:eastAsia="Times New Roman"/>
                <w:lang w:bidi="ar-SA"/>
              </w:rPr>
              <w:t>11.2</w:t>
            </w:r>
            <w:r w:rsidR="00887299" w:rsidRPr="009270B9">
              <w:rPr>
                <w:rFonts w:eastAsia="Times New Roman"/>
                <w:lang w:bidi="ar-SA"/>
              </w:rPr>
              <w:t xml:space="preserve"> %</w:t>
            </w:r>
          </w:p>
        </w:tc>
      </w:tr>
    </w:tbl>
    <w:p w:rsidR="00B3307B" w:rsidRDefault="00B3307B"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p>
    <w:p w:rsidR="00466174" w:rsidRPr="0050505B" w:rsidRDefault="00466174" w:rsidP="00466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vertAlign w:val="superscript"/>
        </w:rPr>
      </w:pPr>
      <w:r w:rsidRPr="0050505B">
        <w:rPr>
          <w:vertAlign w:val="superscript"/>
        </w:rPr>
        <w:t xml:space="preserve">3 – Based on a company-wide average customer </w:t>
      </w:r>
      <w:r w:rsidR="00C753C6">
        <w:rPr>
          <w:vertAlign w:val="superscript"/>
        </w:rPr>
        <w:t xml:space="preserve">annual </w:t>
      </w:r>
      <w:r w:rsidRPr="0050505B">
        <w:rPr>
          <w:vertAlign w:val="superscript"/>
        </w:rPr>
        <w:t>water usage.</w:t>
      </w:r>
    </w:p>
    <w:p w:rsidR="00887299" w:rsidRDefault="00887299" w:rsidP="00887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12658A" w:rsidRDefault="0012658A" w:rsidP="0012658A">
      <w:pPr>
        <w:spacing w:after="200" w:line="276" w:lineRule="auto"/>
      </w:pPr>
      <w:r>
        <w:rPr>
          <w:b/>
          <w:u w:val="single"/>
        </w:rPr>
        <w:t xml:space="preserve">Conclusion </w:t>
      </w:r>
    </w:p>
    <w:p w:rsidR="0012658A" w:rsidRDefault="0012658A" w:rsidP="0012658A">
      <w:r>
        <w:t xml:space="preserve">Commission staff has completed its review of the company’s supporting financial documents, books and records. Staff’s review shows that the operating expenses are reasonable and required as part of the company’s operation. The company’s financial information supports the revised revenue requirement and </w:t>
      </w:r>
      <w:r w:rsidR="00657E06">
        <w:t>staff’s</w:t>
      </w:r>
      <w:r>
        <w:t xml:space="preserve"> revised rates and charges are fair, just, reasonable, and sufficient. </w:t>
      </w:r>
      <w:r w:rsidR="00DC1703">
        <w:t xml:space="preserve">Burton has </w:t>
      </w:r>
      <w:r w:rsidR="000D5576">
        <w:t>sent</w:t>
      </w:r>
      <w:r w:rsidR="00DC1703">
        <w:t xml:space="preserve"> a second notice to customers informing them of </w:t>
      </w:r>
      <w:r w:rsidR="00657E06">
        <w:t>staff’s</w:t>
      </w:r>
      <w:r w:rsidR="00DC1703">
        <w:t xml:space="preserve"> revised rates and rate design.</w:t>
      </w:r>
      <w:r w:rsidR="002F187C">
        <w:t xml:space="preserve"> </w:t>
      </w:r>
      <w:r w:rsidR="006172EA">
        <w:t xml:space="preserve">The commission received additional comments from one customer. </w:t>
      </w:r>
      <w:r w:rsidR="002F187C">
        <w:t>The additional customer</w:t>
      </w:r>
      <w:r w:rsidR="006172EA">
        <w:t xml:space="preserve">’s </w:t>
      </w:r>
      <w:r w:rsidR="002F187C">
        <w:t xml:space="preserve">comments do not change staff’s conclusion that the </w:t>
      </w:r>
      <w:r w:rsidR="00B46EC5">
        <w:t xml:space="preserve">revised </w:t>
      </w:r>
      <w:r w:rsidR="002F187C">
        <w:t>rates are fair, just, reasonable and sufficient.</w:t>
      </w:r>
    </w:p>
    <w:p w:rsidR="00887299" w:rsidRPr="0050505B" w:rsidRDefault="00887299" w:rsidP="008872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0D5576" w:rsidRDefault="00887299" w:rsidP="000D5576">
      <w:pPr>
        <w:pStyle w:val="BodyText"/>
        <w:widowControl w:val="0"/>
        <w:numPr>
          <w:ilvl w:val="0"/>
          <w:numId w:val="15"/>
        </w:numPr>
        <w:adjustRightInd w:val="0"/>
        <w:rPr>
          <w:rFonts w:ascii="Times New Roman" w:hAnsi="Times New Roman"/>
          <w:color w:val="000000"/>
        </w:rPr>
      </w:pPr>
      <w:r w:rsidRPr="0050505B">
        <w:rPr>
          <w:rFonts w:ascii="Times New Roman" w:hAnsi="Times New Roman"/>
          <w:color w:val="000000"/>
        </w:rPr>
        <w:t>Dismiss the Complaint and Order Suspending the Tar</w:t>
      </w:r>
      <w:r w:rsidR="00825E62">
        <w:rPr>
          <w:rFonts w:ascii="Times New Roman" w:hAnsi="Times New Roman"/>
          <w:color w:val="000000"/>
        </w:rPr>
        <w:t>iff Revisions filed by Burton Water Company, Inc</w:t>
      </w:r>
      <w:r w:rsidRPr="0050505B">
        <w:rPr>
          <w:rFonts w:ascii="Times New Roman" w:hAnsi="Times New Roman"/>
          <w:color w:val="000000"/>
        </w:rPr>
        <w:t>.</w:t>
      </w:r>
      <w:r w:rsidR="005522E7">
        <w:rPr>
          <w:rFonts w:ascii="Times New Roman" w:hAnsi="Times New Roman"/>
          <w:color w:val="000000"/>
        </w:rPr>
        <w:t>; and</w:t>
      </w:r>
    </w:p>
    <w:p w:rsidR="000D5576" w:rsidRDefault="000D5576" w:rsidP="000D5576">
      <w:pPr>
        <w:pStyle w:val="BodyText"/>
        <w:widowControl w:val="0"/>
        <w:adjustRightInd w:val="0"/>
        <w:ind w:left="360"/>
        <w:rPr>
          <w:rFonts w:ascii="Times New Roman" w:hAnsi="Times New Roman"/>
          <w:color w:val="000000"/>
        </w:rPr>
      </w:pPr>
    </w:p>
    <w:p w:rsidR="009270B9" w:rsidRDefault="00887299" w:rsidP="000D5576">
      <w:pPr>
        <w:pStyle w:val="BodyText"/>
        <w:widowControl w:val="0"/>
        <w:numPr>
          <w:ilvl w:val="0"/>
          <w:numId w:val="15"/>
        </w:numPr>
        <w:adjustRightInd w:val="0"/>
        <w:rPr>
          <w:rFonts w:ascii="Times New Roman" w:hAnsi="Times New Roman"/>
          <w:color w:val="000000"/>
        </w:rPr>
      </w:pPr>
      <w:r w:rsidRPr="000D5576">
        <w:rPr>
          <w:rFonts w:ascii="Times New Roman" w:hAnsi="Times New Roman"/>
          <w:color w:val="000000"/>
        </w:rPr>
        <w:t>A</w:t>
      </w:r>
      <w:r w:rsidR="005522E7">
        <w:rPr>
          <w:rFonts w:ascii="Times New Roman" w:hAnsi="Times New Roman"/>
          <w:color w:val="000000"/>
        </w:rPr>
        <w:t>llow the</w:t>
      </w:r>
      <w:r w:rsidRPr="000D5576">
        <w:rPr>
          <w:rFonts w:ascii="Times New Roman" w:hAnsi="Times New Roman"/>
          <w:color w:val="000000"/>
        </w:rPr>
        <w:t xml:space="preserve"> staff recommended revised rates as filed by the </w:t>
      </w:r>
      <w:r w:rsidR="006172EA">
        <w:rPr>
          <w:rFonts w:ascii="Times New Roman" w:hAnsi="Times New Roman"/>
          <w:color w:val="000000"/>
        </w:rPr>
        <w:t>Burton Water Company, Inc</w:t>
      </w:r>
      <w:r w:rsidR="006172EA" w:rsidRPr="0050505B">
        <w:rPr>
          <w:rFonts w:ascii="Times New Roman" w:hAnsi="Times New Roman"/>
          <w:color w:val="000000"/>
        </w:rPr>
        <w:t>.</w:t>
      </w:r>
      <w:r w:rsidR="006172EA">
        <w:rPr>
          <w:rFonts w:ascii="Times New Roman" w:hAnsi="Times New Roman"/>
          <w:color w:val="000000"/>
        </w:rPr>
        <w:t>,</w:t>
      </w:r>
      <w:r w:rsidRPr="000D5576">
        <w:rPr>
          <w:rFonts w:ascii="Times New Roman" w:hAnsi="Times New Roman"/>
          <w:color w:val="000000"/>
        </w:rPr>
        <w:t xml:space="preserve"> on </w:t>
      </w:r>
      <w:r w:rsidR="000D5576" w:rsidRPr="000D5576">
        <w:rPr>
          <w:rFonts w:ascii="Times New Roman" w:hAnsi="Times New Roman"/>
          <w:color w:val="000000"/>
        </w:rPr>
        <w:t xml:space="preserve">January 3, 2011, to become effective </w:t>
      </w:r>
      <w:r w:rsidR="00FB0424">
        <w:rPr>
          <w:rFonts w:ascii="Times New Roman" w:hAnsi="Times New Roman"/>
          <w:color w:val="000000"/>
        </w:rPr>
        <w:t xml:space="preserve">on </w:t>
      </w:r>
      <w:r w:rsidR="000D5576" w:rsidRPr="000D5576">
        <w:rPr>
          <w:rFonts w:ascii="Times New Roman" w:hAnsi="Times New Roman"/>
          <w:color w:val="000000"/>
        </w:rPr>
        <w:t>February 26, 2011</w:t>
      </w:r>
      <w:r w:rsidR="00657E06">
        <w:rPr>
          <w:rFonts w:ascii="Times New Roman" w:hAnsi="Times New Roman"/>
          <w:color w:val="000000"/>
        </w:rPr>
        <w:t>,</w:t>
      </w:r>
      <w:r w:rsidR="000D5576" w:rsidRPr="000D5576">
        <w:rPr>
          <w:rFonts w:ascii="Times New Roman" w:hAnsi="Times New Roman"/>
          <w:color w:val="000000"/>
        </w:rPr>
        <w:t xml:space="preserve"> on a permanent basis.</w:t>
      </w:r>
    </w:p>
    <w:p w:rsidR="00657E06" w:rsidRDefault="00657E06" w:rsidP="00657E06">
      <w:pPr>
        <w:pStyle w:val="ListParagraph"/>
        <w:rPr>
          <w:color w:val="000000"/>
        </w:rPr>
      </w:pPr>
    </w:p>
    <w:p w:rsidR="00657E06" w:rsidRPr="000D5576" w:rsidRDefault="00657E06" w:rsidP="00657E06">
      <w:pPr>
        <w:pStyle w:val="BodyText"/>
        <w:widowControl w:val="0"/>
        <w:adjustRightInd w:val="0"/>
        <w:ind w:left="360"/>
        <w:rPr>
          <w:rFonts w:ascii="Times New Roman" w:hAnsi="Times New Roman"/>
          <w:color w:val="000000"/>
        </w:rPr>
      </w:pPr>
    </w:p>
    <w:sectPr w:rsidR="00657E06" w:rsidRPr="000D5576"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03" w:rsidRDefault="00DC1703" w:rsidP="00BE5610">
      <w:r>
        <w:separator/>
      </w:r>
    </w:p>
  </w:endnote>
  <w:endnote w:type="continuationSeparator" w:id="0">
    <w:p w:rsidR="00DC1703" w:rsidRDefault="00DC1703" w:rsidP="00BE5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03" w:rsidRDefault="00DC1703" w:rsidP="00BE5610">
      <w:r>
        <w:separator/>
      </w:r>
    </w:p>
  </w:footnote>
  <w:footnote w:type="continuationSeparator" w:id="0">
    <w:p w:rsidR="00DC1703" w:rsidRDefault="00DC1703" w:rsidP="00BE5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703" w:rsidRPr="00A17748" w:rsidRDefault="00DC1703" w:rsidP="00BE5610">
    <w:pPr>
      <w:pStyle w:val="Header"/>
      <w:rPr>
        <w:sz w:val="20"/>
        <w:szCs w:val="20"/>
      </w:rPr>
    </w:pPr>
    <w:r w:rsidRPr="00A17748">
      <w:rPr>
        <w:sz w:val="20"/>
        <w:szCs w:val="20"/>
      </w:rPr>
      <w:t>Docket UW-101718</w:t>
    </w:r>
  </w:p>
  <w:p w:rsidR="00DC1703" w:rsidRPr="00A17748" w:rsidRDefault="000D5576" w:rsidP="00BE5610">
    <w:pPr>
      <w:pStyle w:val="Header"/>
      <w:rPr>
        <w:sz w:val="20"/>
        <w:szCs w:val="20"/>
      </w:rPr>
    </w:pPr>
    <w:r>
      <w:rPr>
        <w:sz w:val="20"/>
        <w:szCs w:val="20"/>
      </w:rPr>
      <w:t>February 25</w:t>
    </w:r>
    <w:r w:rsidR="00DC1703" w:rsidRPr="00A17748">
      <w:rPr>
        <w:sz w:val="20"/>
        <w:szCs w:val="20"/>
      </w:rPr>
      <w:t>, 201</w:t>
    </w:r>
    <w:r>
      <w:rPr>
        <w:sz w:val="20"/>
        <w:szCs w:val="20"/>
      </w:rPr>
      <w:t>1</w:t>
    </w:r>
  </w:p>
  <w:p w:rsidR="00DC1703" w:rsidRPr="00A17748" w:rsidRDefault="00DC1703" w:rsidP="00BE5610">
    <w:pPr>
      <w:pStyle w:val="Header"/>
      <w:rPr>
        <w:sz w:val="20"/>
        <w:szCs w:val="20"/>
      </w:rPr>
    </w:pPr>
    <w:r w:rsidRPr="00A17748">
      <w:rPr>
        <w:sz w:val="20"/>
        <w:szCs w:val="20"/>
      </w:rPr>
      <w:t xml:space="preserve">Page </w:t>
    </w:r>
    <w:r w:rsidR="002C044A" w:rsidRPr="00A17748">
      <w:rPr>
        <w:sz w:val="20"/>
        <w:szCs w:val="20"/>
      </w:rPr>
      <w:fldChar w:fldCharType="begin"/>
    </w:r>
    <w:r w:rsidRPr="00A17748">
      <w:rPr>
        <w:sz w:val="20"/>
        <w:szCs w:val="20"/>
      </w:rPr>
      <w:instrText xml:space="preserve"> PAGE   \* MERGEFORMAT </w:instrText>
    </w:r>
    <w:r w:rsidR="002C044A" w:rsidRPr="00A17748">
      <w:rPr>
        <w:sz w:val="20"/>
        <w:szCs w:val="20"/>
      </w:rPr>
      <w:fldChar w:fldCharType="separate"/>
    </w:r>
    <w:r w:rsidR="009E34A1">
      <w:rPr>
        <w:noProof/>
        <w:sz w:val="20"/>
        <w:szCs w:val="20"/>
      </w:rPr>
      <w:t>4</w:t>
    </w:r>
    <w:r w:rsidR="002C044A" w:rsidRPr="00A17748">
      <w:rPr>
        <w:sz w:val="20"/>
        <w:szCs w:val="20"/>
      </w:rPr>
      <w:fldChar w:fldCharType="end"/>
    </w:r>
  </w:p>
  <w:p w:rsidR="00DC1703" w:rsidRPr="003B700C" w:rsidRDefault="00DC1703" w:rsidP="00BE5610">
    <w:pPr>
      <w:pStyle w:val="Header"/>
    </w:pPr>
  </w:p>
  <w:p w:rsidR="00DC1703" w:rsidRDefault="00DC1703" w:rsidP="00BE5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A61E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3073D0"/>
    <w:multiLevelType w:val="hybridMultilevel"/>
    <w:tmpl w:val="D84EC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A551D0"/>
    <w:multiLevelType w:val="hybridMultilevel"/>
    <w:tmpl w:val="C53878AA"/>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73FC5CD3"/>
    <w:multiLevelType w:val="hybridMultilevel"/>
    <w:tmpl w:val="5486084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8"/>
  </w:num>
  <w:num w:numId="3">
    <w:abstractNumId w:val="10"/>
  </w:num>
  <w:num w:numId="4">
    <w:abstractNumId w:val="11"/>
  </w:num>
  <w:num w:numId="5">
    <w:abstractNumId w:val="0"/>
  </w:num>
  <w:num w:numId="6">
    <w:abstractNumId w:val="3"/>
  </w:num>
  <w:num w:numId="7">
    <w:abstractNumId w:val="7"/>
  </w:num>
  <w:num w:numId="8">
    <w:abstractNumId w:val="1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9"/>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hideSpellingErrors/>
  <w:hideGrammaticalErrors/>
  <w:defaultTabStop w:val="720"/>
  <w:drawingGridHorizontalSpacing w:val="120"/>
  <w:displayHorizontalDrawingGridEvery w:val="2"/>
  <w:characterSpacingControl w:val="doNotCompress"/>
  <w:hdrShapeDefaults>
    <o:shapedefaults v:ext="edit" spidmax="206849"/>
  </w:hdrShapeDefaults>
  <w:footnotePr>
    <w:footnote w:id="-1"/>
    <w:footnote w:id="0"/>
  </w:footnotePr>
  <w:endnotePr>
    <w:endnote w:id="-1"/>
    <w:endnote w:id="0"/>
  </w:endnotePr>
  <w:compat/>
  <w:rsids>
    <w:rsidRoot w:val="00154718"/>
    <w:rsid w:val="000020C4"/>
    <w:rsid w:val="00002F08"/>
    <w:rsid w:val="00005828"/>
    <w:rsid w:val="00015DD8"/>
    <w:rsid w:val="000201CA"/>
    <w:rsid w:val="0003714D"/>
    <w:rsid w:val="000420E9"/>
    <w:rsid w:val="000458AC"/>
    <w:rsid w:val="00053628"/>
    <w:rsid w:val="00054276"/>
    <w:rsid w:val="00054CC9"/>
    <w:rsid w:val="00055945"/>
    <w:rsid w:val="000625B1"/>
    <w:rsid w:val="0006481C"/>
    <w:rsid w:val="00066C40"/>
    <w:rsid w:val="0006708E"/>
    <w:rsid w:val="00075E51"/>
    <w:rsid w:val="0008268C"/>
    <w:rsid w:val="00082892"/>
    <w:rsid w:val="00083D7B"/>
    <w:rsid w:val="000908F4"/>
    <w:rsid w:val="000909CD"/>
    <w:rsid w:val="00095C12"/>
    <w:rsid w:val="00097E35"/>
    <w:rsid w:val="000B0C16"/>
    <w:rsid w:val="000C2481"/>
    <w:rsid w:val="000C3D4F"/>
    <w:rsid w:val="000D01D2"/>
    <w:rsid w:val="000D3B16"/>
    <w:rsid w:val="000D3CE0"/>
    <w:rsid w:val="000D5576"/>
    <w:rsid w:val="000D6DAF"/>
    <w:rsid w:val="000D706D"/>
    <w:rsid w:val="000E640C"/>
    <w:rsid w:val="000E714E"/>
    <w:rsid w:val="000F29ED"/>
    <w:rsid w:val="00111EF9"/>
    <w:rsid w:val="00114B3D"/>
    <w:rsid w:val="0012658A"/>
    <w:rsid w:val="00126930"/>
    <w:rsid w:val="001300D3"/>
    <w:rsid w:val="0013089B"/>
    <w:rsid w:val="00130B3D"/>
    <w:rsid w:val="00136DD9"/>
    <w:rsid w:val="00140589"/>
    <w:rsid w:val="00141434"/>
    <w:rsid w:val="001423FE"/>
    <w:rsid w:val="00142B36"/>
    <w:rsid w:val="00143CDB"/>
    <w:rsid w:val="0014659D"/>
    <w:rsid w:val="00154718"/>
    <w:rsid w:val="001603B0"/>
    <w:rsid w:val="0016055D"/>
    <w:rsid w:val="0016348F"/>
    <w:rsid w:val="0016545B"/>
    <w:rsid w:val="00166F66"/>
    <w:rsid w:val="00171102"/>
    <w:rsid w:val="00173A9E"/>
    <w:rsid w:val="00173F60"/>
    <w:rsid w:val="00177491"/>
    <w:rsid w:val="00177CFA"/>
    <w:rsid w:val="00187E0D"/>
    <w:rsid w:val="00190825"/>
    <w:rsid w:val="001A0A16"/>
    <w:rsid w:val="001A25D3"/>
    <w:rsid w:val="001C5AB1"/>
    <w:rsid w:val="001C7DFD"/>
    <w:rsid w:val="001D10A2"/>
    <w:rsid w:val="001D2A48"/>
    <w:rsid w:val="001E0047"/>
    <w:rsid w:val="001E0702"/>
    <w:rsid w:val="001E1BE5"/>
    <w:rsid w:val="001F30F9"/>
    <w:rsid w:val="001F3D7A"/>
    <w:rsid w:val="001F465E"/>
    <w:rsid w:val="002027E0"/>
    <w:rsid w:val="0021363E"/>
    <w:rsid w:val="0022116C"/>
    <w:rsid w:val="002218EF"/>
    <w:rsid w:val="00226657"/>
    <w:rsid w:val="002277F9"/>
    <w:rsid w:val="00227DC0"/>
    <w:rsid w:val="00241B80"/>
    <w:rsid w:val="00244A84"/>
    <w:rsid w:val="00260D57"/>
    <w:rsid w:val="002622A8"/>
    <w:rsid w:val="00283AD9"/>
    <w:rsid w:val="00285152"/>
    <w:rsid w:val="002863C0"/>
    <w:rsid w:val="00291958"/>
    <w:rsid w:val="00292F9A"/>
    <w:rsid w:val="00294AE3"/>
    <w:rsid w:val="00295745"/>
    <w:rsid w:val="002A70D7"/>
    <w:rsid w:val="002B5724"/>
    <w:rsid w:val="002C039A"/>
    <w:rsid w:val="002C044A"/>
    <w:rsid w:val="002C6110"/>
    <w:rsid w:val="002E50C7"/>
    <w:rsid w:val="002F187C"/>
    <w:rsid w:val="002F556F"/>
    <w:rsid w:val="002F70BE"/>
    <w:rsid w:val="00300789"/>
    <w:rsid w:val="00300D92"/>
    <w:rsid w:val="003219B9"/>
    <w:rsid w:val="00324289"/>
    <w:rsid w:val="00330C32"/>
    <w:rsid w:val="00333221"/>
    <w:rsid w:val="00334A7C"/>
    <w:rsid w:val="00337C05"/>
    <w:rsid w:val="00340C02"/>
    <w:rsid w:val="00346012"/>
    <w:rsid w:val="00355F2E"/>
    <w:rsid w:val="00367ED5"/>
    <w:rsid w:val="00384437"/>
    <w:rsid w:val="00385F54"/>
    <w:rsid w:val="00392579"/>
    <w:rsid w:val="00396F67"/>
    <w:rsid w:val="003A0DCE"/>
    <w:rsid w:val="003B4D1C"/>
    <w:rsid w:val="003B700C"/>
    <w:rsid w:val="003C166B"/>
    <w:rsid w:val="003C16E8"/>
    <w:rsid w:val="003C4EB8"/>
    <w:rsid w:val="003D1E26"/>
    <w:rsid w:val="003D2276"/>
    <w:rsid w:val="003D25A3"/>
    <w:rsid w:val="003D717F"/>
    <w:rsid w:val="003E4C9E"/>
    <w:rsid w:val="003E6D45"/>
    <w:rsid w:val="003F0972"/>
    <w:rsid w:val="00402DBF"/>
    <w:rsid w:val="00405F3D"/>
    <w:rsid w:val="00411F64"/>
    <w:rsid w:val="00424794"/>
    <w:rsid w:val="004411DD"/>
    <w:rsid w:val="004456FB"/>
    <w:rsid w:val="00450175"/>
    <w:rsid w:val="00450267"/>
    <w:rsid w:val="00451AF9"/>
    <w:rsid w:val="0045370F"/>
    <w:rsid w:val="00455301"/>
    <w:rsid w:val="0046482C"/>
    <w:rsid w:val="00466174"/>
    <w:rsid w:val="0046632D"/>
    <w:rsid w:val="00470335"/>
    <w:rsid w:val="00472DF2"/>
    <w:rsid w:val="00473F57"/>
    <w:rsid w:val="00482338"/>
    <w:rsid w:val="004838E1"/>
    <w:rsid w:val="00495B71"/>
    <w:rsid w:val="00496744"/>
    <w:rsid w:val="00497530"/>
    <w:rsid w:val="004A5C6A"/>
    <w:rsid w:val="004A691E"/>
    <w:rsid w:val="004B0CA7"/>
    <w:rsid w:val="004C5605"/>
    <w:rsid w:val="004D4EF6"/>
    <w:rsid w:val="004D5E19"/>
    <w:rsid w:val="004D7E01"/>
    <w:rsid w:val="004E0141"/>
    <w:rsid w:val="004F009E"/>
    <w:rsid w:val="00504DB9"/>
    <w:rsid w:val="005064CF"/>
    <w:rsid w:val="005131DE"/>
    <w:rsid w:val="00527CF8"/>
    <w:rsid w:val="00533DBE"/>
    <w:rsid w:val="0054247C"/>
    <w:rsid w:val="00544DDE"/>
    <w:rsid w:val="005522E7"/>
    <w:rsid w:val="00552600"/>
    <w:rsid w:val="005561C1"/>
    <w:rsid w:val="0056400F"/>
    <w:rsid w:val="00565648"/>
    <w:rsid w:val="0056751B"/>
    <w:rsid w:val="0057047C"/>
    <w:rsid w:val="00585C41"/>
    <w:rsid w:val="00591D1D"/>
    <w:rsid w:val="00595023"/>
    <w:rsid w:val="00597882"/>
    <w:rsid w:val="005A1499"/>
    <w:rsid w:val="005A6C74"/>
    <w:rsid w:val="005B4C72"/>
    <w:rsid w:val="005C15D1"/>
    <w:rsid w:val="005C29A9"/>
    <w:rsid w:val="005D4CA4"/>
    <w:rsid w:val="005D7925"/>
    <w:rsid w:val="005F51F2"/>
    <w:rsid w:val="00602F0F"/>
    <w:rsid w:val="00616813"/>
    <w:rsid w:val="006172EA"/>
    <w:rsid w:val="0062191D"/>
    <w:rsid w:val="0062474A"/>
    <w:rsid w:val="00626264"/>
    <w:rsid w:val="006308C7"/>
    <w:rsid w:val="00631A0F"/>
    <w:rsid w:val="00631C8E"/>
    <w:rsid w:val="0063726A"/>
    <w:rsid w:val="00641A44"/>
    <w:rsid w:val="00642AC3"/>
    <w:rsid w:val="006449EA"/>
    <w:rsid w:val="00645A0C"/>
    <w:rsid w:val="00647ECD"/>
    <w:rsid w:val="00654D5A"/>
    <w:rsid w:val="00657E06"/>
    <w:rsid w:val="00661F4F"/>
    <w:rsid w:val="006700B0"/>
    <w:rsid w:val="00671E46"/>
    <w:rsid w:val="00672F7B"/>
    <w:rsid w:val="00683780"/>
    <w:rsid w:val="0068432F"/>
    <w:rsid w:val="00684C49"/>
    <w:rsid w:val="00695625"/>
    <w:rsid w:val="006A021F"/>
    <w:rsid w:val="006A41EE"/>
    <w:rsid w:val="006A4895"/>
    <w:rsid w:val="006A4E3F"/>
    <w:rsid w:val="006B0CB1"/>
    <w:rsid w:val="006B4513"/>
    <w:rsid w:val="006B495A"/>
    <w:rsid w:val="006B51B8"/>
    <w:rsid w:val="006B6D42"/>
    <w:rsid w:val="006B795B"/>
    <w:rsid w:val="006C013C"/>
    <w:rsid w:val="006C3712"/>
    <w:rsid w:val="006C714F"/>
    <w:rsid w:val="006D15C2"/>
    <w:rsid w:val="006D22CE"/>
    <w:rsid w:val="006D30F3"/>
    <w:rsid w:val="006D52E1"/>
    <w:rsid w:val="006E3B58"/>
    <w:rsid w:val="006E5A66"/>
    <w:rsid w:val="00703A93"/>
    <w:rsid w:val="00705164"/>
    <w:rsid w:val="0071402F"/>
    <w:rsid w:val="00716427"/>
    <w:rsid w:val="00717A8C"/>
    <w:rsid w:val="007228E4"/>
    <w:rsid w:val="007261E5"/>
    <w:rsid w:val="007335C6"/>
    <w:rsid w:val="00734BC8"/>
    <w:rsid w:val="00746397"/>
    <w:rsid w:val="00751B5E"/>
    <w:rsid w:val="00753CB7"/>
    <w:rsid w:val="00754ED6"/>
    <w:rsid w:val="0076679B"/>
    <w:rsid w:val="00767BDD"/>
    <w:rsid w:val="0077266B"/>
    <w:rsid w:val="00772F17"/>
    <w:rsid w:val="00773CAD"/>
    <w:rsid w:val="00774275"/>
    <w:rsid w:val="00790302"/>
    <w:rsid w:val="007913E9"/>
    <w:rsid w:val="00795462"/>
    <w:rsid w:val="00795585"/>
    <w:rsid w:val="0079709F"/>
    <w:rsid w:val="007A0BDB"/>
    <w:rsid w:val="007C141D"/>
    <w:rsid w:val="007D0A6B"/>
    <w:rsid w:val="007E5B2C"/>
    <w:rsid w:val="007E71A3"/>
    <w:rsid w:val="007F26EF"/>
    <w:rsid w:val="0080117F"/>
    <w:rsid w:val="008020A5"/>
    <w:rsid w:val="0080580F"/>
    <w:rsid w:val="008111DE"/>
    <w:rsid w:val="008165AD"/>
    <w:rsid w:val="00816612"/>
    <w:rsid w:val="00825773"/>
    <w:rsid w:val="00825E62"/>
    <w:rsid w:val="00826C0C"/>
    <w:rsid w:val="00826F11"/>
    <w:rsid w:val="00827BE3"/>
    <w:rsid w:val="00832CE0"/>
    <w:rsid w:val="00853B63"/>
    <w:rsid w:val="0085598E"/>
    <w:rsid w:val="008630EA"/>
    <w:rsid w:val="00863543"/>
    <w:rsid w:val="0086631D"/>
    <w:rsid w:val="0087483A"/>
    <w:rsid w:val="00877282"/>
    <w:rsid w:val="00886E84"/>
    <w:rsid w:val="008871CF"/>
    <w:rsid w:val="00887299"/>
    <w:rsid w:val="008A350E"/>
    <w:rsid w:val="008A6E88"/>
    <w:rsid w:val="008B479D"/>
    <w:rsid w:val="008B4AA0"/>
    <w:rsid w:val="008C168F"/>
    <w:rsid w:val="008C1E17"/>
    <w:rsid w:val="008C26CE"/>
    <w:rsid w:val="008D0AAC"/>
    <w:rsid w:val="008D4B4D"/>
    <w:rsid w:val="00901675"/>
    <w:rsid w:val="00901E60"/>
    <w:rsid w:val="00904BBD"/>
    <w:rsid w:val="00915BD4"/>
    <w:rsid w:val="009206A2"/>
    <w:rsid w:val="009270B9"/>
    <w:rsid w:val="0093048B"/>
    <w:rsid w:val="00935AF2"/>
    <w:rsid w:val="009768A1"/>
    <w:rsid w:val="00983416"/>
    <w:rsid w:val="00984AEE"/>
    <w:rsid w:val="00992790"/>
    <w:rsid w:val="00993018"/>
    <w:rsid w:val="009A6C76"/>
    <w:rsid w:val="009B2F83"/>
    <w:rsid w:val="009B5DCE"/>
    <w:rsid w:val="009B696D"/>
    <w:rsid w:val="009C00D0"/>
    <w:rsid w:val="009D109C"/>
    <w:rsid w:val="009E34A1"/>
    <w:rsid w:val="009E4F48"/>
    <w:rsid w:val="00A04699"/>
    <w:rsid w:val="00A10E54"/>
    <w:rsid w:val="00A17748"/>
    <w:rsid w:val="00A201C0"/>
    <w:rsid w:val="00A23D02"/>
    <w:rsid w:val="00A26FD3"/>
    <w:rsid w:val="00A2758F"/>
    <w:rsid w:val="00A41C23"/>
    <w:rsid w:val="00A429E6"/>
    <w:rsid w:val="00A42E8D"/>
    <w:rsid w:val="00A5145E"/>
    <w:rsid w:val="00A52858"/>
    <w:rsid w:val="00A6009F"/>
    <w:rsid w:val="00A60967"/>
    <w:rsid w:val="00A67402"/>
    <w:rsid w:val="00A67B82"/>
    <w:rsid w:val="00A7048A"/>
    <w:rsid w:val="00A70E29"/>
    <w:rsid w:val="00A726C4"/>
    <w:rsid w:val="00A73C46"/>
    <w:rsid w:val="00A8090E"/>
    <w:rsid w:val="00A822CA"/>
    <w:rsid w:val="00A84C2A"/>
    <w:rsid w:val="00A85688"/>
    <w:rsid w:val="00A86F90"/>
    <w:rsid w:val="00A8749C"/>
    <w:rsid w:val="00A902E8"/>
    <w:rsid w:val="00A953F6"/>
    <w:rsid w:val="00AB7892"/>
    <w:rsid w:val="00AC5977"/>
    <w:rsid w:val="00AC6F3A"/>
    <w:rsid w:val="00AD0897"/>
    <w:rsid w:val="00AD3312"/>
    <w:rsid w:val="00AD3DD8"/>
    <w:rsid w:val="00AD4B87"/>
    <w:rsid w:val="00AD67EF"/>
    <w:rsid w:val="00AE0900"/>
    <w:rsid w:val="00AF1D42"/>
    <w:rsid w:val="00AF5800"/>
    <w:rsid w:val="00B00171"/>
    <w:rsid w:val="00B00440"/>
    <w:rsid w:val="00B03361"/>
    <w:rsid w:val="00B13041"/>
    <w:rsid w:val="00B25D68"/>
    <w:rsid w:val="00B3307B"/>
    <w:rsid w:val="00B34845"/>
    <w:rsid w:val="00B35380"/>
    <w:rsid w:val="00B360DD"/>
    <w:rsid w:val="00B3651B"/>
    <w:rsid w:val="00B42AD0"/>
    <w:rsid w:val="00B44C58"/>
    <w:rsid w:val="00B451F0"/>
    <w:rsid w:val="00B45CF2"/>
    <w:rsid w:val="00B46EC5"/>
    <w:rsid w:val="00B5220D"/>
    <w:rsid w:val="00B5241C"/>
    <w:rsid w:val="00B55CD3"/>
    <w:rsid w:val="00B56E98"/>
    <w:rsid w:val="00B603AA"/>
    <w:rsid w:val="00B639FC"/>
    <w:rsid w:val="00B71DC1"/>
    <w:rsid w:val="00B84E56"/>
    <w:rsid w:val="00B97113"/>
    <w:rsid w:val="00B97C0F"/>
    <w:rsid w:val="00BA0EB0"/>
    <w:rsid w:val="00BB2331"/>
    <w:rsid w:val="00BD1C60"/>
    <w:rsid w:val="00BE5610"/>
    <w:rsid w:val="00BF2510"/>
    <w:rsid w:val="00C011D5"/>
    <w:rsid w:val="00C03AA9"/>
    <w:rsid w:val="00C04FF5"/>
    <w:rsid w:val="00C0624C"/>
    <w:rsid w:val="00C062C0"/>
    <w:rsid w:val="00C07C24"/>
    <w:rsid w:val="00C126BC"/>
    <w:rsid w:val="00C272A0"/>
    <w:rsid w:val="00C34B7F"/>
    <w:rsid w:val="00C36001"/>
    <w:rsid w:val="00C36D30"/>
    <w:rsid w:val="00C412C5"/>
    <w:rsid w:val="00C41B31"/>
    <w:rsid w:val="00C42A41"/>
    <w:rsid w:val="00C647EB"/>
    <w:rsid w:val="00C71EF8"/>
    <w:rsid w:val="00C753C6"/>
    <w:rsid w:val="00C92705"/>
    <w:rsid w:val="00C9274A"/>
    <w:rsid w:val="00CA0913"/>
    <w:rsid w:val="00CA22AF"/>
    <w:rsid w:val="00CA3026"/>
    <w:rsid w:val="00CA50F7"/>
    <w:rsid w:val="00CA6007"/>
    <w:rsid w:val="00CC4FE2"/>
    <w:rsid w:val="00CD43F1"/>
    <w:rsid w:val="00CD758B"/>
    <w:rsid w:val="00CF1AA4"/>
    <w:rsid w:val="00CF66D8"/>
    <w:rsid w:val="00D00B3A"/>
    <w:rsid w:val="00D0403B"/>
    <w:rsid w:val="00D108C7"/>
    <w:rsid w:val="00D12988"/>
    <w:rsid w:val="00D12B32"/>
    <w:rsid w:val="00D17019"/>
    <w:rsid w:val="00D217F4"/>
    <w:rsid w:val="00D31072"/>
    <w:rsid w:val="00D33FD2"/>
    <w:rsid w:val="00D4026A"/>
    <w:rsid w:val="00D44D58"/>
    <w:rsid w:val="00D47789"/>
    <w:rsid w:val="00D53F2F"/>
    <w:rsid w:val="00D64963"/>
    <w:rsid w:val="00D65C0A"/>
    <w:rsid w:val="00D662D4"/>
    <w:rsid w:val="00D70105"/>
    <w:rsid w:val="00D7596F"/>
    <w:rsid w:val="00D7659F"/>
    <w:rsid w:val="00D77A03"/>
    <w:rsid w:val="00D96246"/>
    <w:rsid w:val="00D96F9A"/>
    <w:rsid w:val="00DA1B86"/>
    <w:rsid w:val="00DB145D"/>
    <w:rsid w:val="00DB3767"/>
    <w:rsid w:val="00DC1703"/>
    <w:rsid w:val="00DC67A8"/>
    <w:rsid w:val="00DD2A47"/>
    <w:rsid w:val="00DD65A6"/>
    <w:rsid w:val="00DD6714"/>
    <w:rsid w:val="00DE13BB"/>
    <w:rsid w:val="00DF28C4"/>
    <w:rsid w:val="00E02017"/>
    <w:rsid w:val="00E02CBB"/>
    <w:rsid w:val="00E1796B"/>
    <w:rsid w:val="00E21E65"/>
    <w:rsid w:val="00E254C9"/>
    <w:rsid w:val="00E256DF"/>
    <w:rsid w:val="00E26DE6"/>
    <w:rsid w:val="00E35CB7"/>
    <w:rsid w:val="00E35D9D"/>
    <w:rsid w:val="00E37996"/>
    <w:rsid w:val="00E50A27"/>
    <w:rsid w:val="00E53B48"/>
    <w:rsid w:val="00E60353"/>
    <w:rsid w:val="00E8562C"/>
    <w:rsid w:val="00E864B6"/>
    <w:rsid w:val="00E941B2"/>
    <w:rsid w:val="00E96BCC"/>
    <w:rsid w:val="00EA52A5"/>
    <w:rsid w:val="00EB3A93"/>
    <w:rsid w:val="00EB41E4"/>
    <w:rsid w:val="00EB4CE3"/>
    <w:rsid w:val="00EB6042"/>
    <w:rsid w:val="00EC0DF4"/>
    <w:rsid w:val="00EC3B3F"/>
    <w:rsid w:val="00EC4599"/>
    <w:rsid w:val="00EC5118"/>
    <w:rsid w:val="00ED3FED"/>
    <w:rsid w:val="00ED4CC8"/>
    <w:rsid w:val="00EE6798"/>
    <w:rsid w:val="00EE7659"/>
    <w:rsid w:val="00EF436B"/>
    <w:rsid w:val="00F00111"/>
    <w:rsid w:val="00F00561"/>
    <w:rsid w:val="00F0729D"/>
    <w:rsid w:val="00F148CB"/>
    <w:rsid w:val="00F167E4"/>
    <w:rsid w:val="00F21B68"/>
    <w:rsid w:val="00F27C98"/>
    <w:rsid w:val="00F3018E"/>
    <w:rsid w:val="00F330AF"/>
    <w:rsid w:val="00F35DB6"/>
    <w:rsid w:val="00F40EE9"/>
    <w:rsid w:val="00F435A5"/>
    <w:rsid w:val="00F469E5"/>
    <w:rsid w:val="00F541D0"/>
    <w:rsid w:val="00F56C47"/>
    <w:rsid w:val="00F62005"/>
    <w:rsid w:val="00F700D9"/>
    <w:rsid w:val="00F8306C"/>
    <w:rsid w:val="00F86908"/>
    <w:rsid w:val="00F87B48"/>
    <w:rsid w:val="00F90612"/>
    <w:rsid w:val="00F90779"/>
    <w:rsid w:val="00F92193"/>
    <w:rsid w:val="00F93D9C"/>
    <w:rsid w:val="00F95C68"/>
    <w:rsid w:val="00F96ED4"/>
    <w:rsid w:val="00F97F02"/>
    <w:rsid w:val="00FB0424"/>
    <w:rsid w:val="00FB5CDE"/>
    <w:rsid w:val="00FB741F"/>
    <w:rsid w:val="00FC239F"/>
    <w:rsid w:val="00FE0997"/>
    <w:rsid w:val="00FE16BC"/>
    <w:rsid w:val="00FE2453"/>
    <w:rsid w:val="00FE5608"/>
    <w:rsid w:val="00FF6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semiHidden/>
    <w:unhideWhenUsed/>
    <w:rsid w:val="003B700C"/>
    <w:pPr>
      <w:tabs>
        <w:tab w:val="center" w:pos="4680"/>
        <w:tab w:val="right" w:pos="9360"/>
      </w:tabs>
    </w:pPr>
  </w:style>
  <w:style w:type="character" w:customStyle="1" w:styleId="FooterChar">
    <w:name w:val="Footer Char"/>
    <w:basedOn w:val="DefaultParagraphFont"/>
    <w:link w:val="Footer"/>
    <w:uiPriority w:val="99"/>
    <w:semiHidden/>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b/>
      <w:bC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rsid w:val="006C3712"/>
    <w:rPr>
      <w:rFonts w:ascii="Courier" w:eastAsiaTheme="minorHAnsi" w:hAnsi="Courier"/>
      <w:sz w:val="24"/>
      <w:szCs w:val="24"/>
    </w:rPr>
  </w:style>
</w:styles>
</file>

<file path=word/webSettings.xml><?xml version="1.0" encoding="utf-8"?>
<w:webSettings xmlns:r="http://schemas.openxmlformats.org/officeDocument/2006/relationships" xmlns:w="http://schemas.openxmlformats.org/wordprocessingml/2006/main">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279924391">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2010-10-20T07:00:00+00:00</OpenedDate>
    <Date1 xmlns="dc463f71-b30c-4ab2-9473-d307f9d35888">2011-02-25T08:00:00+00:00</Date1>
    <IsDocumentOrder xmlns="dc463f71-b30c-4ab2-9473-d307f9d35888" xsi:nil="true"/>
    <IsHighlyConfidential xmlns="dc463f71-b30c-4ab2-9473-d307f9d35888">false</IsHighlyConfidential>
    <CaseCompanyNames xmlns="dc463f71-b30c-4ab2-9473-d307f9d35888">Burton Water Company, Inc.</CaseCompanyNames>
    <DocketNumber xmlns="dc463f71-b30c-4ab2-9473-d307f9d35888">101718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430251ABBB264CAA27C4F7711BEFFB" ma:contentTypeVersion="131" ma:contentTypeDescription="" ma:contentTypeScope="" ma:versionID="9456e2b09edeb9b8a4931cea79f15f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89C35-4DB2-4B11-863A-E32F1BC314F6}"/>
</file>

<file path=customXml/itemProps2.xml><?xml version="1.0" encoding="utf-8"?>
<ds:datastoreItem xmlns:ds="http://schemas.openxmlformats.org/officeDocument/2006/customXml" ds:itemID="{69A2B954-FF01-4AC3-A890-9CD4ADD13D9B}"/>
</file>

<file path=customXml/itemProps3.xml><?xml version="1.0" encoding="utf-8"?>
<ds:datastoreItem xmlns:ds="http://schemas.openxmlformats.org/officeDocument/2006/customXml" ds:itemID="{45227816-F000-4174-9D2D-0767F5EBBD00}"/>
</file>

<file path=customXml/itemProps4.xml><?xml version="1.0" encoding="utf-8"?>
<ds:datastoreItem xmlns:ds="http://schemas.openxmlformats.org/officeDocument/2006/customXml" ds:itemID="{FB964643-7356-4F19-8FD3-3D1794B03986}"/>
</file>

<file path=customXml/itemProps5.xml><?xml version="1.0" encoding="utf-8"?>
<ds:datastoreItem xmlns:ds="http://schemas.openxmlformats.org/officeDocument/2006/customXml" ds:itemID="{BE3C120F-4391-46DE-A75D-2A162B5F6F4B}"/>
</file>

<file path=customXml/itemProps6.xml><?xml version="1.0" encoding="utf-8"?>
<ds:datastoreItem xmlns:ds="http://schemas.openxmlformats.org/officeDocument/2006/customXml" ds:itemID="{48B63EF1-C78A-4592-9FC3-F34FF99925E5}"/>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Burton Water Company UW-101718 Memo 01</vt:lpstr>
    </vt:vector>
  </TitlesOfParts>
  <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Burton Water Company UW-101718 Memo 01</dc:title>
  <dc:creator>JWard</dc:creator>
  <cp:lastModifiedBy>Lisa Wyse, Records Manager</cp:lastModifiedBy>
  <cp:revision>2</cp:revision>
  <cp:lastPrinted>2011-02-18T18:43:00Z</cp:lastPrinted>
  <dcterms:created xsi:type="dcterms:W3CDTF">2011-02-18T21:23:00Z</dcterms:created>
  <dcterms:modified xsi:type="dcterms:W3CDTF">2011-02-18T21:23:00Z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0x0101006E56B4D1795A2E4DB2F0B01679ED314A0024430251ABBB264CAA27C4F7711BEFFB</vt:lpwstr>
  </property>
  <property fmtid="{D5CDD505-2E9C-101B-9397-08002B2CF9AE}" pid="3" name="Item ID">
    <vt:lpwstr>9</vt:lpwstr>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_docset_NoMedatataSyncRequired">
    <vt:lpwstr>False</vt:lpwstr>
  </property>
</Properties>
</file>