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18D" w:rsidRPr="009075DC" w:rsidRDefault="00F8418D" w:rsidP="00734EBA">
      <w:pPr>
        <w:pStyle w:val="single"/>
        <w:ind w:left="4320" w:firstLine="0"/>
        <w:rPr>
          <w:rStyle w:val="Strong"/>
        </w:rPr>
      </w:pPr>
      <w:r w:rsidRPr="009075DC">
        <w:rPr>
          <w:rStyle w:val="Strong"/>
        </w:rPr>
        <w:t>EXH</w:t>
      </w:r>
      <w:r w:rsidR="00902913">
        <w:rPr>
          <w:rStyle w:val="Strong"/>
        </w:rPr>
        <w:t>.</w:t>
      </w:r>
      <w:r w:rsidR="008869EC">
        <w:rPr>
          <w:rStyle w:val="Strong"/>
        </w:rPr>
        <w:t> </w:t>
      </w:r>
      <w:r w:rsidR="00782962">
        <w:rPr>
          <w:rStyle w:val="Strong"/>
        </w:rPr>
        <w:t>JAP</w:t>
      </w:r>
      <w:r w:rsidR="004F1C95">
        <w:rPr>
          <w:rStyle w:val="Strong"/>
        </w:rPr>
        <w:t>-</w:t>
      </w:r>
      <w:r w:rsidR="00782962">
        <w:rPr>
          <w:rStyle w:val="Strong"/>
        </w:rPr>
        <w:t>46</w:t>
      </w:r>
      <w:r w:rsidR="00555D72">
        <w:rPr>
          <w:rStyle w:val="Strong"/>
        </w:rPr>
        <w:t>C</w:t>
      </w:r>
      <w:r w:rsidR="004F1C95">
        <w:rPr>
          <w:rStyle w:val="Strong"/>
        </w:rPr>
        <w:t>T</w:t>
      </w:r>
      <w:r w:rsidR="004F1C95">
        <w:rPr>
          <w:rStyle w:val="Strong"/>
        </w:rPr>
        <w:br/>
        <w:t xml:space="preserve">DOCKETS </w:t>
      </w:r>
      <w:r w:rsidRPr="009075DC">
        <w:rPr>
          <w:rStyle w:val="Strong"/>
        </w:rPr>
        <w:t>UE-1</w:t>
      </w:r>
      <w:r w:rsidR="00B01500">
        <w:rPr>
          <w:rStyle w:val="Strong"/>
        </w:rPr>
        <w:t>7</w:t>
      </w:r>
      <w:r w:rsidR="00F5016E">
        <w:rPr>
          <w:rStyle w:val="Strong"/>
        </w:rPr>
        <w:t>0033</w:t>
      </w:r>
      <w:r w:rsidRPr="009075DC">
        <w:rPr>
          <w:rStyle w:val="Strong"/>
        </w:rPr>
        <w:t>/UG-1</w:t>
      </w:r>
      <w:r w:rsidR="00B01500">
        <w:rPr>
          <w:rStyle w:val="Strong"/>
        </w:rPr>
        <w:t>7</w:t>
      </w:r>
      <w:r w:rsidR="00F5016E">
        <w:rPr>
          <w:rStyle w:val="Strong"/>
        </w:rPr>
        <w:t>0034</w:t>
      </w:r>
      <w:r w:rsidRPr="009075DC">
        <w:rPr>
          <w:rStyle w:val="Strong"/>
        </w:rPr>
        <w:br/>
        <w:t>201</w:t>
      </w:r>
      <w:r w:rsidR="00B01500">
        <w:rPr>
          <w:rStyle w:val="Strong"/>
        </w:rPr>
        <w:t>7</w:t>
      </w:r>
      <w:r w:rsidRPr="009075DC">
        <w:rPr>
          <w:rStyle w:val="Strong"/>
        </w:rPr>
        <w:t xml:space="preserve"> PSE GENERAL RATE CASE</w:t>
      </w:r>
      <w:r w:rsidRPr="009075DC">
        <w:rPr>
          <w:rStyle w:val="Strong"/>
        </w:rPr>
        <w:br/>
        <w:t>WITNESS: </w:t>
      </w:r>
      <w:r w:rsidR="00782962">
        <w:rPr>
          <w:b/>
        </w:rPr>
        <w:t>JON A. PILIARIS</w:t>
      </w:r>
    </w:p>
    <w:p w:rsidR="00F8418D" w:rsidRPr="009075DC" w:rsidRDefault="00F8418D" w:rsidP="00734EBA">
      <w:pPr>
        <w:pStyle w:val="center"/>
        <w:keepLines w:val="0"/>
        <w:spacing w:before="0" w:line="240" w:lineRule="auto"/>
        <w:rPr>
          <w:b/>
        </w:rPr>
      </w:pPr>
    </w:p>
    <w:p w:rsidR="00F8418D" w:rsidRPr="009075DC" w:rsidRDefault="00F8418D" w:rsidP="00734EBA">
      <w:pPr>
        <w:pStyle w:val="center"/>
        <w:keepLines w:val="0"/>
        <w:spacing w:before="0" w:line="240" w:lineRule="auto"/>
        <w:rPr>
          <w:b/>
        </w:rPr>
      </w:pPr>
    </w:p>
    <w:p w:rsidR="00F8418D" w:rsidRPr="009075DC" w:rsidRDefault="00F8418D" w:rsidP="00734EBA">
      <w:pPr>
        <w:pStyle w:val="center"/>
        <w:keepLines w:val="0"/>
        <w:spacing w:before="0" w:line="240" w:lineRule="auto"/>
        <w:rPr>
          <w:b/>
        </w:rPr>
      </w:pPr>
    </w:p>
    <w:p w:rsidR="00F8418D" w:rsidRPr="009075DC" w:rsidRDefault="00F8418D" w:rsidP="00734EBA">
      <w:pPr>
        <w:pStyle w:val="center"/>
        <w:keepLines w:val="0"/>
        <w:spacing w:before="0" w:line="240" w:lineRule="auto"/>
        <w:rPr>
          <w:b/>
        </w:rPr>
      </w:pPr>
    </w:p>
    <w:p w:rsidR="00F8418D" w:rsidRPr="009075DC" w:rsidRDefault="00F8418D" w:rsidP="00734EBA">
      <w:pPr>
        <w:pStyle w:val="center"/>
        <w:keepLines w:val="0"/>
        <w:spacing w:before="0" w:line="240" w:lineRule="auto"/>
        <w:rPr>
          <w:b/>
        </w:rPr>
      </w:pPr>
    </w:p>
    <w:p w:rsidR="00F8418D" w:rsidRPr="009075DC" w:rsidRDefault="00F8418D" w:rsidP="00734EBA">
      <w:pPr>
        <w:pStyle w:val="center"/>
        <w:keepLines w:val="0"/>
        <w:spacing w:before="0" w:line="240" w:lineRule="auto"/>
        <w:rPr>
          <w:b/>
        </w:rPr>
      </w:pPr>
      <w:r w:rsidRPr="009075DC">
        <w:rPr>
          <w:b/>
        </w:rPr>
        <w:t>BEFORE THE</w:t>
      </w:r>
    </w:p>
    <w:p w:rsidR="00F8418D" w:rsidRPr="009075DC" w:rsidRDefault="00F8418D" w:rsidP="00734EBA">
      <w:pPr>
        <w:pStyle w:val="center"/>
        <w:keepLines w:val="0"/>
        <w:spacing w:before="0" w:line="240" w:lineRule="auto"/>
        <w:rPr>
          <w:b/>
        </w:rPr>
      </w:pPr>
      <w:r w:rsidRPr="009075DC">
        <w:rPr>
          <w:b/>
        </w:rPr>
        <w:t>WASHINGTON UTILITIES AND TRANSPORTATION COMMISSION</w:t>
      </w:r>
    </w:p>
    <w:p w:rsidR="00F8418D" w:rsidRPr="009075DC" w:rsidRDefault="00F8418D" w:rsidP="00734EBA">
      <w:pPr>
        <w:pStyle w:val="center"/>
        <w:keepLines w:val="0"/>
        <w:spacing w:before="0" w:line="240" w:lineRule="auto"/>
        <w:rPr>
          <w:b/>
        </w:rPr>
      </w:pPr>
    </w:p>
    <w:p w:rsidR="00F8418D" w:rsidRPr="009075DC" w:rsidRDefault="00F8418D" w:rsidP="00734EBA">
      <w:pPr>
        <w:pStyle w:val="center"/>
        <w:keepLines w:val="0"/>
        <w:spacing w:before="0" w:line="240" w:lineRule="auto"/>
        <w:rPr>
          <w:b/>
        </w:rPr>
      </w:pPr>
    </w:p>
    <w:p w:rsidR="00F8418D" w:rsidRPr="009075DC" w:rsidRDefault="00F8418D" w:rsidP="00734EBA">
      <w:pPr>
        <w:pStyle w:val="center"/>
        <w:keepLines w:val="0"/>
        <w:tabs>
          <w:tab w:val="left" w:pos="5040"/>
        </w:tabs>
        <w:spacing w:before="0" w:line="240" w:lineRule="auto"/>
        <w:rPr>
          <w:b/>
        </w:rPr>
      </w:pPr>
    </w:p>
    <w:tbl>
      <w:tblPr>
        <w:tblW w:w="9201" w:type="dxa"/>
        <w:tblInd w:w="-8" w:type="dxa"/>
        <w:tblLayout w:type="fixed"/>
        <w:tblCellMar>
          <w:left w:w="0" w:type="dxa"/>
          <w:right w:w="0" w:type="dxa"/>
        </w:tblCellMar>
        <w:tblLook w:val="0000" w:firstRow="0" w:lastRow="0" w:firstColumn="0" w:lastColumn="0" w:noHBand="0" w:noVBand="0"/>
      </w:tblPr>
      <w:tblGrid>
        <w:gridCol w:w="4418"/>
        <w:gridCol w:w="360"/>
        <w:gridCol w:w="4423"/>
      </w:tblGrid>
      <w:tr w:rsidR="00F8418D" w:rsidRPr="009075DC" w:rsidTr="00760094">
        <w:trPr>
          <w:cantSplit/>
        </w:trPr>
        <w:tc>
          <w:tcPr>
            <w:tcW w:w="4418" w:type="dxa"/>
            <w:tcBorders>
              <w:bottom w:val="single" w:sz="4" w:space="0" w:color="auto"/>
              <w:right w:val="single" w:sz="4" w:space="0" w:color="auto"/>
            </w:tcBorders>
          </w:tcPr>
          <w:p w:rsidR="00F8418D" w:rsidRPr="009075DC" w:rsidRDefault="00F8418D" w:rsidP="00734EBA">
            <w:pPr>
              <w:pStyle w:val="SingleSpacing"/>
              <w:rPr>
                <w:b/>
                <w:sz w:val="24"/>
              </w:rPr>
            </w:pPr>
            <w:r w:rsidRPr="009075DC">
              <w:rPr>
                <w:b/>
                <w:sz w:val="24"/>
              </w:rPr>
              <w:t>WASHINGTON UTILITIES AND</w:t>
            </w:r>
          </w:p>
          <w:p w:rsidR="00F8418D" w:rsidRPr="009075DC" w:rsidRDefault="00F8418D" w:rsidP="00734EBA">
            <w:pPr>
              <w:pStyle w:val="SingleSpacing"/>
              <w:rPr>
                <w:b/>
                <w:sz w:val="24"/>
              </w:rPr>
            </w:pPr>
            <w:r w:rsidRPr="009075DC">
              <w:rPr>
                <w:b/>
                <w:sz w:val="24"/>
              </w:rPr>
              <w:t>TRANSPORTATION COMMISSION,</w:t>
            </w:r>
          </w:p>
          <w:p w:rsidR="00F8418D" w:rsidRPr="009075DC" w:rsidRDefault="00F8418D" w:rsidP="00734EBA">
            <w:pPr>
              <w:pStyle w:val="SingleSpacing"/>
              <w:rPr>
                <w:b/>
                <w:sz w:val="24"/>
              </w:rPr>
            </w:pPr>
          </w:p>
          <w:p w:rsidR="00F8418D" w:rsidRPr="009075DC" w:rsidRDefault="00F8418D" w:rsidP="00734EBA">
            <w:pPr>
              <w:pStyle w:val="SingleSpacing"/>
              <w:tabs>
                <w:tab w:val="left" w:pos="2168"/>
                <w:tab w:val="left" w:pos="4550"/>
              </w:tabs>
              <w:ind w:right="360"/>
              <w:jc w:val="right"/>
              <w:rPr>
                <w:b/>
                <w:sz w:val="24"/>
              </w:rPr>
            </w:pPr>
            <w:r w:rsidRPr="009075DC">
              <w:rPr>
                <w:b/>
                <w:sz w:val="24"/>
              </w:rPr>
              <w:t>Complainant,</w:t>
            </w:r>
          </w:p>
          <w:p w:rsidR="00F8418D" w:rsidRPr="009075DC" w:rsidRDefault="00F8418D" w:rsidP="00734EBA">
            <w:pPr>
              <w:pStyle w:val="SingleSpacing"/>
              <w:rPr>
                <w:b/>
                <w:sz w:val="24"/>
              </w:rPr>
            </w:pPr>
          </w:p>
          <w:p w:rsidR="00F8418D" w:rsidRPr="009075DC" w:rsidRDefault="00F8418D" w:rsidP="00734EBA">
            <w:pPr>
              <w:pStyle w:val="SingleSpacing"/>
              <w:rPr>
                <w:b/>
                <w:sz w:val="24"/>
              </w:rPr>
            </w:pPr>
            <w:r w:rsidRPr="009075DC">
              <w:rPr>
                <w:b/>
                <w:sz w:val="24"/>
              </w:rPr>
              <w:tab/>
              <w:t>v.</w:t>
            </w:r>
          </w:p>
          <w:p w:rsidR="00F8418D" w:rsidRPr="009075DC" w:rsidRDefault="00F8418D" w:rsidP="00734EBA">
            <w:pPr>
              <w:pStyle w:val="SingleSpacing"/>
              <w:rPr>
                <w:b/>
                <w:sz w:val="24"/>
              </w:rPr>
            </w:pPr>
          </w:p>
          <w:p w:rsidR="00F8418D" w:rsidRPr="009075DC" w:rsidRDefault="004F1C95" w:rsidP="00734EBA">
            <w:pPr>
              <w:pStyle w:val="SingleSpacing"/>
              <w:rPr>
                <w:b/>
                <w:sz w:val="24"/>
              </w:rPr>
            </w:pPr>
            <w:r>
              <w:rPr>
                <w:b/>
                <w:sz w:val="24"/>
              </w:rPr>
              <w:t>PUGET SOUND ENERGY,</w:t>
            </w:r>
          </w:p>
          <w:p w:rsidR="00F8418D" w:rsidRPr="009075DC" w:rsidRDefault="00F8418D" w:rsidP="00734EBA">
            <w:pPr>
              <w:pStyle w:val="SingleSpacing"/>
              <w:rPr>
                <w:b/>
                <w:sz w:val="24"/>
              </w:rPr>
            </w:pPr>
          </w:p>
          <w:p w:rsidR="00F8418D" w:rsidRPr="009075DC" w:rsidRDefault="00F8418D" w:rsidP="00734EBA">
            <w:pPr>
              <w:pStyle w:val="SingleSpacing"/>
              <w:tabs>
                <w:tab w:val="left" w:pos="2168"/>
              </w:tabs>
              <w:ind w:right="360"/>
              <w:jc w:val="right"/>
              <w:rPr>
                <w:b/>
                <w:sz w:val="24"/>
              </w:rPr>
            </w:pPr>
            <w:r w:rsidRPr="009075DC">
              <w:rPr>
                <w:b/>
                <w:sz w:val="24"/>
              </w:rPr>
              <w:t>Respondent.</w:t>
            </w:r>
          </w:p>
          <w:p w:rsidR="00F8418D" w:rsidRPr="009075DC" w:rsidRDefault="00F8418D" w:rsidP="00734EBA">
            <w:pPr>
              <w:pStyle w:val="SingleSpacing"/>
              <w:tabs>
                <w:tab w:val="left" w:pos="1440"/>
              </w:tabs>
              <w:rPr>
                <w:b/>
                <w:sz w:val="24"/>
              </w:rPr>
            </w:pPr>
          </w:p>
        </w:tc>
        <w:tc>
          <w:tcPr>
            <w:tcW w:w="360" w:type="dxa"/>
            <w:tcBorders>
              <w:left w:val="single" w:sz="4" w:space="0" w:color="auto"/>
            </w:tcBorders>
          </w:tcPr>
          <w:p w:rsidR="00F8418D" w:rsidRPr="009075DC" w:rsidRDefault="00F8418D" w:rsidP="00734EBA">
            <w:pPr>
              <w:rPr>
                <w:b/>
              </w:rPr>
            </w:pPr>
          </w:p>
        </w:tc>
        <w:tc>
          <w:tcPr>
            <w:tcW w:w="4423" w:type="dxa"/>
            <w:vAlign w:val="center"/>
          </w:tcPr>
          <w:p w:rsidR="00F8418D" w:rsidRPr="009075DC" w:rsidRDefault="004F1C95" w:rsidP="00734EBA">
            <w:pPr>
              <w:pStyle w:val="SingleSpacing"/>
              <w:ind w:left="198"/>
              <w:rPr>
                <w:b/>
                <w:sz w:val="24"/>
              </w:rPr>
            </w:pPr>
            <w:r>
              <w:rPr>
                <w:b/>
                <w:sz w:val="24"/>
              </w:rPr>
              <w:t xml:space="preserve">Docket </w:t>
            </w:r>
            <w:r w:rsidR="00F8418D" w:rsidRPr="009075DC">
              <w:rPr>
                <w:b/>
                <w:sz w:val="24"/>
              </w:rPr>
              <w:t>UE-1</w:t>
            </w:r>
            <w:r w:rsidR="00B01500">
              <w:rPr>
                <w:b/>
                <w:sz w:val="24"/>
              </w:rPr>
              <w:t>7</w:t>
            </w:r>
            <w:r w:rsidR="00F5016E">
              <w:rPr>
                <w:b/>
                <w:sz w:val="24"/>
              </w:rPr>
              <w:t>0033</w:t>
            </w:r>
          </w:p>
          <w:p w:rsidR="00F8418D" w:rsidRPr="009075DC" w:rsidRDefault="004F1C95" w:rsidP="00734EBA">
            <w:pPr>
              <w:pStyle w:val="SingleSpacing"/>
              <w:ind w:left="198"/>
              <w:rPr>
                <w:b/>
                <w:sz w:val="24"/>
              </w:rPr>
            </w:pPr>
            <w:r>
              <w:rPr>
                <w:b/>
                <w:sz w:val="24"/>
              </w:rPr>
              <w:t xml:space="preserve">Docket </w:t>
            </w:r>
            <w:r w:rsidR="00F8418D" w:rsidRPr="009075DC">
              <w:rPr>
                <w:b/>
                <w:sz w:val="24"/>
              </w:rPr>
              <w:t>UG-1</w:t>
            </w:r>
            <w:r w:rsidR="00B01500">
              <w:rPr>
                <w:b/>
                <w:sz w:val="24"/>
              </w:rPr>
              <w:t>7</w:t>
            </w:r>
            <w:r w:rsidR="00F5016E">
              <w:rPr>
                <w:b/>
                <w:sz w:val="24"/>
              </w:rPr>
              <w:t>0034</w:t>
            </w:r>
          </w:p>
        </w:tc>
      </w:tr>
    </w:tbl>
    <w:p w:rsidR="00F8418D" w:rsidRPr="009075DC" w:rsidRDefault="00F8418D" w:rsidP="00734EBA">
      <w:pPr>
        <w:pStyle w:val="center"/>
        <w:keepLines w:val="0"/>
        <w:spacing w:before="0" w:line="240" w:lineRule="auto"/>
        <w:rPr>
          <w:b/>
        </w:rPr>
      </w:pPr>
    </w:p>
    <w:p w:rsidR="00F8418D" w:rsidRPr="009075DC" w:rsidRDefault="00F8418D" w:rsidP="00734EBA">
      <w:pPr>
        <w:pStyle w:val="center"/>
        <w:keepLines w:val="0"/>
        <w:spacing w:before="0" w:line="240" w:lineRule="auto"/>
        <w:rPr>
          <w:b/>
        </w:rPr>
      </w:pPr>
    </w:p>
    <w:p w:rsidR="00F8418D" w:rsidRPr="009075DC" w:rsidRDefault="00F8418D" w:rsidP="00734EBA">
      <w:pPr>
        <w:pStyle w:val="center"/>
        <w:keepLines w:val="0"/>
        <w:spacing w:before="0" w:line="240" w:lineRule="auto"/>
        <w:rPr>
          <w:b/>
        </w:rPr>
      </w:pPr>
    </w:p>
    <w:p w:rsidR="00914544" w:rsidRDefault="00F8418D" w:rsidP="00C37AC5">
      <w:pPr>
        <w:pStyle w:val="center"/>
        <w:keepLines w:val="0"/>
        <w:spacing w:before="0" w:line="240" w:lineRule="auto"/>
        <w:rPr>
          <w:b/>
        </w:rPr>
      </w:pPr>
      <w:r w:rsidRPr="009075DC">
        <w:rPr>
          <w:b/>
        </w:rPr>
        <w:t xml:space="preserve">PREFILED </w:t>
      </w:r>
      <w:r w:rsidR="00632256">
        <w:rPr>
          <w:b/>
        </w:rPr>
        <w:t>REBUTTAL</w:t>
      </w:r>
      <w:r w:rsidRPr="009075DC">
        <w:rPr>
          <w:b/>
        </w:rPr>
        <w:t xml:space="preserve"> TESTIMONY</w:t>
      </w:r>
      <w:r w:rsidR="00C37AC5">
        <w:rPr>
          <w:b/>
        </w:rPr>
        <w:t xml:space="preserve"> </w:t>
      </w:r>
      <w:r w:rsidR="009B7D3A">
        <w:rPr>
          <w:b/>
        </w:rPr>
        <w:br/>
      </w:r>
      <w:r w:rsidRPr="009075DC">
        <w:rPr>
          <w:b/>
        </w:rPr>
        <w:t xml:space="preserve">(CONFIDENTIAL) </w:t>
      </w:r>
      <w:r w:rsidR="00914544">
        <w:rPr>
          <w:b/>
        </w:rPr>
        <w:t>OF</w:t>
      </w:r>
    </w:p>
    <w:p w:rsidR="00914544" w:rsidRDefault="00914544" w:rsidP="00734EBA">
      <w:pPr>
        <w:pStyle w:val="center"/>
        <w:keepLines w:val="0"/>
        <w:spacing w:before="0" w:line="240" w:lineRule="auto"/>
        <w:rPr>
          <w:b/>
        </w:rPr>
      </w:pPr>
    </w:p>
    <w:p w:rsidR="004F1C95" w:rsidRDefault="00782962" w:rsidP="00734EBA">
      <w:pPr>
        <w:pStyle w:val="center"/>
        <w:keepLines w:val="0"/>
        <w:spacing w:before="0" w:line="240" w:lineRule="auto"/>
        <w:rPr>
          <w:b/>
        </w:rPr>
      </w:pPr>
      <w:r>
        <w:rPr>
          <w:b/>
        </w:rPr>
        <w:t>JON A. PILIARIS</w:t>
      </w:r>
    </w:p>
    <w:p w:rsidR="004F1C95" w:rsidRPr="009075DC" w:rsidRDefault="00F8418D" w:rsidP="00734EBA">
      <w:pPr>
        <w:pStyle w:val="center"/>
        <w:keepLines w:val="0"/>
        <w:spacing w:before="0" w:line="240" w:lineRule="auto"/>
        <w:rPr>
          <w:b/>
        </w:rPr>
      </w:pPr>
      <w:r w:rsidRPr="009075DC">
        <w:rPr>
          <w:b/>
        </w:rPr>
        <w:br/>
        <w:t>O</w:t>
      </w:r>
      <w:r w:rsidR="004F1C95">
        <w:rPr>
          <w:b/>
        </w:rPr>
        <w:t>N BEHALF OF PUGET SOUND ENERGY</w:t>
      </w:r>
    </w:p>
    <w:p w:rsidR="00F8418D" w:rsidRPr="009075DC" w:rsidRDefault="00F8418D" w:rsidP="00734EBA">
      <w:pPr>
        <w:pStyle w:val="center"/>
        <w:keepLines w:val="0"/>
        <w:spacing w:before="0" w:line="240" w:lineRule="auto"/>
        <w:rPr>
          <w:b/>
        </w:rPr>
      </w:pPr>
    </w:p>
    <w:p w:rsidR="00F8418D" w:rsidRPr="009075DC" w:rsidRDefault="00F8418D" w:rsidP="00734EBA">
      <w:pPr>
        <w:pStyle w:val="center"/>
        <w:keepLines w:val="0"/>
        <w:spacing w:before="0" w:line="240" w:lineRule="auto"/>
        <w:rPr>
          <w:b/>
        </w:rPr>
      </w:pPr>
    </w:p>
    <w:p w:rsidR="00F8418D" w:rsidRPr="009075DC" w:rsidRDefault="00F8418D" w:rsidP="00734EBA">
      <w:pPr>
        <w:pStyle w:val="center"/>
        <w:keepLines w:val="0"/>
        <w:spacing w:before="0" w:line="240" w:lineRule="auto"/>
        <w:rPr>
          <w:b/>
        </w:rPr>
      </w:pPr>
    </w:p>
    <w:p w:rsidR="00F8418D" w:rsidRPr="009075DC" w:rsidRDefault="007E4B2D" w:rsidP="00734EBA">
      <w:pPr>
        <w:pStyle w:val="center"/>
        <w:keepLines w:val="0"/>
        <w:spacing w:before="0" w:line="240" w:lineRule="auto"/>
        <w:rPr>
          <w:b/>
        </w:rPr>
      </w:pPr>
      <w:r w:rsidRPr="00A07998">
        <w:rPr>
          <w:noProof/>
          <w:lang w:eastAsia="en-US"/>
        </w:rPr>
        <mc:AlternateContent>
          <mc:Choice Requires="wpg">
            <w:drawing>
              <wp:anchor distT="0" distB="0" distL="114300" distR="114300" simplePos="0" relativeHeight="251659264" behindDoc="0" locked="0" layoutInCell="1" allowOverlap="1" wp14:anchorId="599816A3" wp14:editId="3AA959A9">
                <wp:simplePos x="0" y="0"/>
                <wp:positionH relativeFrom="column">
                  <wp:posOffset>1161739</wp:posOffset>
                </wp:positionH>
                <wp:positionV relativeFrom="paragraph">
                  <wp:posOffset>29512</wp:posOffset>
                </wp:positionV>
                <wp:extent cx="3297836" cy="59499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7836" cy="594995"/>
                          <a:chOff x="3773" y="11538"/>
                          <a:chExt cx="4948" cy="898"/>
                        </a:xfrm>
                      </wpg:grpSpPr>
                      <wps:wsp>
                        <wps:cNvPr id="4" name="Text Box 6"/>
                        <wps:cNvSpPr txBox="1">
                          <a:spLocks noChangeArrowheads="1"/>
                        </wps:cNvSpPr>
                        <wps:spPr bwMode="auto">
                          <a:xfrm>
                            <a:off x="4554" y="11806"/>
                            <a:ext cx="4167" cy="6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7D3A" w:rsidRDefault="009B7D3A" w:rsidP="007E4B2D">
                              <w:pPr>
                                <w:pStyle w:val="plain"/>
                                <w:jc w:val="center"/>
                              </w:pPr>
                            </w:p>
                          </w:txbxContent>
                        </wps:txbx>
                        <wps:bodyPr rot="0" vert="horz" wrap="square" lIns="91440" tIns="91440" rIns="91440" bIns="91440" anchor="t" anchorCtr="0" upright="1">
                          <a:noAutofit/>
                        </wps:bodyPr>
                      </wps:wsp>
                      <wps:wsp>
                        <wps:cNvPr id="5" name="Text Box 7"/>
                        <wps:cNvSpPr txBox="1">
                          <a:spLocks noChangeArrowheads="1"/>
                        </wps:cNvSpPr>
                        <wps:spPr bwMode="auto">
                          <a:xfrm>
                            <a:off x="3773" y="11538"/>
                            <a:ext cx="4795" cy="823"/>
                          </a:xfrm>
                          <a:prstGeom prst="rect">
                            <a:avLst/>
                          </a:prstGeom>
                          <a:solidFill>
                            <a:srgbClr val="FFFFFF"/>
                          </a:solidFill>
                          <a:ln w="19050">
                            <a:solidFill>
                              <a:srgbClr val="000000"/>
                            </a:solidFill>
                            <a:miter lim="800000"/>
                            <a:headEnd/>
                            <a:tailEnd/>
                          </a:ln>
                        </wps:spPr>
                        <wps:txbx>
                          <w:txbxContent>
                            <w:p w:rsidR="009B7D3A" w:rsidRPr="00EB6972" w:rsidRDefault="001823F3" w:rsidP="007E4B2D">
                              <w:pPr>
                                <w:pStyle w:val="plain"/>
                                <w:spacing w:line="240" w:lineRule="auto"/>
                                <w:jc w:val="center"/>
                                <w:rPr>
                                  <w:b/>
                                  <w:smallCaps/>
                                  <w:snapToGrid w:val="0"/>
                                  <w:sz w:val="20"/>
                                  <w:lang w:val="x-none" w:eastAsia="en-US"/>
                                </w:rPr>
                              </w:pPr>
                              <w:r>
                                <w:rPr>
                                  <w:b/>
                                  <w:smallCaps/>
                                  <w:snapToGrid w:val="0"/>
                                  <w:sz w:val="20"/>
                                  <w:lang w:eastAsia="en-US"/>
                                </w:rPr>
                                <w:t>Redacted</w:t>
                              </w:r>
                              <w:r>
                                <w:rPr>
                                  <w:b/>
                                  <w:smallCaps/>
                                  <w:snapToGrid w:val="0"/>
                                  <w:sz w:val="20"/>
                                  <w:lang w:eastAsia="en-US"/>
                                </w:rPr>
                                <w:br/>
                                <w:t>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91.5pt;margin-top:2.3pt;width:259.65pt;height:46.85pt;z-index:251659264" coordorigin="3773,11538" coordsize="4948,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">
                <v:shapetype id="_x0000_t202" coordsize="21600,21600" o:spt="202" path="m,l,21600r21600,l21600,xe">
                  <v:stroke joinstyle="miter"/>
                  <v:path gradientshapeok="t" o:connecttype="rect"/>
                </v:shapetype>
                <v:shape id="Text Box 6" o:spid="_x0000_s1027" type="#_x0000_t202" style="position:absolute;left:4554;top:11806;width:4167;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woMIA&#10;AADaAAAADwAAAGRycy9kb3ducmV2LnhtbESPQYvCMBSE74L/ITxhbzZVRKQaRYSF9eaquHt8NK9p&#10;sXkpTazd/fVGEDwOM/MNs9r0thYdtb5yrGCSpCCIc6crNgrOp8/xAoQPyBprx6Tgjzxs1sPBCjPt&#10;7vxN3TEYESHsM1RQhtBkUvq8JIs+cQ1x9ArXWgxRtkbqFu8Rbms5TdO5tFhxXCixoV1J+fV4swp+&#10;zHxfHxZXXcx+/y8Tc+u63b5Q6mPUb5cgAvXhHX61v7SCGTyvxBs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yzCgwgAAANoAAAAPAAAAAAAAAAAAAAAAAJgCAABkcnMvZG93&#10;bnJldi54bWxQSwUGAAAAAAQABAD1AAAAhwMAAAAA&#10;" fillcolor="gray" stroked="f">
                  <v:textbox inset=",7.2pt,,7.2pt">
                    <w:txbxContent>
                      <w:p w:rsidR="009B7D3A" w:rsidRDefault="009B7D3A" w:rsidP="007E4B2D">
                        <w:pPr>
                          <w:pStyle w:val="plain"/>
                          <w:jc w:val="center"/>
                        </w:pPr>
                      </w:p>
                    </w:txbxContent>
                  </v:textbox>
                </v:shape>
                <v:shape id="Text Box 7" o:spid="_x0000_s1028" type="#_x0000_t202" style="position:absolute;left:3773;top:11538;width:4795;height: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f+QMEA&#10;AADaAAAADwAAAGRycy9kb3ducmV2LnhtbERPTWuDQBS8F/ofllfIpdQ1KUqxbkIQAiGXoC2eH+6r&#10;St231t1E8++zhUJvM8wXk+8WM4grTa63rGAdxSCIG6t7bhV8fhxe3kA4j6xxsEwKbuRgt318yDHT&#10;duaSrpVvRShhl6GCzvsxk9I1HRl0kR2Jg/ZlJ4M+0KmVesI5lJtBbuI4lQZ7DgsdjlR01HxXF6Og&#10;ONUBlj/nun4dkvRUzcVz0Sq1elr27yA8Lf7f/Jc+agUJ/F4JN0B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H/kDBAAAA2gAAAA8AAAAAAAAAAAAAAAAAmAIAAGRycy9kb3du&#10;cmV2LnhtbFBLBQYAAAAABAAEAPUAAACGAwAAAAA=&#10;" strokeweight="1.5pt">
                  <v:textbox inset=",7.2pt,,7.2pt">
                    <w:txbxContent>
                      <w:p w:rsidR="009B7D3A" w:rsidRPr="00EB6972" w:rsidRDefault="001823F3" w:rsidP="007E4B2D">
                        <w:pPr>
                          <w:pStyle w:val="plain"/>
                          <w:spacing w:line="240" w:lineRule="auto"/>
                          <w:jc w:val="center"/>
                          <w:rPr>
                            <w:b/>
                            <w:smallCaps/>
                            <w:snapToGrid w:val="0"/>
                            <w:sz w:val="20"/>
                            <w:lang w:val="x-none" w:eastAsia="en-US"/>
                          </w:rPr>
                        </w:pPr>
                        <w:r>
                          <w:rPr>
                            <w:b/>
                            <w:smallCaps/>
                            <w:snapToGrid w:val="0"/>
                            <w:sz w:val="20"/>
                            <w:lang w:eastAsia="en-US"/>
                          </w:rPr>
                          <w:t>Redacted</w:t>
                        </w:r>
                        <w:r>
                          <w:rPr>
                            <w:b/>
                            <w:smallCaps/>
                            <w:snapToGrid w:val="0"/>
                            <w:sz w:val="20"/>
                            <w:lang w:eastAsia="en-US"/>
                          </w:rPr>
                          <w:br/>
                          <w:t>Version</w:t>
                        </w:r>
                      </w:p>
                    </w:txbxContent>
                  </v:textbox>
                </v:shape>
              </v:group>
            </w:pict>
          </mc:Fallback>
        </mc:AlternateContent>
      </w:r>
    </w:p>
    <w:p w:rsidR="00F8418D" w:rsidRPr="009075DC" w:rsidRDefault="00F8418D" w:rsidP="00734EBA">
      <w:pPr>
        <w:pStyle w:val="center"/>
        <w:keepLines w:val="0"/>
        <w:spacing w:before="0" w:line="240" w:lineRule="auto"/>
        <w:rPr>
          <w:b/>
        </w:rPr>
      </w:pPr>
    </w:p>
    <w:p w:rsidR="00F8418D" w:rsidRPr="009075DC" w:rsidRDefault="00F8418D" w:rsidP="00734EBA">
      <w:pPr>
        <w:pStyle w:val="center"/>
        <w:keepLines w:val="0"/>
        <w:spacing w:before="0" w:line="240" w:lineRule="auto"/>
        <w:rPr>
          <w:b/>
        </w:rPr>
      </w:pPr>
    </w:p>
    <w:p w:rsidR="00F8418D" w:rsidRDefault="00F8418D" w:rsidP="00734EBA">
      <w:pPr>
        <w:pStyle w:val="center"/>
        <w:keepLines w:val="0"/>
        <w:spacing w:before="0" w:line="240" w:lineRule="auto"/>
        <w:rPr>
          <w:b/>
        </w:rPr>
      </w:pPr>
    </w:p>
    <w:p w:rsidR="004F1C95" w:rsidRDefault="004F1C95" w:rsidP="00734EBA">
      <w:pPr>
        <w:pStyle w:val="center"/>
        <w:keepLines w:val="0"/>
        <w:spacing w:before="0" w:line="240" w:lineRule="auto"/>
        <w:rPr>
          <w:b/>
        </w:rPr>
      </w:pPr>
    </w:p>
    <w:p w:rsidR="004F1C95" w:rsidRPr="009075DC" w:rsidRDefault="004F1C95" w:rsidP="00734EBA">
      <w:pPr>
        <w:pStyle w:val="center"/>
        <w:keepLines w:val="0"/>
        <w:spacing w:before="0" w:line="240" w:lineRule="auto"/>
        <w:rPr>
          <w:b/>
        </w:rPr>
      </w:pPr>
    </w:p>
    <w:p w:rsidR="00F8418D" w:rsidRPr="009075DC" w:rsidRDefault="00F8418D" w:rsidP="00734EBA">
      <w:pPr>
        <w:pStyle w:val="center"/>
        <w:keepLines w:val="0"/>
        <w:spacing w:before="0" w:line="240" w:lineRule="auto"/>
        <w:rPr>
          <w:b/>
        </w:rPr>
      </w:pPr>
    </w:p>
    <w:p w:rsidR="00F8418D" w:rsidRPr="009075DC" w:rsidRDefault="00F8418D" w:rsidP="00734EBA">
      <w:pPr>
        <w:pStyle w:val="center"/>
        <w:keepLines w:val="0"/>
        <w:spacing w:before="0" w:line="240" w:lineRule="auto"/>
        <w:rPr>
          <w:b/>
        </w:rPr>
      </w:pPr>
    </w:p>
    <w:p w:rsidR="00F8418D" w:rsidRPr="009075DC" w:rsidRDefault="00F8418D" w:rsidP="00734EBA">
      <w:pPr>
        <w:pStyle w:val="center"/>
        <w:keepLines w:val="0"/>
        <w:spacing w:before="0" w:line="240" w:lineRule="auto"/>
        <w:rPr>
          <w:b/>
        </w:rPr>
      </w:pPr>
    </w:p>
    <w:p w:rsidR="00F8418D" w:rsidRPr="009075DC" w:rsidRDefault="00BC2ACE" w:rsidP="00734EBA">
      <w:pPr>
        <w:spacing w:line="240" w:lineRule="auto"/>
        <w:ind w:firstLine="0"/>
        <w:jc w:val="center"/>
        <w:rPr>
          <w:b/>
          <w:bCs/>
          <w:szCs w:val="24"/>
        </w:rPr>
      </w:pPr>
      <w:r>
        <w:rPr>
          <w:b/>
        </w:rPr>
        <w:t>A</w:t>
      </w:r>
      <w:r w:rsidR="007E4B2D">
        <w:rPr>
          <w:b/>
        </w:rPr>
        <w:t xml:space="preserve">UGUST </w:t>
      </w:r>
      <w:r>
        <w:rPr>
          <w:b/>
        </w:rPr>
        <w:t>9</w:t>
      </w:r>
      <w:r w:rsidR="00F8418D" w:rsidRPr="009075DC">
        <w:rPr>
          <w:b/>
        </w:rPr>
        <w:t>, 201</w:t>
      </w:r>
      <w:r w:rsidR="00B01500">
        <w:rPr>
          <w:b/>
        </w:rPr>
        <w:t>7</w:t>
      </w:r>
    </w:p>
    <w:p w:rsidR="00F8418D" w:rsidRPr="009075DC" w:rsidRDefault="00F8418D" w:rsidP="00734EBA">
      <w:pPr>
        <w:spacing w:line="240" w:lineRule="auto"/>
        <w:ind w:firstLine="0"/>
        <w:jc w:val="center"/>
        <w:rPr>
          <w:b/>
          <w:bCs/>
          <w:szCs w:val="24"/>
        </w:rPr>
        <w:sectPr w:rsidR="00F8418D" w:rsidRPr="009075DC">
          <w:headerReference w:type="default" r:id="rId9"/>
          <w:pgSz w:w="12240" w:h="15840" w:code="1"/>
          <w:pgMar w:top="1440" w:right="1440" w:bottom="1440" w:left="2160" w:header="720" w:footer="864" w:gutter="0"/>
          <w:pgNumType w:start="1"/>
          <w:cols w:space="720"/>
          <w:rtlGutter/>
        </w:sectPr>
      </w:pPr>
    </w:p>
    <w:p w:rsidR="00F8418D" w:rsidRPr="002B6EC5" w:rsidRDefault="00761068" w:rsidP="00902913">
      <w:pPr>
        <w:spacing w:before="240" w:after="480" w:line="240" w:lineRule="auto"/>
        <w:ind w:left="720" w:right="720" w:firstLine="0"/>
        <w:jc w:val="center"/>
        <w:rPr>
          <w:b/>
          <w:bCs/>
          <w:szCs w:val="24"/>
        </w:rPr>
      </w:pPr>
      <w:r w:rsidRPr="002B6EC5">
        <w:rPr>
          <w:b/>
          <w:bCs/>
          <w:szCs w:val="24"/>
        </w:rPr>
        <w:lastRenderedPageBreak/>
        <w:t>PUGET SOUND ENERGY</w:t>
      </w:r>
    </w:p>
    <w:p w:rsidR="00A706E6" w:rsidRPr="002B6EC5" w:rsidRDefault="00A706E6" w:rsidP="00A706E6">
      <w:pPr>
        <w:pStyle w:val="center"/>
        <w:keepLines w:val="0"/>
        <w:spacing w:before="0" w:line="240" w:lineRule="auto"/>
        <w:rPr>
          <w:b/>
        </w:rPr>
      </w:pPr>
      <w:bookmarkStart w:id="0" w:name="TOCTitle"/>
      <w:r w:rsidRPr="002B6EC5">
        <w:rPr>
          <w:b/>
        </w:rPr>
        <w:t>PREFILED REBUTTAL TESTIMONY</w:t>
      </w:r>
    </w:p>
    <w:p w:rsidR="00A706E6" w:rsidRPr="002B6EC5" w:rsidRDefault="001B57ED" w:rsidP="00902913">
      <w:pPr>
        <w:pStyle w:val="center"/>
        <w:keepLines w:val="0"/>
        <w:spacing w:before="0" w:line="240" w:lineRule="auto"/>
        <w:rPr>
          <w:b/>
        </w:rPr>
      </w:pPr>
      <w:r w:rsidRPr="002B6EC5">
        <w:rPr>
          <w:b/>
        </w:rPr>
        <w:t>(</w:t>
      </w:r>
      <w:r w:rsidR="00A706E6" w:rsidRPr="002B6EC5">
        <w:rPr>
          <w:b/>
        </w:rPr>
        <w:t>CONFIDENTIAL) OF</w:t>
      </w:r>
    </w:p>
    <w:p w:rsidR="00A706E6" w:rsidRPr="002B6EC5" w:rsidRDefault="00782962" w:rsidP="00A706E6">
      <w:pPr>
        <w:pStyle w:val="center"/>
        <w:keepLines w:val="0"/>
        <w:spacing w:before="0" w:line="240" w:lineRule="auto"/>
        <w:rPr>
          <w:b/>
        </w:rPr>
      </w:pPr>
      <w:r w:rsidRPr="002B6EC5">
        <w:rPr>
          <w:b/>
        </w:rPr>
        <w:t>JON A. PILIARIS</w:t>
      </w:r>
    </w:p>
    <w:p w:rsidR="00F8418D" w:rsidRPr="002B6EC5" w:rsidRDefault="00F8418D" w:rsidP="00902913">
      <w:pPr>
        <w:pStyle w:val="TOC1"/>
        <w:keepLines w:val="0"/>
        <w:ind w:firstLine="0"/>
        <w:jc w:val="center"/>
        <w:rPr>
          <w:b/>
          <w:bCs/>
          <w:color w:val="auto"/>
        </w:rPr>
      </w:pPr>
      <w:r w:rsidRPr="002B6EC5">
        <w:rPr>
          <w:b/>
          <w:bCs/>
          <w:color w:val="auto"/>
        </w:rPr>
        <w:t>CONTENTS</w:t>
      </w:r>
      <w:bookmarkEnd w:id="0"/>
    </w:p>
    <w:p w:rsidR="002B6EC5" w:rsidRPr="002B6EC5" w:rsidRDefault="00F8418D">
      <w:pPr>
        <w:pStyle w:val="TOC1"/>
        <w:rPr>
          <w:rFonts w:asciiTheme="minorHAnsi" w:eastAsiaTheme="minorEastAsia" w:hAnsiTheme="minorHAnsi" w:cstheme="minorBidi"/>
          <w:color w:val="auto"/>
          <w:sz w:val="22"/>
          <w:szCs w:val="22"/>
          <w:lang w:eastAsia="en-US"/>
        </w:rPr>
      </w:pPr>
      <w:r w:rsidRPr="002B6EC5">
        <w:rPr>
          <w:bCs/>
          <w:color w:val="auto"/>
        </w:rPr>
        <w:fldChar w:fldCharType="begin"/>
      </w:r>
      <w:r w:rsidRPr="002B6EC5">
        <w:rPr>
          <w:bCs/>
          <w:color w:val="auto"/>
        </w:rPr>
        <w:instrText xml:space="preserve"> TOC \o "1-5" \h \z \u </w:instrText>
      </w:r>
      <w:r w:rsidRPr="002B6EC5">
        <w:rPr>
          <w:bCs/>
          <w:color w:val="auto"/>
        </w:rPr>
        <w:fldChar w:fldCharType="separate"/>
      </w:r>
      <w:hyperlink w:anchor="_Toc489871464" w:history="1">
        <w:r w:rsidR="002B6EC5" w:rsidRPr="002B6EC5">
          <w:rPr>
            <w:rStyle w:val="Hyperlink"/>
            <w:color w:val="auto"/>
          </w:rPr>
          <w:t>I.</w:t>
        </w:r>
        <w:r w:rsidR="002B6EC5" w:rsidRPr="002B6EC5">
          <w:rPr>
            <w:rFonts w:asciiTheme="minorHAnsi" w:eastAsiaTheme="minorEastAsia" w:hAnsiTheme="minorHAnsi" w:cstheme="minorBidi"/>
            <w:color w:val="auto"/>
            <w:sz w:val="22"/>
            <w:szCs w:val="22"/>
            <w:lang w:eastAsia="en-US"/>
          </w:rPr>
          <w:tab/>
        </w:r>
        <w:r w:rsidR="002B6EC5" w:rsidRPr="002B6EC5">
          <w:rPr>
            <w:rStyle w:val="Hyperlink"/>
            <w:color w:val="auto"/>
          </w:rPr>
          <w:t>INTRODUCTION</w:t>
        </w:r>
        <w:r w:rsidR="002B6EC5" w:rsidRPr="002B6EC5">
          <w:rPr>
            <w:webHidden/>
            <w:color w:val="auto"/>
          </w:rPr>
          <w:tab/>
        </w:r>
        <w:r w:rsidR="002B6EC5" w:rsidRPr="002B6EC5">
          <w:rPr>
            <w:webHidden/>
            <w:color w:val="auto"/>
          </w:rPr>
          <w:fldChar w:fldCharType="begin"/>
        </w:r>
        <w:r w:rsidR="002B6EC5" w:rsidRPr="002B6EC5">
          <w:rPr>
            <w:webHidden/>
            <w:color w:val="auto"/>
          </w:rPr>
          <w:instrText xml:space="preserve"> PAGEREF _Toc489871464 \h </w:instrText>
        </w:r>
        <w:r w:rsidR="002B6EC5" w:rsidRPr="002B6EC5">
          <w:rPr>
            <w:webHidden/>
            <w:color w:val="auto"/>
          </w:rPr>
        </w:r>
        <w:r w:rsidR="002B6EC5" w:rsidRPr="002B6EC5">
          <w:rPr>
            <w:webHidden/>
            <w:color w:val="auto"/>
          </w:rPr>
          <w:fldChar w:fldCharType="separate"/>
        </w:r>
        <w:r w:rsidR="00C00764">
          <w:rPr>
            <w:webHidden/>
            <w:color w:val="auto"/>
          </w:rPr>
          <w:t>1</w:t>
        </w:r>
        <w:r w:rsidR="002B6EC5" w:rsidRPr="002B6EC5">
          <w:rPr>
            <w:webHidden/>
            <w:color w:val="auto"/>
          </w:rPr>
          <w:fldChar w:fldCharType="end"/>
        </w:r>
      </w:hyperlink>
    </w:p>
    <w:p w:rsidR="002B6EC5" w:rsidRPr="002B6EC5" w:rsidRDefault="00B06438">
      <w:pPr>
        <w:pStyle w:val="TOC1"/>
        <w:rPr>
          <w:rFonts w:asciiTheme="minorHAnsi" w:eastAsiaTheme="minorEastAsia" w:hAnsiTheme="minorHAnsi" w:cstheme="minorBidi"/>
          <w:color w:val="auto"/>
          <w:sz w:val="22"/>
          <w:szCs w:val="22"/>
          <w:lang w:eastAsia="en-US"/>
        </w:rPr>
      </w:pPr>
      <w:hyperlink w:anchor="_Toc489871465" w:history="1">
        <w:r w:rsidR="002B6EC5" w:rsidRPr="002B6EC5">
          <w:rPr>
            <w:rStyle w:val="Hyperlink"/>
            <w:color w:val="auto"/>
          </w:rPr>
          <w:t>II.</w:t>
        </w:r>
        <w:r w:rsidR="002B6EC5" w:rsidRPr="002B6EC5">
          <w:rPr>
            <w:rFonts w:asciiTheme="minorHAnsi" w:eastAsiaTheme="minorEastAsia" w:hAnsiTheme="minorHAnsi" w:cstheme="minorBidi"/>
            <w:color w:val="auto"/>
            <w:sz w:val="22"/>
            <w:szCs w:val="22"/>
            <w:lang w:eastAsia="en-US"/>
          </w:rPr>
          <w:tab/>
        </w:r>
        <w:r w:rsidR="002B6EC5" w:rsidRPr="002B6EC5">
          <w:rPr>
            <w:rStyle w:val="Hyperlink"/>
            <w:color w:val="auto"/>
          </w:rPr>
          <w:t>RESPONSE TO ISSUES RAISED REGARDING DECOUPLING MECHANISMS</w:t>
        </w:r>
        <w:r w:rsidR="002B6EC5" w:rsidRPr="002B6EC5">
          <w:rPr>
            <w:webHidden/>
            <w:color w:val="auto"/>
          </w:rPr>
          <w:tab/>
        </w:r>
        <w:r w:rsidR="002B6EC5" w:rsidRPr="002B6EC5">
          <w:rPr>
            <w:webHidden/>
            <w:color w:val="auto"/>
          </w:rPr>
          <w:fldChar w:fldCharType="begin"/>
        </w:r>
        <w:r w:rsidR="002B6EC5" w:rsidRPr="002B6EC5">
          <w:rPr>
            <w:webHidden/>
            <w:color w:val="auto"/>
          </w:rPr>
          <w:instrText xml:space="preserve"> PAGEREF _Toc489871465 \h </w:instrText>
        </w:r>
        <w:r w:rsidR="002B6EC5" w:rsidRPr="002B6EC5">
          <w:rPr>
            <w:webHidden/>
            <w:color w:val="auto"/>
          </w:rPr>
        </w:r>
        <w:r w:rsidR="002B6EC5" w:rsidRPr="002B6EC5">
          <w:rPr>
            <w:webHidden/>
            <w:color w:val="auto"/>
          </w:rPr>
          <w:fldChar w:fldCharType="separate"/>
        </w:r>
        <w:r w:rsidR="00C00764">
          <w:rPr>
            <w:webHidden/>
            <w:color w:val="auto"/>
          </w:rPr>
          <w:t>3</w:t>
        </w:r>
        <w:r w:rsidR="002B6EC5" w:rsidRPr="002B6EC5">
          <w:rPr>
            <w:webHidden/>
            <w:color w:val="auto"/>
          </w:rPr>
          <w:fldChar w:fldCharType="end"/>
        </w:r>
      </w:hyperlink>
    </w:p>
    <w:p w:rsidR="002B6EC5" w:rsidRPr="002B6EC5" w:rsidRDefault="00B06438">
      <w:pPr>
        <w:pStyle w:val="TOC2"/>
        <w:rPr>
          <w:rFonts w:asciiTheme="minorHAnsi" w:eastAsiaTheme="minorEastAsia" w:hAnsiTheme="minorHAnsi" w:cstheme="minorBidi"/>
          <w:color w:val="auto"/>
          <w:sz w:val="22"/>
          <w:szCs w:val="22"/>
          <w:lang w:eastAsia="en-US"/>
        </w:rPr>
      </w:pPr>
      <w:hyperlink w:anchor="_Toc489871466" w:history="1">
        <w:r w:rsidR="002B6EC5" w:rsidRPr="002B6EC5">
          <w:rPr>
            <w:rStyle w:val="Hyperlink"/>
            <w:color w:val="auto"/>
          </w:rPr>
          <w:t>A.</w:t>
        </w:r>
        <w:r w:rsidR="002B6EC5" w:rsidRPr="002B6EC5">
          <w:rPr>
            <w:rFonts w:asciiTheme="minorHAnsi" w:eastAsiaTheme="minorEastAsia" w:hAnsiTheme="minorHAnsi" w:cstheme="minorBidi"/>
            <w:color w:val="auto"/>
            <w:sz w:val="22"/>
            <w:szCs w:val="22"/>
            <w:lang w:eastAsia="en-US"/>
          </w:rPr>
          <w:tab/>
        </w:r>
        <w:r w:rsidR="002B6EC5" w:rsidRPr="002B6EC5">
          <w:rPr>
            <w:rStyle w:val="Hyperlink"/>
            <w:color w:val="auto"/>
          </w:rPr>
          <w:t>Continuation of Decoupling</w:t>
        </w:r>
        <w:r w:rsidR="002B6EC5" w:rsidRPr="002B6EC5">
          <w:rPr>
            <w:webHidden/>
            <w:color w:val="auto"/>
          </w:rPr>
          <w:tab/>
        </w:r>
        <w:r w:rsidR="002B6EC5" w:rsidRPr="002B6EC5">
          <w:rPr>
            <w:webHidden/>
            <w:color w:val="auto"/>
          </w:rPr>
          <w:fldChar w:fldCharType="begin"/>
        </w:r>
        <w:r w:rsidR="002B6EC5" w:rsidRPr="002B6EC5">
          <w:rPr>
            <w:webHidden/>
            <w:color w:val="auto"/>
          </w:rPr>
          <w:instrText xml:space="preserve"> PAGEREF _Toc489871466 \h </w:instrText>
        </w:r>
        <w:r w:rsidR="002B6EC5" w:rsidRPr="002B6EC5">
          <w:rPr>
            <w:webHidden/>
            <w:color w:val="auto"/>
          </w:rPr>
        </w:r>
        <w:r w:rsidR="002B6EC5" w:rsidRPr="002B6EC5">
          <w:rPr>
            <w:webHidden/>
            <w:color w:val="auto"/>
          </w:rPr>
          <w:fldChar w:fldCharType="separate"/>
        </w:r>
        <w:r w:rsidR="00C00764">
          <w:rPr>
            <w:webHidden/>
            <w:color w:val="auto"/>
          </w:rPr>
          <w:t>3</w:t>
        </w:r>
        <w:r w:rsidR="002B6EC5" w:rsidRPr="002B6EC5">
          <w:rPr>
            <w:webHidden/>
            <w:color w:val="auto"/>
          </w:rPr>
          <w:fldChar w:fldCharType="end"/>
        </w:r>
      </w:hyperlink>
    </w:p>
    <w:p w:rsidR="002B6EC5" w:rsidRPr="002B6EC5" w:rsidRDefault="00B06438">
      <w:pPr>
        <w:pStyle w:val="TOC2"/>
        <w:rPr>
          <w:rFonts w:asciiTheme="minorHAnsi" w:eastAsiaTheme="minorEastAsia" w:hAnsiTheme="minorHAnsi" w:cstheme="minorBidi"/>
          <w:color w:val="auto"/>
          <w:sz w:val="22"/>
          <w:szCs w:val="22"/>
          <w:lang w:eastAsia="en-US"/>
        </w:rPr>
      </w:pPr>
      <w:hyperlink w:anchor="_Toc489871467" w:history="1">
        <w:r w:rsidR="002B6EC5" w:rsidRPr="002B6EC5">
          <w:rPr>
            <w:rStyle w:val="Hyperlink"/>
            <w:color w:val="auto"/>
          </w:rPr>
          <w:t>B.</w:t>
        </w:r>
        <w:r w:rsidR="002B6EC5" w:rsidRPr="002B6EC5">
          <w:rPr>
            <w:rFonts w:asciiTheme="minorHAnsi" w:eastAsiaTheme="minorEastAsia" w:hAnsiTheme="minorHAnsi" w:cstheme="minorBidi"/>
            <w:color w:val="auto"/>
            <w:sz w:val="22"/>
            <w:szCs w:val="22"/>
            <w:lang w:eastAsia="en-US"/>
          </w:rPr>
          <w:tab/>
        </w:r>
        <w:r w:rsidR="002B6EC5" w:rsidRPr="002B6EC5">
          <w:rPr>
            <w:rStyle w:val="Hyperlink"/>
            <w:color w:val="auto"/>
          </w:rPr>
          <w:t>Inclusion of Fixed Production Costs in Electric Decoupling Mechanism</w:t>
        </w:r>
        <w:r w:rsidR="002B6EC5" w:rsidRPr="002B6EC5">
          <w:rPr>
            <w:webHidden/>
            <w:color w:val="auto"/>
          </w:rPr>
          <w:tab/>
        </w:r>
        <w:r w:rsidR="002B6EC5" w:rsidRPr="002B6EC5">
          <w:rPr>
            <w:webHidden/>
            <w:color w:val="auto"/>
          </w:rPr>
          <w:fldChar w:fldCharType="begin"/>
        </w:r>
        <w:r w:rsidR="002B6EC5" w:rsidRPr="002B6EC5">
          <w:rPr>
            <w:webHidden/>
            <w:color w:val="auto"/>
          </w:rPr>
          <w:instrText xml:space="preserve"> PAGEREF _Toc489871467 \h </w:instrText>
        </w:r>
        <w:r w:rsidR="002B6EC5" w:rsidRPr="002B6EC5">
          <w:rPr>
            <w:webHidden/>
            <w:color w:val="auto"/>
          </w:rPr>
        </w:r>
        <w:r w:rsidR="002B6EC5" w:rsidRPr="002B6EC5">
          <w:rPr>
            <w:webHidden/>
            <w:color w:val="auto"/>
          </w:rPr>
          <w:fldChar w:fldCharType="separate"/>
        </w:r>
        <w:r w:rsidR="00C00764">
          <w:rPr>
            <w:webHidden/>
            <w:color w:val="auto"/>
          </w:rPr>
          <w:t>6</w:t>
        </w:r>
        <w:r w:rsidR="002B6EC5" w:rsidRPr="002B6EC5">
          <w:rPr>
            <w:webHidden/>
            <w:color w:val="auto"/>
          </w:rPr>
          <w:fldChar w:fldCharType="end"/>
        </w:r>
      </w:hyperlink>
    </w:p>
    <w:p w:rsidR="002B6EC5" w:rsidRPr="002B6EC5" w:rsidRDefault="00B06438">
      <w:pPr>
        <w:pStyle w:val="TOC2"/>
        <w:rPr>
          <w:rFonts w:asciiTheme="minorHAnsi" w:eastAsiaTheme="minorEastAsia" w:hAnsiTheme="minorHAnsi" w:cstheme="minorBidi"/>
          <w:color w:val="auto"/>
          <w:sz w:val="22"/>
          <w:szCs w:val="22"/>
          <w:lang w:eastAsia="en-US"/>
        </w:rPr>
      </w:pPr>
      <w:hyperlink w:anchor="_Toc489871468" w:history="1">
        <w:r w:rsidR="002B6EC5" w:rsidRPr="002B6EC5">
          <w:rPr>
            <w:rStyle w:val="Hyperlink"/>
            <w:color w:val="auto"/>
          </w:rPr>
          <w:t>C.</w:t>
        </w:r>
        <w:r w:rsidR="002B6EC5" w:rsidRPr="002B6EC5">
          <w:rPr>
            <w:rFonts w:asciiTheme="minorHAnsi" w:eastAsiaTheme="minorEastAsia" w:hAnsiTheme="minorHAnsi" w:cstheme="minorBidi"/>
            <w:color w:val="auto"/>
            <w:sz w:val="22"/>
            <w:szCs w:val="22"/>
            <w:lang w:eastAsia="en-US"/>
          </w:rPr>
          <w:tab/>
        </w:r>
        <w:r w:rsidR="002B6EC5" w:rsidRPr="002B6EC5">
          <w:rPr>
            <w:rStyle w:val="Hyperlink"/>
            <w:color w:val="auto"/>
          </w:rPr>
          <w:t>Rate Test</w:t>
        </w:r>
        <w:r w:rsidR="002B6EC5" w:rsidRPr="002B6EC5">
          <w:rPr>
            <w:webHidden/>
            <w:color w:val="auto"/>
          </w:rPr>
          <w:tab/>
        </w:r>
        <w:r w:rsidR="002B6EC5" w:rsidRPr="002B6EC5">
          <w:rPr>
            <w:webHidden/>
            <w:color w:val="auto"/>
          </w:rPr>
          <w:fldChar w:fldCharType="begin"/>
        </w:r>
        <w:r w:rsidR="002B6EC5" w:rsidRPr="002B6EC5">
          <w:rPr>
            <w:webHidden/>
            <w:color w:val="auto"/>
          </w:rPr>
          <w:instrText xml:space="preserve"> PAGEREF _Toc489871468 \h </w:instrText>
        </w:r>
        <w:r w:rsidR="002B6EC5" w:rsidRPr="002B6EC5">
          <w:rPr>
            <w:webHidden/>
            <w:color w:val="auto"/>
          </w:rPr>
        </w:r>
        <w:r w:rsidR="002B6EC5" w:rsidRPr="002B6EC5">
          <w:rPr>
            <w:webHidden/>
            <w:color w:val="auto"/>
          </w:rPr>
          <w:fldChar w:fldCharType="separate"/>
        </w:r>
        <w:r w:rsidR="00C00764">
          <w:rPr>
            <w:webHidden/>
            <w:color w:val="auto"/>
          </w:rPr>
          <w:t>11</w:t>
        </w:r>
        <w:r w:rsidR="002B6EC5" w:rsidRPr="002B6EC5">
          <w:rPr>
            <w:webHidden/>
            <w:color w:val="auto"/>
          </w:rPr>
          <w:fldChar w:fldCharType="end"/>
        </w:r>
      </w:hyperlink>
    </w:p>
    <w:p w:rsidR="002B6EC5" w:rsidRPr="002B6EC5" w:rsidRDefault="00B06438">
      <w:pPr>
        <w:pStyle w:val="TOC2"/>
        <w:rPr>
          <w:rFonts w:asciiTheme="minorHAnsi" w:eastAsiaTheme="minorEastAsia" w:hAnsiTheme="minorHAnsi" w:cstheme="minorBidi"/>
          <w:color w:val="auto"/>
          <w:sz w:val="22"/>
          <w:szCs w:val="22"/>
          <w:lang w:eastAsia="en-US"/>
        </w:rPr>
      </w:pPr>
      <w:hyperlink w:anchor="_Toc489871469" w:history="1">
        <w:r w:rsidR="002B6EC5" w:rsidRPr="002B6EC5">
          <w:rPr>
            <w:rStyle w:val="Hyperlink"/>
            <w:color w:val="auto"/>
          </w:rPr>
          <w:t>D.</w:t>
        </w:r>
        <w:r w:rsidR="002B6EC5" w:rsidRPr="002B6EC5">
          <w:rPr>
            <w:rFonts w:asciiTheme="minorHAnsi" w:eastAsiaTheme="minorEastAsia" w:hAnsiTheme="minorHAnsi" w:cstheme="minorBidi"/>
            <w:color w:val="auto"/>
            <w:sz w:val="22"/>
            <w:szCs w:val="22"/>
            <w:lang w:eastAsia="en-US"/>
          </w:rPr>
          <w:tab/>
        </w:r>
        <w:r w:rsidR="002B6EC5" w:rsidRPr="002B6EC5">
          <w:rPr>
            <w:rStyle w:val="Hyperlink"/>
            <w:color w:val="auto"/>
          </w:rPr>
          <w:t>Decoupling Rate Groups</w:t>
        </w:r>
        <w:r w:rsidR="002B6EC5" w:rsidRPr="002B6EC5">
          <w:rPr>
            <w:webHidden/>
            <w:color w:val="auto"/>
          </w:rPr>
          <w:tab/>
        </w:r>
        <w:r w:rsidR="002B6EC5" w:rsidRPr="002B6EC5">
          <w:rPr>
            <w:webHidden/>
            <w:color w:val="auto"/>
          </w:rPr>
          <w:fldChar w:fldCharType="begin"/>
        </w:r>
        <w:r w:rsidR="002B6EC5" w:rsidRPr="002B6EC5">
          <w:rPr>
            <w:webHidden/>
            <w:color w:val="auto"/>
          </w:rPr>
          <w:instrText xml:space="preserve"> PAGEREF _Toc489871469 \h </w:instrText>
        </w:r>
        <w:r w:rsidR="002B6EC5" w:rsidRPr="002B6EC5">
          <w:rPr>
            <w:webHidden/>
            <w:color w:val="auto"/>
          </w:rPr>
        </w:r>
        <w:r w:rsidR="002B6EC5" w:rsidRPr="002B6EC5">
          <w:rPr>
            <w:webHidden/>
            <w:color w:val="auto"/>
          </w:rPr>
          <w:fldChar w:fldCharType="separate"/>
        </w:r>
        <w:r w:rsidR="00C00764">
          <w:rPr>
            <w:webHidden/>
            <w:color w:val="auto"/>
          </w:rPr>
          <w:t>16</w:t>
        </w:r>
        <w:r w:rsidR="002B6EC5" w:rsidRPr="002B6EC5">
          <w:rPr>
            <w:webHidden/>
            <w:color w:val="auto"/>
          </w:rPr>
          <w:fldChar w:fldCharType="end"/>
        </w:r>
      </w:hyperlink>
    </w:p>
    <w:p w:rsidR="002B6EC5" w:rsidRPr="002B6EC5" w:rsidRDefault="00B06438">
      <w:pPr>
        <w:pStyle w:val="TOC2"/>
        <w:rPr>
          <w:rFonts w:asciiTheme="minorHAnsi" w:eastAsiaTheme="minorEastAsia" w:hAnsiTheme="minorHAnsi" w:cstheme="minorBidi"/>
          <w:color w:val="auto"/>
          <w:sz w:val="22"/>
          <w:szCs w:val="22"/>
          <w:lang w:eastAsia="en-US"/>
        </w:rPr>
      </w:pPr>
      <w:hyperlink w:anchor="_Toc489871470" w:history="1">
        <w:r w:rsidR="002B6EC5" w:rsidRPr="002B6EC5">
          <w:rPr>
            <w:rStyle w:val="Hyperlink"/>
            <w:color w:val="auto"/>
          </w:rPr>
          <w:t>E.</w:t>
        </w:r>
        <w:r w:rsidR="002B6EC5" w:rsidRPr="002B6EC5">
          <w:rPr>
            <w:rFonts w:asciiTheme="minorHAnsi" w:eastAsiaTheme="minorEastAsia" w:hAnsiTheme="minorHAnsi" w:cstheme="minorBidi"/>
            <w:color w:val="auto"/>
            <w:sz w:val="22"/>
            <w:szCs w:val="22"/>
            <w:lang w:eastAsia="en-US"/>
          </w:rPr>
          <w:tab/>
        </w:r>
        <w:r w:rsidR="002B6EC5" w:rsidRPr="002B6EC5">
          <w:rPr>
            <w:rStyle w:val="Hyperlink"/>
            <w:color w:val="auto"/>
          </w:rPr>
          <w:t>Alternatives to Decoupling</w:t>
        </w:r>
        <w:r w:rsidR="002B6EC5" w:rsidRPr="002B6EC5">
          <w:rPr>
            <w:webHidden/>
            <w:color w:val="auto"/>
          </w:rPr>
          <w:tab/>
        </w:r>
        <w:r w:rsidR="002B6EC5" w:rsidRPr="002B6EC5">
          <w:rPr>
            <w:webHidden/>
            <w:color w:val="auto"/>
          </w:rPr>
          <w:fldChar w:fldCharType="begin"/>
        </w:r>
        <w:r w:rsidR="002B6EC5" w:rsidRPr="002B6EC5">
          <w:rPr>
            <w:webHidden/>
            <w:color w:val="auto"/>
          </w:rPr>
          <w:instrText xml:space="preserve"> PAGEREF _Toc489871470 \h </w:instrText>
        </w:r>
        <w:r w:rsidR="002B6EC5" w:rsidRPr="002B6EC5">
          <w:rPr>
            <w:webHidden/>
            <w:color w:val="auto"/>
          </w:rPr>
        </w:r>
        <w:r w:rsidR="002B6EC5" w:rsidRPr="002B6EC5">
          <w:rPr>
            <w:webHidden/>
            <w:color w:val="auto"/>
          </w:rPr>
          <w:fldChar w:fldCharType="separate"/>
        </w:r>
        <w:r w:rsidR="00C00764">
          <w:rPr>
            <w:webHidden/>
            <w:color w:val="auto"/>
          </w:rPr>
          <w:t>21</w:t>
        </w:r>
        <w:r w:rsidR="002B6EC5" w:rsidRPr="002B6EC5">
          <w:rPr>
            <w:webHidden/>
            <w:color w:val="auto"/>
          </w:rPr>
          <w:fldChar w:fldCharType="end"/>
        </w:r>
      </w:hyperlink>
    </w:p>
    <w:p w:rsidR="002B6EC5" w:rsidRPr="002B6EC5" w:rsidRDefault="00B06438">
      <w:pPr>
        <w:pStyle w:val="TOC3"/>
        <w:rPr>
          <w:rFonts w:asciiTheme="minorHAnsi" w:eastAsiaTheme="minorEastAsia" w:hAnsiTheme="minorHAnsi" w:cstheme="minorBidi"/>
          <w:color w:val="auto"/>
          <w:sz w:val="22"/>
          <w:szCs w:val="22"/>
          <w:lang w:eastAsia="en-US"/>
        </w:rPr>
      </w:pPr>
      <w:hyperlink w:anchor="_Toc489871471" w:history="1">
        <w:r w:rsidR="002B6EC5" w:rsidRPr="002B6EC5">
          <w:rPr>
            <w:rStyle w:val="Hyperlink"/>
            <w:color w:val="auto"/>
          </w:rPr>
          <w:t>1.</w:t>
        </w:r>
        <w:r w:rsidR="002B6EC5" w:rsidRPr="002B6EC5">
          <w:rPr>
            <w:rFonts w:asciiTheme="minorHAnsi" w:eastAsiaTheme="minorEastAsia" w:hAnsiTheme="minorHAnsi" w:cstheme="minorBidi"/>
            <w:color w:val="auto"/>
            <w:sz w:val="22"/>
            <w:szCs w:val="22"/>
            <w:lang w:eastAsia="en-US"/>
          </w:rPr>
          <w:tab/>
        </w:r>
        <w:r w:rsidR="002B6EC5" w:rsidRPr="002B6EC5">
          <w:rPr>
            <w:rStyle w:val="Hyperlink"/>
            <w:color w:val="auto"/>
          </w:rPr>
          <w:t>Rate Design Alternatives</w:t>
        </w:r>
        <w:r w:rsidR="002B6EC5" w:rsidRPr="002B6EC5">
          <w:rPr>
            <w:webHidden/>
            <w:color w:val="auto"/>
          </w:rPr>
          <w:tab/>
        </w:r>
        <w:r w:rsidR="002B6EC5" w:rsidRPr="002B6EC5">
          <w:rPr>
            <w:webHidden/>
            <w:color w:val="auto"/>
          </w:rPr>
          <w:fldChar w:fldCharType="begin"/>
        </w:r>
        <w:r w:rsidR="002B6EC5" w:rsidRPr="002B6EC5">
          <w:rPr>
            <w:webHidden/>
            <w:color w:val="auto"/>
          </w:rPr>
          <w:instrText xml:space="preserve"> PAGEREF _Toc489871471 \h </w:instrText>
        </w:r>
        <w:r w:rsidR="002B6EC5" w:rsidRPr="002B6EC5">
          <w:rPr>
            <w:webHidden/>
            <w:color w:val="auto"/>
          </w:rPr>
        </w:r>
        <w:r w:rsidR="002B6EC5" w:rsidRPr="002B6EC5">
          <w:rPr>
            <w:webHidden/>
            <w:color w:val="auto"/>
          </w:rPr>
          <w:fldChar w:fldCharType="separate"/>
        </w:r>
        <w:r w:rsidR="00C00764">
          <w:rPr>
            <w:webHidden/>
            <w:color w:val="auto"/>
          </w:rPr>
          <w:t>21</w:t>
        </w:r>
        <w:r w:rsidR="002B6EC5" w:rsidRPr="002B6EC5">
          <w:rPr>
            <w:webHidden/>
            <w:color w:val="auto"/>
          </w:rPr>
          <w:fldChar w:fldCharType="end"/>
        </w:r>
      </w:hyperlink>
    </w:p>
    <w:p w:rsidR="002B6EC5" w:rsidRPr="002B6EC5" w:rsidRDefault="00B06438">
      <w:pPr>
        <w:pStyle w:val="TOC3"/>
        <w:rPr>
          <w:rFonts w:asciiTheme="minorHAnsi" w:eastAsiaTheme="minorEastAsia" w:hAnsiTheme="minorHAnsi" w:cstheme="minorBidi"/>
          <w:color w:val="auto"/>
          <w:sz w:val="22"/>
          <w:szCs w:val="22"/>
          <w:lang w:eastAsia="en-US"/>
        </w:rPr>
      </w:pPr>
      <w:hyperlink w:anchor="_Toc489871472" w:history="1">
        <w:r w:rsidR="002B6EC5" w:rsidRPr="002B6EC5">
          <w:rPr>
            <w:rStyle w:val="Hyperlink"/>
            <w:color w:val="auto"/>
          </w:rPr>
          <w:t>2.</w:t>
        </w:r>
        <w:r w:rsidR="002B6EC5" w:rsidRPr="002B6EC5">
          <w:rPr>
            <w:rFonts w:asciiTheme="minorHAnsi" w:eastAsiaTheme="minorEastAsia" w:hAnsiTheme="minorHAnsi" w:cstheme="minorBidi"/>
            <w:color w:val="auto"/>
            <w:sz w:val="22"/>
            <w:szCs w:val="22"/>
            <w:lang w:eastAsia="en-US"/>
          </w:rPr>
          <w:tab/>
        </w:r>
        <w:r w:rsidR="002B6EC5" w:rsidRPr="002B6EC5">
          <w:rPr>
            <w:rStyle w:val="Hyperlink"/>
            <w:color w:val="auto"/>
          </w:rPr>
          <w:t>Other Forms of Decoupling</w:t>
        </w:r>
        <w:r w:rsidR="002B6EC5" w:rsidRPr="002B6EC5">
          <w:rPr>
            <w:webHidden/>
            <w:color w:val="auto"/>
          </w:rPr>
          <w:tab/>
        </w:r>
        <w:r w:rsidR="002B6EC5" w:rsidRPr="002B6EC5">
          <w:rPr>
            <w:webHidden/>
            <w:color w:val="auto"/>
          </w:rPr>
          <w:fldChar w:fldCharType="begin"/>
        </w:r>
        <w:r w:rsidR="002B6EC5" w:rsidRPr="002B6EC5">
          <w:rPr>
            <w:webHidden/>
            <w:color w:val="auto"/>
          </w:rPr>
          <w:instrText xml:space="preserve"> PAGEREF _Toc489871472 \h </w:instrText>
        </w:r>
        <w:r w:rsidR="002B6EC5" w:rsidRPr="002B6EC5">
          <w:rPr>
            <w:webHidden/>
            <w:color w:val="auto"/>
          </w:rPr>
        </w:r>
        <w:r w:rsidR="002B6EC5" w:rsidRPr="002B6EC5">
          <w:rPr>
            <w:webHidden/>
            <w:color w:val="auto"/>
          </w:rPr>
          <w:fldChar w:fldCharType="separate"/>
        </w:r>
        <w:r w:rsidR="00C00764">
          <w:rPr>
            <w:webHidden/>
            <w:color w:val="auto"/>
          </w:rPr>
          <w:t>22</w:t>
        </w:r>
        <w:r w:rsidR="002B6EC5" w:rsidRPr="002B6EC5">
          <w:rPr>
            <w:webHidden/>
            <w:color w:val="auto"/>
          </w:rPr>
          <w:fldChar w:fldCharType="end"/>
        </w:r>
      </w:hyperlink>
    </w:p>
    <w:p w:rsidR="002B6EC5" w:rsidRPr="002B6EC5" w:rsidRDefault="00B06438">
      <w:pPr>
        <w:pStyle w:val="TOC2"/>
        <w:rPr>
          <w:rFonts w:asciiTheme="minorHAnsi" w:eastAsiaTheme="minorEastAsia" w:hAnsiTheme="minorHAnsi" w:cstheme="minorBidi"/>
          <w:color w:val="auto"/>
          <w:sz w:val="22"/>
          <w:szCs w:val="22"/>
          <w:lang w:eastAsia="en-US"/>
        </w:rPr>
      </w:pPr>
      <w:hyperlink w:anchor="_Toc489871473" w:history="1">
        <w:r w:rsidR="002B6EC5" w:rsidRPr="002B6EC5">
          <w:rPr>
            <w:rStyle w:val="Hyperlink"/>
            <w:color w:val="auto"/>
          </w:rPr>
          <w:t>F.</w:t>
        </w:r>
        <w:r w:rsidR="002B6EC5" w:rsidRPr="002B6EC5">
          <w:rPr>
            <w:rFonts w:asciiTheme="minorHAnsi" w:eastAsiaTheme="minorEastAsia" w:hAnsiTheme="minorHAnsi" w:cstheme="minorBidi"/>
            <w:color w:val="auto"/>
            <w:sz w:val="22"/>
            <w:szCs w:val="22"/>
            <w:lang w:eastAsia="en-US"/>
          </w:rPr>
          <w:tab/>
        </w:r>
        <w:r w:rsidR="002B6EC5" w:rsidRPr="002B6EC5">
          <w:rPr>
            <w:rStyle w:val="Hyperlink"/>
            <w:color w:val="auto"/>
          </w:rPr>
          <w:t>Additional Low-Income Weatherization Funding</w:t>
        </w:r>
        <w:r w:rsidR="002B6EC5" w:rsidRPr="002B6EC5">
          <w:rPr>
            <w:webHidden/>
            <w:color w:val="auto"/>
          </w:rPr>
          <w:tab/>
        </w:r>
        <w:r w:rsidR="002B6EC5" w:rsidRPr="002B6EC5">
          <w:rPr>
            <w:webHidden/>
            <w:color w:val="auto"/>
          </w:rPr>
          <w:fldChar w:fldCharType="begin"/>
        </w:r>
        <w:r w:rsidR="002B6EC5" w:rsidRPr="002B6EC5">
          <w:rPr>
            <w:webHidden/>
            <w:color w:val="auto"/>
          </w:rPr>
          <w:instrText xml:space="preserve"> PAGEREF _Toc489871473 \h </w:instrText>
        </w:r>
        <w:r w:rsidR="002B6EC5" w:rsidRPr="002B6EC5">
          <w:rPr>
            <w:webHidden/>
            <w:color w:val="auto"/>
          </w:rPr>
        </w:r>
        <w:r w:rsidR="002B6EC5" w:rsidRPr="002B6EC5">
          <w:rPr>
            <w:webHidden/>
            <w:color w:val="auto"/>
          </w:rPr>
          <w:fldChar w:fldCharType="separate"/>
        </w:r>
        <w:r w:rsidR="00C00764">
          <w:rPr>
            <w:webHidden/>
            <w:color w:val="auto"/>
          </w:rPr>
          <w:t>25</w:t>
        </w:r>
        <w:r w:rsidR="002B6EC5" w:rsidRPr="002B6EC5">
          <w:rPr>
            <w:webHidden/>
            <w:color w:val="auto"/>
          </w:rPr>
          <w:fldChar w:fldCharType="end"/>
        </w:r>
      </w:hyperlink>
    </w:p>
    <w:p w:rsidR="002B6EC5" w:rsidRPr="002B6EC5" w:rsidRDefault="00B06438">
      <w:pPr>
        <w:pStyle w:val="TOC2"/>
        <w:rPr>
          <w:rFonts w:asciiTheme="minorHAnsi" w:eastAsiaTheme="minorEastAsia" w:hAnsiTheme="minorHAnsi" w:cstheme="minorBidi"/>
          <w:color w:val="auto"/>
          <w:sz w:val="22"/>
          <w:szCs w:val="22"/>
          <w:lang w:eastAsia="en-US"/>
        </w:rPr>
      </w:pPr>
      <w:hyperlink w:anchor="_Toc489871474" w:history="1">
        <w:r w:rsidR="002B6EC5" w:rsidRPr="002B6EC5">
          <w:rPr>
            <w:rStyle w:val="Hyperlink"/>
            <w:color w:val="auto"/>
          </w:rPr>
          <w:t>G.</w:t>
        </w:r>
        <w:r w:rsidR="002B6EC5" w:rsidRPr="002B6EC5">
          <w:rPr>
            <w:rFonts w:asciiTheme="minorHAnsi" w:eastAsiaTheme="minorEastAsia" w:hAnsiTheme="minorHAnsi" w:cstheme="minorBidi"/>
            <w:color w:val="auto"/>
            <w:sz w:val="22"/>
            <w:szCs w:val="22"/>
            <w:lang w:eastAsia="en-US"/>
          </w:rPr>
          <w:tab/>
        </w:r>
        <w:r w:rsidR="002B6EC5" w:rsidRPr="002B6EC5">
          <w:rPr>
            <w:rStyle w:val="Hyperlink"/>
            <w:color w:val="auto"/>
          </w:rPr>
          <w:t>Uncontested Elements of PSE’s Decoupling Proposal</w:t>
        </w:r>
        <w:r w:rsidR="002B6EC5" w:rsidRPr="002B6EC5">
          <w:rPr>
            <w:webHidden/>
            <w:color w:val="auto"/>
          </w:rPr>
          <w:tab/>
        </w:r>
        <w:r w:rsidR="002B6EC5" w:rsidRPr="002B6EC5">
          <w:rPr>
            <w:webHidden/>
            <w:color w:val="auto"/>
          </w:rPr>
          <w:fldChar w:fldCharType="begin"/>
        </w:r>
        <w:r w:rsidR="002B6EC5" w:rsidRPr="002B6EC5">
          <w:rPr>
            <w:webHidden/>
            <w:color w:val="auto"/>
          </w:rPr>
          <w:instrText xml:space="preserve"> PAGEREF _Toc489871474 \h </w:instrText>
        </w:r>
        <w:r w:rsidR="002B6EC5" w:rsidRPr="002B6EC5">
          <w:rPr>
            <w:webHidden/>
            <w:color w:val="auto"/>
          </w:rPr>
        </w:r>
        <w:r w:rsidR="002B6EC5" w:rsidRPr="002B6EC5">
          <w:rPr>
            <w:webHidden/>
            <w:color w:val="auto"/>
          </w:rPr>
          <w:fldChar w:fldCharType="separate"/>
        </w:r>
        <w:r w:rsidR="00C00764">
          <w:rPr>
            <w:webHidden/>
            <w:color w:val="auto"/>
          </w:rPr>
          <w:t>26</w:t>
        </w:r>
        <w:r w:rsidR="002B6EC5" w:rsidRPr="002B6EC5">
          <w:rPr>
            <w:webHidden/>
            <w:color w:val="auto"/>
          </w:rPr>
          <w:fldChar w:fldCharType="end"/>
        </w:r>
      </w:hyperlink>
    </w:p>
    <w:p w:rsidR="002B6EC5" w:rsidRPr="002B6EC5" w:rsidRDefault="00B06438">
      <w:pPr>
        <w:pStyle w:val="TOC1"/>
        <w:rPr>
          <w:rFonts w:asciiTheme="minorHAnsi" w:eastAsiaTheme="minorEastAsia" w:hAnsiTheme="minorHAnsi" w:cstheme="minorBidi"/>
          <w:color w:val="auto"/>
          <w:sz w:val="22"/>
          <w:szCs w:val="22"/>
          <w:lang w:eastAsia="en-US"/>
        </w:rPr>
      </w:pPr>
      <w:hyperlink w:anchor="_Toc489871475" w:history="1">
        <w:r w:rsidR="002B6EC5" w:rsidRPr="002B6EC5">
          <w:rPr>
            <w:rStyle w:val="Hyperlink"/>
            <w:color w:val="auto"/>
          </w:rPr>
          <w:t>III.</w:t>
        </w:r>
        <w:r w:rsidR="002B6EC5" w:rsidRPr="002B6EC5">
          <w:rPr>
            <w:rFonts w:asciiTheme="minorHAnsi" w:eastAsiaTheme="minorEastAsia" w:hAnsiTheme="minorHAnsi" w:cstheme="minorBidi"/>
            <w:color w:val="auto"/>
            <w:sz w:val="22"/>
            <w:szCs w:val="22"/>
            <w:lang w:eastAsia="en-US"/>
          </w:rPr>
          <w:tab/>
        </w:r>
        <w:r w:rsidR="002B6EC5" w:rsidRPr="002B6EC5">
          <w:rPr>
            <w:rStyle w:val="Hyperlink"/>
            <w:color w:val="auto"/>
          </w:rPr>
          <w:t>RESPONSE TO ISSUES RAISED REGARDING ELECTRIC COST OF SERVICE ANALYSIS</w:t>
        </w:r>
        <w:r w:rsidR="002B6EC5" w:rsidRPr="002B6EC5">
          <w:rPr>
            <w:webHidden/>
            <w:color w:val="auto"/>
          </w:rPr>
          <w:tab/>
        </w:r>
        <w:r w:rsidR="002B6EC5" w:rsidRPr="002B6EC5">
          <w:rPr>
            <w:webHidden/>
            <w:color w:val="auto"/>
          </w:rPr>
          <w:fldChar w:fldCharType="begin"/>
        </w:r>
        <w:r w:rsidR="002B6EC5" w:rsidRPr="002B6EC5">
          <w:rPr>
            <w:webHidden/>
            <w:color w:val="auto"/>
          </w:rPr>
          <w:instrText xml:space="preserve"> PAGEREF _Toc489871475 \h </w:instrText>
        </w:r>
        <w:r w:rsidR="002B6EC5" w:rsidRPr="002B6EC5">
          <w:rPr>
            <w:webHidden/>
            <w:color w:val="auto"/>
          </w:rPr>
        </w:r>
        <w:r w:rsidR="002B6EC5" w:rsidRPr="002B6EC5">
          <w:rPr>
            <w:webHidden/>
            <w:color w:val="auto"/>
          </w:rPr>
          <w:fldChar w:fldCharType="separate"/>
        </w:r>
        <w:r w:rsidR="00C00764">
          <w:rPr>
            <w:webHidden/>
            <w:color w:val="auto"/>
          </w:rPr>
          <w:t>27</w:t>
        </w:r>
        <w:r w:rsidR="002B6EC5" w:rsidRPr="002B6EC5">
          <w:rPr>
            <w:webHidden/>
            <w:color w:val="auto"/>
          </w:rPr>
          <w:fldChar w:fldCharType="end"/>
        </w:r>
      </w:hyperlink>
    </w:p>
    <w:p w:rsidR="002B6EC5" w:rsidRPr="002B6EC5" w:rsidRDefault="00B06438">
      <w:pPr>
        <w:pStyle w:val="TOC2"/>
        <w:rPr>
          <w:rFonts w:asciiTheme="minorHAnsi" w:eastAsiaTheme="minorEastAsia" w:hAnsiTheme="minorHAnsi" w:cstheme="minorBidi"/>
          <w:color w:val="auto"/>
          <w:sz w:val="22"/>
          <w:szCs w:val="22"/>
          <w:lang w:eastAsia="en-US"/>
        </w:rPr>
      </w:pPr>
      <w:hyperlink w:anchor="_Toc489871476" w:history="1">
        <w:r w:rsidR="002B6EC5" w:rsidRPr="002B6EC5">
          <w:rPr>
            <w:rStyle w:val="Hyperlink"/>
            <w:color w:val="auto"/>
          </w:rPr>
          <w:t>A.</w:t>
        </w:r>
        <w:r w:rsidR="002B6EC5" w:rsidRPr="002B6EC5">
          <w:rPr>
            <w:rFonts w:asciiTheme="minorHAnsi" w:eastAsiaTheme="minorEastAsia" w:hAnsiTheme="minorHAnsi" w:cstheme="minorBidi"/>
            <w:color w:val="auto"/>
            <w:sz w:val="22"/>
            <w:szCs w:val="22"/>
            <w:lang w:eastAsia="en-US"/>
          </w:rPr>
          <w:tab/>
        </w:r>
        <w:r w:rsidR="002B6EC5" w:rsidRPr="002B6EC5">
          <w:rPr>
            <w:rStyle w:val="Hyperlink"/>
            <w:color w:val="auto"/>
          </w:rPr>
          <w:t>Classification and Allocation of Power Costs</w:t>
        </w:r>
        <w:r w:rsidR="002B6EC5" w:rsidRPr="002B6EC5">
          <w:rPr>
            <w:webHidden/>
            <w:color w:val="auto"/>
          </w:rPr>
          <w:tab/>
        </w:r>
        <w:r w:rsidR="002B6EC5" w:rsidRPr="002B6EC5">
          <w:rPr>
            <w:webHidden/>
            <w:color w:val="auto"/>
          </w:rPr>
          <w:fldChar w:fldCharType="begin"/>
        </w:r>
        <w:r w:rsidR="002B6EC5" w:rsidRPr="002B6EC5">
          <w:rPr>
            <w:webHidden/>
            <w:color w:val="auto"/>
          </w:rPr>
          <w:instrText xml:space="preserve"> PAGEREF _Toc489871476 \h </w:instrText>
        </w:r>
        <w:r w:rsidR="002B6EC5" w:rsidRPr="002B6EC5">
          <w:rPr>
            <w:webHidden/>
            <w:color w:val="auto"/>
          </w:rPr>
        </w:r>
        <w:r w:rsidR="002B6EC5" w:rsidRPr="002B6EC5">
          <w:rPr>
            <w:webHidden/>
            <w:color w:val="auto"/>
          </w:rPr>
          <w:fldChar w:fldCharType="separate"/>
        </w:r>
        <w:r w:rsidR="00C00764">
          <w:rPr>
            <w:webHidden/>
            <w:color w:val="auto"/>
          </w:rPr>
          <w:t>27</w:t>
        </w:r>
        <w:r w:rsidR="002B6EC5" w:rsidRPr="002B6EC5">
          <w:rPr>
            <w:webHidden/>
            <w:color w:val="auto"/>
          </w:rPr>
          <w:fldChar w:fldCharType="end"/>
        </w:r>
      </w:hyperlink>
    </w:p>
    <w:p w:rsidR="002B6EC5" w:rsidRPr="002B6EC5" w:rsidRDefault="00B06438">
      <w:pPr>
        <w:pStyle w:val="TOC2"/>
        <w:rPr>
          <w:rFonts w:asciiTheme="minorHAnsi" w:eastAsiaTheme="minorEastAsia" w:hAnsiTheme="minorHAnsi" w:cstheme="minorBidi"/>
          <w:color w:val="auto"/>
          <w:sz w:val="22"/>
          <w:szCs w:val="22"/>
          <w:lang w:eastAsia="en-US"/>
        </w:rPr>
      </w:pPr>
      <w:hyperlink w:anchor="_Toc489871477" w:history="1">
        <w:r w:rsidR="002B6EC5" w:rsidRPr="002B6EC5">
          <w:rPr>
            <w:rStyle w:val="Hyperlink"/>
            <w:color w:val="auto"/>
          </w:rPr>
          <w:t>B.</w:t>
        </w:r>
        <w:r w:rsidR="002B6EC5" w:rsidRPr="002B6EC5">
          <w:rPr>
            <w:rFonts w:asciiTheme="minorHAnsi" w:eastAsiaTheme="minorEastAsia" w:hAnsiTheme="minorHAnsi" w:cstheme="minorBidi"/>
            <w:color w:val="auto"/>
            <w:sz w:val="22"/>
            <w:szCs w:val="22"/>
            <w:lang w:eastAsia="en-US"/>
          </w:rPr>
          <w:tab/>
        </w:r>
        <w:r w:rsidR="002B6EC5" w:rsidRPr="002B6EC5">
          <w:rPr>
            <w:rStyle w:val="Hyperlink"/>
            <w:color w:val="auto"/>
          </w:rPr>
          <w:t>Allocation of Income Taxes, State Excise Taxes and WUTC Fees</w:t>
        </w:r>
        <w:r w:rsidR="002B6EC5" w:rsidRPr="002B6EC5">
          <w:rPr>
            <w:webHidden/>
            <w:color w:val="auto"/>
          </w:rPr>
          <w:tab/>
        </w:r>
        <w:r w:rsidR="002B6EC5" w:rsidRPr="002B6EC5">
          <w:rPr>
            <w:webHidden/>
            <w:color w:val="auto"/>
          </w:rPr>
          <w:fldChar w:fldCharType="begin"/>
        </w:r>
        <w:r w:rsidR="002B6EC5" w:rsidRPr="002B6EC5">
          <w:rPr>
            <w:webHidden/>
            <w:color w:val="auto"/>
          </w:rPr>
          <w:instrText xml:space="preserve"> PAGEREF _Toc489871477 \h </w:instrText>
        </w:r>
        <w:r w:rsidR="002B6EC5" w:rsidRPr="002B6EC5">
          <w:rPr>
            <w:webHidden/>
            <w:color w:val="auto"/>
          </w:rPr>
        </w:r>
        <w:r w:rsidR="002B6EC5" w:rsidRPr="002B6EC5">
          <w:rPr>
            <w:webHidden/>
            <w:color w:val="auto"/>
          </w:rPr>
          <w:fldChar w:fldCharType="separate"/>
        </w:r>
        <w:r w:rsidR="00C00764">
          <w:rPr>
            <w:webHidden/>
            <w:color w:val="auto"/>
          </w:rPr>
          <w:t>32</w:t>
        </w:r>
        <w:r w:rsidR="002B6EC5" w:rsidRPr="002B6EC5">
          <w:rPr>
            <w:webHidden/>
            <w:color w:val="auto"/>
          </w:rPr>
          <w:fldChar w:fldCharType="end"/>
        </w:r>
      </w:hyperlink>
    </w:p>
    <w:p w:rsidR="002B6EC5" w:rsidRPr="002B6EC5" w:rsidRDefault="00B06438">
      <w:pPr>
        <w:pStyle w:val="TOC2"/>
        <w:rPr>
          <w:rFonts w:asciiTheme="minorHAnsi" w:eastAsiaTheme="minorEastAsia" w:hAnsiTheme="minorHAnsi" w:cstheme="minorBidi"/>
          <w:color w:val="auto"/>
          <w:sz w:val="22"/>
          <w:szCs w:val="22"/>
          <w:lang w:eastAsia="en-US"/>
        </w:rPr>
      </w:pPr>
      <w:hyperlink w:anchor="_Toc489871478" w:history="1">
        <w:r w:rsidR="002B6EC5" w:rsidRPr="002B6EC5">
          <w:rPr>
            <w:rStyle w:val="Hyperlink"/>
            <w:color w:val="auto"/>
          </w:rPr>
          <w:t>C.</w:t>
        </w:r>
        <w:r w:rsidR="002B6EC5" w:rsidRPr="002B6EC5">
          <w:rPr>
            <w:rFonts w:asciiTheme="minorHAnsi" w:eastAsiaTheme="minorEastAsia" w:hAnsiTheme="minorHAnsi" w:cstheme="minorBidi"/>
            <w:color w:val="auto"/>
            <w:sz w:val="22"/>
            <w:szCs w:val="22"/>
            <w:lang w:eastAsia="en-US"/>
          </w:rPr>
          <w:tab/>
        </w:r>
        <w:r w:rsidR="002B6EC5" w:rsidRPr="002B6EC5">
          <w:rPr>
            <w:rStyle w:val="Hyperlink"/>
            <w:color w:val="auto"/>
          </w:rPr>
          <w:t>Allocation of Certain Transmission-Related Expenses</w:t>
        </w:r>
        <w:r w:rsidR="002B6EC5" w:rsidRPr="002B6EC5">
          <w:rPr>
            <w:webHidden/>
            <w:color w:val="auto"/>
          </w:rPr>
          <w:tab/>
        </w:r>
        <w:r w:rsidR="002B6EC5" w:rsidRPr="002B6EC5">
          <w:rPr>
            <w:webHidden/>
            <w:color w:val="auto"/>
          </w:rPr>
          <w:fldChar w:fldCharType="begin"/>
        </w:r>
        <w:r w:rsidR="002B6EC5" w:rsidRPr="002B6EC5">
          <w:rPr>
            <w:webHidden/>
            <w:color w:val="auto"/>
          </w:rPr>
          <w:instrText xml:space="preserve"> PAGEREF _Toc489871478 \h </w:instrText>
        </w:r>
        <w:r w:rsidR="002B6EC5" w:rsidRPr="002B6EC5">
          <w:rPr>
            <w:webHidden/>
            <w:color w:val="auto"/>
          </w:rPr>
        </w:r>
        <w:r w:rsidR="002B6EC5" w:rsidRPr="002B6EC5">
          <w:rPr>
            <w:webHidden/>
            <w:color w:val="auto"/>
          </w:rPr>
          <w:fldChar w:fldCharType="separate"/>
        </w:r>
        <w:r w:rsidR="00C00764">
          <w:rPr>
            <w:webHidden/>
            <w:color w:val="auto"/>
          </w:rPr>
          <w:t>33</w:t>
        </w:r>
        <w:r w:rsidR="002B6EC5" w:rsidRPr="002B6EC5">
          <w:rPr>
            <w:webHidden/>
            <w:color w:val="auto"/>
          </w:rPr>
          <w:fldChar w:fldCharType="end"/>
        </w:r>
      </w:hyperlink>
    </w:p>
    <w:p w:rsidR="002B6EC5" w:rsidRPr="002B6EC5" w:rsidRDefault="00B06438">
      <w:pPr>
        <w:pStyle w:val="TOC1"/>
        <w:rPr>
          <w:rFonts w:asciiTheme="minorHAnsi" w:eastAsiaTheme="minorEastAsia" w:hAnsiTheme="minorHAnsi" w:cstheme="minorBidi"/>
          <w:color w:val="auto"/>
          <w:sz w:val="22"/>
          <w:szCs w:val="22"/>
          <w:lang w:eastAsia="en-US"/>
        </w:rPr>
      </w:pPr>
      <w:hyperlink w:anchor="_Toc489871479" w:history="1">
        <w:r w:rsidR="002B6EC5" w:rsidRPr="002B6EC5">
          <w:rPr>
            <w:rStyle w:val="Hyperlink"/>
            <w:color w:val="auto"/>
          </w:rPr>
          <w:t>IV.</w:t>
        </w:r>
        <w:r w:rsidR="002B6EC5" w:rsidRPr="002B6EC5">
          <w:rPr>
            <w:rFonts w:asciiTheme="minorHAnsi" w:eastAsiaTheme="minorEastAsia" w:hAnsiTheme="minorHAnsi" w:cstheme="minorBidi"/>
            <w:color w:val="auto"/>
            <w:sz w:val="22"/>
            <w:szCs w:val="22"/>
            <w:lang w:eastAsia="en-US"/>
          </w:rPr>
          <w:tab/>
        </w:r>
        <w:r w:rsidR="002B6EC5" w:rsidRPr="002B6EC5">
          <w:rPr>
            <w:rStyle w:val="Hyperlink"/>
            <w:color w:val="auto"/>
          </w:rPr>
          <w:t>RESPONSE TO ISSUES RAISED REGARDING ELECTRIC RATE SPREAD AND RATE DESIGN</w:t>
        </w:r>
        <w:r w:rsidR="002B6EC5" w:rsidRPr="002B6EC5">
          <w:rPr>
            <w:webHidden/>
            <w:color w:val="auto"/>
          </w:rPr>
          <w:tab/>
        </w:r>
        <w:r w:rsidR="002B6EC5" w:rsidRPr="002B6EC5">
          <w:rPr>
            <w:webHidden/>
            <w:color w:val="auto"/>
          </w:rPr>
          <w:fldChar w:fldCharType="begin"/>
        </w:r>
        <w:r w:rsidR="002B6EC5" w:rsidRPr="002B6EC5">
          <w:rPr>
            <w:webHidden/>
            <w:color w:val="auto"/>
          </w:rPr>
          <w:instrText xml:space="preserve"> PAGEREF _Toc489871479 \h </w:instrText>
        </w:r>
        <w:r w:rsidR="002B6EC5" w:rsidRPr="002B6EC5">
          <w:rPr>
            <w:webHidden/>
            <w:color w:val="auto"/>
          </w:rPr>
        </w:r>
        <w:r w:rsidR="002B6EC5" w:rsidRPr="002B6EC5">
          <w:rPr>
            <w:webHidden/>
            <w:color w:val="auto"/>
          </w:rPr>
          <w:fldChar w:fldCharType="separate"/>
        </w:r>
        <w:r w:rsidR="00C00764">
          <w:rPr>
            <w:webHidden/>
            <w:color w:val="auto"/>
          </w:rPr>
          <w:t>36</w:t>
        </w:r>
        <w:r w:rsidR="002B6EC5" w:rsidRPr="002B6EC5">
          <w:rPr>
            <w:webHidden/>
            <w:color w:val="auto"/>
          </w:rPr>
          <w:fldChar w:fldCharType="end"/>
        </w:r>
      </w:hyperlink>
    </w:p>
    <w:p w:rsidR="002B6EC5" w:rsidRPr="002B6EC5" w:rsidRDefault="00B06438">
      <w:pPr>
        <w:pStyle w:val="TOC2"/>
        <w:rPr>
          <w:rFonts w:asciiTheme="minorHAnsi" w:eastAsiaTheme="minorEastAsia" w:hAnsiTheme="minorHAnsi" w:cstheme="minorBidi"/>
          <w:color w:val="auto"/>
          <w:sz w:val="22"/>
          <w:szCs w:val="22"/>
          <w:lang w:eastAsia="en-US"/>
        </w:rPr>
      </w:pPr>
      <w:hyperlink w:anchor="_Toc489871480" w:history="1">
        <w:r w:rsidR="002B6EC5" w:rsidRPr="002B6EC5">
          <w:rPr>
            <w:rStyle w:val="Hyperlink"/>
            <w:color w:val="auto"/>
          </w:rPr>
          <w:t>A.</w:t>
        </w:r>
        <w:r w:rsidR="002B6EC5" w:rsidRPr="002B6EC5">
          <w:rPr>
            <w:rFonts w:asciiTheme="minorHAnsi" w:eastAsiaTheme="minorEastAsia" w:hAnsiTheme="minorHAnsi" w:cstheme="minorBidi"/>
            <w:color w:val="auto"/>
            <w:sz w:val="22"/>
            <w:szCs w:val="22"/>
            <w:lang w:eastAsia="en-US"/>
          </w:rPr>
          <w:tab/>
        </w:r>
        <w:r w:rsidR="002B6EC5" w:rsidRPr="002B6EC5">
          <w:rPr>
            <w:rStyle w:val="Hyperlink"/>
            <w:color w:val="auto"/>
          </w:rPr>
          <w:t>Rate Spread</w:t>
        </w:r>
        <w:r w:rsidR="002B6EC5" w:rsidRPr="002B6EC5">
          <w:rPr>
            <w:webHidden/>
            <w:color w:val="auto"/>
          </w:rPr>
          <w:tab/>
        </w:r>
        <w:r w:rsidR="002B6EC5" w:rsidRPr="002B6EC5">
          <w:rPr>
            <w:webHidden/>
            <w:color w:val="auto"/>
          </w:rPr>
          <w:fldChar w:fldCharType="begin"/>
        </w:r>
        <w:r w:rsidR="002B6EC5" w:rsidRPr="002B6EC5">
          <w:rPr>
            <w:webHidden/>
            <w:color w:val="auto"/>
          </w:rPr>
          <w:instrText xml:space="preserve"> PAGEREF _Toc489871480 \h </w:instrText>
        </w:r>
        <w:r w:rsidR="002B6EC5" w:rsidRPr="002B6EC5">
          <w:rPr>
            <w:webHidden/>
            <w:color w:val="auto"/>
          </w:rPr>
        </w:r>
        <w:r w:rsidR="002B6EC5" w:rsidRPr="002B6EC5">
          <w:rPr>
            <w:webHidden/>
            <w:color w:val="auto"/>
          </w:rPr>
          <w:fldChar w:fldCharType="separate"/>
        </w:r>
        <w:r w:rsidR="00C00764">
          <w:rPr>
            <w:webHidden/>
            <w:color w:val="auto"/>
          </w:rPr>
          <w:t>36</w:t>
        </w:r>
        <w:r w:rsidR="002B6EC5" w:rsidRPr="002B6EC5">
          <w:rPr>
            <w:webHidden/>
            <w:color w:val="auto"/>
          </w:rPr>
          <w:fldChar w:fldCharType="end"/>
        </w:r>
      </w:hyperlink>
    </w:p>
    <w:p w:rsidR="002B6EC5" w:rsidRPr="002B6EC5" w:rsidRDefault="00B06438">
      <w:pPr>
        <w:pStyle w:val="TOC2"/>
        <w:rPr>
          <w:rFonts w:asciiTheme="minorHAnsi" w:eastAsiaTheme="minorEastAsia" w:hAnsiTheme="minorHAnsi" w:cstheme="minorBidi"/>
          <w:color w:val="auto"/>
          <w:sz w:val="22"/>
          <w:szCs w:val="22"/>
          <w:lang w:eastAsia="en-US"/>
        </w:rPr>
      </w:pPr>
      <w:hyperlink w:anchor="_Toc489871481" w:history="1">
        <w:r w:rsidR="002B6EC5" w:rsidRPr="002B6EC5">
          <w:rPr>
            <w:rStyle w:val="Hyperlink"/>
            <w:color w:val="auto"/>
          </w:rPr>
          <w:t>B.</w:t>
        </w:r>
        <w:r w:rsidR="002B6EC5" w:rsidRPr="002B6EC5">
          <w:rPr>
            <w:rFonts w:asciiTheme="minorHAnsi" w:eastAsiaTheme="minorEastAsia" w:hAnsiTheme="minorHAnsi" w:cstheme="minorBidi"/>
            <w:color w:val="auto"/>
            <w:sz w:val="22"/>
            <w:szCs w:val="22"/>
            <w:lang w:eastAsia="en-US"/>
          </w:rPr>
          <w:tab/>
        </w:r>
        <w:r w:rsidR="002B6EC5" w:rsidRPr="002B6EC5">
          <w:rPr>
            <w:rStyle w:val="Hyperlink"/>
            <w:color w:val="auto"/>
          </w:rPr>
          <w:t>Residential Rate</w:t>
        </w:r>
        <w:r w:rsidR="002B6EC5" w:rsidRPr="002B6EC5">
          <w:rPr>
            <w:webHidden/>
            <w:color w:val="auto"/>
          </w:rPr>
          <w:tab/>
        </w:r>
        <w:r w:rsidR="002B6EC5" w:rsidRPr="002B6EC5">
          <w:rPr>
            <w:webHidden/>
            <w:color w:val="auto"/>
          </w:rPr>
          <w:fldChar w:fldCharType="begin"/>
        </w:r>
        <w:r w:rsidR="002B6EC5" w:rsidRPr="002B6EC5">
          <w:rPr>
            <w:webHidden/>
            <w:color w:val="auto"/>
          </w:rPr>
          <w:instrText xml:space="preserve"> PAGEREF _Toc489871481 \h </w:instrText>
        </w:r>
        <w:r w:rsidR="002B6EC5" w:rsidRPr="002B6EC5">
          <w:rPr>
            <w:webHidden/>
            <w:color w:val="auto"/>
          </w:rPr>
        </w:r>
        <w:r w:rsidR="002B6EC5" w:rsidRPr="002B6EC5">
          <w:rPr>
            <w:webHidden/>
            <w:color w:val="auto"/>
          </w:rPr>
          <w:fldChar w:fldCharType="separate"/>
        </w:r>
        <w:r w:rsidR="00C00764">
          <w:rPr>
            <w:webHidden/>
            <w:color w:val="auto"/>
          </w:rPr>
          <w:t>40</w:t>
        </w:r>
        <w:r w:rsidR="002B6EC5" w:rsidRPr="002B6EC5">
          <w:rPr>
            <w:webHidden/>
            <w:color w:val="auto"/>
          </w:rPr>
          <w:fldChar w:fldCharType="end"/>
        </w:r>
      </w:hyperlink>
    </w:p>
    <w:p w:rsidR="002B6EC5" w:rsidRPr="002B6EC5" w:rsidRDefault="00B06438">
      <w:pPr>
        <w:pStyle w:val="TOC3"/>
        <w:rPr>
          <w:rFonts w:asciiTheme="minorHAnsi" w:eastAsiaTheme="minorEastAsia" w:hAnsiTheme="minorHAnsi" w:cstheme="minorBidi"/>
          <w:color w:val="auto"/>
          <w:sz w:val="22"/>
          <w:szCs w:val="22"/>
          <w:lang w:eastAsia="en-US"/>
        </w:rPr>
      </w:pPr>
      <w:hyperlink w:anchor="_Toc489871482" w:history="1">
        <w:r w:rsidR="002B6EC5" w:rsidRPr="002B6EC5">
          <w:rPr>
            <w:rStyle w:val="Hyperlink"/>
            <w:color w:val="auto"/>
          </w:rPr>
          <w:t>1.</w:t>
        </w:r>
        <w:r w:rsidR="002B6EC5" w:rsidRPr="002B6EC5">
          <w:rPr>
            <w:rFonts w:asciiTheme="minorHAnsi" w:eastAsiaTheme="minorEastAsia" w:hAnsiTheme="minorHAnsi" w:cstheme="minorBidi"/>
            <w:color w:val="auto"/>
            <w:sz w:val="22"/>
            <w:szCs w:val="22"/>
            <w:lang w:eastAsia="en-US"/>
          </w:rPr>
          <w:tab/>
        </w:r>
        <w:r w:rsidR="002B6EC5" w:rsidRPr="002B6EC5">
          <w:rPr>
            <w:rStyle w:val="Hyperlink"/>
            <w:color w:val="auto"/>
          </w:rPr>
          <w:t>Basic and Minimum Charge</w:t>
        </w:r>
        <w:r w:rsidR="002B6EC5" w:rsidRPr="002B6EC5">
          <w:rPr>
            <w:webHidden/>
            <w:color w:val="auto"/>
          </w:rPr>
          <w:tab/>
        </w:r>
        <w:r w:rsidR="002B6EC5" w:rsidRPr="002B6EC5">
          <w:rPr>
            <w:webHidden/>
            <w:color w:val="auto"/>
          </w:rPr>
          <w:fldChar w:fldCharType="begin"/>
        </w:r>
        <w:r w:rsidR="002B6EC5" w:rsidRPr="002B6EC5">
          <w:rPr>
            <w:webHidden/>
            <w:color w:val="auto"/>
          </w:rPr>
          <w:instrText xml:space="preserve"> PAGEREF _Toc489871482 \h </w:instrText>
        </w:r>
        <w:r w:rsidR="002B6EC5" w:rsidRPr="002B6EC5">
          <w:rPr>
            <w:webHidden/>
            <w:color w:val="auto"/>
          </w:rPr>
        </w:r>
        <w:r w:rsidR="002B6EC5" w:rsidRPr="002B6EC5">
          <w:rPr>
            <w:webHidden/>
            <w:color w:val="auto"/>
          </w:rPr>
          <w:fldChar w:fldCharType="separate"/>
        </w:r>
        <w:r w:rsidR="00C00764">
          <w:rPr>
            <w:webHidden/>
            <w:color w:val="auto"/>
          </w:rPr>
          <w:t>41</w:t>
        </w:r>
        <w:r w:rsidR="002B6EC5" w:rsidRPr="002B6EC5">
          <w:rPr>
            <w:webHidden/>
            <w:color w:val="auto"/>
          </w:rPr>
          <w:fldChar w:fldCharType="end"/>
        </w:r>
      </w:hyperlink>
    </w:p>
    <w:p w:rsidR="002B6EC5" w:rsidRPr="002B6EC5" w:rsidRDefault="00B06438">
      <w:pPr>
        <w:pStyle w:val="TOC3"/>
        <w:rPr>
          <w:rFonts w:asciiTheme="minorHAnsi" w:eastAsiaTheme="minorEastAsia" w:hAnsiTheme="minorHAnsi" w:cstheme="minorBidi"/>
          <w:color w:val="auto"/>
          <w:sz w:val="22"/>
          <w:szCs w:val="22"/>
          <w:lang w:eastAsia="en-US"/>
        </w:rPr>
      </w:pPr>
      <w:hyperlink w:anchor="_Toc489871483" w:history="1">
        <w:r w:rsidR="002B6EC5" w:rsidRPr="002B6EC5">
          <w:rPr>
            <w:rStyle w:val="Hyperlink"/>
            <w:color w:val="auto"/>
          </w:rPr>
          <w:t>2.</w:t>
        </w:r>
        <w:r w:rsidR="002B6EC5" w:rsidRPr="002B6EC5">
          <w:rPr>
            <w:rFonts w:asciiTheme="minorHAnsi" w:eastAsiaTheme="minorEastAsia" w:hAnsiTheme="minorHAnsi" w:cstheme="minorBidi"/>
            <w:color w:val="auto"/>
            <w:sz w:val="22"/>
            <w:szCs w:val="22"/>
            <w:lang w:eastAsia="en-US"/>
          </w:rPr>
          <w:tab/>
        </w:r>
        <w:r w:rsidR="002B6EC5" w:rsidRPr="002B6EC5">
          <w:rPr>
            <w:rStyle w:val="Hyperlink"/>
            <w:color w:val="auto"/>
          </w:rPr>
          <w:t>Seasonal Energy Rates</w:t>
        </w:r>
        <w:r w:rsidR="002B6EC5" w:rsidRPr="002B6EC5">
          <w:rPr>
            <w:webHidden/>
            <w:color w:val="auto"/>
          </w:rPr>
          <w:tab/>
        </w:r>
        <w:r w:rsidR="002B6EC5" w:rsidRPr="002B6EC5">
          <w:rPr>
            <w:webHidden/>
            <w:color w:val="auto"/>
          </w:rPr>
          <w:fldChar w:fldCharType="begin"/>
        </w:r>
        <w:r w:rsidR="002B6EC5" w:rsidRPr="002B6EC5">
          <w:rPr>
            <w:webHidden/>
            <w:color w:val="auto"/>
          </w:rPr>
          <w:instrText xml:space="preserve"> PAGEREF _Toc489871483 \h </w:instrText>
        </w:r>
        <w:r w:rsidR="002B6EC5" w:rsidRPr="002B6EC5">
          <w:rPr>
            <w:webHidden/>
            <w:color w:val="auto"/>
          </w:rPr>
        </w:r>
        <w:r w:rsidR="002B6EC5" w:rsidRPr="002B6EC5">
          <w:rPr>
            <w:webHidden/>
            <w:color w:val="auto"/>
          </w:rPr>
          <w:fldChar w:fldCharType="separate"/>
        </w:r>
        <w:r w:rsidR="00C00764">
          <w:rPr>
            <w:webHidden/>
            <w:color w:val="auto"/>
          </w:rPr>
          <w:t>51</w:t>
        </w:r>
        <w:r w:rsidR="002B6EC5" w:rsidRPr="002B6EC5">
          <w:rPr>
            <w:webHidden/>
            <w:color w:val="auto"/>
          </w:rPr>
          <w:fldChar w:fldCharType="end"/>
        </w:r>
      </w:hyperlink>
    </w:p>
    <w:p w:rsidR="002B6EC5" w:rsidRPr="002B6EC5" w:rsidRDefault="00B06438">
      <w:pPr>
        <w:pStyle w:val="TOC3"/>
        <w:rPr>
          <w:rFonts w:asciiTheme="minorHAnsi" w:eastAsiaTheme="minorEastAsia" w:hAnsiTheme="minorHAnsi" w:cstheme="minorBidi"/>
          <w:color w:val="auto"/>
          <w:sz w:val="22"/>
          <w:szCs w:val="22"/>
          <w:lang w:eastAsia="en-US"/>
        </w:rPr>
      </w:pPr>
      <w:hyperlink w:anchor="_Toc489871484" w:history="1">
        <w:r w:rsidR="002B6EC5" w:rsidRPr="002B6EC5">
          <w:rPr>
            <w:rStyle w:val="Hyperlink"/>
            <w:color w:val="auto"/>
          </w:rPr>
          <w:t>3.</w:t>
        </w:r>
        <w:r w:rsidR="002B6EC5" w:rsidRPr="002B6EC5">
          <w:rPr>
            <w:rFonts w:asciiTheme="minorHAnsi" w:eastAsiaTheme="minorEastAsia" w:hAnsiTheme="minorHAnsi" w:cstheme="minorBidi"/>
            <w:color w:val="auto"/>
            <w:sz w:val="22"/>
            <w:szCs w:val="22"/>
            <w:lang w:eastAsia="en-US"/>
          </w:rPr>
          <w:tab/>
        </w:r>
        <w:r w:rsidR="002B6EC5" w:rsidRPr="002B6EC5">
          <w:rPr>
            <w:rStyle w:val="Hyperlink"/>
            <w:color w:val="auto"/>
          </w:rPr>
          <w:t>Third-Block Rates</w:t>
        </w:r>
        <w:r w:rsidR="002B6EC5" w:rsidRPr="002B6EC5">
          <w:rPr>
            <w:webHidden/>
            <w:color w:val="auto"/>
          </w:rPr>
          <w:tab/>
        </w:r>
        <w:r w:rsidR="002B6EC5" w:rsidRPr="002B6EC5">
          <w:rPr>
            <w:webHidden/>
            <w:color w:val="auto"/>
          </w:rPr>
          <w:fldChar w:fldCharType="begin"/>
        </w:r>
        <w:r w:rsidR="002B6EC5" w:rsidRPr="002B6EC5">
          <w:rPr>
            <w:webHidden/>
            <w:color w:val="auto"/>
          </w:rPr>
          <w:instrText xml:space="preserve"> PAGEREF _Toc489871484 \h </w:instrText>
        </w:r>
        <w:r w:rsidR="002B6EC5" w:rsidRPr="002B6EC5">
          <w:rPr>
            <w:webHidden/>
            <w:color w:val="auto"/>
          </w:rPr>
        </w:r>
        <w:r w:rsidR="002B6EC5" w:rsidRPr="002B6EC5">
          <w:rPr>
            <w:webHidden/>
            <w:color w:val="auto"/>
          </w:rPr>
          <w:fldChar w:fldCharType="separate"/>
        </w:r>
        <w:r w:rsidR="00C00764">
          <w:rPr>
            <w:webHidden/>
            <w:color w:val="auto"/>
          </w:rPr>
          <w:t>55</w:t>
        </w:r>
        <w:r w:rsidR="002B6EC5" w:rsidRPr="002B6EC5">
          <w:rPr>
            <w:webHidden/>
            <w:color w:val="auto"/>
          </w:rPr>
          <w:fldChar w:fldCharType="end"/>
        </w:r>
      </w:hyperlink>
    </w:p>
    <w:p w:rsidR="002B6EC5" w:rsidRPr="002B6EC5" w:rsidRDefault="00B06438">
      <w:pPr>
        <w:pStyle w:val="TOC2"/>
        <w:rPr>
          <w:rFonts w:asciiTheme="minorHAnsi" w:eastAsiaTheme="minorEastAsia" w:hAnsiTheme="minorHAnsi" w:cstheme="minorBidi"/>
          <w:color w:val="auto"/>
          <w:sz w:val="22"/>
          <w:szCs w:val="22"/>
          <w:lang w:eastAsia="en-US"/>
        </w:rPr>
      </w:pPr>
      <w:hyperlink w:anchor="_Toc489871485" w:history="1">
        <w:r w:rsidR="002B6EC5" w:rsidRPr="002B6EC5">
          <w:rPr>
            <w:rStyle w:val="Hyperlink"/>
            <w:color w:val="auto"/>
          </w:rPr>
          <w:t>C.</w:t>
        </w:r>
        <w:r w:rsidR="002B6EC5" w:rsidRPr="002B6EC5">
          <w:rPr>
            <w:rFonts w:asciiTheme="minorHAnsi" w:eastAsiaTheme="minorEastAsia" w:hAnsiTheme="minorHAnsi" w:cstheme="minorBidi"/>
            <w:color w:val="auto"/>
            <w:sz w:val="22"/>
            <w:szCs w:val="22"/>
            <w:lang w:eastAsia="en-US"/>
          </w:rPr>
          <w:tab/>
        </w:r>
        <w:r w:rsidR="002B6EC5" w:rsidRPr="002B6EC5">
          <w:rPr>
            <w:rStyle w:val="Hyperlink"/>
            <w:color w:val="auto"/>
          </w:rPr>
          <w:t>Non-Residential Rate Design</w:t>
        </w:r>
        <w:r w:rsidR="002B6EC5" w:rsidRPr="002B6EC5">
          <w:rPr>
            <w:webHidden/>
            <w:color w:val="auto"/>
          </w:rPr>
          <w:tab/>
        </w:r>
        <w:r w:rsidR="002B6EC5" w:rsidRPr="002B6EC5">
          <w:rPr>
            <w:webHidden/>
            <w:color w:val="auto"/>
          </w:rPr>
          <w:fldChar w:fldCharType="begin"/>
        </w:r>
        <w:r w:rsidR="002B6EC5" w:rsidRPr="002B6EC5">
          <w:rPr>
            <w:webHidden/>
            <w:color w:val="auto"/>
          </w:rPr>
          <w:instrText xml:space="preserve"> PAGEREF _Toc489871485 \h </w:instrText>
        </w:r>
        <w:r w:rsidR="002B6EC5" w:rsidRPr="002B6EC5">
          <w:rPr>
            <w:webHidden/>
            <w:color w:val="auto"/>
          </w:rPr>
        </w:r>
        <w:r w:rsidR="002B6EC5" w:rsidRPr="002B6EC5">
          <w:rPr>
            <w:webHidden/>
            <w:color w:val="auto"/>
          </w:rPr>
          <w:fldChar w:fldCharType="separate"/>
        </w:r>
        <w:r w:rsidR="00C00764">
          <w:rPr>
            <w:webHidden/>
            <w:color w:val="auto"/>
          </w:rPr>
          <w:t>57</w:t>
        </w:r>
        <w:r w:rsidR="002B6EC5" w:rsidRPr="002B6EC5">
          <w:rPr>
            <w:webHidden/>
            <w:color w:val="auto"/>
          </w:rPr>
          <w:fldChar w:fldCharType="end"/>
        </w:r>
      </w:hyperlink>
    </w:p>
    <w:p w:rsidR="002B6EC5" w:rsidRPr="002B6EC5" w:rsidRDefault="00B06438">
      <w:pPr>
        <w:pStyle w:val="TOC2"/>
        <w:rPr>
          <w:rFonts w:asciiTheme="minorHAnsi" w:eastAsiaTheme="minorEastAsia" w:hAnsiTheme="minorHAnsi" w:cstheme="minorBidi"/>
          <w:color w:val="auto"/>
          <w:sz w:val="22"/>
          <w:szCs w:val="22"/>
          <w:lang w:eastAsia="en-US"/>
        </w:rPr>
      </w:pPr>
      <w:hyperlink w:anchor="_Toc489871486" w:history="1">
        <w:r w:rsidR="002B6EC5" w:rsidRPr="002B6EC5">
          <w:rPr>
            <w:rStyle w:val="Hyperlink"/>
            <w:color w:val="auto"/>
          </w:rPr>
          <w:t>D.</w:t>
        </w:r>
        <w:r w:rsidR="002B6EC5" w:rsidRPr="002B6EC5">
          <w:rPr>
            <w:rFonts w:asciiTheme="minorHAnsi" w:eastAsiaTheme="minorEastAsia" w:hAnsiTheme="minorHAnsi" w:cstheme="minorBidi"/>
            <w:color w:val="auto"/>
            <w:sz w:val="22"/>
            <w:szCs w:val="22"/>
            <w:lang w:eastAsia="en-US"/>
          </w:rPr>
          <w:tab/>
        </w:r>
        <w:r w:rsidR="002B6EC5" w:rsidRPr="002B6EC5">
          <w:rPr>
            <w:rStyle w:val="Hyperlink"/>
            <w:color w:val="auto"/>
          </w:rPr>
          <w:t>Schedule 40</w:t>
        </w:r>
        <w:r w:rsidR="002B6EC5" w:rsidRPr="002B6EC5">
          <w:rPr>
            <w:webHidden/>
            <w:color w:val="auto"/>
          </w:rPr>
          <w:tab/>
        </w:r>
        <w:r w:rsidR="002B6EC5" w:rsidRPr="002B6EC5">
          <w:rPr>
            <w:webHidden/>
            <w:color w:val="auto"/>
          </w:rPr>
          <w:fldChar w:fldCharType="begin"/>
        </w:r>
        <w:r w:rsidR="002B6EC5" w:rsidRPr="002B6EC5">
          <w:rPr>
            <w:webHidden/>
            <w:color w:val="auto"/>
          </w:rPr>
          <w:instrText xml:space="preserve"> PAGEREF _Toc489871486 \h </w:instrText>
        </w:r>
        <w:r w:rsidR="002B6EC5" w:rsidRPr="002B6EC5">
          <w:rPr>
            <w:webHidden/>
            <w:color w:val="auto"/>
          </w:rPr>
        </w:r>
        <w:r w:rsidR="002B6EC5" w:rsidRPr="002B6EC5">
          <w:rPr>
            <w:webHidden/>
            <w:color w:val="auto"/>
          </w:rPr>
          <w:fldChar w:fldCharType="separate"/>
        </w:r>
        <w:r w:rsidR="00C00764">
          <w:rPr>
            <w:webHidden/>
            <w:color w:val="auto"/>
          </w:rPr>
          <w:t>60</w:t>
        </w:r>
        <w:r w:rsidR="002B6EC5" w:rsidRPr="002B6EC5">
          <w:rPr>
            <w:webHidden/>
            <w:color w:val="auto"/>
          </w:rPr>
          <w:fldChar w:fldCharType="end"/>
        </w:r>
      </w:hyperlink>
    </w:p>
    <w:p w:rsidR="002B6EC5" w:rsidRPr="002B6EC5" w:rsidRDefault="00B06438">
      <w:pPr>
        <w:pStyle w:val="TOC3"/>
        <w:rPr>
          <w:rFonts w:asciiTheme="minorHAnsi" w:eastAsiaTheme="minorEastAsia" w:hAnsiTheme="minorHAnsi" w:cstheme="minorBidi"/>
          <w:color w:val="auto"/>
          <w:sz w:val="22"/>
          <w:szCs w:val="22"/>
          <w:lang w:eastAsia="en-US"/>
        </w:rPr>
      </w:pPr>
      <w:hyperlink w:anchor="_Toc489871487" w:history="1">
        <w:r w:rsidR="002B6EC5" w:rsidRPr="002B6EC5">
          <w:rPr>
            <w:rStyle w:val="Hyperlink"/>
            <w:color w:val="auto"/>
          </w:rPr>
          <w:t>1.</w:t>
        </w:r>
        <w:r w:rsidR="002B6EC5" w:rsidRPr="002B6EC5">
          <w:rPr>
            <w:rFonts w:asciiTheme="minorHAnsi" w:eastAsiaTheme="minorEastAsia" w:hAnsiTheme="minorHAnsi" w:cstheme="minorBidi"/>
            <w:color w:val="auto"/>
            <w:sz w:val="22"/>
            <w:szCs w:val="22"/>
            <w:lang w:eastAsia="en-US"/>
          </w:rPr>
          <w:tab/>
        </w:r>
        <w:r w:rsidR="002B6EC5" w:rsidRPr="002B6EC5">
          <w:rPr>
            <w:rStyle w:val="Hyperlink"/>
            <w:color w:val="auto"/>
          </w:rPr>
          <w:t>Substation Costs</w:t>
        </w:r>
        <w:r w:rsidR="002B6EC5" w:rsidRPr="002B6EC5">
          <w:rPr>
            <w:webHidden/>
            <w:color w:val="auto"/>
          </w:rPr>
          <w:tab/>
        </w:r>
        <w:r w:rsidR="002B6EC5" w:rsidRPr="002B6EC5">
          <w:rPr>
            <w:webHidden/>
            <w:color w:val="auto"/>
          </w:rPr>
          <w:fldChar w:fldCharType="begin"/>
        </w:r>
        <w:r w:rsidR="002B6EC5" w:rsidRPr="002B6EC5">
          <w:rPr>
            <w:webHidden/>
            <w:color w:val="auto"/>
          </w:rPr>
          <w:instrText xml:space="preserve"> PAGEREF _Toc489871487 \h </w:instrText>
        </w:r>
        <w:r w:rsidR="002B6EC5" w:rsidRPr="002B6EC5">
          <w:rPr>
            <w:webHidden/>
            <w:color w:val="auto"/>
          </w:rPr>
        </w:r>
        <w:r w:rsidR="002B6EC5" w:rsidRPr="002B6EC5">
          <w:rPr>
            <w:webHidden/>
            <w:color w:val="auto"/>
          </w:rPr>
          <w:fldChar w:fldCharType="separate"/>
        </w:r>
        <w:r w:rsidR="00C00764">
          <w:rPr>
            <w:webHidden/>
            <w:color w:val="auto"/>
          </w:rPr>
          <w:t>60</w:t>
        </w:r>
        <w:r w:rsidR="002B6EC5" w:rsidRPr="002B6EC5">
          <w:rPr>
            <w:webHidden/>
            <w:color w:val="auto"/>
          </w:rPr>
          <w:fldChar w:fldCharType="end"/>
        </w:r>
      </w:hyperlink>
    </w:p>
    <w:p w:rsidR="002B6EC5" w:rsidRPr="002B6EC5" w:rsidRDefault="00B06438">
      <w:pPr>
        <w:pStyle w:val="TOC3"/>
        <w:rPr>
          <w:rFonts w:asciiTheme="minorHAnsi" w:eastAsiaTheme="minorEastAsia" w:hAnsiTheme="minorHAnsi" w:cstheme="minorBidi"/>
          <w:color w:val="auto"/>
          <w:sz w:val="22"/>
          <w:szCs w:val="22"/>
          <w:lang w:eastAsia="en-US"/>
        </w:rPr>
      </w:pPr>
      <w:hyperlink w:anchor="_Toc489871488" w:history="1">
        <w:r w:rsidR="002B6EC5" w:rsidRPr="002B6EC5">
          <w:rPr>
            <w:rStyle w:val="Hyperlink"/>
            <w:color w:val="auto"/>
          </w:rPr>
          <w:t>2.</w:t>
        </w:r>
        <w:r w:rsidR="002B6EC5" w:rsidRPr="002B6EC5">
          <w:rPr>
            <w:rFonts w:asciiTheme="minorHAnsi" w:eastAsiaTheme="minorEastAsia" w:hAnsiTheme="minorHAnsi" w:cstheme="minorBidi"/>
            <w:color w:val="auto"/>
            <w:sz w:val="22"/>
            <w:szCs w:val="22"/>
            <w:lang w:eastAsia="en-US"/>
          </w:rPr>
          <w:tab/>
        </w:r>
        <w:r w:rsidR="002B6EC5" w:rsidRPr="002B6EC5">
          <w:rPr>
            <w:rStyle w:val="Hyperlink"/>
            <w:color w:val="auto"/>
          </w:rPr>
          <w:t>Continuation of Schedule 40</w:t>
        </w:r>
        <w:r w:rsidR="002B6EC5" w:rsidRPr="002B6EC5">
          <w:rPr>
            <w:webHidden/>
            <w:color w:val="auto"/>
          </w:rPr>
          <w:tab/>
        </w:r>
        <w:r w:rsidR="002B6EC5" w:rsidRPr="002B6EC5">
          <w:rPr>
            <w:webHidden/>
            <w:color w:val="auto"/>
          </w:rPr>
          <w:fldChar w:fldCharType="begin"/>
        </w:r>
        <w:r w:rsidR="002B6EC5" w:rsidRPr="002B6EC5">
          <w:rPr>
            <w:webHidden/>
            <w:color w:val="auto"/>
          </w:rPr>
          <w:instrText xml:space="preserve"> PAGEREF _Toc489871488 \h </w:instrText>
        </w:r>
        <w:r w:rsidR="002B6EC5" w:rsidRPr="002B6EC5">
          <w:rPr>
            <w:webHidden/>
            <w:color w:val="auto"/>
          </w:rPr>
        </w:r>
        <w:r w:rsidR="002B6EC5" w:rsidRPr="002B6EC5">
          <w:rPr>
            <w:webHidden/>
            <w:color w:val="auto"/>
          </w:rPr>
          <w:fldChar w:fldCharType="separate"/>
        </w:r>
        <w:r w:rsidR="00C00764">
          <w:rPr>
            <w:webHidden/>
            <w:color w:val="auto"/>
          </w:rPr>
          <w:t>62</w:t>
        </w:r>
        <w:r w:rsidR="002B6EC5" w:rsidRPr="002B6EC5">
          <w:rPr>
            <w:webHidden/>
            <w:color w:val="auto"/>
          </w:rPr>
          <w:fldChar w:fldCharType="end"/>
        </w:r>
      </w:hyperlink>
    </w:p>
    <w:p w:rsidR="002B6EC5" w:rsidRPr="002B6EC5" w:rsidRDefault="00B06438">
      <w:pPr>
        <w:pStyle w:val="TOC2"/>
        <w:rPr>
          <w:rFonts w:asciiTheme="minorHAnsi" w:eastAsiaTheme="minorEastAsia" w:hAnsiTheme="minorHAnsi" w:cstheme="minorBidi"/>
          <w:color w:val="auto"/>
          <w:sz w:val="22"/>
          <w:szCs w:val="22"/>
          <w:lang w:eastAsia="en-US"/>
        </w:rPr>
      </w:pPr>
      <w:hyperlink w:anchor="_Toc489871489" w:history="1">
        <w:r w:rsidR="002B6EC5" w:rsidRPr="002B6EC5">
          <w:rPr>
            <w:rStyle w:val="Hyperlink"/>
            <w:color w:val="auto"/>
          </w:rPr>
          <w:t>E.</w:t>
        </w:r>
        <w:r w:rsidR="002B6EC5" w:rsidRPr="002B6EC5">
          <w:rPr>
            <w:rFonts w:asciiTheme="minorHAnsi" w:eastAsiaTheme="minorEastAsia" w:hAnsiTheme="minorHAnsi" w:cstheme="minorBidi"/>
            <w:color w:val="auto"/>
            <w:sz w:val="22"/>
            <w:szCs w:val="22"/>
            <w:lang w:eastAsia="en-US"/>
          </w:rPr>
          <w:tab/>
        </w:r>
        <w:r w:rsidR="002B6EC5" w:rsidRPr="002B6EC5">
          <w:rPr>
            <w:rStyle w:val="Hyperlink"/>
            <w:color w:val="auto"/>
          </w:rPr>
          <w:t>Electric Cost Recovery Mechanism Rate Design</w:t>
        </w:r>
        <w:r w:rsidR="002B6EC5" w:rsidRPr="002B6EC5">
          <w:rPr>
            <w:webHidden/>
            <w:color w:val="auto"/>
          </w:rPr>
          <w:tab/>
        </w:r>
        <w:r w:rsidR="002B6EC5" w:rsidRPr="002B6EC5">
          <w:rPr>
            <w:webHidden/>
            <w:color w:val="auto"/>
          </w:rPr>
          <w:fldChar w:fldCharType="begin"/>
        </w:r>
        <w:r w:rsidR="002B6EC5" w:rsidRPr="002B6EC5">
          <w:rPr>
            <w:webHidden/>
            <w:color w:val="auto"/>
          </w:rPr>
          <w:instrText xml:space="preserve"> PAGEREF _Toc489871489 \h </w:instrText>
        </w:r>
        <w:r w:rsidR="002B6EC5" w:rsidRPr="002B6EC5">
          <w:rPr>
            <w:webHidden/>
            <w:color w:val="auto"/>
          </w:rPr>
        </w:r>
        <w:r w:rsidR="002B6EC5" w:rsidRPr="002B6EC5">
          <w:rPr>
            <w:webHidden/>
            <w:color w:val="auto"/>
          </w:rPr>
          <w:fldChar w:fldCharType="separate"/>
        </w:r>
        <w:r w:rsidR="00C00764">
          <w:rPr>
            <w:webHidden/>
            <w:color w:val="auto"/>
          </w:rPr>
          <w:t>66</w:t>
        </w:r>
        <w:r w:rsidR="002B6EC5" w:rsidRPr="002B6EC5">
          <w:rPr>
            <w:webHidden/>
            <w:color w:val="auto"/>
          </w:rPr>
          <w:fldChar w:fldCharType="end"/>
        </w:r>
      </w:hyperlink>
    </w:p>
    <w:p w:rsidR="002B6EC5" w:rsidRPr="002B6EC5" w:rsidRDefault="00B06438">
      <w:pPr>
        <w:pStyle w:val="TOC2"/>
        <w:rPr>
          <w:rFonts w:asciiTheme="minorHAnsi" w:eastAsiaTheme="minorEastAsia" w:hAnsiTheme="minorHAnsi" w:cstheme="minorBidi"/>
          <w:color w:val="auto"/>
          <w:sz w:val="22"/>
          <w:szCs w:val="22"/>
          <w:lang w:eastAsia="en-US"/>
        </w:rPr>
      </w:pPr>
      <w:hyperlink w:anchor="_Toc489871490" w:history="1">
        <w:r w:rsidR="002B6EC5" w:rsidRPr="002B6EC5">
          <w:rPr>
            <w:rStyle w:val="Hyperlink"/>
            <w:color w:val="auto"/>
          </w:rPr>
          <w:t>F.</w:t>
        </w:r>
        <w:r w:rsidR="002B6EC5" w:rsidRPr="002B6EC5">
          <w:rPr>
            <w:rFonts w:asciiTheme="minorHAnsi" w:eastAsiaTheme="minorEastAsia" w:hAnsiTheme="minorHAnsi" w:cstheme="minorBidi"/>
            <w:color w:val="auto"/>
            <w:sz w:val="22"/>
            <w:szCs w:val="22"/>
            <w:lang w:eastAsia="en-US"/>
          </w:rPr>
          <w:tab/>
        </w:r>
        <w:r w:rsidR="002B6EC5" w:rsidRPr="002B6EC5">
          <w:rPr>
            <w:rStyle w:val="Hyperlink"/>
            <w:color w:val="auto"/>
          </w:rPr>
          <w:t>Electric Net Metering</w:t>
        </w:r>
        <w:r w:rsidR="002B6EC5" w:rsidRPr="002B6EC5">
          <w:rPr>
            <w:webHidden/>
            <w:color w:val="auto"/>
          </w:rPr>
          <w:tab/>
        </w:r>
        <w:r w:rsidR="002B6EC5" w:rsidRPr="002B6EC5">
          <w:rPr>
            <w:webHidden/>
            <w:color w:val="auto"/>
          </w:rPr>
          <w:fldChar w:fldCharType="begin"/>
        </w:r>
        <w:r w:rsidR="002B6EC5" w:rsidRPr="002B6EC5">
          <w:rPr>
            <w:webHidden/>
            <w:color w:val="auto"/>
          </w:rPr>
          <w:instrText xml:space="preserve"> PAGEREF _Toc489871490 \h </w:instrText>
        </w:r>
        <w:r w:rsidR="002B6EC5" w:rsidRPr="002B6EC5">
          <w:rPr>
            <w:webHidden/>
            <w:color w:val="auto"/>
          </w:rPr>
        </w:r>
        <w:r w:rsidR="002B6EC5" w:rsidRPr="002B6EC5">
          <w:rPr>
            <w:webHidden/>
            <w:color w:val="auto"/>
          </w:rPr>
          <w:fldChar w:fldCharType="separate"/>
        </w:r>
        <w:r w:rsidR="00C00764">
          <w:rPr>
            <w:webHidden/>
            <w:color w:val="auto"/>
          </w:rPr>
          <w:t>67</w:t>
        </w:r>
        <w:r w:rsidR="002B6EC5" w:rsidRPr="002B6EC5">
          <w:rPr>
            <w:webHidden/>
            <w:color w:val="auto"/>
          </w:rPr>
          <w:fldChar w:fldCharType="end"/>
        </w:r>
      </w:hyperlink>
    </w:p>
    <w:p w:rsidR="002B6EC5" w:rsidRPr="002B6EC5" w:rsidRDefault="00B06438">
      <w:pPr>
        <w:pStyle w:val="TOC2"/>
        <w:rPr>
          <w:rFonts w:asciiTheme="minorHAnsi" w:eastAsiaTheme="minorEastAsia" w:hAnsiTheme="minorHAnsi" w:cstheme="minorBidi"/>
          <w:color w:val="auto"/>
          <w:sz w:val="22"/>
          <w:szCs w:val="22"/>
          <w:lang w:eastAsia="en-US"/>
        </w:rPr>
      </w:pPr>
      <w:hyperlink w:anchor="_Toc489871491" w:history="1">
        <w:r w:rsidR="002B6EC5" w:rsidRPr="002B6EC5">
          <w:rPr>
            <w:rStyle w:val="Hyperlink"/>
            <w:color w:val="auto"/>
          </w:rPr>
          <w:t>G.</w:t>
        </w:r>
        <w:r w:rsidR="002B6EC5" w:rsidRPr="002B6EC5">
          <w:rPr>
            <w:rFonts w:asciiTheme="minorHAnsi" w:eastAsiaTheme="minorEastAsia" w:hAnsiTheme="minorHAnsi" w:cstheme="minorBidi"/>
            <w:color w:val="auto"/>
            <w:sz w:val="22"/>
            <w:szCs w:val="22"/>
            <w:lang w:eastAsia="en-US"/>
          </w:rPr>
          <w:tab/>
        </w:r>
        <w:r w:rsidR="002B6EC5" w:rsidRPr="002B6EC5">
          <w:rPr>
            <w:rStyle w:val="Hyperlink"/>
            <w:color w:val="auto"/>
          </w:rPr>
          <w:t>Electric Bill Presentation</w:t>
        </w:r>
        <w:r w:rsidR="002B6EC5" w:rsidRPr="002B6EC5">
          <w:rPr>
            <w:webHidden/>
            <w:color w:val="auto"/>
          </w:rPr>
          <w:tab/>
        </w:r>
        <w:r w:rsidR="002B6EC5" w:rsidRPr="002B6EC5">
          <w:rPr>
            <w:webHidden/>
            <w:color w:val="auto"/>
          </w:rPr>
          <w:fldChar w:fldCharType="begin"/>
        </w:r>
        <w:r w:rsidR="002B6EC5" w:rsidRPr="002B6EC5">
          <w:rPr>
            <w:webHidden/>
            <w:color w:val="auto"/>
          </w:rPr>
          <w:instrText xml:space="preserve"> PAGEREF _Toc489871491 \h </w:instrText>
        </w:r>
        <w:r w:rsidR="002B6EC5" w:rsidRPr="002B6EC5">
          <w:rPr>
            <w:webHidden/>
            <w:color w:val="auto"/>
          </w:rPr>
        </w:r>
        <w:r w:rsidR="002B6EC5" w:rsidRPr="002B6EC5">
          <w:rPr>
            <w:webHidden/>
            <w:color w:val="auto"/>
          </w:rPr>
          <w:fldChar w:fldCharType="separate"/>
        </w:r>
        <w:r w:rsidR="00C00764">
          <w:rPr>
            <w:webHidden/>
            <w:color w:val="auto"/>
          </w:rPr>
          <w:t>68</w:t>
        </w:r>
        <w:r w:rsidR="002B6EC5" w:rsidRPr="002B6EC5">
          <w:rPr>
            <w:webHidden/>
            <w:color w:val="auto"/>
          </w:rPr>
          <w:fldChar w:fldCharType="end"/>
        </w:r>
      </w:hyperlink>
    </w:p>
    <w:p w:rsidR="002B6EC5" w:rsidRPr="002B6EC5" w:rsidRDefault="00B06438">
      <w:pPr>
        <w:pStyle w:val="TOC2"/>
        <w:rPr>
          <w:rFonts w:asciiTheme="minorHAnsi" w:eastAsiaTheme="minorEastAsia" w:hAnsiTheme="minorHAnsi" w:cstheme="minorBidi"/>
          <w:color w:val="auto"/>
          <w:sz w:val="22"/>
          <w:szCs w:val="22"/>
          <w:lang w:eastAsia="en-US"/>
        </w:rPr>
      </w:pPr>
      <w:hyperlink w:anchor="_Toc489871492" w:history="1">
        <w:r w:rsidR="002B6EC5" w:rsidRPr="002B6EC5">
          <w:rPr>
            <w:rStyle w:val="Hyperlink"/>
            <w:color w:val="auto"/>
          </w:rPr>
          <w:t>H.</w:t>
        </w:r>
        <w:r w:rsidR="002B6EC5" w:rsidRPr="002B6EC5">
          <w:rPr>
            <w:rFonts w:asciiTheme="minorHAnsi" w:eastAsiaTheme="minorEastAsia" w:hAnsiTheme="minorHAnsi" w:cstheme="minorBidi"/>
            <w:color w:val="auto"/>
            <w:sz w:val="22"/>
            <w:szCs w:val="22"/>
            <w:lang w:eastAsia="en-US"/>
          </w:rPr>
          <w:tab/>
        </w:r>
        <w:r w:rsidR="002B6EC5" w:rsidRPr="002B6EC5">
          <w:rPr>
            <w:rStyle w:val="Hyperlink"/>
            <w:color w:val="auto"/>
          </w:rPr>
          <w:t>Recovery of Colstrip Costs from Microsoft</w:t>
        </w:r>
        <w:r w:rsidR="002B6EC5" w:rsidRPr="002B6EC5">
          <w:rPr>
            <w:webHidden/>
            <w:color w:val="auto"/>
          </w:rPr>
          <w:tab/>
        </w:r>
        <w:r w:rsidR="002B6EC5" w:rsidRPr="002B6EC5">
          <w:rPr>
            <w:webHidden/>
            <w:color w:val="auto"/>
          </w:rPr>
          <w:fldChar w:fldCharType="begin"/>
        </w:r>
        <w:r w:rsidR="002B6EC5" w:rsidRPr="002B6EC5">
          <w:rPr>
            <w:webHidden/>
            <w:color w:val="auto"/>
          </w:rPr>
          <w:instrText xml:space="preserve"> PAGEREF _Toc489871492 \h </w:instrText>
        </w:r>
        <w:r w:rsidR="002B6EC5" w:rsidRPr="002B6EC5">
          <w:rPr>
            <w:webHidden/>
            <w:color w:val="auto"/>
          </w:rPr>
        </w:r>
        <w:r w:rsidR="002B6EC5" w:rsidRPr="002B6EC5">
          <w:rPr>
            <w:webHidden/>
            <w:color w:val="auto"/>
          </w:rPr>
          <w:fldChar w:fldCharType="separate"/>
        </w:r>
        <w:r w:rsidR="00C00764">
          <w:rPr>
            <w:webHidden/>
            <w:color w:val="auto"/>
          </w:rPr>
          <w:t>69</w:t>
        </w:r>
        <w:r w:rsidR="002B6EC5" w:rsidRPr="002B6EC5">
          <w:rPr>
            <w:webHidden/>
            <w:color w:val="auto"/>
          </w:rPr>
          <w:fldChar w:fldCharType="end"/>
        </w:r>
      </w:hyperlink>
    </w:p>
    <w:p w:rsidR="002B6EC5" w:rsidRPr="002B6EC5" w:rsidRDefault="00B06438">
      <w:pPr>
        <w:pStyle w:val="TOC2"/>
        <w:rPr>
          <w:rFonts w:asciiTheme="minorHAnsi" w:eastAsiaTheme="minorEastAsia" w:hAnsiTheme="minorHAnsi" w:cstheme="minorBidi"/>
          <w:color w:val="auto"/>
          <w:sz w:val="22"/>
          <w:szCs w:val="22"/>
          <w:lang w:eastAsia="en-US"/>
        </w:rPr>
      </w:pPr>
      <w:hyperlink w:anchor="_Toc489871493" w:history="1">
        <w:r w:rsidR="002B6EC5" w:rsidRPr="002B6EC5">
          <w:rPr>
            <w:rStyle w:val="Hyperlink"/>
            <w:color w:val="auto"/>
          </w:rPr>
          <w:t>I.</w:t>
        </w:r>
        <w:r w:rsidR="002B6EC5" w:rsidRPr="002B6EC5">
          <w:rPr>
            <w:rFonts w:asciiTheme="minorHAnsi" w:eastAsiaTheme="minorEastAsia" w:hAnsiTheme="minorHAnsi" w:cstheme="minorBidi"/>
            <w:color w:val="auto"/>
            <w:sz w:val="22"/>
            <w:szCs w:val="22"/>
            <w:lang w:eastAsia="en-US"/>
          </w:rPr>
          <w:tab/>
        </w:r>
        <w:r w:rsidR="002B6EC5" w:rsidRPr="002B6EC5">
          <w:rPr>
            <w:rStyle w:val="Hyperlink"/>
            <w:color w:val="auto"/>
          </w:rPr>
          <w:t>Contingent Power Cost Calculations for Microsoft</w:t>
        </w:r>
        <w:r w:rsidR="002B6EC5" w:rsidRPr="002B6EC5">
          <w:rPr>
            <w:webHidden/>
            <w:color w:val="auto"/>
          </w:rPr>
          <w:tab/>
        </w:r>
        <w:r w:rsidR="002B6EC5" w:rsidRPr="002B6EC5">
          <w:rPr>
            <w:webHidden/>
            <w:color w:val="auto"/>
          </w:rPr>
          <w:fldChar w:fldCharType="begin"/>
        </w:r>
        <w:r w:rsidR="002B6EC5" w:rsidRPr="002B6EC5">
          <w:rPr>
            <w:webHidden/>
            <w:color w:val="auto"/>
          </w:rPr>
          <w:instrText xml:space="preserve"> PAGEREF _Toc489871493 \h </w:instrText>
        </w:r>
        <w:r w:rsidR="002B6EC5" w:rsidRPr="002B6EC5">
          <w:rPr>
            <w:webHidden/>
            <w:color w:val="auto"/>
          </w:rPr>
        </w:r>
        <w:r w:rsidR="002B6EC5" w:rsidRPr="002B6EC5">
          <w:rPr>
            <w:webHidden/>
            <w:color w:val="auto"/>
          </w:rPr>
          <w:fldChar w:fldCharType="separate"/>
        </w:r>
        <w:r w:rsidR="00C00764">
          <w:rPr>
            <w:webHidden/>
            <w:color w:val="auto"/>
          </w:rPr>
          <w:t>71</w:t>
        </w:r>
        <w:r w:rsidR="002B6EC5" w:rsidRPr="002B6EC5">
          <w:rPr>
            <w:webHidden/>
            <w:color w:val="auto"/>
          </w:rPr>
          <w:fldChar w:fldCharType="end"/>
        </w:r>
      </w:hyperlink>
    </w:p>
    <w:p w:rsidR="002B6EC5" w:rsidRPr="002B6EC5" w:rsidRDefault="00B06438">
      <w:pPr>
        <w:pStyle w:val="TOC1"/>
        <w:rPr>
          <w:rFonts w:asciiTheme="minorHAnsi" w:eastAsiaTheme="minorEastAsia" w:hAnsiTheme="minorHAnsi" w:cstheme="minorBidi"/>
          <w:color w:val="auto"/>
          <w:sz w:val="22"/>
          <w:szCs w:val="22"/>
          <w:lang w:eastAsia="en-US"/>
        </w:rPr>
      </w:pPr>
      <w:hyperlink w:anchor="_Toc489871494" w:history="1">
        <w:r w:rsidR="002B6EC5" w:rsidRPr="002B6EC5">
          <w:rPr>
            <w:rStyle w:val="Hyperlink"/>
            <w:color w:val="auto"/>
          </w:rPr>
          <w:t>V.</w:t>
        </w:r>
        <w:r w:rsidR="002B6EC5" w:rsidRPr="002B6EC5">
          <w:rPr>
            <w:rFonts w:asciiTheme="minorHAnsi" w:eastAsiaTheme="minorEastAsia" w:hAnsiTheme="minorHAnsi" w:cstheme="minorBidi"/>
            <w:color w:val="auto"/>
            <w:sz w:val="22"/>
            <w:szCs w:val="22"/>
            <w:lang w:eastAsia="en-US"/>
          </w:rPr>
          <w:tab/>
        </w:r>
        <w:r w:rsidR="002B6EC5" w:rsidRPr="002B6EC5">
          <w:rPr>
            <w:rStyle w:val="Hyperlink"/>
            <w:color w:val="auto"/>
          </w:rPr>
          <w:t>RESPONSE TO ISSUES RAISED REGARDING NATURAL GAS COST OF SERVICE ANALYSIS</w:t>
        </w:r>
        <w:r w:rsidR="002B6EC5" w:rsidRPr="002B6EC5">
          <w:rPr>
            <w:webHidden/>
            <w:color w:val="auto"/>
          </w:rPr>
          <w:tab/>
        </w:r>
        <w:r w:rsidR="002B6EC5" w:rsidRPr="002B6EC5">
          <w:rPr>
            <w:webHidden/>
            <w:color w:val="auto"/>
          </w:rPr>
          <w:fldChar w:fldCharType="begin"/>
        </w:r>
        <w:r w:rsidR="002B6EC5" w:rsidRPr="002B6EC5">
          <w:rPr>
            <w:webHidden/>
            <w:color w:val="auto"/>
          </w:rPr>
          <w:instrText xml:space="preserve"> PAGEREF _Toc489871494 \h </w:instrText>
        </w:r>
        <w:r w:rsidR="002B6EC5" w:rsidRPr="002B6EC5">
          <w:rPr>
            <w:webHidden/>
            <w:color w:val="auto"/>
          </w:rPr>
        </w:r>
        <w:r w:rsidR="002B6EC5" w:rsidRPr="002B6EC5">
          <w:rPr>
            <w:webHidden/>
            <w:color w:val="auto"/>
          </w:rPr>
          <w:fldChar w:fldCharType="separate"/>
        </w:r>
        <w:r w:rsidR="00C00764">
          <w:rPr>
            <w:webHidden/>
            <w:color w:val="auto"/>
          </w:rPr>
          <w:t>72</w:t>
        </w:r>
        <w:r w:rsidR="002B6EC5" w:rsidRPr="002B6EC5">
          <w:rPr>
            <w:webHidden/>
            <w:color w:val="auto"/>
          </w:rPr>
          <w:fldChar w:fldCharType="end"/>
        </w:r>
      </w:hyperlink>
    </w:p>
    <w:p w:rsidR="002B6EC5" w:rsidRPr="002B6EC5" w:rsidRDefault="00B06438">
      <w:pPr>
        <w:pStyle w:val="TOC2"/>
        <w:rPr>
          <w:rFonts w:asciiTheme="minorHAnsi" w:eastAsiaTheme="minorEastAsia" w:hAnsiTheme="minorHAnsi" w:cstheme="minorBidi"/>
          <w:color w:val="auto"/>
          <w:sz w:val="22"/>
          <w:szCs w:val="22"/>
          <w:lang w:eastAsia="en-US"/>
        </w:rPr>
      </w:pPr>
      <w:hyperlink w:anchor="_Toc489871495" w:history="1">
        <w:r w:rsidR="002B6EC5" w:rsidRPr="002B6EC5">
          <w:rPr>
            <w:rStyle w:val="Hyperlink"/>
            <w:color w:val="auto"/>
          </w:rPr>
          <w:t>A.</w:t>
        </w:r>
        <w:r w:rsidR="002B6EC5" w:rsidRPr="002B6EC5">
          <w:rPr>
            <w:rFonts w:asciiTheme="minorHAnsi" w:eastAsiaTheme="minorEastAsia" w:hAnsiTheme="minorHAnsi" w:cstheme="minorBidi"/>
            <w:color w:val="auto"/>
            <w:sz w:val="22"/>
            <w:szCs w:val="22"/>
            <w:lang w:eastAsia="en-US"/>
          </w:rPr>
          <w:tab/>
        </w:r>
        <w:r w:rsidR="002B6EC5" w:rsidRPr="002B6EC5">
          <w:rPr>
            <w:rStyle w:val="Hyperlink"/>
            <w:color w:val="auto"/>
          </w:rPr>
          <w:t>Mains Allocation</w:t>
        </w:r>
        <w:r w:rsidR="002B6EC5" w:rsidRPr="002B6EC5">
          <w:rPr>
            <w:webHidden/>
            <w:color w:val="auto"/>
          </w:rPr>
          <w:tab/>
        </w:r>
        <w:r w:rsidR="002B6EC5" w:rsidRPr="002B6EC5">
          <w:rPr>
            <w:webHidden/>
            <w:color w:val="auto"/>
          </w:rPr>
          <w:fldChar w:fldCharType="begin"/>
        </w:r>
        <w:r w:rsidR="002B6EC5" w:rsidRPr="002B6EC5">
          <w:rPr>
            <w:webHidden/>
            <w:color w:val="auto"/>
          </w:rPr>
          <w:instrText xml:space="preserve"> PAGEREF _Toc489871495 \h </w:instrText>
        </w:r>
        <w:r w:rsidR="002B6EC5" w:rsidRPr="002B6EC5">
          <w:rPr>
            <w:webHidden/>
            <w:color w:val="auto"/>
          </w:rPr>
        </w:r>
        <w:r w:rsidR="002B6EC5" w:rsidRPr="002B6EC5">
          <w:rPr>
            <w:webHidden/>
            <w:color w:val="auto"/>
          </w:rPr>
          <w:fldChar w:fldCharType="separate"/>
        </w:r>
        <w:r w:rsidR="00C00764">
          <w:rPr>
            <w:webHidden/>
            <w:color w:val="auto"/>
          </w:rPr>
          <w:t>72</w:t>
        </w:r>
        <w:r w:rsidR="002B6EC5" w:rsidRPr="002B6EC5">
          <w:rPr>
            <w:webHidden/>
            <w:color w:val="auto"/>
          </w:rPr>
          <w:fldChar w:fldCharType="end"/>
        </w:r>
      </w:hyperlink>
    </w:p>
    <w:p w:rsidR="002B6EC5" w:rsidRPr="002B6EC5" w:rsidRDefault="00B06438">
      <w:pPr>
        <w:pStyle w:val="TOC3"/>
        <w:rPr>
          <w:rFonts w:asciiTheme="minorHAnsi" w:eastAsiaTheme="minorEastAsia" w:hAnsiTheme="minorHAnsi" w:cstheme="minorBidi"/>
          <w:color w:val="auto"/>
          <w:sz w:val="22"/>
          <w:szCs w:val="22"/>
          <w:lang w:eastAsia="en-US"/>
        </w:rPr>
      </w:pPr>
      <w:hyperlink w:anchor="_Toc489871496" w:history="1">
        <w:r w:rsidR="002B6EC5" w:rsidRPr="002B6EC5">
          <w:rPr>
            <w:rStyle w:val="Hyperlink"/>
            <w:color w:val="auto"/>
          </w:rPr>
          <w:t>1.</w:t>
        </w:r>
        <w:r w:rsidR="002B6EC5" w:rsidRPr="002B6EC5">
          <w:rPr>
            <w:rFonts w:asciiTheme="minorHAnsi" w:eastAsiaTheme="minorEastAsia" w:hAnsiTheme="minorHAnsi" w:cstheme="minorBidi"/>
            <w:color w:val="auto"/>
            <w:sz w:val="22"/>
            <w:szCs w:val="22"/>
            <w:lang w:eastAsia="en-US"/>
          </w:rPr>
          <w:tab/>
        </w:r>
        <w:r w:rsidR="002B6EC5" w:rsidRPr="002B6EC5">
          <w:rPr>
            <w:rStyle w:val="Hyperlink"/>
            <w:color w:val="auto"/>
          </w:rPr>
          <w:t>Peak and Average Methodology</w:t>
        </w:r>
        <w:r w:rsidR="002B6EC5" w:rsidRPr="002B6EC5">
          <w:rPr>
            <w:webHidden/>
            <w:color w:val="auto"/>
          </w:rPr>
          <w:tab/>
        </w:r>
        <w:r w:rsidR="002B6EC5" w:rsidRPr="002B6EC5">
          <w:rPr>
            <w:webHidden/>
            <w:color w:val="auto"/>
          </w:rPr>
          <w:fldChar w:fldCharType="begin"/>
        </w:r>
        <w:r w:rsidR="002B6EC5" w:rsidRPr="002B6EC5">
          <w:rPr>
            <w:webHidden/>
            <w:color w:val="auto"/>
          </w:rPr>
          <w:instrText xml:space="preserve"> PAGEREF _Toc489871496 \h </w:instrText>
        </w:r>
        <w:r w:rsidR="002B6EC5" w:rsidRPr="002B6EC5">
          <w:rPr>
            <w:webHidden/>
            <w:color w:val="auto"/>
          </w:rPr>
        </w:r>
        <w:r w:rsidR="002B6EC5" w:rsidRPr="002B6EC5">
          <w:rPr>
            <w:webHidden/>
            <w:color w:val="auto"/>
          </w:rPr>
          <w:fldChar w:fldCharType="separate"/>
        </w:r>
        <w:r w:rsidR="00C00764">
          <w:rPr>
            <w:webHidden/>
            <w:color w:val="auto"/>
          </w:rPr>
          <w:t>72</w:t>
        </w:r>
        <w:r w:rsidR="002B6EC5" w:rsidRPr="002B6EC5">
          <w:rPr>
            <w:webHidden/>
            <w:color w:val="auto"/>
          </w:rPr>
          <w:fldChar w:fldCharType="end"/>
        </w:r>
      </w:hyperlink>
    </w:p>
    <w:p w:rsidR="002B6EC5" w:rsidRPr="002B6EC5" w:rsidRDefault="00B06438">
      <w:pPr>
        <w:pStyle w:val="TOC3"/>
        <w:rPr>
          <w:rFonts w:asciiTheme="minorHAnsi" w:eastAsiaTheme="minorEastAsia" w:hAnsiTheme="minorHAnsi" w:cstheme="minorBidi"/>
          <w:color w:val="auto"/>
          <w:sz w:val="22"/>
          <w:szCs w:val="22"/>
          <w:lang w:eastAsia="en-US"/>
        </w:rPr>
      </w:pPr>
      <w:hyperlink w:anchor="_Toc489871497" w:history="1">
        <w:r w:rsidR="002B6EC5" w:rsidRPr="002B6EC5">
          <w:rPr>
            <w:rStyle w:val="Hyperlink"/>
            <w:color w:val="auto"/>
          </w:rPr>
          <w:t>2.</w:t>
        </w:r>
        <w:r w:rsidR="002B6EC5" w:rsidRPr="002B6EC5">
          <w:rPr>
            <w:rFonts w:asciiTheme="minorHAnsi" w:eastAsiaTheme="minorEastAsia" w:hAnsiTheme="minorHAnsi" w:cstheme="minorBidi"/>
            <w:color w:val="auto"/>
            <w:sz w:val="22"/>
            <w:szCs w:val="22"/>
            <w:lang w:eastAsia="en-US"/>
          </w:rPr>
          <w:tab/>
        </w:r>
        <w:r w:rsidR="002B6EC5" w:rsidRPr="002B6EC5">
          <w:rPr>
            <w:rStyle w:val="Hyperlink"/>
            <w:color w:val="auto"/>
          </w:rPr>
          <w:t>Design Day Peak</w:t>
        </w:r>
        <w:r w:rsidR="002B6EC5" w:rsidRPr="002B6EC5">
          <w:rPr>
            <w:webHidden/>
            <w:color w:val="auto"/>
          </w:rPr>
          <w:tab/>
        </w:r>
        <w:r w:rsidR="002B6EC5" w:rsidRPr="002B6EC5">
          <w:rPr>
            <w:webHidden/>
            <w:color w:val="auto"/>
          </w:rPr>
          <w:fldChar w:fldCharType="begin"/>
        </w:r>
        <w:r w:rsidR="002B6EC5" w:rsidRPr="002B6EC5">
          <w:rPr>
            <w:webHidden/>
            <w:color w:val="auto"/>
          </w:rPr>
          <w:instrText xml:space="preserve"> PAGEREF _Toc489871497 \h </w:instrText>
        </w:r>
        <w:r w:rsidR="002B6EC5" w:rsidRPr="002B6EC5">
          <w:rPr>
            <w:webHidden/>
            <w:color w:val="auto"/>
          </w:rPr>
        </w:r>
        <w:r w:rsidR="002B6EC5" w:rsidRPr="002B6EC5">
          <w:rPr>
            <w:webHidden/>
            <w:color w:val="auto"/>
          </w:rPr>
          <w:fldChar w:fldCharType="separate"/>
        </w:r>
        <w:r w:rsidR="00C00764">
          <w:rPr>
            <w:webHidden/>
            <w:color w:val="auto"/>
          </w:rPr>
          <w:t>76</w:t>
        </w:r>
        <w:r w:rsidR="002B6EC5" w:rsidRPr="002B6EC5">
          <w:rPr>
            <w:webHidden/>
            <w:color w:val="auto"/>
          </w:rPr>
          <w:fldChar w:fldCharType="end"/>
        </w:r>
      </w:hyperlink>
    </w:p>
    <w:p w:rsidR="002B6EC5" w:rsidRPr="002B6EC5" w:rsidRDefault="00B06438">
      <w:pPr>
        <w:pStyle w:val="TOC1"/>
        <w:rPr>
          <w:rFonts w:asciiTheme="minorHAnsi" w:eastAsiaTheme="minorEastAsia" w:hAnsiTheme="minorHAnsi" w:cstheme="minorBidi"/>
          <w:color w:val="auto"/>
          <w:sz w:val="22"/>
          <w:szCs w:val="22"/>
          <w:lang w:eastAsia="en-US"/>
        </w:rPr>
      </w:pPr>
      <w:hyperlink w:anchor="_Toc489871498" w:history="1">
        <w:r w:rsidR="002B6EC5" w:rsidRPr="002B6EC5">
          <w:rPr>
            <w:rStyle w:val="Hyperlink"/>
            <w:color w:val="auto"/>
          </w:rPr>
          <w:t>VI.</w:t>
        </w:r>
        <w:r w:rsidR="002B6EC5" w:rsidRPr="002B6EC5">
          <w:rPr>
            <w:rFonts w:asciiTheme="minorHAnsi" w:eastAsiaTheme="minorEastAsia" w:hAnsiTheme="minorHAnsi" w:cstheme="minorBidi"/>
            <w:color w:val="auto"/>
            <w:sz w:val="22"/>
            <w:szCs w:val="22"/>
            <w:lang w:eastAsia="en-US"/>
          </w:rPr>
          <w:tab/>
        </w:r>
        <w:r w:rsidR="002B6EC5" w:rsidRPr="002B6EC5">
          <w:rPr>
            <w:rStyle w:val="Hyperlink"/>
            <w:color w:val="auto"/>
          </w:rPr>
          <w:t>RESPONSE TO ISSUES RAISED REGARDING NATURAL GAS RATE SPREAD AND RATE DESIGN</w:t>
        </w:r>
        <w:r w:rsidR="002B6EC5" w:rsidRPr="002B6EC5">
          <w:rPr>
            <w:webHidden/>
            <w:color w:val="auto"/>
          </w:rPr>
          <w:tab/>
        </w:r>
        <w:r w:rsidR="002B6EC5" w:rsidRPr="002B6EC5">
          <w:rPr>
            <w:webHidden/>
            <w:color w:val="auto"/>
          </w:rPr>
          <w:fldChar w:fldCharType="begin"/>
        </w:r>
        <w:r w:rsidR="002B6EC5" w:rsidRPr="002B6EC5">
          <w:rPr>
            <w:webHidden/>
            <w:color w:val="auto"/>
          </w:rPr>
          <w:instrText xml:space="preserve"> PAGEREF _Toc489871498 \h </w:instrText>
        </w:r>
        <w:r w:rsidR="002B6EC5" w:rsidRPr="002B6EC5">
          <w:rPr>
            <w:webHidden/>
            <w:color w:val="auto"/>
          </w:rPr>
        </w:r>
        <w:r w:rsidR="002B6EC5" w:rsidRPr="002B6EC5">
          <w:rPr>
            <w:webHidden/>
            <w:color w:val="auto"/>
          </w:rPr>
          <w:fldChar w:fldCharType="separate"/>
        </w:r>
        <w:r w:rsidR="00C00764">
          <w:rPr>
            <w:webHidden/>
            <w:color w:val="auto"/>
          </w:rPr>
          <w:t>78</w:t>
        </w:r>
        <w:r w:rsidR="002B6EC5" w:rsidRPr="002B6EC5">
          <w:rPr>
            <w:webHidden/>
            <w:color w:val="auto"/>
          </w:rPr>
          <w:fldChar w:fldCharType="end"/>
        </w:r>
      </w:hyperlink>
    </w:p>
    <w:p w:rsidR="002B6EC5" w:rsidRPr="002B6EC5" w:rsidRDefault="00B06438">
      <w:pPr>
        <w:pStyle w:val="TOC2"/>
        <w:rPr>
          <w:rFonts w:asciiTheme="minorHAnsi" w:eastAsiaTheme="minorEastAsia" w:hAnsiTheme="minorHAnsi" w:cstheme="minorBidi"/>
          <w:color w:val="auto"/>
          <w:sz w:val="22"/>
          <w:szCs w:val="22"/>
          <w:lang w:eastAsia="en-US"/>
        </w:rPr>
      </w:pPr>
      <w:hyperlink w:anchor="_Toc489871499" w:history="1">
        <w:r w:rsidR="002B6EC5" w:rsidRPr="002B6EC5">
          <w:rPr>
            <w:rStyle w:val="Hyperlink"/>
            <w:color w:val="auto"/>
          </w:rPr>
          <w:t>A.</w:t>
        </w:r>
        <w:r w:rsidR="002B6EC5" w:rsidRPr="002B6EC5">
          <w:rPr>
            <w:rFonts w:asciiTheme="minorHAnsi" w:eastAsiaTheme="minorEastAsia" w:hAnsiTheme="minorHAnsi" w:cstheme="minorBidi"/>
            <w:color w:val="auto"/>
            <w:sz w:val="22"/>
            <w:szCs w:val="22"/>
            <w:lang w:eastAsia="en-US"/>
          </w:rPr>
          <w:tab/>
        </w:r>
        <w:r w:rsidR="002B6EC5" w:rsidRPr="002B6EC5">
          <w:rPr>
            <w:rStyle w:val="Hyperlink"/>
            <w:color w:val="auto"/>
          </w:rPr>
          <w:t>Rate Spread</w:t>
        </w:r>
        <w:r w:rsidR="002B6EC5" w:rsidRPr="002B6EC5">
          <w:rPr>
            <w:webHidden/>
            <w:color w:val="auto"/>
          </w:rPr>
          <w:tab/>
        </w:r>
        <w:r w:rsidR="002B6EC5" w:rsidRPr="002B6EC5">
          <w:rPr>
            <w:webHidden/>
            <w:color w:val="auto"/>
          </w:rPr>
          <w:fldChar w:fldCharType="begin"/>
        </w:r>
        <w:r w:rsidR="002B6EC5" w:rsidRPr="002B6EC5">
          <w:rPr>
            <w:webHidden/>
            <w:color w:val="auto"/>
          </w:rPr>
          <w:instrText xml:space="preserve"> PAGEREF _Toc489871499 \h </w:instrText>
        </w:r>
        <w:r w:rsidR="002B6EC5" w:rsidRPr="002B6EC5">
          <w:rPr>
            <w:webHidden/>
            <w:color w:val="auto"/>
          </w:rPr>
        </w:r>
        <w:r w:rsidR="002B6EC5" w:rsidRPr="002B6EC5">
          <w:rPr>
            <w:webHidden/>
            <w:color w:val="auto"/>
          </w:rPr>
          <w:fldChar w:fldCharType="separate"/>
        </w:r>
        <w:r w:rsidR="00C00764">
          <w:rPr>
            <w:webHidden/>
            <w:color w:val="auto"/>
          </w:rPr>
          <w:t>78</w:t>
        </w:r>
        <w:r w:rsidR="002B6EC5" w:rsidRPr="002B6EC5">
          <w:rPr>
            <w:webHidden/>
            <w:color w:val="auto"/>
          </w:rPr>
          <w:fldChar w:fldCharType="end"/>
        </w:r>
      </w:hyperlink>
    </w:p>
    <w:p w:rsidR="002B6EC5" w:rsidRPr="002B6EC5" w:rsidRDefault="00B06438">
      <w:pPr>
        <w:pStyle w:val="TOC2"/>
        <w:rPr>
          <w:rFonts w:asciiTheme="minorHAnsi" w:eastAsiaTheme="minorEastAsia" w:hAnsiTheme="minorHAnsi" w:cstheme="minorBidi"/>
          <w:color w:val="auto"/>
          <w:sz w:val="22"/>
          <w:szCs w:val="22"/>
          <w:lang w:eastAsia="en-US"/>
        </w:rPr>
      </w:pPr>
      <w:hyperlink w:anchor="_Toc489871500" w:history="1">
        <w:r w:rsidR="002B6EC5" w:rsidRPr="002B6EC5">
          <w:rPr>
            <w:rStyle w:val="Hyperlink"/>
            <w:color w:val="auto"/>
          </w:rPr>
          <w:t>B.</w:t>
        </w:r>
        <w:r w:rsidR="002B6EC5" w:rsidRPr="002B6EC5">
          <w:rPr>
            <w:rFonts w:asciiTheme="minorHAnsi" w:eastAsiaTheme="minorEastAsia" w:hAnsiTheme="minorHAnsi" w:cstheme="minorBidi"/>
            <w:color w:val="auto"/>
            <w:sz w:val="22"/>
            <w:szCs w:val="22"/>
            <w:lang w:eastAsia="en-US"/>
          </w:rPr>
          <w:tab/>
        </w:r>
        <w:r w:rsidR="002B6EC5" w:rsidRPr="002B6EC5">
          <w:rPr>
            <w:rStyle w:val="Hyperlink"/>
            <w:color w:val="auto"/>
          </w:rPr>
          <w:t>Residential Rate Design</w:t>
        </w:r>
        <w:r w:rsidR="002B6EC5" w:rsidRPr="002B6EC5">
          <w:rPr>
            <w:webHidden/>
            <w:color w:val="auto"/>
          </w:rPr>
          <w:tab/>
        </w:r>
        <w:r w:rsidR="002B6EC5" w:rsidRPr="002B6EC5">
          <w:rPr>
            <w:webHidden/>
            <w:color w:val="auto"/>
          </w:rPr>
          <w:fldChar w:fldCharType="begin"/>
        </w:r>
        <w:r w:rsidR="002B6EC5" w:rsidRPr="002B6EC5">
          <w:rPr>
            <w:webHidden/>
            <w:color w:val="auto"/>
          </w:rPr>
          <w:instrText xml:space="preserve"> PAGEREF _Toc489871500 \h </w:instrText>
        </w:r>
        <w:r w:rsidR="002B6EC5" w:rsidRPr="002B6EC5">
          <w:rPr>
            <w:webHidden/>
            <w:color w:val="auto"/>
          </w:rPr>
        </w:r>
        <w:r w:rsidR="002B6EC5" w:rsidRPr="002B6EC5">
          <w:rPr>
            <w:webHidden/>
            <w:color w:val="auto"/>
          </w:rPr>
          <w:fldChar w:fldCharType="separate"/>
        </w:r>
        <w:r w:rsidR="00C00764">
          <w:rPr>
            <w:webHidden/>
            <w:color w:val="auto"/>
          </w:rPr>
          <w:t>79</w:t>
        </w:r>
        <w:r w:rsidR="002B6EC5" w:rsidRPr="002B6EC5">
          <w:rPr>
            <w:webHidden/>
            <w:color w:val="auto"/>
          </w:rPr>
          <w:fldChar w:fldCharType="end"/>
        </w:r>
      </w:hyperlink>
    </w:p>
    <w:p w:rsidR="002B6EC5" w:rsidRPr="002B6EC5" w:rsidRDefault="00B06438">
      <w:pPr>
        <w:pStyle w:val="TOC2"/>
        <w:rPr>
          <w:rFonts w:asciiTheme="minorHAnsi" w:eastAsiaTheme="minorEastAsia" w:hAnsiTheme="minorHAnsi" w:cstheme="minorBidi"/>
          <w:color w:val="auto"/>
          <w:sz w:val="22"/>
          <w:szCs w:val="22"/>
          <w:lang w:eastAsia="en-US"/>
        </w:rPr>
      </w:pPr>
      <w:hyperlink w:anchor="_Toc489871501" w:history="1">
        <w:r w:rsidR="002B6EC5" w:rsidRPr="002B6EC5">
          <w:rPr>
            <w:rStyle w:val="Hyperlink"/>
            <w:color w:val="auto"/>
          </w:rPr>
          <w:t>C.</w:t>
        </w:r>
        <w:r w:rsidR="002B6EC5" w:rsidRPr="002B6EC5">
          <w:rPr>
            <w:rFonts w:asciiTheme="minorHAnsi" w:eastAsiaTheme="minorEastAsia" w:hAnsiTheme="minorHAnsi" w:cstheme="minorBidi"/>
            <w:color w:val="auto"/>
            <w:sz w:val="22"/>
            <w:szCs w:val="22"/>
            <w:lang w:eastAsia="en-US"/>
          </w:rPr>
          <w:tab/>
        </w:r>
        <w:r w:rsidR="002B6EC5" w:rsidRPr="002B6EC5">
          <w:rPr>
            <w:rStyle w:val="Hyperlink"/>
            <w:color w:val="auto"/>
          </w:rPr>
          <w:t>Non-Residential Rate Design</w:t>
        </w:r>
        <w:r w:rsidR="002B6EC5" w:rsidRPr="002B6EC5">
          <w:rPr>
            <w:webHidden/>
            <w:color w:val="auto"/>
          </w:rPr>
          <w:tab/>
        </w:r>
        <w:r w:rsidR="002B6EC5" w:rsidRPr="002B6EC5">
          <w:rPr>
            <w:webHidden/>
            <w:color w:val="auto"/>
          </w:rPr>
          <w:fldChar w:fldCharType="begin"/>
        </w:r>
        <w:r w:rsidR="002B6EC5" w:rsidRPr="002B6EC5">
          <w:rPr>
            <w:webHidden/>
            <w:color w:val="auto"/>
          </w:rPr>
          <w:instrText xml:space="preserve"> PAGEREF _Toc489871501 \h </w:instrText>
        </w:r>
        <w:r w:rsidR="002B6EC5" w:rsidRPr="002B6EC5">
          <w:rPr>
            <w:webHidden/>
            <w:color w:val="auto"/>
          </w:rPr>
        </w:r>
        <w:r w:rsidR="002B6EC5" w:rsidRPr="002B6EC5">
          <w:rPr>
            <w:webHidden/>
            <w:color w:val="auto"/>
          </w:rPr>
          <w:fldChar w:fldCharType="separate"/>
        </w:r>
        <w:r w:rsidR="00C00764">
          <w:rPr>
            <w:webHidden/>
            <w:color w:val="auto"/>
          </w:rPr>
          <w:t>80</w:t>
        </w:r>
        <w:r w:rsidR="002B6EC5" w:rsidRPr="002B6EC5">
          <w:rPr>
            <w:webHidden/>
            <w:color w:val="auto"/>
          </w:rPr>
          <w:fldChar w:fldCharType="end"/>
        </w:r>
      </w:hyperlink>
    </w:p>
    <w:p w:rsidR="002B6EC5" w:rsidRPr="002B6EC5" w:rsidRDefault="00B06438">
      <w:pPr>
        <w:pStyle w:val="TOC1"/>
        <w:rPr>
          <w:rFonts w:asciiTheme="minorHAnsi" w:eastAsiaTheme="minorEastAsia" w:hAnsiTheme="minorHAnsi" w:cstheme="minorBidi"/>
          <w:color w:val="auto"/>
          <w:sz w:val="22"/>
          <w:szCs w:val="22"/>
          <w:lang w:eastAsia="en-US"/>
        </w:rPr>
      </w:pPr>
      <w:hyperlink w:anchor="_Toc489871502" w:history="1">
        <w:r w:rsidR="002B6EC5" w:rsidRPr="002B6EC5">
          <w:rPr>
            <w:rStyle w:val="Hyperlink"/>
            <w:color w:val="auto"/>
          </w:rPr>
          <w:t>VII.</w:t>
        </w:r>
        <w:r w:rsidR="002B6EC5" w:rsidRPr="002B6EC5">
          <w:rPr>
            <w:rFonts w:asciiTheme="minorHAnsi" w:eastAsiaTheme="minorEastAsia" w:hAnsiTheme="minorHAnsi" w:cstheme="minorBidi"/>
            <w:color w:val="auto"/>
            <w:sz w:val="22"/>
            <w:szCs w:val="22"/>
            <w:lang w:eastAsia="en-US"/>
          </w:rPr>
          <w:tab/>
        </w:r>
        <w:r w:rsidR="002B6EC5" w:rsidRPr="002B6EC5">
          <w:rPr>
            <w:rStyle w:val="Hyperlink"/>
            <w:color w:val="auto"/>
          </w:rPr>
          <w:t>RESPONSE TO PARTIES’ CALCULATION OF TEST YEAR REVENUE</w:t>
        </w:r>
        <w:r w:rsidR="002B6EC5" w:rsidRPr="002B6EC5">
          <w:rPr>
            <w:webHidden/>
            <w:color w:val="auto"/>
          </w:rPr>
          <w:tab/>
        </w:r>
        <w:r w:rsidR="002B6EC5" w:rsidRPr="002B6EC5">
          <w:rPr>
            <w:webHidden/>
            <w:color w:val="auto"/>
          </w:rPr>
          <w:fldChar w:fldCharType="begin"/>
        </w:r>
        <w:r w:rsidR="002B6EC5" w:rsidRPr="002B6EC5">
          <w:rPr>
            <w:webHidden/>
            <w:color w:val="auto"/>
          </w:rPr>
          <w:instrText xml:space="preserve"> PAGEREF _Toc489871502 \h </w:instrText>
        </w:r>
        <w:r w:rsidR="002B6EC5" w:rsidRPr="002B6EC5">
          <w:rPr>
            <w:webHidden/>
            <w:color w:val="auto"/>
          </w:rPr>
        </w:r>
        <w:r w:rsidR="002B6EC5" w:rsidRPr="002B6EC5">
          <w:rPr>
            <w:webHidden/>
            <w:color w:val="auto"/>
          </w:rPr>
          <w:fldChar w:fldCharType="separate"/>
        </w:r>
        <w:r w:rsidR="00C00764">
          <w:rPr>
            <w:webHidden/>
            <w:color w:val="auto"/>
          </w:rPr>
          <w:t>80</w:t>
        </w:r>
        <w:r w:rsidR="002B6EC5" w:rsidRPr="002B6EC5">
          <w:rPr>
            <w:webHidden/>
            <w:color w:val="auto"/>
          </w:rPr>
          <w:fldChar w:fldCharType="end"/>
        </w:r>
      </w:hyperlink>
    </w:p>
    <w:p w:rsidR="002B6EC5" w:rsidRPr="002B6EC5" w:rsidRDefault="00B06438">
      <w:pPr>
        <w:pStyle w:val="TOC2"/>
        <w:rPr>
          <w:rFonts w:asciiTheme="minorHAnsi" w:eastAsiaTheme="minorEastAsia" w:hAnsiTheme="minorHAnsi" w:cstheme="minorBidi"/>
          <w:color w:val="auto"/>
          <w:sz w:val="22"/>
          <w:szCs w:val="22"/>
          <w:lang w:eastAsia="en-US"/>
        </w:rPr>
      </w:pPr>
      <w:hyperlink w:anchor="_Toc489871503" w:history="1">
        <w:r w:rsidR="002B6EC5" w:rsidRPr="002B6EC5">
          <w:rPr>
            <w:rStyle w:val="Hyperlink"/>
            <w:color w:val="auto"/>
          </w:rPr>
          <w:t>A.</w:t>
        </w:r>
        <w:r w:rsidR="002B6EC5" w:rsidRPr="002B6EC5">
          <w:rPr>
            <w:rFonts w:asciiTheme="minorHAnsi" w:eastAsiaTheme="minorEastAsia" w:hAnsiTheme="minorHAnsi" w:cstheme="minorBidi"/>
            <w:color w:val="auto"/>
            <w:sz w:val="22"/>
            <w:szCs w:val="22"/>
            <w:lang w:eastAsia="en-US"/>
          </w:rPr>
          <w:tab/>
        </w:r>
        <w:r w:rsidR="002B6EC5" w:rsidRPr="002B6EC5">
          <w:rPr>
            <w:rStyle w:val="Hyperlink"/>
            <w:color w:val="auto"/>
          </w:rPr>
          <w:t>Adjusting Price Schedules</w:t>
        </w:r>
        <w:r w:rsidR="002B6EC5" w:rsidRPr="002B6EC5">
          <w:rPr>
            <w:webHidden/>
            <w:color w:val="auto"/>
          </w:rPr>
          <w:tab/>
        </w:r>
        <w:r w:rsidR="002B6EC5" w:rsidRPr="002B6EC5">
          <w:rPr>
            <w:webHidden/>
            <w:color w:val="auto"/>
          </w:rPr>
          <w:fldChar w:fldCharType="begin"/>
        </w:r>
        <w:r w:rsidR="002B6EC5" w:rsidRPr="002B6EC5">
          <w:rPr>
            <w:webHidden/>
            <w:color w:val="auto"/>
          </w:rPr>
          <w:instrText xml:space="preserve"> PAGEREF _Toc489871503 \h </w:instrText>
        </w:r>
        <w:r w:rsidR="002B6EC5" w:rsidRPr="002B6EC5">
          <w:rPr>
            <w:webHidden/>
            <w:color w:val="auto"/>
          </w:rPr>
        </w:r>
        <w:r w:rsidR="002B6EC5" w:rsidRPr="002B6EC5">
          <w:rPr>
            <w:webHidden/>
            <w:color w:val="auto"/>
          </w:rPr>
          <w:fldChar w:fldCharType="separate"/>
        </w:r>
        <w:r w:rsidR="00C00764">
          <w:rPr>
            <w:webHidden/>
            <w:color w:val="auto"/>
          </w:rPr>
          <w:t>80</w:t>
        </w:r>
        <w:r w:rsidR="002B6EC5" w:rsidRPr="002B6EC5">
          <w:rPr>
            <w:webHidden/>
            <w:color w:val="auto"/>
          </w:rPr>
          <w:fldChar w:fldCharType="end"/>
        </w:r>
      </w:hyperlink>
    </w:p>
    <w:p w:rsidR="002B6EC5" w:rsidRPr="002B6EC5" w:rsidRDefault="00B06438">
      <w:pPr>
        <w:pStyle w:val="TOC2"/>
        <w:rPr>
          <w:rFonts w:asciiTheme="minorHAnsi" w:eastAsiaTheme="minorEastAsia" w:hAnsiTheme="minorHAnsi" w:cstheme="minorBidi"/>
          <w:color w:val="auto"/>
          <w:sz w:val="22"/>
          <w:szCs w:val="22"/>
          <w:lang w:eastAsia="en-US"/>
        </w:rPr>
      </w:pPr>
      <w:hyperlink w:anchor="_Toc489871504" w:history="1">
        <w:r w:rsidR="002B6EC5" w:rsidRPr="002B6EC5">
          <w:rPr>
            <w:rStyle w:val="Hyperlink"/>
            <w:color w:val="auto"/>
          </w:rPr>
          <w:t>B.</w:t>
        </w:r>
        <w:r w:rsidR="002B6EC5" w:rsidRPr="002B6EC5">
          <w:rPr>
            <w:rFonts w:asciiTheme="minorHAnsi" w:eastAsiaTheme="minorEastAsia" w:hAnsiTheme="minorHAnsi" w:cstheme="minorBidi"/>
            <w:color w:val="auto"/>
            <w:sz w:val="22"/>
            <w:szCs w:val="22"/>
            <w:lang w:eastAsia="en-US"/>
          </w:rPr>
          <w:tab/>
        </w:r>
        <w:r w:rsidR="002B6EC5" w:rsidRPr="002B6EC5">
          <w:rPr>
            <w:rStyle w:val="Hyperlink"/>
            <w:color w:val="auto"/>
          </w:rPr>
          <w:t>“Imputed” Rental Revenue</w:t>
        </w:r>
        <w:r w:rsidR="002B6EC5" w:rsidRPr="002B6EC5">
          <w:rPr>
            <w:webHidden/>
            <w:color w:val="auto"/>
          </w:rPr>
          <w:tab/>
        </w:r>
        <w:r w:rsidR="002B6EC5" w:rsidRPr="002B6EC5">
          <w:rPr>
            <w:webHidden/>
            <w:color w:val="auto"/>
          </w:rPr>
          <w:fldChar w:fldCharType="begin"/>
        </w:r>
        <w:r w:rsidR="002B6EC5" w:rsidRPr="002B6EC5">
          <w:rPr>
            <w:webHidden/>
            <w:color w:val="auto"/>
          </w:rPr>
          <w:instrText xml:space="preserve"> PAGEREF _Toc489871504 \h </w:instrText>
        </w:r>
        <w:r w:rsidR="002B6EC5" w:rsidRPr="002B6EC5">
          <w:rPr>
            <w:webHidden/>
            <w:color w:val="auto"/>
          </w:rPr>
        </w:r>
        <w:r w:rsidR="002B6EC5" w:rsidRPr="002B6EC5">
          <w:rPr>
            <w:webHidden/>
            <w:color w:val="auto"/>
          </w:rPr>
          <w:fldChar w:fldCharType="separate"/>
        </w:r>
        <w:r w:rsidR="00C00764">
          <w:rPr>
            <w:webHidden/>
            <w:color w:val="auto"/>
          </w:rPr>
          <w:t>81</w:t>
        </w:r>
        <w:r w:rsidR="002B6EC5" w:rsidRPr="002B6EC5">
          <w:rPr>
            <w:webHidden/>
            <w:color w:val="auto"/>
          </w:rPr>
          <w:fldChar w:fldCharType="end"/>
        </w:r>
      </w:hyperlink>
    </w:p>
    <w:p w:rsidR="002B6EC5" w:rsidRPr="002B6EC5" w:rsidRDefault="00B06438">
      <w:pPr>
        <w:pStyle w:val="TOC2"/>
        <w:rPr>
          <w:rFonts w:asciiTheme="minorHAnsi" w:eastAsiaTheme="minorEastAsia" w:hAnsiTheme="minorHAnsi" w:cstheme="minorBidi"/>
          <w:color w:val="auto"/>
          <w:sz w:val="22"/>
          <w:szCs w:val="22"/>
          <w:lang w:eastAsia="en-US"/>
        </w:rPr>
      </w:pPr>
      <w:hyperlink w:anchor="_Toc489871505" w:history="1">
        <w:r w:rsidR="002B6EC5" w:rsidRPr="002B6EC5">
          <w:rPr>
            <w:rStyle w:val="Hyperlink"/>
            <w:color w:val="auto"/>
          </w:rPr>
          <w:t>C.</w:t>
        </w:r>
        <w:r w:rsidR="002B6EC5" w:rsidRPr="002B6EC5">
          <w:rPr>
            <w:rFonts w:asciiTheme="minorHAnsi" w:eastAsiaTheme="minorEastAsia" w:hAnsiTheme="minorHAnsi" w:cstheme="minorBidi"/>
            <w:color w:val="auto"/>
            <w:sz w:val="22"/>
            <w:szCs w:val="22"/>
            <w:lang w:eastAsia="en-US"/>
          </w:rPr>
          <w:tab/>
        </w:r>
        <w:r w:rsidR="002B6EC5" w:rsidRPr="002B6EC5">
          <w:rPr>
            <w:rStyle w:val="Hyperlink"/>
            <w:color w:val="auto"/>
          </w:rPr>
          <w:t>Terminology (“Pro Forma Revenue)</w:t>
        </w:r>
        <w:r w:rsidR="002B6EC5" w:rsidRPr="002B6EC5">
          <w:rPr>
            <w:webHidden/>
            <w:color w:val="auto"/>
          </w:rPr>
          <w:tab/>
        </w:r>
        <w:r w:rsidR="002B6EC5" w:rsidRPr="002B6EC5">
          <w:rPr>
            <w:webHidden/>
            <w:color w:val="auto"/>
          </w:rPr>
          <w:fldChar w:fldCharType="begin"/>
        </w:r>
        <w:r w:rsidR="002B6EC5" w:rsidRPr="002B6EC5">
          <w:rPr>
            <w:webHidden/>
            <w:color w:val="auto"/>
          </w:rPr>
          <w:instrText xml:space="preserve"> PAGEREF _Toc489871505 \h </w:instrText>
        </w:r>
        <w:r w:rsidR="002B6EC5" w:rsidRPr="002B6EC5">
          <w:rPr>
            <w:webHidden/>
            <w:color w:val="auto"/>
          </w:rPr>
        </w:r>
        <w:r w:rsidR="002B6EC5" w:rsidRPr="002B6EC5">
          <w:rPr>
            <w:webHidden/>
            <w:color w:val="auto"/>
          </w:rPr>
          <w:fldChar w:fldCharType="separate"/>
        </w:r>
        <w:r w:rsidR="00C00764">
          <w:rPr>
            <w:webHidden/>
            <w:color w:val="auto"/>
          </w:rPr>
          <w:t>83</w:t>
        </w:r>
        <w:r w:rsidR="002B6EC5" w:rsidRPr="002B6EC5">
          <w:rPr>
            <w:webHidden/>
            <w:color w:val="auto"/>
          </w:rPr>
          <w:fldChar w:fldCharType="end"/>
        </w:r>
      </w:hyperlink>
    </w:p>
    <w:p w:rsidR="002B6EC5" w:rsidRPr="002B6EC5" w:rsidRDefault="00B06438">
      <w:pPr>
        <w:pStyle w:val="TOC1"/>
        <w:rPr>
          <w:rFonts w:asciiTheme="minorHAnsi" w:eastAsiaTheme="minorEastAsia" w:hAnsiTheme="minorHAnsi" w:cstheme="minorBidi"/>
          <w:color w:val="auto"/>
          <w:sz w:val="22"/>
          <w:szCs w:val="22"/>
          <w:lang w:eastAsia="en-US"/>
        </w:rPr>
      </w:pPr>
      <w:hyperlink w:anchor="_Toc489871506" w:history="1">
        <w:r w:rsidR="002B6EC5" w:rsidRPr="002B6EC5">
          <w:rPr>
            <w:rStyle w:val="Hyperlink"/>
            <w:color w:val="auto"/>
          </w:rPr>
          <w:t>VIII.</w:t>
        </w:r>
        <w:r w:rsidR="002B6EC5" w:rsidRPr="002B6EC5">
          <w:rPr>
            <w:rFonts w:asciiTheme="minorHAnsi" w:eastAsiaTheme="minorEastAsia" w:hAnsiTheme="minorHAnsi" w:cstheme="minorBidi"/>
            <w:color w:val="auto"/>
            <w:sz w:val="22"/>
            <w:szCs w:val="22"/>
            <w:lang w:eastAsia="en-US"/>
          </w:rPr>
          <w:tab/>
        </w:r>
        <w:r w:rsidR="002B6EC5" w:rsidRPr="002B6EC5">
          <w:rPr>
            <w:rStyle w:val="Hyperlink"/>
            <w:color w:val="auto"/>
          </w:rPr>
          <w:t>CONCLUSION</w:t>
        </w:r>
        <w:r w:rsidR="002B6EC5" w:rsidRPr="002B6EC5">
          <w:rPr>
            <w:webHidden/>
            <w:color w:val="auto"/>
          </w:rPr>
          <w:tab/>
        </w:r>
        <w:r w:rsidR="002B6EC5" w:rsidRPr="002B6EC5">
          <w:rPr>
            <w:webHidden/>
            <w:color w:val="auto"/>
          </w:rPr>
          <w:fldChar w:fldCharType="begin"/>
        </w:r>
        <w:r w:rsidR="002B6EC5" w:rsidRPr="002B6EC5">
          <w:rPr>
            <w:webHidden/>
            <w:color w:val="auto"/>
          </w:rPr>
          <w:instrText xml:space="preserve"> PAGEREF _Toc489871506 \h </w:instrText>
        </w:r>
        <w:r w:rsidR="002B6EC5" w:rsidRPr="002B6EC5">
          <w:rPr>
            <w:webHidden/>
            <w:color w:val="auto"/>
          </w:rPr>
        </w:r>
        <w:r w:rsidR="002B6EC5" w:rsidRPr="002B6EC5">
          <w:rPr>
            <w:webHidden/>
            <w:color w:val="auto"/>
          </w:rPr>
          <w:fldChar w:fldCharType="separate"/>
        </w:r>
        <w:r w:rsidR="00C00764">
          <w:rPr>
            <w:webHidden/>
            <w:color w:val="auto"/>
          </w:rPr>
          <w:t>86</w:t>
        </w:r>
        <w:r w:rsidR="002B6EC5" w:rsidRPr="002B6EC5">
          <w:rPr>
            <w:webHidden/>
            <w:color w:val="auto"/>
          </w:rPr>
          <w:fldChar w:fldCharType="end"/>
        </w:r>
      </w:hyperlink>
    </w:p>
    <w:p w:rsidR="00737B0A" w:rsidRDefault="00F8418D" w:rsidP="00734EBA">
      <w:pPr>
        <w:pStyle w:val="TOC1"/>
        <w:rPr>
          <w:bCs/>
          <w:color w:val="auto"/>
        </w:rPr>
      </w:pPr>
      <w:r w:rsidRPr="002B6EC5">
        <w:rPr>
          <w:bCs/>
          <w:color w:val="auto"/>
        </w:rPr>
        <w:fldChar w:fldCharType="end"/>
      </w:r>
    </w:p>
    <w:p w:rsidR="00737B0A" w:rsidRDefault="00737B0A">
      <w:pPr>
        <w:spacing w:line="240" w:lineRule="auto"/>
        <w:ind w:firstLine="0"/>
        <w:rPr>
          <w:rFonts w:eastAsia="SimSun"/>
          <w:b/>
          <w:bCs/>
          <w:noProof/>
          <w:color w:val="0000FF"/>
          <w:szCs w:val="24"/>
        </w:rPr>
      </w:pPr>
      <w:r>
        <w:rPr>
          <w:b/>
          <w:bCs/>
        </w:rPr>
        <w:br w:type="page"/>
      </w:r>
    </w:p>
    <w:p w:rsidR="00737B0A" w:rsidRDefault="00EC574B" w:rsidP="00737B0A">
      <w:pPr>
        <w:widowControl w:val="0"/>
        <w:spacing w:before="240" w:after="240" w:line="480" w:lineRule="auto"/>
        <w:ind w:right="720" w:firstLine="0"/>
        <w:jc w:val="center"/>
        <w:rPr>
          <w:b/>
          <w:bCs/>
        </w:rPr>
      </w:pPr>
      <w:r>
        <w:rPr>
          <w:b/>
          <w:bCs/>
        </w:rPr>
        <w:t>LIST OF EXHIBITS</w:t>
      </w:r>
    </w:p>
    <w:p w:rsidR="00737B0A" w:rsidRPr="009D1F78" w:rsidRDefault="00C003A4" w:rsidP="00EC574B">
      <w:pPr>
        <w:pStyle w:val="normalhanging"/>
        <w:tabs>
          <w:tab w:val="left" w:pos="1890"/>
        </w:tabs>
        <w:ind w:left="1800" w:hanging="1800"/>
      </w:pPr>
      <w:bookmarkStart w:id="1" w:name="_Ref489353288"/>
      <w:r>
        <w:t>Exh. JAP-47</w:t>
      </w:r>
      <w:r w:rsidR="00EC574B">
        <w:tab/>
      </w:r>
      <w:r w:rsidR="007A71CE">
        <w:t xml:space="preserve">Alternative </w:t>
      </w:r>
      <w:r w:rsidR="00AB0736">
        <w:t>D</w:t>
      </w:r>
      <w:r w:rsidR="00815FFB">
        <w:t xml:space="preserve">ecoupling </w:t>
      </w:r>
      <w:r w:rsidR="00AB0736">
        <w:t>C</w:t>
      </w:r>
      <w:r w:rsidR="00815FFB">
        <w:t xml:space="preserve">alculations for </w:t>
      </w:r>
      <w:r w:rsidR="00AB0736">
        <w:t>F</w:t>
      </w:r>
      <w:r w:rsidR="007A71CE">
        <w:t xml:space="preserve">ixed </w:t>
      </w:r>
      <w:r w:rsidR="005A022C">
        <w:t>P</w:t>
      </w:r>
      <w:r w:rsidR="007A71CE">
        <w:t xml:space="preserve">roduction </w:t>
      </w:r>
      <w:r w:rsidR="00AB0736">
        <w:t>C</w:t>
      </w:r>
      <w:r w:rsidR="007A71CE">
        <w:t>ost</w:t>
      </w:r>
      <w:bookmarkEnd w:id="1"/>
      <w:r w:rsidR="007A71CE">
        <w:t xml:space="preserve"> </w:t>
      </w:r>
    </w:p>
    <w:p w:rsidR="00381F7D" w:rsidRPr="005A022C" w:rsidRDefault="00EC574B" w:rsidP="00EC574B">
      <w:pPr>
        <w:pStyle w:val="normalhanging"/>
        <w:tabs>
          <w:tab w:val="left" w:pos="360"/>
          <w:tab w:val="left" w:pos="540"/>
        </w:tabs>
        <w:ind w:left="1800" w:hanging="1800"/>
      </w:pPr>
      <w:bookmarkStart w:id="2" w:name="_Ref489360913"/>
      <w:bookmarkStart w:id="3" w:name="_Ref489356250"/>
      <w:r>
        <w:t>Exh. JAP-48</w:t>
      </w:r>
      <w:r>
        <w:tab/>
        <w:t>T</w:t>
      </w:r>
      <w:r w:rsidR="00381F7D" w:rsidRPr="005A022C">
        <w:t xml:space="preserve">he Energy Project </w:t>
      </w:r>
      <w:r w:rsidR="003A2C6B" w:rsidRPr="005A022C">
        <w:t xml:space="preserve">Response </w:t>
      </w:r>
      <w:r w:rsidR="00381F7D" w:rsidRPr="005A022C">
        <w:t>to PSE Data Request No. 002</w:t>
      </w:r>
      <w:bookmarkEnd w:id="2"/>
    </w:p>
    <w:p w:rsidR="00737B0A" w:rsidRPr="005A022C" w:rsidRDefault="00C003A4" w:rsidP="00EC574B">
      <w:pPr>
        <w:pStyle w:val="normalhanging"/>
        <w:tabs>
          <w:tab w:val="left" w:pos="1800"/>
        </w:tabs>
        <w:ind w:left="1800" w:hanging="1800"/>
      </w:pPr>
      <w:bookmarkStart w:id="4" w:name="_Ref489361028"/>
      <w:r>
        <w:t>Exh. JAP-49</w:t>
      </w:r>
      <w:r w:rsidR="00EC574B">
        <w:tab/>
      </w:r>
      <w:r w:rsidR="00B5219F" w:rsidRPr="005A022C">
        <w:t xml:space="preserve">Joint </w:t>
      </w:r>
      <w:r w:rsidR="00381F7D" w:rsidRPr="005A022C">
        <w:t>M</w:t>
      </w:r>
      <w:r w:rsidR="00B5219F" w:rsidRPr="005A022C">
        <w:t xml:space="preserve">otion to </w:t>
      </w:r>
      <w:r w:rsidR="00381F7D" w:rsidRPr="005A022C">
        <w:t>A</w:t>
      </w:r>
      <w:r w:rsidR="00B5219F" w:rsidRPr="005A022C">
        <w:t xml:space="preserve">mend </w:t>
      </w:r>
      <w:r w:rsidR="00381F7D" w:rsidRPr="005A022C">
        <w:t>Order 03 and S</w:t>
      </w:r>
      <w:r w:rsidR="00B5219F" w:rsidRPr="005A022C">
        <w:t xml:space="preserve">ettlement </w:t>
      </w:r>
      <w:r w:rsidR="00381F7D" w:rsidRPr="005A022C">
        <w:t>A</w:t>
      </w:r>
      <w:r w:rsidR="00B5219F" w:rsidRPr="005A022C">
        <w:t>greement</w:t>
      </w:r>
      <w:bookmarkEnd w:id="3"/>
      <w:r w:rsidR="00381F7D" w:rsidRPr="005A022C">
        <w:t xml:space="preserve"> in </w:t>
      </w:r>
      <w:r w:rsidR="00EC574B">
        <w:br/>
      </w:r>
      <w:r w:rsidR="00381F7D" w:rsidRPr="005A022C">
        <w:t>Docket UE-141368</w:t>
      </w:r>
      <w:bookmarkEnd w:id="4"/>
    </w:p>
    <w:p w:rsidR="00737B0A" w:rsidRPr="005A022C" w:rsidRDefault="00C003A4" w:rsidP="00EC574B">
      <w:pPr>
        <w:pStyle w:val="normalhanging"/>
        <w:tabs>
          <w:tab w:val="left" w:pos="630"/>
          <w:tab w:val="left" w:pos="1350"/>
          <w:tab w:val="left" w:pos="1800"/>
        </w:tabs>
        <w:ind w:left="2160" w:hanging="2160"/>
      </w:pPr>
      <w:r>
        <w:t>Exh. JAP-50</w:t>
      </w:r>
      <w:r w:rsidR="00EC574B">
        <w:tab/>
      </w:r>
      <w:r w:rsidR="00EC574B">
        <w:tab/>
      </w:r>
      <w:r w:rsidR="00AB0736" w:rsidRPr="005A022C">
        <w:t>Modified Parity Ratio Calculation for Schedule 40</w:t>
      </w:r>
    </w:p>
    <w:p w:rsidR="00381F7D" w:rsidRPr="005A022C" w:rsidRDefault="00C003A4" w:rsidP="00EC574B">
      <w:pPr>
        <w:pStyle w:val="normalhanging"/>
        <w:tabs>
          <w:tab w:val="left" w:pos="1350"/>
          <w:tab w:val="left" w:pos="1530"/>
          <w:tab w:val="left" w:pos="1800"/>
          <w:tab w:val="left" w:pos="2160"/>
        </w:tabs>
        <w:ind w:left="2160" w:hanging="2160"/>
      </w:pPr>
      <w:bookmarkStart w:id="5" w:name="_Ref489361230"/>
      <w:r>
        <w:t>Exh. JAP-51</w:t>
      </w:r>
      <w:r w:rsidR="00EC574B">
        <w:tab/>
      </w:r>
      <w:r w:rsidR="00EC574B">
        <w:tab/>
      </w:r>
      <w:r w:rsidR="00EC574B">
        <w:tab/>
      </w:r>
      <w:r w:rsidR="00AB0736" w:rsidRPr="005A022C">
        <w:t>Sample PSE Residential Electric Customer Bill</w:t>
      </w:r>
      <w:bookmarkEnd w:id="5"/>
    </w:p>
    <w:p w:rsidR="00AB0736" w:rsidRDefault="00EC574B" w:rsidP="00EC574B">
      <w:pPr>
        <w:pStyle w:val="normalhanging"/>
        <w:tabs>
          <w:tab w:val="left" w:pos="1350"/>
          <w:tab w:val="left" w:pos="1530"/>
          <w:tab w:val="left" w:pos="1800"/>
        </w:tabs>
        <w:ind w:left="2160" w:hanging="2160"/>
      </w:pPr>
      <w:bookmarkStart w:id="6" w:name="_Ref489361241"/>
      <w:r>
        <w:t>Exh</w:t>
      </w:r>
      <w:r w:rsidR="00C003A4">
        <w:t>. JAP-52</w:t>
      </w:r>
      <w:r>
        <w:tab/>
      </w:r>
      <w:r>
        <w:tab/>
      </w:r>
      <w:r>
        <w:tab/>
      </w:r>
      <w:r w:rsidR="00AB0736">
        <w:t>PSE Residential Electric Rate Summary</w:t>
      </w:r>
      <w:bookmarkEnd w:id="6"/>
    </w:p>
    <w:p w:rsidR="003A2C6B" w:rsidRPr="005A022C" w:rsidRDefault="00C003A4" w:rsidP="00EC574B">
      <w:pPr>
        <w:pStyle w:val="normalhanging"/>
        <w:tabs>
          <w:tab w:val="left" w:pos="1350"/>
          <w:tab w:val="left" w:pos="1530"/>
          <w:tab w:val="left" w:pos="1800"/>
        </w:tabs>
        <w:ind w:left="2160" w:hanging="2160"/>
      </w:pPr>
      <w:bookmarkStart w:id="7" w:name="_Ref489453677"/>
      <w:r>
        <w:t>Exh. JAP-53</w:t>
      </w:r>
      <w:r w:rsidR="00EC574B">
        <w:tab/>
      </w:r>
      <w:r w:rsidR="00EC574B">
        <w:tab/>
      </w:r>
      <w:r w:rsidR="00EC574B">
        <w:tab/>
      </w:r>
      <w:r w:rsidR="003A2C6B" w:rsidRPr="005A022C">
        <w:t>Staff Response to PSE Data Request No. 024</w:t>
      </w:r>
      <w:bookmarkEnd w:id="7"/>
      <w:r w:rsidR="003A2C6B" w:rsidRPr="005A022C">
        <w:t xml:space="preserve"> </w:t>
      </w:r>
    </w:p>
    <w:p w:rsidR="009D1F78" w:rsidRPr="009D1F78" w:rsidRDefault="009D1F78" w:rsidP="005A022C">
      <w:pPr>
        <w:pStyle w:val="normalhanging"/>
        <w:sectPr w:rsidR="009D1F78" w:rsidRPr="009D1F78">
          <w:headerReference w:type="default" r:id="rId10"/>
          <w:footerReference w:type="default" r:id="rId11"/>
          <w:pgSz w:w="12240" w:h="15840" w:code="1"/>
          <w:pgMar w:top="1440" w:right="1440" w:bottom="1440" w:left="2160" w:header="864" w:footer="576" w:gutter="0"/>
          <w:pgNumType w:fmt="lowerRoman" w:start="1"/>
          <w:cols w:space="720"/>
        </w:sectPr>
      </w:pPr>
    </w:p>
    <w:p w:rsidR="00F8418D" w:rsidRPr="009075DC" w:rsidRDefault="00F8418D" w:rsidP="00902913">
      <w:pPr>
        <w:spacing w:before="240" w:after="480" w:line="240" w:lineRule="auto"/>
        <w:ind w:left="547" w:right="547" w:firstLine="0"/>
        <w:jc w:val="center"/>
        <w:rPr>
          <w:b/>
          <w:bCs/>
          <w:szCs w:val="24"/>
        </w:rPr>
      </w:pPr>
      <w:r w:rsidRPr="009075DC">
        <w:rPr>
          <w:b/>
          <w:bCs/>
          <w:szCs w:val="24"/>
        </w:rPr>
        <w:t>PUGET SOUND ENERGY</w:t>
      </w:r>
    </w:p>
    <w:p w:rsidR="00A706E6" w:rsidRDefault="00A706E6" w:rsidP="00A706E6">
      <w:pPr>
        <w:pStyle w:val="center"/>
        <w:keepLines w:val="0"/>
        <w:spacing w:before="0" w:line="240" w:lineRule="auto"/>
        <w:rPr>
          <w:b/>
        </w:rPr>
      </w:pPr>
      <w:bookmarkStart w:id="8" w:name="_Toc125167531"/>
      <w:bookmarkStart w:id="9" w:name="_Toc127023381"/>
      <w:r w:rsidRPr="009075DC">
        <w:rPr>
          <w:b/>
        </w:rPr>
        <w:t xml:space="preserve">PREFILED </w:t>
      </w:r>
      <w:r>
        <w:rPr>
          <w:b/>
        </w:rPr>
        <w:t>REBUTTAL</w:t>
      </w:r>
      <w:r w:rsidRPr="009075DC">
        <w:rPr>
          <w:b/>
        </w:rPr>
        <w:t xml:space="preserve"> TESTIMONY</w:t>
      </w:r>
    </w:p>
    <w:p w:rsidR="00A706E6" w:rsidRDefault="001B57ED" w:rsidP="00902913">
      <w:pPr>
        <w:pStyle w:val="center"/>
        <w:keepLines w:val="0"/>
        <w:spacing w:before="0" w:line="240" w:lineRule="auto"/>
        <w:rPr>
          <w:b/>
        </w:rPr>
      </w:pPr>
      <w:r>
        <w:rPr>
          <w:b/>
        </w:rPr>
        <w:t>(</w:t>
      </w:r>
      <w:r w:rsidR="00A706E6" w:rsidRPr="009075DC">
        <w:rPr>
          <w:b/>
        </w:rPr>
        <w:t xml:space="preserve">CONFIDENTIAL) </w:t>
      </w:r>
      <w:r w:rsidR="00A706E6">
        <w:rPr>
          <w:b/>
        </w:rPr>
        <w:t>OF</w:t>
      </w:r>
    </w:p>
    <w:p w:rsidR="00A706E6" w:rsidRDefault="00782962" w:rsidP="00A706E6">
      <w:pPr>
        <w:pStyle w:val="center"/>
        <w:keepLines w:val="0"/>
        <w:spacing w:before="0" w:line="240" w:lineRule="auto"/>
        <w:rPr>
          <w:b/>
        </w:rPr>
      </w:pPr>
      <w:r>
        <w:rPr>
          <w:b/>
        </w:rPr>
        <w:t>JON A. PILIARIS</w:t>
      </w:r>
    </w:p>
    <w:p w:rsidR="00A706E6" w:rsidRDefault="00A706E6" w:rsidP="00A706E6">
      <w:pPr>
        <w:pStyle w:val="center"/>
        <w:keepLines w:val="0"/>
        <w:spacing w:before="0" w:line="240" w:lineRule="auto"/>
        <w:rPr>
          <w:b/>
        </w:rPr>
      </w:pPr>
    </w:p>
    <w:p w:rsidR="00F8418D" w:rsidRPr="009075DC" w:rsidRDefault="00F8418D" w:rsidP="00A15B24">
      <w:pPr>
        <w:pStyle w:val="PleadingsL1"/>
        <w:rPr>
          <w:rFonts w:eastAsia="SimSun"/>
        </w:rPr>
      </w:pPr>
      <w:bookmarkStart w:id="10" w:name="_Toc489871464"/>
      <w:r w:rsidRPr="00A15B24">
        <w:rPr>
          <w:rFonts w:eastAsia="SimSun"/>
        </w:rPr>
        <w:t>INTRODUCTION</w:t>
      </w:r>
      <w:bookmarkEnd w:id="8"/>
      <w:bookmarkEnd w:id="9"/>
      <w:bookmarkEnd w:id="10"/>
    </w:p>
    <w:p w:rsidR="00F8418D" w:rsidRPr="00734EBA" w:rsidRDefault="00F8418D" w:rsidP="00734EBA">
      <w:pPr>
        <w:pStyle w:val="question"/>
      </w:pPr>
      <w:r w:rsidRPr="00734EBA">
        <w:t>Q.</w:t>
      </w:r>
      <w:r w:rsidRPr="00734EBA">
        <w:tab/>
      </w:r>
      <w:r w:rsidR="00F5016E" w:rsidRPr="00734EBA">
        <w:t>Are you the same</w:t>
      </w:r>
      <w:r w:rsidR="00782962">
        <w:t xml:space="preserve"> Jon A. Piliaris</w:t>
      </w:r>
      <w:r w:rsidR="00F5016E" w:rsidRPr="00734EBA">
        <w:t xml:space="preserve"> who submitted prefiled direct testimony on January 13, 2017</w:t>
      </w:r>
      <w:r w:rsidR="008869EC">
        <w:t>, and prefiled supplemental direct testimony on April 3, 2017,</w:t>
      </w:r>
      <w:r w:rsidR="001F313C">
        <w:t xml:space="preserve"> </w:t>
      </w:r>
      <w:r w:rsidR="00F5016E" w:rsidRPr="00734EBA">
        <w:t>on behalf of Puget Sound Energy (</w:t>
      </w:r>
      <w:r w:rsidR="00734EBA">
        <w:t>“</w:t>
      </w:r>
      <w:r w:rsidR="00F5016E" w:rsidRPr="00734EBA">
        <w:t>PSE</w:t>
      </w:r>
      <w:r w:rsidR="00734EBA">
        <w:t>”</w:t>
      </w:r>
      <w:r w:rsidR="00F5016E" w:rsidRPr="00734EBA">
        <w:t>) in this proceeding?</w:t>
      </w:r>
    </w:p>
    <w:p w:rsidR="00F8418D" w:rsidRPr="009075DC" w:rsidRDefault="00F8418D" w:rsidP="00734EBA">
      <w:pPr>
        <w:pStyle w:val="answer"/>
        <w:rPr>
          <w:rFonts w:eastAsia="SimSun"/>
        </w:rPr>
      </w:pPr>
      <w:r w:rsidRPr="009075DC">
        <w:rPr>
          <w:rFonts w:eastAsia="SimSun"/>
        </w:rPr>
        <w:t>A.</w:t>
      </w:r>
      <w:r w:rsidRPr="009075DC">
        <w:rPr>
          <w:rFonts w:eastAsia="SimSun"/>
        </w:rPr>
        <w:tab/>
      </w:r>
      <w:r w:rsidR="0081660B">
        <w:rPr>
          <w:rFonts w:eastAsia="SimSun"/>
        </w:rPr>
        <w:t>Yes.</w:t>
      </w:r>
    </w:p>
    <w:p w:rsidR="00F8418D" w:rsidRPr="009075DC" w:rsidRDefault="00F8418D" w:rsidP="00734EBA">
      <w:pPr>
        <w:pStyle w:val="question"/>
      </w:pPr>
      <w:r w:rsidRPr="009075DC">
        <w:t>Q.</w:t>
      </w:r>
      <w:r w:rsidRPr="009075DC">
        <w:tab/>
        <w:t xml:space="preserve">What is the purpose of your </w:t>
      </w:r>
      <w:r w:rsidR="00632256">
        <w:t>rebuttal</w:t>
      </w:r>
      <w:r w:rsidR="00F5016E">
        <w:t xml:space="preserve"> </w:t>
      </w:r>
      <w:r w:rsidRPr="009075DC">
        <w:t>testimony?</w:t>
      </w:r>
    </w:p>
    <w:p w:rsidR="00117965" w:rsidRPr="00315A36" w:rsidRDefault="00F8418D" w:rsidP="00117965">
      <w:pPr>
        <w:pStyle w:val="answer"/>
        <w:spacing w:before="0" w:after="0"/>
      </w:pPr>
      <w:r w:rsidRPr="009075DC">
        <w:rPr>
          <w:rFonts w:eastAsia="SimSun"/>
        </w:rPr>
        <w:t>A.</w:t>
      </w:r>
      <w:r w:rsidRPr="009075DC">
        <w:rPr>
          <w:rFonts w:eastAsia="SimSun"/>
        </w:rPr>
        <w:tab/>
      </w:r>
      <w:r w:rsidR="00117965" w:rsidRPr="00315A36">
        <w:t xml:space="preserve">My rebuttal testimony responds to testimony from the following witnesses opposing </w:t>
      </w:r>
      <w:r w:rsidR="00C26AC6">
        <w:t xml:space="preserve">some or all of </w:t>
      </w:r>
      <w:r w:rsidR="00117965" w:rsidRPr="00315A36">
        <w:t xml:space="preserve">PSE's </w:t>
      </w:r>
      <w:r w:rsidR="00C26AC6">
        <w:t xml:space="preserve">decoupling </w:t>
      </w:r>
      <w:r w:rsidR="00117965" w:rsidRPr="00315A36">
        <w:t>proposal:</w:t>
      </w:r>
    </w:p>
    <w:p w:rsidR="00117965" w:rsidRPr="00315A36" w:rsidRDefault="00117965" w:rsidP="003B2FBF">
      <w:pPr>
        <w:pStyle w:val="answer"/>
        <w:numPr>
          <w:ilvl w:val="0"/>
          <w:numId w:val="25"/>
        </w:numPr>
        <w:tabs>
          <w:tab w:val="clear" w:pos="720"/>
          <w:tab w:val="num" w:pos="1440"/>
        </w:tabs>
        <w:spacing w:before="0" w:after="0"/>
        <w:ind w:left="1440"/>
      </w:pPr>
      <w:r w:rsidRPr="00315A36">
        <w:t xml:space="preserve">Ms. </w:t>
      </w:r>
      <w:r w:rsidR="00C26AC6">
        <w:t>Jing Liu</w:t>
      </w:r>
      <w:r w:rsidRPr="00315A36">
        <w:t xml:space="preserve">, witness for the Staff of the Washington Utilities and Transportation Commission ("Staff"); </w:t>
      </w:r>
    </w:p>
    <w:p w:rsidR="00117965" w:rsidRPr="00315A36" w:rsidRDefault="00117965" w:rsidP="003B2FBF">
      <w:pPr>
        <w:pStyle w:val="answer"/>
        <w:numPr>
          <w:ilvl w:val="0"/>
          <w:numId w:val="25"/>
        </w:numPr>
        <w:tabs>
          <w:tab w:val="clear" w:pos="720"/>
          <w:tab w:val="num" w:pos="1440"/>
        </w:tabs>
        <w:spacing w:before="0" w:after="0"/>
        <w:ind w:left="1440"/>
      </w:pPr>
      <w:r w:rsidRPr="00315A36">
        <w:t>M</w:t>
      </w:r>
      <w:r w:rsidR="00C26AC6">
        <w:t>s</w:t>
      </w:r>
      <w:r w:rsidRPr="00315A36">
        <w:t xml:space="preserve">. </w:t>
      </w:r>
      <w:r w:rsidR="00C26AC6">
        <w:t>Amanda Levin</w:t>
      </w:r>
      <w:r w:rsidRPr="00315A36">
        <w:t>, witness for the NW Energy Coalition ("NWEC")</w:t>
      </w:r>
      <w:r w:rsidR="00D170B8">
        <w:t>, Renewable Northwest (“RNP”) and the Natural Resources Defense Council (“NRDC”) (collectively, “Coalition”)</w:t>
      </w:r>
      <w:r w:rsidRPr="00315A36">
        <w:t xml:space="preserve">; </w:t>
      </w:r>
    </w:p>
    <w:p w:rsidR="00117965" w:rsidRPr="00315A36" w:rsidRDefault="00117965" w:rsidP="003B2FBF">
      <w:pPr>
        <w:pStyle w:val="answer"/>
        <w:numPr>
          <w:ilvl w:val="0"/>
          <w:numId w:val="25"/>
        </w:numPr>
        <w:tabs>
          <w:tab w:val="clear" w:pos="720"/>
          <w:tab w:val="num" w:pos="1440"/>
        </w:tabs>
        <w:spacing w:before="0" w:after="0"/>
        <w:ind w:left="1440"/>
      </w:pPr>
      <w:r w:rsidRPr="00315A36">
        <w:t xml:space="preserve">Mr. Michael Gorman, witness for the Industrial Customers of Northwest Utilities ("ICNU"); </w:t>
      </w:r>
    </w:p>
    <w:p w:rsidR="00D170B8" w:rsidRDefault="00117965" w:rsidP="003B2FBF">
      <w:pPr>
        <w:pStyle w:val="answer"/>
        <w:widowControl w:val="0"/>
        <w:numPr>
          <w:ilvl w:val="0"/>
          <w:numId w:val="25"/>
        </w:numPr>
        <w:tabs>
          <w:tab w:val="clear" w:pos="720"/>
          <w:tab w:val="num" w:pos="1440"/>
        </w:tabs>
        <w:spacing w:before="0" w:after="0"/>
        <w:ind w:left="1440"/>
      </w:pPr>
      <w:r w:rsidRPr="00315A36">
        <w:t xml:space="preserve">Mr. Kevin Higgins, witness for the Kroger Company ("Kroger"); </w:t>
      </w:r>
    </w:p>
    <w:p w:rsidR="00D170B8" w:rsidRDefault="00D170B8" w:rsidP="003B2FBF">
      <w:pPr>
        <w:pStyle w:val="answer"/>
        <w:widowControl w:val="0"/>
        <w:numPr>
          <w:ilvl w:val="0"/>
          <w:numId w:val="25"/>
        </w:numPr>
        <w:tabs>
          <w:tab w:val="clear" w:pos="720"/>
          <w:tab w:val="num" w:pos="1440"/>
        </w:tabs>
        <w:spacing w:before="0" w:after="0"/>
        <w:ind w:left="1440"/>
      </w:pPr>
      <w:r>
        <w:t>Mr. Ali Al-Jabir, witness</w:t>
      </w:r>
      <w:r w:rsidR="00E55908">
        <w:t xml:space="preserve"> for the Federal Executive Agenc</w:t>
      </w:r>
      <w:r>
        <w:t xml:space="preserve">ies (“FEA”); </w:t>
      </w:r>
    </w:p>
    <w:p w:rsidR="00117965" w:rsidRPr="00315A36" w:rsidRDefault="00D170B8" w:rsidP="003B2FBF">
      <w:pPr>
        <w:pStyle w:val="answer"/>
        <w:widowControl w:val="0"/>
        <w:numPr>
          <w:ilvl w:val="0"/>
          <w:numId w:val="25"/>
        </w:numPr>
        <w:tabs>
          <w:tab w:val="clear" w:pos="720"/>
          <w:tab w:val="num" w:pos="1440"/>
        </w:tabs>
        <w:spacing w:before="0" w:after="0"/>
        <w:ind w:left="1440"/>
      </w:pPr>
      <w:r>
        <w:t xml:space="preserve">Mr. Shawn Collins, witness for The Energy Project (“TEP”); </w:t>
      </w:r>
      <w:r w:rsidR="00117965" w:rsidRPr="00315A36">
        <w:t xml:space="preserve">and </w:t>
      </w:r>
    </w:p>
    <w:p w:rsidR="00117965" w:rsidRPr="00315A36" w:rsidRDefault="00117965" w:rsidP="003B2FBF">
      <w:pPr>
        <w:pStyle w:val="answer"/>
        <w:widowControl w:val="0"/>
        <w:numPr>
          <w:ilvl w:val="0"/>
          <w:numId w:val="25"/>
        </w:numPr>
        <w:tabs>
          <w:tab w:val="clear" w:pos="720"/>
          <w:tab w:val="num" w:pos="1440"/>
        </w:tabs>
        <w:spacing w:before="0" w:after="0"/>
        <w:ind w:left="1440"/>
      </w:pPr>
      <w:r w:rsidRPr="00315A36">
        <w:t>M</w:t>
      </w:r>
      <w:r w:rsidR="00D170B8">
        <w:t>r</w:t>
      </w:r>
      <w:r w:rsidRPr="00315A36">
        <w:t xml:space="preserve">. </w:t>
      </w:r>
      <w:r w:rsidR="00D170B8">
        <w:t>Michael Brosch</w:t>
      </w:r>
      <w:r w:rsidRPr="00315A36">
        <w:t>, witness for the Public Counsel section of the Washington State Attorney General’s Office ("Public Counsel").</w:t>
      </w:r>
    </w:p>
    <w:p w:rsidR="00D170B8" w:rsidRDefault="00EC52CB" w:rsidP="00EC52CB">
      <w:pPr>
        <w:pStyle w:val="answer"/>
      </w:pPr>
      <w:r>
        <w:tab/>
      </w:r>
      <w:r w:rsidR="00D170B8" w:rsidRPr="00315A36">
        <w:t xml:space="preserve">My rebuttal testimony also responds to </w:t>
      </w:r>
      <w:r w:rsidR="00D170B8">
        <w:t xml:space="preserve">testimony from the </w:t>
      </w:r>
      <w:r w:rsidR="0081660B">
        <w:t xml:space="preserve">above witnesses for </w:t>
      </w:r>
      <w:r w:rsidR="00555D72">
        <w:t xml:space="preserve">the </w:t>
      </w:r>
      <w:r w:rsidR="00D170B8">
        <w:t>Coalition,</w:t>
      </w:r>
      <w:r w:rsidR="0081660B">
        <w:t xml:space="preserve"> ICNU, </w:t>
      </w:r>
      <w:r w:rsidR="0081660B" w:rsidRPr="00EC52CB">
        <w:t>Kroger</w:t>
      </w:r>
      <w:r w:rsidR="0081660B">
        <w:t>, FEA, TEP, and Public Counsel,</w:t>
      </w:r>
      <w:r w:rsidR="00D170B8">
        <w:t xml:space="preserve"> as well as the following witnesses related to various electric or natural gas, </w:t>
      </w:r>
      <w:r w:rsidR="0081660B">
        <w:t xml:space="preserve">test year revenue, </w:t>
      </w:r>
      <w:r w:rsidR="00D170B8">
        <w:t>cost of service, rate spread or rate design issues:</w:t>
      </w:r>
    </w:p>
    <w:p w:rsidR="00D170B8" w:rsidRDefault="00D170B8" w:rsidP="003B2FBF">
      <w:pPr>
        <w:pStyle w:val="answer"/>
        <w:widowControl w:val="0"/>
        <w:numPr>
          <w:ilvl w:val="0"/>
          <w:numId w:val="26"/>
        </w:numPr>
        <w:tabs>
          <w:tab w:val="clear" w:pos="1080"/>
          <w:tab w:val="num" w:pos="1440"/>
        </w:tabs>
        <w:spacing w:before="0" w:after="0"/>
        <w:ind w:left="1440"/>
      </w:pPr>
      <w:r w:rsidRPr="00315A36">
        <w:t>M</w:t>
      </w:r>
      <w:r>
        <w:t>r</w:t>
      </w:r>
      <w:r w:rsidRPr="00315A36">
        <w:t xml:space="preserve">. </w:t>
      </w:r>
      <w:r>
        <w:t>Jason Ball</w:t>
      </w:r>
      <w:r w:rsidRPr="00315A36">
        <w:t>, witness for Staff;</w:t>
      </w:r>
    </w:p>
    <w:p w:rsidR="0081660B" w:rsidRDefault="0081660B" w:rsidP="003B2FBF">
      <w:pPr>
        <w:pStyle w:val="answer"/>
        <w:widowControl w:val="0"/>
        <w:numPr>
          <w:ilvl w:val="0"/>
          <w:numId w:val="26"/>
        </w:numPr>
        <w:tabs>
          <w:tab w:val="clear" w:pos="1080"/>
          <w:tab w:val="num" w:pos="1440"/>
        </w:tabs>
        <w:spacing w:before="0" w:after="0"/>
        <w:ind w:left="1440"/>
      </w:pPr>
      <w:r>
        <w:t>Mr. David Gomez, witness for Staff;</w:t>
      </w:r>
    </w:p>
    <w:p w:rsidR="0081660B" w:rsidRDefault="0081660B" w:rsidP="003B2FBF">
      <w:pPr>
        <w:pStyle w:val="answer"/>
        <w:widowControl w:val="0"/>
        <w:numPr>
          <w:ilvl w:val="0"/>
          <w:numId w:val="26"/>
        </w:numPr>
        <w:tabs>
          <w:tab w:val="clear" w:pos="1080"/>
          <w:tab w:val="num" w:pos="1440"/>
        </w:tabs>
        <w:spacing w:before="0" w:after="0"/>
        <w:ind w:left="1440"/>
      </w:pPr>
      <w:r>
        <w:t>Ms. Melissa Cheesman, witness for Staff;</w:t>
      </w:r>
    </w:p>
    <w:p w:rsidR="002F19A0" w:rsidRDefault="0081660B" w:rsidP="00560D44">
      <w:pPr>
        <w:pStyle w:val="answer"/>
        <w:widowControl w:val="0"/>
        <w:numPr>
          <w:ilvl w:val="0"/>
          <w:numId w:val="26"/>
        </w:numPr>
        <w:tabs>
          <w:tab w:val="clear" w:pos="1080"/>
          <w:tab w:val="num" w:pos="1440"/>
        </w:tabs>
        <w:spacing w:before="0" w:after="0"/>
        <w:ind w:left="1440"/>
      </w:pPr>
      <w:r>
        <w:t>Mr. Chris Hancock, witness for Staff;</w:t>
      </w:r>
    </w:p>
    <w:p w:rsidR="0081660B" w:rsidRDefault="0081660B" w:rsidP="003B2FBF">
      <w:pPr>
        <w:pStyle w:val="answer"/>
        <w:widowControl w:val="0"/>
        <w:numPr>
          <w:ilvl w:val="0"/>
          <w:numId w:val="26"/>
        </w:numPr>
        <w:tabs>
          <w:tab w:val="clear" w:pos="1080"/>
          <w:tab w:val="num" w:pos="1440"/>
        </w:tabs>
        <w:spacing w:before="0" w:after="0"/>
        <w:ind w:left="1440"/>
      </w:pPr>
      <w:r>
        <w:t>Mr. Glenn Watkins, witness for Public Counsel;</w:t>
      </w:r>
    </w:p>
    <w:p w:rsidR="0081660B" w:rsidRDefault="0081660B" w:rsidP="003B2FBF">
      <w:pPr>
        <w:pStyle w:val="answer"/>
        <w:widowControl w:val="0"/>
        <w:numPr>
          <w:ilvl w:val="0"/>
          <w:numId w:val="26"/>
        </w:numPr>
        <w:tabs>
          <w:tab w:val="clear" w:pos="1080"/>
          <w:tab w:val="num" w:pos="1440"/>
        </w:tabs>
        <w:spacing w:before="0" w:after="0"/>
        <w:ind w:left="1440"/>
      </w:pPr>
      <w:r>
        <w:t>Mr. Brad Mullins, witness for ICNU; and</w:t>
      </w:r>
    </w:p>
    <w:p w:rsidR="009B7D3A" w:rsidRDefault="0081660B" w:rsidP="00632256">
      <w:pPr>
        <w:pStyle w:val="answer"/>
        <w:widowControl w:val="0"/>
        <w:numPr>
          <w:ilvl w:val="0"/>
          <w:numId w:val="26"/>
        </w:numPr>
        <w:tabs>
          <w:tab w:val="clear" w:pos="1080"/>
          <w:tab w:val="num" w:pos="1440"/>
        </w:tabs>
        <w:spacing w:before="0" w:after="0"/>
        <w:ind w:left="1440"/>
      </w:pPr>
      <w:r>
        <w:t xml:space="preserve">Mr. Brian Collins, witness for </w:t>
      </w:r>
      <w:r w:rsidRPr="00315A36">
        <w:t>the Northwest Industrial Gas Users ("NWIGU")</w:t>
      </w:r>
      <w:r w:rsidR="00E55908">
        <w:t>.</w:t>
      </w:r>
      <w:r w:rsidR="00D170B8" w:rsidRPr="00315A36">
        <w:t xml:space="preserve"> </w:t>
      </w:r>
    </w:p>
    <w:p w:rsidR="009B7D3A" w:rsidRDefault="009B7D3A">
      <w:pPr>
        <w:spacing w:line="240" w:lineRule="auto"/>
        <w:ind w:firstLine="0"/>
      </w:pPr>
      <w:r>
        <w:br w:type="page"/>
      </w:r>
    </w:p>
    <w:p w:rsidR="00C26AC6" w:rsidRPr="009075DC" w:rsidRDefault="00C26AC6" w:rsidP="00A15B24">
      <w:pPr>
        <w:pStyle w:val="PleadingsL1"/>
        <w:rPr>
          <w:rFonts w:eastAsia="SimSun"/>
        </w:rPr>
      </w:pPr>
      <w:bookmarkStart w:id="11" w:name="_Toc489871465"/>
      <w:bookmarkStart w:id="12" w:name="_Toc229277841"/>
      <w:bookmarkStart w:id="13" w:name="_Toc471912928"/>
      <w:r>
        <w:rPr>
          <w:rFonts w:eastAsia="SimSun"/>
        </w:rPr>
        <w:t xml:space="preserve">RESPONSE TO ISSUES RAISED REGARDING DECOUPLING </w:t>
      </w:r>
      <w:r w:rsidRPr="00EC52CB">
        <w:rPr>
          <w:rFonts w:eastAsia="SimSun"/>
        </w:rPr>
        <w:t>MECHANISMS</w:t>
      </w:r>
      <w:bookmarkEnd w:id="11"/>
    </w:p>
    <w:p w:rsidR="00C26AC6" w:rsidRPr="003B5206" w:rsidRDefault="00C26AC6" w:rsidP="00A15B24">
      <w:pPr>
        <w:pStyle w:val="PleadingsL2"/>
      </w:pPr>
      <w:bookmarkStart w:id="14" w:name="_Toc489871466"/>
      <w:r>
        <w:t>Continuation of Decoupling</w:t>
      </w:r>
      <w:bookmarkEnd w:id="14"/>
    </w:p>
    <w:p w:rsidR="00A91720" w:rsidRPr="009075DC" w:rsidRDefault="00A91720" w:rsidP="00A91720">
      <w:pPr>
        <w:pStyle w:val="question"/>
      </w:pPr>
      <w:r w:rsidRPr="009075DC">
        <w:t>Q.</w:t>
      </w:r>
      <w:r w:rsidRPr="009075DC">
        <w:tab/>
      </w:r>
      <w:r>
        <w:t>Please summarize the various parties’ proposals for the continuation of PSE’s decoupling mechanisms.</w:t>
      </w:r>
    </w:p>
    <w:p w:rsidR="00A91720" w:rsidRDefault="00A91720" w:rsidP="00A91720">
      <w:pPr>
        <w:pStyle w:val="answer"/>
      </w:pPr>
      <w:r w:rsidRPr="009075DC">
        <w:rPr>
          <w:rFonts w:eastAsia="SimSun"/>
        </w:rPr>
        <w:t>A.</w:t>
      </w:r>
      <w:r w:rsidRPr="009075DC">
        <w:rPr>
          <w:rFonts w:eastAsia="SimSun"/>
        </w:rPr>
        <w:tab/>
      </w:r>
      <w:r w:rsidR="00521C04">
        <w:rPr>
          <w:rFonts w:eastAsia="SimSun"/>
        </w:rPr>
        <w:t xml:space="preserve">Staff witness Jing Liu recommends that the Commission only authorize PSE’s decoupling mechanisms for another four years, at which time </w:t>
      </w:r>
      <w:r w:rsidR="00B14C60">
        <w:rPr>
          <w:rFonts w:eastAsia="SimSun"/>
        </w:rPr>
        <w:t>PSE</w:t>
      </w:r>
      <w:r w:rsidR="00521C04">
        <w:rPr>
          <w:rFonts w:eastAsia="SimSun"/>
        </w:rPr>
        <w:t xml:space="preserve"> would file with the Commission to determine whether the mechanisms should continue or be modified.</w:t>
      </w:r>
      <w:r w:rsidR="00521C04">
        <w:rPr>
          <w:rStyle w:val="FootnoteReference"/>
          <w:rFonts w:eastAsia="SimSun"/>
        </w:rPr>
        <w:footnoteReference w:id="1"/>
      </w:r>
      <w:r w:rsidR="00902913">
        <w:rPr>
          <w:rFonts w:eastAsia="SimSun"/>
        </w:rPr>
        <w:t xml:space="preserve"> </w:t>
      </w:r>
      <w:r w:rsidR="000F6EF9">
        <w:rPr>
          <w:rFonts w:eastAsia="SimSun"/>
        </w:rPr>
        <w:t xml:space="preserve">ICNU witness Michael Gorman and FEA witness </w:t>
      </w:r>
      <w:r w:rsidR="00555D72">
        <w:rPr>
          <w:rFonts w:eastAsia="SimSun"/>
        </w:rPr>
        <w:t xml:space="preserve">Ali </w:t>
      </w:r>
      <w:r w:rsidR="000F6EF9">
        <w:rPr>
          <w:rFonts w:eastAsia="SimSun"/>
        </w:rPr>
        <w:t>Al-Jabir recommend that the Commission reject PSE’s electric decoupling mechanism in its entirety.</w:t>
      </w:r>
      <w:r w:rsidR="000F6EF9">
        <w:rPr>
          <w:rStyle w:val="FootnoteReference"/>
          <w:rFonts w:eastAsia="SimSun"/>
        </w:rPr>
        <w:footnoteReference w:id="2"/>
      </w:r>
      <w:r w:rsidR="00902913">
        <w:rPr>
          <w:rFonts w:eastAsia="SimSun"/>
        </w:rPr>
        <w:t xml:space="preserve"> </w:t>
      </w:r>
      <w:r w:rsidR="002E7AD2">
        <w:rPr>
          <w:rFonts w:eastAsia="SimSun"/>
        </w:rPr>
        <w:t>Coalition witness Amanda Levin explicitly supports the continuation of PSE’s decoupling mechanisms,</w:t>
      </w:r>
      <w:r w:rsidR="002E7AD2">
        <w:rPr>
          <w:rStyle w:val="FootnoteReference"/>
          <w:rFonts w:eastAsia="SimSun"/>
        </w:rPr>
        <w:footnoteReference w:id="3"/>
      </w:r>
      <w:r w:rsidR="002E7AD2">
        <w:rPr>
          <w:rFonts w:eastAsia="SimSun"/>
        </w:rPr>
        <w:t xml:space="preserve"> while Kroger witness Kevin Higgins</w:t>
      </w:r>
      <w:r w:rsidR="007E4170">
        <w:rPr>
          <w:rFonts w:eastAsia="SimSun"/>
        </w:rPr>
        <w:t>, TEP witness Shawn Collins</w:t>
      </w:r>
      <w:r w:rsidR="002E7AD2">
        <w:rPr>
          <w:rFonts w:eastAsia="SimSun"/>
        </w:rPr>
        <w:t xml:space="preserve"> </w:t>
      </w:r>
      <w:r w:rsidR="00A42771">
        <w:rPr>
          <w:rFonts w:eastAsia="SimSun"/>
        </w:rPr>
        <w:t xml:space="preserve">and Public Counsel witness Michael Brosch </w:t>
      </w:r>
      <w:r w:rsidR="00AF294B">
        <w:rPr>
          <w:rFonts w:eastAsia="SimSun"/>
        </w:rPr>
        <w:t xml:space="preserve">provide </w:t>
      </w:r>
      <w:r w:rsidR="00A42771">
        <w:rPr>
          <w:rFonts w:eastAsia="SimSun"/>
        </w:rPr>
        <w:t>implicit support</w:t>
      </w:r>
      <w:r w:rsidR="00AA5B30">
        <w:rPr>
          <w:rFonts w:eastAsia="SimSun"/>
        </w:rPr>
        <w:t>,</w:t>
      </w:r>
      <w:r w:rsidR="00AA5B30">
        <w:rPr>
          <w:rStyle w:val="FootnoteReference"/>
          <w:rFonts w:eastAsia="SimSun"/>
        </w:rPr>
        <w:footnoteReference w:id="4"/>
      </w:r>
      <w:r w:rsidR="00AA5B30">
        <w:rPr>
          <w:rFonts w:eastAsia="SimSun"/>
        </w:rPr>
        <w:t xml:space="preserve"> </w:t>
      </w:r>
      <w:r w:rsidR="00A42771">
        <w:rPr>
          <w:rFonts w:eastAsia="SimSun"/>
        </w:rPr>
        <w:t>all</w:t>
      </w:r>
      <w:r w:rsidR="002E7AD2">
        <w:rPr>
          <w:rFonts w:eastAsia="SimSun"/>
        </w:rPr>
        <w:t xml:space="preserve"> with </w:t>
      </w:r>
      <w:r w:rsidR="00AF294B">
        <w:rPr>
          <w:rFonts w:eastAsia="SimSun"/>
        </w:rPr>
        <w:t xml:space="preserve">proposed </w:t>
      </w:r>
      <w:r w:rsidR="002E7AD2">
        <w:rPr>
          <w:rFonts w:eastAsia="SimSun"/>
        </w:rPr>
        <w:t>changes that will be discussed later in this testimony.</w:t>
      </w:r>
    </w:p>
    <w:p w:rsidR="003A1103" w:rsidRDefault="004319E1" w:rsidP="00C26AC6">
      <w:pPr>
        <w:pStyle w:val="question"/>
      </w:pPr>
      <w:r>
        <w:t>Q.</w:t>
      </w:r>
      <w:r>
        <w:tab/>
        <w:t>Why do</w:t>
      </w:r>
      <w:r w:rsidR="003A1103">
        <w:t xml:space="preserve"> ICNU and FEA recommend that PSE’s electric decou</w:t>
      </w:r>
      <w:r>
        <w:t>pling mechanism be discontinued?</w:t>
      </w:r>
    </w:p>
    <w:p w:rsidR="003A1103" w:rsidRPr="003A1103" w:rsidRDefault="003A1103" w:rsidP="00C26AC6">
      <w:pPr>
        <w:pStyle w:val="question"/>
        <w:rPr>
          <w:b w:val="0"/>
        </w:rPr>
      </w:pPr>
      <w:r w:rsidRPr="003A1103">
        <w:rPr>
          <w:b w:val="0"/>
        </w:rPr>
        <w:t>A.</w:t>
      </w:r>
      <w:r w:rsidRPr="003A1103">
        <w:rPr>
          <w:b w:val="0"/>
        </w:rPr>
        <w:tab/>
      </w:r>
      <w:r>
        <w:rPr>
          <w:b w:val="0"/>
        </w:rPr>
        <w:t>Mr. Gorman, for ICNU, argues that decoupling is a departure from traditional ratemaking and shift</w:t>
      </w:r>
      <w:r w:rsidR="00870E4A">
        <w:rPr>
          <w:b w:val="0"/>
        </w:rPr>
        <w:t>s</w:t>
      </w:r>
      <w:r>
        <w:rPr>
          <w:b w:val="0"/>
        </w:rPr>
        <w:t xml:space="preserve"> risk from shareholders to ratepayers.</w:t>
      </w:r>
      <w:r>
        <w:rPr>
          <w:rStyle w:val="FootnoteReference"/>
          <w:b w:val="0"/>
        </w:rPr>
        <w:footnoteReference w:id="5"/>
      </w:r>
      <w:r w:rsidR="00902913">
        <w:rPr>
          <w:b w:val="0"/>
        </w:rPr>
        <w:t xml:space="preserve"> </w:t>
      </w:r>
      <w:r>
        <w:rPr>
          <w:b w:val="0"/>
        </w:rPr>
        <w:t>Mr. Al-Jabir argues further that decoupling frustrates customers’ voluntary efforts to conserve, reduces a utility’s motivation to be responsive to the needs of its customers and creates unnecessary rate volatility and uncertainty.</w:t>
      </w:r>
      <w:r w:rsidR="00902913">
        <w:rPr>
          <w:b w:val="0"/>
        </w:rPr>
        <w:t xml:space="preserve"> </w:t>
      </w:r>
      <w:r>
        <w:rPr>
          <w:b w:val="0"/>
        </w:rPr>
        <w:t xml:space="preserve"> </w:t>
      </w:r>
    </w:p>
    <w:p w:rsidR="00C26AC6" w:rsidRPr="009075DC" w:rsidRDefault="00C26AC6" w:rsidP="00C26AC6">
      <w:pPr>
        <w:pStyle w:val="question"/>
      </w:pPr>
      <w:r w:rsidRPr="009075DC">
        <w:t>Q.</w:t>
      </w:r>
      <w:r w:rsidRPr="009075DC">
        <w:tab/>
      </w:r>
      <w:r w:rsidR="00E37845">
        <w:t>Are these new or compelling arguments</w:t>
      </w:r>
      <w:r w:rsidRPr="009075DC">
        <w:t>?</w:t>
      </w:r>
    </w:p>
    <w:p w:rsidR="00C26AC6" w:rsidRDefault="00C26AC6" w:rsidP="00C26AC6">
      <w:pPr>
        <w:pStyle w:val="answer"/>
        <w:rPr>
          <w:rFonts w:eastAsia="SimSun"/>
        </w:rPr>
      </w:pPr>
      <w:r w:rsidRPr="009075DC">
        <w:rPr>
          <w:rFonts w:eastAsia="SimSun"/>
        </w:rPr>
        <w:t>A.</w:t>
      </w:r>
      <w:r w:rsidRPr="009075DC">
        <w:rPr>
          <w:rFonts w:eastAsia="SimSun"/>
        </w:rPr>
        <w:tab/>
      </w:r>
      <w:r w:rsidR="00E37845">
        <w:rPr>
          <w:rFonts w:eastAsia="SimSun"/>
        </w:rPr>
        <w:t>No.</w:t>
      </w:r>
      <w:r w:rsidR="00902913">
        <w:rPr>
          <w:rFonts w:eastAsia="SimSun"/>
        </w:rPr>
        <w:t xml:space="preserve"> </w:t>
      </w:r>
      <w:r w:rsidR="003A1103">
        <w:rPr>
          <w:rFonts w:eastAsia="SimSun"/>
        </w:rPr>
        <w:t>These are unsupported assertions that this Commission has already heard in the docket where PSE’s decoupling mechanisms were approved.</w:t>
      </w:r>
      <w:r w:rsidR="00902913">
        <w:rPr>
          <w:rFonts w:eastAsia="SimSun"/>
        </w:rPr>
        <w:t xml:space="preserve"> </w:t>
      </w:r>
      <w:r w:rsidR="00982F5E">
        <w:rPr>
          <w:rFonts w:eastAsia="SimSun"/>
        </w:rPr>
        <w:t>Indeed, the Commission has already made clear that decoupling is warranted in the face of the State of Washington’s larger energy policy</w:t>
      </w:r>
      <w:r w:rsidR="004319E1">
        <w:rPr>
          <w:rFonts w:eastAsia="SimSun"/>
        </w:rPr>
        <w:t>, particularly its promotion of energy efficiency,</w:t>
      </w:r>
      <w:r w:rsidR="00AF4D97">
        <w:rPr>
          <w:rFonts w:eastAsia="SimSun"/>
        </w:rPr>
        <w:t xml:space="preserve"> and PSE’s proposal adheres to the Commission’s policy guidance for decoupling mechanisms</w:t>
      </w:r>
      <w:r w:rsidR="00982F5E">
        <w:rPr>
          <w:rFonts w:eastAsia="SimSun"/>
        </w:rPr>
        <w:t>.</w:t>
      </w:r>
      <w:r w:rsidR="00902913">
        <w:rPr>
          <w:rFonts w:eastAsia="SimSun"/>
        </w:rPr>
        <w:t xml:space="preserve"> </w:t>
      </w:r>
      <w:r w:rsidR="00982F5E">
        <w:rPr>
          <w:rFonts w:eastAsia="SimSun"/>
        </w:rPr>
        <w:t>Mr. Al-Jabir appears to be particularly out of step with the Commission’s clear preference for eliminating the throughput incentive for its jurisdictional gas and electric utilities, where he argues that this incentive is actually desirable to provide “strong economic incentives” for utilities.</w:t>
      </w:r>
      <w:r w:rsidR="00982F5E">
        <w:rPr>
          <w:rStyle w:val="FootnoteReference"/>
          <w:rFonts w:eastAsia="SimSun"/>
        </w:rPr>
        <w:footnoteReference w:id="6"/>
      </w:r>
      <w:r w:rsidR="00902913">
        <w:rPr>
          <w:rFonts w:eastAsia="SimSun"/>
        </w:rPr>
        <w:t xml:space="preserve"> </w:t>
      </w:r>
      <w:r w:rsidR="00982F5E">
        <w:rPr>
          <w:rFonts w:eastAsia="SimSun"/>
        </w:rPr>
        <w:t>Both</w:t>
      </w:r>
      <w:r w:rsidR="00870E4A">
        <w:rPr>
          <w:rFonts w:eastAsia="SimSun"/>
        </w:rPr>
        <w:t xml:space="preserve"> ICNU and FEA</w:t>
      </w:r>
      <w:r w:rsidR="00982F5E">
        <w:rPr>
          <w:rFonts w:eastAsia="SimSun"/>
        </w:rPr>
        <w:t xml:space="preserve"> also appear to ignore the findings of t</w:t>
      </w:r>
      <w:r w:rsidR="003A1103">
        <w:rPr>
          <w:rFonts w:eastAsia="SimSun"/>
        </w:rPr>
        <w:t>he independent third party study of PSE’s decoupling mechanisms conducted by Gil Peach and Associates (“Gil Peach Report”), provided as Exh</w:t>
      </w:r>
      <w:r w:rsidR="00D751D9">
        <w:rPr>
          <w:rFonts w:eastAsia="SimSun"/>
        </w:rPr>
        <w:t xml:space="preserve">, </w:t>
      </w:r>
      <w:r w:rsidR="003A1103">
        <w:rPr>
          <w:rFonts w:eastAsia="SimSun"/>
        </w:rPr>
        <w:t>JAP-</w:t>
      </w:r>
      <w:r w:rsidR="004319E1">
        <w:rPr>
          <w:rFonts w:eastAsia="SimSun"/>
        </w:rPr>
        <w:t>29</w:t>
      </w:r>
      <w:r w:rsidR="003A1103">
        <w:rPr>
          <w:rFonts w:eastAsia="SimSun"/>
        </w:rPr>
        <w:t xml:space="preserve">, </w:t>
      </w:r>
      <w:r w:rsidR="00982F5E">
        <w:rPr>
          <w:rFonts w:eastAsia="SimSun"/>
        </w:rPr>
        <w:t>which conclude</w:t>
      </w:r>
      <w:r w:rsidR="00D751D9">
        <w:rPr>
          <w:rFonts w:eastAsia="SimSun"/>
        </w:rPr>
        <w:t>s</w:t>
      </w:r>
      <w:r w:rsidR="00982F5E">
        <w:rPr>
          <w:rFonts w:eastAsia="SimSun"/>
        </w:rPr>
        <w:t xml:space="preserve"> that there is no evidence that the decoupling mechanism created a disincentive for PSE’s customers to conserve, that it d</w:t>
      </w:r>
      <w:r w:rsidR="00D751D9">
        <w:rPr>
          <w:rFonts w:eastAsia="SimSun"/>
        </w:rPr>
        <w:t>oes</w:t>
      </w:r>
      <w:r w:rsidR="00982F5E">
        <w:rPr>
          <w:rFonts w:eastAsia="SimSun"/>
        </w:rPr>
        <w:t xml:space="preserve"> not have an impact on PSE’s service quality and only le</w:t>
      </w:r>
      <w:r w:rsidR="00D751D9">
        <w:rPr>
          <w:rFonts w:eastAsia="SimSun"/>
        </w:rPr>
        <w:t>a</w:t>
      </w:r>
      <w:r w:rsidR="00982F5E">
        <w:rPr>
          <w:rFonts w:eastAsia="SimSun"/>
        </w:rPr>
        <w:t>d</w:t>
      </w:r>
      <w:r w:rsidR="00D751D9">
        <w:rPr>
          <w:rFonts w:eastAsia="SimSun"/>
        </w:rPr>
        <w:t>s</w:t>
      </w:r>
      <w:r w:rsidR="00982F5E">
        <w:rPr>
          <w:rFonts w:eastAsia="SimSun"/>
        </w:rPr>
        <w:t xml:space="preserve"> to minor rate adjustments, particularly excluding the effects of the associated “K-factor” increases</w:t>
      </w:r>
      <w:r>
        <w:rPr>
          <w:rFonts w:eastAsia="SimSun"/>
        </w:rPr>
        <w:t>.</w:t>
      </w:r>
      <w:r w:rsidR="00225A16">
        <w:rPr>
          <w:rStyle w:val="FootnoteReference"/>
          <w:rFonts w:eastAsia="SimSun"/>
        </w:rPr>
        <w:footnoteReference w:id="7"/>
      </w:r>
      <w:r w:rsidR="00902913">
        <w:rPr>
          <w:rFonts w:eastAsia="SimSun"/>
        </w:rPr>
        <w:t xml:space="preserve"> </w:t>
      </w:r>
      <w:r w:rsidR="00225A16">
        <w:rPr>
          <w:rFonts w:eastAsia="SimSun"/>
        </w:rPr>
        <w:t>Given the weight of the evidence against them, the Commission should reject Mr. Gorman’s and Mr. Al-Jabir’s recommendation to discontinue PSE’s electric decoupling mechanism.</w:t>
      </w:r>
      <w:r w:rsidR="00902913">
        <w:rPr>
          <w:rFonts w:eastAsia="SimSun"/>
        </w:rPr>
        <w:t xml:space="preserve"> </w:t>
      </w:r>
    </w:p>
    <w:p w:rsidR="00150187" w:rsidRPr="00150187" w:rsidRDefault="00225A16" w:rsidP="00EC52CB">
      <w:pPr>
        <w:pStyle w:val="question"/>
      </w:pPr>
      <w:r w:rsidRPr="00150187">
        <w:t>Q.</w:t>
      </w:r>
      <w:r w:rsidRPr="00150187">
        <w:tab/>
      </w:r>
      <w:r w:rsidR="00150187" w:rsidRPr="00150187">
        <w:t xml:space="preserve">How do </w:t>
      </w:r>
      <w:r w:rsidR="004319E1">
        <w:t xml:space="preserve">you </w:t>
      </w:r>
      <w:r w:rsidR="00150187" w:rsidRPr="00150187">
        <w:t>respond to Staff’s proposal for a filing within four years to renew PSE’s decoupling mechanisms?</w:t>
      </w:r>
    </w:p>
    <w:p w:rsidR="00E37845" w:rsidRDefault="00150187" w:rsidP="00C26AC6">
      <w:pPr>
        <w:pStyle w:val="answer"/>
        <w:rPr>
          <w:rFonts w:eastAsia="SimSun"/>
        </w:rPr>
      </w:pPr>
      <w:r>
        <w:rPr>
          <w:rFonts w:eastAsia="SimSun"/>
        </w:rPr>
        <w:t>A.</w:t>
      </w:r>
      <w:r>
        <w:rPr>
          <w:rFonts w:eastAsia="SimSun"/>
        </w:rPr>
        <w:tab/>
        <w:t>Staff</w:t>
      </w:r>
      <w:r w:rsidR="00870E4A">
        <w:rPr>
          <w:rFonts w:eastAsia="SimSun"/>
        </w:rPr>
        <w:t>’s</w:t>
      </w:r>
      <w:r>
        <w:rPr>
          <w:rFonts w:eastAsia="SimSun"/>
        </w:rPr>
        <w:t xml:space="preserve"> position is not that dissimilar to PSE’s, only to the degree one would consider any rate, rate design or rate mechanism “permanent.”</w:t>
      </w:r>
      <w:r w:rsidR="00902913">
        <w:rPr>
          <w:rFonts w:eastAsia="SimSun"/>
        </w:rPr>
        <w:t xml:space="preserve"> </w:t>
      </w:r>
      <w:r>
        <w:rPr>
          <w:rFonts w:eastAsia="SimSun"/>
        </w:rPr>
        <w:t>PSE certainly agrees with Staff that the utility has the burden of proof in its rate filings before this Commission, including the continuation of PSE’s decoupling mechanism.</w:t>
      </w:r>
      <w:r w:rsidR="00902913">
        <w:rPr>
          <w:rFonts w:eastAsia="SimSun"/>
        </w:rPr>
        <w:t xml:space="preserve"> </w:t>
      </w:r>
      <w:r>
        <w:rPr>
          <w:rFonts w:eastAsia="SimSun"/>
        </w:rPr>
        <w:t>Where Staff and PSE differ is on the expectations regarding the nature of such a filing.</w:t>
      </w:r>
      <w:r w:rsidR="00902913">
        <w:rPr>
          <w:rFonts w:eastAsia="SimSun"/>
        </w:rPr>
        <w:t xml:space="preserve"> </w:t>
      </w:r>
      <w:r>
        <w:rPr>
          <w:rFonts w:eastAsia="SimSun"/>
        </w:rPr>
        <w:t>Staff appears to prefer to have the Commission hear the same arguments litigated over and over again</w:t>
      </w:r>
      <w:r w:rsidR="004F2081">
        <w:rPr>
          <w:rFonts w:eastAsia="SimSun"/>
        </w:rPr>
        <w:t xml:space="preserve">, perhaps in hopes of </w:t>
      </w:r>
      <w:r w:rsidR="00973B25">
        <w:rPr>
          <w:rFonts w:eastAsia="SimSun"/>
        </w:rPr>
        <w:t>increasing chances for its preferred rate design alternatives</w:t>
      </w:r>
      <w:r>
        <w:rPr>
          <w:rFonts w:eastAsia="SimSun"/>
        </w:rPr>
        <w:t>.</w:t>
      </w:r>
      <w:r w:rsidR="00902913">
        <w:rPr>
          <w:rFonts w:eastAsia="SimSun"/>
        </w:rPr>
        <w:t xml:space="preserve"> </w:t>
      </w:r>
      <w:r>
        <w:rPr>
          <w:rFonts w:eastAsia="SimSun"/>
        </w:rPr>
        <w:t>PSE</w:t>
      </w:r>
      <w:r w:rsidR="004F2081">
        <w:rPr>
          <w:rFonts w:eastAsia="SimSun"/>
        </w:rPr>
        <w:t xml:space="preserve"> considers this a wasteful use of scarce time and resources, which could otherwise be devoted to more productive efforts that advance the State’s energy policy</w:t>
      </w:r>
      <w:r>
        <w:rPr>
          <w:rFonts w:eastAsia="SimSun"/>
        </w:rPr>
        <w:t>.</w:t>
      </w:r>
      <w:r w:rsidR="00902913">
        <w:rPr>
          <w:rFonts w:eastAsia="SimSun"/>
        </w:rPr>
        <w:t xml:space="preserve"> </w:t>
      </w:r>
      <w:r w:rsidR="004F2081">
        <w:rPr>
          <w:rFonts w:eastAsia="SimSun"/>
        </w:rPr>
        <w:t xml:space="preserve">To be clear, at a minimum, PSE intends to submit evidence in future </w:t>
      </w:r>
      <w:r w:rsidR="00AF4D97">
        <w:rPr>
          <w:rFonts w:eastAsia="SimSun"/>
        </w:rPr>
        <w:t xml:space="preserve">rate case </w:t>
      </w:r>
      <w:r w:rsidR="004F2081">
        <w:rPr>
          <w:rFonts w:eastAsia="SimSun"/>
        </w:rPr>
        <w:t>filings showing that its proposed</w:t>
      </w:r>
      <w:r w:rsidR="00973B25">
        <w:rPr>
          <w:rFonts w:eastAsia="SimSun"/>
        </w:rPr>
        <w:t xml:space="preserve"> decoupling</w:t>
      </w:r>
      <w:r w:rsidR="004F2081">
        <w:rPr>
          <w:rFonts w:eastAsia="SimSun"/>
        </w:rPr>
        <w:t xml:space="preserve"> mechanism</w:t>
      </w:r>
      <w:r w:rsidR="00973B25">
        <w:rPr>
          <w:rFonts w:eastAsia="SimSun"/>
        </w:rPr>
        <w:t>s conform</w:t>
      </w:r>
      <w:r w:rsidR="004F2081">
        <w:rPr>
          <w:rFonts w:eastAsia="SimSun"/>
        </w:rPr>
        <w:t xml:space="preserve"> with the Commission’s policy guidance.</w:t>
      </w:r>
      <w:r w:rsidR="00902913">
        <w:rPr>
          <w:rFonts w:eastAsia="SimSun"/>
        </w:rPr>
        <w:t xml:space="preserve"> </w:t>
      </w:r>
    </w:p>
    <w:p w:rsidR="00E37845" w:rsidRPr="00E37845" w:rsidRDefault="00E37845" w:rsidP="00EC52CB">
      <w:pPr>
        <w:pStyle w:val="question"/>
      </w:pPr>
      <w:r w:rsidRPr="00E37845">
        <w:t>Q.</w:t>
      </w:r>
      <w:r w:rsidRPr="00E37845">
        <w:tab/>
        <w:t>Do parties have other forums within which they can petition the Commission for changes to PSE’s decoupling mechanisms?</w:t>
      </w:r>
    </w:p>
    <w:p w:rsidR="00E37845" w:rsidRDefault="00E37845" w:rsidP="00C26AC6">
      <w:pPr>
        <w:pStyle w:val="answer"/>
        <w:rPr>
          <w:rFonts w:eastAsia="SimSun"/>
        </w:rPr>
      </w:pPr>
      <w:r>
        <w:rPr>
          <w:rFonts w:eastAsia="SimSun"/>
        </w:rPr>
        <w:t>A.</w:t>
      </w:r>
      <w:r>
        <w:rPr>
          <w:rFonts w:eastAsia="SimSun"/>
        </w:rPr>
        <w:tab/>
        <w:t>Yes.</w:t>
      </w:r>
      <w:r w:rsidR="00902913">
        <w:rPr>
          <w:rFonts w:eastAsia="SimSun"/>
        </w:rPr>
        <w:t xml:space="preserve"> </w:t>
      </w:r>
      <w:r w:rsidR="00AF4D97">
        <w:rPr>
          <w:rFonts w:eastAsia="SimSun"/>
        </w:rPr>
        <w:t>Staff and other parties will continue to have the opportunity to be heard on PSE</w:t>
      </w:r>
      <w:r w:rsidR="004319E1">
        <w:rPr>
          <w:rFonts w:eastAsia="SimSun"/>
        </w:rPr>
        <w:t xml:space="preserve">’s decoupling mechanism in </w:t>
      </w:r>
      <w:r>
        <w:rPr>
          <w:rFonts w:eastAsia="SimSun"/>
        </w:rPr>
        <w:t xml:space="preserve">its </w:t>
      </w:r>
      <w:r w:rsidR="00AF4D97">
        <w:rPr>
          <w:rFonts w:eastAsia="SimSun"/>
        </w:rPr>
        <w:t xml:space="preserve">annual </w:t>
      </w:r>
      <w:r>
        <w:rPr>
          <w:rFonts w:eastAsia="SimSun"/>
        </w:rPr>
        <w:t xml:space="preserve">Schedule 142 </w:t>
      </w:r>
      <w:r w:rsidR="004319E1">
        <w:rPr>
          <w:rFonts w:eastAsia="SimSun"/>
        </w:rPr>
        <w:t xml:space="preserve">decoupling </w:t>
      </w:r>
      <w:r w:rsidR="00AF4D97">
        <w:rPr>
          <w:rFonts w:eastAsia="SimSun"/>
        </w:rPr>
        <w:t>true-up filings.</w:t>
      </w:r>
      <w:r w:rsidR="00902913">
        <w:rPr>
          <w:rFonts w:eastAsia="SimSun"/>
        </w:rPr>
        <w:t xml:space="preserve"> </w:t>
      </w:r>
      <w:r w:rsidR="00AF4D97">
        <w:rPr>
          <w:rFonts w:eastAsia="SimSun"/>
        </w:rPr>
        <w:t xml:space="preserve">If circumstances are changing or the mechanism appears not to be working as intended, parties </w:t>
      </w:r>
      <w:r w:rsidR="00EC52CB">
        <w:rPr>
          <w:rFonts w:eastAsia="SimSun"/>
        </w:rPr>
        <w:t xml:space="preserve">can </w:t>
      </w:r>
      <w:r w:rsidR="00AF4D97">
        <w:rPr>
          <w:rFonts w:eastAsia="SimSun"/>
        </w:rPr>
        <w:t xml:space="preserve">raise </w:t>
      </w:r>
      <w:r w:rsidR="00EC52CB">
        <w:rPr>
          <w:rFonts w:eastAsia="SimSun"/>
        </w:rPr>
        <w:t xml:space="preserve">their </w:t>
      </w:r>
      <w:r w:rsidR="00AF4D97">
        <w:rPr>
          <w:rFonts w:eastAsia="SimSun"/>
        </w:rPr>
        <w:t xml:space="preserve">concerns </w:t>
      </w:r>
      <w:r w:rsidR="00EC52CB">
        <w:rPr>
          <w:rFonts w:eastAsia="SimSun"/>
        </w:rPr>
        <w:t>in these filings</w:t>
      </w:r>
      <w:r w:rsidR="00AF4D97">
        <w:rPr>
          <w:rFonts w:eastAsia="SimSun"/>
        </w:rPr>
        <w:t xml:space="preserve">. </w:t>
      </w:r>
    </w:p>
    <w:p w:rsidR="00E37845" w:rsidRPr="00E37845" w:rsidRDefault="00E37845" w:rsidP="00EC52CB">
      <w:pPr>
        <w:pStyle w:val="question"/>
      </w:pPr>
      <w:r w:rsidRPr="00E37845">
        <w:t>Q.</w:t>
      </w:r>
      <w:r w:rsidRPr="00E37845">
        <w:tab/>
        <w:t>What is PSE’s</w:t>
      </w:r>
      <w:r w:rsidRPr="00EC52CB">
        <w:t xml:space="preserve"> </w:t>
      </w:r>
      <w:r w:rsidRPr="00E37845">
        <w:t>recommendation to the Commission regarding the continuation of decoupling?</w:t>
      </w:r>
    </w:p>
    <w:p w:rsidR="00225A16" w:rsidRDefault="00E37845" w:rsidP="00C26AC6">
      <w:pPr>
        <w:pStyle w:val="answer"/>
        <w:rPr>
          <w:rFonts w:eastAsia="SimSun"/>
        </w:rPr>
      </w:pPr>
      <w:r>
        <w:rPr>
          <w:rFonts w:eastAsia="SimSun"/>
        </w:rPr>
        <w:t>A.</w:t>
      </w:r>
      <w:r>
        <w:rPr>
          <w:rFonts w:eastAsia="SimSun"/>
        </w:rPr>
        <w:tab/>
      </w:r>
      <w:r w:rsidR="00B14C60">
        <w:rPr>
          <w:rFonts w:eastAsia="SimSun"/>
        </w:rPr>
        <w:t>PSE</w:t>
      </w:r>
      <w:r w:rsidR="004F2081">
        <w:rPr>
          <w:rFonts w:eastAsia="SimSun"/>
        </w:rPr>
        <w:t xml:space="preserve"> </w:t>
      </w:r>
      <w:r w:rsidR="00B14C60">
        <w:rPr>
          <w:rFonts w:eastAsia="SimSun"/>
        </w:rPr>
        <w:t xml:space="preserve">recommends </w:t>
      </w:r>
      <w:r w:rsidR="00C37AC5">
        <w:rPr>
          <w:rFonts w:eastAsia="SimSun"/>
        </w:rPr>
        <w:t>the Commission</w:t>
      </w:r>
      <w:r w:rsidR="004F2081">
        <w:rPr>
          <w:rFonts w:eastAsia="SimSun"/>
        </w:rPr>
        <w:t xml:space="preserve"> make a more definitive statement that decoupling is its preferred policy direction, at least for the time being</w:t>
      </w:r>
      <w:r w:rsidR="00AF4D97">
        <w:rPr>
          <w:rFonts w:eastAsia="SimSun"/>
        </w:rPr>
        <w:t xml:space="preserve">, so that parties can focus </w:t>
      </w:r>
      <w:r w:rsidR="004319E1">
        <w:rPr>
          <w:rFonts w:eastAsia="SimSun"/>
        </w:rPr>
        <w:t xml:space="preserve">their attention </w:t>
      </w:r>
      <w:r w:rsidR="00AF4D97">
        <w:rPr>
          <w:rFonts w:eastAsia="SimSun"/>
        </w:rPr>
        <w:t xml:space="preserve">on the many other important and complicated issues facing </w:t>
      </w:r>
      <w:r w:rsidR="00AF294B">
        <w:rPr>
          <w:rFonts w:eastAsia="SimSun"/>
        </w:rPr>
        <w:t>the utility industry in this state</w:t>
      </w:r>
      <w:r w:rsidR="004F2081">
        <w:rPr>
          <w:rFonts w:eastAsia="SimSun"/>
        </w:rPr>
        <w:t>.</w:t>
      </w:r>
      <w:r w:rsidR="00902913">
        <w:rPr>
          <w:rFonts w:eastAsia="SimSun"/>
        </w:rPr>
        <w:t xml:space="preserve"> </w:t>
      </w:r>
    </w:p>
    <w:p w:rsidR="00C26AC6" w:rsidRPr="003B5206" w:rsidRDefault="00C26AC6" w:rsidP="00A15B24">
      <w:pPr>
        <w:pStyle w:val="PleadingsL2"/>
      </w:pPr>
      <w:bookmarkStart w:id="15" w:name="_Toc489871467"/>
      <w:r>
        <w:t>Inclusion of Fixed Production Costs</w:t>
      </w:r>
      <w:r w:rsidR="00AA5B30">
        <w:t xml:space="preserve"> in Electric Decoupling Mechanism</w:t>
      </w:r>
      <w:bookmarkEnd w:id="15"/>
    </w:p>
    <w:p w:rsidR="00A91720" w:rsidRPr="009075DC" w:rsidRDefault="00A91720" w:rsidP="00A91720">
      <w:pPr>
        <w:pStyle w:val="question"/>
      </w:pPr>
      <w:r w:rsidRPr="009075DC">
        <w:t>Q.</w:t>
      </w:r>
      <w:r w:rsidRPr="009075DC">
        <w:tab/>
      </w:r>
      <w:r>
        <w:t xml:space="preserve">Please summarize the various parties’ </w:t>
      </w:r>
      <w:r w:rsidR="00AA5B30">
        <w:t xml:space="preserve">responses </w:t>
      </w:r>
      <w:r w:rsidR="006768F0">
        <w:t xml:space="preserve">to </w:t>
      </w:r>
      <w:r w:rsidR="00AA5B30">
        <w:t xml:space="preserve">PSE’s proposed </w:t>
      </w:r>
      <w:r>
        <w:t xml:space="preserve">inclusion of fixed production costs in </w:t>
      </w:r>
      <w:r w:rsidR="00AA5B30">
        <w:t xml:space="preserve">its </w:t>
      </w:r>
      <w:r>
        <w:t>electric decoupling mechanism.</w:t>
      </w:r>
    </w:p>
    <w:p w:rsidR="00A91720" w:rsidRDefault="00A91720" w:rsidP="00A91720">
      <w:pPr>
        <w:pStyle w:val="answer"/>
      </w:pPr>
      <w:r w:rsidRPr="009075DC">
        <w:rPr>
          <w:rFonts w:eastAsia="SimSun"/>
        </w:rPr>
        <w:t>A.</w:t>
      </w:r>
      <w:r w:rsidRPr="009075DC">
        <w:rPr>
          <w:rFonts w:eastAsia="SimSun"/>
        </w:rPr>
        <w:tab/>
      </w:r>
      <w:r w:rsidR="00AA5B30">
        <w:rPr>
          <w:rFonts w:eastAsia="SimSun"/>
        </w:rPr>
        <w:t xml:space="preserve">Staff witness Jing Liu agrees with PSE’s proposal to include fixed production costs, but </w:t>
      </w:r>
      <w:r w:rsidR="006768F0">
        <w:rPr>
          <w:rFonts w:eastAsia="SimSun"/>
        </w:rPr>
        <w:t xml:space="preserve">proposes </w:t>
      </w:r>
      <w:r w:rsidR="00AA5B30">
        <w:rPr>
          <w:rFonts w:eastAsia="SimSun"/>
        </w:rPr>
        <w:t>that allowed fixed production costs be set at a fixed level rather than tied to the number of customers</w:t>
      </w:r>
      <w:r>
        <w:rPr>
          <w:rFonts w:eastAsia="SimSun"/>
        </w:rPr>
        <w:t>.</w:t>
      </w:r>
      <w:r w:rsidR="00AA5B30">
        <w:rPr>
          <w:rStyle w:val="FootnoteReference"/>
          <w:rFonts w:eastAsia="SimSun"/>
        </w:rPr>
        <w:footnoteReference w:id="8"/>
      </w:r>
      <w:r w:rsidR="00902913">
        <w:rPr>
          <w:rFonts w:eastAsia="SimSun"/>
        </w:rPr>
        <w:t xml:space="preserve"> </w:t>
      </w:r>
      <w:r w:rsidR="00A42771">
        <w:rPr>
          <w:rFonts w:eastAsia="SimSun"/>
        </w:rPr>
        <w:t xml:space="preserve">Public Counsel witness Michael Brosch takes this a step further and recommends that all costs within PSE’s decoupling mechanisms, including fixed production costs, be set at a fixed level rather than </w:t>
      </w:r>
      <w:r w:rsidR="007E4170">
        <w:rPr>
          <w:rFonts w:eastAsia="SimSun"/>
        </w:rPr>
        <w:t xml:space="preserve">being </w:t>
      </w:r>
      <w:r w:rsidR="00A42771">
        <w:rPr>
          <w:rFonts w:eastAsia="SimSun"/>
        </w:rPr>
        <w:t>tied to the number of customers.</w:t>
      </w:r>
      <w:r w:rsidR="00A42771">
        <w:rPr>
          <w:rStyle w:val="FootnoteReference"/>
          <w:rFonts w:eastAsia="SimSun"/>
        </w:rPr>
        <w:footnoteReference w:id="9"/>
      </w:r>
      <w:r w:rsidR="00902913">
        <w:rPr>
          <w:rFonts w:eastAsia="SimSun"/>
        </w:rPr>
        <w:t xml:space="preserve"> </w:t>
      </w:r>
      <w:r w:rsidR="00AA5B30">
        <w:rPr>
          <w:rFonts w:eastAsia="SimSun"/>
        </w:rPr>
        <w:t xml:space="preserve">Coalition witness Amanda Levin </w:t>
      </w:r>
      <w:r w:rsidR="00900809">
        <w:rPr>
          <w:rFonts w:eastAsia="SimSun"/>
        </w:rPr>
        <w:t xml:space="preserve">has concerns with the inclusion of </w:t>
      </w:r>
      <w:r w:rsidR="007E4170">
        <w:rPr>
          <w:rFonts w:eastAsia="SimSun"/>
        </w:rPr>
        <w:t xml:space="preserve">fixed production </w:t>
      </w:r>
      <w:r w:rsidR="00900809">
        <w:rPr>
          <w:rFonts w:eastAsia="SimSun"/>
        </w:rPr>
        <w:t>costs within PSE’s electric decoupling mechanism, but outlines two alternatives that would allay those concerns: (1) return the recovery of fixed production costs to PSE’s Power Cost Adjustment (“PCA”) mechanism or (2) recalculate the allowed fixed production costs per customers annually to reflect the expected average customer count and any cost changes for the applicable year.</w:t>
      </w:r>
      <w:r w:rsidR="00900809">
        <w:rPr>
          <w:rStyle w:val="FootnoteReference"/>
          <w:rFonts w:eastAsia="SimSun"/>
        </w:rPr>
        <w:footnoteReference w:id="10"/>
      </w:r>
      <w:r w:rsidR="00902913">
        <w:rPr>
          <w:rFonts w:eastAsia="SimSun"/>
        </w:rPr>
        <w:t xml:space="preserve"> </w:t>
      </w:r>
      <w:r w:rsidR="00994776">
        <w:rPr>
          <w:rFonts w:eastAsia="SimSun"/>
        </w:rPr>
        <w:t xml:space="preserve">Kroger witness Kevin Higgins </w:t>
      </w:r>
      <w:r w:rsidR="00CB53EB">
        <w:rPr>
          <w:rFonts w:eastAsia="SimSun"/>
        </w:rPr>
        <w:t>and FEA witness Ali Al-Jabir recommend</w:t>
      </w:r>
      <w:r w:rsidR="00994776">
        <w:rPr>
          <w:rFonts w:eastAsia="SimSun"/>
        </w:rPr>
        <w:t xml:space="preserve"> against including fixed production costs in PSE’s electric decoupling mechanism.</w:t>
      </w:r>
      <w:r w:rsidR="00994776">
        <w:rPr>
          <w:rStyle w:val="FootnoteReference"/>
          <w:rFonts w:eastAsia="SimSun"/>
        </w:rPr>
        <w:footnoteReference w:id="11"/>
      </w:r>
      <w:r w:rsidR="00902913">
        <w:rPr>
          <w:rFonts w:eastAsia="SimSun"/>
        </w:rPr>
        <w:t xml:space="preserve"> </w:t>
      </w:r>
    </w:p>
    <w:p w:rsidR="00A91720" w:rsidRPr="009075DC" w:rsidRDefault="00A91720" w:rsidP="00A91720">
      <w:pPr>
        <w:pStyle w:val="question"/>
      </w:pPr>
      <w:r w:rsidRPr="009075DC">
        <w:t>Q.</w:t>
      </w:r>
      <w:r w:rsidRPr="009075DC">
        <w:tab/>
      </w:r>
      <w:r>
        <w:t>How do you respond</w:t>
      </w:r>
      <w:r w:rsidR="00C15368">
        <w:t xml:space="preserve"> to Staff and Public Counsel’s calls for fixed production costs to be recovered at fixed levels in PSE’s electric decoupling mechanism</w:t>
      </w:r>
      <w:r w:rsidRPr="009075DC">
        <w:t>?</w:t>
      </w:r>
    </w:p>
    <w:p w:rsidR="00811478" w:rsidRDefault="00A91720" w:rsidP="00A91720">
      <w:pPr>
        <w:pStyle w:val="answer"/>
        <w:rPr>
          <w:rFonts w:eastAsia="SimSun"/>
        </w:rPr>
      </w:pPr>
      <w:r w:rsidRPr="009075DC">
        <w:rPr>
          <w:rFonts w:eastAsia="SimSun"/>
        </w:rPr>
        <w:t>A.</w:t>
      </w:r>
      <w:r w:rsidRPr="009075DC">
        <w:rPr>
          <w:rFonts w:eastAsia="SimSun"/>
        </w:rPr>
        <w:tab/>
      </w:r>
      <w:r w:rsidR="00811478">
        <w:rPr>
          <w:rFonts w:eastAsia="SimSun"/>
        </w:rPr>
        <w:t>PSE would first note that the Commission has already approved the recovery of fixed production costs for Avista, through its Schedule 75, and PacifiCorp, through Schedule 93, on a per customer basis.</w:t>
      </w:r>
      <w:r w:rsidR="00902913">
        <w:rPr>
          <w:rFonts w:eastAsia="SimSun"/>
        </w:rPr>
        <w:t xml:space="preserve"> </w:t>
      </w:r>
      <w:r w:rsidR="00811478">
        <w:rPr>
          <w:rFonts w:eastAsia="SimSun"/>
        </w:rPr>
        <w:t>So it would seem appropriate to do the same for PSE in the absence of evidence suggesting the appropriateness of treatment to the contrary.</w:t>
      </w:r>
    </w:p>
    <w:p w:rsidR="00A91720" w:rsidRDefault="00811478" w:rsidP="005A022C">
      <w:pPr>
        <w:pStyle w:val="answer"/>
        <w:ind w:firstLine="0"/>
        <w:rPr>
          <w:rFonts w:eastAsia="SimSun"/>
        </w:rPr>
      </w:pPr>
      <w:r>
        <w:rPr>
          <w:rFonts w:eastAsia="SimSun"/>
        </w:rPr>
        <w:t>Nevertheless, w</w:t>
      </w:r>
      <w:r w:rsidR="003B6007">
        <w:rPr>
          <w:rFonts w:eastAsia="SimSun"/>
        </w:rPr>
        <w:t xml:space="preserve">hile it is not ideal from PSE’s perspective, nor what it envisioned when it entered into the settlement to move its fixed production costs into its electric decoupling mechanism, </w:t>
      </w:r>
      <w:r>
        <w:rPr>
          <w:rFonts w:eastAsia="SimSun"/>
        </w:rPr>
        <w:t xml:space="preserve">if the Commission accepts Staff’s and Public Counsel’s arguments that PSE’s </w:t>
      </w:r>
      <w:r w:rsidR="00EC52CB">
        <w:rPr>
          <w:rFonts w:eastAsia="SimSun"/>
        </w:rPr>
        <w:t xml:space="preserve">recovery of </w:t>
      </w:r>
      <w:r>
        <w:rPr>
          <w:rFonts w:eastAsia="SimSun"/>
        </w:rPr>
        <w:t xml:space="preserve">fixed production costs should be </w:t>
      </w:r>
      <w:r w:rsidR="00EC52CB">
        <w:rPr>
          <w:rFonts w:eastAsia="SimSun"/>
        </w:rPr>
        <w:t>fixed</w:t>
      </w:r>
      <w:r>
        <w:rPr>
          <w:rFonts w:eastAsia="SimSun"/>
        </w:rPr>
        <w:t xml:space="preserve">, then such a decision should be </w:t>
      </w:r>
      <w:r w:rsidR="00C15368">
        <w:rPr>
          <w:rFonts w:eastAsia="SimSun"/>
        </w:rPr>
        <w:t xml:space="preserve">paired with Staff’s proposal </w:t>
      </w:r>
      <w:r w:rsidR="00C14DCB">
        <w:rPr>
          <w:rFonts w:eastAsia="SimSun"/>
        </w:rPr>
        <w:t>to</w:t>
      </w:r>
      <w:r w:rsidR="00BB4CC2">
        <w:rPr>
          <w:rFonts w:eastAsia="SimSun"/>
        </w:rPr>
        <w:t xml:space="preserve"> simultaneously</w:t>
      </w:r>
      <w:r w:rsidR="00C14DCB">
        <w:rPr>
          <w:rFonts w:eastAsia="SimSun"/>
        </w:rPr>
        <w:t xml:space="preserve"> </w:t>
      </w:r>
      <w:r w:rsidR="00C15368">
        <w:rPr>
          <w:rFonts w:eastAsia="SimSun"/>
        </w:rPr>
        <w:t>eliminate the production factoring of these costs in the determination of allowed revenue. PSE’s filed proposal pairs the production factoring of fixed production costs</w:t>
      </w:r>
      <w:r w:rsidR="009E486E">
        <w:rPr>
          <w:rStyle w:val="FootnoteReference"/>
          <w:rFonts w:eastAsia="SimSun"/>
        </w:rPr>
        <w:footnoteReference w:id="12"/>
      </w:r>
      <w:r w:rsidR="00C15368">
        <w:rPr>
          <w:rFonts w:eastAsia="SimSun"/>
        </w:rPr>
        <w:t xml:space="preserve"> with allowing cost recovery to grow with customer growth.</w:t>
      </w:r>
      <w:r w:rsidR="00902913">
        <w:rPr>
          <w:rFonts w:eastAsia="SimSun"/>
        </w:rPr>
        <w:t xml:space="preserve"> </w:t>
      </w:r>
      <w:r>
        <w:rPr>
          <w:rFonts w:eastAsia="SimSun"/>
        </w:rPr>
        <w:t>T</w:t>
      </w:r>
      <w:r w:rsidR="00C14DCB">
        <w:rPr>
          <w:rFonts w:eastAsia="SimSun"/>
        </w:rPr>
        <w:t>herefore</w:t>
      </w:r>
      <w:r>
        <w:rPr>
          <w:rFonts w:eastAsia="SimSun"/>
        </w:rPr>
        <w:t>,</w:t>
      </w:r>
      <w:r w:rsidR="00C14DCB">
        <w:rPr>
          <w:rFonts w:eastAsia="SimSun"/>
        </w:rPr>
        <w:t xml:space="preserve"> the production factoring of these costs </w:t>
      </w:r>
      <w:r>
        <w:rPr>
          <w:rFonts w:eastAsia="SimSun"/>
        </w:rPr>
        <w:t xml:space="preserve">must be removed, </w:t>
      </w:r>
      <w:r w:rsidR="00C14DCB">
        <w:rPr>
          <w:rFonts w:eastAsia="SimSun"/>
        </w:rPr>
        <w:t>if the</w:t>
      </w:r>
      <w:r w:rsidR="00C15368">
        <w:rPr>
          <w:rFonts w:eastAsia="SimSun"/>
        </w:rPr>
        <w:t xml:space="preserve"> linkage </w:t>
      </w:r>
      <w:r w:rsidR="00C14DCB">
        <w:rPr>
          <w:rFonts w:eastAsia="SimSun"/>
        </w:rPr>
        <w:t>between</w:t>
      </w:r>
      <w:r w:rsidR="00C15368">
        <w:rPr>
          <w:rFonts w:eastAsia="SimSun"/>
        </w:rPr>
        <w:t xml:space="preserve"> fixed production cost recovery </w:t>
      </w:r>
      <w:r w:rsidR="00142781">
        <w:rPr>
          <w:rFonts w:eastAsia="SimSun"/>
        </w:rPr>
        <w:t>and</w:t>
      </w:r>
      <w:r w:rsidR="00C15368">
        <w:rPr>
          <w:rFonts w:eastAsia="SimSun"/>
        </w:rPr>
        <w:t xml:space="preserve"> customer growth </w:t>
      </w:r>
      <w:r w:rsidR="00C14DCB">
        <w:rPr>
          <w:rFonts w:eastAsia="SimSun"/>
        </w:rPr>
        <w:t>is also removed</w:t>
      </w:r>
      <w:r w:rsidR="00A91720">
        <w:rPr>
          <w:rFonts w:eastAsia="SimSun"/>
        </w:rPr>
        <w:t>.</w:t>
      </w:r>
      <w:r w:rsidR="00902913">
        <w:rPr>
          <w:rFonts w:eastAsia="SimSun"/>
        </w:rPr>
        <w:t xml:space="preserve"> </w:t>
      </w:r>
    </w:p>
    <w:p w:rsidR="007A71CE" w:rsidRPr="007A71CE" w:rsidRDefault="007A71CE" w:rsidP="00EC52CB">
      <w:pPr>
        <w:pStyle w:val="question"/>
      </w:pPr>
      <w:r w:rsidRPr="007A71CE">
        <w:t>Q.</w:t>
      </w:r>
      <w:r w:rsidRPr="007A71CE">
        <w:tab/>
        <w:t xml:space="preserve">Has </w:t>
      </w:r>
      <w:r w:rsidR="00815FFB">
        <w:t xml:space="preserve">Staff or Public </w:t>
      </w:r>
      <w:bookmarkStart w:id="16" w:name="here"/>
      <w:bookmarkEnd w:id="16"/>
      <w:r w:rsidR="00815FFB">
        <w:t xml:space="preserve">Counsel </w:t>
      </w:r>
      <w:r w:rsidRPr="007A71CE">
        <w:t>produced an</w:t>
      </w:r>
      <w:r w:rsidR="00815FFB">
        <w:t>y</w:t>
      </w:r>
      <w:r w:rsidRPr="007A71CE">
        <w:t xml:space="preserve"> exhibit</w:t>
      </w:r>
      <w:r w:rsidR="00815FFB">
        <w:t>s</w:t>
      </w:r>
      <w:r w:rsidRPr="007A71CE">
        <w:t xml:space="preserve"> showing exactly how their</w:t>
      </w:r>
      <w:r w:rsidR="00815FFB">
        <w:t xml:space="preserve"> alternative decoupling</w:t>
      </w:r>
      <w:r w:rsidRPr="007A71CE">
        <w:t xml:space="preserve"> proposal would work in practice?</w:t>
      </w:r>
    </w:p>
    <w:p w:rsidR="007A71CE" w:rsidRDefault="007A71CE" w:rsidP="00A91720">
      <w:pPr>
        <w:pStyle w:val="answer"/>
        <w:rPr>
          <w:rFonts w:eastAsia="SimSun"/>
        </w:rPr>
      </w:pPr>
      <w:r>
        <w:rPr>
          <w:rFonts w:eastAsia="SimSun"/>
        </w:rPr>
        <w:t>A.</w:t>
      </w:r>
      <w:r>
        <w:rPr>
          <w:rFonts w:eastAsia="SimSun"/>
        </w:rPr>
        <w:tab/>
        <w:t>No.</w:t>
      </w:r>
      <w:r w:rsidR="00902913">
        <w:rPr>
          <w:rFonts w:eastAsia="SimSun"/>
        </w:rPr>
        <w:t xml:space="preserve"> </w:t>
      </w:r>
      <w:r w:rsidR="001A4DED">
        <w:rPr>
          <w:rFonts w:eastAsia="SimSun"/>
        </w:rPr>
        <w:t>Their</w:t>
      </w:r>
      <w:r>
        <w:rPr>
          <w:rFonts w:eastAsia="SimSun"/>
        </w:rPr>
        <w:t xml:space="preserve"> proposals are conceptual in nature and do not have sufficient detail to be implemented directly from the evidence in the record.</w:t>
      </w:r>
    </w:p>
    <w:p w:rsidR="007A71CE" w:rsidRPr="007A71CE" w:rsidRDefault="007A71CE" w:rsidP="00EC52CB">
      <w:pPr>
        <w:pStyle w:val="question"/>
      </w:pPr>
      <w:r w:rsidRPr="007A71CE">
        <w:t>Q.</w:t>
      </w:r>
      <w:r w:rsidRPr="007A71CE">
        <w:tab/>
        <w:t>Has PSE attempted to address this gap in the record?</w:t>
      </w:r>
    </w:p>
    <w:p w:rsidR="007A71CE" w:rsidRDefault="007A71CE" w:rsidP="00A91720">
      <w:pPr>
        <w:pStyle w:val="answer"/>
        <w:rPr>
          <w:rFonts w:eastAsia="SimSun"/>
        </w:rPr>
      </w:pPr>
      <w:r>
        <w:rPr>
          <w:rFonts w:eastAsia="SimSun"/>
        </w:rPr>
        <w:t>A.</w:t>
      </w:r>
      <w:r>
        <w:rPr>
          <w:rFonts w:eastAsia="SimSun"/>
        </w:rPr>
        <w:tab/>
        <w:t>Yes.</w:t>
      </w:r>
      <w:r w:rsidR="00902913">
        <w:rPr>
          <w:rFonts w:eastAsia="SimSun"/>
        </w:rPr>
        <w:t xml:space="preserve"> </w:t>
      </w:r>
      <w:r>
        <w:rPr>
          <w:rFonts w:eastAsia="SimSun"/>
        </w:rPr>
        <w:t>Based on our understanding of the parties’ proposals in this regard, PSE has developed exhibits and workpapers showing how the fixed production costs would be shaped across the months and the per-kWh rates that would be used to track deviations between allowed and actual rate revenue.</w:t>
      </w:r>
      <w:r w:rsidR="00902913">
        <w:rPr>
          <w:rFonts w:eastAsia="SimSun"/>
        </w:rPr>
        <w:t xml:space="preserve"> </w:t>
      </w:r>
      <w:r>
        <w:rPr>
          <w:rFonts w:eastAsia="SimSun"/>
        </w:rPr>
        <w:t>This is provided in Exhibit JAP-</w:t>
      </w:r>
      <w:r w:rsidR="00745DFD">
        <w:rPr>
          <w:rFonts w:eastAsia="SimSun"/>
        </w:rPr>
        <w:t>47</w:t>
      </w:r>
      <w:r>
        <w:rPr>
          <w:rFonts w:eastAsia="SimSun"/>
        </w:rPr>
        <w:t>.</w:t>
      </w:r>
      <w:r w:rsidR="00902913">
        <w:rPr>
          <w:rFonts w:eastAsia="SimSun"/>
        </w:rPr>
        <w:t xml:space="preserve"> </w:t>
      </w:r>
      <w:r>
        <w:rPr>
          <w:rFonts w:eastAsia="SimSun"/>
        </w:rPr>
        <w:t>To facilitate comparisons to PSE’s filed proposal, Exhibit JAP-</w:t>
      </w:r>
      <w:r w:rsidR="00745DFD">
        <w:rPr>
          <w:rFonts w:eastAsia="SimSun"/>
        </w:rPr>
        <w:t>47</w:t>
      </w:r>
      <w:r>
        <w:rPr>
          <w:rFonts w:eastAsia="SimSun"/>
        </w:rPr>
        <w:t xml:space="preserve"> is based on the fixed production costs filed in PSE’s supplemental filing</w:t>
      </w:r>
      <w:r w:rsidR="00815FFB">
        <w:rPr>
          <w:rStyle w:val="FootnoteReference"/>
          <w:rFonts w:eastAsia="SimSun"/>
        </w:rPr>
        <w:footnoteReference w:id="13"/>
      </w:r>
      <w:r>
        <w:rPr>
          <w:rFonts w:eastAsia="SimSun"/>
        </w:rPr>
        <w:t xml:space="preserve"> and would need to be updated again at compliance to reflect the final approved fixed production costs.</w:t>
      </w:r>
      <w:r w:rsidR="00815FFB">
        <w:rPr>
          <w:rStyle w:val="FootnoteReference"/>
          <w:rFonts w:eastAsia="SimSun"/>
        </w:rPr>
        <w:footnoteReference w:id="14"/>
      </w:r>
      <w:r w:rsidR="00902913">
        <w:rPr>
          <w:rFonts w:eastAsia="SimSun"/>
        </w:rPr>
        <w:t xml:space="preserve"> </w:t>
      </w:r>
      <w:r w:rsidR="00815FFB">
        <w:rPr>
          <w:rFonts w:eastAsia="SimSun"/>
        </w:rPr>
        <w:t xml:space="preserve">This exhibit shows the fixed production costs being spread </w:t>
      </w:r>
      <w:r w:rsidR="001A4DED">
        <w:rPr>
          <w:rFonts w:eastAsia="SimSun"/>
        </w:rPr>
        <w:t>based on a classification of production costs that is 75 percent energy and 25 percent demand,</w:t>
      </w:r>
      <w:r w:rsidR="001A4DED">
        <w:rPr>
          <w:rStyle w:val="FootnoteReference"/>
          <w:rFonts w:eastAsia="SimSun"/>
        </w:rPr>
        <w:footnoteReference w:id="15"/>
      </w:r>
      <w:r w:rsidR="001A4DED">
        <w:rPr>
          <w:rFonts w:eastAsia="SimSun"/>
        </w:rPr>
        <w:t xml:space="preserve"> shaped across the year based on pro forma test year energy sales</w:t>
      </w:r>
      <w:r w:rsidR="00845F78">
        <w:rPr>
          <w:rStyle w:val="FootnoteReference"/>
          <w:rFonts w:eastAsia="SimSun"/>
        </w:rPr>
        <w:footnoteReference w:id="16"/>
      </w:r>
      <w:r w:rsidR="001A4DED">
        <w:rPr>
          <w:rFonts w:eastAsia="SimSun"/>
        </w:rPr>
        <w:t xml:space="preserve"> and divided by the pro forma test year annual energy sales to derive the volumetric rate upon which “actual” revenue will be determined for the decoupling deferral calculation. </w:t>
      </w:r>
    </w:p>
    <w:p w:rsidR="00C14DCB" w:rsidRPr="00C14DCB" w:rsidRDefault="00C14DCB" w:rsidP="00EC52CB">
      <w:pPr>
        <w:pStyle w:val="question"/>
      </w:pPr>
      <w:r w:rsidRPr="00C14DCB">
        <w:t>Q.</w:t>
      </w:r>
      <w:r w:rsidRPr="00C14DCB">
        <w:tab/>
        <w:t>How do you respond to the Coalition</w:t>
      </w:r>
      <w:r w:rsidR="00870E4A">
        <w:t>’</w:t>
      </w:r>
      <w:r w:rsidRPr="00C14DCB">
        <w:t>s alternative proposals for fixed production cost recovery?</w:t>
      </w:r>
    </w:p>
    <w:p w:rsidR="003C66B0" w:rsidRDefault="00C14DCB" w:rsidP="00A91720">
      <w:pPr>
        <w:pStyle w:val="answer"/>
        <w:rPr>
          <w:rFonts w:eastAsia="SimSun"/>
        </w:rPr>
      </w:pPr>
      <w:r>
        <w:rPr>
          <w:rFonts w:eastAsia="SimSun"/>
        </w:rPr>
        <w:t>A.</w:t>
      </w:r>
      <w:r>
        <w:rPr>
          <w:rFonts w:eastAsia="SimSun"/>
        </w:rPr>
        <w:tab/>
        <w:t>PSE is opposed to the return of these costs to its PCA</w:t>
      </w:r>
      <w:r w:rsidR="003B6007">
        <w:rPr>
          <w:rFonts w:eastAsia="SimSun"/>
        </w:rPr>
        <w:t xml:space="preserve"> mechanism</w:t>
      </w:r>
      <w:r w:rsidR="003C66B0">
        <w:rPr>
          <w:rFonts w:eastAsia="SimSun"/>
        </w:rPr>
        <w:t>.</w:t>
      </w:r>
      <w:r w:rsidR="00902913">
        <w:rPr>
          <w:rFonts w:eastAsia="SimSun"/>
        </w:rPr>
        <w:t xml:space="preserve"> </w:t>
      </w:r>
      <w:r w:rsidR="00B14C60">
        <w:rPr>
          <w:rFonts w:eastAsia="SimSun"/>
        </w:rPr>
        <w:t>PSE, Public Counsel and Staff entered into a Settlement Agreement, approved by the Commission, which, among other things, moved fixed costs out of the PCA.</w:t>
      </w:r>
      <w:r w:rsidR="00902913">
        <w:rPr>
          <w:rFonts w:eastAsia="SimSun"/>
        </w:rPr>
        <w:t xml:space="preserve"> </w:t>
      </w:r>
      <w:r w:rsidR="00B14C60">
        <w:rPr>
          <w:rFonts w:eastAsia="SimSun"/>
        </w:rPr>
        <w:t>The removal of the fixed costs from the PCA mechanism occurred on January 1, 2017.</w:t>
      </w:r>
      <w:r w:rsidR="00902913">
        <w:rPr>
          <w:rFonts w:eastAsia="SimSun"/>
        </w:rPr>
        <w:t xml:space="preserve"> </w:t>
      </w:r>
      <w:r w:rsidR="003C66B0">
        <w:rPr>
          <w:rFonts w:eastAsia="SimSun"/>
        </w:rPr>
        <w:t xml:space="preserve">Litigating anew whether or not fixed production costs should be included in PSE’s decoupling mechanism is likely to </w:t>
      </w:r>
      <w:r w:rsidR="006768F0">
        <w:rPr>
          <w:rFonts w:eastAsia="SimSun"/>
        </w:rPr>
        <w:t>have a</w:t>
      </w:r>
      <w:r w:rsidR="003C66B0">
        <w:rPr>
          <w:rFonts w:eastAsia="SimSun"/>
        </w:rPr>
        <w:t xml:space="preserve"> chilling effect on parties’ interest in settlement </w:t>
      </w:r>
      <w:r w:rsidR="00B14C60">
        <w:rPr>
          <w:rFonts w:eastAsia="SimSun"/>
        </w:rPr>
        <w:t xml:space="preserve">in the future </w:t>
      </w:r>
      <w:r w:rsidR="003C66B0">
        <w:rPr>
          <w:rFonts w:eastAsia="SimSun"/>
        </w:rPr>
        <w:t xml:space="preserve">if it is understood that any </w:t>
      </w:r>
      <w:r w:rsidR="00BB4CC2">
        <w:rPr>
          <w:rFonts w:eastAsia="SimSun"/>
        </w:rPr>
        <w:t xml:space="preserve">outside </w:t>
      </w:r>
      <w:r w:rsidR="003C66B0">
        <w:rPr>
          <w:rFonts w:eastAsia="SimSun"/>
        </w:rPr>
        <w:t xml:space="preserve">party could </w:t>
      </w:r>
      <w:r w:rsidR="00BB4CC2">
        <w:rPr>
          <w:rFonts w:eastAsia="SimSun"/>
        </w:rPr>
        <w:t xml:space="preserve">subsequently </w:t>
      </w:r>
      <w:r w:rsidR="003C66B0">
        <w:rPr>
          <w:rFonts w:eastAsia="SimSun"/>
        </w:rPr>
        <w:t>topple such an agreement in a future proceeding</w:t>
      </w:r>
      <w:r>
        <w:rPr>
          <w:rFonts w:eastAsia="SimSun"/>
        </w:rPr>
        <w:t>.</w:t>
      </w:r>
      <w:r w:rsidR="003C66B0">
        <w:rPr>
          <w:rFonts w:eastAsia="SimSun"/>
        </w:rPr>
        <w:t xml:space="preserve"> </w:t>
      </w:r>
    </w:p>
    <w:p w:rsidR="009313F2" w:rsidRDefault="003C66B0" w:rsidP="00A91720">
      <w:pPr>
        <w:pStyle w:val="answer"/>
        <w:rPr>
          <w:rFonts w:eastAsia="SimSun"/>
        </w:rPr>
      </w:pPr>
      <w:r>
        <w:rPr>
          <w:rFonts w:eastAsia="SimSun"/>
        </w:rPr>
        <w:tab/>
      </w:r>
      <w:r w:rsidR="007E4B2D">
        <w:rPr>
          <w:rFonts w:eastAsia="SimSun"/>
        </w:rPr>
        <w:t>While</w:t>
      </w:r>
      <w:r>
        <w:rPr>
          <w:rFonts w:eastAsia="SimSun"/>
        </w:rPr>
        <w:t xml:space="preserve"> the Coalition</w:t>
      </w:r>
      <w:r w:rsidR="004133AD">
        <w:rPr>
          <w:rFonts w:eastAsia="SimSun"/>
        </w:rPr>
        <w:t>’</w:t>
      </w:r>
      <w:r>
        <w:rPr>
          <w:rFonts w:eastAsia="SimSun"/>
        </w:rPr>
        <w:t>s alternative proposal to effectively recalculate the allowed fixed production costs per customer on an annual basis so as to only recover current costs</w:t>
      </w:r>
      <w:r w:rsidR="007E4B2D">
        <w:rPr>
          <w:rFonts w:eastAsia="SimSun"/>
        </w:rPr>
        <w:t xml:space="preserve"> is</w:t>
      </w:r>
      <w:r>
        <w:rPr>
          <w:rFonts w:eastAsia="SimSun"/>
        </w:rPr>
        <w:t xml:space="preserve"> appealing in theory, PSE is concerned this would be complicated to implement in practice, particularly within the existing annual true-up process. Moreover, the Coalition has not provided enough detail in its proposal to make it actionable in this proceeding.</w:t>
      </w:r>
      <w:r w:rsidR="00902913">
        <w:rPr>
          <w:rFonts w:eastAsia="SimSun"/>
        </w:rPr>
        <w:t xml:space="preserve"> </w:t>
      </w:r>
    </w:p>
    <w:p w:rsidR="00C14DCB" w:rsidRDefault="009313F2" w:rsidP="00A91720">
      <w:pPr>
        <w:pStyle w:val="answer"/>
        <w:rPr>
          <w:rFonts w:eastAsia="SimSun"/>
        </w:rPr>
      </w:pPr>
      <w:r>
        <w:rPr>
          <w:rFonts w:eastAsia="SimSun"/>
        </w:rPr>
        <w:tab/>
        <w:t>For the foregoing reasons, PSE recommends that the Commission reject the Coalition</w:t>
      </w:r>
      <w:r w:rsidR="004133AD">
        <w:rPr>
          <w:rFonts w:eastAsia="SimSun"/>
        </w:rPr>
        <w:t>’</w:t>
      </w:r>
      <w:r>
        <w:rPr>
          <w:rFonts w:eastAsia="SimSun"/>
        </w:rPr>
        <w:t>s alternative proposals regarding PSE’s fixed production cost recovery at this time.</w:t>
      </w:r>
      <w:r w:rsidR="00902913">
        <w:rPr>
          <w:rFonts w:eastAsia="SimSun"/>
        </w:rPr>
        <w:t xml:space="preserve"> </w:t>
      </w:r>
    </w:p>
    <w:p w:rsidR="00EC140F" w:rsidRPr="00EC140F" w:rsidRDefault="00EC140F" w:rsidP="00EC52CB">
      <w:pPr>
        <w:pStyle w:val="question"/>
      </w:pPr>
      <w:r w:rsidRPr="00EC140F">
        <w:t>Q.</w:t>
      </w:r>
      <w:r w:rsidRPr="00EC140F">
        <w:tab/>
        <w:t>How do you respond to Kroger’s and FEA’s recommendation to exclude fixed production costs from PSE’s elect</w:t>
      </w:r>
      <w:r>
        <w:t>r</w:t>
      </w:r>
      <w:r w:rsidRPr="00EC140F">
        <w:t>ic decoupling mechanism?</w:t>
      </w:r>
    </w:p>
    <w:p w:rsidR="00EC140F" w:rsidRDefault="00EC140F" w:rsidP="00EC140F">
      <w:pPr>
        <w:pStyle w:val="answer"/>
        <w:rPr>
          <w:rFonts w:eastAsia="SimSun"/>
        </w:rPr>
      </w:pPr>
      <w:r>
        <w:rPr>
          <w:rFonts w:eastAsia="SimSun"/>
        </w:rPr>
        <w:t>A.</w:t>
      </w:r>
      <w:r>
        <w:rPr>
          <w:rFonts w:eastAsia="SimSun"/>
        </w:rPr>
        <w:tab/>
        <w:t>PSE echo</w:t>
      </w:r>
      <w:r w:rsidR="00142781">
        <w:rPr>
          <w:rFonts w:eastAsia="SimSun"/>
        </w:rPr>
        <w:t>es</w:t>
      </w:r>
      <w:r>
        <w:rPr>
          <w:rFonts w:eastAsia="SimSun"/>
        </w:rPr>
        <w:t xml:space="preserve"> the remarks made in response to the Coalition’s proposal to move the recovery of these cost back to PSE’s PCA mechanism.</w:t>
      </w:r>
      <w:r w:rsidR="00902913">
        <w:rPr>
          <w:rFonts w:eastAsia="SimSun"/>
        </w:rPr>
        <w:t xml:space="preserve"> </w:t>
      </w:r>
      <w:r w:rsidR="00BB4CC2">
        <w:rPr>
          <w:rFonts w:eastAsia="SimSun"/>
        </w:rPr>
        <w:t xml:space="preserve">As stated earlier, </w:t>
      </w:r>
      <w:r w:rsidR="00C443C1">
        <w:rPr>
          <w:rFonts w:eastAsia="SimSun"/>
        </w:rPr>
        <w:t xml:space="preserve">to </w:t>
      </w:r>
      <w:r>
        <w:rPr>
          <w:rFonts w:eastAsia="SimSun"/>
        </w:rPr>
        <w:t xml:space="preserve">allow </w:t>
      </w:r>
      <w:r w:rsidR="00BB4CC2">
        <w:rPr>
          <w:rFonts w:eastAsia="SimSun"/>
        </w:rPr>
        <w:t xml:space="preserve">outside parties to overturn an approved settlement agreement </w:t>
      </w:r>
      <w:r w:rsidR="00870E4A">
        <w:rPr>
          <w:rFonts w:eastAsia="SimSun"/>
        </w:rPr>
        <w:t>c</w:t>
      </w:r>
      <w:r>
        <w:rPr>
          <w:rFonts w:eastAsia="SimSun"/>
        </w:rPr>
        <w:t xml:space="preserve">ould </w:t>
      </w:r>
      <w:r w:rsidR="00870E4A">
        <w:rPr>
          <w:rFonts w:eastAsia="SimSun"/>
        </w:rPr>
        <w:t xml:space="preserve">dampen </w:t>
      </w:r>
      <w:r w:rsidR="008D694B">
        <w:rPr>
          <w:rFonts w:eastAsia="SimSun"/>
        </w:rPr>
        <w:t xml:space="preserve">the prospects for </w:t>
      </w:r>
      <w:r>
        <w:rPr>
          <w:rFonts w:eastAsia="SimSun"/>
        </w:rPr>
        <w:t xml:space="preserve">future </w:t>
      </w:r>
      <w:r w:rsidR="008D694B">
        <w:rPr>
          <w:rFonts w:eastAsia="SimSun"/>
        </w:rPr>
        <w:t>settlement agreements</w:t>
      </w:r>
      <w:r w:rsidR="00BB4CC2">
        <w:rPr>
          <w:rFonts w:eastAsia="SimSun"/>
        </w:rPr>
        <w:t>, which is contrary to everyone’s interests</w:t>
      </w:r>
      <w:r w:rsidR="008D694B">
        <w:rPr>
          <w:rFonts w:eastAsia="SimSun"/>
        </w:rPr>
        <w:t>.</w:t>
      </w:r>
      <w:r w:rsidR="00902913">
        <w:rPr>
          <w:rFonts w:eastAsia="SimSun"/>
        </w:rPr>
        <w:t xml:space="preserve"> </w:t>
      </w:r>
      <w:r w:rsidR="008D694B">
        <w:rPr>
          <w:rFonts w:eastAsia="SimSun"/>
        </w:rPr>
        <w:t xml:space="preserve">PSE further reiterates that </w:t>
      </w:r>
      <w:r w:rsidR="007E4B2D">
        <w:rPr>
          <w:rFonts w:eastAsia="SimSun"/>
        </w:rPr>
        <w:t xml:space="preserve">both </w:t>
      </w:r>
      <w:r w:rsidR="008D694B">
        <w:rPr>
          <w:rFonts w:eastAsia="SimSun"/>
        </w:rPr>
        <w:t>Kroger’s and FEA’s proposals are contrary to the Commission’s broader policy objective, particularly the elimination of throughput incentives for its regulated gas and electric utilities.</w:t>
      </w:r>
      <w:r w:rsidR="00902913">
        <w:rPr>
          <w:rFonts w:eastAsia="SimSun"/>
        </w:rPr>
        <w:t xml:space="preserve"> </w:t>
      </w:r>
      <w:r w:rsidR="008D694B">
        <w:rPr>
          <w:rFonts w:eastAsia="SimSun"/>
        </w:rPr>
        <w:t>As such, the Commission should reject their proposal to exclude fixed production costs from PSE’s electric decoupling mechanism.</w:t>
      </w:r>
      <w:r w:rsidR="00902913">
        <w:rPr>
          <w:rFonts w:eastAsia="SimSun"/>
        </w:rPr>
        <w:t xml:space="preserve"> </w:t>
      </w:r>
      <w:r>
        <w:rPr>
          <w:rFonts w:eastAsia="SimSun"/>
        </w:rPr>
        <w:t xml:space="preserve"> </w:t>
      </w:r>
    </w:p>
    <w:p w:rsidR="009B3EB2" w:rsidRPr="00553071" w:rsidRDefault="009B3EB2" w:rsidP="00EC52CB">
      <w:pPr>
        <w:pStyle w:val="question"/>
      </w:pPr>
      <w:r w:rsidRPr="00553071">
        <w:t>Q.</w:t>
      </w:r>
      <w:r w:rsidRPr="00553071">
        <w:tab/>
        <w:t>Are there additional reasons the Commission should approve the inclusion of fixed production costs in PSE’s decoupling mechanism?</w:t>
      </w:r>
    </w:p>
    <w:p w:rsidR="009B3EB2" w:rsidRDefault="009B3EB2" w:rsidP="00EC140F">
      <w:pPr>
        <w:pStyle w:val="answer"/>
        <w:rPr>
          <w:rFonts w:eastAsia="SimSun"/>
        </w:rPr>
      </w:pPr>
      <w:r>
        <w:rPr>
          <w:rFonts w:eastAsia="SimSun"/>
        </w:rPr>
        <w:t>A.</w:t>
      </w:r>
      <w:r>
        <w:rPr>
          <w:rFonts w:eastAsia="SimSun"/>
        </w:rPr>
        <w:tab/>
        <w:t>Yes.</w:t>
      </w:r>
      <w:r w:rsidR="00902913">
        <w:rPr>
          <w:rFonts w:eastAsia="SimSun"/>
        </w:rPr>
        <w:t xml:space="preserve"> </w:t>
      </w:r>
      <w:r w:rsidR="00811478">
        <w:rPr>
          <w:rFonts w:eastAsia="SimSun"/>
        </w:rPr>
        <w:t>As noted earlier, the Commission has already approved the inclusion of fixed production costs in Avista’s and PacifiCorp’s decoupling mechanisms.</w:t>
      </w:r>
      <w:r w:rsidR="00902913">
        <w:rPr>
          <w:rFonts w:eastAsia="SimSun"/>
        </w:rPr>
        <w:t xml:space="preserve"> </w:t>
      </w:r>
      <w:r w:rsidR="00811478">
        <w:rPr>
          <w:rFonts w:eastAsia="SimSun"/>
        </w:rPr>
        <w:t>Therefore, f</w:t>
      </w:r>
      <w:r>
        <w:rPr>
          <w:rFonts w:eastAsia="SimSun"/>
        </w:rPr>
        <w:t>rom the standpoint of regulatory efficiency and consistency, it is appropriate to also include them for PSE’s mechanism.</w:t>
      </w:r>
      <w:r w:rsidR="00902913">
        <w:rPr>
          <w:rFonts w:eastAsia="SimSun"/>
        </w:rPr>
        <w:t xml:space="preserve"> </w:t>
      </w:r>
      <w:r>
        <w:rPr>
          <w:rFonts w:eastAsia="SimSun"/>
        </w:rPr>
        <w:t>This would substantially align the recovery of all production costs across the Commission’s three jurisdictional electric utilities, where each</w:t>
      </w:r>
      <w:r w:rsidR="009E486E">
        <w:rPr>
          <w:rFonts w:eastAsia="SimSun"/>
        </w:rPr>
        <w:t xml:space="preserve"> utility</w:t>
      </w:r>
      <w:r>
        <w:rPr>
          <w:rFonts w:eastAsia="SimSun"/>
        </w:rPr>
        <w:t xml:space="preserve"> would recover fixed production costs through their decoupling mechanisms and each would recover variable production costs through their PCA-like mechanisms.</w:t>
      </w:r>
    </w:p>
    <w:p w:rsidR="00C26AC6" w:rsidRPr="003B5206" w:rsidRDefault="00C26AC6" w:rsidP="00A15B24">
      <w:pPr>
        <w:pStyle w:val="PleadingsL2"/>
      </w:pPr>
      <w:bookmarkStart w:id="17" w:name="_Toc489871468"/>
      <w:r>
        <w:t>Rate Test</w:t>
      </w:r>
      <w:bookmarkEnd w:id="17"/>
    </w:p>
    <w:p w:rsidR="00A91720" w:rsidRPr="009075DC" w:rsidRDefault="00A91720" w:rsidP="00A91720">
      <w:pPr>
        <w:pStyle w:val="question"/>
      </w:pPr>
      <w:r w:rsidRPr="009075DC">
        <w:t>Q.</w:t>
      </w:r>
      <w:r w:rsidRPr="009075DC">
        <w:tab/>
      </w:r>
      <w:r>
        <w:t xml:space="preserve">Please summarize the various parties’ </w:t>
      </w:r>
      <w:r w:rsidR="007E15E2">
        <w:t xml:space="preserve">responses to PSE’s proposal </w:t>
      </w:r>
      <w:r>
        <w:t xml:space="preserve">for the rate test in </w:t>
      </w:r>
      <w:r w:rsidR="007E15E2">
        <w:t xml:space="preserve">the </w:t>
      </w:r>
      <w:r>
        <w:t>decoupling mechanisms.</w:t>
      </w:r>
    </w:p>
    <w:p w:rsidR="00A91720" w:rsidRDefault="00A91720" w:rsidP="00A91720">
      <w:pPr>
        <w:pStyle w:val="answer"/>
      </w:pPr>
      <w:r w:rsidRPr="009075DC">
        <w:rPr>
          <w:rFonts w:eastAsia="SimSun"/>
        </w:rPr>
        <w:t>A.</w:t>
      </w:r>
      <w:r w:rsidRPr="009075DC">
        <w:rPr>
          <w:rFonts w:eastAsia="SimSun"/>
        </w:rPr>
        <w:tab/>
      </w:r>
      <w:r w:rsidR="007E15E2">
        <w:rPr>
          <w:rFonts w:eastAsia="SimSun"/>
        </w:rPr>
        <w:t>Staff witness Jing Liu supports increasing the rate cap to five percent for all customers subject to the decoupling mechanisms.</w:t>
      </w:r>
      <w:r w:rsidR="007E15E2">
        <w:rPr>
          <w:rStyle w:val="FootnoteReference"/>
          <w:rFonts w:eastAsia="SimSun"/>
        </w:rPr>
        <w:footnoteReference w:id="17"/>
      </w:r>
      <w:r w:rsidR="00902913">
        <w:rPr>
          <w:rFonts w:eastAsia="SimSun"/>
        </w:rPr>
        <w:t xml:space="preserve"> </w:t>
      </w:r>
      <w:r w:rsidR="007E15E2">
        <w:rPr>
          <w:rFonts w:eastAsia="SimSun"/>
        </w:rPr>
        <w:t xml:space="preserve">This includes non-residential gas customers </w:t>
      </w:r>
      <w:r w:rsidR="00C443C1">
        <w:rPr>
          <w:rFonts w:eastAsia="SimSun"/>
        </w:rPr>
        <w:t xml:space="preserve">for which </w:t>
      </w:r>
      <w:r w:rsidR="007E15E2">
        <w:rPr>
          <w:rFonts w:eastAsia="SimSun"/>
        </w:rPr>
        <w:t>PSE had recommended retaining the three percent cap</w:t>
      </w:r>
      <w:r>
        <w:rPr>
          <w:rFonts w:eastAsia="SimSun"/>
        </w:rPr>
        <w:t>.</w:t>
      </w:r>
      <w:r w:rsidR="00902913">
        <w:rPr>
          <w:rFonts w:eastAsia="SimSun"/>
        </w:rPr>
        <w:t xml:space="preserve"> </w:t>
      </w:r>
      <w:r w:rsidR="007E15E2">
        <w:rPr>
          <w:rFonts w:eastAsia="SimSun"/>
        </w:rPr>
        <w:t>Public Counsel witness Michael Brosch</w:t>
      </w:r>
      <w:r w:rsidR="00CB53EB">
        <w:rPr>
          <w:rFonts w:eastAsia="SimSun"/>
        </w:rPr>
        <w:t>,</w:t>
      </w:r>
      <w:r w:rsidR="007E15E2">
        <w:rPr>
          <w:rFonts w:eastAsia="SimSun"/>
        </w:rPr>
        <w:t xml:space="preserve"> </w:t>
      </w:r>
      <w:r w:rsidR="00CB53EB">
        <w:rPr>
          <w:rFonts w:eastAsia="SimSun"/>
        </w:rPr>
        <w:t>Kroger witness Kevin Higgins and FEA witness Ali Al-Jabir recommend</w:t>
      </w:r>
      <w:r w:rsidR="007E15E2">
        <w:rPr>
          <w:rFonts w:eastAsia="SimSun"/>
        </w:rPr>
        <w:t xml:space="preserve"> retaining the existing rate cap of three percent.</w:t>
      </w:r>
      <w:r w:rsidR="007E15E2">
        <w:rPr>
          <w:rStyle w:val="FootnoteReference"/>
          <w:rFonts w:eastAsia="SimSun"/>
        </w:rPr>
        <w:footnoteReference w:id="18"/>
      </w:r>
      <w:r w:rsidR="00902913">
        <w:rPr>
          <w:rFonts w:eastAsia="SimSun"/>
        </w:rPr>
        <w:t xml:space="preserve"> </w:t>
      </w:r>
      <w:r w:rsidR="0018016B">
        <w:rPr>
          <w:rFonts w:eastAsia="SimSun"/>
        </w:rPr>
        <w:t>FEA’s witness goes one step further by recommending that the soft cap be replaced with a hard cap.</w:t>
      </w:r>
      <w:r w:rsidR="00745DFD">
        <w:rPr>
          <w:rStyle w:val="FootnoteReference"/>
          <w:rFonts w:eastAsia="SimSun"/>
        </w:rPr>
        <w:footnoteReference w:id="19"/>
      </w:r>
      <w:r w:rsidR="00902913">
        <w:rPr>
          <w:rFonts w:eastAsia="SimSun"/>
        </w:rPr>
        <w:t xml:space="preserve"> </w:t>
      </w:r>
      <w:r w:rsidR="0039335C">
        <w:rPr>
          <w:rFonts w:eastAsia="SimSun"/>
        </w:rPr>
        <w:t>Coalition witness Amanda Levin supports a five percent rate cap for gas residential customers for this case</w:t>
      </w:r>
      <w:r w:rsidR="00502B7E">
        <w:rPr>
          <w:rFonts w:eastAsia="SimSun"/>
        </w:rPr>
        <w:t xml:space="preserve"> until PSE’s next rate filing</w:t>
      </w:r>
      <w:r w:rsidR="00123096">
        <w:rPr>
          <w:rFonts w:eastAsia="SimSun"/>
        </w:rPr>
        <w:t>, when</w:t>
      </w:r>
      <w:r w:rsidR="00502B7E">
        <w:rPr>
          <w:rFonts w:eastAsia="SimSun"/>
        </w:rPr>
        <w:t xml:space="preserve"> improvement to weather forecasting can be implemented</w:t>
      </w:r>
      <w:r w:rsidR="0039335C">
        <w:rPr>
          <w:rFonts w:eastAsia="SimSun"/>
        </w:rPr>
        <w:t>,</w:t>
      </w:r>
      <w:r w:rsidR="00502B7E">
        <w:rPr>
          <w:rStyle w:val="FootnoteReference"/>
          <w:rFonts w:eastAsia="SimSun"/>
        </w:rPr>
        <w:footnoteReference w:id="20"/>
      </w:r>
      <w:r w:rsidR="0039335C">
        <w:rPr>
          <w:rFonts w:eastAsia="SimSun"/>
        </w:rPr>
        <w:t xml:space="preserve"> but </w:t>
      </w:r>
      <w:r w:rsidR="00502B7E">
        <w:rPr>
          <w:rFonts w:eastAsia="SimSun"/>
        </w:rPr>
        <w:t xml:space="preserve">rejects the increase </w:t>
      </w:r>
      <w:r w:rsidR="0039335C">
        <w:rPr>
          <w:rFonts w:eastAsia="SimSun"/>
        </w:rPr>
        <w:t xml:space="preserve">for </w:t>
      </w:r>
      <w:r w:rsidR="00502B7E">
        <w:rPr>
          <w:rFonts w:eastAsia="SimSun"/>
        </w:rPr>
        <w:t xml:space="preserve">residential electric </w:t>
      </w:r>
      <w:r w:rsidR="0039335C">
        <w:rPr>
          <w:rFonts w:eastAsia="SimSun"/>
        </w:rPr>
        <w:t>customers.</w:t>
      </w:r>
      <w:r w:rsidR="00502B7E">
        <w:rPr>
          <w:rStyle w:val="FootnoteReference"/>
          <w:rFonts w:eastAsia="SimSun"/>
        </w:rPr>
        <w:footnoteReference w:id="21"/>
      </w:r>
      <w:r w:rsidR="00902913">
        <w:rPr>
          <w:rFonts w:eastAsia="SimSun"/>
        </w:rPr>
        <w:t xml:space="preserve"> </w:t>
      </w:r>
      <w:r w:rsidR="00CB53EB">
        <w:rPr>
          <w:rFonts w:eastAsia="SimSun"/>
        </w:rPr>
        <w:t>TEP witness Shawn Collins similarly expresses concerns about PSE’s proposed increases to the rate caps.</w:t>
      </w:r>
      <w:r w:rsidR="00CB53EB">
        <w:rPr>
          <w:rStyle w:val="FootnoteReference"/>
          <w:rFonts w:eastAsia="SimSun"/>
        </w:rPr>
        <w:footnoteReference w:id="22"/>
      </w:r>
    </w:p>
    <w:p w:rsidR="00A91720" w:rsidRPr="009075DC" w:rsidRDefault="00A91720" w:rsidP="00A91720">
      <w:pPr>
        <w:pStyle w:val="question"/>
      </w:pPr>
      <w:r w:rsidRPr="009075DC">
        <w:t>Q.</w:t>
      </w:r>
      <w:r w:rsidRPr="009075DC">
        <w:tab/>
      </w:r>
      <w:r>
        <w:t>How do you respond</w:t>
      </w:r>
      <w:r w:rsidR="00411684">
        <w:t xml:space="preserve"> generally to calls for a change to PSE’s proposed</w:t>
      </w:r>
      <w:r w:rsidR="00745DFD">
        <w:t xml:space="preserve"> rate</w:t>
      </w:r>
      <w:r w:rsidR="00411684">
        <w:t xml:space="preserve"> cap levels</w:t>
      </w:r>
      <w:r w:rsidRPr="009075DC">
        <w:t>?</w:t>
      </w:r>
    </w:p>
    <w:p w:rsidR="00BB4CC2" w:rsidRDefault="00A91720" w:rsidP="00870991">
      <w:pPr>
        <w:pStyle w:val="answer"/>
        <w:rPr>
          <w:rFonts w:eastAsia="SimSun"/>
        </w:rPr>
      </w:pPr>
      <w:r w:rsidRPr="009075DC">
        <w:rPr>
          <w:rFonts w:eastAsia="SimSun"/>
        </w:rPr>
        <w:t>A.</w:t>
      </w:r>
      <w:r w:rsidRPr="009075DC">
        <w:rPr>
          <w:rFonts w:eastAsia="SimSun"/>
        </w:rPr>
        <w:tab/>
      </w:r>
      <w:r w:rsidR="00411684">
        <w:rPr>
          <w:rFonts w:eastAsia="SimSun"/>
        </w:rPr>
        <w:t xml:space="preserve">PSE’s proposal </w:t>
      </w:r>
      <w:r w:rsidR="00BB4CC2">
        <w:rPr>
          <w:rFonts w:eastAsia="SimSun"/>
        </w:rPr>
        <w:t xml:space="preserve">to increase the rate caps </w:t>
      </w:r>
      <w:r w:rsidR="00411684">
        <w:rPr>
          <w:rFonts w:eastAsia="SimSun"/>
        </w:rPr>
        <w:t xml:space="preserve">was largely in response to its understanding of the </w:t>
      </w:r>
      <w:r w:rsidR="00F03729">
        <w:rPr>
          <w:rFonts w:eastAsia="SimSun"/>
        </w:rPr>
        <w:t xml:space="preserve">concerns shared by the </w:t>
      </w:r>
      <w:r w:rsidR="00411684">
        <w:rPr>
          <w:rFonts w:eastAsia="SimSun"/>
        </w:rPr>
        <w:t>Commission</w:t>
      </w:r>
      <w:r w:rsidR="00F03729">
        <w:rPr>
          <w:rFonts w:eastAsia="SimSun"/>
        </w:rPr>
        <w:t xml:space="preserve"> regarding</w:t>
      </w:r>
      <w:r w:rsidR="00411684">
        <w:rPr>
          <w:rFonts w:eastAsia="SimSun"/>
        </w:rPr>
        <w:t xml:space="preserve"> growing</w:t>
      </w:r>
      <w:r w:rsidR="00F03729">
        <w:rPr>
          <w:rFonts w:eastAsia="SimSun"/>
        </w:rPr>
        <w:t>, or the potential for growing,</w:t>
      </w:r>
      <w:r w:rsidR="00411684">
        <w:rPr>
          <w:rFonts w:eastAsia="SimSun"/>
        </w:rPr>
        <w:t xml:space="preserve"> decoupling deferral balances.</w:t>
      </w:r>
      <w:r w:rsidR="00902913">
        <w:rPr>
          <w:rFonts w:eastAsia="SimSun"/>
        </w:rPr>
        <w:t xml:space="preserve"> </w:t>
      </w:r>
      <w:r w:rsidR="00411684">
        <w:rPr>
          <w:rFonts w:eastAsia="SimSun"/>
        </w:rPr>
        <w:t xml:space="preserve">While </w:t>
      </w:r>
      <w:r w:rsidR="00B14C60">
        <w:rPr>
          <w:rFonts w:eastAsia="SimSun"/>
        </w:rPr>
        <w:t xml:space="preserve">PSE </w:t>
      </w:r>
      <w:r w:rsidR="00411684">
        <w:rPr>
          <w:rFonts w:eastAsia="SimSun"/>
        </w:rPr>
        <w:t>believes that a higher cap is warranted for certain customer groups, there is no clear cut answer for this issue</w:t>
      </w:r>
      <w:r>
        <w:rPr>
          <w:rFonts w:eastAsia="SimSun"/>
        </w:rPr>
        <w:t>.</w:t>
      </w:r>
      <w:r w:rsidR="00902913">
        <w:rPr>
          <w:rFonts w:eastAsia="SimSun"/>
        </w:rPr>
        <w:t xml:space="preserve"> </w:t>
      </w:r>
      <w:r w:rsidR="00411684">
        <w:rPr>
          <w:rFonts w:eastAsia="SimSun"/>
        </w:rPr>
        <w:t>Certainly, at current rate cap levels, it will take some time to fully amortize the substantial deferred decoupling balances that have been accrued for PSE’s gas residential customers.</w:t>
      </w:r>
      <w:r w:rsidR="007353E8">
        <w:rPr>
          <w:rStyle w:val="FootnoteReference"/>
          <w:rFonts w:eastAsia="SimSun"/>
        </w:rPr>
        <w:footnoteReference w:id="23"/>
      </w:r>
      <w:r w:rsidR="00902913">
        <w:rPr>
          <w:rFonts w:eastAsia="SimSun"/>
        </w:rPr>
        <w:t xml:space="preserve"> </w:t>
      </w:r>
      <w:r w:rsidR="00F03729">
        <w:rPr>
          <w:rFonts w:eastAsia="SimSun"/>
        </w:rPr>
        <w:t xml:space="preserve">And, had fixed production costs been included in the electric decoupling mechanisms, </w:t>
      </w:r>
      <w:r w:rsidR="00BB4CC2">
        <w:rPr>
          <w:rFonts w:eastAsia="SimSun"/>
        </w:rPr>
        <w:t xml:space="preserve">the three percent cap would have been exceeded </w:t>
      </w:r>
      <w:r w:rsidR="00F03729">
        <w:rPr>
          <w:rFonts w:eastAsia="SimSun"/>
        </w:rPr>
        <w:t>for PSE’s electric residential customers as well.</w:t>
      </w:r>
    </w:p>
    <w:p w:rsidR="00CF560B" w:rsidRPr="00CF560B" w:rsidRDefault="00BB4CC2" w:rsidP="00EC52CB">
      <w:pPr>
        <w:pStyle w:val="question"/>
      </w:pPr>
      <w:r w:rsidRPr="00CF560B">
        <w:t>Q.</w:t>
      </w:r>
      <w:r w:rsidRPr="00CF560B">
        <w:tab/>
        <w:t xml:space="preserve">Have you attempted to estimate the extent to which the rate test would have triggered for electric customers </w:t>
      </w:r>
      <w:r w:rsidR="00CF560B" w:rsidRPr="00CF560B">
        <w:t>under PSE’s existing proposal?</w:t>
      </w:r>
    </w:p>
    <w:p w:rsidR="00CF560B" w:rsidRDefault="00CF560B" w:rsidP="00870991">
      <w:pPr>
        <w:pStyle w:val="answer"/>
        <w:rPr>
          <w:rFonts w:eastAsia="SimSun"/>
        </w:rPr>
      </w:pPr>
      <w:r>
        <w:rPr>
          <w:rFonts w:eastAsia="SimSun"/>
        </w:rPr>
        <w:t>A.</w:t>
      </w:r>
      <w:r>
        <w:rPr>
          <w:rFonts w:eastAsia="SimSun"/>
        </w:rPr>
        <w:tab/>
        <w:t>Yes.</w:t>
      </w:r>
      <w:r w:rsidR="00902913">
        <w:rPr>
          <w:rFonts w:eastAsia="SimSun"/>
        </w:rPr>
        <w:t xml:space="preserve"> </w:t>
      </w:r>
      <w:r>
        <w:rPr>
          <w:rFonts w:eastAsia="SimSun"/>
        </w:rPr>
        <w:t>PSE performed a backcast of its electric results, removing the K-factor impacts and increasing the allowed revenue to reflect the inclusion of fixed production costs.</w:t>
      </w:r>
      <w:r w:rsidR="00902913">
        <w:rPr>
          <w:rFonts w:eastAsia="SimSun"/>
        </w:rPr>
        <w:t xml:space="preserve"> </w:t>
      </w:r>
      <w:r>
        <w:rPr>
          <w:rFonts w:eastAsia="SimSun"/>
        </w:rPr>
        <w:t>The results are summarized in the table below.</w:t>
      </w:r>
      <w:r w:rsidR="00902913">
        <w:rPr>
          <w:rFonts w:eastAsia="SimSun"/>
        </w:rPr>
        <w:t xml:space="preserve"> </w:t>
      </w:r>
      <w:r>
        <w:rPr>
          <w:rFonts w:eastAsia="SimSun"/>
        </w:rPr>
        <w:t>These results show that a 5.0 percent rate cap is on the upper bounds of the impacts that would have been experienced over the past several years.</w:t>
      </w:r>
      <w:r w:rsidR="00902913">
        <w:rPr>
          <w:rFonts w:eastAsia="SimSun"/>
        </w:rPr>
        <w:t xml:space="preserve"> </w:t>
      </w:r>
      <w:r>
        <w:rPr>
          <w:rFonts w:eastAsia="SimSun"/>
        </w:rPr>
        <w:t xml:space="preserve">However, it would also </w:t>
      </w:r>
      <w:r w:rsidR="00B14C60">
        <w:rPr>
          <w:rFonts w:eastAsia="SimSun"/>
        </w:rPr>
        <w:t xml:space="preserve">mean </w:t>
      </w:r>
      <w:r>
        <w:rPr>
          <w:rFonts w:eastAsia="SimSun"/>
        </w:rPr>
        <w:t xml:space="preserve">that customers for whom the costs were incurred are more likely to be the ones </w:t>
      </w:r>
      <w:r w:rsidR="00745DFD">
        <w:rPr>
          <w:rFonts w:eastAsia="SimSun"/>
        </w:rPr>
        <w:t>that pay for those costs</w:t>
      </w:r>
      <w:r>
        <w:rPr>
          <w:rFonts w:eastAsia="SimSun"/>
        </w:rPr>
        <w:t>.</w:t>
      </w:r>
      <w:r w:rsidR="00902913">
        <w:rPr>
          <w:rFonts w:eastAsia="SimSun"/>
        </w:rPr>
        <w:t xml:space="preserve"> </w:t>
      </w:r>
      <w:r w:rsidR="00656EB7">
        <w:rPr>
          <w:rFonts w:eastAsia="SimSun"/>
        </w:rPr>
        <w:t>The potential need for increasing caps for PSE’s non-residential customers is less clear.</w:t>
      </w:r>
    </w:p>
    <w:tbl>
      <w:tblPr>
        <w:tblW w:w="7580" w:type="dxa"/>
        <w:jc w:val="center"/>
        <w:tblInd w:w="108" w:type="dxa"/>
        <w:tblLook w:val="04A0" w:firstRow="1" w:lastRow="0" w:firstColumn="1" w:lastColumn="0" w:noHBand="0" w:noVBand="1"/>
      </w:tblPr>
      <w:tblGrid>
        <w:gridCol w:w="3150"/>
        <w:gridCol w:w="1136"/>
        <w:gridCol w:w="1136"/>
        <w:gridCol w:w="1136"/>
        <w:gridCol w:w="1022"/>
      </w:tblGrid>
      <w:tr w:rsidR="00CF560B" w:rsidRPr="00CF560B" w:rsidTr="00CF560B">
        <w:trPr>
          <w:trHeight w:val="300"/>
          <w:jc w:val="center"/>
        </w:trPr>
        <w:tc>
          <w:tcPr>
            <w:tcW w:w="3150" w:type="dxa"/>
            <w:tcBorders>
              <w:top w:val="nil"/>
              <w:left w:val="nil"/>
              <w:bottom w:val="single" w:sz="4" w:space="0" w:color="auto"/>
              <w:right w:val="nil"/>
            </w:tcBorders>
            <w:shd w:val="clear" w:color="auto" w:fill="auto"/>
            <w:noWrap/>
            <w:vAlign w:val="bottom"/>
            <w:hideMark/>
          </w:tcPr>
          <w:p w:rsidR="00CF560B" w:rsidRPr="00CF560B" w:rsidRDefault="00CF560B" w:rsidP="00CF560B">
            <w:pPr>
              <w:spacing w:line="240" w:lineRule="auto"/>
              <w:ind w:firstLine="0"/>
              <w:rPr>
                <w:rFonts w:ascii="Calibri" w:hAnsi="Calibri"/>
                <w:b/>
                <w:bCs/>
                <w:color w:val="000000"/>
                <w:sz w:val="22"/>
                <w:szCs w:val="22"/>
                <w:lang w:eastAsia="en-US"/>
              </w:rPr>
            </w:pPr>
            <w:r w:rsidRPr="00CF560B">
              <w:rPr>
                <w:rFonts w:ascii="Calibri" w:hAnsi="Calibri"/>
                <w:b/>
                <w:bCs/>
                <w:color w:val="000000"/>
                <w:sz w:val="22"/>
                <w:szCs w:val="22"/>
                <w:lang w:eastAsia="en-US"/>
              </w:rPr>
              <w:t>Electric Decoupling Groups</w:t>
            </w:r>
          </w:p>
        </w:tc>
        <w:tc>
          <w:tcPr>
            <w:tcW w:w="1136" w:type="dxa"/>
            <w:tcBorders>
              <w:top w:val="nil"/>
              <w:left w:val="nil"/>
              <w:bottom w:val="single" w:sz="4" w:space="0" w:color="auto"/>
              <w:right w:val="nil"/>
            </w:tcBorders>
            <w:shd w:val="clear" w:color="auto" w:fill="auto"/>
            <w:noWrap/>
            <w:vAlign w:val="bottom"/>
            <w:hideMark/>
          </w:tcPr>
          <w:p w:rsidR="00CF560B" w:rsidRPr="00CF560B" w:rsidRDefault="00CF560B" w:rsidP="00CF560B">
            <w:pPr>
              <w:spacing w:line="240" w:lineRule="auto"/>
              <w:ind w:firstLine="0"/>
              <w:jc w:val="center"/>
              <w:rPr>
                <w:rFonts w:ascii="Calibri" w:hAnsi="Calibri"/>
                <w:b/>
                <w:bCs/>
                <w:color w:val="000000"/>
                <w:sz w:val="22"/>
                <w:szCs w:val="22"/>
                <w:lang w:eastAsia="en-US"/>
              </w:rPr>
            </w:pPr>
            <w:r w:rsidRPr="00CF560B">
              <w:rPr>
                <w:rFonts w:ascii="Calibri" w:hAnsi="Calibri"/>
                <w:b/>
                <w:bCs/>
                <w:color w:val="000000"/>
                <w:sz w:val="22"/>
                <w:szCs w:val="22"/>
                <w:lang w:eastAsia="en-US"/>
              </w:rPr>
              <w:t>2014 Filing</w:t>
            </w:r>
          </w:p>
        </w:tc>
        <w:tc>
          <w:tcPr>
            <w:tcW w:w="1136" w:type="dxa"/>
            <w:tcBorders>
              <w:top w:val="nil"/>
              <w:left w:val="nil"/>
              <w:bottom w:val="single" w:sz="4" w:space="0" w:color="auto"/>
              <w:right w:val="nil"/>
            </w:tcBorders>
            <w:shd w:val="clear" w:color="auto" w:fill="auto"/>
            <w:noWrap/>
            <w:vAlign w:val="bottom"/>
            <w:hideMark/>
          </w:tcPr>
          <w:p w:rsidR="00CF560B" w:rsidRPr="00CF560B" w:rsidRDefault="00CF560B" w:rsidP="00CF560B">
            <w:pPr>
              <w:spacing w:line="240" w:lineRule="auto"/>
              <w:ind w:firstLine="0"/>
              <w:jc w:val="center"/>
              <w:rPr>
                <w:rFonts w:ascii="Calibri" w:hAnsi="Calibri"/>
                <w:b/>
                <w:bCs/>
                <w:color w:val="000000"/>
                <w:sz w:val="22"/>
                <w:szCs w:val="22"/>
                <w:lang w:eastAsia="en-US"/>
              </w:rPr>
            </w:pPr>
            <w:r w:rsidRPr="00CF560B">
              <w:rPr>
                <w:rFonts w:ascii="Calibri" w:hAnsi="Calibri"/>
                <w:b/>
                <w:bCs/>
                <w:color w:val="000000"/>
                <w:sz w:val="22"/>
                <w:szCs w:val="22"/>
                <w:lang w:eastAsia="en-US"/>
              </w:rPr>
              <w:t>2015 Filing</w:t>
            </w:r>
          </w:p>
        </w:tc>
        <w:tc>
          <w:tcPr>
            <w:tcW w:w="1136" w:type="dxa"/>
            <w:tcBorders>
              <w:top w:val="nil"/>
              <w:left w:val="nil"/>
              <w:bottom w:val="single" w:sz="4" w:space="0" w:color="auto"/>
              <w:right w:val="nil"/>
            </w:tcBorders>
            <w:shd w:val="clear" w:color="auto" w:fill="auto"/>
            <w:noWrap/>
            <w:vAlign w:val="bottom"/>
            <w:hideMark/>
          </w:tcPr>
          <w:p w:rsidR="00CF560B" w:rsidRPr="00CF560B" w:rsidRDefault="00CF560B" w:rsidP="00CF560B">
            <w:pPr>
              <w:spacing w:line="240" w:lineRule="auto"/>
              <w:ind w:firstLine="0"/>
              <w:jc w:val="center"/>
              <w:rPr>
                <w:rFonts w:ascii="Calibri" w:hAnsi="Calibri"/>
                <w:b/>
                <w:bCs/>
                <w:color w:val="000000"/>
                <w:sz w:val="22"/>
                <w:szCs w:val="22"/>
                <w:lang w:eastAsia="en-US"/>
              </w:rPr>
            </w:pPr>
            <w:r w:rsidRPr="00CF560B">
              <w:rPr>
                <w:rFonts w:ascii="Calibri" w:hAnsi="Calibri"/>
                <w:b/>
                <w:bCs/>
                <w:color w:val="000000"/>
                <w:sz w:val="22"/>
                <w:szCs w:val="22"/>
                <w:lang w:eastAsia="en-US"/>
              </w:rPr>
              <w:t>2016 Filing</w:t>
            </w:r>
          </w:p>
        </w:tc>
        <w:tc>
          <w:tcPr>
            <w:tcW w:w="1022" w:type="dxa"/>
            <w:tcBorders>
              <w:top w:val="nil"/>
              <w:left w:val="nil"/>
              <w:bottom w:val="single" w:sz="4" w:space="0" w:color="auto"/>
              <w:right w:val="nil"/>
            </w:tcBorders>
            <w:shd w:val="clear" w:color="auto" w:fill="auto"/>
            <w:noWrap/>
            <w:vAlign w:val="bottom"/>
            <w:hideMark/>
          </w:tcPr>
          <w:p w:rsidR="00CF560B" w:rsidRPr="00CF560B" w:rsidRDefault="00CF560B" w:rsidP="00CF560B">
            <w:pPr>
              <w:spacing w:line="240" w:lineRule="auto"/>
              <w:ind w:firstLine="0"/>
              <w:jc w:val="center"/>
              <w:rPr>
                <w:rFonts w:ascii="Calibri" w:hAnsi="Calibri"/>
                <w:b/>
                <w:bCs/>
                <w:color w:val="000000"/>
                <w:sz w:val="22"/>
                <w:szCs w:val="22"/>
                <w:lang w:eastAsia="en-US"/>
              </w:rPr>
            </w:pPr>
            <w:r w:rsidRPr="00CF560B">
              <w:rPr>
                <w:rFonts w:ascii="Calibri" w:hAnsi="Calibri"/>
                <w:b/>
                <w:bCs/>
                <w:color w:val="000000"/>
                <w:sz w:val="22"/>
                <w:szCs w:val="22"/>
                <w:lang w:eastAsia="en-US"/>
              </w:rPr>
              <w:t>2017 Filing</w:t>
            </w:r>
          </w:p>
        </w:tc>
      </w:tr>
      <w:tr w:rsidR="00CF560B" w:rsidRPr="00CF560B" w:rsidTr="00CF560B">
        <w:trPr>
          <w:trHeight w:val="300"/>
          <w:jc w:val="center"/>
        </w:trPr>
        <w:tc>
          <w:tcPr>
            <w:tcW w:w="3150" w:type="dxa"/>
            <w:tcBorders>
              <w:top w:val="nil"/>
              <w:left w:val="nil"/>
              <w:bottom w:val="nil"/>
              <w:right w:val="nil"/>
            </w:tcBorders>
            <w:shd w:val="clear" w:color="auto" w:fill="auto"/>
            <w:noWrap/>
            <w:vAlign w:val="bottom"/>
            <w:hideMark/>
          </w:tcPr>
          <w:p w:rsidR="00CF560B" w:rsidRPr="00CF560B" w:rsidRDefault="00CF560B" w:rsidP="00CF560B">
            <w:pPr>
              <w:spacing w:line="240" w:lineRule="auto"/>
              <w:ind w:firstLine="0"/>
              <w:rPr>
                <w:rFonts w:ascii="Calibri" w:hAnsi="Calibri"/>
                <w:color w:val="000000"/>
                <w:sz w:val="22"/>
                <w:szCs w:val="22"/>
                <w:lang w:eastAsia="en-US"/>
              </w:rPr>
            </w:pPr>
            <w:r w:rsidRPr="00CF560B">
              <w:rPr>
                <w:rFonts w:ascii="Calibri" w:hAnsi="Calibri"/>
                <w:color w:val="000000"/>
                <w:sz w:val="22"/>
                <w:szCs w:val="22"/>
                <w:lang w:eastAsia="en-US"/>
              </w:rPr>
              <w:t>Residential</w:t>
            </w:r>
          </w:p>
        </w:tc>
        <w:tc>
          <w:tcPr>
            <w:tcW w:w="1136" w:type="dxa"/>
            <w:tcBorders>
              <w:top w:val="nil"/>
              <w:left w:val="nil"/>
              <w:bottom w:val="nil"/>
              <w:right w:val="nil"/>
            </w:tcBorders>
            <w:shd w:val="clear" w:color="auto" w:fill="auto"/>
            <w:noWrap/>
            <w:vAlign w:val="bottom"/>
            <w:hideMark/>
          </w:tcPr>
          <w:p w:rsidR="00CF560B" w:rsidRPr="00CF560B" w:rsidRDefault="00CF560B" w:rsidP="00CF560B">
            <w:pPr>
              <w:spacing w:line="240" w:lineRule="auto"/>
              <w:ind w:firstLine="0"/>
              <w:jc w:val="right"/>
              <w:rPr>
                <w:rFonts w:ascii="Calibri" w:hAnsi="Calibri"/>
                <w:color w:val="000000"/>
                <w:sz w:val="22"/>
                <w:szCs w:val="22"/>
                <w:lang w:eastAsia="en-US"/>
              </w:rPr>
            </w:pPr>
            <w:r w:rsidRPr="00CF560B">
              <w:rPr>
                <w:rFonts w:ascii="Calibri" w:hAnsi="Calibri"/>
                <w:color w:val="000000"/>
                <w:sz w:val="22"/>
                <w:szCs w:val="22"/>
                <w:lang w:eastAsia="en-US"/>
              </w:rPr>
              <w:t>-3.24%</w:t>
            </w:r>
          </w:p>
        </w:tc>
        <w:tc>
          <w:tcPr>
            <w:tcW w:w="1136" w:type="dxa"/>
            <w:tcBorders>
              <w:top w:val="nil"/>
              <w:left w:val="nil"/>
              <w:bottom w:val="nil"/>
              <w:right w:val="nil"/>
            </w:tcBorders>
            <w:shd w:val="clear" w:color="auto" w:fill="auto"/>
            <w:noWrap/>
            <w:vAlign w:val="bottom"/>
            <w:hideMark/>
          </w:tcPr>
          <w:p w:rsidR="00CF560B" w:rsidRPr="00CF560B" w:rsidRDefault="00CF560B" w:rsidP="00CF560B">
            <w:pPr>
              <w:spacing w:line="240" w:lineRule="auto"/>
              <w:ind w:firstLine="0"/>
              <w:jc w:val="right"/>
              <w:rPr>
                <w:rFonts w:ascii="Calibri" w:hAnsi="Calibri"/>
                <w:color w:val="000000"/>
                <w:sz w:val="22"/>
                <w:szCs w:val="22"/>
                <w:lang w:eastAsia="en-US"/>
              </w:rPr>
            </w:pPr>
            <w:r w:rsidRPr="00CF560B">
              <w:rPr>
                <w:rFonts w:ascii="Calibri" w:hAnsi="Calibri"/>
                <w:color w:val="000000"/>
                <w:sz w:val="22"/>
                <w:szCs w:val="22"/>
                <w:lang w:eastAsia="en-US"/>
              </w:rPr>
              <w:t>4.90%</w:t>
            </w:r>
          </w:p>
        </w:tc>
        <w:tc>
          <w:tcPr>
            <w:tcW w:w="1136" w:type="dxa"/>
            <w:tcBorders>
              <w:top w:val="nil"/>
              <w:left w:val="nil"/>
              <w:bottom w:val="nil"/>
              <w:right w:val="nil"/>
            </w:tcBorders>
            <w:shd w:val="clear" w:color="auto" w:fill="auto"/>
            <w:noWrap/>
            <w:vAlign w:val="bottom"/>
            <w:hideMark/>
          </w:tcPr>
          <w:p w:rsidR="00CF560B" w:rsidRPr="00CF560B" w:rsidRDefault="00CF560B" w:rsidP="00CF560B">
            <w:pPr>
              <w:spacing w:line="240" w:lineRule="auto"/>
              <w:ind w:firstLine="0"/>
              <w:jc w:val="right"/>
              <w:rPr>
                <w:rFonts w:ascii="Calibri" w:hAnsi="Calibri"/>
                <w:color w:val="000000"/>
                <w:sz w:val="22"/>
                <w:szCs w:val="22"/>
                <w:lang w:eastAsia="en-US"/>
              </w:rPr>
            </w:pPr>
            <w:r w:rsidRPr="00CF560B">
              <w:rPr>
                <w:rFonts w:ascii="Calibri" w:hAnsi="Calibri"/>
                <w:color w:val="000000"/>
                <w:sz w:val="22"/>
                <w:szCs w:val="22"/>
                <w:lang w:eastAsia="en-US"/>
              </w:rPr>
              <w:t>0.54%</w:t>
            </w:r>
          </w:p>
        </w:tc>
        <w:tc>
          <w:tcPr>
            <w:tcW w:w="1022" w:type="dxa"/>
            <w:tcBorders>
              <w:top w:val="nil"/>
              <w:left w:val="nil"/>
              <w:bottom w:val="nil"/>
              <w:right w:val="nil"/>
            </w:tcBorders>
            <w:shd w:val="clear" w:color="auto" w:fill="auto"/>
            <w:noWrap/>
            <w:vAlign w:val="bottom"/>
            <w:hideMark/>
          </w:tcPr>
          <w:p w:rsidR="00CF560B" w:rsidRPr="00CF560B" w:rsidRDefault="00CF560B" w:rsidP="00CF560B">
            <w:pPr>
              <w:spacing w:line="240" w:lineRule="auto"/>
              <w:ind w:firstLine="0"/>
              <w:jc w:val="right"/>
              <w:rPr>
                <w:rFonts w:ascii="Calibri" w:hAnsi="Calibri"/>
                <w:color w:val="000000"/>
                <w:sz w:val="22"/>
                <w:szCs w:val="22"/>
                <w:lang w:eastAsia="en-US"/>
              </w:rPr>
            </w:pPr>
            <w:r w:rsidRPr="00CF560B">
              <w:rPr>
                <w:rFonts w:ascii="Calibri" w:hAnsi="Calibri"/>
                <w:color w:val="000000"/>
                <w:sz w:val="22"/>
                <w:szCs w:val="22"/>
                <w:lang w:eastAsia="en-US"/>
              </w:rPr>
              <w:t>0.66%</w:t>
            </w:r>
          </w:p>
        </w:tc>
      </w:tr>
      <w:tr w:rsidR="00CF560B" w:rsidRPr="00CF560B" w:rsidTr="00CF560B">
        <w:trPr>
          <w:trHeight w:val="300"/>
          <w:jc w:val="center"/>
        </w:trPr>
        <w:tc>
          <w:tcPr>
            <w:tcW w:w="3150" w:type="dxa"/>
            <w:tcBorders>
              <w:top w:val="nil"/>
              <w:left w:val="nil"/>
              <w:bottom w:val="nil"/>
              <w:right w:val="nil"/>
            </w:tcBorders>
            <w:shd w:val="clear" w:color="auto" w:fill="auto"/>
            <w:noWrap/>
            <w:vAlign w:val="bottom"/>
            <w:hideMark/>
          </w:tcPr>
          <w:p w:rsidR="00CF560B" w:rsidRPr="00CF560B" w:rsidRDefault="00CF560B" w:rsidP="00CF560B">
            <w:pPr>
              <w:spacing w:line="240" w:lineRule="auto"/>
              <w:ind w:firstLine="0"/>
              <w:rPr>
                <w:rFonts w:ascii="Calibri" w:hAnsi="Calibri"/>
                <w:color w:val="000000"/>
                <w:sz w:val="22"/>
                <w:szCs w:val="22"/>
                <w:lang w:eastAsia="en-US"/>
              </w:rPr>
            </w:pPr>
            <w:r w:rsidRPr="00CF560B">
              <w:rPr>
                <w:rFonts w:ascii="Calibri" w:hAnsi="Calibri"/>
                <w:color w:val="000000"/>
                <w:sz w:val="22"/>
                <w:szCs w:val="22"/>
                <w:lang w:eastAsia="en-US"/>
              </w:rPr>
              <w:t>Non-Residential</w:t>
            </w:r>
          </w:p>
        </w:tc>
        <w:tc>
          <w:tcPr>
            <w:tcW w:w="1136" w:type="dxa"/>
            <w:tcBorders>
              <w:top w:val="nil"/>
              <w:left w:val="nil"/>
              <w:bottom w:val="nil"/>
              <w:right w:val="nil"/>
            </w:tcBorders>
            <w:shd w:val="clear" w:color="auto" w:fill="auto"/>
            <w:noWrap/>
            <w:vAlign w:val="bottom"/>
            <w:hideMark/>
          </w:tcPr>
          <w:p w:rsidR="00CF560B" w:rsidRPr="00CF560B" w:rsidRDefault="00CF560B" w:rsidP="00CF560B">
            <w:pPr>
              <w:spacing w:line="240" w:lineRule="auto"/>
              <w:ind w:firstLine="0"/>
              <w:jc w:val="right"/>
              <w:rPr>
                <w:rFonts w:ascii="Calibri" w:hAnsi="Calibri"/>
                <w:color w:val="000000"/>
                <w:sz w:val="22"/>
                <w:szCs w:val="22"/>
                <w:lang w:eastAsia="en-US"/>
              </w:rPr>
            </w:pPr>
            <w:r w:rsidRPr="00CF560B">
              <w:rPr>
                <w:rFonts w:ascii="Calibri" w:hAnsi="Calibri"/>
                <w:color w:val="000000"/>
                <w:sz w:val="22"/>
                <w:szCs w:val="22"/>
                <w:lang w:eastAsia="en-US"/>
              </w:rPr>
              <w:t>-0.28%</w:t>
            </w:r>
          </w:p>
        </w:tc>
        <w:tc>
          <w:tcPr>
            <w:tcW w:w="1136" w:type="dxa"/>
            <w:tcBorders>
              <w:top w:val="nil"/>
              <w:left w:val="nil"/>
              <w:bottom w:val="nil"/>
              <w:right w:val="nil"/>
            </w:tcBorders>
            <w:shd w:val="clear" w:color="auto" w:fill="auto"/>
            <w:noWrap/>
            <w:vAlign w:val="bottom"/>
            <w:hideMark/>
          </w:tcPr>
          <w:p w:rsidR="00CF560B" w:rsidRPr="00CF560B" w:rsidRDefault="00CF560B" w:rsidP="00CF560B">
            <w:pPr>
              <w:spacing w:line="240" w:lineRule="auto"/>
              <w:ind w:firstLine="0"/>
              <w:jc w:val="right"/>
              <w:rPr>
                <w:rFonts w:ascii="Calibri" w:hAnsi="Calibri"/>
                <w:color w:val="000000"/>
                <w:sz w:val="22"/>
                <w:szCs w:val="22"/>
                <w:lang w:eastAsia="en-US"/>
              </w:rPr>
            </w:pPr>
            <w:r w:rsidRPr="00CF560B">
              <w:rPr>
                <w:rFonts w:ascii="Calibri" w:hAnsi="Calibri"/>
                <w:color w:val="000000"/>
                <w:sz w:val="22"/>
                <w:szCs w:val="22"/>
                <w:lang w:eastAsia="en-US"/>
              </w:rPr>
              <w:t>2.74%</w:t>
            </w:r>
          </w:p>
        </w:tc>
        <w:tc>
          <w:tcPr>
            <w:tcW w:w="1136" w:type="dxa"/>
            <w:tcBorders>
              <w:top w:val="nil"/>
              <w:left w:val="nil"/>
              <w:bottom w:val="nil"/>
              <w:right w:val="nil"/>
            </w:tcBorders>
            <w:shd w:val="clear" w:color="auto" w:fill="auto"/>
            <w:noWrap/>
            <w:vAlign w:val="bottom"/>
            <w:hideMark/>
          </w:tcPr>
          <w:p w:rsidR="00CF560B" w:rsidRPr="00CF560B" w:rsidRDefault="00CF560B" w:rsidP="00CF560B">
            <w:pPr>
              <w:spacing w:line="240" w:lineRule="auto"/>
              <w:ind w:firstLine="0"/>
              <w:jc w:val="right"/>
              <w:rPr>
                <w:rFonts w:ascii="Calibri" w:hAnsi="Calibri"/>
                <w:color w:val="000000"/>
                <w:sz w:val="22"/>
                <w:szCs w:val="22"/>
                <w:lang w:eastAsia="en-US"/>
              </w:rPr>
            </w:pPr>
            <w:r w:rsidRPr="00CF560B">
              <w:rPr>
                <w:rFonts w:ascii="Calibri" w:hAnsi="Calibri"/>
                <w:color w:val="000000"/>
                <w:sz w:val="22"/>
                <w:szCs w:val="22"/>
                <w:lang w:eastAsia="en-US"/>
              </w:rPr>
              <w:t>-1.19%</w:t>
            </w:r>
          </w:p>
        </w:tc>
        <w:tc>
          <w:tcPr>
            <w:tcW w:w="1022" w:type="dxa"/>
            <w:tcBorders>
              <w:top w:val="nil"/>
              <w:left w:val="nil"/>
              <w:bottom w:val="nil"/>
              <w:right w:val="nil"/>
            </w:tcBorders>
            <w:shd w:val="clear" w:color="auto" w:fill="auto"/>
            <w:noWrap/>
            <w:vAlign w:val="bottom"/>
            <w:hideMark/>
          </w:tcPr>
          <w:p w:rsidR="00CF560B" w:rsidRPr="00CF560B" w:rsidRDefault="00CF560B" w:rsidP="00CF560B">
            <w:pPr>
              <w:spacing w:line="240" w:lineRule="auto"/>
              <w:ind w:firstLine="0"/>
              <w:jc w:val="right"/>
              <w:rPr>
                <w:rFonts w:ascii="Calibri" w:hAnsi="Calibri"/>
                <w:color w:val="000000"/>
                <w:sz w:val="22"/>
                <w:szCs w:val="22"/>
                <w:lang w:eastAsia="en-US"/>
              </w:rPr>
            </w:pPr>
            <w:r w:rsidRPr="00CF560B">
              <w:rPr>
                <w:rFonts w:ascii="Calibri" w:hAnsi="Calibri"/>
                <w:color w:val="000000"/>
                <w:sz w:val="22"/>
                <w:szCs w:val="22"/>
                <w:lang w:eastAsia="en-US"/>
              </w:rPr>
              <w:t>2.43%</w:t>
            </w:r>
          </w:p>
        </w:tc>
      </w:tr>
      <w:tr w:rsidR="00CF560B" w:rsidRPr="00CF560B" w:rsidTr="00CF560B">
        <w:trPr>
          <w:trHeight w:val="300"/>
          <w:jc w:val="center"/>
        </w:trPr>
        <w:tc>
          <w:tcPr>
            <w:tcW w:w="3150" w:type="dxa"/>
            <w:tcBorders>
              <w:top w:val="nil"/>
              <w:left w:val="nil"/>
              <w:bottom w:val="nil"/>
              <w:right w:val="nil"/>
            </w:tcBorders>
            <w:shd w:val="clear" w:color="auto" w:fill="auto"/>
            <w:noWrap/>
            <w:vAlign w:val="bottom"/>
            <w:hideMark/>
          </w:tcPr>
          <w:p w:rsidR="00CF560B" w:rsidRPr="00CF560B" w:rsidRDefault="00CF560B" w:rsidP="00CF560B">
            <w:pPr>
              <w:spacing w:line="240" w:lineRule="auto"/>
              <w:ind w:firstLine="0"/>
              <w:rPr>
                <w:rFonts w:ascii="Calibri" w:hAnsi="Calibri"/>
                <w:color w:val="000000"/>
                <w:sz w:val="22"/>
                <w:szCs w:val="22"/>
                <w:lang w:eastAsia="en-US"/>
              </w:rPr>
            </w:pPr>
            <w:r w:rsidRPr="00CF560B">
              <w:rPr>
                <w:rFonts w:ascii="Calibri" w:hAnsi="Calibri"/>
                <w:color w:val="000000"/>
                <w:sz w:val="22"/>
                <w:szCs w:val="22"/>
                <w:lang w:eastAsia="en-US"/>
              </w:rPr>
              <w:t>Schedules 12 &amp; 26</w:t>
            </w:r>
          </w:p>
        </w:tc>
        <w:tc>
          <w:tcPr>
            <w:tcW w:w="1136" w:type="dxa"/>
            <w:tcBorders>
              <w:top w:val="nil"/>
              <w:left w:val="nil"/>
              <w:bottom w:val="nil"/>
              <w:right w:val="nil"/>
            </w:tcBorders>
            <w:shd w:val="clear" w:color="auto" w:fill="auto"/>
            <w:noWrap/>
            <w:vAlign w:val="bottom"/>
            <w:hideMark/>
          </w:tcPr>
          <w:p w:rsidR="00CF560B" w:rsidRPr="00CF560B" w:rsidRDefault="00CF560B" w:rsidP="00CF560B">
            <w:pPr>
              <w:spacing w:line="240" w:lineRule="auto"/>
              <w:ind w:firstLine="0"/>
              <w:jc w:val="right"/>
              <w:rPr>
                <w:rFonts w:ascii="Calibri" w:hAnsi="Calibri"/>
                <w:color w:val="000000"/>
                <w:sz w:val="22"/>
                <w:szCs w:val="22"/>
                <w:lang w:eastAsia="en-US"/>
              </w:rPr>
            </w:pPr>
            <w:r w:rsidRPr="00CF560B">
              <w:rPr>
                <w:rFonts w:ascii="Calibri" w:hAnsi="Calibri"/>
                <w:color w:val="000000"/>
                <w:sz w:val="22"/>
                <w:szCs w:val="22"/>
                <w:lang w:eastAsia="en-US"/>
              </w:rPr>
              <w:t>-0.28%</w:t>
            </w:r>
          </w:p>
        </w:tc>
        <w:tc>
          <w:tcPr>
            <w:tcW w:w="1136" w:type="dxa"/>
            <w:tcBorders>
              <w:top w:val="nil"/>
              <w:left w:val="nil"/>
              <w:bottom w:val="nil"/>
              <w:right w:val="nil"/>
            </w:tcBorders>
            <w:shd w:val="clear" w:color="auto" w:fill="auto"/>
            <w:noWrap/>
            <w:vAlign w:val="bottom"/>
            <w:hideMark/>
          </w:tcPr>
          <w:p w:rsidR="00CF560B" w:rsidRPr="00CF560B" w:rsidRDefault="00CF560B" w:rsidP="00CF560B">
            <w:pPr>
              <w:spacing w:line="240" w:lineRule="auto"/>
              <w:ind w:firstLine="0"/>
              <w:jc w:val="right"/>
              <w:rPr>
                <w:rFonts w:ascii="Calibri" w:hAnsi="Calibri"/>
                <w:color w:val="000000"/>
                <w:sz w:val="22"/>
                <w:szCs w:val="22"/>
                <w:lang w:eastAsia="en-US"/>
              </w:rPr>
            </w:pPr>
            <w:r w:rsidRPr="00CF560B">
              <w:rPr>
                <w:rFonts w:ascii="Calibri" w:hAnsi="Calibri"/>
                <w:color w:val="000000"/>
                <w:sz w:val="22"/>
                <w:szCs w:val="22"/>
                <w:lang w:eastAsia="en-US"/>
              </w:rPr>
              <w:t>2.24%</w:t>
            </w:r>
          </w:p>
        </w:tc>
        <w:tc>
          <w:tcPr>
            <w:tcW w:w="1136" w:type="dxa"/>
            <w:tcBorders>
              <w:top w:val="nil"/>
              <w:left w:val="nil"/>
              <w:bottom w:val="nil"/>
              <w:right w:val="nil"/>
            </w:tcBorders>
            <w:shd w:val="clear" w:color="auto" w:fill="auto"/>
            <w:noWrap/>
            <w:vAlign w:val="bottom"/>
            <w:hideMark/>
          </w:tcPr>
          <w:p w:rsidR="00CF560B" w:rsidRPr="00CF560B" w:rsidRDefault="00CF560B" w:rsidP="00CF560B">
            <w:pPr>
              <w:spacing w:line="240" w:lineRule="auto"/>
              <w:ind w:firstLine="0"/>
              <w:jc w:val="right"/>
              <w:rPr>
                <w:rFonts w:ascii="Calibri" w:hAnsi="Calibri"/>
                <w:color w:val="000000"/>
                <w:sz w:val="22"/>
                <w:szCs w:val="22"/>
                <w:lang w:eastAsia="en-US"/>
              </w:rPr>
            </w:pPr>
            <w:r w:rsidRPr="00CF560B">
              <w:rPr>
                <w:rFonts w:ascii="Calibri" w:hAnsi="Calibri"/>
                <w:color w:val="000000"/>
                <w:sz w:val="22"/>
                <w:szCs w:val="22"/>
                <w:lang w:eastAsia="en-US"/>
              </w:rPr>
              <w:t>-1.77%</w:t>
            </w:r>
          </w:p>
        </w:tc>
        <w:tc>
          <w:tcPr>
            <w:tcW w:w="1022" w:type="dxa"/>
            <w:tcBorders>
              <w:top w:val="nil"/>
              <w:left w:val="nil"/>
              <w:bottom w:val="nil"/>
              <w:right w:val="nil"/>
            </w:tcBorders>
            <w:shd w:val="clear" w:color="auto" w:fill="auto"/>
            <w:noWrap/>
            <w:vAlign w:val="bottom"/>
            <w:hideMark/>
          </w:tcPr>
          <w:p w:rsidR="00CF560B" w:rsidRPr="00CF560B" w:rsidRDefault="00CF560B" w:rsidP="00CF560B">
            <w:pPr>
              <w:spacing w:line="240" w:lineRule="auto"/>
              <w:ind w:firstLine="0"/>
              <w:jc w:val="right"/>
              <w:rPr>
                <w:rFonts w:ascii="Calibri" w:hAnsi="Calibri"/>
                <w:color w:val="000000"/>
                <w:sz w:val="22"/>
                <w:szCs w:val="22"/>
                <w:lang w:eastAsia="en-US"/>
              </w:rPr>
            </w:pPr>
            <w:r w:rsidRPr="00CF560B">
              <w:rPr>
                <w:rFonts w:ascii="Calibri" w:hAnsi="Calibri"/>
                <w:color w:val="000000"/>
                <w:sz w:val="22"/>
                <w:szCs w:val="22"/>
                <w:lang w:eastAsia="en-US"/>
              </w:rPr>
              <w:t>-1.41%</w:t>
            </w:r>
          </w:p>
        </w:tc>
      </w:tr>
      <w:tr w:rsidR="00CF560B" w:rsidRPr="00CF560B" w:rsidTr="00CF560B">
        <w:trPr>
          <w:trHeight w:val="300"/>
          <w:jc w:val="center"/>
        </w:trPr>
        <w:tc>
          <w:tcPr>
            <w:tcW w:w="3150" w:type="dxa"/>
            <w:tcBorders>
              <w:top w:val="nil"/>
              <w:left w:val="nil"/>
              <w:bottom w:val="nil"/>
              <w:right w:val="nil"/>
            </w:tcBorders>
            <w:shd w:val="clear" w:color="auto" w:fill="auto"/>
            <w:noWrap/>
            <w:vAlign w:val="bottom"/>
            <w:hideMark/>
          </w:tcPr>
          <w:p w:rsidR="00CF560B" w:rsidRPr="00CF560B" w:rsidRDefault="00CF560B" w:rsidP="00CF560B">
            <w:pPr>
              <w:spacing w:line="240" w:lineRule="auto"/>
              <w:ind w:firstLine="0"/>
              <w:rPr>
                <w:rFonts w:ascii="Calibri" w:hAnsi="Calibri"/>
                <w:color w:val="000000"/>
                <w:sz w:val="22"/>
                <w:szCs w:val="22"/>
                <w:lang w:eastAsia="en-US"/>
              </w:rPr>
            </w:pPr>
            <w:r w:rsidRPr="00CF560B">
              <w:rPr>
                <w:rFonts w:ascii="Calibri" w:hAnsi="Calibri"/>
                <w:color w:val="000000"/>
                <w:sz w:val="22"/>
                <w:szCs w:val="22"/>
                <w:lang w:eastAsia="en-US"/>
              </w:rPr>
              <w:t>Schedules 10 &amp; 31</w:t>
            </w:r>
          </w:p>
        </w:tc>
        <w:tc>
          <w:tcPr>
            <w:tcW w:w="1136" w:type="dxa"/>
            <w:tcBorders>
              <w:top w:val="nil"/>
              <w:left w:val="nil"/>
              <w:bottom w:val="nil"/>
              <w:right w:val="nil"/>
            </w:tcBorders>
            <w:shd w:val="clear" w:color="auto" w:fill="auto"/>
            <w:noWrap/>
            <w:vAlign w:val="bottom"/>
            <w:hideMark/>
          </w:tcPr>
          <w:p w:rsidR="00CF560B" w:rsidRPr="00CF560B" w:rsidRDefault="00CF560B" w:rsidP="00CF560B">
            <w:pPr>
              <w:spacing w:line="240" w:lineRule="auto"/>
              <w:ind w:firstLine="0"/>
              <w:jc w:val="right"/>
              <w:rPr>
                <w:rFonts w:ascii="Calibri" w:hAnsi="Calibri"/>
                <w:color w:val="000000"/>
                <w:sz w:val="22"/>
                <w:szCs w:val="22"/>
                <w:lang w:eastAsia="en-US"/>
              </w:rPr>
            </w:pPr>
            <w:r w:rsidRPr="00CF560B">
              <w:rPr>
                <w:rFonts w:ascii="Calibri" w:hAnsi="Calibri"/>
                <w:color w:val="000000"/>
                <w:sz w:val="22"/>
                <w:szCs w:val="22"/>
                <w:lang w:eastAsia="en-US"/>
              </w:rPr>
              <w:t>-0.29%</w:t>
            </w:r>
          </w:p>
        </w:tc>
        <w:tc>
          <w:tcPr>
            <w:tcW w:w="1136" w:type="dxa"/>
            <w:tcBorders>
              <w:top w:val="nil"/>
              <w:left w:val="nil"/>
              <w:bottom w:val="nil"/>
              <w:right w:val="nil"/>
            </w:tcBorders>
            <w:shd w:val="clear" w:color="auto" w:fill="auto"/>
            <w:noWrap/>
            <w:vAlign w:val="bottom"/>
            <w:hideMark/>
          </w:tcPr>
          <w:p w:rsidR="00CF560B" w:rsidRPr="00CF560B" w:rsidRDefault="00CF560B" w:rsidP="00CF560B">
            <w:pPr>
              <w:spacing w:line="240" w:lineRule="auto"/>
              <w:ind w:firstLine="0"/>
              <w:jc w:val="right"/>
              <w:rPr>
                <w:rFonts w:ascii="Calibri" w:hAnsi="Calibri"/>
                <w:color w:val="000000"/>
                <w:sz w:val="22"/>
                <w:szCs w:val="22"/>
                <w:lang w:eastAsia="en-US"/>
              </w:rPr>
            </w:pPr>
            <w:r w:rsidRPr="00CF560B">
              <w:rPr>
                <w:rFonts w:ascii="Calibri" w:hAnsi="Calibri"/>
                <w:color w:val="000000"/>
                <w:sz w:val="22"/>
                <w:szCs w:val="22"/>
                <w:lang w:eastAsia="en-US"/>
              </w:rPr>
              <w:t>4.79%</w:t>
            </w:r>
          </w:p>
        </w:tc>
        <w:tc>
          <w:tcPr>
            <w:tcW w:w="1136" w:type="dxa"/>
            <w:tcBorders>
              <w:top w:val="nil"/>
              <w:left w:val="nil"/>
              <w:bottom w:val="nil"/>
              <w:right w:val="nil"/>
            </w:tcBorders>
            <w:shd w:val="clear" w:color="auto" w:fill="auto"/>
            <w:noWrap/>
            <w:vAlign w:val="bottom"/>
            <w:hideMark/>
          </w:tcPr>
          <w:p w:rsidR="00CF560B" w:rsidRPr="00CF560B" w:rsidRDefault="00CF560B" w:rsidP="00CF560B">
            <w:pPr>
              <w:spacing w:line="240" w:lineRule="auto"/>
              <w:ind w:firstLine="0"/>
              <w:jc w:val="right"/>
              <w:rPr>
                <w:rFonts w:ascii="Calibri" w:hAnsi="Calibri"/>
                <w:color w:val="000000"/>
                <w:sz w:val="22"/>
                <w:szCs w:val="22"/>
                <w:lang w:eastAsia="en-US"/>
              </w:rPr>
            </w:pPr>
            <w:r w:rsidRPr="00CF560B">
              <w:rPr>
                <w:rFonts w:ascii="Calibri" w:hAnsi="Calibri"/>
                <w:color w:val="000000"/>
                <w:sz w:val="22"/>
                <w:szCs w:val="22"/>
                <w:lang w:eastAsia="en-US"/>
              </w:rPr>
              <w:t>-5.11%</w:t>
            </w:r>
          </w:p>
        </w:tc>
        <w:tc>
          <w:tcPr>
            <w:tcW w:w="1022" w:type="dxa"/>
            <w:tcBorders>
              <w:top w:val="nil"/>
              <w:left w:val="nil"/>
              <w:bottom w:val="nil"/>
              <w:right w:val="nil"/>
            </w:tcBorders>
            <w:shd w:val="clear" w:color="auto" w:fill="auto"/>
            <w:noWrap/>
            <w:vAlign w:val="bottom"/>
            <w:hideMark/>
          </w:tcPr>
          <w:p w:rsidR="00CF560B" w:rsidRPr="00CF560B" w:rsidRDefault="00CF560B" w:rsidP="00CF560B">
            <w:pPr>
              <w:spacing w:line="240" w:lineRule="auto"/>
              <w:ind w:firstLine="0"/>
              <w:jc w:val="right"/>
              <w:rPr>
                <w:rFonts w:ascii="Calibri" w:hAnsi="Calibri"/>
                <w:color w:val="000000"/>
                <w:sz w:val="22"/>
                <w:szCs w:val="22"/>
                <w:lang w:eastAsia="en-US"/>
              </w:rPr>
            </w:pPr>
            <w:r w:rsidRPr="00CF560B">
              <w:rPr>
                <w:rFonts w:ascii="Calibri" w:hAnsi="Calibri"/>
                <w:color w:val="000000"/>
                <w:sz w:val="22"/>
                <w:szCs w:val="22"/>
                <w:lang w:eastAsia="en-US"/>
              </w:rPr>
              <w:t>0.63%</w:t>
            </w:r>
          </w:p>
        </w:tc>
      </w:tr>
      <w:tr w:rsidR="00CF560B" w:rsidRPr="00CF560B" w:rsidTr="00CF560B">
        <w:trPr>
          <w:trHeight w:val="360"/>
          <w:jc w:val="center"/>
        </w:trPr>
        <w:tc>
          <w:tcPr>
            <w:tcW w:w="6558" w:type="dxa"/>
            <w:gridSpan w:val="4"/>
            <w:tcBorders>
              <w:top w:val="nil"/>
              <w:left w:val="nil"/>
              <w:bottom w:val="nil"/>
              <w:right w:val="nil"/>
            </w:tcBorders>
            <w:shd w:val="clear" w:color="auto" w:fill="auto"/>
            <w:noWrap/>
            <w:vAlign w:val="bottom"/>
            <w:hideMark/>
          </w:tcPr>
          <w:p w:rsidR="00CF560B" w:rsidRPr="00CF560B" w:rsidRDefault="00CF560B" w:rsidP="00CF560B">
            <w:pPr>
              <w:spacing w:line="240" w:lineRule="auto"/>
              <w:ind w:firstLine="0"/>
              <w:rPr>
                <w:rFonts w:ascii="Calibri" w:hAnsi="Calibri"/>
                <w:i/>
                <w:iCs/>
                <w:color w:val="000000"/>
                <w:sz w:val="22"/>
                <w:szCs w:val="22"/>
                <w:lang w:eastAsia="en-US"/>
              </w:rPr>
            </w:pPr>
            <w:r w:rsidRPr="00CF560B">
              <w:rPr>
                <w:rFonts w:ascii="Calibri" w:hAnsi="Calibri"/>
                <w:i/>
                <w:iCs/>
                <w:color w:val="000000"/>
                <w:sz w:val="22"/>
                <w:szCs w:val="22"/>
                <w:lang w:eastAsia="en-US"/>
              </w:rPr>
              <w:t>Note: all filings have rates effective May 1 of that year.</w:t>
            </w:r>
          </w:p>
        </w:tc>
        <w:tc>
          <w:tcPr>
            <w:tcW w:w="1022" w:type="dxa"/>
            <w:tcBorders>
              <w:top w:val="nil"/>
              <w:left w:val="nil"/>
              <w:bottom w:val="nil"/>
              <w:right w:val="nil"/>
            </w:tcBorders>
            <w:shd w:val="clear" w:color="auto" w:fill="auto"/>
            <w:noWrap/>
            <w:vAlign w:val="bottom"/>
            <w:hideMark/>
          </w:tcPr>
          <w:p w:rsidR="00CF560B" w:rsidRPr="00CF560B" w:rsidRDefault="00CF560B" w:rsidP="00CF560B">
            <w:pPr>
              <w:spacing w:line="240" w:lineRule="auto"/>
              <w:ind w:firstLine="0"/>
              <w:rPr>
                <w:rFonts w:ascii="Calibri" w:hAnsi="Calibri"/>
                <w:color w:val="000000"/>
                <w:sz w:val="22"/>
                <w:szCs w:val="22"/>
                <w:lang w:eastAsia="en-US"/>
              </w:rPr>
            </w:pPr>
          </w:p>
        </w:tc>
      </w:tr>
    </w:tbl>
    <w:p w:rsidR="00656EB7" w:rsidRPr="00656EB7" w:rsidRDefault="00656EB7" w:rsidP="00332263">
      <w:pPr>
        <w:pStyle w:val="question"/>
        <w:spacing w:before="480"/>
      </w:pPr>
      <w:r w:rsidRPr="00656EB7">
        <w:t>Q.</w:t>
      </w:r>
      <w:r w:rsidRPr="00656EB7">
        <w:tab/>
        <w:t>What rate cap level do you recommend the Commission approve?</w:t>
      </w:r>
    </w:p>
    <w:p w:rsidR="00870991" w:rsidRDefault="00656EB7" w:rsidP="00870991">
      <w:pPr>
        <w:pStyle w:val="answer"/>
        <w:rPr>
          <w:rFonts w:eastAsia="SimSun"/>
        </w:rPr>
      </w:pPr>
      <w:r>
        <w:rPr>
          <w:rFonts w:eastAsia="SimSun"/>
        </w:rPr>
        <w:t>A.</w:t>
      </w:r>
      <w:r>
        <w:rPr>
          <w:rFonts w:eastAsia="SimSun"/>
        </w:rPr>
        <w:tab/>
        <w:t>A</w:t>
      </w:r>
      <w:r w:rsidR="007353E8">
        <w:rPr>
          <w:rFonts w:eastAsia="SimSun"/>
        </w:rPr>
        <w:t>t a minimum</w:t>
      </w:r>
      <w:r>
        <w:rPr>
          <w:rFonts w:eastAsia="SimSun"/>
        </w:rPr>
        <w:t>,</w:t>
      </w:r>
      <w:r w:rsidR="007353E8">
        <w:rPr>
          <w:rFonts w:eastAsia="SimSun"/>
        </w:rPr>
        <w:t xml:space="preserve"> PSE recommends that the Commission adopt </w:t>
      </w:r>
      <w:r w:rsidR="00A33FCF">
        <w:rPr>
          <w:rFonts w:eastAsia="SimSun"/>
        </w:rPr>
        <w:t xml:space="preserve">five percent </w:t>
      </w:r>
      <w:r w:rsidR="007353E8">
        <w:rPr>
          <w:rFonts w:eastAsia="SimSun"/>
        </w:rPr>
        <w:t>caps for both the gas and electric residential customers.</w:t>
      </w:r>
      <w:r w:rsidR="00902913">
        <w:rPr>
          <w:rFonts w:eastAsia="SimSun"/>
        </w:rPr>
        <w:t xml:space="preserve"> </w:t>
      </w:r>
      <w:r w:rsidR="00A33FCF">
        <w:rPr>
          <w:rFonts w:eastAsia="SimSun"/>
        </w:rPr>
        <w:t>To the extent that it has any concerns about the potential for higher deferrals for the non-residential customers</w:t>
      </w:r>
      <w:r>
        <w:rPr>
          <w:rFonts w:eastAsia="SimSun"/>
        </w:rPr>
        <w:t xml:space="preserve"> that may present cost shifting between current and future customers</w:t>
      </w:r>
      <w:r w:rsidR="00A33FCF">
        <w:rPr>
          <w:rFonts w:eastAsia="SimSun"/>
        </w:rPr>
        <w:t xml:space="preserve">, the Commission may also </w:t>
      </w:r>
      <w:r>
        <w:rPr>
          <w:rFonts w:eastAsia="SimSun"/>
        </w:rPr>
        <w:t xml:space="preserve">want </w:t>
      </w:r>
      <w:r w:rsidR="00A33FCF">
        <w:rPr>
          <w:rFonts w:eastAsia="SimSun"/>
        </w:rPr>
        <w:t>to raise the rate caps for these customers as well.</w:t>
      </w:r>
      <w:r w:rsidR="00902913">
        <w:rPr>
          <w:rFonts w:eastAsia="SimSun"/>
        </w:rPr>
        <w:t xml:space="preserve"> </w:t>
      </w:r>
      <w:r>
        <w:rPr>
          <w:rFonts w:eastAsia="SimSun"/>
        </w:rPr>
        <w:t>This would be in line with the decoupling mechanism recently approved for PacifiCorp and, as Staff suggests, would simplify the tariff.</w:t>
      </w:r>
      <w:r>
        <w:rPr>
          <w:rStyle w:val="FootnoteReference"/>
          <w:rFonts w:eastAsia="SimSun"/>
        </w:rPr>
        <w:footnoteReference w:id="24"/>
      </w:r>
      <w:r w:rsidR="00902913">
        <w:rPr>
          <w:rFonts w:eastAsia="SimSun"/>
        </w:rPr>
        <w:t xml:space="preserve"> </w:t>
      </w:r>
    </w:p>
    <w:p w:rsidR="00870991" w:rsidRPr="00870991" w:rsidRDefault="00870991" w:rsidP="00EC52CB">
      <w:pPr>
        <w:pStyle w:val="question"/>
      </w:pPr>
      <w:r w:rsidRPr="00870991">
        <w:t>Q.</w:t>
      </w:r>
      <w:r w:rsidRPr="00870991">
        <w:tab/>
        <w:t>How do you respond to FEA’s proposal for a hard cap in place of the soft cap?</w:t>
      </w:r>
    </w:p>
    <w:p w:rsidR="00870991" w:rsidRDefault="00870991" w:rsidP="00A91720">
      <w:pPr>
        <w:pStyle w:val="answer"/>
        <w:rPr>
          <w:rFonts w:eastAsia="SimSun"/>
        </w:rPr>
      </w:pPr>
      <w:r>
        <w:rPr>
          <w:rFonts w:eastAsia="SimSun"/>
        </w:rPr>
        <w:t>A.</w:t>
      </w:r>
      <w:r>
        <w:rPr>
          <w:rFonts w:eastAsia="SimSun"/>
        </w:rPr>
        <w:tab/>
      </w:r>
      <w:r w:rsidR="00C27EAA">
        <w:rPr>
          <w:rFonts w:eastAsia="SimSun"/>
        </w:rPr>
        <w:t xml:space="preserve">FEA’s proposal to replace PSE’s soft rate caps with hard caps would materially dilute the efficacy of </w:t>
      </w:r>
      <w:r w:rsidR="00B14C60">
        <w:rPr>
          <w:rFonts w:eastAsia="SimSun"/>
        </w:rPr>
        <w:t>PSE</w:t>
      </w:r>
      <w:r w:rsidR="00C27EAA">
        <w:rPr>
          <w:rFonts w:eastAsia="SimSun"/>
        </w:rPr>
        <w:t>’s decoupling mechanisms</w:t>
      </w:r>
      <w:r w:rsidR="00117E9F">
        <w:rPr>
          <w:rFonts w:eastAsia="SimSun"/>
        </w:rPr>
        <w:t>, effectively reinstating a throughput incentive if or when the cap is reached</w:t>
      </w:r>
      <w:r w:rsidR="00C27EAA">
        <w:rPr>
          <w:rFonts w:eastAsia="SimSun"/>
        </w:rPr>
        <w:t>.</w:t>
      </w:r>
      <w:r w:rsidR="00902913">
        <w:rPr>
          <w:rFonts w:eastAsia="SimSun"/>
        </w:rPr>
        <w:t xml:space="preserve"> </w:t>
      </w:r>
      <w:r w:rsidR="00117E9F">
        <w:rPr>
          <w:rFonts w:eastAsia="SimSun"/>
        </w:rPr>
        <w:t>FEA’s proposed hard cap would seriously undermine the concept of “allowed revenue” as the utility would not clearly understand what revenue it would be allowed to recognize for reporting purposes until the end of the year.</w:t>
      </w:r>
      <w:r w:rsidR="00902913">
        <w:rPr>
          <w:rFonts w:eastAsia="SimSun"/>
        </w:rPr>
        <w:t xml:space="preserve"> </w:t>
      </w:r>
      <w:r w:rsidR="00117E9F">
        <w:rPr>
          <w:rFonts w:eastAsia="SimSun"/>
        </w:rPr>
        <w:t>This has negative implications for the utility’s ability to budget, plan and operate efficiently, as the revenue stability afforded by the decoupling mechanism is weakened.</w:t>
      </w:r>
      <w:r w:rsidR="00902913">
        <w:rPr>
          <w:rFonts w:eastAsia="SimSun"/>
        </w:rPr>
        <w:t xml:space="preserve"> </w:t>
      </w:r>
      <w:r w:rsidR="00CB7C18">
        <w:rPr>
          <w:rFonts w:eastAsia="SimSun"/>
        </w:rPr>
        <w:t xml:space="preserve">Given its negative consequences, PSE recommends that the Commission reject FEA’s rate cap proposal. </w:t>
      </w:r>
    </w:p>
    <w:p w:rsidR="00CB7C18" w:rsidRPr="00CB7C18" w:rsidRDefault="00CB7C18" w:rsidP="00EC52CB">
      <w:pPr>
        <w:pStyle w:val="question"/>
      </w:pPr>
      <w:r w:rsidRPr="00CB7C18">
        <w:t>Q.</w:t>
      </w:r>
      <w:r w:rsidRPr="00CB7C18">
        <w:tab/>
        <w:t>How do you respond to the Coalition’s recommendation to preserve the existing rate cap levels until PSE improves its weather forecasting?</w:t>
      </w:r>
    </w:p>
    <w:p w:rsidR="00786668" w:rsidRDefault="00CB7C18" w:rsidP="00A91720">
      <w:pPr>
        <w:pStyle w:val="answer"/>
        <w:rPr>
          <w:rFonts w:eastAsia="SimSun"/>
        </w:rPr>
      </w:pPr>
      <w:r>
        <w:rPr>
          <w:rFonts w:eastAsia="SimSun"/>
        </w:rPr>
        <w:t>A.</w:t>
      </w:r>
      <w:r>
        <w:rPr>
          <w:rFonts w:eastAsia="SimSun"/>
        </w:rPr>
        <w:tab/>
        <w:t xml:space="preserve">PSE fails to understand the relevance of weather forecasting in the context of its decoupling mechanism, </w:t>
      </w:r>
      <w:r w:rsidR="008E6E18">
        <w:rPr>
          <w:rFonts w:eastAsia="SimSun"/>
        </w:rPr>
        <w:t xml:space="preserve">or ratemaking generally, </w:t>
      </w:r>
      <w:r>
        <w:rPr>
          <w:rFonts w:eastAsia="SimSun"/>
        </w:rPr>
        <w:t>as it does not rely on any forecasting of weather</w:t>
      </w:r>
      <w:r w:rsidR="00745DFD">
        <w:rPr>
          <w:rFonts w:eastAsia="SimSun"/>
        </w:rPr>
        <w:t xml:space="preserve"> in these calculations</w:t>
      </w:r>
      <w:r>
        <w:rPr>
          <w:rFonts w:eastAsia="SimSun"/>
        </w:rPr>
        <w:t>.</w:t>
      </w:r>
      <w:r w:rsidR="00902913">
        <w:rPr>
          <w:rFonts w:eastAsia="SimSun"/>
        </w:rPr>
        <w:t xml:space="preserve"> </w:t>
      </w:r>
      <w:r>
        <w:rPr>
          <w:rFonts w:eastAsia="SimSun"/>
        </w:rPr>
        <w:t xml:space="preserve">PSE’s proposed electric decoupling mechanisms defer the difference between allowed revenue, which </w:t>
      </w:r>
      <w:r w:rsidR="007F60D1">
        <w:rPr>
          <w:rFonts w:eastAsia="SimSun"/>
        </w:rPr>
        <w:t>is</w:t>
      </w:r>
      <w:r>
        <w:rPr>
          <w:rFonts w:eastAsia="SimSun"/>
        </w:rPr>
        <w:t xml:space="preserve"> based on actual customer counts and allowed revenue per customer determined on historic test year information, to actual revenue, which </w:t>
      </w:r>
      <w:r w:rsidR="008E6E18">
        <w:rPr>
          <w:rFonts w:eastAsia="SimSun"/>
        </w:rPr>
        <w:t>is</w:t>
      </w:r>
      <w:r>
        <w:rPr>
          <w:rFonts w:eastAsia="SimSun"/>
        </w:rPr>
        <w:t xml:space="preserve"> based on actual load and rates developed using historic test year information.</w:t>
      </w:r>
      <w:r w:rsidR="00902913">
        <w:rPr>
          <w:rFonts w:eastAsia="SimSun"/>
        </w:rPr>
        <w:t xml:space="preserve"> </w:t>
      </w:r>
      <w:r>
        <w:rPr>
          <w:rFonts w:eastAsia="SimSun"/>
        </w:rPr>
        <w:t>The deferred amounts are surcharged or credited to customers in the year, or years, that follow.</w:t>
      </w:r>
      <w:r w:rsidR="00902913">
        <w:rPr>
          <w:rFonts w:eastAsia="SimSun"/>
        </w:rPr>
        <w:t xml:space="preserve"> </w:t>
      </w:r>
      <w:r>
        <w:rPr>
          <w:rFonts w:eastAsia="SimSun"/>
        </w:rPr>
        <w:t>Nowhere in PSE’s proposed mechanisms is a forecast of weather required.</w:t>
      </w:r>
      <w:r w:rsidR="00902913">
        <w:rPr>
          <w:rFonts w:eastAsia="SimSun"/>
        </w:rPr>
        <w:t xml:space="preserve"> </w:t>
      </w:r>
    </w:p>
    <w:p w:rsidR="00786668" w:rsidRPr="00786668" w:rsidRDefault="00786668" w:rsidP="00EC52CB">
      <w:pPr>
        <w:pStyle w:val="question"/>
      </w:pPr>
      <w:r w:rsidRPr="00786668">
        <w:t>Q.</w:t>
      </w:r>
      <w:r w:rsidRPr="00786668">
        <w:tab/>
        <w:t>Could it be that the Coalition</w:t>
      </w:r>
      <w:r w:rsidR="009360C7">
        <w:t xml:space="preserve"> actually meant temperature normalization</w:t>
      </w:r>
      <w:r w:rsidR="00005B21">
        <w:t xml:space="preserve"> of loads</w:t>
      </w:r>
      <w:r w:rsidR="009360C7">
        <w:t xml:space="preserve"> when referencing </w:t>
      </w:r>
      <w:r w:rsidRPr="00786668">
        <w:t>weather forecasting?</w:t>
      </w:r>
    </w:p>
    <w:p w:rsidR="00117E9F" w:rsidRPr="00FB2EF0" w:rsidRDefault="00786668" w:rsidP="00FB2EF0">
      <w:pPr>
        <w:pStyle w:val="answer"/>
        <w:rPr>
          <w:rFonts w:eastAsia="SimSun"/>
        </w:rPr>
      </w:pPr>
      <w:r>
        <w:rPr>
          <w:rFonts w:eastAsia="SimSun"/>
        </w:rPr>
        <w:t>A.</w:t>
      </w:r>
      <w:r>
        <w:rPr>
          <w:rFonts w:eastAsia="SimSun"/>
        </w:rPr>
        <w:tab/>
        <w:t>Possibly.</w:t>
      </w:r>
      <w:r w:rsidR="00902913">
        <w:rPr>
          <w:rFonts w:eastAsia="SimSun"/>
        </w:rPr>
        <w:t xml:space="preserve"> </w:t>
      </w:r>
      <w:r>
        <w:rPr>
          <w:rFonts w:eastAsia="SimSun"/>
        </w:rPr>
        <w:t>However, e</w:t>
      </w:r>
      <w:r w:rsidR="00CB7C18">
        <w:rPr>
          <w:rFonts w:eastAsia="SimSun"/>
        </w:rPr>
        <w:t xml:space="preserve">ven </w:t>
      </w:r>
      <w:r w:rsidR="00B14C60">
        <w:rPr>
          <w:rFonts w:eastAsia="SimSun"/>
        </w:rPr>
        <w:t>so</w:t>
      </w:r>
      <w:r w:rsidR="00CB7C18">
        <w:rPr>
          <w:rFonts w:eastAsia="SimSun"/>
        </w:rPr>
        <w:t>, the Coalition has failed to</w:t>
      </w:r>
      <w:r w:rsidR="00E942EE">
        <w:rPr>
          <w:rFonts w:eastAsia="SimSun"/>
        </w:rPr>
        <w:t xml:space="preserve"> </w:t>
      </w:r>
      <w:r w:rsidR="00E54B5B">
        <w:rPr>
          <w:rFonts w:eastAsia="SimSun"/>
        </w:rPr>
        <w:t xml:space="preserve">(i) </w:t>
      </w:r>
      <w:r w:rsidR="00CB7C18">
        <w:rPr>
          <w:rFonts w:eastAsia="SimSun"/>
        </w:rPr>
        <w:t xml:space="preserve">provide any </w:t>
      </w:r>
      <w:r>
        <w:rPr>
          <w:rFonts w:eastAsia="SimSun"/>
        </w:rPr>
        <w:t xml:space="preserve">evidence </w:t>
      </w:r>
      <w:r w:rsidR="00CB7C18">
        <w:rPr>
          <w:rFonts w:eastAsia="SimSun"/>
        </w:rPr>
        <w:t>that</w:t>
      </w:r>
      <w:r>
        <w:rPr>
          <w:rFonts w:eastAsia="SimSun"/>
        </w:rPr>
        <w:t xml:space="preserve"> PSE’s existing </w:t>
      </w:r>
      <w:r w:rsidR="00005B21">
        <w:rPr>
          <w:rFonts w:eastAsia="SimSun"/>
        </w:rPr>
        <w:t xml:space="preserve">methodology for </w:t>
      </w:r>
      <w:r w:rsidR="00745DFD">
        <w:rPr>
          <w:rFonts w:eastAsia="SimSun"/>
        </w:rPr>
        <w:t xml:space="preserve">the </w:t>
      </w:r>
      <w:r>
        <w:rPr>
          <w:rFonts w:eastAsia="SimSun"/>
        </w:rPr>
        <w:t xml:space="preserve">normalization </w:t>
      </w:r>
      <w:r w:rsidR="00E942EE">
        <w:rPr>
          <w:rFonts w:eastAsia="SimSun"/>
        </w:rPr>
        <w:t xml:space="preserve">of </w:t>
      </w:r>
      <w:r w:rsidR="00005B21">
        <w:rPr>
          <w:rFonts w:eastAsia="SimSun"/>
        </w:rPr>
        <w:t xml:space="preserve">loads for the effects of temperature </w:t>
      </w:r>
      <w:r>
        <w:rPr>
          <w:rFonts w:eastAsia="SimSun"/>
        </w:rPr>
        <w:t xml:space="preserve">is flawed, </w:t>
      </w:r>
      <w:r w:rsidR="005B7269">
        <w:rPr>
          <w:rFonts w:eastAsia="SimSun"/>
        </w:rPr>
        <w:t xml:space="preserve">(ii) </w:t>
      </w:r>
      <w:r>
        <w:rPr>
          <w:rFonts w:eastAsia="SimSun"/>
        </w:rPr>
        <w:t xml:space="preserve">recommend any actionable “improvements” </w:t>
      </w:r>
      <w:r w:rsidR="00E54B5B">
        <w:rPr>
          <w:rFonts w:eastAsia="SimSun"/>
        </w:rPr>
        <w:t>and</w:t>
      </w:r>
      <w:r>
        <w:rPr>
          <w:rFonts w:eastAsia="SimSun"/>
        </w:rPr>
        <w:t xml:space="preserve"> </w:t>
      </w:r>
      <w:r w:rsidR="005B7269">
        <w:rPr>
          <w:rFonts w:eastAsia="SimSun"/>
        </w:rPr>
        <w:t xml:space="preserve">(iii) </w:t>
      </w:r>
      <w:r>
        <w:rPr>
          <w:rFonts w:eastAsia="SimSun"/>
        </w:rPr>
        <w:t>show that any such improved calculations would make any meaningful difference on the appropriate rate cap level.</w:t>
      </w:r>
      <w:r w:rsidR="00902913">
        <w:rPr>
          <w:rFonts w:eastAsia="SimSun"/>
        </w:rPr>
        <w:t xml:space="preserve"> </w:t>
      </w:r>
      <w:r w:rsidR="006D3268">
        <w:rPr>
          <w:rFonts w:eastAsia="SimSun"/>
        </w:rPr>
        <w:t xml:space="preserve">While PSE still believes its </w:t>
      </w:r>
      <w:r w:rsidR="00B14C60">
        <w:rPr>
          <w:rFonts w:eastAsia="SimSun"/>
        </w:rPr>
        <w:t xml:space="preserve">temperature normalization </w:t>
      </w:r>
      <w:r w:rsidR="006D3268">
        <w:rPr>
          <w:rFonts w:eastAsia="SimSun"/>
        </w:rPr>
        <w:t>adjustment should be accepted</w:t>
      </w:r>
      <w:r>
        <w:rPr>
          <w:rFonts w:eastAsia="SimSun"/>
        </w:rPr>
        <w:t>, Staff</w:t>
      </w:r>
      <w:r w:rsidR="006D3268">
        <w:rPr>
          <w:rFonts w:eastAsia="SimSun"/>
        </w:rPr>
        <w:t>’s</w:t>
      </w:r>
      <w:r>
        <w:rPr>
          <w:rFonts w:eastAsia="SimSun"/>
        </w:rPr>
        <w:t xml:space="preserve"> proposed changes to PSE’s gas temperature normalization </w:t>
      </w:r>
      <w:r w:rsidR="009360C7">
        <w:rPr>
          <w:rFonts w:eastAsia="SimSun"/>
        </w:rPr>
        <w:t xml:space="preserve">in this case amounted to </w:t>
      </w:r>
      <w:r w:rsidR="00E54B5B">
        <w:rPr>
          <w:rFonts w:eastAsia="SimSun"/>
        </w:rPr>
        <w:t xml:space="preserve">only </w:t>
      </w:r>
      <w:r w:rsidR="009360C7">
        <w:rPr>
          <w:rFonts w:eastAsia="SimSun"/>
        </w:rPr>
        <w:t>1.8 million therm difference in results,</w:t>
      </w:r>
      <w:r w:rsidR="009360C7">
        <w:rPr>
          <w:rStyle w:val="FootnoteReference"/>
          <w:rFonts w:eastAsia="SimSun"/>
        </w:rPr>
        <w:footnoteReference w:id="25"/>
      </w:r>
      <w:r w:rsidR="009360C7">
        <w:rPr>
          <w:rFonts w:eastAsia="SimSun"/>
        </w:rPr>
        <w:t xml:space="preserve"> which is less than 0.2 percent of the roughly 1.06 billion therms of actual usage in the test year.</w:t>
      </w:r>
      <w:r w:rsidR="009360C7">
        <w:rPr>
          <w:rStyle w:val="FootnoteReference"/>
          <w:rFonts w:eastAsia="SimSun"/>
        </w:rPr>
        <w:footnoteReference w:id="26"/>
      </w:r>
      <w:r w:rsidR="00902913">
        <w:rPr>
          <w:rFonts w:eastAsia="SimSun"/>
        </w:rPr>
        <w:t xml:space="preserve"> </w:t>
      </w:r>
      <w:r w:rsidR="009360C7">
        <w:rPr>
          <w:rFonts w:eastAsia="SimSun"/>
        </w:rPr>
        <w:t xml:space="preserve">Such a small difference would be immaterial in the context of </w:t>
      </w:r>
      <w:r w:rsidR="00FB2EF0">
        <w:rPr>
          <w:rFonts w:eastAsia="SimSun"/>
        </w:rPr>
        <w:t>setting the appropriate level of the rate caps.</w:t>
      </w:r>
      <w:r w:rsidR="00902913">
        <w:rPr>
          <w:rFonts w:eastAsia="SimSun"/>
        </w:rPr>
        <w:t xml:space="preserve"> </w:t>
      </w:r>
      <w:r w:rsidR="00FB2EF0">
        <w:rPr>
          <w:rFonts w:eastAsia="SimSun"/>
        </w:rPr>
        <w:t xml:space="preserve">Particularly in light of the fact that </w:t>
      </w:r>
      <w:r w:rsidR="00005B21">
        <w:rPr>
          <w:rFonts w:eastAsia="SimSun"/>
        </w:rPr>
        <w:t xml:space="preserve">setting the level of the rate cap </w:t>
      </w:r>
      <w:r w:rsidR="00FB2EF0">
        <w:rPr>
          <w:rFonts w:eastAsia="SimSun"/>
        </w:rPr>
        <w:t>is more of a policy consideration than one tied directly to any particular quantitative analysis, PSE recommends that the Commission reject the Coalition’s vague and unsupported recommendation to order PSE to “review and revise” its temperature normalization methodology</w:t>
      </w:r>
      <w:r w:rsidR="00005B21">
        <w:rPr>
          <w:rFonts w:eastAsia="SimSun"/>
        </w:rPr>
        <w:t xml:space="preserve"> (assuming this is what was intended)</w:t>
      </w:r>
      <w:r w:rsidR="00FB2EF0">
        <w:rPr>
          <w:rFonts w:eastAsia="SimSun"/>
        </w:rPr>
        <w:t>.</w:t>
      </w:r>
    </w:p>
    <w:p w:rsidR="00C26AC6" w:rsidRPr="009075DC" w:rsidRDefault="00C26AC6" w:rsidP="00EC52CB">
      <w:pPr>
        <w:pStyle w:val="question"/>
      </w:pPr>
      <w:r w:rsidRPr="009075DC">
        <w:t>Q.</w:t>
      </w:r>
      <w:r w:rsidRPr="009075DC">
        <w:tab/>
      </w:r>
      <w:r w:rsidR="00AC18E3">
        <w:t>Do you have any final thoughts regarding the parties’ general concerns regarding increases to the rate cap</w:t>
      </w:r>
      <w:r w:rsidRPr="009075DC">
        <w:t>?</w:t>
      </w:r>
    </w:p>
    <w:p w:rsidR="00C26AC6" w:rsidRDefault="00C26AC6" w:rsidP="00C26AC6">
      <w:pPr>
        <w:pStyle w:val="answer"/>
      </w:pPr>
      <w:r w:rsidRPr="009075DC">
        <w:rPr>
          <w:rFonts w:eastAsia="SimSun"/>
        </w:rPr>
        <w:t>A.</w:t>
      </w:r>
      <w:r w:rsidRPr="009075DC">
        <w:rPr>
          <w:rFonts w:eastAsia="SimSun"/>
        </w:rPr>
        <w:tab/>
      </w:r>
      <w:r w:rsidR="00AC18E3">
        <w:rPr>
          <w:rFonts w:eastAsia="SimSun"/>
        </w:rPr>
        <w:t>Yes.</w:t>
      </w:r>
      <w:r w:rsidR="00902913">
        <w:rPr>
          <w:rFonts w:eastAsia="SimSun"/>
        </w:rPr>
        <w:t xml:space="preserve"> </w:t>
      </w:r>
      <w:r w:rsidR="00AC18E3">
        <w:rPr>
          <w:rFonts w:eastAsia="SimSun"/>
        </w:rPr>
        <w:t>Lost in their concerns is the fact that the rate cap only triggers when loads were lower than anticipated.</w:t>
      </w:r>
      <w:r w:rsidR="00902913">
        <w:rPr>
          <w:rFonts w:eastAsia="SimSun"/>
        </w:rPr>
        <w:t xml:space="preserve"> </w:t>
      </w:r>
      <w:r w:rsidR="00AC18E3">
        <w:rPr>
          <w:rFonts w:eastAsia="SimSun"/>
        </w:rPr>
        <w:t>Of course, lower load also means lower bills.</w:t>
      </w:r>
      <w:r w:rsidR="00902913">
        <w:rPr>
          <w:rFonts w:eastAsia="SimSun"/>
        </w:rPr>
        <w:t xml:space="preserve"> </w:t>
      </w:r>
      <w:r w:rsidR="00AC18E3">
        <w:rPr>
          <w:rFonts w:eastAsia="SimSun"/>
        </w:rPr>
        <w:t>The subsequent rate increase, while it offsets part of these lower bills</w:t>
      </w:r>
      <w:r w:rsidR="00E942EE">
        <w:rPr>
          <w:rFonts w:eastAsia="SimSun"/>
        </w:rPr>
        <w:t>,</w:t>
      </w:r>
      <w:r w:rsidR="00AC18E3">
        <w:rPr>
          <w:rFonts w:eastAsia="SimSun"/>
        </w:rPr>
        <w:t xml:space="preserve"> does not do so completely.</w:t>
      </w:r>
      <w:r w:rsidR="00902913">
        <w:rPr>
          <w:rFonts w:eastAsia="SimSun"/>
        </w:rPr>
        <w:t xml:space="preserve"> </w:t>
      </w:r>
      <w:r w:rsidR="00AC18E3">
        <w:rPr>
          <w:rFonts w:eastAsia="SimSun"/>
        </w:rPr>
        <w:t>Therefore, overall, the customer groups subject to decoupling-related rate increases are still better off than had their loads been equivalent to the test year levels used to set their rates</w:t>
      </w:r>
      <w:r>
        <w:rPr>
          <w:rFonts w:eastAsia="SimSun"/>
        </w:rPr>
        <w:t>.</w:t>
      </w:r>
    </w:p>
    <w:p w:rsidR="00C26AC6" w:rsidRPr="003B5206" w:rsidRDefault="00C26AC6" w:rsidP="00A15B24">
      <w:pPr>
        <w:pStyle w:val="PleadingsL2"/>
      </w:pPr>
      <w:bookmarkStart w:id="18" w:name="_Toc489871469"/>
      <w:r>
        <w:t xml:space="preserve">Decoupling </w:t>
      </w:r>
      <w:r w:rsidRPr="00EC52CB">
        <w:t>Rate</w:t>
      </w:r>
      <w:r>
        <w:t xml:space="preserve"> Groups</w:t>
      </w:r>
      <w:bookmarkEnd w:id="18"/>
    </w:p>
    <w:p w:rsidR="00A91720" w:rsidRPr="009075DC" w:rsidRDefault="00A91720" w:rsidP="00A91720">
      <w:pPr>
        <w:pStyle w:val="question"/>
      </w:pPr>
      <w:r w:rsidRPr="009075DC">
        <w:t>Q.</w:t>
      </w:r>
      <w:r w:rsidRPr="009075DC">
        <w:tab/>
      </w:r>
      <w:r>
        <w:t>Please summarize the various parties’ proposals for the rate groups in PSE’s decoupling mechanisms.</w:t>
      </w:r>
    </w:p>
    <w:p w:rsidR="00A91720" w:rsidRDefault="00A91720" w:rsidP="00A91720">
      <w:pPr>
        <w:pStyle w:val="answer"/>
      </w:pPr>
      <w:r w:rsidRPr="009075DC">
        <w:rPr>
          <w:rFonts w:eastAsia="SimSun"/>
        </w:rPr>
        <w:t>A.</w:t>
      </w:r>
      <w:r w:rsidRPr="009075DC">
        <w:rPr>
          <w:rFonts w:eastAsia="SimSun"/>
        </w:rPr>
        <w:tab/>
      </w:r>
      <w:r w:rsidR="00BB5DB1">
        <w:rPr>
          <w:rFonts w:eastAsia="SimSun"/>
        </w:rPr>
        <w:t>Staff witness Jing Liu recommends that PSE’s electric decoupling mechanism only have three rate groups: one for residential, one for small commercial (Schedules 8 and 24) and one for medium commercial (Schedules 7A, 11 and 25).</w:t>
      </w:r>
      <w:r w:rsidR="00460F14">
        <w:rPr>
          <w:rStyle w:val="FootnoteReference"/>
          <w:rFonts w:eastAsia="SimSun"/>
        </w:rPr>
        <w:footnoteReference w:id="27"/>
      </w:r>
      <w:r w:rsidR="00902913">
        <w:rPr>
          <w:rFonts w:eastAsia="SimSun"/>
        </w:rPr>
        <w:t xml:space="preserve"> </w:t>
      </w:r>
      <w:r w:rsidR="00BB5DB1">
        <w:rPr>
          <w:rFonts w:eastAsia="SimSun"/>
        </w:rPr>
        <w:t xml:space="preserve">She recommends that all other </w:t>
      </w:r>
      <w:r w:rsidR="00460F14">
        <w:rPr>
          <w:rFonts w:eastAsia="SimSun"/>
        </w:rPr>
        <w:t>electric rate schedules be excluded from PSE’s decoupling mechanism</w:t>
      </w:r>
      <w:r>
        <w:rPr>
          <w:rFonts w:eastAsia="SimSun"/>
        </w:rPr>
        <w:t>.</w:t>
      </w:r>
      <w:r w:rsidR="00460F14">
        <w:rPr>
          <w:rStyle w:val="FootnoteReference"/>
          <w:rFonts w:eastAsia="SimSun"/>
        </w:rPr>
        <w:footnoteReference w:id="28"/>
      </w:r>
      <w:r w:rsidR="00902913">
        <w:rPr>
          <w:rFonts w:eastAsia="SimSun"/>
        </w:rPr>
        <w:t xml:space="preserve"> </w:t>
      </w:r>
      <w:r w:rsidR="00460F14">
        <w:rPr>
          <w:rFonts w:eastAsia="SimSun"/>
        </w:rPr>
        <w:t xml:space="preserve">Similarly, for natural gas, she proposes three rate groups: one for residential, one for small volume </w:t>
      </w:r>
      <w:r w:rsidR="00426D81">
        <w:rPr>
          <w:rFonts w:eastAsia="SimSun"/>
        </w:rPr>
        <w:t>firm customers (Schedule 31 and 31T</w:t>
      </w:r>
      <w:r w:rsidR="00460F14">
        <w:rPr>
          <w:rFonts w:eastAsia="SimSun"/>
        </w:rPr>
        <w:t>) and one for large vol</w:t>
      </w:r>
      <w:r w:rsidR="00426D81">
        <w:rPr>
          <w:rFonts w:eastAsia="SimSun"/>
        </w:rPr>
        <w:t>ume firm customers (Schedule 41 and 41T</w:t>
      </w:r>
      <w:r w:rsidR="00460F14">
        <w:rPr>
          <w:rFonts w:eastAsia="SimSun"/>
        </w:rPr>
        <w:t>).</w:t>
      </w:r>
      <w:r w:rsidR="00460F14">
        <w:rPr>
          <w:rStyle w:val="FootnoteReference"/>
          <w:rFonts w:eastAsia="SimSun"/>
        </w:rPr>
        <w:footnoteReference w:id="29"/>
      </w:r>
      <w:r w:rsidR="00902913">
        <w:rPr>
          <w:rFonts w:eastAsia="SimSun"/>
        </w:rPr>
        <w:t xml:space="preserve"> </w:t>
      </w:r>
      <w:r w:rsidR="00460F14">
        <w:rPr>
          <w:rFonts w:eastAsia="SimSun"/>
        </w:rPr>
        <w:t>She recommends excluding Schedules 86 and 86T from PSE’s gas decoupling mechanism.</w:t>
      </w:r>
      <w:r w:rsidR="00460F14">
        <w:rPr>
          <w:rStyle w:val="FootnoteReference"/>
          <w:rFonts w:eastAsia="SimSun"/>
        </w:rPr>
        <w:footnoteReference w:id="30"/>
      </w:r>
      <w:r w:rsidR="00902913">
        <w:rPr>
          <w:rFonts w:eastAsia="SimSun"/>
        </w:rPr>
        <w:t xml:space="preserve"> </w:t>
      </w:r>
      <w:r w:rsidR="00994FE8">
        <w:rPr>
          <w:rFonts w:eastAsia="SimSun"/>
        </w:rPr>
        <w:t>ICNU witness Michael Gorman recommends that Schedules 40, 46 and 49 be excluded from PSE’s electric decoupling mechanism.</w:t>
      </w:r>
      <w:r w:rsidR="00994FE8">
        <w:rPr>
          <w:rStyle w:val="FootnoteReference"/>
          <w:rFonts w:eastAsia="SimSun"/>
        </w:rPr>
        <w:footnoteReference w:id="31"/>
      </w:r>
      <w:r w:rsidR="00902913">
        <w:rPr>
          <w:rFonts w:eastAsia="SimSun"/>
        </w:rPr>
        <w:t xml:space="preserve"> </w:t>
      </w:r>
      <w:r w:rsidR="00994FE8">
        <w:rPr>
          <w:rFonts w:eastAsia="SimSun"/>
        </w:rPr>
        <w:t>Similarly, FEA witness Ali Al-Jabir suggests it is inappropriate to include PSE’s “large customers” in its electric decoupling mechanism.</w:t>
      </w:r>
      <w:r w:rsidR="00994FE8">
        <w:rPr>
          <w:rStyle w:val="FootnoteReference"/>
          <w:rFonts w:eastAsia="SimSun"/>
        </w:rPr>
        <w:footnoteReference w:id="32"/>
      </w:r>
    </w:p>
    <w:p w:rsidR="00A91720" w:rsidRPr="009075DC" w:rsidRDefault="00A91720" w:rsidP="00A91720">
      <w:pPr>
        <w:pStyle w:val="question"/>
      </w:pPr>
      <w:r w:rsidRPr="009075DC">
        <w:t>Q.</w:t>
      </w:r>
      <w:r w:rsidRPr="009075DC">
        <w:tab/>
      </w:r>
      <w:r w:rsidR="00204631">
        <w:t>Do you have any general reactions to the parties</w:t>
      </w:r>
      <w:r w:rsidR="00846152">
        <w:t>’</w:t>
      </w:r>
      <w:r w:rsidR="00204631">
        <w:t xml:space="preserve"> proposals to exclude certain customer</w:t>
      </w:r>
      <w:r w:rsidR="006106EB">
        <w:t>s</w:t>
      </w:r>
      <w:r w:rsidR="00204631">
        <w:t xml:space="preserve"> from PSE’s electric decoupling mechanism</w:t>
      </w:r>
      <w:r w:rsidRPr="009075DC">
        <w:t>?</w:t>
      </w:r>
    </w:p>
    <w:p w:rsidR="00A000AE" w:rsidRDefault="00A91720" w:rsidP="00A91720">
      <w:pPr>
        <w:pStyle w:val="answer"/>
        <w:rPr>
          <w:rFonts w:eastAsia="SimSun"/>
        </w:rPr>
      </w:pPr>
      <w:r w:rsidRPr="009075DC">
        <w:rPr>
          <w:rFonts w:eastAsia="SimSun"/>
        </w:rPr>
        <w:t>A.</w:t>
      </w:r>
      <w:r w:rsidRPr="009075DC">
        <w:rPr>
          <w:rFonts w:eastAsia="SimSun"/>
        </w:rPr>
        <w:tab/>
      </w:r>
      <w:r w:rsidR="00204631">
        <w:rPr>
          <w:rFonts w:eastAsia="SimSun"/>
        </w:rPr>
        <w:t>Yes.</w:t>
      </w:r>
      <w:r w:rsidR="00902913">
        <w:rPr>
          <w:rFonts w:eastAsia="SimSun"/>
        </w:rPr>
        <w:t xml:space="preserve"> </w:t>
      </w:r>
      <w:r w:rsidR="00204631">
        <w:rPr>
          <w:rFonts w:eastAsia="SimSun"/>
        </w:rPr>
        <w:t>Doing so would fundamentally alter the terms of the settlement agreement approved by the Commission in Order No. 11 of Docket UE-130617, where parties agreed to move fixed production costs into PSE’s electric decoupling mechanism</w:t>
      </w:r>
      <w:r w:rsidR="008E6E18">
        <w:rPr>
          <w:rFonts w:eastAsia="SimSun"/>
        </w:rPr>
        <w:t xml:space="preserve"> should it continue</w:t>
      </w:r>
      <w:r w:rsidR="00204631">
        <w:rPr>
          <w:rFonts w:eastAsia="SimSun"/>
        </w:rPr>
        <w:t>.</w:t>
      </w:r>
      <w:r w:rsidR="00204631">
        <w:rPr>
          <w:rStyle w:val="FootnoteReference"/>
          <w:rFonts w:eastAsia="SimSun"/>
        </w:rPr>
        <w:footnoteReference w:id="33"/>
      </w:r>
      <w:r w:rsidR="00902913">
        <w:rPr>
          <w:rFonts w:eastAsia="SimSun"/>
        </w:rPr>
        <w:t xml:space="preserve"> </w:t>
      </w:r>
      <w:r w:rsidR="00204631">
        <w:rPr>
          <w:rFonts w:eastAsia="SimSun"/>
        </w:rPr>
        <w:t xml:space="preserve">PSE’s expectation in entering into this agreement </w:t>
      </w:r>
      <w:r w:rsidR="008E6E18">
        <w:rPr>
          <w:rFonts w:eastAsia="SimSun"/>
        </w:rPr>
        <w:t xml:space="preserve">was </w:t>
      </w:r>
      <w:r w:rsidR="00204631">
        <w:rPr>
          <w:rFonts w:eastAsia="SimSun"/>
        </w:rPr>
        <w:t>that all fixed production costs would be moved into the decoupling mechanism.</w:t>
      </w:r>
      <w:r w:rsidR="00902913">
        <w:rPr>
          <w:rFonts w:eastAsia="SimSun"/>
        </w:rPr>
        <w:t xml:space="preserve"> </w:t>
      </w:r>
      <w:r w:rsidR="00204631">
        <w:rPr>
          <w:rFonts w:eastAsia="SimSun"/>
        </w:rPr>
        <w:t>By excluding customer groups from PSE’s electric decoupling mechanism, the parties’ proposals have the effect of moving the recovery of their share of those fixed production costs out of the decoupling mechanism.</w:t>
      </w:r>
      <w:r w:rsidR="00902913">
        <w:rPr>
          <w:rFonts w:eastAsia="SimSun"/>
        </w:rPr>
        <w:t xml:space="preserve"> </w:t>
      </w:r>
      <w:r w:rsidR="00204631">
        <w:rPr>
          <w:rFonts w:eastAsia="SimSun"/>
        </w:rPr>
        <w:t>Here again is an example of terms of a settlement agreement that are under attack in a subsequent rate proceeding.</w:t>
      </w:r>
      <w:r w:rsidR="00902913">
        <w:rPr>
          <w:rFonts w:eastAsia="SimSun"/>
        </w:rPr>
        <w:t xml:space="preserve"> </w:t>
      </w:r>
      <w:r w:rsidR="00A000AE">
        <w:rPr>
          <w:rFonts w:eastAsia="SimSun"/>
        </w:rPr>
        <w:t>This alone should call into question any recommendation to move electric customers out of the decoupling mechanism.</w:t>
      </w:r>
      <w:r w:rsidR="00902913">
        <w:rPr>
          <w:rFonts w:eastAsia="SimSun"/>
        </w:rPr>
        <w:t xml:space="preserve"> </w:t>
      </w:r>
    </w:p>
    <w:p w:rsidR="00A000AE" w:rsidRPr="00A000AE" w:rsidRDefault="00A000AE" w:rsidP="00EC52CB">
      <w:pPr>
        <w:pStyle w:val="question"/>
      </w:pPr>
      <w:r w:rsidRPr="00A000AE">
        <w:t>Q.</w:t>
      </w:r>
      <w:r w:rsidRPr="00A000AE">
        <w:tab/>
        <w:t>Do you have more general reactions to recommendations to remove non-residential customers from PSE’s decoupling mechanisms?</w:t>
      </w:r>
    </w:p>
    <w:p w:rsidR="00A91720" w:rsidRDefault="00A000AE" w:rsidP="00A91720">
      <w:pPr>
        <w:pStyle w:val="answer"/>
        <w:rPr>
          <w:rFonts w:eastAsia="SimSun"/>
        </w:rPr>
      </w:pPr>
      <w:r>
        <w:rPr>
          <w:rFonts w:eastAsia="SimSun"/>
        </w:rPr>
        <w:t>A.</w:t>
      </w:r>
      <w:r>
        <w:rPr>
          <w:rFonts w:eastAsia="SimSun"/>
        </w:rPr>
        <w:tab/>
        <w:t>Yes.</w:t>
      </w:r>
      <w:r w:rsidR="00902913">
        <w:rPr>
          <w:rFonts w:eastAsia="SimSun"/>
        </w:rPr>
        <w:t xml:space="preserve"> </w:t>
      </w:r>
      <w:r w:rsidR="006106EB">
        <w:rPr>
          <w:rFonts w:eastAsia="SimSun"/>
        </w:rPr>
        <w:t>T</w:t>
      </w:r>
      <w:r>
        <w:rPr>
          <w:rFonts w:eastAsia="SimSun"/>
        </w:rPr>
        <w:t>here appears to be little concern about the reintroduction of a throughput incentive in serving the customers that are proposed to be excluded from PSE’s decoupling mechanism.</w:t>
      </w:r>
      <w:r w:rsidR="00902913">
        <w:rPr>
          <w:rFonts w:eastAsia="SimSun"/>
        </w:rPr>
        <w:t xml:space="preserve"> </w:t>
      </w:r>
      <w:r>
        <w:rPr>
          <w:rFonts w:eastAsia="SimSun"/>
        </w:rPr>
        <w:t xml:space="preserve">This is one of the </w:t>
      </w:r>
      <w:r w:rsidR="008D1FBD">
        <w:rPr>
          <w:rFonts w:eastAsia="SimSun"/>
        </w:rPr>
        <w:t xml:space="preserve">principal </w:t>
      </w:r>
      <w:r>
        <w:rPr>
          <w:rFonts w:eastAsia="SimSun"/>
        </w:rPr>
        <w:t>beneficial features of any decoupling mechanism, and a feature that is of great importance to the Commission.</w:t>
      </w:r>
      <w:r>
        <w:rPr>
          <w:rStyle w:val="FootnoteReference"/>
          <w:rFonts w:eastAsia="SimSun"/>
        </w:rPr>
        <w:footnoteReference w:id="34"/>
      </w:r>
      <w:r w:rsidR="00902913">
        <w:rPr>
          <w:rFonts w:eastAsia="SimSun"/>
        </w:rPr>
        <w:t xml:space="preserve"> </w:t>
      </w:r>
      <w:r w:rsidR="003041F5">
        <w:rPr>
          <w:rFonts w:eastAsia="SimSun"/>
        </w:rPr>
        <w:t xml:space="preserve">Indeed, this may have influenced the Commission’s expectation in its </w:t>
      </w:r>
      <w:r w:rsidR="0060603F">
        <w:rPr>
          <w:rFonts w:eastAsia="SimSun"/>
        </w:rPr>
        <w:t xml:space="preserve">recent </w:t>
      </w:r>
      <w:r w:rsidR="003041F5">
        <w:rPr>
          <w:rFonts w:eastAsia="SimSun"/>
        </w:rPr>
        <w:t xml:space="preserve">Policy Statement </w:t>
      </w:r>
      <w:r w:rsidR="0060603F">
        <w:rPr>
          <w:rFonts w:eastAsia="SimSun"/>
        </w:rPr>
        <w:t xml:space="preserve">on decoupling </w:t>
      </w:r>
      <w:r w:rsidR="003041F5">
        <w:rPr>
          <w:rFonts w:eastAsia="SimSun"/>
        </w:rPr>
        <w:t>that all customers be included in a utility’s decoupling mechanism.</w:t>
      </w:r>
      <w:r w:rsidR="00047F15">
        <w:rPr>
          <w:rStyle w:val="FootnoteReference"/>
          <w:rFonts w:eastAsia="SimSun"/>
        </w:rPr>
        <w:footnoteReference w:id="35"/>
      </w:r>
      <w:r w:rsidR="00902913">
        <w:rPr>
          <w:rFonts w:eastAsia="SimSun"/>
        </w:rPr>
        <w:t xml:space="preserve"> </w:t>
      </w:r>
    </w:p>
    <w:p w:rsidR="00047F15" w:rsidRPr="00047F15" w:rsidRDefault="00047F15" w:rsidP="00EC52CB">
      <w:pPr>
        <w:pStyle w:val="question"/>
      </w:pPr>
      <w:r w:rsidRPr="00047F15">
        <w:t>Q.</w:t>
      </w:r>
      <w:r w:rsidRPr="00047F15">
        <w:tab/>
        <w:t>Have parties at</w:t>
      </w:r>
      <w:r w:rsidRPr="00EC52CB">
        <w:t>t</w:t>
      </w:r>
      <w:r w:rsidRPr="00047F15">
        <w:t>empted to address this throughput concern as part of their proposal?</w:t>
      </w:r>
    </w:p>
    <w:p w:rsidR="00047F15" w:rsidRDefault="00047F15" w:rsidP="00A91720">
      <w:pPr>
        <w:pStyle w:val="answer"/>
        <w:rPr>
          <w:rFonts w:eastAsia="SimSun"/>
        </w:rPr>
      </w:pPr>
      <w:r>
        <w:rPr>
          <w:rFonts w:eastAsia="SimSun"/>
        </w:rPr>
        <w:t>A.</w:t>
      </w:r>
      <w:r>
        <w:rPr>
          <w:rFonts w:eastAsia="SimSun"/>
        </w:rPr>
        <w:tab/>
        <w:t>Only Staff has attempted to address this concern.</w:t>
      </w:r>
      <w:r w:rsidR="00902913">
        <w:rPr>
          <w:rFonts w:eastAsia="SimSun"/>
        </w:rPr>
        <w:t xml:space="preserve"> </w:t>
      </w:r>
      <w:r>
        <w:rPr>
          <w:rFonts w:eastAsia="SimSun"/>
        </w:rPr>
        <w:t>Through Staff witness Jason Ball, it proposes to increase the demand charges of customers served under Schedules 46 and 49, reasoning that recovering demand-related costs through demand charges sufficiently addresses this concern.</w:t>
      </w:r>
      <w:r w:rsidR="006C616A">
        <w:rPr>
          <w:rStyle w:val="FootnoteReference"/>
          <w:rFonts w:eastAsia="SimSun"/>
        </w:rPr>
        <w:footnoteReference w:id="36"/>
      </w:r>
    </w:p>
    <w:p w:rsidR="00047F15" w:rsidRPr="006C616A" w:rsidRDefault="00047F15" w:rsidP="00EC52CB">
      <w:pPr>
        <w:pStyle w:val="question"/>
      </w:pPr>
      <w:r w:rsidRPr="006C616A">
        <w:t>Q.</w:t>
      </w:r>
      <w:r w:rsidRPr="006C616A">
        <w:tab/>
        <w:t xml:space="preserve">Does recovering </w:t>
      </w:r>
      <w:r w:rsidR="006C616A" w:rsidRPr="006C616A">
        <w:t>demand-related costs through demand charges necessarily address the through</w:t>
      </w:r>
      <w:r w:rsidR="006C616A" w:rsidRPr="00EC52CB">
        <w:t>p</w:t>
      </w:r>
      <w:r w:rsidR="006C616A" w:rsidRPr="006C616A">
        <w:t>ut incentive?</w:t>
      </w:r>
    </w:p>
    <w:p w:rsidR="006C616A" w:rsidRDefault="006C616A" w:rsidP="00A91720">
      <w:pPr>
        <w:pStyle w:val="answer"/>
        <w:rPr>
          <w:rFonts w:eastAsia="SimSun"/>
        </w:rPr>
      </w:pPr>
      <w:r>
        <w:rPr>
          <w:rFonts w:eastAsia="SimSun"/>
        </w:rPr>
        <w:t>A.</w:t>
      </w:r>
      <w:r>
        <w:rPr>
          <w:rFonts w:eastAsia="SimSun"/>
        </w:rPr>
        <w:tab/>
        <w:t>No.</w:t>
      </w:r>
      <w:r w:rsidR="00902913">
        <w:rPr>
          <w:rFonts w:eastAsia="SimSun"/>
        </w:rPr>
        <w:t xml:space="preserve"> </w:t>
      </w:r>
      <w:r>
        <w:rPr>
          <w:rFonts w:eastAsia="SimSun"/>
        </w:rPr>
        <w:t>Staff is confusing the recovery of demand-related costs with the recovery of fixed costs.</w:t>
      </w:r>
      <w:r w:rsidR="00902913">
        <w:rPr>
          <w:rFonts w:eastAsia="SimSun"/>
        </w:rPr>
        <w:t xml:space="preserve"> </w:t>
      </w:r>
      <w:r>
        <w:rPr>
          <w:rFonts w:eastAsia="SimSun"/>
        </w:rPr>
        <w:t>These are different concepts.</w:t>
      </w:r>
      <w:r w:rsidR="00902913">
        <w:rPr>
          <w:rFonts w:eastAsia="SimSun"/>
        </w:rPr>
        <w:t xml:space="preserve"> </w:t>
      </w:r>
      <w:r w:rsidR="006106EB">
        <w:rPr>
          <w:rFonts w:eastAsia="SimSun"/>
        </w:rPr>
        <w:t>Demand-related costs have</w:t>
      </w:r>
      <w:r>
        <w:rPr>
          <w:rFonts w:eastAsia="SimSun"/>
        </w:rPr>
        <w:t xml:space="preserve"> to do with costs related to meeting peaking needs</w:t>
      </w:r>
      <w:r w:rsidR="006106EB">
        <w:rPr>
          <w:rFonts w:eastAsia="SimSun"/>
        </w:rPr>
        <w:t>,</w:t>
      </w:r>
      <w:r>
        <w:rPr>
          <w:rFonts w:eastAsia="SimSun"/>
        </w:rPr>
        <w:t xml:space="preserve"> and </w:t>
      </w:r>
      <w:r w:rsidR="006106EB">
        <w:rPr>
          <w:rFonts w:eastAsia="SimSun"/>
        </w:rPr>
        <w:t>fixed costs have</w:t>
      </w:r>
      <w:r>
        <w:rPr>
          <w:rFonts w:eastAsia="SimSun"/>
        </w:rPr>
        <w:t xml:space="preserve"> to do with how much these costs are likely to change over a period of time.</w:t>
      </w:r>
      <w:r w:rsidR="00902913">
        <w:rPr>
          <w:rFonts w:eastAsia="SimSun"/>
        </w:rPr>
        <w:t xml:space="preserve"> </w:t>
      </w:r>
      <w:r>
        <w:rPr>
          <w:rFonts w:eastAsia="SimSun"/>
        </w:rPr>
        <w:t xml:space="preserve">It is the recovery of fixed costs through charges that are </w:t>
      </w:r>
      <w:r w:rsidR="00745DFD">
        <w:rPr>
          <w:rFonts w:eastAsia="SimSun"/>
        </w:rPr>
        <w:t xml:space="preserve">directly or indirectly </w:t>
      </w:r>
      <w:r>
        <w:rPr>
          <w:rFonts w:eastAsia="SimSun"/>
        </w:rPr>
        <w:t>tied to energy consumption that drive a utility’s throughput incentive.</w:t>
      </w:r>
      <w:r w:rsidR="00902913">
        <w:rPr>
          <w:rFonts w:eastAsia="SimSun"/>
        </w:rPr>
        <w:t xml:space="preserve"> </w:t>
      </w:r>
    </w:p>
    <w:p w:rsidR="006C616A" w:rsidRPr="006C616A" w:rsidRDefault="006C616A" w:rsidP="00EC52CB">
      <w:pPr>
        <w:pStyle w:val="question"/>
      </w:pPr>
      <w:r w:rsidRPr="006C616A">
        <w:t>Q.</w:t>
      </w:r>
      <w:r w:rsidRPr="006C616A">
        <w:tab/>
        <w:t>Can you illustrate the differences between demand-related costs and fixed costs?</w:t>
      </w:r>
    </w:p>
    <w:p w:rsidR="00384BF4" w:rsidRDefault="006C616A" w:rsidP="00A91720">
      <w:pPr>
        <w:pStyle w:val="answer"/>
        <w:rPr>
          <w:rFonts w:eastAsia="SimSun"/>
        </w:rPr>
      </w:pPr>
      <w:r>
        <w:rPr>
          <w:rFonts w:eastAsia="SimSun"/>
        </w:rPr>
        <w:t>A.</w:t>
      </w:r>
      <w:r>
        <w:rPr>
          <w:rFonts w:eastAsia="SimSun"/>
        </w:rPr>
        <w:tab/>
        <w:t>Yes.</w:t>
      </w:r>
      <w:r w:rsidR="00902913">
        <w:rPr>
          <w:rFonts w:eastAsia="SimSun"/>
        </w:rPr>
        <w:t xml:space="preserve"> </w:t>
      </w:r>
      <w:r>
        <w:rPr>
          <w:rFonts w:eastAsia="SimSun"/>
        </w:rPr>
        <w:t>This is most easily illustrated by comparing production and transmission costs that are demand-related versus those that are fixed in nature.</w:t>
      </w:r>
      <w:r w:rsidR="00902913">
        <w:rPr>
          <w:rFonts w:eastAsia="SimSun"/>
        </w:rPr>
        <w:t xml:space="preserve"> </w:t>
      </w:r>
      <w:r>
        <w:rPr>
          <w:rFonts w:eastAsia="SimSun"/>
        </w:rPr>
        <w:t>As discussed in my prefiled direct testimony, PSE employs the use of the “peak credit” methodology to differentiate between costs that are demand-related versus those that are energy-related.</w:t>
      </w:r>
      <w:r>
        <w:rPr>
          <w:rStyle w:val="FootnoteReference"/>
          <w:rFonts w:eastAsia="SimSun"/>
        </w:rPr>
        <w:footnoteReference w:id="37"/>
      </w:r>
      <w:r w:rsidR="00902913">
        <w:rPr>
          <w:rFonts w:eastAsia="SimSun"/>
        </w:rPr>
        <w:t xml:space="preserve"> </w:t>
      </w:r>
      <w:r>
        <w:rPr>
          <w:rFonts w:eastAsia="SimSun"/>
        </w:rPr>
        <w:t>Based on a Commission-approved settlement in Docket UE-141368, this analysis concludes that 75 percent of PSE’s production costs are energy-related and 25 percent are demand-related.</w:t>
      </w:r>
      <w:r w:rsidR="0031329C">
        <w:rPr>
          <w:rStyle w:val="FootnoteReference"/>
          <w:rFonts w:eastAsia="SimSun"/>
        </w:rPr>
        <w:footnoteReference w:id="38"/>
      </w:r>
      <w:r w:rsidR="00902913">
        <w:rPr>
          <w:rFonts w:eastAsia="SimSun"/>
        </w:rPr>
        <w:t xml:space="preserve"> </w:t>
      </w:r>
      <w:r>
        <w:rPr>
          <w:rFonts w:eastAsia="SimSun"/>
        </w:rPr>
        <w:t xml:space="preserve">By contrast, production costs thought to be “fixed” in nature are isolated from those that are “variable” </w:t>
      </w:r>
      <w:r w:rsidR="0031329C">
        <w:rPr>
          <w:rFonts w:eastAsia="SimSun"/>
        </w:rPr>
        <w:t>in PSE’s PCA mechanism.</w:t>
      </w:r>
      <w:r w:rsidR="00902913">
        <w:rPr>
          <w:rFonts w:eastAsia="SimSun"/>
        </w:rPr>
        <w:t xml:space="preserve"> </w:t>
      </w:r>
      <w:r w:rsidR="0031329C">
        <w:rPr>
          <w:rFonts w:eastAsia="SimSun"/>
        </w:rPr>
        <w:t>In PSE’s supplemental filing in this case,</w:t>
      </w:r>
      <w:r w:rsidR="00F85098">
        <w:rPr>
          <w:rFonts w:eastAsia="SimSun"/>
        </w:rPr>
        <w:t xml:space="preserve"> approximately $544 million </w:t>
      </w:r>
      <w:r w:rsidR="0031329C">
        <w:rPr>
          <w:rFonts w:eastAsia="SimSun"/>
        </w:rPr>
        <w:t xml:space="preserve">of the total production costs of $1.26 billion </w:t>
      </w:r>
      <w:r w:rsidR="00F85098">
        <w:rPr>
          <w:rFonts w:eastAsia="SimSun"/>
        </w:rPr>
        <w:t xml:space="preserve">(roughly 43 percent) </w:t>
      </w:r>
      <w:r w:rsidR="0031329C">
        <w:rPr>
          <w:rFonts w:eastAsia="SimSun"/>
        </w:rPr>
        <w:t>were shown to be “fixed”.</w:t>
      </w:r>
      <w:r w:rsidR="0031329C">
        <w:rPr>
          <w:rStyle w:val="FootnoteReference"/>
          <w:rFonts w:eastAsia="SimSun"/>
        </w:rPr>
        <w:footnoteReference w:id="39"/>
      </w:r>
      <w:r w:rsidR="00902913">
        <w:rPr>
          <w:rFonts w:eastAsia="SimSun"/>
        </w:rPr>
        <w:t xml:space="preserve"> </w:t>
      </w:r>
      <w:r w:rsidR="0031329C">
        <w:rPr>
          <w:rFonts w:eastAsia="SimSun"/>
        </w:rPr>
        <w:t xml:space="preserve">Therefore, even if demand-related charges are set to recover 100 percent of demand-related costs, </w:t>
      </w:r>
      <w:r w:rsidR="00745DFD">
        <w:rPr>
          <w:rFonts w:eastAsia="SimSun"/>
        </w:rPr>
        <w:t>approximately 42</w:t>
      </w:r>
      <w:r w:rsidR="0031329C">
        <w:rPr>
          <w:rFonts w:eastAsia="SimSun"/>
        </w:rPr>
        <w:t xml:space="preserve"> percent of the </w:t>
      </w:r>
      <w:r w:rsidR="00384BF4">
        <w:rPr>
          <w:rFonts w:eastAsia="SimSun"/>
        </w:rPr>
        <w:t xml:space="preserve">production </w:t>
      </w:r>
      <w:r w:rsidR="0031329C">
        <w:rPr>
          <w:rFonts w:eastAsia="SimSun"/>
        </w:rPr>
        <w:t xml:space="preserve">costs </w:t>
      </w:r>
      <w:r w:rsidR="007953B3">
        <w:rPr>
          <w:rFonts w:eastAsia="SimSun"/>
        </w:rPr>
        <w:t xml:space="preserve">considered to be fixed in PSE’s PCA mechanism </w:t>
      </w:r>
      <w:r w:rsidR="0031329C">
        <w:rPr>
          <w:rFonts w:eastAsia="SimSun"/>
        </w:rPr>
        <w:t>would be subject to a throughput incentive.</w:t>
      </w:r>
      <w:r w:rsidR="00745DFD">
        <w:rPr>
          <w:rStyle w:val="FootnoteReference"/>
          <w:rFonts w:eastAsia="SimSun"/>
        </w:rPr>
        <w:footnoteReference w:id="40"/>
      </w:r>
      <w:r w:rsidR="00902913">
        <w:rPr>
          <w:rFonts w:eastAsia="SimSun"/>
        </w:rPr>
        <w:t xml:space="preserve"> </w:t>
      </w:r>
    </w:p>
    <w:p w:rsidR="006C616A" w:rsidRDefault="0031329C" w:rsidP="00384BF4">
      <w:pPr>
        <w:pStyle w:val="answer"/>
        <w:ind w:firstLine="0"/>
        <w:rPr>
          <w:rFonts w:eastAsia="SimSun"/>
        </w:rPr>
      </w:pPr>
      <w:r>
        <w:rPr>
          <w:rFonts w:eastAsia="SimSun"/>
        </w:rPr>
        <w:t xml:space="preserve">This problem is even more acute for transmission-related costs, where substantially all of the costs are fixed in nature, but are treated for rate purposes as having </w:t>
      </w:r>
      <w:r w:rsidR="00384BF4">
        <w:rPr>
          <w:rFonts w:eastAsia="SimSun"/>
        </w:rPr>
        <w:t xml:space="preserve">the same proportion of </w:t>
      </w:r>
      <w:r>
        <w:rPr>
          <w:rFonts w:eastAsia="SimSun"/>
        </w:rPr>
        <w:t xml:space="preserve">demand-related costs </w:t>
      </w:r>
      <w:r w:rsidR="00384BF4">
        <w:rPr>
          <w:rFonts w:eastAsia="SimSun"/>
        </w:rPr>
        <w:t>as</w:t>
      </w:r>
      <w:r>
        <w:rPr>
          <w:rFonts w:eastAsia="SimSun"/>
        </w:rPr>
        <w:t xml:space="preserve"> production</w:t>
      </w:r>
      <w:r w:rsidR="00384BF4">
        <w:rPr>
          <w:rFonts w:eastAsia="SimSun"/>
        </w:rPr>
        <w:t>.</w:t>
      </w:r>
      <w:r w:rsidR="00902913">
        <w:rPr>
          <w:rFonts w:eastAsia="SimSun"/>
        </w:rPr>
        <w:t xml:space="preserve"> </w:t>
      </w:r>
      <w:r w:rsidR="00384BF4">
        <w:rPr>
          <w:rFonts w:eastAsia="SimSun"/>
        </w:rPr>
        <w:t>Therefore, upwards of 75 percent of fixed transmission costs would be subject to a throughput incentive, even if all demand-related transmission costs were recovered through demand charges.</w:t>
      </w:r>
    </w:p>
    <w:p w:rsidR="00846152" w:rsidRPr="00BF4B51" w:rsidRDefault="00846152" w:rsidP="00EC52CB">
      <w:pPr>
        <w:pStyle w:val="question"/>
      </w:pPr>
      <w:r w:rsidRPr="00BF4B51">
        <w:t>Q.</w:t>
      </w:r>
      <w:r w:rsidRPr="00BF4B51">
        <w:tab/>
        <w:t>Do you have any specific responses to the proposals made by Mr. Gorman and Mr. Al-Jabir to remove larger customers from PSE’s electric decoupling mechanism?</w:t>
      </w:r>
    </w:p>
    <w:p w:rsidR="00846152" w:rsidRDefault="00846152" w:rsidP="00846152">
      <w:pPr>
        <w:pStyle w:val="answer"/>
        <w:rPr>
          <w:rFonts w:eastAsia="SimSun"/>
        </w:rPr>
      </w:pPr>
      <w:r>
        <w:rPr>
          <w:rFonts w:eastAsia="SimSun"/>
        </w:rPr>
        <w:t>A.</w:t>
      </w:r>
      <w:r>
        <w:rPr>
          <w:rFonts w:eastAsia="SimSun"/>
        </w:rPr>
        <w:tab/>
        <w:t>Yes.</w:t>
      </w:r>
      <w:r w:rsidR="00902913">
        <w:rPr>
          <w:rFonts w:eastAsia="SimSun"/>
        </w:rPr>
        <w:t xml:space="preserve"> </w:t>
      </w:r>
      <w:r>
        <w:rPr>
          <w:rFonts w:eastAsia="SimSun"/>
        </w:rPr>
        <w:t>Table 13 in my prefiled direct testimony</w:t>
      </w:r>
      <w:r w:rsidR="00BF4B51">
        <w:rPr>
          <w:rStyle w:val="FootnoteReference"/>
          <w:rFonts w:eastAsia="SimSun"/>
        </w:rPr>
        <w:footnoteReference w:id="41"/>
      </w:r>
      <w:r>
        <w:rPr>
          <w:rFonts w:eastAsia="SimSun"/>
        </w:rPr>
        <w:t xml:space="preserve"> clearly shows that the customers </w:t>
      </w:r>
      <w:r w:rsidR="00F85098">
        <w:rPr>
          <w:rFonts w:eastAsia="SimSun"/>
        </w:rPr>
        <w:t>Messrs. Gorman and Al-Jabir</w:t>
      </w:r>
      <w:r>
        <w:rPr>
          <w:rFonts w:eastAsia="SimSun"/>
        </w:rPr>
        <w:t xml:space="preserve"> wish to exclude from PSE’s decoupling mechanism have among the largest declines in use per customer.</w:t>
      </w:r>
      <w:r w:rsidR="00902913">
        <w:rPr>
          <w:rFonts w:eastAsia="SimSun"/>
        </w:rPr>
        <w:t xml:space="preserve"> </w:t>
      </w:r>
      <w:r>
        <w:rPr>
          <w:rFonts w:eastAsia="SimSun"/>
        </w:rPr>
        <w:t xml:space="preserve">Decoupling is specifically designed to address </w:t>
      </w:r>
      <w:r w:rsidR="00BF4B51">
        <w:rPr>
          <w:rFonts w:eastAsia="SimSun"/>
        </w:rPr>
        <w:t>the throughput incentives created</w:t>
      </w:r>
      <w:r w:rsidR="007953B3">
        <w:rPr>
          <w:rFonts w:eastAsia="SimSun"/>
        </w:rPr>
        <w:t xml:space="preserve"> by</w:t>
      </w:r>
      <w:r w:rsidR="00BF4B51">
        <w:rPr>
          <w:rFonts w:eastAsia="SimSun"/>
        </w:rPr>
        <w:t xml:space="preserve"> </w:t>
      </w:r>
      <w:r>
        <w:rPr>
          <w:rFonts w:eastAsia="SimSun"/>
        </w:rPr>
        <w:t>declining use per customer.</w:t>
      </w:r>
      <w:r w:rsidR="00902913">
        <w:rPr>
          <w:rFonts w:eastAsia="SimSun"/>
        </w:rPr>
        <w:t xml:space="preserve"> </w:t>
      </w:r>
      <w:r>
        <w:rPr>
          <w:rFonts w:eastAsia="SimSun"/>
        </w:rPr>
        <w:t>Therefore, removing these customers from PSE’</w:t>
      </w:r>
      <w:r w:rsidR="00BF4B51">
        <w:rPr>
          <w:rFonts w:eastAsia="SimSun"/>
        </w:rPr>
        <w:t>s decoupling mechanism would only amplify PSE’s throughput incentive, contrary to Commission and state energy policy.</w:t>
      </w:r>
    </w:p>
    <w:p w:rsidR="00C26AC6" w:rsidRPr="009075DC" w:rsidRDefault="00C26AC6" w:rsidP="00C26AC6">
      <w:pPr>
        <w:pStyle w:val="question"/>
      </w:pPr>
      <w:r w:rsidRPr="009075DC">
        <w:t>Q.</w:t>
      </w:r>
      <w:r w:rsidRPr="009075DC">
        <w:tab/>
      </w:r>
      <w:r w:rsidR="00D94CA8">
        <w:t>Do you have any other concerns with parties</w:t>
      </w:r>
      <w:r w:rsidR="00365FA4">
        <w:t>’</w:t>
      </w:r>
      <w:r w:rsidR="00D94CA8">
        <w:t xml:space="preserve"> proposals to remove customers from PSE’s decoupling mechanisms</w:t>
      </w:r>
      <w:r w:rsidRPr="009075DC">
        <w:t>?</w:t>
      </w:r>
    </w:p>
    <w:p w:rsidR="00C26AC6" w:rsidRDefault="00C26AC6" w:rsidP="00C26AC6">
      <w:pPr>
        <w:pStyle w:val="answer"/>
        <w:rPr>
          <w:rFonts w:eastAsia="SimSun"/>
        </w:rPr>
      </w:pPr>
      <w:r w:rsidRPr="009075DC">
        <w:rPr>
          <w:rFonts w:eastAsia="SimSun"/>
        </w:rPr>
        <w:t>A.</w:t>
      </w:r>
      <w:r w:rsidRPr="009075DC">
        <w:rPr>
          <w:rFonts w:eastAsia="SimSun"/>
        </w:rPr>
        <w:tab/>
      </w:r>
      <w:r w:rsidR="00D94CA8">
        <w:rPr>
          <w:rFonts w:eastAsia="SimSun"/>
        </w:rPr>
        <w:t>Yes.</w:t>
      </w:r>
      <w:r w:rsidR="00902913">
        <w:rPr>
          <w:rFonts w:eastAsia="SimSun"/>
        </w:rPr>
        <w:t xml:space="preserve"> </w:t>
      </w:r>
      <w:r w:rsidR="00D94CA8">
        <w:rPr>
          <w:rFonts w:eastAsia="SimSun"/>
        </w:rPr>
        <w:t>Their proposals lack actionable detail on how any remaining deferral balance would be handled, once the customers are removed from the mechanisms.</w:t>
      </w:r>
      <w:r w:rsidR="00902913">
        <w:rPr>
          <w:rFonts w:eastAsia="SimSun"/>
        </w:rPr>
        <w:t xml:space="preserve"> </w:t>
      </w:r>
      <w:r w:rsidR="00D94CA8">
        <w:rPr>
          <w:rFonts w:eastAsia="SimSun"/>
        </w:rPr>
        <w:t xml:space="preserve">This leaves PSE, and the Commission for that matter, in an unreasonable position of having to </w:t>
      </w:r>
      <w:r w:rsidR="007953B3">
        <w:rPr>
          <w:rFonts w:eastAsia="SimSun"/>
        </w:rPr>
        <w:t xml:space="preserve">“fill in the gaps” </w:t>
      </w:r>
      <w:r w:rsidR="00D94CA8">
        <w:rPr>
          <w:rFonts w:eastAsia="SimSun"/>
        </w:rPr>
        <w:t>to implement the parties’ proposals</w:t>
      </w:r>
      <w:r>
        <w:rPr>
          <w:rFonts w:eastAsia="SimSun"/>
        </w:rPr>
        <w:t>.</w:t>
      </w:r>
      <w:r w:rsidR="00902913">
        <w:rPr>
          <w:rFonts w:eastAsia="SimSun"/>
        </w:rPr>
        <w:t xml:space="preserve"> </w:t>
      </w:r>
      <w:r w:rsidR="00D94CA8">
        <w:rPr>
          <w:rFonts w:eastAsia="SimSun"/>
        </w:rPr>
        <w:t xml:space="preserve">The Commission should require more concrete details from parties before accepting proposals </w:t>
      </w:r>
      <w:r w:rsidR="00365FA4">
        <w:rPr>
          <w:rFonts w:eastAsia="SimSun"/>
        </w:rPr>
        <w:t>that are not fully de</w:t>
      </w:r>
      <w:r w:rsidR="006106EB">
        <w:rPr>
          <w:rFonts w:eastAsia="SimSun"/>
        </w:rPr>
        <w:t>veloped.</w:t>
      </w:r>
      <w:r w:rsidR="00902913">
        <w:rPr>
          <w:rFonts w:eastAsia="SimSun"/>
        </w:rPr>
        <w:t xml:space="preserve"> </w:t>
      </w:r>
      <w:r w:rsidR="006106EB">
        <w:rPr>
          <w:rFonts w:eastAsia="SimSun"/>
        </w:rPr>
        <w:t>To do otherwise</w:t>
      </w:r>
      <w:r w:rsidR="00365FA4">
        <w:rPr>
          <w:rFonts w:eastAsia="SimSun"/>
        </w:rPr>
        <w:t xml:space="preserve"> heightens the risk for continued disagreement in how to implement these proposals</w:t>
      </w:r>
      <w:r w:rsidR="006106EB">
        <w:rPr>
          <w:rFonts w:eastAsia="SimSun"/>
        </w:rPr>
        <w:t xml:space="preserve"> and adds</w:t>
      </w:r>
      <w:r w:rsidR="00365FA4">
        <w:rPr>
          <w:rFonts w:eastAsia="SimSun"/>
        </w:rPr>
        <w:t xml:space="preserve"> an unnecessary and inefficient regulatory burden to all involved.</w:t>
      </w:r>
    </w:p>
    <w:p w:rsidR="00C26AC6" w:rsidRPr="003B5206" w:rsidRDefault="00C26AC6" w:rsidP="00A15B24">
      <w:pPr>
        <w:pStyle w:val="PleadingsL2"/>
      </w:pPr>
      <w:bookmarkStart w:id="19" w:name="_Toc489871470"/>
      <w:r>
        <w:t>Alternatives to Decoupling</w:t>
      </w:r>
      <w:bookmarkEnd w:id="19"/>
    </w:p>
    <w:p w:rsidR="00485871" w:rsidRPr="009075DC" w:rsidRDefault="00485871" w:rsidP="00A15B24">
      <w:pPr>
        <w:pStyle w:val="PleadingsL3"/>
        <w:rPr>
          <w:rFonts w:eastAsia="SimSun"/>
        </w:rPr>
      </w:pPr>
      <w:bookmarkStart w:id="20" w:name="_Toc489871471"/>
      <w:r>
        <w:rPr>
          <w:rFonts w:eastAsia="SimSun"/>
        </w:rPr>
        <w:t>Rate Design Alternatives</w:t>
      </w:r>
      <w:bookmarkEnd w:id="20"/>
    </w:p>
    <w:p w:rsidR="00A91720" w:rsidRPr="009075DC" w:rsidRDefault="00A91720" w:rsidP="00EC52CB">
      <w:pPr>
        <w:pStyle w:val="question"/>
      </w:pPr>
      <w:r>
        <w:t>Q</w:t>
      </w:r>
      <w:r w:rsidRPr="009075DC">
        <w:t>.</w:t>
      </w:r>
      <w:r w:rsidRPr="009075DC">
        <w:tab/>
      </w:r>
      <w:r>
        <w:t xml:space="preserve">Please summarize </w:t>
      </w:r>
      <w:r w:rsidR="00BF4B51">
        <w:t>Staff’s</w:t>
      </w:r>
      <w:r>
        <w:t xml:space="preserve"> proposals for</w:t>
      </w:r>
      <w:r w:rsidR="00485871">
        <w:t xml:space="preserve"> rate design</w:t>
      </w:r>
      <w:r>
        <w:t xml:space="preserve"> alternatives to PSE’s decoupling mechanisms for non-residential customers.</w:t>
      </w:r>
    </w:p>
    <w:p w:rsidR="00A91720" w:rsidRDefault="00A91720" w:rsidP="00A91720">
      <w:pPr>
        <w:pStyle w:val="answer"/>
      </w:pPr>
      <w:r w:rsidRPr="009075DC">
        <w:rPr>
          <w:rFonts w:eastAsia="SimSun"/>
        </w:rPr>
        <w:t>A.</w:t>
      </w:r>
      <w:r w:rsidRPr="009075DC">
        <w:rPr>
          <w:rFonts w:eastAsia="SimSun"/>
        </w:rPr>
        <w:tab/>
      </w:r>
      <w:r w:rsidR="00EC0902">
        <w:rPr>
          <w:rFonts w:eastAsia="SimSun"/>
        </w:rPr>
        <w:t>Staff witness Jing Liu recommends exploring rate design solutions in lieu of decoupling for “large industrial and farm irrigation customers” and points to her colleague Jason Ball for his proposed changes to electric Schedule 46 and 49</w:t>
      </w:r>
      <w:r>
        <w:rPr>
          <w:rFonts w:eastAsia="SimSun"/>
        </w:rPr>
        <w:t>.</w:t>
      </w:r>
      <w:r w:rsidR="00EC0902">
        <w:rPr>
          <w:rStyle w:val="FootnoteReference"/>
          <w:rFonts w:eastAsia="SimSun"/>
        </w:rPr>
        <w:footnoteReference w:id="42"/>
      </w:r>
      <w:r w:rsidR="00902913">
        <w:rPr>
          <w:rFonts w:eastAsia="SimSun"/>
        </w:rPr>
        <w:t xml:space="preserve"> </w:t>
      </w:r>
      <w:r w:rsidR="00EC0902">
        <w:rPr>
          <w:rFonts w:eastAsia="SimSun"/>
        </w:rPr>
        <w:t>For his part, Mr. Ball recommends the elimination of Schedule 40</w:t>
      </w:r>
      <w:r w:rsidR="00EC0902">
        <w:rPr>
          <w:rStyle w:val="FootnoteReference"/>
          <w:rFonts w:eastAsia="SimSun"/>
        </w:rPr>
        <w:footnoteReference w:id="43"/>
      </w:r>
      <w:r w:rsidR="00EC0902">
        <w:rPr>
          <w:rFonts w:eastAsia="SimSun"/>
        </w:rPr>
        <w:t xml:space="preserve"> and to increase demand charges for Schedule 46 and 49 by 48 percent.</w:t>
      </w:r>
      <w:r w:rsidR="00EC0902">
        <w:rPr>
          <w:rStyle w:val="FootnoteReference"/>
          <w:rFonts w:eastAsia="SimSun"/>
        </w:rPr>
        <w:footnoteReference w:id="44"/>
      </w:r>
      <w:r w:rsidR="00902913">
        <w:rPr>
          <w:rFonts w:eastAsia="SimSun"/>
        </w:rPr>
        <w:t xml:space="preserve"> </w:t>
      </w:r>
    </w:p>
    <w:p w:rsidR="001F79B6" w:rsidRPr="00384BF4" w:rsidRDefault="001F79B6" w:rsidP="00EC52CB">
      <w:pPr>
        <w:pStyle w:val="question"/>
      </w:pPr>
      <w:r w:rsidRPr="00384BF4">
        <w:t>Q.</w:t>
      </w:r>
      <w:r w:rsidRPr="00384BF4">
        <w:tab/>
        <w:t>Does PSE oppose Staff’s proposal to increase the demand charges for Schedules 46 and 49 to recover all demand-related costs?</w:t>
      </w:r>
    </w:p>
    <w:p w:rsidR="001F79B6" w:rsidRDefault="001F79B6" w:rsidP="001F79B6">
      <w:pPr>
        <w:pStyle w:val="answer"/>
        <w:rPr>
          <w:rFonts w:eastAsia="SimSun"/>
        </w:rPr>
      </w:pPr>
      <w:r>
        <w:rPr>
          <w:rFonts w:eastAsia="SimSun"/>
        </w:rPr>
        <w:t>A.</w:t>
      </w:r>
      <w:r>
        <w:rPr>
          <w:rFonts w:eastAsia="SimSun"/>
        </w:rPr>
        <w:tab/>
        <w:t>No.</w:t>
      </w:r>
      <w:r w:rsidR="00902913">
        <w:rPr>
          <w:rFonts w:eastAsia="SimSun"/>
        </w:rPr>
        <w:t xml:space="preserve"> </w:t>
      </w:r>
      <w:r>
        <w:rPr>
          <w:rFonts w:eastAsia="SimSun"/>
        </w:rPr>
        <w:t>PSE agrees that it is appropriate to attempt to recover substantially all demand-related costs through demand charges.</w:t>
      </w:r>
      <w:r w:rsidR="00902913">
        <w:rPr>
          <w:rFonts w:eastAsia="SimSun"/>
        </w:rPr>
        <w:t xml:space="preserve"> </w:t>
      </w:r>
      <w:r>
        <w:rPr>
          <w:rFonts w:eastAsia="SimSun"/>
        </w:rPr>
        <w:t>However, for the reasons articulated earlier in this testimony, PSE recommends that the Commission reject the notion that the increasing of these demand charges is sufficient to address the throughput incentives for recovering fixed costs from these customers.</w:t>
      </w:r>
    </w:p>
    <w:p w:rsidR="00BF4B51" w:rsidRPr="00BF4B51" w:rsidRDefault="00BF4B51" w:rsidP="001F79B6">
      <w:pPr>
        <w:pStyle w:val="answer"/>
        <w:rPr>
          <w:rFonts w:eastAsia="SimSun"/>
          <w:b/>
        </w:rPr>
      </w:pPr>
      <w:r w:rsidRPr="00BF4B51">
        <w:rPr>
          <w:rFonts w:eastAsia="SimSun"/>
          <w:b/>
        </w:rPr>
        <w:t>Q.</w:t>
      </w:r>
      <w:r w:rsidRPr="00BF4B51">
        <w:rPr>
          <w:rFonts w:eastAsia="SimSun"/>
          <w:b/>
        </w:rPr>
        <w:tab/>
        <w:t>Are there other reasons why increases to the demand charge are an insufficient substitute for decoupling?</w:t>
      </w:r>
    </w:p>
    <w:p w:rsidR="00BF4B51" w:rsidRDefault="00BF4B51" w:rsidP="001F79B6">
      <w:pPr>
        <w:pStyle w:val="answer"/>
        <w:rPr>
          <w:rFonts w:eastAsia="SimSun"/>
        </w:rPr>
      </w:pPr>
      <w:r>
        <w:rPr>
          <w:rFonts w:eastAsia="SimSun"/>
        </w:rPr>
        <w:t>A.</w:t>
      </w:r>
      <w:r>
        <w:rPr>
          <w:rFonts w:eastAsia="SimSun"/>
        </w:rPr>
        <w:tab/>
        <w:t>Yes.</w:t>
      </w:r>
      <w:r w:rsidR="00902913">
        <w:rPr>
          <w:rFonts w:eastAsia="SimSun"/>
        </w:rPr>
        <w:t xml:space="preserve"> </w:t>
      </w:r>
      <w:r>
        <w:rPr>
          <w:rFonts w:eastAsia="SimSun"/>
        </w:rPr>
        <w:t>While it is true that demand charges are more stable than energy charges, they still generally fluctuate with energy use.</w:t>
      </w:r>
      <w:r w:rsidR="00902913">
        <w:rPr>
          <w:rFonts w:eastAsia="SimSun"/>
        </w:rPr>
        <w:t xml:space="preserve"> </w:t>
      </w:r>
      <w:r>
        <w:rPr>
          <w:rFonts w:eastAsia="SimSun"/>
        </w:rPr>
        <w:t>As such, the</w:t>
      </w:r>
      <w:r w:rsidR="001561A8">
        <w:rPr>
          <w:rFonts w:eastAsia="SimSun"/>
        </w:rPr>
        <w:t xml:space="preserve"> utility still has</w:t>
      </w:r>
      <w:r>
        <w:rPr>
          <w:rFonts w:eastAsia="SimSun"/>
        </w:rPr>
        <w:t xml:space="preserve"> a throughput incentive insofar as </w:t>
      </w:r>
      <w:r w:rsidR="001561A8">
        <w:rPr>
          <w:rFonts w:eastAsia="SimSun"/>
        </w:rPr>
        <w:t>it</w:t>
      </w:r>
      <w:r>
        <w:rPr>
          <w:rFonts w:eastAsia="SimSun"/>
        </w:rPr>
        <w:t xml:space="preserve"> has an ability to </w:t>
      </w:r>
      <w:r w:rsidR="001561A8">
        <w:rPr>
          <w:rFonts w:eastAsia="SimSun"/>
        </w:rPr>
        <w:t>influence</w:t>
      </w:r>
      <w:r>
        <w:rPr>
          <w:rFonts w:eastAsia="SimSun"/>
        </w:rPr>
        <w:t xml:space="preserve"> c</w:t>
      </w:r>
      <w:r w:rsidR="001561A8">
        <w:rPr>
          <w:rFonts w:eastAsia="SimSun"/>
        </w:rPr>
        <w:t>ustomer</w:t>
      </w:r>
      <w:r>
        <w:rPr>
          <w:rFonts w:eastAsia="SimSun"/>
        </w:rPr>
        <w:t xml:space="preserve"> usage at peak times</w:t>
      </w:r>
      <w:r w:rsidR="001561A8">
        <w:rPr>
          <w:rFonts w:eastAsia="SimSun"/>
        </w:rPr>
        <w:t>, for example by not fully encouraging measures that would aid customers in reducing their peak loads</w:t>
      </w:r>
      <w:r>
        <w:rPr>
          <w:rFonts w:eastAsia="SimSun"/>
        </w:rPr>
        <w:t>.</w:t>
      </w:r>
      <w:r w:rsidR="00902913">
        <w:rPr>
          <w:rFonts w:eastAsia="SimSun"/>
        </w:rPr>
        <w:t xml:space="preserve"> </w:t>
      </w:r>
      <w:r w:rsidR="001561A8">
        <w:rPr>
          <w:rFonts w:eastAsia="SimSun"/>
        </w:rPr>
        <w:t>Therefore, while demand charges likely mitigate a utility’s throughput incentive, it is unlikely to completely eliminate it.</w:t>
      </w:r>
    </w:p>
    <w:p w:rsidR="00485871" w:rsidRPr="009075DC" w:rsidRDefault="00485871" w:rsidP="00A15B24">
      <w:pPr>
        <w:pStyle w:val="PleadingsL3"/>
        <w:rPr>
          <w:rFonts w:eastAsia="SimSun"/>
        </w:rPr>
      </w:pPr>
      <w:bookmarkStart w:id="21" w:name="_Toc489871472"/>
      <w:r>
        <w:rPr>
          <w:rFonts w:eastAsia="SimSun"/>
        </w:rPr>
        <w:t>Other Forms of Decoupling</w:t>
      </w:r>
      <w:bookmarkEnd w:id="21"/>
    </w:p>
    <w:p w:rsidR="00485871" w:rsidRPr="009075DC" w:rsidRDefault="00485871" w:rsidP="00485871">
      <w:pPr>
        <w:pStyle w:val="question"/>
      </w:pPr>
      <w:r>
        <w:t>Q</w:t>
      </w:r>
      <w:r w:rsidRPr="009075DC">
        <w:t>.</w:t>
      </w:r>
      <w:r w:rsidRPr="009075DC">
        <w:tab/>
      </w:r>
      <w:r>
        <w:t>Please summarize the various parties’ proposals for alternative forms of decoupling for PSE.</w:t>
      </w:r>
    </w:p>
    <w:p w:rsidR="00485871" w:rsidRDefault="00485871" w:rsidP="00485871">
      <w:pPr>
        <w:pStyle w:val="answer"/>
      </w:pPr>
      <w:r w:rsidRPr="009075DC">
        <w:rPr>
          <w:rFonts w:eastAsia="SimSun"/>
        </w:rPr>
        <w:t>A.</w:t>
      </w:r>
      <w:r w:rsidRPr="009075DC">
        <w:rPr>
          <w:rFonts w:eastAsia="SimSun"/>
        </w:rPr>
        <w:tab/>
      </w:r>
      <w:r w:rsidR="00543C97">
        <w:rPr>
          <w:rFonts w:eastAsia="SimSun"/>
        </w:rPr>
        <w:t>Public Counsel witness Michael Brosch recommends that PSE’s revenue-per-customer form of decoupling be discontinued and replaced with a “complete” form of decoupling where the company is only assured of recovering the amounts of electric and gas revenues that were explicitly approved by the Commission.</w:t>
      </w:r>
      <w:r w:rsidR="00543C97">
        <w:rPr>
          <w:rStyle w:val="FootnoteReference"/>
          <w:rFonts w:eastAsia="SimSun"/>
        </w:rPr>
        <w:footnoteReference w:id="45"/>
      </w:r>
      <w:r w:rsidR="00902913">
        <w:rPr>
          <w:rFonts w:eastAsia="SimSun"/>
        </w:rPr>
        <w:t xml:space="preserve"> </w:t>
      </w:r>
      <w:r w:rsidR="00FE33F2">
        <w:rPr>
          <w:rFonts w:eastAsia="SimSun"/>
        </w:rPr>
        <w:t xml:space="preserve">FEA witness </w:t>
      </w:r>
      <w:r w:rsidR="000444CD">
        <w:rPr>
          <w:rFonts w:eastAsia="SimSun"/>
        </w:rPr>
        <w:t>Al-Jabir</w:t>
      </w:r>
      <w:r w:rsidR="00FE33F2">
        <w:rPr>
          <w:rFonts w:eastAsia="SimSun"/>
        </w:rPr>
        <w:t xml:space="preserve"> goes in a different direction and proposes that, if the Commission approves a decoupling mechani</w:t>
      </w:r>
      <w:r w:rsidR="00870E4A">
        <w:rPr>
          <w:rFonts w:eastAsia="SimSun"/>
        </w:rPr>
        <w:t>sm for PSE</w:t>
      </w:r>
      <w:r w:rsidR="00B47650">
        <w:rPr>
          <w:rFonts w:eastAsia="SimSun"/>
        </w:rPr>
        <w:t>,</w:t>
      </w:r>
      <w:r w:rsidR="00870E4A">
        <w:rPr>
          <w:rFonts w:eastAsia="SimSun"/>
        </w:rPr>
        <w:t xml:space="preserve"> it only recover</w:t>
      </w:r>
      <w:r w:rsidR="00FE33F2">
        <w:rPr>
          <w:rFonts w:eastAsia="SimSun"/>
        </w:rPr>
        <w:t xml:space="preserve"> revenues that are lost due to </w:t>
      </w:r>
      <w:r w:rsidR="00B14C60">
        <w:rPr>
          <w:rFonts w:eastAsia="SimSun"/>
        </w:rPr>
        <w:t>PSE</w:t>
      </w:r>
      <w:r w:rsidR="00FE33F2">
        <w:rPr>
          <w:rFonts w:eastAsia="SimSun"/>
        </w:rPr>
        <w:t>’s mandated energy efficiency programs</w:t>
      </w:r>
      <w:r>
        <w:rPr>
          <w:rFonts w:eastAsia="SimSun"/>
        </w:rPr>
        <w:t>.</w:t>
      </w:r>
      <w:r w:rsidR="00FE33F2">
        <w:rPr>
          <w:rStyle w:val="FootnoteReference"/>
          <w:rFonts w:eastAsia="SimSun"/>
        </w:rPr>
        <w:footnoteReference w:id="46"/>
      </w:r>
      <w:r w:rsidR="00902913">
        <w:rPr>
          <w:rFonts w:eastAsia="SimSun"/>
        </w:rPr>
        <w:t xml:space="preserve"> </w:t>
      </w:r>
    </w:p>
    <w:p w:rsidR="00365FA4" w:rsidRPr="00A540D4" w:rsidRDefault="00365FA4" w:rsidP="00EC52CB">
      <w:pPr>
        <w:pStyle w:val="question"/>
      </w:pPr>
      <w:r w:rsidRPr="00A540D4">
        <w:t>Q</w:t>
      </w:r>
      <w:r>
        <w:t>.</w:t>
      </w:r>
      <w:r w:rsidRPr="00A540D4">
        <w:tab/>
        <w:t>How do you respond to Public Counsel’s proposal to</w:t>
      </w:r>
      <w:r>
        <w:t xml:space="preserve"> replace PSE’s revenue-per-customer decoupling with “complete” decoupling</w:t>
      </w:r>
      <w:r w:rsidRPr="00A540D4">
        <w:t>?</w:t>
      </w:r>
    </w:p>
    <w:p w:rsidR="00365FA4" w:rsidRDefault="00365FA4" w:rsidP="00365FA4">
      <w:pPr>
        <w:pStyle w:val="answer"/>
        <w:rPr>
          <w:rFonts w:eastAsia="SimSun"/>
        </w:rPr>
      </w:pPr>
      <w:r>
        <w:rPr>
          <w:rFonts w:eastAsia="SimSun"/>
        </w:rPr>
        <w:t>A.</w:t>
      </w:r>
      <w:r>
        <w:rPr>
          <w:rFonts w:eastAsia="SimSun"/>
        </w:rPr>
        <w:tab/>
      </w:r>
      <w:r w:rsidR="00CD5989">
        <w:rPr>
          <w:rFonts w:eastAsia="SimSun"/>
        </w:rPr>
        <w:t xml:space="preserve">As discussed earlier, so long as the production factor for fixed production costs is also eliminated, PSE would </w:t>
      </w:r>
      <w:r w:rsidR="00180E45">
        <w:rPr>
          <w:rFonts w:eastAsia="SimSun"/>
        </w:rPr>
        <w:t xml:space="preserve">reluctantly </w:t>
      </w:r>
      <w:r w:rsidR="00CD5989">
        <w:rPr>
          <w:rFonts w:eastAsia="SimSun"/>
        </w:rPr>
        <w:t>accept a “complete” form of decoupling for these costs.</w:t>
      </w:r>
      <w:r w:rsidR="00902913">
        <w:rPr>
          <w:rFonts w:eastAsia="SimSun"/>
        </w:rPr>
        <w:t xml:space="preserve"> </w:t>
      </w:r>
      <w:r w:rsidR="00CD5989">
        <w:rPr>
          <w:rFonts w:eastAsia="SimSun"/>
        </w:rPr>
        <w:t xml:space="preserve">However, </w:t>
      </w:r>
      <w:r>
        <w:rPr>
          <w:rFonts w:eastAsia="SimSun"/>
        </w:rPr>
        <w:t xml:space="preserve">Public Counsel’s proposal </w:t>
      </w:r>
      <w:r w:rsidR="00CD5989">
        <w:rPr>
          <w:rFonts w:eastAsia="SimSun"/>
        </w:rPr>
        <w:t xml:space="preserve">for fixed delivery costs </w:t>
      </w:r>
      <w:r>
        <w:rPr>
          <w:rFonts w:eastAsia="SimSun"/>
        </w:rPr>
        <w:t xml:space="preserve">is contrary to the clear evidence in this case that </w:t>
      </w:r>
      <w:r w:rsidR="00CD5989">
        <w:rPr>
          <w:rFonts w:eastAsia="SimSun"/>
        </w:rPr>
        <w:t xml:space="preserve">shows </w:t>
      </w:r>
      <w:r>
        <w:rPr>
          <w:rFonts w:eastAsia="SimSun"/>
        </w:rPr>
        <w:t>PSE’s delivery costs have not only been increasing, but increasing faste</w:t>
      </w:r>
      <w:r w:rsidR="00CD5989">
        <w:rPr>
          <w:rFonts w:eastAsia="SimSun"/>
        </w:rPr>
        <w:t>r than customer growth.</w:t>
      </w:r>
      <w:r w:rsidR="00902913">
        <w:rPr>
          <w:rFonts w:eastAsia="SimSun"/>
        </w:rPr>
        <w:t xml:space="preserve"> </w:t>
      </w:r>
      <w:r w:rsidR="00CD5989">
        <w:rPr>
          <w:rFonts w:eastAsia="SimSun"/>
        </w:rPr>
        <w:t>This i</w:t>
      </w:r>
      <w:r>
        <w:rPr>
          <w:rFonts w:eastAsia="SimSun"/>
        </w:rPr>
        <w:t>s clearly shown in the Prefiled Direct Testimony of Katherine J. Barnard, where delivery costs per customer were shown to grow by 1.2 percent per year (i.e., cost growth exceeded customer growth by 1.2 percent</w:t>
      </w:r>
      <w:r w:rsidR="00CD5989">
        <w:rPr>
          <w:rFonts w:eastAsia="SimSun"/>
        </w:rPr>
        <w:t>)</w:t>
      </w:r>
      <w:r>
        <w:rPr>
          <w:rFonts w:eastAsia="SimSun"/>
        </w:rPr>
        <w:t>.</w:t>
      </w:r>
      <w:r>
        <w:rPr>
          <w:rStyle w:val="FootnoteReference"/>
          <w:rFonts w:eastAsia="SimSun"/>
        </w:rPr>
        <w:footnoteReference w:id="47"/>
      </w:r>
      <w:r w:rsidR="00902913">
        <w:rPr>
          <w:rFonts w:eastAsia="SimSun"/>
        </w:rPr>
        <w:t xml:space="preserve"> </w:t>
      </w:r>
    </w:p>
    <w:p w:rsidR="004970A2" w:rsidRDefault="00365FA4" w:rsidP="00365FA4">
      <w:pPr>
        <w:pStyle w:val="answer"/>
        <w:ind w:firstLine="0"/>
        <w:rPr>
          <w:rFonts w:eastAsia="SimSun"/>
        </w:rPr>
      </w:pPr>
      <w:r>
        <w:rPr>
          <w:rFonts w:eastAsia="SimSun"/>
        </w:rPr>
        <w:t>In fact, the only example provided by Public Counsel in support of its proposal actually supports PSE’s proposal.</w:t>
      </w:r>
      <w:r w:rsidR="00902913">
        <w:rPr>
          <w:rFonts w:eastAsia="SimSun"/>
        </w:rPr>
        <w:t xml:space="preserve"> </w:t>
      </w:r>
      <w:r>
        <w:rPr>
          <w:rFonts w:eastAsia="SimSun"/>
        </w:rPr>
        <w:t>While Public Counsel proposes that PSE</w:t>
      </w:r>
      <w:r w:rsidR="00215C22">
        <w:rPr>
          <w:rFonts w:eastAsia="SimSun"/>
        </w:rPr>
        <w:t>’s allowed delivery revenue</w:t>
      </w:r>
      <w:r w:rsidR="00870E4A">
        <w:rPr>
          <w:rFonts w:eastAsia="SimSun"/>
        </w:rPr>
        <w:t xml:space="preserve"> </w:t>
      </w:r>
      <w:r>
        <w:rPr>
          <w:rFonts w:eastAsia="SimSun"/>
        </w:rPr>
        <w:t>remain constant between rate cases, the utilities that it cites as example</w:t>
      </w:r>
      <w:r w:rsidR="00870E4A">
        <w:rPr>
          <w:rFonts w:eastAsia="SimSun"/>
        </w:rPr>
        <w:t>s</w:t>
      </w:r>
      <w:r>
        <w:rPr>
          <w:rFonts w:eastAsia="SimSun"/>
        </w:rPr>
        <w:t xml:space="preserve"> actually have an associated Revenue Adjustment Mechanism (“RAM”), which acts much like PSE’s “K-factor.”</w:t>
      </w:r>
      <w:r>
        <w:rPr>
          <w:rStyle w:val="FootnoteReference"/>
          <w:rFonts w:eastAsia="SimSun"/>
        </w:rPr>
        <w:footnoteReference w:id="48"/>
      </w:r>
      <w:r w:rsidR="00902913">
        <w:rPr>
          <w:rFonts w:eastAsia="SimSun"/>
        </w:rPr>
        <w:t xml:space="preserve"> </w:t>
      </w:r>
      <w:r>
        <w:rPr>
          <w:rFonts w:eastAsia="SimSun"/>
        </w:rPr>
        <w:t>While Public Counsel’s cited examples provide for increasing cost recovery, its proposal for PSE unfairly does not, even in the face of evidence noted earlier that PSE’s delivery costs have been increasing faster than customer growth.</w:t>
      </w:r>
      <w:r w:rsidR="00902913">
        <w:rPr>
          <w:rFonts w:eastAsia="SimSun"/>
        </w:rPr>
        <w:t xml:space="preserve"> </w:t>
      </w:r>
    </w:p>
    <w:p w:rsidR="004970A2" w:rsidRDefault="004970A2" w:rsidP="00365FA4">
      <w:pPr>
        <w:pStyle w:val="answer"/>
        <w:ind w:firstLine="0"/>
        <w:rPr>
          <w:rFonts w:eastAsia="SimSun"/>
        </w:rPr>
      </w:pPr>
      <w:r>
        <w:rPr>
          <w:rFonts w:eastAsia="SimSun"/>
        </w:rPr>
        <w:t xml:space="preserve">Moreover, </w:t>
      </w:r>
      <w:r w:rsidR="00FF5AD0">
        <w:rPr>
          <w:rFonts w:eastAsia="SimSun"/>
        </w:rPr>
        <w:t xml:space="preserve">a recent survey shows that </w:t>
      </w:r>
      <w:r>
        <w:rPr>
          <w:rFonts w:eastAsia="SimSun"/>
        </w:rPr>
        <w:t>the vast majority of utilities with decoupling either have allowed revenue tied to customers, particularly for gas utilities, or, as in the case of the Hawaiian utilities cited by Public Counsel, tied to an attrition factor.</w:t>
      </w:r>
      <w:r w:rsidR="00263957">
        <w:rPr>
          <w:rStyle w:val="FootnoteReference"/>
          <w:rFonts w:eastAsia="SimSun"/>
        </w:rPr>
        <w:footnoteReference w:id="49"/>
      </w:r>
      <w:r w:rsidR="00902913">
        <w:rPr>
          <w:rFonts w:eastAsia="SimSun"/>
        </w:rPr>
        <w:t xml:space="preserve"> </w:t>
      </w:r>
      <w:r w:rsidR="00D54498">
        <w:rPr>
          <w:rFonts w:eastAsia="SimSun"/>
        </w:rPr>
        <w:t>In fact, only three of the 88 utilities in the survey allow no change in revenue between rate cases.</w:t>
      </w:r>
      <w:r w:rsidR="00902913">
        <w:rPr>
          <w:rFonts w:eastAsia="SimSun"/>
        </w:rPr>
        <w:t xml:space="preserve"> </w:t>
      </w:r>
    </w:p>
    <w:p w:rsidR="00365FA4" w:rsidRDefault="00365FA4" w:rsidP="00365FA4">
      <w:pPr>
        <w:pStyle w:val="answer"/>
        <w:ind w:firstLine="0"/>
        <w:rPr>
          <w:rFonts w:eastAsia="SimSun"/>
        </w:rPr>
      </w:pPr>
      <w:r>
        <w:rPr>
          <w:rFonts w:eastAsia="SimSun"/>
        </w:rPr>
        <w:t xml:space="preserve">For </w:t>
      </w:r>
      <w:r w:rsidR="00D54498">
        <w:rPr>
          <w:rFonts w:eastAsia="SimSun"/>
        </w:rPr>
        <w:t xml:space="preserve">all of the foregoing </w:t>
      </w:r>
      <w:r>
        <w:rPr>
          <w:rFonts w:eastAsia="SimSun"/>
        </w:rPr>
        <w:t>reasons, PSE recommends that the Commission reject Public Counsel’s proposal to only allow a fixed level of delivery cost recovery.</w:t>
      </w:r>
      <w:r w:rsidR="00902913">
        <w:rPr>
          <w:rFonts w:eastAsia="SimSun"/>
        </w:rPr>
        <w:t xml:space="preserve"> </w:t>
      </w:r>
      <w:r>
        <w:rPr>
          <w:rFonts w:eastAsia="SimSun"/>
        </w:rPr>
        <w:t xml:space="preserve"> </w:t>
      </w:r>
    </w:p>
    <w:p w:rsidR="00485871" w:rsidRPr="009075DC" w:rsidRDefault="00485871" w:rsidP="00485871">
      <w:pPr>
        <w:pStyle w:val="question"/>
      </w:pPr>
      <w:r w:rsidRPr="009075DC">
        <w:t>Q.</w:t>
      </w:r>
      <w:r w:rsidRPr="009075DC">
        <w:tab/>
      </w:r>
      <w:r>
        <w:t>How do you respond</w:t>
      </w:r>
      <w:r w:rsidR="00CD5989">
        <w:t xml:space="preserve"> to FEA’s alternative decoupling proposal</w:t>
      </w:r>
      <w:r w:rsidRPr="009075DC">
        <w:t>?</w:t>
      </w:r>
    </w:p>
    <w:p w:rsidR="00485871" w:rsidRDefault="00485871" w:rsidP="00485871">
      <w:pPr>
        <w:pStyle w:val="answer"/>
        <w:rPr>
          <w:rFonts w:eastAsia="SimSun"/>
        </w:rPr>
      </w:pPr>
      <w:r w:rsidRPr="009075DC">
        <w:rPr>
          <w:rFonts w:eastAsia="SimSun"/>
        </w:rPr>
        <w:t>A.</w:t>
      </w:r>
      <w:r w:rsidRPr="009075DC">
        <w:rPr>
          <w:rFonts w:eastAsia="SimSun"/>
        </w:rPr>
        <w:tab/>
      </w:r>
      <w:r w:rsidR="007D5E7C">
        <w:rPr>
          <w:rFonts w:eastAsia="SimSun"/>
        </w:rPr>
        <w:t xml:space="preserve">FEA’s proposal appears to be the same one proposed by PSE, </w:t>
      </w:r>
      <w:r w:rsidR="00215C22">
        <w:rPr>
          <w:rFonts w:eastAsia="SimSun"/>
        </w:rPr>
        <w:t>which was</w:t>
      </w:r>
      <w:r w:rsidR="007D5E7C">
        <w:rPr>
          <w:rFonts w:eastAsia="SimSun"/>
        </w:rPr>
        <w:t xml:space="preserve"> ultimately </w:t>
      </w:r>
      <w:r w:rsidR="00215C22">
        <w:rPr>
          <w:rFonts w:eastAsia="SimSun"/>
        </w:rPr>
        <w:t xml:space="preserve">rejected </w:t>
      </w:r>
      <w:r w:rsidR="007D5E7C">
        <w:rPr>
          <w:rFonts w:eastAsia="SimSun"/>
        </w:rPr>
        <w:t>by the Commission</w:t>
      </w:r>
      <w:r w:rsidR="00180E45">
        <w:rPr>
          <w:rFonts w:eastAsia="SimSun"/>
        </w:rPr>
        <w:t>,</w:t>
      </w:r>
      <w:r w:rsidR="007D5E7C">
        <w:rPr>
          <w:rFonts w:eastAsia="SimSun"/>
        </w:rPr>
        <w:t xml:space="preserve"> in its 2011 </w:t>
      </w:r>
      <w:r w:rsidR="002917CC">
        <w:rPr>
          <w:rFonts w:eastAsia="SimSun"/>
        </w:rPr>
        <w:t>general rate case (“</w:t>
      </w:r>
      <w:r w:rsidR="007D5E7C">
        <w:rPr>
          <w:rFonts w:eastAsia="SimSun"/>
        </w:rPr>
        <w:t>GRC</w:t>
      </w:r>
      <w:r w:rsidR="002917CC">
        <w:rPr>
          <w:rFonts w:eastAsia="SimSun"/>
        </w:rPr>
        <w:t>”)</w:t>
      </w:r>
      <w:r w:rsidR="007D5E7C">
        <w:rPr>
          <w:rFonts w:eastAsia="SimSun"/>
        </w:rPr>
        <w:t>.</w:t>
      </w:r>
      <w:r w:rsidR="00902913">
        <w:rPr>
          <w:rFonts w:eastAsia="SimSun"/>
        </w:rPr>
        <w:t xml:space="preserve"> </w:t>
      </w:r>
      <w:r w:rsidR="007D5E7C">
        <w:rPr>
          <w:rFonts w:eastAsia="SimSun"/>
        </w:rPr>
        <w:t xml:space="preserve">PSE’s proposal was called the Conservation Savings Adjustment (“CSA”) Mechanism and was intended to compensate the utility only for the lost margin associated with </w:t>
      </w:r>
      <w:r w:rsidR="00B14C60">
        <w:rPr>
          <w:rFonts w:eastAsia="SimSun"/>
        </w:rPr>
        <w:t>PSE</w:t>
      </w:r>
      <w:r w:rsidR="007D5E7C">
        <w:rPr>
          <w:rFonts w:eastAsia="SimSun"/>
        </w:rPr>
        <w:t>’s energy efficiency program.</w:t>
      </w:r>
      <w:r w:rsidR="00902913">
        <w:rPr>
          <w:rFonts w:eastAsia="SimSun"/>
        </w:rPr>
        <w:t xml:space="preserve"> </w:t>
      </w:r>
      <w:r w:rsidR="007D5E7C">
        <w:rPr>
          <w:rFonts w:eastAsia="SimSun"/>
        </w:rPr>
        <w:t>Ultimately, among other things, the Commission found PSE’s CSA proposal unacceptable for relying on “engineering estimates of conservation savings that are ill-suited to development of a revenue requirement.”</w:t>
      </w:r>
      <w:r w:rsidR="007D5E7C">
        <w:rPr>
          <w:rStyle w:val="FootnoteReference"/>
          <w:rFonts w:eastAsia="SimSun"/>
        </w:rPr>
        <w:footnoteReference w:id="50"/>
      </w:r>
      <w:r w:rsidR="007D5E7C">
        <w:rPr>
          <w:rFonts w:eastAsia="SimSun"/>
        </w:rPr>
        <w:t xml:space="preserve"> </w:t>
      </w:r>
      <w:r w:rsidR="00215C22">
        <w:rPr>
          <w:rFonts w:eastAsia="SimSun"/>
        </w:rPr>
        <w:t>With no new supporting evidence, it stands to reason that the Commission should draw the same conclusion for FEA’s proposal.</w:t>
      </w:r>
    </w:p>
    <w:p w:rsidR="007D5E7C" w:rsidRPr="007D5E7C" w:rsidRDefault="007D5E7C" w:rsidP="00EC52CB">
      <w:pPr>
        <w:pStyle w:val="question"/>
      </w:pPr>
      <w:r w:rsidRPr="007D5E7C">
        <w:t>Q.</w:t>
      </w:r>
      <w:r w:rsidRPr="007D5E7C">
        <w:tab/>
        <w:t>Are there other reasons FEA’s proposal would be unacceptable to the Commission?</w:t>
      </w:r>
    </w:p>
    <w:p w:rsidR="009E3CF5" w:rsidRPr="009E3CF5" w:rsidRDefault="007D5E7C" w:rsidP="007D5E7C">
      <w:pPr>
        <w:pStyle w:val="answer"/>
      </w:pPr>
      <w:r>
        <w:rPr>
          <w:rFonts w:eastAsia="SimSun"/>
        </w:rPr>
        <w:t>A.</w:t>
      </w:r>
      <w:r>
        <w:rPr>
          <w:rFonts w:eastAsia="SimSun"/>
        </w:rPr>
        <w:tab/>
        <w:t>Yes.</w:t>
      </w:r>
      <w:r w:rsidR="00902913">
        <w:rPr>
          <w:rFonts w:eastAsia="SimSun"/>
        </w:rPr>
        <w:t xml:space="preserve"> </w:t>
      </w:r>
      <w:r>
        <w:rPr>
          <w:rFonts w:eastAsia="SimSun"/>
        </w:rPr>
        <w:t>FEA’s proposal is fundamentally at odds with the Commission’s Policy Statement on decoupling.</w:t>
      </w:r>
      <w:r w:rsidR="00902913">
        <w:rPr>
          <w:rFonts w:eastAsia="SimSun"/>
        </w:rPr>
        <w:t xml:space="preserve"> </w:t>
      </w:r>
      <w:r w:rsidR="0060603F">
        <w:rPr>
          <w:rFonts w:eastAsia="SimSun"/>
        </w:rPr>
        <w:t xml:space="preserve">In the context of the Policy Statement, </w:t>
      </w:r>
      <w:r w:rsidR="00D94825">
        <w:rPr>
          <w:rFonts w:eastAsia="SimSun"/>
        </w:rPr>
        <w:t xml:space="preserve">FEA’s proposal is </w:t>
      </w:r>
      <w:r w:rsidR="0060603F">
        <w:rPr>
          <w:rFonts w:eastAsia="SimSun"/>
        </w:rPr>
        <w:t>considered</w:t>
      </w:r>
      <w:r w:rsidR="00D94825">
        <w:rPr>
          <w:rFonts w:eastAsia="SimSun"/>
        </w:rPr>
        <w:t xml:space="preserve"> to be a “limited decoupling” mechanism.</w:t>
      </w:r>
      <w:r w:rsidR="0060603F">
        <w:rPr>
          <w:rStyle w:val="FootnoteReference"/>
          <w:rFonts w:eastAsia="SimSun"/>
        </w:rPr>
        <w:footnoteReference w:id="51"/>
      </w:r>
      <w:r w:rsidR="00902913">
        <w:rPr>
          <w:rFonts w:eastAsia="SimSun"/>
        </w:rPr>
        <w:t xml:space="preserve"> </w:t>
      </w:r>
      <w:r w:rsidR="00D94825">
        <w:rPr>
          <w:rFonts w:eastAsia="SimSun"/>
        </w:rPr>
        <w:t>The Pol</w:t>
      </w:r>
      <w:r w:rsidR="0060603F">
        <w:rPr>
          <w:rFonts w:eastAsia="SimSun"/>
        </w:rPr>
        <w:t>icy Statement expressly reserves limited decoupling</w:t>
      </w:r>
      <w:r w:rsidR="00D94825">
        <w:rPr>
          <w:rFonts w:eastAsia="SimSun"/>
        </w:rPr>
        <w:t xml:space="preserve"> for gas utilities, not electric, </w:t>
      </w:r>
      <w:r w:rsidR="00215C22">
        <w:rPr>
          <w:rFonts w:eastAsia="SimSun"/>
        </w:rPr>
        <w:t>as</w:t>
      </w:r>
      <w:r w:rsidR="00D94825">
        <w:rPr>
          <w:rFonts w:eastAsia="SimSun"/>
        </w:rPr>
        <w:t xml:space="preserve"> FEA is proposing here.</w:t>
      </w:r>
      <w:r w:rsidR="0060603F">
        <w:rPr>
          <w:rStyle w:val="FootnoteReference"/>
          <w:rFonts w:eastAsia="SimSun"/>
        </w:rPr>
        <w:footnoteReference w:id="52"/>
      </w:r>
      <w:r w:rsidR="00902913">
        <w:rPr>
          <w:rFonts w:eastAsia="SimSun"/>
        </w:rPr>
        <w:t xml:space="preserve"> </w:t>
      </w:r>
      <w:r w:rsidR="00D94825">
        <w:rPr>
          <w:rFonts w:eastAsia="SimSun"/>
        </w:rPr>
        <w:t>Instead, electric utilities were expected to use full decoupling, which PSE has proposed in this case.</w:t>
      </w:r>
      <w:r w:rsidR="00902913">
        <w:rPr>
          <w:rFonts w:eastAsia="SimSun"/>
        </w:rPr>
        <w:t xml:space="preserve"> </w:t>
      </w:r>
      <w:r w:rsidR="00D94825">
        <w:rPr>
          <w:rFonts w:eastAsia="SimSun"/>
        </w:rPr>
        <w:t>Limited decoupling is not acceptable for electric utilities, as the Commission expects the mechanism</w:t>
      </w:r>
      <w:r w:rsidR="0060603F">
        <w:rPr>
          <w:rFonts w:eastAsia="SimSun"/>
        </w:rPr>
        <w:t xml:space="preserve"> for electric utilities</w:t>
      </w:r>
      <w:r w:rsidR="00D94825">
        <w:rPr>
          <w:rFonts w:eastAsia="SimSun"/>
        </w:rPr>
        <w:t xml:space="preserve"> to work in both directions, taking into account both lost and found margins.</w:t>
      </w:r>
      <w:r w:rsidR="0060603F">
        <w:rPr>
          <w:rStyle w:val="FootnoteReference"/>
          <w:rFonts w:eastAsia="SimSun"/>
        </w:rPr>
        <w:footnoteReference w:id="53"/>
      </w:r>
      <w:r w:rsidR="00902913">
        <w:rPr>
          <w:rFonts w:eastAsia="SimSun"/>
        </w:rPr>
        <w:t xml:space="preserve"> </w:t>
      </w:r>
    </w:p>
    <w:p w:rsidR="00C26AC6" w:rsidRPr="003B5206" w:rsidRDefault="00985554" w:rsidP="00A15B24">
      <w:pPr>
        <w:pStyle w:val="PleadingsL2"/>
      </w:pPr>
      <w:bookmarkStart w:id="22" w:name="_Toc489871473"/>
      <w:r w:rsidRPr="00985554">
        <w:t xml:space="preserve">Additional </w:t>
      </w:r>
      <w:r w:rsidR="00C26AC6">
        <w:t>Low-Income Weatherization Funding</w:t>
      </w:r>
      <w:bookmarkEnd w:id="22"/>
    </w:p>
    <w:p w:rsidR="00A91720" w:rsidRPr="009075DC" w:rsidRDefault="00A91720" w:rsidP="00A91720">
      <w:pPr>
        <w:pStyle w:val="question"/>
      </w:pPr>
      <w:r>
        <w:t>Q</w:t>
      </w:r>
      <w:r w:rsidRPr="009075DC">
        <w:t>.</w:t>
      </w:r>
      <w:r w:rsidRPr="009075DC">
        <w:tab/>
      </w:r>
      <w:r>
        <w:t xml:space="preserve">Please summarize </w:t>
      </w:r>
      <w:r w:rsidR="00985554">
        <w:t xml:space="preserve">The Energy Project’s </w:t>
      </w:r>
      <w:r>
        <w:t>proposal for low-income weatherization assistance in connection with PSE’s decoupling mechanisms.</w:t>
      </w:r>
    </w:p>
    <w:p w:rsidR="00A91720" w:rsidRDefault="00A91720" w:rsidP="00A91720">
      <w:pPr>
        <w:pStyle w:val="answer"/>
      </w:pPr>
      <w:r w:rsidRPr="009075DC">
        <w:rPr>
          <w:rFonts w:eastAsia="SimSun"/>
        </w:rPr>
        <w:t>A.</w:t>
      </w:r>
      <w:r w:rsidRPr="009075DC">
        <w:rPr>
          <w:rFonts w:eastAsia="SimSun"/>
        </w:rPr>
        <w:tab/>
      </w:r>
      <w:r w:rsidR="008B7FC5">
        <w:rPr>
          <w:rFonts w:eastAsia="SimSun"/>
        </w:rPr>
        <w:t>TEP witness Shawn Collins proposes that funding for PSE’s low-income energy efficiency programs be increased by $250,000 per year above current levels,</w:t>
      </w:r>
      <w:r w:rsidR="008B7FC5">
        <w:rPr>
          <w:rStyle w:val="FootnoteReference"/>
          <w:rFonts w:eastAsia="SimSun"/>
        </w:rPr>
        <w:footnoteReference w:id="54"/>
      </w:r>
      <w:r w:rsidR="008B7FC5">
        <w:rPr>
          <w:rFonts w:eastAsia="SimSun"/>
        </w:rPr>
        <w:t xml:space="preserve"> including the retention of the additional $500,000 proposed in my direct testimony</w:t>
      </w:r>
      <w:r>
        <w:rPr>
          <w:rFonts w:eastAsia="SimSun"/>
        </w:rPr>
        <w:t>.</w:t>
      </w:r>
      <w:r w:rsidR="008B7FC5">
        <w:rPr>
          <w:rStyle w:val="FootnoteReference"/>
          <w:rFonts w:eastAsia="SimSun"/>
        </w:rPr>
        <w:footnoteReference w:id="55"/>
      </w:r>
    </w:p>
    <w:p w:rsidR="00A91720" w:rsidRPr="009075DC" w:rsidRDefault="00A91720" w:rsidP="00A91720">
      <w:pPr>
        <w:pStyle w:val="question"/>
      </w:pPr>
      <w:r w:rsidRPr="009075DC">
        <w:t>Q.</w:t>
      </w:r>
      <w:r w:rsidRPr="009075DC">
        <w:tab/>
      </w:r>
      <w:r>
        <w:t>How do you respond</w:t>
      </w:r>
      <w:r w:rsidR="00B96372">
        <w:t xml:space="preserve"> The Energy Project’s proposal</w:t>
      </w:r>
      <w:r w:rsidRPr="009075DC">
        <w:t>?</w:t>
      </w:r>
    </w:p>
    <w:p w:rsidR="00A91720" w:rsidRDefault="00A91720" w:rsidP="00A91720">
      <w:pPr>
        <w:pStyle w:val="answer"/>
      </w:pPr>
      <w:r w:rsidRPr="009075DC">
        <w:rPr>
          <w:rFonts w:eastAsia="SimSun"/>
        </w:rPr>
        <w:t>A.</w:t>
      </w:r>
      <w:r w:rsidRPr="009075DC">
        <w:rPr>
          <w:rFonts w:eastAsia="SimSun"/>
        </w:rPr>
        <w:tab/>
      </w:r>
      <w:r w:rsidR="001D3E58">
        <w:rPr>
          <w:rFonts w:eastAsia="SimSun"/>
        </w:rPr>
        <w:t xml:space="preserve">PSE </w:t>
      </w:r>
      <w:r w:rsidR="00CB54E5">
        <w:rPr>
          <w:rFonts w:eastAsia="SimSun"/>
        </w:rPr>
        <w:t>does no</w:t>
      </w:r>
      <w:r w:rsidR="00B96372">
        <w:rPr>
          <w:rFonts w:eastAsia="SimSun"/>
        </w:rPr>
        <w:t>t</w:t>
      </w:r>
      <w:r w:rsidR="008B7FC5">
        <w:rPr>
          <w:rFonts w:eastAsia="SimSun"/>
        </w:rPr>
        <w:t xml:space="preserve"> oppose</w:t>
      </w:r>
      <w:r w:rsidR="001D3E58">
        <w:rPr>
          <w:rFonts w:eastAsia="SimSun"/>
        </w:rPr>
        <w:t xml:space="preserve"> </w:t>
      </w:r>
      <w:r w:rsidR="008B7FC5">
        <w:rPr>
          <w:rFonts w:eastAsia="SimSun"/>
        </w:rPr>
        <w:t>allocating an additional $250,000 of S</w:t>
      </w:r>
      <w:r w:rsidR="001D3E58">
        <w:rPr>
          <w:rFonts w:eastAsia="SimSun"/>
        </w:rPr>
        <w:t>chedule 120 revenue to funding</w:t>
      </w:r>
      <w:r w:rsidR="008B7FC5">
        <w:rPr>
          <w:rFonts w:eastAsia="SimSun"/>
        </w:rPr>
        <w:t xml:space="preserve"> low-income energy efficiency programs</w:t>
      </w:r>
      <w:r>
        <w:rPr>
          <w:rFonts w:eastAsia="SimSun"/>
        </w:rPr>
        <w:t>.</w:t>
      </w:r>
      <w:r w:rsidR="00902913">
        <w:rPr>
          <w:rFonts w:eastAsia="SimSun"/>
        </w:rPr>
        <w:t xml:space="preserve"> </w:t>
      </w:r>
      <w:r w:rsidR="00B96372">
        <w:rPr>
          <w:rFonts w:eastAsia="SimSun"/>
        </w:rPr>
        <w:t>In response to a data request, The Energy Project clarified that its proposed increase would remain at a constant level of $250,000, rather than accumulate by that amount each year.</w:t>
      </w:r>
      <w:r w:rsidR="00902913">
        <w:rPr>
          <w:rFonts w:eastAsia="SimSun"/>
        </w:rPr>
        <w:t xml:space="preserve"> </w:t>
      </w:r>
      <w:r w:rsidR="00B96372">
        <w:rPr>
          <w:rFonts w:eastAsia="SimSun"/>
        </w:rPr>
        <w:t>The Energy Project’s response to PSE is provided as Exhibit JAP-</w:t>
      </w:r>
      <w:r w:rsidR="00180E45">
        <w:rPr>
          <w:rFonts w:eastAsia="SimSun"/>
        </w:rPr>
        <w:t>48</w:t>
      </w:r>
      <w:r w:rsidR="00B96372">
        <w:rPr>
          <w:rFonts w:eastAsia="SimSun"/>
        </w:rPr>
        <w:t xml:space="preserve"> to this testimony.</w:t>
      </w:r>
    </w:p>
    <w:p w:rsidR="00485871" w:rsidRPr="003B5206" w:rsidRDefault="00485871" w:rsidP="00A15B24">
      <w:pPr>
        <w:pStyle w:val="PleadingsL2"/>
      </w:pPr>
      <w:bookmarkStart w:id="23" w:name="_Toc489871474"/>
      <w:r>
        <w:t>Uncontested Elements of PSE’s Decoupling Proposal</w:t>
      </w:r>
      <w:bookmarkEnd w:id="23"/>
    </w:p>
    <w:p w:rsidR="00485871" w:rsidRPr="009075DC" w:rsidRDefault="00485871" w:rsidP="00485871">
      <w:pPr>
        <w:pStyle w:val="question"/>
      </w:pPr>
      <w:r>
        <w:t>Q</w:t>
      </w:r>
      <w:r w:rsidRPr="009075DC">
        <w:t>.</w:t>
      </w:r>
      <w:r w:rsidRPr="009075DC">
        <w:tab/>
      </w:r>
      <w:r w:rsidR="001D3E58">
        <w:t xml:space="preserve">Are there any areas of </w:t>
      </w:r>
      <w:r>
        <w:t>agreement among parties regarding PSE’s decoupling proposal</w:t>
      </w:r>
      <w:r w:rsidR="00C13ACF">
        <w:t>?</w:t>
      </w:r>
    </w:p>
    <w:p w:rsidR="00485871" w:rsidRDefault="00485871" w:rsidP="00485871">
      <w:pPr>
        <w:pStyle w:val="answer"/>
        <w:rPr>
          <w:rFonts w:eastAsia="SimSun"/>
        </w:rPr>
      </w:pPr>
      <w:r w:rsidRPr="009075DC">
        <w:rPr>
          <w:rFonts w:eastAsia="SimSun"/>
        </w:rPr>
        <w:t>A.</w:t>
      </w:r>
      <w:r w:rsidRPr="009075DC">
        <w:rPr>
          <w:rFonts w:eastAsia="SimSun"/>
        </w:rPr>
        <w:tab/>
      </w:r>
      <w:r w:rsidR="001D3E58">
        <w:rPr>
          <w:rFonts w:eastAsia="SimSun"/>
        </w:rPr>
        <w:t>Yes</w:t>
      </w:r>
      <w:r>
        <w:rPr>
          <w:rFonts w:eastAsia="SimSun"/>
        </w:rPr>
        <w:t>.</w:t>
      </w:r>
      <w:r w:rsidR="00902913">
        <w:rPr>
          <w:rFonts w:eastAsia="SimSun"/>
        </w:rPr>
        <w:t xml:space="preserve"> </w:t>
      </w:r>
      <w:r w:rsidR="004066D0">
        <w:rPr>
          <w:rFonts w:eastAsia="SimSun"/>
        </w:rPr>
        <w:t>First, and foremost, the parties did not dispute the need for PSE’s contingent decoupling calculations for Microsoft eventually taking service under its recently approved Special Contract.</w:t>
      </w:r>
      <w:r w:rsidR="00146490">
        <w:rPr>
          <w:rStyle w:val="FootnoteReference"/>
          <w:rFonts w:eastAsia="SimSun"/>
        </w:rPr>
        <w:footnoteReference w:id="56"/>
      </w:r>
      <w:r w:rsidR="00902913">
        <w:rPr>
          <w:rFonts w:eastAsia="SimSun"/>
        </w:rPr>
        <w:t xml:space="preserve"> </w:t>
      </w:r>
      <w:r w:rsidR="004066D0">
        <w:rPr>
          <w:rFonts w:eastAsia="SimSun"/>
        </w:rPr>
        <w:t>Second, the parties did not dispute, and in some case supported outright,</w:t>
      </w:r>
      <w:r w:rsidR="00180E45">
        <w:rPr>
          <w:rStyle w:val="FootnoteReference"/>
          <w:rFonts w:eastAsia="SimSun"/>
        </w:rPr>
        <w:footnoteReference w:id="57"/>
      </w:r>
      <w:r w:rsidR="004066D0">
        <w:rPr>
          <w:rFonts w:eastAsia="SimSun"/>
        </w:rPr>
        <w:t xml:space="preserve"> the proposed methodology for conducting the rate test within PSE’s annual decoupling true-up filings.</w:t>
      </w:r>
      <w:r w:rsidR="00C51B3F">
        <w:rPr>
          <w:rStyle w:val="FootnoteReference"/>
          <w:rFonts w:eastAsia="SimSun"/>
        </w:rPr>
        <w:footnoteReference w:id="58"/>
      </w:r>
      <w:r w:rsidR="00902913">
        <w:rPr>
          <w:rFonts w:eastAsia="SimSun"/>
        </w:rPr>
        <w:t xml:space="preserve"> </w:t>
      </w:r>
      <w:r w:rsidR="00C51B3F">
        <w:rPr>
          <w:rFonts w:eastAsia="SimSun"/>
        </w:rPr>
        <w:t xml:space="preserve">Third, parties did not </w:t>
      </w:r>
      <w:r w:rsidR="00180E45">
        <w:rPr>
          <w:rFonts w:eastAsia="SimSun"/>
        </w:rPr>
        <w:t xml:space="preserve">dispute </w:t>
      </w:r>
      <w:r w:rsidR="00C51B3F">
        <w:rPr>
          <w:rFonts w:eastAsia="SimSun"/>
        </w:rPr>
        <w:t>PSE’s proposal to use allowed revenue instead of volumetric revenue to allocate potential earnings sharing to decoupling rate groups.</w:t>
      </w:r>
      <w:r w:rsidR="00902913">
        <w:rPr>
          <w:rFonts w:eastAsia="SimSun"/>
        </w:rPr>
        <w:t xml:space="preserve"> </w:t>
      </w:r>
      <w:r w:rsidR="00C51B3F">
        <w:rPr>
          <w:rFonts w:eastAsia="SimSun"/>
        </w:rPr>
        <w:t>Fourth, parties did not object to PSE’s proposed change to the methodology for calculating “actual revenue” for gas non-residential customers.</w:t>
      </w:r>
      <w:r w:rsidR="00902913">
        <w:rPr>
          <w:rFonts w:eastAsia="SimSun"/>
        </w:rPr>
        <w:t xml:space="preserve"> </w:t>
      </w:r>
      <w:r w:rsidR="00C51B3F">
        <w:rPr>
          <w:rFonts w:eastAsia="SimSun"/>
        </w:rPr>
        <w:t>Finally, no parties objected to PSE’s proposed incremental electric and gas conservation commitments in connection with its decoupling mechanisms.</w:t>
      </w:r>
    </w:p>
    <w:p w:rsidR="00DF11ED" w:rsidRPr="009075DC" w:rsidRDefault="00DF11ED" w:rsidP="00A15B24">
      <w:pPr>
        <w:pStyle w:val="PleadingsL1"/>
        <w:rPr>
          <w:rFonts w:eastAsia="SimSun"/>
        </w:rPr>
      </w:pPr>
      <w:bookmarkStart w:id="24" w:name="_Toc489871475"/>
      <w:bookmarkEnd w:id="12"/>
      <w:bookmarkEnd w:id="13"/>
      <w:r>
        <w:rPr>
          <w:rFonts w:eastAsia="SimSun"/>
        </w:rPr>
        <w:t>RESPONSE TO ISSUES RAISED REGARDING ELECTRIC COST OF SERVICE</w:t>
      </w:r>
      <w:r w:rsidR="007B08A2">
        <w:rPr>
          <w:rFonts w:eastAsia="SimSun"/>
        </w:rPr>
        <w:t xml:space="preserve"> ANALYSIS</w:t>
      </w:r>
      <w:bookmarkEnd w:id="24"/>
    </w:p>
    <w:p w:rsidR="00DF11ED" w:rsidRPr="003B5206" w:rsidRDefault="007B08A2" w:rsidP="00A15B24">
      <w:pPr>
        <w:pStyle w:val="PleadingsL2"/>
      </w:pPr>
      <w:bookmarkStart w:id="25" w:name="_Toc489871476"/>
      <w:r>
        <w:t xml:space="preserve">Classification </w:t>
      </w:r>
      <w:r w:rsidR="003A5EB8">
        <w:t xml:space="preserve">and Allocation </w:t>
      </w:r>
      <w:r>
        <w:t>of Power Costs</w:t>
      </w:r>
      <w:bookmarkEnd w:id="25"/>
    </w:p>
    <w:p w:rsidR="00A91720" w:rsidRPr="009075DC" w:rsidRDefault="00A91720" w:rsidP="00A91720">
      <w:pPr>
        <w:pStyle w:val="question"/>
      </w:pPr>
      <w:r>
        <w:t>Q</w:t>
      </w:r>
      <w:r w:rsidRPr="009075DC">
        <w:t>.</w:t>
      </w:r>
      <w:r w:rsidRPr="009075DC">
        <w:tab/>
      </w:r>
      <w:r>
        <w:t xml:space="preserve">Please summarize the various parties’ proposals for the classification </w:t>
      </w:r>
      <w:r w:rsidR="00862EC7">
        <w:t xml:space="preserve">of </w:t>
      </w:r>
      <w:r>
        <w:t>PSE’s power costs.</w:t>
      </w:r>
    </w:p>
    <w:p w:rsidR="0050790B" w:rsidRDefault="00A91720" w:rsidP="0050790B">
      <w:pPr>
        <w:pStyle w:val="answer"/>
        <w:rPr>
          <w:rFonts w:eastAsia="SimSun"/>
        </w:rPr>
      </w:pPr>
      <w:r w:rsidRPr="009075DC">
        <w:rPr>
          <w:rFonts w:eastAsia="SimSun"/>
        </w:rPr>
        <w:t>A.</w:t>
      </w:r>
      <w:r w:rsidRPr="009075DC">
        <w:rPr>
          <w:rFonts w:eastAsia="SimSun"/>
        </w:rPr>
        <w:tab/>
      </w:r>
      <w:r w:rsidR="001D3E58">
        <w:rPr>
          <w:rFonts w:eastAsia="SimSun"/>
        </w:rPr>
        <w:t xml:space="preserve">Staff witness Jason Ball </w:t>
      </w:r>
      <w:r w:rsidR="0050790B">
        <w:rPr>
          <w:rFonts w:eastAsia="SimSun"/>
        </w:rPr>
        <w:t>accepts</w:t>
      </w:r>
      <w:r w:rsidR="001D3E58">
        <w:rPr>
          <w:rFonts w:eastAsia="SimSun"/>
        </w:rPr>
        <w:t xml:space="preserve"> that</w:t>
      </w:r>
      <w:r w:rsidR="0050790B">
        <w:rPr>
          <w:rFonts w:eastAsia="SimSun"/>
        </w:rPr>
        <w:t xml:space="preserve"> </w:t>
      </w:r>
      <w:r w:rsidR="001D3E58">
        <w:rPr>
          <w:rFonts w:eastAsia="SimSun"/>
        </w:rPr>
        <w:t>PSE’s electric cost of service study</w:t>
      </w:r>
      <w:r w:rsidR="0050790B">
        <w:rPr>
          <w:rFonts w:eastAsia="SimSun"/>
        </w:rPr>
        <w:t xml:space="preserve"> </w:t>
      </w:r>
      <w:r w:rsidR="001D3E58">
        <w:rPr>
          <w:rFonts w:eastAsia="SimSun"/>
        </w:rPr>
        <w:t xml:space="preserve">was conducted </w:t>
      </w:r>
      <w:r w:rsidR="0050790B">
        <w:rPr>
          <w:rFonts w:eastAsia="SimSun"/>
        </w:rPr>
        <w:t xml:space="preserve">in accordance with </w:t>
      </w:r>
      <w:r w:rsidR="001D3E58">
        <w:rPr>
          <w:rFonts w:eastAsia="SimSun"/>
        </w:rPr>
        <w:t xml:space="preserve">the </w:t>
      </w:r>
      <w:r w:rsidR="0050790B">
        <w:rPr>
          <w:rFonts w:eastAsia="SimSun"/>
        </w:rPr>
        <w:t xml:space="preserve">2014 </w:t>
      </w:r>
      <w:r w:rsidR="001D3E58">
        <w:rPr>
          <w:rFonts w:eastAsia="SimSun"/>
        </w:rPr>
        <w:t xml:space="preserve">Electric Cost of Service and Rate Design </w:t>
      </w:r>
      <w:r w:rsidR="0050790B">
        <w:rPr>
          <w:rFonts w:eastAsia="SimSun"/>
        </w:rPr>
        <w:t>Collaborative</w:t>
      </w:r>
      <w:r w:rsidR="001D3E58">
        <w:rPr>
          <w:rFonts w:eastAsia="SimSun"/>
        </w:rPr>
        <w:t xml:space="preserve"> Settlement in Docket UE-141368</w:t>
      </w:r>
      <w:r w:rsidR="00F27099">
        <w:rPr>
          <w:rFonts w:eastAsia="SimSun"/>
        </w:rPr>
        <w:t xml:space="preserve"> (“Rate Design Settlement”)</w:t>
      </w:r>
      <w:r w:rsidR="001D3E58">
        <w:rPr>
          <w:rFonts w:eastAsia="SimSun"/>
        </w:rPr>
        <w:t xml:space="preserve"> and further supports the updating of the information used to classify and allocate power costs to reflect more recent information</w:t>
      </w:r>
      <w:r w:rsidR="0050790B">
        <w:rPr>
          <w:rFonts w:eastAsia="SimSun"/>
        </w:rPr>
        <w:t>.</w:t>
      </w:r>
      <w:r w:rsidR="001D3E58">
        <w:rPr>
          <w:rStyle w:val="FootnoteReference"/>
          <w:rFonts w:eastAsia="SimSun"/>
        </w:rPr>
        <w:footnoteReference w:id="59"/>
      </w:r>
      <w:r w:rsidR="00902913">
        <w:rPr>
          <w:rFonts w:eastAsia="SimSun"/>
        </w:rPr>
        <w:t xml:space="preserve"> </w:t>
      </w:r>
      <w:r w:rsidR="0050790B">
        <w:rPr>
          <w:rFonts w:eastAsia="SimSun"/>
        </w:rPr>
        <w:t xml:space="preserve"> </w:t>
      </w:r>
    </w:p>
    <w:p w:rsidR="0050790B" w:rsidRDefault="00F27099" w:rsidP="0050790B">
      <w:pPr>
        <w:pStyle w:val="answer"/>
        <w:ind w:firstLine="0"/>
        <w:rPr>
          <w:rFonts w:eastAsia="SimSun"/>
        </w:rPr>
      </w:pPr>
      <w:r>
        <w:rPr>
          <w:rFonts w:eastAsia="SimSun"/>
        </w:rPr>
        <w:t xml:space="preserve">After providing a lengthy and comprehensive overview of generally-accepted methods for classifying and allocating production costs, as well as the results of their application to PSE in this case, </w:t>
      </w:r>
      <w:r w:rsidR="001D3E58">
        <w:rPr>
          <w:rFonts w:eastAsia="SimSun"/>
        </w:rPr>
        <w:t xml:space="preserve">Public Counsel witness Glenn Watkins </w:t>
      </w:r>
      <w:r w:rsidR="0050790B">
        <w:rPr>
          <w:rFonts w:eastAsia="SimSun"/>
        </w:rPr>
        <w:t xml:space="preserve">accepts </w:t>
      </w:r>
      <w:r>
        <w:rPr>
          <w:rFonts w:eastAsia="SimSun"/>
        </w:rPr>
        <w:t xml:space="preserve">PSE’s </w:t>
      </w:r>
      <w:r w:rsidR="00C43809">
        <w:rPr>
          <w:rFonts w:eastAsia="SimSun"/>
        </w:rPr>
        <w:t xml:space="preserve">peak credit </w:t>
      </w:r>
      <w:r w:rsidR="00693C9B">
        <w:rPr>
          <w:rFonts w:eastAsia="SimSun"/>
        </w:rPr>
        <w:t>methodology</w:t>
      </w:r>
      <w:r>
        <w:rPr>
          <w:rFonts w:eastAsia="SimSun"/>
        </w:rPr>
        <w:t xml:space="preserve"> </w:t>
      </w:r>
      <w:r w:rsidR="0050790B">
        <w:rPr>
          <w:rFonts w:eastAsia="SimSun"/>
        </w:rPr>
        <w:t>as</w:t>
      </w:r>
      <w:r>
        <w:rPr>
          <w:rFonts w:eastAsia="SimSun"/>
        </w:rPr>
        <w:t xml:space="preserve"> </w:t>
      </w:r>
      <w:r w:rsidR="00693C9B">
        <w:rPr>
          <w:rFonts w:eastAsia="SimSun"/>
        </w:rPr>
        <w:t>producing results</w:t>
      </w:r>
      <w:r>
        <w:rPr>
          <w:rFonts w:eastAsia="SimSun"/>
        </w:rPr>
        <w:t xml:space="preserve"> within the range of reasonableness and </w:t>
      </w:r>
      <w:r w:rsidR="00D07297">
        <w:rPr>
          <w:rFonts w:eastAsia="SimSun"/>
        </w:rPr>
        <w:t xml:space="preserve">as providing </w:t>
      </w:r>
      <w:r w:rsidR="008971A3">
        <w:rPr>
          <w:rFonts w:eastAsia="SimSun"/>
        </w:rPr>
        <w:t xml:space="preserve">a </w:t>
      </w:r>
      <w:r>
        <w:rPr>
          <w:rFonts w:eastAsia="SimSun"/>
        </w:rPr>
        <w:t>fair and equitable</w:t>
      </w:r>
      <w:r w:rsidR="008971A3">
        <w:rPr>
          <w:rFonts w:eastAsia="SimSun"/>
        </w:rPr>
        <w:t xml:space="preserve"> allocation</w:t>
      </w:r>
      <w:r>
        <w:rPr>
          <w:rFonts w:eastAsia="SimSun"/>
        </w:rPr>
        <w:t xml:space="preserve"> to all classes</w:t>
      </w:r>
      <w:r w:rsidR="0050790B">
        <w:rPr>
          <w:rFonts w:eastAsia="SimSun"/>
        </w:rPr>
        <w:t>.</w:t>
      </w:r>
      <w:r>
        <w:rPr>
          <w:rStyle w:val="FootnoteReference"/>
          <w:rFonts w:eastAsia="SimSun"/>
        </w:rPr>
        <w:footnoteReference w:id="60"/>
      </w:r>
      <w:r w:rsidR="00902913">
        <w:rPr>
          <w:rFonts w:eastAsia="SimSun"/>
        </w:rPr>
        <w:t xml:space="preserve"> </w:t>
      </w:r>
      <w:r w:rsidR="00693C9B">
        <w:rPr>
          <w:rFonts w:eastAsia="SimSun"/>
        </w:rPr>
        <w:t xml:space="preserve">That being said, he appears to depart from the terms of the Rate Design Settlement by carving out </w:t>
      </w:r>
      <w:r w:rsidR="00BC68F4">
        <w:rPr>
          <w:rFonts w:eastAsia="SimSun"/>
        </w:rPr>
        <w:t>fuel</w:t>
      </w:r>
      <w:r w:rsidR="00693C9B">
        <w:rPr>
          <w:rFonts w:eastAsia="SimSun"/>
        </w:rPr>
        <w:t xml:space="preserve"> costs for different treatment</w:t>
      </w:r>
      <w:r w:rsidR="00BC68F4">
        <w:rPr>
          <w:rFonts w:eastAsia="SimSun"/>
        </w:rPr>
        <w:t>, specifically proposing that these be treated as 100 percent energy-related costs</w:t>
      </w:r>
      <w:r w:rsidR="00693C9B">
        <w:rPr>
          <w:rFonts w:eastAsia="SimSun"/>
        </w:rPr>
        <w:t>.</w:t>
      </w:r>
      <w:r w:rsidR="00BC68F4">
        <w:rPr>
          <w:rStyle w:val="FootnoteReference"/>
          <w:rFonts w:eastAsia="SimSun"/>
        </w:rPr>
        <w:footnoteReference w:id="61"/>
      </w:r>
      <w:r w:rsidR="0050790B">
        <w:rPr>
          <w:rFonts w:eastAsia="SimSun"/>
        </w:rPr>
        <w:t xml:space="preserve"> </w:t>
      </w:r>
    </w:p>
    <w:p w:rsidR="0050790B" w:rsidRDefault="00F27099" w:rsidP="0050790B">
      <w:pPr>
        <w:pStyle w:val="answer"/>
        <w:ind w:firstLine="0"/>
        <w:rPr>
          <w:rFonts w:eastAsia="SimSun"/>
        </w:rPr>
      </w:pPr>
      <w:r>
        <w:rPr>
          <w:rFonts w:eastAsia="SimSun"/>
        </w:rPr>
        <w:t xml:space="preserve">While he </w:t>
      </w:r>
      <w:r w:rsidR="0053165C">
        <w:rPr>
          <w:rFonts w:eastAsia="SimSun"/>
        </w:rPr>
        <w:t>believes</w:t>
      </w:r>
      <w:r>
        <w:rPr>
          <w:rFonts w:eastAsia="SimSun"/>
        </w:rPr>
        <w:t xml:space="preserve"> PSE’s use of the peak credit methodology </w:t>
      </w:r>
      <w:r w:rsidR="0050790B">
        <w:rPr>
          <w:rFonts w:eastAsia="SimSun"/>
        </w:rPr>
        <w:t>over allocates production and transmission costs to higher load factor classes</w:t>
      </w:r>
      <w:r w:rsidR="0053165C">
        <w:rPr>
          <w:rFonts w:eastAsia="SimSun"/>
        </w:rPr>
        <w:t>, ICNU witness Michael Gorman accepts that PSE’s cost of service study is consistent with the Rate Design Settlement</w:t>
      </w:r>
      <w:r w:rsidR="0050790B">
        <w:rPr>
          <w:rFonts w:eastAsia="SimSun"/>
        </w:rPr>
        <w:t>.</w:t>
      </w:r>
      <w:r w:rsidR="0053165C">
        <w:rPr>
          <w:rStyle w:val="FootnoteReference"/>
          <w:rFonts w:eastAsia="SimSun"/>
        </w:rPr>
        <w:footnoteReference w:id="62"/>
      </w:r>
      <w:r w:rsidR="00902913">
        <w:rPr>
          <w:rFonts w:eastAsia="SimSun"/>
        </w:rPr>
        <w:t xml:space="preserve"> </w:t>
      </w:r>
    </w:p>
    <w:p w:rsidR="0050790B" w:rsidRDefault="0053165C" w:rsidP="0050790B">
      <w:pPr>
        <w:pStyle w:val="answer"/>
        <w:ind w:firstLine="0"/>
        <w:rPr>
          <w:rFonts w:eastAsia="SimSun"/>
        </w:rPr>
      </w:pPr>
      <w:r>
        <w:rPr>
          <w:rFonts w:eastAsia="SimSun"/>
        </w:rPr>
        <w:t xml:space="preserve">While he does not agree with a number of its individual components, Kroger witness Kevin Higgins </w:t>
      </w:r>
      <w:r w:rsidR="0050790B">
        <w:rPr>
          <w:rFonts w:eastAsia="SimSun"/>
        </w:rPr>
        <w:t xml:space="preserve">accepts the </w:t>
      </w:r>
      <w:r>
        <w:rPr>
          <w:rFonts w:eastAsia="SimSun"/>
        </w:rPr>
        <w:t xml:space="preserve">Rate Design </w:t>
      </w:r>
      <w:r w:rsidR="0050790B">
        <w:rPr>
          <w:rFonts w:eastAsia="SimSun"/>
        </w:rPr>
        <w:t>Settlement</w:t>
      </w:r>
      <w:r>
        <w:rPr>
          <w:rFonts w:eastAsia="SimSun"/>
        </w:rPr>
        <w:t xml:space="preserve"> result </w:t>
      </w:r>
      <w:r w:rsidR="008971A3">
        <w:rPr>
          <w:rFonts w:eastAsia="SimSun"/>
        </w:rPr>
        <w:t>that classifies</w:t>
      </w:r>
      <w:r>
        <w:rPr>
          <w:rFonts w:eastAsia="SimSun"/>
        </w:rPr>
        <w:t xml:space="preserve"> power costs 75 percent energy and 25 percent demand as a </w:t>
      </w:r>
      <w:r w:rsidR="0050790B">
        <w:rPr>
          <w:rFonts w:eastAsia="SimSun"/>
        </w:rPr>
        <w:t>compromise package.</w:t>
      </w:r>
      <w:r>
        <w:rPr>
          <w:rStyle w:val="FootnoteReference"/>
          <w:rFonts w:eastAsia="SimSun"/>
        </w:rPr>
        <w:footnoteReference w:id="63"/>
      </w:r>
      <w:r w:rsidR="00902913">
        <w:rPr>
          <w:rFonts w:eastAsia="SimSun"/>
        </w:rPr>
        <w:t xml:space="preserve"> </w:t>
      </w:r>
    </w:p>
    <w:p w:rsidR="0050790B" w:rsidRPr="00A2458A" w:rsidRDefault="0053165C" w:rsidP="0050790B">
      <w:pPr>
        <w:pStyle w:val="answer"/>
        <w:ind w:firstLine="0"/>
        <w:rPr>
          <w:rFonts w:eastAsia="SimSun"/>
        </w:rPr>
      </w:pPr>
      <w:r>
        <w:rPr>
          <w:rFonts w:eastAsia="SimSun"/>
        </w:rPr>
        <w:t xml:space="preserve">FEA witness Ali Al-Jabir explicitly rejects the updated peak credit results presented by PSE as deviating from sound, cost-based ratemaking principles and </w:t>
      </w:r>
      <w:r w:rsidR="00551149">
        <w:rPr>
          <w:rFonts w:eastAsia="SimSun"/>
        </w:rPr>
        <w:t xml:space="preserve">believes it reasonable to rely directly on </w:t>
      </w:r>
      <w:r>
        <w:rPr>
          <w:rFonts w:eastAsia="SimSun"/>
        </w:rPr>
        <w:t xml:space="preserve">the results in the Rate Design Settlement </w:t>
      </w:r>
      <w:r w:rsidR="00551149">
        <w:rPr>
          <w:rFonts w:eastAsia="SimSun"/>
        </w:rPr>
        <w:t>to assign class revenue responsibility for purposes of this case</w:t>
      </w:r>
      <w:r w:rsidR="0050790B">
        <w:rPr>
          <w:rFonts w:eastAsia="SimSun"/>
        </w:rPr>
        <w:t>.</w:t>
      </w:r>
      <w:r w:rsidR="00551149">
        <w:rPr>
          <w:rStyle w:val="FootnoteReference"/>
          <w:rFonts w:eastAsia="SimSun"/>
        </w:rPr>
        <w:footnoteReference w:id="64"/>
      </w:r>
    </w:p>
    <w:p w:rsidR="00A91720" w:rsidRDefault="00A91720" w:rsidP="00A91720">
      <w:pPr>
        <w:pStyle w:val="question"/>
      </w:pPr>
      <w:r w:rsidRPr="009075DC">
        <w:t>Q.</w:t>
      </w:r>
      <w:r w:rsidRPr="009075DC">
        <w:tab/>
      </w:r>
      <w:r>
        <w:t>How do you respond</w:t>
      </w:r>
      <w:r w:rsidR="00BC68F4">
        <w:t xml:space="preserve"> </w:t>
      </w:r>
      <w:r w:rsidR="00B375EA">
        <w:t xml:space="preserve">to </w:t>
      </w:r>
      <w:r w:rsidR="00BC68F4">
        <w:t>Mr. Watkin</w:t>
      </w:r>
      <w:r w:rsidR="00C43809">
        <w:t>s</w:t>
      </w:r>
      <w:r w:rsidR="00BC68F4">
        <w:t>’ proposal to carve out fuel expense as being 100 percent energy related</w:t>
      </w:r>
      <w:r w:rsidRPr="009075DC">
        <w:t>?</w:t>
      </w:r>
    </w:p>
    <w:p w:rsidR="00BC68F4" w:rsidRDefault="00BC68F4" w:rsidP="00BC68F4">
      <w:pPr>
        <w:pStyle w:val="answer"/>
      </w:pPr>
      <w:r>
        <w:t>A.</w:t>
      </w:r>
      <w:r>
        <w:tab/>
        <w:t>While it is difficult to dispute the fact that, on a stand-alone basis, fuel is almost exclusively energy-related, I have two fundamental issues with Mr. Watkin</w:t>
      </w:r>
      <w:r w:rsidR="00C43809">
        <w:t>s</w:t>
      </w:r>
      <w:r>
        <w:t>’ proposal.</w:t>
      </w:r>
      <w:r w:rsidR="00902913">
        <w:t xml:space="preserve"> </w:t>
      </w:r>
    </w:p>
    <w:p w:rsidR="00BC68F4" w:rsidRDefault="00BC68F4" w:rsidP="00BC68F4">
      <w:pPr>
        <w:pStyle w:val="answer"/>
        <w:ind w:firstLine="0"/>
      </w:pPr>
      <w:r>
        <w:t>First, and foremost, this would appear to be a violation of the terms of the Rate Design Settlement, where the parties</w:t>
      </w:r>
      <w:r w:rsidR="008971A3">
        <w:t>, including Public Counsel,</w:t>
      </w:r>
      <w:r>
        <w:t xml:space="preserve"> agreed to use the peak credit methodology to allocate PSE’s power costs</w:t>
      </w:r>
      <w:r w:rsidR="00FC7F96">
        <w:t xml:space="preserve"> in this case</w:t>
      </w:r>
      <w:r>
        <w:t>.</w:t>
      </w:r>
      <w:r w:rsidR="00902913">
        <w:t xml:space="preserve"> </w:t>
      </w:r>
      <w:r>
        <w:t>Given PSE’s long history of including fuel costs among the overall power costs subject to the peak credit allocation factors, it would seem relatively clear that the terms of the agreement would be inclusive of those costs.</w:t>
      </w:r>
      <w:r w:rsidR="00902913">
        <w:t xml:space="preserve"> </w:t>
      </w:r>
    </w:p>
    <w:p w:rsidR="009747F5" w:rsidRDefault="00BC68F4" w:rsidP="00BC68F4">
      <w:pPr>
        <w:pStyle w:val="answer"/>
        <w:ind w:firstLine="0"/>
      </w:pPr>
      <w:r>
        <w:t xml:space="preserve">Secondarily, carving out one component of power costs for distinct and separate treatment </w:t>
      </w:r>
      <w:r w:rsidR="00180E45">
        <w:t xml:space="preserve">is </w:t>
      </w:r>
      <w:r>
        <w:t xml:space="preserve">contrary </w:t>
      </w:r>
      <w:r w:rsidR="00FC7F96">
        <w:t xml:space="preserve">to </w:t>
      </w:r>
      <w:r>
        <w:t>the theory behind, and application of, the peak credit methodology.</w:t>
      </w:r>
      <w:r w:rsidR="00902913">
        <w:t xml:space="preserve"> </w:t>
      </w:r>
      <w:r w:rsidR="009747F5">
        <w:t>Recall that the peak credit methodology compares the levelized cost of a peaking unit to that of a baseload unit to derive a relationship that is meant to be reflective of the proportion of overall production costs that should be considered demand-related.</w:t>
      </w:r>
      <w:r w:rsidR="00902913">
        <w:t xml:space="preserve"> </w:t>
      </w:r>
      <w:r w:rsidR="009747F5">
        <w:t xml:space="preserve">The levelized costs of the generic units compared include fuel expense. Therefore, fuel costs should be included among those to which the peak credit results would apply and separating these costs for unique treatment </w:t>
      </w:r>
      <w:r w:rsidR="00180E45">
        <w:t xml:space="preserve">is </w:t>
      </w:r>
      <w:r w:rsidR="009747F5">
        <w:t>inconsistent with the application of the methodology.</w:t>
      </w:r>
    </w:p>
    <w:p w:rsidR="009747F5" w:rsidRDefault="009747F5" w:rsidP="00BC68F4">
      <w:pPr>
        <w:pStyle w:val="answer"/>
        <w:ind w:firstLine="0"/>
      </w:pPr>
      <w:r>
        <w:t>All of that said, I would recommend that the Commission reject this part of Public Counsel’s proposal to allocate PSE’s power costs.</w:t>
      </w:r>
    </w:p>
    <w:p w:rsidR="00BC68F4" w:rsidRPr="009747F5" w:rsidRDefault="009747F5" w:rsidP="00EC52CB">
      <w:pPr>
        <w:pStyle w:val="question"/>
      </w:pPr>
      <w:r w:rsidRPr="009747F5">
        <w:t>Q.</w:t>
      </w:r>
      <w:r w:rsidRPr="009747F5">
        <w:tab/>
        <w:t xml:space="preserve">Putting the issue of fuel costs aside, </w:t>
      </w:r>
      <w:r w:rsidR="00856058">
        <w:t>are there any other things the Commission should take i</w:t>
      </w:r>
      <w:r w:rsidR="00127A1F">
        <w:t>nto consideration regarding the appropriate allocation of power costs</w:t>
      </w:r>
      <w:r w:rsidRPr="009747F5">
        <w:t xml:space="preserve">? </w:t>
      </w:r>
    </w:p>
    <w:p w:rsidR="009C1BD2" w:rsidRDefault="00A91720" w:rsidP="00A91720">
      <w:pPr>
        <w:pStyle w:val="answer"/>
        <w:rPr>
          <w:rFonts w:eastAsia="SimSun"/>
        </w:rPr>
      </w:pPr>
      <w:r w:rsidRPr="009075DC">
        <w:rPr>
          <w:rFonts w:eastAsia="SimSun"/>
        </w:rPr>
        <w:t>A.</w:t>
      </w:r>
      <w:r w:rsidRPr="009075DC">
        <w:rPr>
          <w:rFonts w:eastAsia="SimSun"/>
        </w:rPr>
        <w:tab/>
      </w:r>
      <w:r w:rsidR="00127A1F">
        <w:rPr>
          <w:rFonts w:eastAsia="SimSun"/>
        </w:rPr>
        <w:t>Yes.</w:t>
      </w:r>
      <w:r w:rsidR="00902913">
        <w:rPr>
          <w:rFonts w:eastAsia="SimSun"/>
        </w:rPr>
        <w:t xml:space="preserve"> </w:t>
      </w:r>
      <w:r w:rsidR="00127A1F">
        <w:rPr>
          <w:rFonts w:eastAsia="SimSun"/>
        </w:rPr>
        <w:t xml:space="preserve">First, the Commission should take into consideration the impact </w:t>
      </w:r>
      <w:r w:rsidR="002A0A85">
        <w:rPr>
          <w:rFonts w:eastAsia="SimSun"/>
        </w:rPr>
        <w:t xml:space="preserve">that </w:t>
      </w:r>
      <w:r w:rsidR="00127A1F">
        <w:rPr>
          <w:rFonts w:eastAsia="SimSun"/>
        </w:rPr>
        <w:t>its decision regarding the allocation of power costs will have on PSE’s adjusting price schedules.</w:t>
      </w:r>
      <w:r w:rsidR="00902913">
        <w:rPr>
          <w:rFonts w:eastAsia="SimSun"/>
        </w:rPr>
        <w:t xml:space="preserve"> </w:t>
      </w:r>
      <w:r w:rsidR="00127A1F">
        <w:rPr>
          <w:rFonts w:eastAsia="SimSun"/>
        </w:rPr>
        <w:t>The subsequent allocation of costs (or rebates) within PSE’s Schedule 95 (Power Cost Adjustment Clause), Schedule 95A (Federal Incentive Tracker), Schedule 120 (Electric Conservation Service Rider) and, indirectly, Schedule 140 (Property Tax Tracker)</w:t>
      </w:r>
      <w:r w:rsidR="00870E4A">
        <w:rPr>
          <w:rStyle w:val="FootnoteReference"/>
          <w:rFonts w:eastAsia="SimSun"/>
        </w:rPr>
        <w:footnoteReference w:id="65"/>
      </w:r>
      <w:r w:rsidR="00127A1F">
        <w:rPr>
          <w:rFonts w:eastAsia="SimSun"/>
        </w:rPr>
        <w:t xml:space="preserve"> </w:t>
      </w:r>
      <w:r w:rsidR="002A0A85">
        <w:rPr>
          <w:rFonts w:eastAsia="SimSun"/>
        </w:rPr>
        <w:t xml:space="preserve">will </w:t>
      </w:r>
      <w:r w:rsidR="00127A1F">
        <w:rPr>
          <w:rFonts w:eastAsia="SimSun"/>
        </w:rPr>
        <w:t xml:space="preserve">all </w:t>
      </w:r>
      <w:r w:rsidR="002A0A85">
        <w:rPr>
          <w:rFonts w:eastAsia="SimSun"/>
        </w:rPr>
        <w:t xml:space="preserve">likely </w:t>
      </w:r>
      <w:r w:rsidR="00127A1F">
        <w:rPr>
          <w:rFonts w:eastAsia="SimSun"/>
        </w:rPr>
        <w:t xml:space="preserve">be impacted </w:t>
      </w:r>
      <w:r w:rsidR="009C1BD2">
        <w:rPr>
          <w:rFonts w:eastAsia="SimSun"/>
        </w:rPr>
        <w:t xml:space="preserve">by the decision made in this case, as the allocation of costs (or rebates) in each of these adjusting price schedules are traditionally tied directly to the results of the peak credit methodology from the last </w:t>
      </w:r>
      <w:r w:rsidR="00FF2489">
        <w:rPr>
          <w:rFonts w:eastAsia="SimSun"/>
        </w:rPr>
        <w:t>GRC</w:t>
      </w:r>
      <w:r w:rsidR="009C1BD2">
        <w:rPr>
          <w:rFonts w:eastAsia="SimSun"/>
        </w:rPr>
        <w:t>.</w:t>
      </w:r>
      <w:r w:rsidR="00902913">
        <w:rPr>
          <w:rFonts w:eastAsia="SimSun"/>
        </w:rPr>
        <w:t xml:space="preserve"> </w:t>
      </w:r>
      <w:r w:rsidR="002A0A85">
        <w:rPr>
          <w:rFonts w:eastAsia="SimSun"/>
        </w:rPr>
        <w:t>In the case of these adjusting price schedules</w:t>
      </w:r>
      <w:r w:rsidR="009C1BD2">
        <w:rPr>
          <w:rFonts w:eastAsia="SimSun"/>
        </w:rPr>
        <w:t>, the allocation is formulaic</w:t>
      </w:r>
      <w:r w:rsidR="00180E45">
        <w:rPr>
          <w:rFonts w:eastAsia="SimSun"/>
        </w:rPr>
        <w:t xml:space="preserve"> (i.e., relying directly on the peak credit results)</w:t>
      </w:r>
      <w:r w:rsidR="009C1BD2">
        <w:rPr>
          <w:rFonts w:eastAsia="SimSun"/>
        </w:rPr>
        <w:t xml:space="preserve">, rather than being subject to </w:t>
      </w:r>
      <w:r w:rsidR="00870E4A">
        <w:rPr>
          <w:rFonts w:eastAsia="SimSun"/>
        </w:rPr>
        <w:t>rate spread deadband</w:t>
      </w:r>
      <w:r w:rsidR="009C1BD2">
        <w:rPr>
          <w:rFonts w:eastAsia="SimSun"/>
        </w:rPr>
        <w:t xml:space="preserve"> traditionally </w:t>
      </w:r>
      <w:r w:rsidR="00870E4A">
        <w:rPr>
          <w:rFonts w:eastAsia="SimSun"/>
        </w:rPr>
        <w:t xml:space="preserve">used </w:t>
      </w:r>
      <w:r w:rsidR="009C1BD2">
        <w:rPr>
          <w:rFonts w:eastAsia="SimSun"/>
        </w:rPr>
        <w:t>in PSE’s rate cases.</w:t>
      </w:r>
      <w:r w:rsidR="00902913">
        <w:rPr>
          <w:rFonts w:eastAsia="SimSun"/>
        </w:rPr>
        <w:t xml:space="preserve"> </w:t>
      </w:r>
    </w:p>
    <w:p w:rsidR="009C1BD2" w:rsidRDefault="009C1BD2" w:rsidP="009C1BD2">
      <w:pPr>
        <w:pStyle w:val="answer"/>
        <w:ind w:firstLine="0"/>
        <w:rPr>
          <w:rFonts w:eastAsia="SimSun"/>
        </w:rPr>
      </w:pPr>
      <w:r>
        <w:rPr>
          <w:rFonts w:eastAsia="SimSun"/>
        </w:rPr>
        <w:t xml:space="preserve">Second, the Commission should take into consideration the potential implications the peak credit results </w:t>
      </w:r>
      <w:r w:rsidR="00FC1D8B">
        <w:rPr>
          <w:rFonts w:eastAsia="SimSun"/>
        </w:rPr>
        <w:t xml:space="preserve">will have </w:t>
      </w:r>
      <w:r>
        <w:rPr>
          <w:rFonts w:eastAsia="SimSun"/>
        </w:rPr>
        <w:t>on downstream decisions for rate design.</w:t>
      </w:r>
      <w:r w:rsidR="00902913">
        <w:rPr>
          <w:rFonts w:eastAsia="SimSun"/>
        </w:rPr>
        <w:t xml:space="preserve"> </w:t>
      </w:r>
      <w:r>
        <w:rPr>
          <w:rFonts w:eastAsia="SimSun"/>
        </w:rPr>
        <w:t>Specifically, the demand/energy split for power costs may influence decisions about how much revenue to recover from PSE’s customers through energy and demand charges.</w:t>
      </w:r>
      <w:r w:rsidR="00902913">
        <w:rPr>
          <w:rFonts w:eastAsia="SimSun"/>
        </w:rPr>
        <w:t xml:space="preserve"> </w:t>
      </w:r>
      <w:r w:rsidR="00127A1F">
        <w:rPr>
          <w:rFonts w:eastAsia="SimSun"/>
        </w:rPr>
        <w:t xml:space="preserve"> </w:t>
      </w:r>
    </w:p>
    <w:p w:rsidR="00127A1F" w:rsidRPr="009C1BD2" w:rsidRDefault="009C1BD2" w:rsidP="00EC52CB">
      <w:pPr>
        <w:pStyle w:val="question"/>
      </w:pPr>
      <w:r w:rsidRPr="009C1BD2">
        <w:t>Q.</w:t>
      </w:r>
      <w:r w:rsidRPr="009C1BD2">
        <w:tab/>
        <w:t>D</w:t>
      </w:r>
      <w:r w:rsidR="00AF00C2">
        <w:t>o</w:t>
      </w:r>
      <w:r w:rsidRPr="009C1BD2">
        <w:t xml:space="preserve"> any of the response testimon</w:t>
      </w:r>
      <w:r w:rsidR="00AF00C2">
        <w:t>ies</w:t>
      </w:r>
      <w:r w:rsidRPr="009C1BD2">
        <w:t xml:space="preserve"> change PSE’s position on the appropriate peak credit results to use in this case?</w:t>
      </w:r>
      <w:r w:rsidR="00902913">
        <w:t xml:space="preserve"> </w:t>
      </w:r>
    </w:p>
    <w:p w:rsidR="00A91720" w:rsidRDefault="009C1BD2" w:rsidP="00B71534">
      <w:pPr>
        <w:pStyle w:val="answer"/>
        <w:rPr>
          <w:rFonts w:eastAsia="SimSun"/>
        </w:rPr>
      </w:pPr>
      <w:r>
        <w:rPr>
          <w:rFonts w:eastAsia="SimSun"/>
        </w:rPr>
        <w:t>A.</w:t>
      </w:r>
      <w:r>
        <w:rPr>
          <w:rFonts w:eastAsia="SimSun"/>
        </w:rPr>
        <w:tab/>
        <w:t>No.</w:t>
      </w:r>
      <w:r w:rsidR="00902913">
        <w:rPr>
          <w:rFonts w:eastAsia="SimSun"/>
        </w:rPr>
        <w:t xml:space="preserve"> </w:t>
      </w:r>
      <w:r>
        <w:rPr>
          <w:rFonts w:eastAsia="SimSun"/>
        </w:rPr>
        <w:t>PSE continues to believe that the updated</w:t>
      </w:r>
      <w:r w:rsidR="00FC7F96">
        <w:rPr>
          <w:rFonts w:eastAsia="SimSun"/>
        </w:rPr>
        <w:t xml:space="preserve"> peak credit</w:t>
      </w:r>
      <w:r>
        <w:rPr>
          <w:rFonts w:eastAsia="SimSun"/>
        </w:rPr>
        <w:t xml:space="preserve"> results are more in line with the spirit of the Rate Design Settlement</w:t>
      </w:r>
      <w:r w:rsidR="00B71534">
        <w:rPr>
          <w:rFonts w:eastAsia="SimSun"/>
        </w:rPr>
        <w:t>.</w:t>
      </w:r>
      <w:r w:rsidR="00902913">
        <w:rPr>
          <w:rFonts w:eastAsia="SimSun"/>
        </w:rPr>
        <w:t xml:space="preserve"> </w:t>
      </w:r>
      <w:r w:rsidR="00B71534">
        <w:rPr>
          <w:rFonts w:eastAsia="SimSun"/>
        </w:rPr>
        <w:t xml:space="preserve">As stated in my direct testimony, the updated peak credit results would classify 18 </w:t>
      </w:r>
      <w:r w:rsidR="00B71534" w:rsidRPr="00B71534">
        <w:rPr>
          <w:rFonts w:eastAsia="SimSun"/>
        </w:rPr>
        <w:t>percent of production cost</w:t>
      </w:r>
      <w:r w:rsidR="00B71534">
        <w:rPr>
          <w:rFonts w:eastAsia="SimSun"/>
        </w:rPr>
        <w:t xml:space="preserve"> </w:t>
      </w:r>
      <w:r w:rsidR="00B71534" w:rsidRPr="00B71534">
        <w:rPr>
          <w:rFonts w:eastAsia="SimSun"/>
        </w:rPr>
        <w:t xml:space="preserve">as demand </w:t>
      </w:r>
      <w:r w:rsidR="00B71534">
        <w:rPr>
          <w:rFonts w:eastAsia="SimSun"/>
        </w:rPr>
        <w:t xml:space="preserve">and would classify </w:t>
      </w:r>
      <w:r w:rsidR="00B71534" w:rsidRPr="00B71534">
        <w:rPr>
          <w:rFonts w:eastAsia="SimSun"/>
        </w:rPr>
        <w:t>82 percent as energy</w:t>
      </w:r>
      <w:r w:rsidR="00B71534">
        <w:rPr>
          <w:rFonts w:eastAsia="SimSun"/>
        </w:rPr>
        <w:t>.</w:t>
      </w:r>
      <w:r w:rsidR="00902913">
        <w:rPr>
          <w:rFonts w:eastAsia="SimSun"/>
        </w:rPr>
        <w:t xml:space="preserve"> </w:t>
      </w:r>
      <w:r w:rsidR="00B71534">
        <w:rPr>
          <w:rFonts w:eastAsia="SimSun"/>
        </w:rPr>
        <w:t xml:space="preserve">However, PSE </w:t>
      </w:r>
      <w:r>
        <w:rPr>
          <w:rFonts w:eastAsia="SimSun"/>
        </w:rPr>
        <w:t xml:space="preserve">continues to be willing to stand by the original </w:t>
      </w:r>
      <w:r w:rsidR="00B71534">
        <w:rPr>
          <w:rFonts w:eastAsia="SimSun"/>
        </w:rPr>
        <w:t xml:space="preserve">peak credit </w:t>
      </w:r>
      <w:r>
        <w:rPr>
          <w:rFonts w:eastAsia="SimSun"/>
        </w:rPr>
        <w:t xml:space="preserve">results outlined in </w:t>
      </w:r>
      <w:r w:rsidR="00B71534">
        <w:rPr>
          <w:rFonts w:eastAsia="SimSun"/>
        </w:rPr>
        <w:t>the Rate Design Settlement, which classified 25 percent of production costs as demand and 75 percent as energy</w:t>
      </w:r>
      <w:r>
        <w:rPr>
          <w:rFonts w:eastAsia="SimSun"/>
        </w:rPr>
        <w:t>.</w:t>
      </w:r>
    </w:p>
    <w:p w:rsidR="00DF11ED" w:rsidRPr="009075DC" w:rsidRDefault="00DF11ED" w:rsidP="00DF11ED">
      <w:pPr>
        <w:pStyle w:val="question"/>
      </w:pPr>
      <w:r w:rsidRPr="009075DC">
        <w:t>Q.</w:t>
      </w:r>
      <w:r w:rsidRPr="009075DC">
        <w:tab/>
      </w:r>
      <w:r w:rsidR="00002825">
        <w:t>Do any other witnesses in this case opine on PSE’s classification or allocation of production-related costs</w:t>
      </w:r>
      <w:r w:rsidRPr="009075DC">
        <w:t>?</w:t>
      </w:r>
    </w:p>
    <w:p w:rsidR="00BF303C" w:rsidRDefault="00DF11ED" w:rsidP="00DF11ED">
      <w:pPr>
        <w:pStyle w:val="answer"/>
      </w:pPr>
      <w:r w:rsidRPr="009075DC">
        <w:rPr>
          <w:rFonts w:eastAsia="SimSun"/>
        </w:rPr>
        <w:t>A.</w:t>
      </w:r>
      <w:r w:rsidRPr="009075DC">
        <w:rPr>
          <w:rFonts w:eastAsia="SimSun"/>
        </w:rPr>
        <w:tab/>
      </w:r>
      <w:r w:rsidR="00002825">
        <w:rPr>
          <w:rFonts w:eastAsia="SimSun"/>
        </w:rPr>
        <w:t xml:space="preserve">Yes, </w:t>
      </w:r>
      <w:r w:rsidR="009F0FA2">
        <w:rPr>
          <w:rFonts w:eastAsia="SimSun"/>
        </w:rPr>
        <w:t xml:space="preserve">although he does not state this directly, </w:t>
      </w:r>
      <w:r w:rsidR="00002825">
        <w:rPr>
          <w:rFonts w:eastAsia="SimSun"/>
        </w:rPr>
        <w:t xml:space="preserve">Staff witness Christopher Hancock appears to suggest that </w:t>
      </w:r>
      <w:r w:rsidR="009F0FA2">
        <w:rPr>
          <w:rFonts w:eastAsia="SimSun"/>
        </w:rPr>
        <w:t>customers are currently allocated the benefits of PSE’s production tax credits (“PTC</w:t>
      </w:r>
      <w:r w:rsidR="00AF00C2">
        <w:rPr>
          <w:rFonts w:eastAsia="SimSun"/>
        </w:rPr>
        <w:t>s</w:t>
      </w:r>
      <w:r w:rsidR="009F0FA2">
        <w:rPr>
          <w:rFonts w:eastAsia="SimSun"/>
        </w:rPr>
        <w:t>”) through its Schedule 95A on an energy basis, but that PSE’s proposed use of PTCs to offset certain costs related to Colstrip Units 1 and 2 would “confer benefits” largely on a demand basis</w:t>
      </w:r>
      <w:r>
        <w:rPr>
          <w:rFonts w:eastAsia="SimSun"/>
        </w:rPr>
        <w:t>.</w:t>
      </w:r>
      <w:r w:rsidR="009F0FA2">
        <w:rPr>
          <w:rStyle w:val="FootnoteReference"/>
          <w:rFonts w:eastAsia="SimSun"/>
        </w:rPr>
        <w:footnoteReference w:id="66"/>
      </w:r>
    </w:p>
    <w:p w:rsidR="00002825" w:rsidRPr="009075DC" w:rsidRDefault="00002825" w:rsidP="00002825">
      <w:pPr>
        <w:pStyle w:val="question"/>
      </w:pPr>
      <w:r w:rsidRPr="009075DC">
        <w:t>Q.</w:t>
      </w:r>
      <w:r w:rsidRPr="009075DC">
        <w:tab/>
      </w:r>
      <w:r w:rsidR="009F0FA2">
        <w:t>Is this accurate</w:t>
      </w:r>
      <w:r w:rsidRPr="009075DC">
        <w:t>?</w:t>
      </w:r>
    </w:p>
    <w:p w:rsidR="00002825" w:rsidRDefault="00002825" w:rsidP="00002825">
      <w:pPr>
        <w:pStyle w:val="answer"/>
        <w:rPr>
          <w:rFonts w:eastAsia="SimSun"/>
        </w:rPr>
      </w:pPr>
      <w:r w:rsidRPr="009075DC">
        <w:rPr>
          <w:rFonts w:eastAsia="SimSun"/>
        </w:rPr>
        <w:t>A.</w:t>
      </w:r>
      <w:r w:rsidRPr="009075DC">
        <w:rPr>
          <w:rFonts w:eastAsia="SimSun"/>
        </w:rPr>
        <w:tab/>
      </w:r>
      <w:r w:rsidR="009F0FA2">
        <w:rPr>
          <w:rFonts w:eastAsia="SimSun"/>
        </w:rPr>
        <w:t>No.</w:t>
      </w:r>
      <w:r w:rsidR="00902913">
        <w:rPr>
          <w:rFonts w:eastAsia="SimSun"/>
        </w:rPr>
        <w:t xml:space="preserve"> </w:t>
      </w:r>
      <w:r w:rsidR="009F0FA2">
        <w:rPr>
          <w:rFonts w:eastAsia="SimSun"/>
        </w:rPr>
        <w:t>While it is true that the rates designed to flow the benefits of PTCs through PSE’s Schedule 95A are energy-based, it is not the case that PSE’s rate classes are allocated these benefits purely on energy.</w:t>
      </w:r>
      <w:r w:rsidR="00902913">
        <w:rPr>
          <w:rFonts w:eastAsia="SimSun"/>
        </w:rPr>
        <w:t xml:space="preserve"> </w:t>
      </w:r>
      <w:r w:rsidR="009F0FA2">
        <w:rPr>
          <w:rFonts w:eastAsia="SimSun"/>
        </w:rPr>
        <w:t>All supply-side and demand-side resource costs</w:t>
      </w:r>
      <w:r w:rsidR="00FC1D8B">
        <w:rPr>
          <w:rFonts w:eastAsia="SimSun"/>
        </w:rPr>
        <w:t xml:space="preserve"> or related tax benefits</w:t>
      </w:r>
      <w:r w:rsidR="009F0FA2">
        <w:rPr>
          <w:rFonts w:eastAsia="SimSun"/>
        </w:rPr>
        <w:t>, including PTCs and Treasury Grants, are allocated using the peak credit methodology that has both an energy and demand component.</w:t>
      </w:r>
      <w:r w:rsidR="00902913">
        <w:rPr>
          <w:rFonts w:eastAsia="SimSun"/>
        </w:rPr>
        <w:t xml:space="preserve"> </w:t>
      </w:r>
      <w:r w:rsidR="009F0FA2">
        <w:rPr>
          <w:rFonts w:eastAsia="SimSun"/>
        </w:rPr>
        <w:t xml:space="preserve">As a result, PSE’s proposed alternative use of PTCs in this case will not change the </w:t>
      </w:r>
      <w:r w:rsidR="00FA67D9">
        <w:rPr>
          <w:rFonts w:eastAsia="SimSun"/>
        </w:rPr>
        <w:t xml:space="preserve">method by </w:t>
      </w:r>
      <w:r w:rsidR="009F0FA2">
        <w:rPr>
          <w:rFonts w:eastAsia="SimSun"/>
        </w:rPr>
        <w:t>which these benefits a</w:t>
      </w:r>
      <w:r w:rsidR="00FA67D9">
        <w:rPr>
          <w:rFonts w:eastAsia="SimSun"/>
        </w:rPr>
        <w:t>re allocated</w:t>
      </w:r>
      <w:r w:rsidR="009F0FA2">
        <w:rPr>
          <w:rFonts w:eastAsia="SimSun"/>
        </w:rPr>
        <w:t xml:space="preserve"> to its customers</w:t>
      </w:r>
      <w:r>
        <w:rPr>
          <w:rFonts w:eastAsia="SimSun"/>
        </w:rPr>
        <w:t>.</w:t>
      </w:r>
    </w:p>
    <w:p w:rsidR="007B08A2" w:rsidRPr="003B5206" w:rsidRDefault="007B08A2" w:rsidP="00A15B24">
      <w:pPr>
        <w:pStyle w:val="PleadingsL2"/>
      </w:pPr>
      <w:bookmarkStart w:id="26" w:name="_Toc489871477"/>
      <w:r>
        <w:t xml:space="preserve">Allocation of </w:t>
      </w:r>
      <w:r w:rsidR="0020317D">
        <w:t xml:space="preserve">Income Taxes, </w:t>
      </w:r>
      <w:r>
        <w:t xml:space="preserve">State Excise </w:t>
      </w:r>
      <w:r w:rsidR="00A91720">
        <w:t xml:space="preserve">Taxes </w:t>
      </w:r>
      <w:r>
        <w:t>and WUTC Fees</w:t>
      </w:r>
      <w:bookmarkEnd w:id="26"/>
    </w:p>
    <w:p w:rsidR="00A91720" w:rsidRPr="009075DC" w:rsidRDefault="00A91720" w:rsidP="00A91720">
      <w:pPr>
        <w:pStyle w:val="question"/>
      </w:pPr>
      <w:r>
        <w:t>Q</w:t>
      </w:r>
      <w:r w:rsidRPr="009075DC">
        <w:t>.</w:t>
      </w:r>
      <w:r w:rsidRPr="009075DC">
        <w:tab/>
      </w:r>
      <w:r>
        <w:t xml:space="preserve">Please summarize </w:t>
      </w:r>
      <w:r w:rsidR="00985554">
        <w:t>Public Counsel</w:t>
      </w:r>
      <w:r>
        <w:t>’</w:t>
      </w:r>
      <w:r w:rsidR="00985554">
        <w:t>s</w:t>
      </w:r>
      <w:r>
        <w:t xml:space="preserve"> proposals for the allocation </w:t>
      </w:r>
      <w:r w:rsidR="00CD3816">
        <w:t xml:space="preserve">of </w:t>
      </w:r>
      <w:r>
        <w:t xml:space="preserve">PSE’s </w:t>
      </w:r>
      <w:r w:rsidR="005316AA">
        <w:t xml:space="preserve">income taxes, </w:t>
      </w:r>
      <w:r>
        <w:t>state excise taxes and WUTC fees costs.</w:t>
      </w:r>
    </w:p>
    <w:p w:rsidR="00A91720" w:rsidRDefault="00A91720" w:rsidP="00A91720">
      <w:pPr>
        <w:pStyle w:val="answer"/>
      </w:pPr>
      <w:r w:rsidRPr="009075DC">
        <w:rPr>
          <w:rFonts w:eastAsia="SimSun"/>
        </w:rPr>
        <w:t>A.</w:t>
      </w:r>
      <w:r w:rsidRPr="009075DC">
        <w:rPr>
          <w:rFonts w:eastAsia="SimSun"/>
        </w:rPr>
        <w:tab/>
      </w:r>
      <w:r w:rsidR="00790168">
        <w:rPr>
          <w:rFonts w:eastAsia="SimSun"/>
        </w:rPr>
        <w:t>Public Counsel witness Glenn Watkins believes that these costs are a direct function of revenue</w:t>
      </w:r>
      <w:r w:rsidR="00B16D6C">
        <w:rPr>
          <w:rFonts w:eastAsia="SimSun"/>
        </w:rPr>
        <w:t xml:space="preserve"> at current rates</w:t>
      </w:r>
      <w:r w:rsidR="00790168">
        <w:rPr>
          <w:rFonts w:eastAsia="SimSun"/>
        </w:rPr>
        <w:t xml:space="preserve"> and</w:t>
      </w:r>
      <w:r w:rsidR="00C43809">
        <w:rPr>
          <w:rFonts w:eastAsia="SimSun"/>
        </w:rPr>
        <w:t>,</w:t>
      </w:r>
      <w:r w:rsidR="00790168">
        <w:rPr>
          <w:rFonts w:eastAsia="SimSun"/>
        </w:rPr>
        <w:t xml:space="preserve"> therefore</w:t>
      </w:r>
      <w:r w:rsidR="00C43809">
        <w:rPr>
          <w:rFonts w:eastAsia="SimSun"/>
        </w:rPr>
        <w:t>,</w:t>
      </w:r>
      <w:r w:rsidR="00790168">
        <w:rPr>
          <w:rFonts w:eastAsia="SimSun"/>
        </w:rPr>
        <w:t xml:space="preserve"> should be allocated accordingly</w:t>
      </w:r>
      <w:r>
        <w:rPr>
          <w:rFonts w:eastAsia="SimSun"/>
        </w:rPr>
        <w:t>.</w:t>
      </w:r>
      <w:r w:rsidR="00790168">
        <w:rPr>
          <w:rStyle w:val="FootnoteReference"/>
          <w:rFonts w:eastAsia="SimSun"/>
        </w:rPr>
        <w:footnoteReference w:id="67"/>
      </w:r>
      <w:r w:rsidR="00902913">
        <w:rPr>
          <w:rFonts w:eastAsia="SimSun"/>
        </w:rPr>
        <w:t xml:space="preserve"> </w:t>
      </w:r>
      <w:r w:rsidR="005316AA">
        <w:rPr>
          <w:rFonts w:eastAsia="SimSun"/>
        </w:rPr>
        <w:t>However, he also concedes that, given the relatively good alignment of revenues and underlying costs, this issue has little practical implication in the assignment of costs.</w:t>
      </w:r>
      <w:r w:rsidR="00FC1D8B">
        <w:rPr>
          <w:rStyle w:val="FootnoteReference"/>
          <w:rFonts w:eastAsia="SimSun"/>
        </w:rPr>
        <w:footnoteReference w:id="68"/>
      </w:r>
      <w:r w:rsidR="00902913">
        <w:rPr>
          <w:rFonts w:eastAsia="SimSun"/>
        </w:rPr>
        <w:t xml:space="preserve"> </w:t>
      </w:r>
    </w:p>
    <w:p w:rsidR="00A91720" w:rsidRPr="009075DC" w:rsidRDefault="00A91720" w:rsidP="00A91720">
      <w:pPr>
        <w:pStyle w:val="question"/>
      </w:pPr>
      <w:r w:rsidRPr="009075DC">
        <w:t>Q.</w:t>
      </w:r>
      <w:r w:rsidRPr="009075DC">
        <w:tab/>
      </w:r>
      <w:r>
        <w:t>How do you respond</w:t>
      </w:r>
      <w:r w:rsidRPr="009075DC">
        <w:t>?</w:t>
      </w:r>
    </w:p>
    <w:p w:rsidR="00A91720" w:rsidRDefault="00A91720" w:rsidP="00A91720">
      <w:pPr>
        <w:pStyle w:val="answer"/>
        <w:rPr>
          <w:rFonts w:eastAsia="SimSun"/>
        </w:rPr>
      </w:pPr>
      <w:r w:rsidRPr="009075DC">
        <w:rPr>
          <w:rFonts w:eastAsia="SimSun"/>
        </w:rPr>
        <w:t>A.</w:t>
      </w:r>
      <w:r w:rsidRPr="009075DC">
        <w:rPr>
          <w:rFonts w:eastAsia="SimSun"/>
        </w:rPr>
        <w:tab/>
      </w:r>
      <w:r w:rsidR="005316AA">
        <w:rPr>
          <w:rFonts w:eastAsia="SimSun"/>
        </w:rPr>
        <w:t xml:space="preserve">While seemingly immaterial, </w:t>
      </w:r>
      <w:r w:rsidR="00C4265C">
        <w:rPr>
          <w:rFonts w:eastAsia="SimSun"/>
        </w:rPr>
        <w:t xml:space="preserve">PSE’s position is that a </w:t>
      </w:r>
      <w:r w:rsidR="00790168">
        <w:rPr>
          <w:rFonts w:eastAsia="SimSun"/>
        </w:rPr>
        <w:t xml:space="preserve">cost </w:t>
      </w:r>
      <w:r w:rsidR="00C4265C">
        <w:rPr>
          <w:rFonts w:eastAsia="SimSun"/>
        </w:rPr>
        <w:t xml:space="preserve">of service </w:t>
      </w:r>
      <w:r w:rsidR="00790168">
        <w:rPr>
          <w:rFonts w:eastAsia="SimSun"/>
        </w:rPr>
        <w:t xml:space="preserve">study should </w:t>
      </w:r>
      <w:r w:rsidR="00C4265C">
        <w:rPr>
          <w:rFonts w:eastAsia="SimSun"/>
        </w:rPr>
        <w:t>allocate</w:t>
      </w:r>
      <w:r w:rsidR="00113420">
        <w:rPr>
          <w:rFonts w:eastAsia="SimSun"/>
        </w:rPr>
        <w:t xml:space="preserve"> revenue-depende</w:t>
      </w:r>
      <w:r w:rsidR="00CD3816">
        <w:rPr>
          <w:rFonts w:eastAsia="SimSun"/>
        </w:rPr>
        <w:t>nt</w:t>
      </w:r>
      <w:r w:rsidR="00C4265C">
        <w:rPr>
          <w:rFonts w:eastAsia="SimSun"/>
        </w:rPr>
        <w:t xml:space="preserve"> costs </w:t>
      </w:r>
      <w:r w:rsidR="00790168">
        <w:rPr>
          <w:rFonts w:eastAsia="SimSun"/>
        </w:rPr>
        <w:t>on a cost</w:t>
      </w:r>
      <w:r w:rsidR="00113420">
        <w:rPr>
          <w:rFonts w:eastAsia="SimSun"/>
        </w:rPr>
        <w:t>-</w:t>
      </w:r>
      <w:r w:rsidR="00790168">
        <w:rPr>
          <w:rFonts w:eastAsia="SimSun"/>
        </w:rPr>
        <w:t>basis</w:t>
      </w:r>
      <w:r w:rsidR="00C4265C">
        <w:rPr>
          <w:rFonts w:eastAsia="SimSun"/>
        </w:rPr>
        <w:t>.</w:t>
      </w:r>
      <w:r w:rsidR="00902913">
        <w:rPr>
          <w:rFonts w:eastAsia="SimSun"/>
        </w:rPr>
        <w:t xml:space="preserve"> </w:t>
      </w:r>
      <w:r w:rsidR="00C4265C">
        <w:rPr>
          <w:rFonts w:eastAsia="SimSun"/>
        </w:rPr>
        <w:t xml:space="preserve">To do </w:t>
      </w:r>
      <w:r w:rsidR="00113420">
        <w:rPr>
          <w:rFonts w:eastAsia="SimSun"/>
        </w:rPr>
        <w:t xml:space="preserve">otherwise, </w:t>
      </w:r>
      <w:r w:rsidR="00C4265C">
        <w:rPr>
          <w:rFonts w:eastAsia="SimSun"/>
        </w:rPr>
        <w:t xml:space="preserve">as Mr. Watkins </w:t>
      </w:r>
      <w:r w:rsidR="00113420">
        <w:rPr>
          <w:rFonts w:eastAsia="SimSun"/>
        </w:rPr>
        <w:t>proposes</w:t>
      </w:r>
      <w:r w:rsidR="00CD3816">
        <w:rPr>
          <w:rFonts w:eastAsia="SimSun"/>
        </w:rPr>
        <w:t>, i.e.</w:t>
      </w:r>
      <w:r w:rsidR="009779B0">
        <w:rPr>
          <w:rFonts w:eastAsia="SimSun"/>
        </w:rPr>
        <w:t>,</w:t>
      </w:r>
      <w:r w:rsidR="002A0A85">
        <w:rPr>
          <w:rFonts w:eastAsia="SimSun"/>
        </w:rPr>
        <w:t xml:space="preserve"> to tie</w:t>
      </w:r>
      <w:r w:rsidR="00C4265C">
        <w:rPr>
          <w:rFonts w:eastAsia="SimSun"/>
        </w:rPr>
        <w:t xml:space="preserve"> these </w:t>
      </w:r>
      <w:r w:rsidR="005316AA">
        <w:rPr>
          <w:rFonts w:eastAsia="SimSun"/>
        </w:rPr>
        <w:t xml:space="preserve">revenue-dependent </w:t>
      </w:r>
      <w:r w:rsidR="00C4265C">
        <w:rPr>
          <w:rFonts w:eastAsia="SimSun"/>
        </w:rPr>
        <w:t>costs to actual revenue</w:t>
      </w:r>
      <w:r w:rsidR="00CD3816">
        <w:rPr>
          <w:rFonts w:eastAsia="SimSun"/>
        </w:rPr>
        <w:t>,</w:t>
      </w:r>
      <w:r w:rsidR="005316AA">
        <w:rPr>
          <w:rFonts w:eastAsia="SimSun"/>
        </w:rPr>
        <w:t xml:space="preserve"> creates a </w:t>
      </w:r>
      <w:r w:rsidR="002A0A85">
        <w:rPr>
          <w:rFonts w:eastAsia="SimSun"/>
        </w:rPr>
        <w:t>problem of circularity</w:t>
      </w:r>
      <w:r w:rsidR="00C4265C">
        <w:rPr>
          <w:rFonts w:eastAsia="SimSun"/>
        </w:rPr>
        <w:t xml:space="preserve">, where </w:t>
      </w:r>
      <w:r w:rsidR="005316AA">
        <w:rPr>
          <w:rFonts w:eastAsia="SimSun"/>
        </w:rPr>
        <w:t xml:space="preserve">rates that are set </w:t>
      </w:r>
      <w:r w:rsidR="009779B0">
        <w:rPr>
          <w:rFonts w:eastAsia="SimSun"/>
        </w:rPr>
        <w:t xml:space="preserve">based on actual rate revenue </w:t>
      </w:r>
      <w:r w:rsidR="005316AA">
        <w:rPr>
          <w:rFonts w:eastAsia="SimSun"/>
        </w:rPr>
        <w:t xml:space="preserve">produces </w:t>
      </w:r>
      <w:r w:rsidR="002A0A85">
        <w:rPr>
          <w:rFonts w:eastAsia="SimSun"/>
        </w:rPr>
        <w:t>revenue-depend</w:t>
      </w:r>
      <w:r w:rsidR="00CD3816">
        <w:rPr>
          <w:rFonts w:eastAsia="SimSun"/>
        </w:rPr>
        <w:t>ent</w:t>
      </w:r>
      <w:r w:rsidR="002A0A85">
        <w:rPr>
          <w:rFonts w:eastAsia="SimSun"/>
        </w:rPr>
        <w:t xml:space="preserve"> costs</w:t>
      </w:r>
      <w:r w:rsidR="00180E45">
        <w:rPr>
          <w:rFonts w:eastAsia="SimSun"/>
        </w:rPr>
        <w:t>.</w:t>
      </w:r>
      <w:r w:rsidR="00902913">
        <w:rPr>
          <w:rFonts w:eastAsia="SimSun"/>
        </w:rPr>
        <w:t xml:space="preserve"> </w:t>
      </w:r>
      <w:r w:rsidR="005316AA">
        <w:rPr>
          <w:rFonts w:eastAsia="SimSun"/>
        </w:rPr>
        <w:t xml:space="preserve">For example, if rates were set </w:t>
      </w:r>
      <w:r w:rsidR="009779B0">
        <w:rPr>
          <w:rFonts w:eastAsia="SimSun"/>
        </w:rPr>
        <w:t xml:space="preserve">to collect revenue </w:t>
      </w:r>
      <w:r w:rsidR="005316AA">
        <w:rPr>
          <w:rFonts w:eastAsia="SimSun"/>
        </w:rPr>
        <w:t>below costs, then there would be lower revenue-depende</w:t>
      </w:r>
      <w:r w:rsidR="00CD3816">
        <w:rPr>
          <w:rFonts w:eastAsia="SimSun"/>
        </w:rPr>
        <w:t>nt</w:t>
      </w:r>
      <w:r w:rsidR="005316AA">
        <w:rPr>
          <w:rFonts w:eastAsia="SimSun"/>
        </w:rPr>
        <w:t xml:space="preserve"> costs </w:t>
      </w:r>
      <w:r w:rsidR="009779B0">
        <w:rPr>
          <w:rFonts w:eastAsia="SimSun"/>
        </w:rPr>
        <w:t xml:space="preserve">(e.g., revenue-based taxes) </w:t>
      </w:r>
      <w:r w:rsidR="005316AA">
        <w:rPr>
          <w:rFonts w:eastAsia="SimSun"/>
        </w:rPr>
        <w:t>as a result, which would suggest the need for still lower rates, which would then result in still lower revenue-dependent costs.</w:t>
      </w:r>
      <w:r w:rsidR="00902913">
        <w:rPr>
          <w:rFonts w:eastAsia="SimSun"/>
        </w:rPr>
        <w:t xml:space="preserve"> </w:t>
      </w:r>
      <w:r w:rsidR="005316AA">
        <w:rPr>
          <w:rFonts w:eastAsia="SimSun"/>
        </w:rPr>
        <w:t>And so it would continue.</w:t>
      </w:r>
      <w:r w:rsidR="00902913">
        <w:rPr>
          <w:rFonts w:eastAsia="SimSun"/>
        </w:rPr>
        <w:t xml:space="preserve"> </w:t>
      </w:r>
      <w:r w:rsidR="005316AA">
        <w:rPr>
          <w:rFonts w:eastAsia="SimSun"/>
        </w:rPr>
        <w:t>The way to avoid this circularity is to allocate re</w:t>
      </w:r>
      <w:r w:rsidR="00113420">
        <w:rPr>
          <w:rFonts w:eastAsia="SimSun"/>
        </w:rPr>
        <w:t>venue-depende</w:t>
      </w:r>
      <w:r w:rsidR="00B44F47">
        <w:rPr>
          <w:rFonts w:eastAsia="SimSun"/>
        </w:rPr>
        <w:t>nt</w:t>
      </w:r>
      <w:r w:rsidR="00113420">
        <w:rPr>
          <w:rFonts w:eastAsia="SimSun"/>
        </w:rPr>
        <w:t xml:space="preserve"> expenses on</w:t>
      </w:r>
      <w:r w:rsidR="0014708D">
        <w:rPr>
          <w:rFonts w:eastAsia="SimSun"/>
        </w:rPr>
        <w:t xml:space="preserve"> a</w:t>
      </w:r>
      <w:r w:rsidR="00113420">
        <w:rPr>
          <w:rFonts w:eastAsia="SimSun"/>
        </w:rPr>
        <w:t xml:space="preserve"> cost of service basis </w:t>
      </w:r>
      <w:r w:rsidR="005316AA">
        <w:rPr>
          <w:rFonts w:eastAsia="SimSun"/>
        </w:rPr>
        <w:t>and then independently dec</w:t>
      </w:r>
      <w:r w:rsidR="00113420">
        <w:rPr>
          <w:rFonts w:eastAsia="SimSun"/>
        </w:rPr>
        <w:t>ide</w:t>
      </w:r>
      <w:r w:rsidR="005316AA">
        <w:rPr>
          <w:rFonts w:eastAsia="SimSun"/>
        </w:rPr>
        <w:t xml:space="preserve"> from that point how much (and in which direction) to potentially deviate </w:t>
      </w:r>
      <w:r w:rsidR="00113420">
        <w:rPr>
          <w:rFonts w:eastAsia="SimSun"/>
        </w:rPr>
        <w:t xml:space="preserve">rates </w:t>
      </w:r>
      <w:r w:rsidR="005316AA">
        <w:rPr>
          <w:rFonts w:eastAsia="SimSun"/>
        </w:rPr>
        <w:t>from this cost-basis</w:t>
      </w:r>
      <w:r>
        <w:rPr>
          <w:rFonts w:eastAsia="SimSun"/>
        </w:rPr>
        <w:t>.</w:t>
      </w:r>
    </w:p>
    <w:p w:rsidR="007B08A2" w:rsidRPr="003B5206" w:rsidRDefault="007B08A2" w:rsidP="00A15B24">
      <w:pPr>
        <w:pStyle w:val="PleadingsL2"/>
      </w:pPr>
      <w:bookmarkStart w:id="27" w:name="_Toc489871478"/>
      <w:r>
        <w:t>Allocation of Certain Transmission-Related Expenses</w:t>
      </w:r>
      <w:bookmarkEnd w:id="27"/>
    </w:p>
    <w:p w:rsidR="00A91720" w:rsidRPr="009075DC" w:rsidRDefault="00A91720" w:rsidP="00EC52CB">
      <w:pPr>
        <w:pStyle w:val="question"/>
      </w:pPr>
      <w:r>
        <w:t>Q</w:t>
      </w:r>
      <w:r w:rsidRPr="009075DC">
        <w:t>.</w:t>
      </w:r>
      <w:r w:rsidRPr="009075DC">
        <w:tab/>
      </w:r>
      <w:r>
        <w:t xml:space="preserve">Please summarize </w:t>
      </w:r>
      <w:r w:rsidR="00985554">
        <w:t xml:space="preserve">Public Counsel’s </w:t>
      </w:r>
      <w:r w:rsidR="00790168">
        <w:t xml:space="preserve">issues with </w:t>
      </w:r>
      <w:r>
        <w:t xml:space="preserve">the allocation of PSE’s </w:t>
      </w:r>
      <w:r w:rsidRPr="00EC52CB">
        <w:t>transmission</w:t>
      </w:r>
      <w:r>
        <w:t xml:space="preserve"> expenses.</w:t>
      </w:r>
    </w:p>
    <w:p w:rsidR="00790168" w:rsidRDefault="00A91720" w:rsidP="00790168">
      <w:pPr>
        <w:pStyle w:val="answer"/>
      </w:pPr>
      <w:r w:rsidRPr="009075DC">
        <w:rPr>
          <w:rFonts w:eastAsia="SimSun"/>
        </w:rPr>
        <w:t>A.</w:t>
      </w:r>
      <w:r w:rsidRPr="009075DC">
        <w:rPr>
          <w:rFonts w:eastAsia="SimSun"/>
        </w:rPr>
        <w:tab/>
      </w:r>
      <w:r w:rsidR="00790168">
        <w:rPr>
          <w:rFonts w:eastAsia="SimSun"/>
        </w:rPr>
        <w:t xml:space="preserve">Public Counsel witness Glenn Watkins identifies what he believes to be “one small mathematical error” in the allocation of </w:t>
      </w:r>
      <w:r w:rsidR="00C43809">
        <w:rPr>
          <w:rFonts w:eastAsia="SimSun"/>
        </w:rPr>
        <w:t xml:space="preserve">the </w:t>
      </w:r>
      <w:r w:rsidR="00790168">
        <w:rPr>
          <w:rFonts w:eastAsia="SimSun"/>
        </w:rPr>
        <w:t>following transmission costs:</w:t>
      </w:r>
      <w:r w:rsidR="00902913">
        <w:rPr>
          <w:rFonts w:eastAsia="SimSun"/>
        </w:rPr>
        <w:t xml:space="preserve"> </w:t>
      </w:r>
      <w:r w:rsidR="00790168">
        <w:rPr>
          <w:rFonts w:eastAsia="SimSun"/>
        </w:rPr>
        <w:t>Intangible Transmission Plant, Miscellaneous Deferred Debits – Transmission, Accumulated Deferred Income Taxes – Transmission, Customer Deposits – Transmission, Acquisition Adjustment – Transmission, Amortization of the Acquisition Adjustment – Transmission and Asset Retirement Obligations (“ARO”) – Transmission.</w:t>
      </w:r>
      <w:r w:rsidR="00902913">
        <w:rPr>
          <w:rFonts w:eastAsia="SimSun"/>
        </w:rPr>
        <w:t xml:space="preserve"> </w:t>
      </w:r>
      <w:r w:rsidR="00011365">
        <w:rPr>
          <w:rFonts w:eastAsia="SimSun"/>
        </w:rPr>
        <w:t xml:space="preserve">Specifically, he believes that the Retail Wheeling </w:t>
      </w:r>
      <w:r w:rsidR="002A136E">
        <w:rPr>
          <w:rFonts w:eastAsia="SimSun"/>
        </w:rPr>
        <w:t>c</w:t>
      </w:r>
      <w:r w:rsidR="00011365">
        <w:rPr>
          <w:rFonts w:eastAsia="SimSun"/>
        </w:rPr>
        <w:t>lass should receive a portion of these costs since they use PSE’s transmission system.</w:t>
      </w:r>
      <w:r w:rsidR="00790168">
        <w:rPr>
          <w:rStyle w:val="FootnoteReference"/>
          <w:rFonts w:eastAsia="SimSun"/>
        </w:rPr>
        <w:footnoteReference w:id="69"/>
      </w:r>
    </w:p>
    <w:p w:rsidR="00870E4A" w:rsidRPr="009075DC" w:rsidRDefault="00A91720" w:rsidP="00870E4A">
      <w:pPr>
        <w:pStyle w:val="question"/>
      </w:pPr>
      <w:r w:rsidRPr="009075DC">
        <w:t>Q.</w:t>
      </w:r>
      <w:r w:rsidRPr="009075DC">
        <w:tab/>
      </w:r>
      <w:r>
        <w:t xml:space="preserve">How </w:t>
      </w:r>
      <w:r w:rsidR="00870E4A">
        <w:t>does PSE allocate transmission rate base to customer classes in its cost of service</w:t>
      </w:r>
      <w:r w:rsidR="00180E45">
        <w:t xml:space="preserve"> analysis</w:t>
      </w:r>
      <w:r w:rsidR="00870E4A">
        <w:t>?</w:t>
      </w:r>
    </w:p>
    <w:p w:rsidR="00870E4A" w:rsidRPr="009075DC" w:rsidRDefault="00870E4A" w:rsidP="00870E4A">
      <w:pPr>
        <w:pStyle w:val="question"/>
      </w:pPr>
      <w:r w:rsidRPr="009075DC">
        <w:t>A.</w:t>
      </w:r>
      <w:r w:rsidRPr="009075DC">
        <w:tab/>
      </w:r>
      <w:r w:rsidRPr="001E01EF">
        <w:rPr>
          <w:b w:val="0"/>
        </w:rPr>
        <w:t xml:space="preserve">Transmission costs are classified by either a direct assignment of transmission substation costs </w:t>
      </w:r>
      <w:r>
        <w:rPr>
          <w:b w:val="0"/>
        </w:rPr>
        <w:t xml:space="preserve">(related to the </w:t>
      </w:r>
      <w:r w:rsidRPr="001E01EF">
        <w:rPr>
          <w:b w:val="0"/>
        </w:rPr>
        <w:t>Schedule 62 substation lease tariff</w:t>
      </w:r>
      <w:r>
        <w:rPr>
          <w:b w:val="0"/>
        </w:rPr>
        <w:t>)</w:t>
      </w:r>
      <w:r w:rsidRPr="001E01EF">
        <w:rPr>
          <w:b w:val="0"/>
        </w:rPr>
        <w:t xml:space="preserve"> or two variations of the peak credit methodology in the electric cost of service model.</w:t>
      </w:r>
      <w:r w:rsidR="00902913">
        <w:rPr>
          <w:b w:val="0"/>
        </w:rPr>
        <w:t xml:space="preserve"> </w:t>
      </w:r>
      <w:r w:rsidRPr="001E01EF">
        <w:rPr>
          <w:b w:val="0"/>
        </w:rPr>
        <w:t xml:space="preserve">One </w:t>
      </w:r>
      <w:r>
        <w:rPr>
          <w:b w:val="0"/>
        </w:rPr>
        <w:t>peak credit a</w:t>
      </w:r>
      <w:r w:rsidRPr="00145D5D">
        <w:rPr>
          <w:b w:val="0"/>
        </w:rPr>
        <w:t>llocation</w:t>
      </w:r>
      <w:r w:rsidRPr="001E01EF">
        <w:rPr>
          <w:b w:val="0"/>
        </w:rPr>
        <w:t xml:space="preserve"> factor (“PC3”) includes the </w:t>
      </w:r>
      <w:r w:rsidR="00180E45" w:rsidRPr="001E01EF">
        <w:rPr>
          <w:b w:val="0"/>
        </w:rPr>
        <w:t xml:space="preserve">Retail Wheeling </w:t>
      </w:r>
      <w:r w:rsidRPr="001E01EF">
        <w:rPr>
          <w:b w:val="0"/>
        </w:rPr>
        <w:t xml:space="preserve">class in the allocation calculation and the other (“PC4”) excludes the </w:t>
      </w:r>
      <w:r w:rsidR="00180E45" w:rsidRPr="001E01EF">
        <w:rPr>
          <w:b w:val="0"/>
        </w:rPr>
        <w:t xml:space="preserve">Retail Wheeling </w:t>
      </w:r>
      <w:r w:rsidRPr="001E01EF">
        <w:rPr>
          <w:b w:val="0"/>
        </w:rPr>
        <w:t>class.</w:t>
      </w:r>
      <w:r w:rsidR="00902913">
        <w:rPr>
          <w:b w:val="0"/>
        </w:rPr>
        <w:t xml:space="preserve"> </w:t>
      </w:r>
    </w:p>
    <w:p w:rsidR="00870E4A" w:rsidRPr="00870E4A" w:rsidRDefault="00870E4A" w:rsidP="00EC52CB">
      <w:pPr>
        <w:pStyle w:val="question"/>
      </w:pPr>
      <w:r w:rsidRPr="00870E4A">
        <w:t>Q.</w:t>
      </w:r>
      <w:r w:rsidRPr="00870E4A">
        <w:tab/>
        <w:t>Did PSE properly allocate the transmission rate</w:t>
      </w:r>
      <w:r>
        <w:t xml:space="preserve"> </w:t>
      </w:r>
      <w:r w:rsidRPr="00870E4A">
        <w:t>base identified by Pu</w:t>
      </w:r>
      <w:r w:rsidR="002A136E">
        <w:t>blic Counsel that used the PC4</w:t>
      </w:r>
      <w:r w:rsidRPr="00870E4A">
        <w:t xml:space="preserve"> allocation factor?</w:t>
      </w:r>
    </w:p>
    <w:p w:rsidR="00EA1106" w:rsidRDefault="00870E4A" w:rsidP="00870E4A">
      <w:pPr>
        <w:pStyle w:val="answer"/>
        <w:rPr>
          <w:rFonts w:eastAsia="SimSun"/>
        </w:rPr>
      </w:pPr>
      <w:r>
        <w:t>A.</w:t>
      </w:r>
      <w:r>
        <w:tab/>
      </w:r>
      <w:r w:rsidR="0022312D">
        <w:t>For the most part.</w:t>
      </w:r>
      <w:r w:rsidR="00902913">
        <w:t xml:space="preserve"> </w:t>
      </w:r>
      <w:r w:rsidR="00EA1106">
        <w:t>PSE properly allocated certain t</w:t>
      </w:r>
      <w:r>
        <w:rPr>
          <w:rFonts w:eastAsia="SimSun"/>
        </w:rPr>
        <w:t xml:space="preserve">ransmission costs </w:t>
      </w:r>
      <w:r w:rsidR="00EA1106">
        <w:rPr>
          <w:rFonts w:eastAsia="SimSun"/>
        </w:rPr>
        <w:t>associated with integrating</w:t>
      </w:r>
      <w:r>
        <w:rPr>
          <w:rFonts w:eastAsia="SimSun"/>
        </w:rPr>
        <w:t xml:space="preserve"> generation</w:t>
      </w:r>
      <w:r w:rsidR="00EA1106">
        <w:rPr>
          <w:rFonts w:eastAsia="SimSun"/>
        </w:rPr>
        <w:t xml:space="preserve"> (i.e., “generation integration”) using the PC4 allocation factor</w:t>
      </w:r>
      <w:r w:rsidR="0022312D">
        <w:rPr>
          <w:rFonts w:eastAsia="SimSun"/>
        </w:rPr>
        <w:t>.</w:t>
      </w:r>
      <w:r w:rsidR="00902913">
        <w:rPr>
          <w:rFonts w:eastAsia="SimSun"/>
        </w:rPr>
        <w:t xml:space="preserve"> </w:t>
      </w:r>
      <w:r w:rsidR="0022312D">
        <w:rPr>
          <w:rFonts w:eastAsia="SimSun"/>
        </w:rPr>
        <w:t xml:space="preserve">However, </w:t>
      </w:r>
      <w:r w:rsidR="00180E45">
        <w:rPr>
          <w:rFonts w:eastAsia="SimSun"/>
        </w:rPr>
        <w:t xml:space="preserve">as discussed below, </w:t>
      </w:r>
      <w:r w:rsidR="0022312D">
        <w:rPr>
          <w:rFonts w:eastAsia="SimSun"/>
        </w:rPr>
        <w:t xml:space="preserve">there are a few other transmission costs that </w:t>
      </w:r>
      <w:r w:rsidR="00EA1106">
        <w:rPr>
          <w:rFonts w:eastAsia="SimSun"/>
        </w:rPr>
        <w:t xml:space="preserve">should have </w:t>
      </w:r>
      <w:r w:rsidR="0022312D">
        <w:rPr>
          <w:rFonts w:eastAsia="SimSun"/>
        </w:rPr>
        <w:t xml:space="preserve">been </w:t>
      </w:r>
      <w:r w:rsidR="00EA1106">
        <w:rPr>
          <w:rFonts w:eastAsia="SimSun"/>
        </w:rPr>
        <w:t xml:space="preserve">allocated </w:t>
      </w:r>
      <w:r w:rsidR="0022312D">
        <w:rPr>
          <w:rFonts w:eastAsia="SimSun"/>
        </w:rPr>
        <w:t xml:space="preserve">as </w:t>
      </w:r>
      <w:r w:rsidR="00EA1106">
        <w:rPr>
          <w:rFonts w:eastAsia="SimSun"/>
        </w:rPr>
        <w:t>Public Counsel suggest</w:t>
      </w:r>
      <w:r w:rsidR="0022312D">
        <w:rPr>
          <w:rFonts w:eastAsia="SimSun"/>
        </w:rPr>
        <w:t>s</w:t>
      </w:r>
      <w:r w:rsidR="00EA1106">
        <w:rPr>
          <w:rFonts w:eastAsia="SimSun"/>
        </w:rPr>
        <w:t>.</w:t>
      </w:r>
      <w:r w:rsidR="00902913">
        <w:rPr>
          <w:rFonts w:eastAsia="SimSun"/>
        </w:rPr>
        <w:t xml:space="preserve"> </w:t>
      </w:r>
    </w:p>
    <w:p w:rsidR="00EA1106" w:rsidRPr="0022312D" w:rsidRDefault="00EA1106" w:rsidP="00EC52CB">
      <w:pPr>
        <w:pStyle w:val="question"/>
      </w:pPr>
      <w:r w:rsidRPr="0022312D">
        <w:t>Q.</w:t>
      </w:r>
      <w:r w:rsidRPr="0022312D">
        <w:tab/>
        <w:t>Why do you conclude that generation</w:t>
      </w:r>
      <w:r w:rsidR="0022312D">
        <w:t xml:space="preserve"> integration</w:t>
      </w:r>
      <w:r w:rsidRPr="0022312D">
        <w:t xml:space="preserve"> costs should be allocated using the PC4 allocation factor?</w:t>
      </w:r>
    </w:p>
    <w:p w:rsidR="00870E4A" w:rsidRDefault="00EA1106" w:rsidP="00870E4A">
      <w:pPr>
        <w:pStyle w:val="answer"/>
        <w:rPr>
          <w:rFonts w:eastAsia="SimSun"/>
        </w:rPr>
      </w:pPr>
      <w:r>
        <w:t>A.</w:t>
      </w:r>
      <w:r>
        <w:tab/>
      </w:r>
      <w:r>
        <w:rPr>
          <w:rFonts w:eastAsia="SimSun"/>
        </w:rPr>
        <w:t xml:space="preserve">Retail </w:t>
      </w:r>
      <w:r w:rsidR="00C43809">
        <w:rPr>
          <w:rFonts w:eastAsia="SimSun"/>
        </w:rPr>
        <w:t>W</w:t>
      </w:r>
      <w:r>
        <w:rPr>
          <w:rFonts w:eastAsia="SimSun"/>
        </w:rPr>
        <w:t xml:space="preserve">heeling customers do not use </w:t>
      </w:r>
      <w:r w:rsidR="0022312D" w:rsidRPr="0022312D">
        <w:t>generation integration</w:t>
      </w:r>
      <w:r w:rsidR="0022312D" w:rsidRPr="0022312D">
        <w:rPr>
          <w:b/>
        </w:rPr>
        <w:t xml:space="preserve"> </w:t>
      </w:r>
      <w:r>
        <w:rPr>
          <w:rFonts w:eastAsia="SimSun"/>
        </w:rPr>
        <w:t>facilities to wheel power to their point</w:t>
      </w:r>
      <w:r w:rsidR="0022312D">
        <w:rPr>
          <w:rFonts w:eastAsia="SimSun"/>
        </w:rPr>
        <w:t>s</w:t>
      </w:r>
      <w:r>
        <w:rPr>
          <w:rFonts w:eastAsia="SimSun"/>
        </w:rPr>
        <w:t xml:space="preserve"> of delivery.</w:t>
      </w:r>
      <w:r w:rsidR="00902913">
        <w:rPr>
          <w:rFonts w:eastAsia="SimSun"/>
        </w:rPr>
        <w:t xml:space="preserve"> </w:t>
      </w:r>
      <w:r>
        <w:rPr>
          <w:rFonts w:eastAsia="SimSun"/>
        </w:rPr>
        <w:t xml:space="preserve">Therefore, </w:t>
      </w:r>
      <w:r w:rsidR="0022312D">
        <w:rPr>
          <w:rFonts w:eastAsia="SimSun"/>
        </w:rPr>
        <w:t xml:space="preserve">costs related to </w:t>
      </w:r>
      <w:r>
        <w:rPr>
          <w:rFonts w:eastAsia="SimSun"/>
        </w:rPr>
        <w:t>generation integration</w:t>
      </w:r>
      <w:r w:rsidR="00870E4A">
        <w:rPr>
          <w:rFonts w:eastAsia="SimSun"/>
        </w:rPr>
        <w:t xml:space="preserve"> </w:t>
      </w:r>
      <w:r w:rsidR="0022312D">
        <w:rPr>
          <w:rFonts w:eastAsia="SimSun"/>
        </w:rPr>
        <w:t xml:space="preserve">are </w:t>
      </w:r>
      <w:r>
        <w:rPr>
          <w:rFonts w:eastAsia="SimSun"/>
        </w:rPr>
        <w:t xml:space="preserve">properly </w:t>
      </w:r>
      <w:r w:rsidR="002A136E">
        <w:rPr>
          <w:rFonts w:eastAsia="SimSun"/>
        </w:rPr>
        <w:t xml:space="preserve">allocated using the </w:t>
      </w:r>
      <w:r w:rsidR="00870E4A">
        <w:rPr>
          <w:rFonts w:eastAsia="SimSun"/>
        </w:rPr>
        <w:t>PC4 allocation factor in PSE’s cost of service model</w:t>
      </w:r>
      <w:r>
        <w:rPr>
          <w:rFonts w:eastAsia="SimSun"/>
        </w:rPr>
        <w:t>.</w:t>
      </w:r>
      <w:r w:rsidR="00902913">
        <w:rPr>
          <w:rFonts w:eastAsia="SimSun"/>
        </w:rPr>
        <w:t xml:space="preserve"> </w:t>
      </w:r>
      <w:r>
        <w:rPr>
          <w:rFonts w:eastAsia="SimSun"/>
        </w:rPr>
        <w:t xml:space="preserve">This is consistent with PSE’s </w:t>
      </w:r>
      <w:r w:rsidR="0022312D">
        <w:rPr>
          <w:rFonts w:eastAsia="SimSun"/>
        </w:rPr>
        <w:t>Open Access Transmission Tariff (“</w:t>
      </w:r>
      <w:r>
        <w:rPr>
          <w:rFonts w:eastAsia="SimSun"/>
        </w:rPr>
        <w:t>OATT</w:t>
      </w:r>
      <w:r w:rsidR="0022312D">
        <w:rPr>
          <w:rFonts w:eastAsia="SimSun"/>
        </w:rPr>
        <w:t>”,</w:t>
      </w:r>
      <w:r>
        <w:rPr>
          <w:rFonts w:eastAsia="SimSun"/>
        </w:rPr>
        <w:t xml:space="preserve"> </w:t>
      </w:r>
      <w:r w:rsidR="0022312D">
        <w:rPr>
          <w:rFonts w:eastAsia="SimSun"/>
        </w:rPr>
        <w:t xml:space="preserve">which is </w:t>
      </w:r>
      <w:r>
        <w:rPr>
          <w:rFonts w:eastAsia="SimSun"/>
        </w:rPr>
        <w:t>the</w:t>
      </w:r>
      <w:r w:rsidR="00F62772" w:rsidRPr="00F62772">
        <w:rPr>
          <w:rFonts w:eastAsia="SimSun"/>
        </w:rPr>
        <w:t xml:space="preserve"> </w:t>
      </w:r>
      <w:r w:rsidR="00F62772">
        <w:rPr>
          <w:rFonts w:eastAsia="SimSun"/>
        </w:rPr>
        <w:t>Federal Energy Regulatory Commission (“FERC”)</w:t>
      </w:r>
      <w:r>
        <w:rPr>
          <w:rFonts w:eastAsia="SimSun"/>
        </w:rPr>
        <w:t xml:space="preserve"> tariff under which the </w:t>
      </w:r>
      <w:r w:rsidR="00180E45">
        <w:rPr>
          <w:rFonts w:eastAsia="SimSun"/>
        </w:rPr>
        <w:t xml:space="preserve">Retail Wheeling </w:t>
      </w:r>
      <w:r>
        <w:rPr>
          <w:rFonts w:eastAsia="SimSun"/>
        </w:rPr>
        <w:t>customers are charged for their transmission service), which similarly excludes these costs from tariffed rates</w:t>
      </w:r>
      <w:r w:rsidR="00870E4A">
        <w:rPr>
          <w:rFonts w:eastAsia="SimSun"/>
        </w:rPr>
        <w:t>.</w:t>
      </w:r>
      <w:r w:rsidR="00902913">
        <w:rPr>
          <w:rFonts w:eastAsia="SimSun"/>
        </w:rPr>
        <w:t xml:space="preserve"> </w:t>
      </w:r>
      <w:r w:rsidR="00870E4A">
        <w:rPr>
          <w:rFonts w:eastAsia="SimSun"/>
        </w:rPr>
        <w:t xml:space="preserve">As such, </w:t>
      </w:r>
      <w:r w:rsidR="00870E4A" w:rsidRPr="00180126">
        <w:rPr>
          <w:rFonts w:eastAsia="SimSun"/>
        </w:rPr>
        <w:t>t</w:t>
      </w:r>
      <w:r w:rsidR="00870E4A" w:rsidRPr="001E01EF">
        <w:rPr>
          <w:rFonts w:eastAsia="SimSun"/>
        </w:rPr>
        <w:t xml:space="preserve">he following </w:t>
      </w:r>
      <w:r w:rsidR="00870E4A">
        <w:rPr>
          <w:rFonts w:eastAsia="SimSun"/>
        </w:rPr>
        <w:t>transmission rate</w:t>
      </w:r>
      <w:r>
        <w:rPr>
          <w:rFonts w:eastAsia="SimSun"/>
        </w:rPr>
        <w:t xml:space="preserve"> </w:t>
      </w:r>
      <w:r w:rsidR="00870E4A">
        <w:rPr>
          <w:rFonts w:eastAsia="SimSun"/>
        </w:rPr>
        <w:t>base items identified by Public Counsel</w:t>
      </w:r>
      <w:r>
        <w:rPr>
          <w:rFonts w:eastAsia="SimSun"/>
        </w:rPr>
        <w:t>, which are associated with generation</w:t>
      </w:r>
      <w:r w:rsidR="00870E4A">
        <w:rPr>
          <w:rFonts w:eastAsia="SimSun"/>
        </w:rPr>
        <w:t xml:space="preserve"> </w:t>
      </w:r>
      <w:r>
        <w:rPr>
          <w:rFonts w:eastAsia="SimSun"/>
        </w:rPr>
        <w:t>integration</w:t>
      </w:r>
      <w:r w:rsidR="0022312D">
        <w:rPr>
          <w:rFonts w:eastAsia="SimSun"/>
        </w:rPr>
        <w:t>,</w:t>
      </w:r>
      <w:r w:rsidR="00870E4A" w:rsidRPr="001E01EF">
        <w:rPr>
          <w:rFonts w:eastAsia="SimSun"/>
        </w:rPr>
        <w:t xml:space="preserve"> </w:t>
      </w:r>
      <w:r w:rsidR="00870E4A">
        <w:rPr>
          <w:rFonts w:eastAsia="SimSun"/>
        </w:rPr>
        <w:t>were properly allocated in PSE’s electric cost of service model</w:t>
      </w:r>
      <w:r w:rsidR="00870E4A" w:rsidRPr="001E01EF">
        <w:rPr>
          <w:rFonts w:eastAsia="SimSun"/>
        </w:rPr>
        <w:t>:</w:t>
      </w:r>
      <w:r w:rsidR="00902913">
        <w:rPr>
          <w:rFonts w:eastAsia="SimSun"/>
        </w:rPr>
        <w:t xml:space="preserve"> </w:t>
      </w:r>
      <w:r w:rsidR="00870E4A" w:rsidRPr="001E01EF">
        <w:rPr>
          <w:rFonts w:eastAsia="SimSun"/>
        </w:rPr>
        <w:t>Miscellaneous Deferred Debits (BPA Transmission Hopkins Ridge and Goldendale)</w:t>
      </w:r>
      <w:r w:rsidR="00870E4A">
        <w:rPr>
          <w:rFonts w:eastAsia="SimSun"/>
        </w:rPr>
        <w:t xml:space="preserve"> and the </w:t>
      </w:r>
      <w:r w:rsidR="00870E4A" w:rsidRPr="001E01EF">
        <w:rPr>
          <w:rFonts w:eastAsia="SimSun"/>
        </w:rPr>
        <w:t>Acquisition Adjustment and related Amortization (Milwaukee Railroad).</w:t>
      </w:r>
      <w:r w:rsidR="00902913">
        <w:rPr>
          <w:rFonts w:eastAsia="SimSun"/>
        </w:rPr>
        <w:t xml:space="preserve"> </w:t>
      </w:r>
      <w:r w:rsidR="00870E4A">
        <w:rPr>
          <w:rFonts w:eastAsia="SimSun"/>
        </w:rPr>
        <w:t xml:space="preserve">Additionally, Customer Deposits – Transmission are not deposits made by </w:t>
      </w:r>
      <w:r w:rsidR="002A136E">
        <w:rPr>
          <w:rFonts w:eastAsia="SimSun"/>
        </w:rPr>
        <w:t xml:space="preserve">Retail Wheeling </w:t>
      </w:r>
      <w:r w:rsidR="00870E4A">
        <w:rPr>
          <w:rFonts w:eastAsia="SimSun"/>
        </w:rPr>
        <w:t>customers on PSE’s system, and should also be allocated on the PC4 basis.</w:t>
      </w:r>
    </w:p>
    <w:p w:rsidR="00EA1106" w:rsidRPr="00700A09" w:rsidRDefault="00EA1106" w:rsidP="00EC52CB">
      <w:pPr>
        <w:pStyle w:val="question"/>
      </w:pPr>
      <w:r w:rsidRPr="00700A09">
        <w:t>Q.</w:t>
      </w:r>
      <w:r w:rsidRPr="00700A09">
        <w:tab/>
        <w:t xml:space="preserve">Which transmission costs did Public Counsel properly identify as being allocable to </w:t>
      </w:r>
      <w:r w:rsidR="00180E45" w:rsidRPr="00700A09">
        <w:t>Retail Wheeling customers?</w:t>
      </w:r>
    </w:p>
    <w:p w:rsidR="00870E4A" w:rsidRDefault="00180E45" w:rsidP="00EA1106">
      <w:pPr>
        <w:pStyle w:val="answer"/>
        <w:rPr>
          <w:rFonts w:eastAsia="SimSun"/>
        </w:rPr>
      </w:pPr>
      <w:r>
        <w:rPr>
          <w:rFonts w:eastAsia="SimSun"/>
        </w:rPr>
        <w:t>A.</w:t>
      </w:r>
      <w:r w:rsidR="00EA1106">
        <w:rPr>
          <w:rFonts w:eastAsia="SimSun"/>
        </w:rPr>
        <w:tab/>
        <w:t>T</w:t>
      </w:r>
      <w:r w:rsidR="00870E4A" w:rsidRPr="001E01EF">
        <w:rPr>
          <w:rFonts w:eastAsia="SimSun"/>
        </w:rPr>
        <w:t xml:space="preserve">he Retail Wheeling class </w:t>
      </w:r>
      <w:r w:rsidR="00EA1106">
        <w:rPr>
          <w:rFonts w:eastAsia="SimSun"/>
        </w:rPr>
        <w:t>sh</w:t>
      </w:r>
      <w:r w:rsidR="00870E4A" w:rsidRPr="001E01EF">
        <w:rPr>
          <w:rFonts w:eastAsia="SimSun"/>
        </w:rPr>
        <w:t xml:space="preserve">ould </w:t>
      </w:r>
      <w:r w:rsidR="00EA1106">
        <w:rPr>
          <w:rFonts w:eastAsia="SimSun"/>
        </w:rPr>
        <w:t xml:space="preserve">have </w:t>
      </w:r>
      <w:r w:rsidR="00870E4A" w:rsidRPr="001E01EF">
        <w:rPr>
          <w:rFonts w:eastAsia="SimSun"/>
        </w:rPr>
        <w:t>be</w:t>
      </w:r>
      <w:r w:rsidR="00EA1106">
        <w:rPr>
          <w:rFonts w:eastAsia="SimSun"/>
        </w:rPr>
        <w:t>en</w:t>
      </w:r>
      <w:r w:rsidR="00870E4A" w:rsidRPr="001E01EF">
        <w:rPr>
          <w:rFonts w:eastAsia="SimSun"/>
        </w:rPr>
        <w:t xml:space="preserve"> allocated transmission costs related to the Energy Imbalance Market (“EIM”) found in Intangible Transmission Plant and Accumulated Deferred Income Taxes.</w:t>
      </w:r>
      <w:r w:rsidR="00902913">
        <w:rPr>
          <w:rFonts w:eastAsia="SimSun"/>
        </w:rPr>
        <w:t xml:space="preserve"> </w:t>
      </w:r>
      <w:r w:rsidR="00870E4A" w:rsidRPr="001E01EF">
        <w:rPr>
          <w:rFonts w:eastAsia="SimSun"/>
        </w:rPr>
        <w:t>Additionally, there is no way to differ</w:t>
      </w:r>
      <w:r w:rsidR="00870E4A">
        <w:rPr>
          <w:rFonts w:eastAsia="SimSun"/>
        </w:rPr>
        <w:t>e</w:t>
      </w:r>
      <w:r w:rsidR="00870E4A" w:rsidRPr="001E01EF">
        <w:rPr>
          <w:rFonts w:eastAsia="SimSun"/>
        </w:rPr>
        <w:t xml:space="preserve">ntiate the ARO Transmission Wood Poles, so it </w:t>
      </w:r>
      <w:r w:rsidR="00870E4A">
        <w:rPr>
          <w:rFonts w:eastAsia="SimSun"/>
        </w:rPr>
        <w:t>seems</w:t>
      </w:r>
      <w:r w:rsidR="00870E4A" w:rsidRPr="001E01EF">
        <w:rPr>
          <w:rFonts w:eastAsia="SimSun"/>
        </w:rPr>
        <w:t xml:space="preserve"> reasonable to </w:t>
      </w:r>
      <w:r w:rsidR="00700A09">
        <w:rPr>
          <w:rFonts w:eastAsia="SimSun"/>
        </w:rPr>
        <w:t xml:space="preserve">also </w:t>
      </w:r>
      <w:r w:rsidR="00870E4A" w:rsidRPr="001E01EF">
        <w:rPr>
          <w:rFonts w:eastAsia="SimSun"/>
        </w:rPr>
        <w:t xml:space="preserve">allocate a portion of these costs to the </w:t>
      </w:r>
      <w:r w:rsidRPr="001E01EF">
        <w:rPr>
          <w:rFonts w:eastAsia="SimSun"/>
        </w:rPr>
        <w:t xml:space="preserve">Retail Wheeling </w:t>
      </w:r>
      <w:r w:rsidR="00870E4A" w:rsidRPr="001E01EF">
        <w:rPr>
          <w:rFonts w:eastAsia="SimSun"/>
        </w:rPr>
        <w:t>class</w:t>
      </w:r>
      <w:r w:rsidR="00870E4A">
        <w:rPr>
          <w:rFonts w:eastAsia="SimSun"/>
        </w:rPr>
        <w:t xml:space="preserve"> using the PC3 allocation factor</w:t>
      </w:r>
      <w:r w:rsidR="00870E4A" w:rsidRPr="001E01EF">
        <w:rPr>
          <w:rFonts w:eastAsia="SimSun"/>
        </w:rPr>
        <w:t>.</w:t>
      </w:r>
      <w:r w:rsidR="00902913">
        <w:rPr>
          <w:rFonts w:eastAsia="SimSun"/>
        </w:rPr>
        <w:t xml:space="preserve"> </w:t>
      </w:r>
    </w:p>
    <w:p w:rsidR="00870E4A" w:rsidRPr="00870E4A" w:rsidRDefault="00870E4A" w:rsidP="00EC52CB">
      <w:pPr>
        <w:pStyle w:val="question"/>
      </w:pPr>
      <w:r w:rsidRPr="00870E4A">
        <w:t>Q.</w:t>
      </w:r>
      <w:r w:rsidRPr="00870E4A">
        <w:tab/>
      </w:r>
      <w:r w:rsidR="00700A09">
        <w:t>D</w:t>
      </w:r>
      <w:r w:rsidRPr="00870E4A">
        <w:t>oes the reallocation of these transmission costs affect PSE’s proposed rates for Schedule 449?</w:t>
      </w:r>
    </w:p>
    <w:p w:rsidR="00870E4A" w:rsidRDefault="00870E4A" w:rsidP="00870E4A">
      <w:pPr>
        <w:pStyle w:val="answer"/>
      </w:pPr>
      <w:r>
        <w:rPr>
          <w:rFonts w:eastAsia="SimSun"/>
        </w:rPr>
        <w:t>A.</w:t>
      </w:r>
      <w:r>
        <w:rPr>
          <w:rFonts w:eastAsia="SimSun"/>
        </w:rPr>
        <w:tab/>
      </w:r>
      <w:r w:rsidR="00700A09">
        <w:rPr>
          <w:rFonts w:eastAsia="SimSun"/>
        </w:rPr>
        <w:t>No.</w:t>
      </w:r>
      <w:r w:rsidR="00902913">
        <w:rPr>
          <w:rFonts w:eastAsia="SimSun"/>
        </w:rPr>
        <w:t xml:space="preserve"> </w:t>
      </w:r>
      <w:r w:rsidRPr="001E01EF">
        <w:rPr>
          <w:rFonts w:eastAsia="SimSun"/>
        </w:rPr>
        <w:t xml:space="preserve">There is no impact to the </w:t>
      </w:r>
      <w:r w:rsidR="00180E45">
        <w:rPr>
          <w:rFonts w:eastAsia="SimSun"/>
        </w:rPr>
        <w:t>rates for Schedule 449</w:t>
      </w:r>
      <w:r w:rsidRPr="001E01EF">
        <w:rPr>
          <w:rFonts w:eastAsia="SimSun"/>
        </w:rPr>
        <w:t xml:space="preserve">, since </w:t>
      </w:r>
      <w:r w:rsidR="00700A09">
        <w:rPr>
          <w:rFonts w:eastAsia="SimSun"/>
        </w:rPr>
        <w:t>transmission costs are recovered from these customers under PSE’s OATT.</w:t>
      </w:r>
      <w:r w:rsidR="00902913">
        <w:rPr>
          <w:rFonts w:eastAsia="SimSun"/>
        </w:rPr>
        <w:t xml:space="preserve"> </w:t>
      </w:r>
      <w:r w:rsidR="00700A09">
        <w:rPr>
          <w:rFonts w:eastAsia="SimSun"/>
        </w:rPr>
        <w:t>The only costs subject to Commission jurisdiction that are recovered from these customers are customer-related (recovered through their basic charge) and a small amount of distribution costs recovered through PSE’s Schedule 62 (Substation Leases).</w:t>
      </w:r>
      <w:r w:rsidR="00902913">
        <w:rPr>
          <w:rFonts w:eastAsia="SimSun"/>
        </w:rPr>
        <w:t xml:space="preserve"> </w:t>
      </w:r>
      <w:r w:rsidR="00700A09">
        <w:rPr>
          <w:rFonts w:eastAsia="SimSun"/>
        </w:rPr>
        <w:t>So, while PSE could have been more careful in the allocation of the above noted costs (and will endeavor to do so in future filings), the issue is moot for purposes of this rate proceeding.</w:t>
      </w:r>
    </w:p>
    <w:p w:rsidR="007B08A2" w:rsidRPr="009075DC" w:rsidRDefault="007B08A2" w:rsidP="00A15B24">
      <w:pPr>
        <w:pStyle w:val="PleadingsL1"/>
        <w:rPr>
          <w:rFonts w:eastAsia="SimSun"/>
        </w:rPr>
      </w:pPr>
      <w:bookmarkStart w:id="28" w:name="_Toc489871479"/>
      <w:bookmarkStart w:id="29" w:name="_Toc127023404"/>
      <w:r>
        <w:rPr>
          <w:rFonts w:eastAsia="SimSun"/>
        </w:rPr>
        <w:t>RESPONSE TO ISSUES RAISED REGARDING ELECTRIC RATE SPREAD AND RATE DESIGN</w:t>
      </w:r>
      <w:bookmarkEnd w:id="28"/>
    </w:p>
    <w:p w:rsidR="007B08A2" w:rsidRPr="003B5206" w:rsidRDefault="007B08A2" w:rsidP="00A15B24">
      <w:pPr>
        <w:pStyle w:val="PleadingsL2"/>
      </w:pPr>
      <w:bookmarkStart w:id="30" w:name="_Toc489871480"/>
      <w:r>
        <w:t xml:space="preserve">Rate </w:t>
      </w:r>
      <w:r w:rsidRPr="00A15B24">
        <w:t>Spread</w:t>
      </w:r>
      <w:bookmarkEnd w:id="30"/>
    </w:p>
    <w:p w:rsidR="00A91720" w:rsidRPr="009075DC" w:rsidRDefault="00A91720" w:rsidP="00A91720">
      <w:pPr>
        <w:pStyle w:val="question"/>
      </w:pPr>
      <w:r>
        <w:t>Q</w:t>
      </w:r>
      <w:r w:rsidRPr="009075DC">
        <w:t>.</w:t>
      </w:r>
      <w:r w:rsidRPr="009075DC">
        <w:tab/>
      </w:r>
      <w:r>
        <w:t>Please summarize the various parties’ proposals for PSE’s electric rate spread.</w:t>
      </w:r>
    </w:p>
    <w:p w:rsidR="003A5EB8" w:rsidRDefault="00A91720" w:rsidP="003A5EB8">
      <w:pPr>
        <w:pStyle w:val="answer"/>
        <w:rPr>
          <w:rFonts w:eastAsia="SimSun"/>
        </w:rPr>
      </w:pPr>
      <w:r w:rsidRPr="009075DC">
        <w:rPr>
          <w:rFonts w:eastAsia="SimSun"/>
        </w:rPr>
        <w:t>A.</w:t>
      </w:r>
      <w:r w:rsidRPr="009075DC">
        <w:rPr>
          <w:rFonts w:eastAsia="SimSun"/>
        </w:rPr>
        <w:tab/>
      </w:r>
      <w:r w:rsidR="0040113C">
        <w:rPr>
          <w:rFonts w:eastAsia="SimSun"/>
        </w:rPr>
        <w:t xml:space="preserve">Staff witness Jason Ball agrees with </w:t>
      </w:r>
      <w:r w:rsidR="00C43809">
        <w:rPr>
          <w:rFonts w:eastAsia="SimSun"/>
        </w:rPr>
        <w:t>PSE</w:t>
      </w:r>
      <w:r w:rsidR="0040113C">
        <w:rPr>
          <w:rFonts w:eastAsia="SimSun"/>
        </w:rPr>
        <w:t xml:space="preserve">’s proposed method to address disparities between rate schedules </w:t>
      </w:r>
      <w:r w:rsidR="00DB319B">
        <w:rPr>
          <w:rFonts w:eastAsia="SimSun"/>
        </w:rPr>
        <w:t xml:space="preserve">and </w:t>
      </w:r>
      <w:r w:rsidR="003A5EB8">
        <w:rPr>
          <w:rFonts w:eastAsia="SimSun"/>
        </w:rPr>
        <w:t xml:space="preserve">accepts </w:t>
      </w:r>
      <w:r w:rsidR="00C43809">
        <w:rPr>
          <w:rFonts w:eastAsia="SimSun"/>
        </w:rPr>
        <w:t>PSE</w:t>
      </w:r>
      <w:r w:rsidR="003A5EB8">
        <w:rPr>
          <w:rFonts w:eastAsia="SimSun"/>
        </w:rPr>
        <w:t>’s proposed rate spread methodology.</w:t>
      </w:r>
      <w:r w:rsidR="0040113C">
        <w:rPr>
          <w:rStyle w:val="FootnoteReference"/>
          <w:rFonts w:eastAsia="SimSun"/>
        </w:rPr>
        <w:footnoteReference w:id="70"/>
      </w:r>
      <w:r w:rsidR="00902913">
        <w:rPr>
          <w:rFonts w:eastAsia="SimSun"/>
        </w:rPr>
        <w:t xml:space="preserve"> </w:t>
      </w:r>
    </w:p>
    <w:p w:rsidR="003A5EB8" w:rsidRDefault="00D005A2" w:rsidP="003A5EB8">
      <w:pPr>
        <w:pStyle w:val="answer"/>
        <w:ind w:firstLine="0"/>
        <w:rPr>
          <w:rFonts w:eastAsia="SimSun"/>
        </w:rPr>
      </w:pPr>
      <w:r>
        <w:rPr>
          <w:rFonts w:eastAsia="SimSun"/>
        </w:rPr>
        <w:t xml:space="preserve">Public Counsel witness Glenn Watkins </w:t>
      </w:r>
      <w:r w:rsidR="003A5EB8">
        <w:rPr>
          <w:rFonts w:eastAsia="SimSun"/>
        </w:rPr>
        <w:t xml:space="preserve">advocates for a parity ratio band of </w:t>
      </w:r>
      <w:r>
        <w:rPr>
          <w:rFonts w:eastAsia="SimSun"/>
        </w:rPr>
        <w:t>plus-</w:t>
      </w:r>
      <w:r w:rsidR="00F62772">
        <w:rPr>
          <w:rFonts w:eastAsia="SimSun"/>
        </w:rPr>
        <w:t>or</w:t>
      </w:r>
      <w:r>
        <w:rPr>
          <w:rFonts w:eastAsia="SimSun"/>
        </w:rPr>
        <w:t>-minus</w:t>
      </w:r>
      <w:r w:rsidR="003A5EB8">
        <w:rPr>
          <w:rFonts w:eastAsia="SimSun"/>
        </w:rPr>
        <w:t xml:space="preserve"> 10</w:t>
      </w:r>
      <w:r>
        <w:rPr>
          <w:rFonts w:eastAsia="SimSun"/>
        </w:rPr>
        <w:t xml:space="preserve"> percent</w:t>
      </w:r>
      <w:r w:rsidR="003A5EB8">
        <w:rPr>
          <w:rFonts w:eastAsia="SimSun"/>
        </w:rPr>
        <w:t xml:space="preserve">, which gives classes other than Schedules 35 </w:t>
      </w:r>
      <w:r w:rsidR="00F62772">
        <w:rPr>
          <w:rFonts w:eastAsia="SimSun"/>
        </w:rPr>
        <w:t xml:space="preserve">and </w:t>
      </w:r>
      <w:r w:rsidR="003A5EB8">
        <w:rPr>
          <w:rFonts w:eastAsia="SimSun"/>
        </w:rPr>
        <w:t>449 an adjusted equal percentage increase.</w:t>
      </w:r>
      <w:r w:rsidR="00902913">
        <w:rPr>
          <w:rFonts w:eastAsia="SimSun"/>
        </w:rPr>
        <w:t xml:space="preserve"> </w:t>
      </w:r>
      <w:r>
        <w:rPr>
          <w:rFonts w:eastAsia="SimSun"/>
        </w:rPr>
        <w:t xml:space="preserve">He recommends that </w:t>
      </w:r>
      <w:r w:rsidR="003A5EB8">
        <w:rPr>
          <w:rFonts w:eastAsia="SimSun"/>
        </w:rPr>
        <w:t xml:space="preserve">Schedules 35 </w:t>
      </w:r>
      <w:r w:rsidR="00F62772">
        <w:rPr>
          <w:rFonts w:eastAsia="SimSun"/>
        </w:rPr>
        <w:t xml:space="preserve">and </w:t>
      </w:r>
      <w:r w:rsidR="003A5EB8">
        <w:rPr>
          <w:rFonts w:eastAsia="SimSun"/>
        </w:rPr>
        <w:t>449</w:t>
      </w:r>
      <w:r>
        <w:rPr>
          <w:rFonts w:eastAsia="SimSun"/>
        </w:rPr>
        <w:t>, which</w:t>
      </w:r>
      <w:r w:rsidR="003A5EB8">
        <w:rPr>
          <w:rFonts w:eastAsia="SimSun"/>
        </w:rPr>
        <w:t xml:space="preserve"> are outside this band</w:t>
      </w:r>
      <w:r>
        <w:rPr>
          <w:rFonts w:eastAsia="SimSun"/>
        </w:rPr>
        <w:t>,</w:t>
      </w:r>
      <w:r w:rsidR="003A5EB8">
        <w:rPr>
          <w:rFonts w:eastAsia="SimSun"/>
        </w:rPr>
        <w:t xml:space="preserve"> should receive an increase of 150</w:t>
      </w:r>
      <w:r w:rsidR="00F62772">
        <w:rPr>
          <w:rFonts w:eastAsia="SimSun"/>
        </w:rPr>
        <w:t xml:space="preserve"> percent </w:t>
      </w:r>
      <w:r w:rsidR="003A5EB8">
        <w:rPr>
          <w:rFonts w:eastAsia="SimSun"/>
        </w:rPr>
        <w:t>of the average increase.</w:t>
      </w:r>
      <w:r>
        <w:rPr>
          <w:rStyle w:val="FootnoteReference"/>
          <w:rFonts w:eastAsia="SimSun"/>
        </w:rPr>
        <w:footnoteReference w:id="71"/>
      </w:r>
      <w:r w:rsidR="00902913">
        <w:rPr>
          <w:rFonts w:eastAsia="SimSun"/>
        </w:rPr>
        <w:t xml:space="preserve"> </w:t>
      </w:r>
    </w:p>
    <w:p w:rsidR="003A5EB8" w:rsidRDefault="00D0492C" w:rsidP="003A5EB8">
      <w:pPr>
        <w:pStyle w:val="answer"/>
        <w:ind w:firstLine="0"/>
        <w:rPr>
          <w:rFonts w:eastAsia="SimSun"/>
        </w:rPr>
      </w:pPr>
      <w:r>
        <w:rPr>
          <w:rFonts w:eastAsia="SimSun"/>
        </w:rPr>
        <w:t>ICNU witness Michael Gorman recommends no</w:t>
      </w:r>
      <w:r w:rsidR="003A5EB8">
        <w:rPr>
          <w:rFonts w:eastAsia="SimSun"/>
        </w:rPr>
        <w:t xml:space="preserve"> increase </w:t>
      </w:r>
      <w:r>
        <w:rPr>
          <w:rFonts w:eastAsia="SimSun"/>
        </w:rPr>
        <w:t>for</w:t>
      </w:r>
      <w:r w:rsidR="003A5EB8">
        <w:rPr>
          <w:rFonts w:eastAsia="SimSun"/>
        </w:rPr>
        <w:t xml:space="preserve"> Schedules</w:t>
      </w:r>
      <w:r>
        <w:rPr>
          <w:rFonts w:eastAsia="SimSun"/>
        </w:rPr>
        <w:t xml:space="preserve"> 46 and 49</w:t>
      </w:r>
      <w:r w:rsidR="003A5EB8">
        <w:rPr>
          <w:rFonts w:eastAsia="SimSun"/>
        </w:rPr>
        <w:t xml:space="preserve"> (and the resulting production/transmission portion of Schedule 40).</w:t>
      </w:r>
      <w:r w:rsidR="00902913">
        <w:rPr>
          <w:rFonts w:eastAsia="SimSun"/>
        </w:rPr>
        <w:t xml:space="preserve"> </w:t>
      </w:r>
      <w:r w:rsidR="00DB319B">
        <w:rPr>
          <w:rFonts w:eastAsia="SimSun"/>
        </w:rPr>
        <w:t>He makes no</w:t>
      </w:r>
      <w:r>
        <w:rPr>
          <w:rFonts w:eastAsia="SimSun"/>
        </w:rPr>
        <w:t xml:space="preserve"> recommendation for the other rate schedules.</w:t>
      </w:r>
      <w:r>
        <w:rPr>
          <w:rStyle w:val="FootnoteReference"/>
          <w:rFonts w:eastAsia="SimSun"/>
        </w:rPr>
        <w:footnoteReference w:id="72"/>
      </w:r>
      <w:r w:rsidR="003A5EB8">
        <w:rPr>
          <w:rFonts w:eastAsia="SimSun"/>
        </w:rPr>
        <w:t xml:space="preserve"> </w:t>
      </w:r>
    </w:p>
    <w:p w:rsidR="003A5EB8" w:rsidRDefault="00D005A2" w:rsidP="003A5EB8">
      <w:pPr>
        <w:pStyle w:val="answer"/>
        <w:ind w:firstLine="0"/>
        <w:rPr>
          <w:rFonts w:eastAsia="SimSun"/>
        </w:rPr>
      </w:pPr>
      <w:r>
        <w:rPr>
          <w:rFonts w:eastAsia="SimSun"/>
        </w:rPr>
        <w:t xml:space="preserve">Kroger witness Kevin Higgins recommends that rate schedules needing a rate decrease to achieve parity (Secondary and High Voltage) should receive no more than 35 percent of the adjusted average increase. He also recommends that General Service - Primary Voltage customers should receive </w:t>
      </w:r>
      <w:r w:rsidR="003A5EB8">
        <w:rPr>
          <w:rFonts w:eastAsia="SimSun"/>
        </w:rPr>
        <w:t>65</w:t>
      </w:r>
      <w:r>
        <w:rPr>
          <w:rFonts w:eastAsia="SimSun"/>
        </w:rPr>
        <w:t xml:space="preserve"> percent</w:t>
      </w:r>
      <w:r w:rsidR="003A5EB8">
        <w:rPr>
          <w:rFonts w:eastAsia="SimSun"/>
        </w:rPr>
        <w:t xml:space="preserve"> of </w:t>
      </w:r>
      <w:r>
        <w:rPr>
          <w:rFonts w:eastAsia="SimSun"/>
        </w:rPr>
        <w:t>the average increas</w:t>
      </w:r>
      <w:r w:rsidR="003A5EB8">
        <w:rPr>
          <w:rFonts w:eastAsia="SimSun"/>
        </w:rPr>
        <w:t>e.</w:t>
      </w:r>
      <w:r w:rsidR="00D0492C">
        <w:rPr>
          <w:rStyle w:val="FootnoteReference"/>
          <w:rFonts w:eastAsia="SimSun"/>
        </w:rPr>
        <w:footnoteReference w:id="73"/>
      </w:r>
    </w:p>
    <w:p w:rsidR="00A91720" w:rsidRDefault="00D0492C" w:rsidP="003A5EB8">
      <w:pPr>
        <w:pStyle w:val="answer"/>
        <w:ind w:firstLine="0"/>
      </w:pPr>
      <w:r>
        <w:rPr>
          <w:rFonts w:eastAsia="SimSun"/>
        </w:rPr>
        <w:t xml:space="preserve">FEA witness Ali Al-Jabir recommends that there be no </w:t>
      </w:r>
      <w:r w:rsidR="003A5EB8">
        <w:rPr>
          <w:rFonts w:eastAsia="SimSun"/>
        </w:rPr>
        <w:t>increase for Secondary and High Voltage Customers (and related production/transmission linkage to Schedule 40).</w:t>
      </w:r>
      <w:r w:rsidR="00902913">
        <w:rPr>
          <w:rFonts w:eastAsia="SimSun"/>
        </w:rPr>
        <w:t xml:space="preserve"> </w:t>
      </w:r>
      <w:r>
        <w:rPr>
          <w:rFonts w:eastAsia="SimSun"/>
        </w:rPr>
        <w:t>He accepts the rest of PSE’s electric rate spread proposal.</w:t>
      </w:r>
      <w:r>
        <w:rPr>
          <w:rStyle w:val="FootnoteReference"/>
          <w:rFonts w:eastAsia="SimSun"/>
        </w:rPr>
        <w:footnoteReference w:id="74"/>
      </w:r>
      <w:r w:rsidR="00902913">
        <w:rPr>
          <w:rFonts w:eastAsia="SimSun"/>
        </w:rPr>
        <w:t xml:space="preserve"> </w:t>
      </w:r>
    </w:p>
    <w:p w:rsidR="00A91720" w:rsidRPr="009075DC" w:rsidRDefault="00A91720" w:rsidP="00A91720">
      <w:pPr>
        <w:pStyle w:val="question"/>
      </w:pPr>
      <w:r w:rsidRPr="009075DC">
        <w:t>Q.</w:t>
      </w:r>
      <w:r w:rsidRPr="009075DC">
        <w:tab/>
      </w:r>
      <w:r>
        <w:t>How do you respond</w:t>
      </w:r>
      <w:r w:rsidR="00C36869">
        <w:t xml:space="preserve"> to Mr. Watkins’ </w:t>
      </w:r>
      <w:r w:rsidR="00EA05F8">
        <w:t xml:space="preserve">rate spread </w:t>
      </w:r>
      <w:r w:rsidR="00C36869">
        <w:t>proposals</w:t>
      </w:r>
      <w:r w:rsidRPr="009075DC">
        <w:t>?</w:t>
      </w:r>
    </w:p>
    <w:p w:rsidR="00C36869" w:rsidRDefault="00A91720" w:rsidP="00A91720">
      <w:pPr>
        <w:pStyle w:val="answer"/>
        <w:rPr>
          <w:rFonts w:eastAsia="SimSun"/>
        </w:rPr>
      </w:pPr>
      <w:r w:rsidRPr="009075DC">
        <w:rPr>
          <w:rFonts w:eastAsia="SimSun"/>
        </w:rPr>
        <w:t>A.</w:t>
      </w:r>
      <w:r w:rsidRPr="009075DC">
        <w:rPr>
          <w:rFonts w:eastAsia="SimSun"/>
        </w:rPr>
        <w:tab/>
      </w:r>
      <w:r w:rsidR="00C36869">
        <w:rPr>
          <w:rFonts w:eastAsia="SimSun"/>
        </w:rPr>
        <w:t>As I generally do not agree with his proposed changes to the cost of service, my frame of reference is my own cost of service and, importantly, parity results</w:t>
      </w:r>
      <w:r w:rsidR="00894225">
        <w:rPr>
          <w:rFonts w:eastAsia="SimSun"/>
        </w:rPr>
        <w:t>.</w:t>
      </w:r>
      <w:r w:rsidR="00C36869">
        <w:rPr>
          <w:rFonts w:eastAsia="SimSun"/>
        </w:rPr>
        <w:t xml:space="preserve"> Based on that, I believe the larger deadband is reasonable so long as it is also recognized that adopting Mr. Watkins’ larger deadbands </w:t>
      </w:r>
      <w:r w:rsidR="00EA05F8">
        <w:rPr>
          <w:rFonts w:eastAsia="SimSun"/>
        </w:rPr>
        <w:t xml:space="preserve">somewhat </w:t>
      </w:r>
      <w:r w:rsidR="00C36869">
        <w:rPr>
          <w:rFonts w:eastAsia="SimSun"/>
        </w:rPr>
        <w:t>dilutes the importance of cost of service results overall.</w:t>
      </w:r>
      <w:r w:rsidR="00902913">
        <w:rPr>
          <w:rFonts w:eastAsia="SimSun"/>
        </w:rPr>
        <w:t xml:space="preserve"> </w:t>
      </w:r>
      <w:r w:rsidR="00EA05F8">
        <w:rPr>
          <w:rFonts w:eastAsia="SimSun"/>
        </w:rPr>
        <w:t xml:space="preserve">This may be appropriate given the </w:t>
      </w:r>
      <w:r w:rsidR="00700A09">
        <w:rPr>
          <w:rFonts w:eastAsia="SimSun"/>
        </w:rPr>
        <w:t>lack</w:t>
      </w:r>
      <w:r w:rsidR="00EA05F8">
        <w:rPr>
          <w:rFonts w:eastAsia="SimSun"/>
        </w:rPr>
        <w:t xml:space="preserve"> of </w:t>
      </w:r>
      <w:r w:rsidR="00D843AA">
        <w:rPr>
          <w:rFonts w:eastAsia="SimSun"/>
        </w:rPr>
        <w:t xml:space="preserve">recent </w:t>
      </w:r>
      <w:r w:rsidR="00EA05F8">
        <w:rPr>
          <w:rFonts w:eastAsia="SimSun"/>
        </w:rPr>
        <w:t>Commission direction on its views as to the appropriate methods for allocating costs in these studies.</w:t>
      </w:r>
      <w:r w:rsidR="00902913">
        <w:rPr>
          <w:rFonts w:eastAsia="SimSun"/>
        </w:rPr>
        <w:t xml:space="preserve"> </w:t>
      </w:r>
      <w:r w:rsidR="00EA05F8">
        <w:rPr>
          <w:rFonts w:eastAsia="SimSun"/>
        </w:rPr>
        <w:t>B</w:t>
      </w:r>
      <w:r w:rsidR="00C36869">
        <w:rPr>
          <w:rFonts w:eastAsia="SimSun"/>
        </w:rPr>
        <w:t>ased on</w:t>
      </w:r>
      <w:r w:rsidR="00EA05F8">
        <w:rPr>
          <w:rFonts w:eastAsia="SimSun"/>
        </w:rPr>
        <w:t xml:space="preserve"> Mr. Watkins’ proposed deadbands and</w:t>
      </w:r>
      <w:r w:rsidR="00C36869">
        <w:rPr>
          <w:rFonts w:eastAsia="SimSun"/>
        </w:rPr>
        <w:t xml:space="preserve"> PSE’s electric cost of service results, </w:t>
      </w:r>
      <w:r w:rsidR="0022312D">
        <w:rPr>
          <w:rFonts w:eastAsia="SimSun"/>
        </w:rPr>
        <w:t xml:space="preserve">most </w:t>
      </w:r>
      <w:r w:rsidR="00C36869">
        <w:rPr>
          <w:rFonts w:eastAsia="SimSun"/>
        </w:rPr>
        <w:t>rate group</w:t>
      </w:r>
      <w:r w:rsidR="0022312D">
        <w:rPr>
          <w:rFonts w:eastAsia="SimSun"/>
        </w:rPr>
        <w:t>s</w:t>
      </w:r>
      <w:r w:rsidR="00C36869">
        <w:rPr>
          <w:rFonts w:eastAsia="SimSun"/>
        </w:rPr>
        <w:t xml:space="preserve"> would get an average increase.</w:t>
      </w:r>
      <w:r w:rsidR="00902913">
        <w:rPr>
          <w:rFonts w:eastAsia="SimSun"/>
        </w:rPr>
        <w:t xml:space="preserve"> </w:t>
      </w:r>
      <w:r w:rsidR="00C36869">
        <w:rPr>
          <w:rFonts w:eastAsia="SimSun"/>
        </w:rPr>
        <w:t xml:space="preserve">I also have no disagreement with his proposal to give Schedule 35 </w:t>
      </w:r>
      <w:r w:rsidR="00D843AA">
        <w:rPr>
          <w:rFonts w:eastAsia="SimSun"/>
        </w:rPr>
        <w:t xml:space="preserve">a rate increase that is </w:t>
      </w:r>
      <w:r w:rsidR="00C36869">
        <w:rPr>
          <w:rFonts w:eastAsia="SimSun"/>
        </w:rPr>
        <w:t>150 percent of the average, as my own study shows that this rate schedule has a parity ratio well below 1.0.</w:t>
      </w:r>
      <w:r w:rsidR="00902913">
        <w:rPr>
          <w:rFonts w:eastAsia="SimSun"/>
        </w:rPr>
        <w:t xml:space="preserve"> </w:t>
      </w:r>
      <w:r w:rsidR="00C36869">
        <w:rPr>
          <w:rFonts w:eastAsia="SimSun"/>
        </w:rPr>
        <w:t>However, I disagree with Mr. Watkins’ proposal to also give customers served under Schedule 449 a</w:t>
      </w:r>
      <w:r w:rsidR="00EA05F8">
        <w:rPr>
          <w:rFonts w:eastAsia="SimSun"/>
        </w:rPr>
        <w:t xml:space="preserve"> rate</w:t>
      </w:r>
      <w:r w:rsidR="00C36869">
        <w:rPr>
          <w:rFonts w:eastAsia="SimSun"/>
        </w:rPr>
        <w:t xml:space="preserve"> increase equal to 150 percent of the average.</w:t>
      </w:r>
    </w:p>
    <w:p w:rsidR="00C36869" w:rsidRPr="00C36869" w:rsidRDefault="00C36869" w:rsidP="00EC52CB">
      <w:pPr>
        <w:pStyle w:val="question"/>
      </w:pPr>
      <w:r w:rsidRPr="00C36869">
        <w:t>Q.</w:t>
      </w:r>
      <w:r w:rsidRPr="00C36869">
        <w:tab/>
        <w:t>Why do you disagree with Mr. Watkins’ proposal to increase Schedule 449 rates by 150 percent of the average?</w:t>
      </w:r>
    </w:p>
    <w:p w:rsidR="00A91720" w:rsidRDefault="00C36869" w:rsidP="00A91720">
      <w:pPr>
        <w:pStyle w:val="answer"/>
        <w:rPr>
          <w:rFonts w:eastAsia="SimSun"/>
        </w:rPr>
      </w:pPr>
      <w:r>
        <w:rPr>
          <w:rFonts w:eastAsia="SimSun"/>
        </w:rPr>
        <w:t>A.</w:t>
      </w:r>
      <w:r>
        <w:rPr>
          <w:rFonts w:eastAsia="SimSun"/>
        </w:rPr>
        <w:tab/>
        <w:t>His proposal fundamentally misunderstands the nature of service received under this sched</w:t>
      </w:r>
      <w:r w:rsidR="00D843AA">
        <w:rPr>
          <w:rFonts w:eastAsia="SimSun"/>
        </w:rPr>
        <w:t>ule.</w:t>
      </w:r>
      <w:r w:rsidR="00902913">
        <w:rPr>
          <w:rFonts w:eastAsia="SimSun"/>
        </w:rPr>
        <w:t xml:space="preserve"> </w:t>
      </w:r>
      <w:r w:rsidR="0022312D">
        <w:rPr>
          <w:rFonts w:eastAsia="SimSun"/>
        </w:rPr>
        <w:t>As alluded to earlier, t</w:t>
      </w:r>
      <w:r w:rsidR="00D843AA">
        <w:rPr>
          <w:rFonts w:eastAsia="SimSun"/>
        </w:rPr>
        <w:t>he vast majority of the revenues recovered from these</w:t>
      </w:r>
      <w:r>
        <w:rPr>
          <w:rFonts w:eastAsia="SimSun"/>
        </w:rPr>
        <w:t xml:space="preserve"> customer</w:t>
      </w:r>
      <w:r w:rsidR="00D843AA">
        <w:rPr>
          <w:rFonts w:eastAsia="SimSun"/>
        </w:rPr>
        <w:t>s</w:t>
      </w:r>
      <w:r>
        <w:rPr>
          <w:rFonts w:eastAsia="SimSun"/>
        </w:rPr>
        <w:t xml:space="preserve"> are not subject to the jurisdiction of the Commission.</w:t>
      </w:r>
      <w:r w:rsidR="00902913">
        <w:rPr>
          <w:rFonts w:eastAsia="SimSun"/>
        </w:rPr>
        <w:t xml:space="preserve"> </w:t>
      </w:r>
      <w:r>
        <w:rPr>
          <w:rFonts w:eastAsia="SimSun"/>
        </w:rPr>
        <w:t xml:space="preserve">Rather they are </w:t>
      </w:r>
      <w:r w:rsidR="00817D16">
        <w:rPr>
          <w:rFonts w:eastAsia="SimSun"/>
        </w:rPr>
        <w:t>subject to the jurisdiction of the</w:t>
      </w:r>
      <w:r w:rsidR="00F62772">
        <w:rPr>
          <w:rFonts w:eastAsia="SimSun"/>
        </w:rPr>
        <w:t xml:space="preserve"> FERC</w:t>
      </w:r>
      <w:r w:rsidR="00817D16">
        <w:rPr>
          <w:rFonts w:eastAsia="SimSun"/>
        </w:rPr>
        <w:t>, specifically pursuant to PSE’s OATT.</w:t>
      </w:r>
      <w:r w:rsidR="00902913">
        <w:rPr>
          <w:rFonts w:eastAsia="SimSun"/>
        </w:rPr>
        <w:t xml:space="preserve"> </w:t>
      </w:r>
      <w:r w:rsidR="00817D16">
        <w:rPr>
          <w:rFonts w:eastAsia="SimSun"/>
        </w:rPr>
        <w:t>The only Commission-jurisdictional costs are customer-related (e.g., billing, metering, meter reading, customer service, etc.).</w:t>
      </w:r>
      <w:r w:rsidR="00BA438F">
        <w:rPr>
          <w:rStyle w:val="FootnoteReference"/>
          <w:rFonts w:eastAsia="SimSun"/>
        </w:rPr>
        <w:footnoteReference w:id="75"/>
      </w:r>
      <w:r w:rsidR="00902913">
        <w:rPr>
          <w:rFonts w:eastAsia="SimSun"/>
        </w:rPr>
        <w:t xml:space="preserve"> </w:t>
      </w:r>
      <w:r w:rsidR="00817D16">
        <w:rPr>
          <w:rFonts w:eastAsia="SimSun"/>
        </w:rPr>
        <w:t>PSE has proposed basic charges for Schedule 449 in line with these costs.</w:t>
      </w:r>
      <w:r w:rsidR="00902913">
        <w:rPr>
          <w:rFonts w:eastAsia="SimSun"/>
        </w:rPr>
        <w:t xml:space="preserve"> </w:t>
      </w:r>
      <w:r w:rsidR="00817D16">
        <w:rPr>
          <w:rFonts w:eastAsia="SimSun"/>
        </w:rPr>
        <w:t>All other differences between the revenues collected from these customers and the allocated costs is reflective of the differences between how rates are set and revenues are recovered through PSE’s OATT and how costs are generally allocated for purposes of setting Commission-jurisdictional rates.</w:t>
      </w:r>
      <w:r w:rsidR="00902913">
        <w:rPr>
          <w:rFonts w:eastAsia="SimSun"/>
        </w:rPr>
        <w:t xml:space="preserve"> </w:t>
      </w:r>
      <w:r w:rsidR="00817D16">
        <w:rPr>
          <w:rFonts w:eastAsia="SimSun"/>
        </w:rPr>
        <w:t>Doing what Mr. Watkins’ proposes would have the practical effect of collecting the difference in ratemaking treatment between the Commission and FERC for Schedule 449 for transmission-related costs through their basic charge, effectively subjecting an otherwise FERC-jurisdictional customer to Commission-based rates.</w:t>
      </w:r>
      <w:r w:rsidR="00902913">
        <w:rPr>
          <w:rFonts w:eastAsia="SimSun"/>
        </w:rPr>
        <w:t xml:space="preserve"> </w:t>
      </w:r>
    </w:p>
    <w:p w:rsidR="006473EC" w:rsidRPr="00C41A76" w:rsidRDefault="006473EC" w:rsidP="00EC52CB">
      <w:pPr>
        <w:pStyle w:val="question"/>
      </w:pPr>
      <w:r w:rsidRPr="00C41A76">
        <w:t>Q.</w:t>
      </w:r>
      <w:r w:rsidRPr="00C41A76">
        <w:tab/>
        <w:t>How</w:t>
      </w:r>
      <w:r w:rsidRPr="00EC52CB">
        <w:t xml:space="preserve"> </w:t>
      </w:r>
      <w:r w:rsidRPr="00C41A76">
        <w:t>do you respond to Mr. Gorman’s</w:t>
      </w:r>
      <w:r w:rsidR="00904F7D">
        <w:t xml:space="preserve"> rate spread</w:t>
      </w:r>
      <w:r w:rsidRPr="00C41A76">
        <w:t xml:space="preserve"> proposal</w:t>
      </w:r>
      <w:r w:rsidR="00904F7D">
        <w:t>?</w:t>
      </w:r>
      <w:r w:rsidRPr="00C41A76">
        <w:t xml:space="preserve"> </w:t>
      </w:r>
    </w:p>
    <w:p w:rsidR="00904F7D" w:rsidRDefault="006473EC" w:rsidP="00A91720">
      <w:pPr>
        <w:pStyle w:val="answer"/>
        <w:rPr>
          <w:rFonts w:eastAsia="SimSun"/>
        </w:rPr>
      </w:pPr>
      <w:r>
        <w:rPr>
          <w:rFonts w:eastAsia="SimSun"/>
        </w:rPr>
        <w:t>A.</w:t>
      </w:r>
      <w:r>
        <w:rPr>
          <w:rFonts w:eastAsia="SimSun"/>
        </w:rPr>
        <w:tab/>
        <w:t xml:space="preserve">I believe Mr. Gorman’s proposal </w:t>
      </w:r>
      <w:r w:rsidR="00CB54E5">
        <w:rPr>
          <w:rFonts w:eastAsia="SimSun"/>
        </w:rPr>
        <w:t xml:space="preserve">puts </w:t>
      </w:r>
      <w:r>
        <w:rPr>
          <w:rFonts w:eastAsia="SimSun"/>
        </w:rPr>
        <w:t>too much weight on the results of PSE’s cost of service</w:t>
      </w:r>
      <w:r w:rsidR="00BA438F">
        <w:rPr>
          <w:rFonts w:eastAsia="SimSun"/>
        </w:rPr>
        <w:t xml:space="preserve"> analysis</w:t>
      </w:r>
      <w:r>
        <w:rPr>
          <w:rFonts w:eastAsia="SimSun"/>
        </w:rPr>
        <w:t>.</w:t>
      </w:r>
      <w:r w:rsidR="00902913">
        <w:rPr>
          <w:rFonts w:eastAsia="SimSun"/>
        </w:rPr>
        <w:t xml:space="preserve"> </w:t>
      </w:r>
      <w:r w:rsidR="00C41A76">
        <w:rPr>
          <w:rFonts w:eastAsia="SimSun"/>
        </w:rPr>
        <w:t xml:space="preserve">While cost is certainly an important consideration, there are clearly many other factors to consider </w:t>
      </w:r>
      <w:r w:rsidR="00DA2D0B">
        <w:rPr>
          <w:rFonts w:eastAsia="SimSun"/>
        </w:rPr>
        <w:t xml:space="preserve">when setting rates for electric service </w:t>
      </w:r>
      <w:r w:rsidR="00C41A76">
        <w:rPr>
          <w:rFonts w:eastAsia="SimSun"/>
        </w:rPr>
        <w:t>in the public interest.</w:t>
      </w:r>
      <w:r w:rsidR="00902913">
        <w:rPr>
          <w:rFonts w:eastAsia="SimSun"/>
        </w:rPr>
        <w:t xml:space="preserve"> </w:t>
      </w:r>
      <w:r w:rsidR="00C41A76">
        <w:rPr>
          <w:rFonts w:eastAsia="SimSun"/>
        </w:rPr>
        <w:t>Moreover, the uncertainty related to the “true” cost of service should be considered.</w:t>
      </w:r>
      <w:r w:rsidR="00902913">
        <w:rPr>
          <w:rFonts w:eastAsia="SimSun"/>
        </w:rPr>
        <w:t xml:space="preserve"> </w:t>
      </w:r>
      <w:r>
        <w:rPr>
          <w:rFonts w:eastAsia="SimSun"/>
        </w:rPr>
        <w:t>Indeed, this</w:t>
      </w:r>
      <w:r w:rsidR="00C41A76">
        <w:rPr>
          <w:rFonts w:eastAsia="SimSun"/>
        </w:rPr>
        <w:t xml:space="preserve"> may explain, in part,</w:t>
      </w:r>
      <w:r>
        <w:rPr>
          <w:rFonts w:eastAsia="SimSun"/>
        </w:rPr>
        <w:t xml:space="preserve"> w</w:t>
      </w:r>
      <w:r w:rsidR="00C41A76">
        <w:rPr>
          <w:rFonts w:eastAsia="SimSun"/>
        </w:rPr>
        <w:t>hy the Commission has generally not set rates purely on the results of any one cost study.</w:t>
      </w:r>
      <w:r w:rsidR="00902913">
        <w:rPr>
          <w:rFonts w:eastAsia="SimSun"/>
        </w:rPr>
        <w:t xml:space="preserve"> </w:t>
      </w:r>
      <w:r w:rsidR="00DA2D0B">
        <w:rPr>
          <w:rFonts w:eastAsia="SimSun"/>
        </w:rPr>
        <w:t>Mr. Gorman’s proposal instead appears to be focused narrowly on only one factor, cost and cost alone</w:t>
      </w:r>
      <w:r w:rsidR="00EA05F8">
        <w:rPr>
          <w:rFonts w:eastAsia="SimSun"/>
        </w:rPr>
        <w:t>, and recommends a pace of change in rates that is far less gradual than recent Commission precedent in this state</w:t>
      </w:r>
      <w:r w:rsidR="00DA2D0B">
        <w:rPr>
          <w:rFonts w:eastAsia="SimSun"/>
        </w:rPr>
        <w:t>.</w:t>
      </w:r>
      <w:r w:rsidR="00902913">
        <w:rPr>
          <w:rFonts w:eastAsia="SimSun"/>
        </w:rPr>
        <w:t xml:space="preserve"> </w:t>
      </w:r>
      <w:r w:rsidR="00DA2D0B">
        <w:rPr>
          <w:rFonts w:eastAsia="SimSun"/>
        </w:rPr>
        <w:t>For the foregoing reasons, the Commission should reject Mr. Gorman’s rate spread proposal.</w:t>
      </w:r>
      <w:r w:rsidR="00563CDF">
        <w:rPr>
          <w:rFonts w:eastAsia="SimSun"/>
        </w:rPr>
        <w:t xml:space="preserve"> </w:t>
      </w:r>
    </w:p>
    <w:p w:rsidR="00563CDF" w:rsidRPr="00563CDF" w:rsidRDefault="00563CDF" w:rsidP="00EC52CB">
      <w:pPr>
        <w:pStyle w:val="question"/>
      </w:pPr>
      <w:r w:rsidRPr="00563CDF">
        <w:t>Q.</w:t>
      </w:r>
      <w:r w:rsidRPr="00563CDF">
        <w:tab/>
        <w:t>How do you respond to Mr. Higgins</w:t>
      </w:r>
      <w:r w:rsidR="00C43809" w:rsidRPr="00563CDF">
        <w:t>’</w:t>
      </w:r>
      <w:r w:rsidRPr="00563CDF">
        <w:t xml:space="preserve"> rate spread proposal?</w:t>
      </w:r>
    </w:p>
    <w:p w:rsidR="00904F7D" w:rsidRDefault="00563CDF" w:rsidP="00904F7D">
      <w:pPr>
        <w:pStyle w:val="answer"/>
        <w:rPr>
          <w:rFonts w:eastAsia="SimSun"/>
        </w:rPr>
      </w:pPr>
      <w:r>
        <w:rPr>
          <w:rFonts w:eastAsia="SimSun"/>
        </w:rPr>
        <w:t>A.</w:t>
      </w:r>
      <w:r>
        <w:rPr>
          <w:rFonts w:eastAsia="SimSun"/>
        </w:rPr>
        <w:tab/>
        <w:t>My response here echoes the one I had to Mr. Gorman’s proposal</w:t>
      </w:r>
      <w:r w:rsidR="00700A09">
        <w:rPr>
          <w:rFonts w:eastAsia="SimSun"/>
        </w:rPr>
        <w:t>.</w:t>
      </w:r>
      <w:r w:rsidR="00902913">
        <w:rPr>
          <w:rFonts w:eastAsia="SimSun"/>
        </w:rPr>
        <w:t xml:space="preserve"> </w:t>
      </w:r>
      <w:r w:rsidR="00700A09">
        <w:rPr>
          <w:rFonts w:eastAsia="SimSun"/>
        </w:rPr>
        <w:t>I</w:t>
      </w:r>
      <w:r>
        <w:rPr>
          <w:rFonts w:eastAsia="SimSun"/>
        </w:rPr>
        <w:t>t appears to be too dependent on the result of one cost of service analysis and may not adequately consider the range of potential outcomes that would result under other reasonable alternatives.</w:t>
      </w:r>
      <w:r w:rsidR="00902913">
        <w:rPr>
          <w:rFonts w:eastAsia="SimSun"/>
        </w:rPr>
        <w:t xml:space="preserve"> </w:t>
      </w:r>
      <w:r>
        <w:rPr>
          <w:rFonts w:eastAsia="SimSun"/>
        </w:rPr>
        <w:t xml:space="preserve">To his credit, Mr. Higgins appears to </w:t>
      </w:r>
      <w:r w:rsidR="00CB54E5">
        <w:rPr>
          <w:rFonts w:eastAsia="SimSun"/>
        </w:rPr>
        <w:t>at least acknowledge</w:t>
      </w:r>
      <w:r>
        <w:rPr>
          <w:rFonts w:eastAsia="SimSun"/>
        </w:rPr>
        <w:t xml:space="preserve"> the need to move</w:t>
      </w:r>
      <w:r w:rsidR="00D843AA">
        <w:rPr>
          <w:rFonts w:eastAsia="SimSun"/>
        </w:rPr>
        <w:t xml:space="preserve"> more </w:t>
      </w:r>
      <w:r>
        <w:rPr>
          <w:rFonts w:eastAsia="SimSun"/>
        </w:rPr>
        <w:t>gradually towards cost of service.</w:t>
      </w:r>
      <w:r w:rsidR="00902913">
        <w:rPr>
          <w:rFonts w:eastAsia="SimSun"/>
        </w:rPr>
        <w:t xml:space="preserve"> </w:t>
      </w:r>
      <w:r>
        <w:rPr>
          <w:rFonts w:eastAsia="SimSun"/>
        </w:rPr>
        <w:t>However, his recommended pace of change toward rates that reflect parity appears out of step with precedent in this state and lacking any analytical or policy support.</w:t>
      </w:r>
      <w:r w:rsidR="00902913">
        <w:rPr>
          <w:rFonts w:eastAsia="SimSun"/>
        </w:rPr>
        <w:t xml:space="preserve"> </w:t>
      </w:r>
      <w:r>
        <w:rPr>
          <w:rFonts w:eastAsia="SimSun"/>
        </w:rPr>
        <w:t xml:space="preserve">While </w:t>
      </w:r>
      <w:r w:rsidR="007102EE">
        <w:rPr>
          <w:rFonts w:eastAsia="SimSun"/>
        </w:rPr>
        <w:t xml:space="preserve">the </w:t>
      </w:r>
      <w:r>
        <w:rPr>
          <w:rFonts w:eastAsia="SimSun"/>
        </w:rPr>
        <w:t xml:space="preserve">Commission </w:t>
      </w:r>
      <w:r w:rsidR="00EA05F8">
        <w:rPr>
          <w:rFonts w:eastAsia="SimSun"/>
        </w:rPr>
        <w:t xml:space="preserve">should </w:t>
      </w:r>
      <w:r w:rsidR="00224D4C">
        <w:rPr>
          <w:rFonts w:eastAsia="SimSun"/>
        </w:rPr>
        <w:t xml:space="preserve">retain </w:t>
      </w:r>
      <w:r w:rsidR="00EA05F8">
        <w:rPr>
          <w:rFonts w:eastAsia="SimSun"/>
        </w:rPr>
        <w:t>a certain degree of flexibility</w:t>
      </w:r>
      <w:r w:rsidR="00224D4C">
        <w:rPr>
          <w:rFonts w:eastAsia="SimSun"/>
        </w:rPr>
        <w:t xml:space="preserve"> relative to its precedents</w:t>
      </w:r>
      <w:r>
        <w:rPr>
          <w:rFonts w:eastAsia="SimSun"/>
        </w:rPr>
        <w:t>, the justification for proposals to move away from that precedent should be better supported.</w:t>
      </w:r>
      <w:r w:rsidR="00902913">
        <w:rPr>
          <w:rFonts w:eastAsia="SimSun"/>
        </w:rPr>
        <w:t xml:space="preserve"> </w:t>
      </w:r>
      <w:r>
        <w:rPr>
          <w:rFonts w:eastAsia="SimSun"/>
        </w:rPr>
        <w:t>As a result, I would recommend that the Commission reject Mr. Higgins</w:t>
      </w:r>
      <w:r w:rsidR="00C43809">
        <w:rPr>
          <w:rFonts w:eastAsia="SimSun"/>
        </w:rPr>
        <w:t>’</w:t>
      </w:r>
      <w:r>
        <w:rPr>
          <w:rFonts w:eastAsia="SimSun"/>
        </w:rPr>
        <w:t xml:space="preserve"> rate spread proposal.</w:t>
      </w:r>
      <w:r w:rsidR="00902913">
        <w:rPr>
          <w:rFonts w:eastAsia="SimSun"/>
        </w:rPr>
        <w:t xml:space="preserve"> </w:t>
      </w:r>
      <w:r w:rsidR="00904F7D">
        <w:rPr>
          <w:rFonts w:eastAsia="SimSun"/>
        </w:rPr>
        <w:t>Perhaps, when the Commission has been able to weigh in more definitively on its preferred methods for determining jurisdictional class cost of service, then it would be more timely to quicken the pace of moving rate classes towards parity subject, of course, to other relevant public interest considerations.</w:t>
      </w:r>
    </w:p>
    <w:p w:rsidR="007B08A2" w:rsidRPr="009075DC" w:rsidRDefault="007B08A2" w:rsidP="007B08A2">
      <w:pPr>
        <w:pStyle w:val="question"/>
      </w:pPr>
      <w:r w:rsidRPr="009075DC">
        <w:t>Q.</w:t>
      </w:r>
      <w:r w:rsidRPr="009075DC">
        <w:tab/>
      </w:r>
      <w:r w:rsidR="00904F7D">
        <w:t xml:space="preserve">How </w:t>
      </w:r>
      <w:r w:rsidR="00A15E0B">
        <w:t>d</w:t>
      </w:r>
      <w:r w:rsidR="00904F7D">
        <w:t>o you respond to Mr. Al-Jabir’s rate spread proposal</w:t>
      </w:r>
      <w:r w:rsidRPr="009075DC">
        <w:t>?</w:t>
      </w:r>
    </w:p>
    <w:p w:rsidR="007B08A2" w:rsidRDefault="007B08A2" w:rsidP="007B08A2">
      <w:pPr>
        <w:pStyle w:val="answer"/>
      </w:pPr>
      <w:r w:rsidRPr="009075DC">
        <w:rPr>
          <w:rFonts w:eastAsia="SimSun"/>
        </w:rPr>
        <w:t>A.</w:t>
      </w:r>
      <w:r w:rsidRPr="009075DC">
        <w:rPr>
          <w:rFonts w:eastAsia="SimSun"/>
        </w:rPr>
        <w:tab/>
      </w:r>
      <w:r w:rsidR="00904F7D">
        <w:rPr>
          <w:rFonts w:eastAsia="SimSun"/>
        </w:rPr>
        <w:t>My response is the same given to Mr. Gorman’s proposal</w:t>
      </w:r>
      <w:r w:rsidR="007102EE">
        <w:rPr>
          <w:rFonts w:eastAsia="SimSun"/>
        </w:rPr>
        <w:t>.</w:t>
      </w:r>
      <w:r w:rsidR="00904F7D">
        <w:rPr>
          <w:rFonts w:eastAsia="SimSun"/>
        </w:rPr>
        <w:t xml:space="preserve"> </w:t>
      </w:r>
      <w:r w:rsidR="00EA05F8">
        <w:rPr>
          <w:rFonts w:eastAsia="SimSun"/>
        </w:rPr>
        <w:t xml:space="preserve">Mr. Al-Jabir puts too much weight </w:t>
      </w:r>
      <w:r w:rsidR="00A15E0B">
        <w:rPr>
          <w:rFonts w:eastAsia="SimSun"/>
        </w:rPr>
        <w:t xml:space="preserve">on </w:t>
      </w:r>
      <w:r w:rsidR="00EA05F8">
        <w:rPr>
          <w:rFonts w:eastAsia="SimSun"/>
        </w:rPr>
        <w:t xml:space="preserve">one cost of </w:t>
      </w:r>
      <w:r w:rsidR="00A15E0B">
        <w:rPr>
          <w:rFonts w:eastAsia="SimSun"/>
        </w:rPr>
        <w:t xml:space="preserve">service study as the basis for </w:t>
      </w:r>
      <w:r w:rsidR="00EA05F8">
        <w:rPr>
          <w:rFonts w:eastAsia="SimSun"/>
        </w:rPr>
        <w:t>his recommendations</w:t>
      </w:r>
      <w:r w:rsidR="007102EE">
        <w:rPr>
          <w:rFonts w:eastAsia="SimSun"/>
        </w:rPr>
        <w:t>.</w:t>
      </w:r>
      <w:r w:rsidR="00902913">
        <w:rPr>
          <w:rFonts w:eastAsia="SimSun"/>
        </w:rPr>
        <w:t xml:space="preserve"> </w:t>
      </w:r>
      <w:r w:rsidR="007102EE">
        <w:rPr>
          <w:rFonts w:eastAsia="SimSun"/>
        </w:rPr>
        <w:t>Additionally, his</w:t>
      </w:r>
      <w:r w:rsidR="00EA05F8">
        <w:rPr>
          <w:rFonts w:eastAsia="SimSun"/>
        </w:rPr>
        <w:t xml:space="preserve"> </w:t>
      </w:r>
      <w:r w:rsidR="007102EE">
        <w:rPr>
          <w:rFonts w:eastAsia="SimSun"/>
        </w:rPr>
        <w:t>pace of change is</w:t>
      </w:r>
      <w:r w:rsidR="00224D4C">
        <w:rPr>
          <w:rFonts w:eastAsia="SimSun"/>
        </w:rPr>
        <w:t xml:space="preserve"> far less gradual tha</w:t>
      </w:r>
      <w:r w:rsidR="00EA05F8">
        <w:rPr>
          <w:rFonts w:eastAsia="SimSun"/>
        </w:rPr>
        <w:t>n traditional Commission practice</w:t>
      </w:r>
      <w:r w:rsidR="007102EE">
        <w:rPr>
          <w:rFonts w:eastAsia="SimSun"/>
        </w:rPr>
        <w:t>,</w:t>
      </w:r>
      <w:r w:rsidR="00EA05F8">
        <w:rPr>
          <w:rFonts w:eastAsia="SimSun"/>
        </w:rPr>
        <w:t xml:space="preserve"> without adequate support.</w:t>
      </w:r>
      <w:r w:rsidR="00902913">
        <w:rPr>
          <w:rFonts w:eastAsia="SimSun"/>
        </w:rPr>
        <w:t xml:space="preserve"> </w:t>
      </w:r>
      <w:r w:rsidR="00EA05F8">
        <w:rPr>
          <w:rFonts w:eastAsia="SimSun"/>
        </w:rPr>
        <w:t>For the same reasons, I recommend that the Commission reject Mr. Al-Jabir’s rate spread proposal</w:t>
      </w:r>
      <w:r>
        <w:rPr>
          <w:rFonts w:eastAsia="SimSun"/>
        </w:rPr>
        <w:t>.</w:t>
      </w:r>
    </w:p>
    <w:p w:rsidR="007B08A2" w:rsidRPr="003B5206" w:rsidRDefault="007B08A2" w:rsidP="00A15B24">
      <w:pPr>
        <w:pStyle w:val="PleadingsL2"/>
      </w:pPr>
      <w:bookmarkStart w:id="31" w:name="_Toc489871481"/>
      <w:r>
        <w:t>Residential Rate</w:t>
      </w:r>
      <w:bookmarkEnd w:id="31"/>
      <w:r>
        <w:t xml:space="preserve"> </w:t>
      </w:r>
    </w:p>
    <w:p w:rsidR="007B08A2" w:rsidRPr="009075DC" w:rsidRDefault="007B08A2" w:rsidP="007B08A2">
      <w:pPr>
        <w:pStyle w:val="question"/>
      </w:pPr>
      <w:r w:rsidRPr="009075DC">
        <w:t>Q.</w:t>
      </w:r>
      <w:r w:rsidRPr="009075DC">
        <w:tab/>
      </w:r>
      <w:r w:rsidR="00A91720">
        <w:t>Please summarize the elements of residential rate design where parties proposed changes.</w:t>
      </w:r>
    </w:p>
    <w:p w:rsidR="007B08A2" w:rsidRDefault="007B08A2" w:rsidP="007B08A2">
      <w:pPr>
        <w:pStyle w:val="answer"/>
        <w:rPr>
          <w:rFonts w:eastAsia="SimSun"/>
        </w:rPr>
      </w:pPr>
      <w:r w:rsidRPr="009075DC">
        <w:rPr>
          <w:rFonts w:eastAsia="SimSun"/>
        </w:rPr>
        <w:t>A.</w:t>
      </w:r>
      <w:r w:rsidRPr="009075DC">
        <w:rPr>
          <w:rFonts w:eastAsia="SimSun"/>
        </w:rPr>
        <w:tab/>
      </w:r>
      <w:r w:rsidR="00A91720">
        <w:rPr>
          <w:rFonts w:eastAsia="SimSun"/>
        </w:rPr>
        <w:t>Several parties to this case proposed changes to the way PSE calculate</w:t>
      </w:r>
      <w:r w:rsidR="00985554">
        <w:rPr>
          <w:rFonts w:eastAsia="SimSun"/>
        </w:rPr>
        <w:t>s</w:t>
      </w:r>
      <w:r w:rsidR="00A91720">
        <w:rPr>
          <w:rFonts w:eastAsia="SimSun"/>
        </w:rPr>
        <w:t xml:space="preserve"> residential electric basic charges.</w:t>
      </w:r>
      <w:r w:rsidR="00902913">
        <w:rPr>
          <w:rFonts w:eastAsia="SimSun"/>
        </w:rPr>
        <w:t xml:space="preserve"> </w:t>
      </w:r>
      <w:r w:rsidR="00A91720">
        <w:rPr>
          <w:rFonts w:eastAsia="SimSun"/>
        </w:rPr>
        <w:t>In addition, Staff proposed to introduce a new minimum charge and proposed to re-introduce seasonal rates for PSE’s residential electric customers.</w:t>
      </w:r>
      <w:r w:rsidR="00902913">
        <w:rPr>
          <w:rFonts w:eastAsia="SimSun"/>
        </w:rPr>
        <w:t xml:space="preserve"> </w:t>
      </w:r>
      <w:r w:rsidR="00A91720">
        <w:rPr>
          <w:rFonts w:eastAsia="SimSun"/>
        </w:rPr>
        <w:t>Finally, the Coalition made proposals related to the calculation and application of a possible third-block energy rate</w:t>
      </w:r>
      <w:r>
        <w:rPr>
          <w:rFonts w:eastAsia="SimSun"/>
        </w:rPr>
        <w:t>.</w:t>
      </w:r>
    </w:p>
    <w:p w:rsidR="005B22A5" w:rsidRPr="009075DC" w:rsidRDefault="005B22A5" w:rsidP="00A15B24">
      <w:pPr>
        <w:pStyle w:val="PleadingsL3"/>
        <w:rPr>
          <w:rFonts w:eastAsia="SimSun"/>
        </w:rPr>
      </w:pPr>
      <w:bookmarkStart w:id="32" w:name="_Toc489871482"/>
      <w:r>
        <w:rPr>
          <w:rFonts w:eastAsia="SimSun"/>
        </w:rPr>
        <w:t xml:space="preserve">Basic </w:t>
      </w:r>
      <w:r w:rsidR="003945A0">
        <w:rPr>
          <w:rFonts w:eastAsia="SimSun"/>
        </w:rPr>
        <w:t xml:space="preserve">and Minimum </w:t>
      </w:r>
      <w:r>
        <w:rPr>
          <w:rFonts w:eastAsia="SimSun"/>
        </w:rPr>
        <w:t>Charge</w:t>
      </w:r>
      <w:bookmarkEnd w:id="32"/>
    </w:p>
    <w:p w:rsidR="00A91720" w:rsidRPr="009075DC" w:rsidRDefault="00A91720" w:rsidP="00A91720">
      <w:pPr>
        <w:pStyle w:val="question"/>
      </w:pPr>
      <w:r>
        <w:t>Q</w:t>
      </w:r>
      <w:r w:rsidRPr="009075DC">
        <w:t>.</w:t>
      </w:r>
      <w:r w:rsidRPr="009075DC">
        <w:tab/>
      </w:r>
      <w:r>
        <w:t>Please summarize the various parties’ proposals for the calculation of PSE’s basic charge for residential electric customers.</w:t>
      </w:r>
    </w:p>
    <w:p w:rsidR="003A5EB8" w:rsidRDefault="00A91720" w:rsidP="003A5EB8">
      <w:pPr>
        <w:pStyle w:val="answer"/>
        <w:rPr>
          <w:rFonts w:eastAsia="SimSun"/>
        </w:rPr>
      </w:pPr>
      <w:r w:rsidRPr="009075DC">
        <w:rPr>
          <w:rFonts w:eastAsia="SimSun"/>
        </w:rPr>
        <w:t>A.</w:t>
      </w:r>
      <w:r w:rsidRPr="009075DC">
        <w:rPr>
          <w:rFonts w:eastAsia="SimSun"/>
        </w:rPr>
        <w:tab/>
      </w:r>
      <w:r w:rsidR="0066292E">
        <w:rPr>
          <w:rFonts w:eastAsia="SimSun"/>
        </w:rPr>
        <w:t xml:space="preserve">Staff witness Jason Ball recommends retaining the existing </w:t>
      </w:r>
      <w:r w:rsidR="003A5EB8">
        <w:rPr>
          <w:rFonts w:eastAsia="SimSun"/>
        </w:rPr>
        <w:t xml:space="preserve">$7.87 </w:t>
      </w:r>
      <w:r w:rsidR="0066292E">
        <w:rPr>
          <w:rFonts w:eastAsia="SimSun"/>
        </w:rPr>
        <w:t>basic charge, but add</w:t>
      </w:r>
      <w:r w:rsidR="0062257E">
        <w:rPr>
          <w:rFonts w:eastAsia="SimSun"/>
        </w:rPr>
        <w:t>ing</w:t>
      </w:r>
      <w:r w:rsidR="0066292E">
        <w:rPr>
          <w:rFonts w:eastAsia="SimSun"/>
        </w:rPr>
        <w:t xml:space="preserve"> a </w:t>
      </w:r>
      <w:r w:rsidR="003A5EB8">
        <w:rPr>
          <w:rFonts w:eastAsia="SimSun"/>
        </w:rPr>
        <w:t xml:space="preserve">minimum </w:t>
      </w:r>
      <w:r w:rsidR="0066292E">
        <w:rPr>
          <w:rFonts w:eastAsia="SimSun"/>
        </w:rPr>
        <w:t xml:space="preserve">charge of </w:t>
      </w:r>
      <w:r w:rsidR="003A5EB8">
        <w:rPr>
          <w:rFonts w:eastAsia="SimSun"/>
        </w:rPr>
        <w:t>$3.01 to recover all customer costs (including transformers).</w:t>
      </w:r>
      <w:r w:rsidR="0066292E">
        <w:rPr>
          <w:rStyle w:val="FootnoteReference"/>
          <w:rFonts w:eastAsia="SimSun"/>
        </w:rPr>
        <w:footnoteReference w:id="76"/>
      </w:r>
      <w:r w:rsidR="00902913">
        <w:rPr>
          <w:rFonts w:eastAsia="SimSun"/>
        </w:rPr>
        <w:t xml:space="preserve"> </w:t>
      </w:r>
    </w:p>
    <w:p w:rsidR="003A5EB8" w:rsidRDefault="001A112C" w:rsidP="003A5EB8">
      <w:pPr>
        <w:pStyle w:val="answer"/>
        <w:ind w:firstLine="0"/>
        <w:rPr>
          <w:rFonts w:eastAsia="SimSun"/>
        </w:rPr>
      </w:pPr>
      <w:r>
        <w:rPr>
          <w:rFonts w:eastAsia="SimSun"/>
        </w:rPr>
        <w:t>Coalition witness Amanda Levin recommends that there be no</w:t>
      </w:r>
      <w:r w:rsidR="003A5EB8">
        <w:rPr>
          <w:rFonts w:eastAsia="SimSun"/>
        </w:rPr>
        <w:t xml:space="preserve"> increase to </w:t>
      </w:r>
      <w:r>
        <w:rPr>
          <w:rFonts w:eastAsia="SimSun"/>
        </w:rPr>
        <w:t>PSE’s b</w:t>
      </w:r>
      <w:r w:rsidR="003A5EB8">
        <w:rPr>
          <w:rFonts w:eastAsia="SimSun"/>
        </w:rPr>
        <w:t xml:space="preserve">asic </w:t>
      </w:r>
      <w:r>
        <w:rPr>
          <w:rFonts w:eastAsia="SimSun"/>
        </w:rPr>
        <w:t>c</w:t>
      </w:r>
      <w:r w:rsidR="003A5EB8">
        <w:rPr>
          <w:rFonts w:eastAsia="SimSun"/>
        </w:rPr>
        <w:t>harge.</w:t>
      </w:r>
      <w:r w:rsidR="00902913">
        <w:rPr>
          <w:rFonts w:eastAsia="SimSun"/>
        </w:rPr>
        <w:t xml:space="preserve"> </w:t>
      </w:r>
      <w:r>
        <w:rPr>
          <w:rFonts w:eastAsia="SimSun"/>
        </w:rPr>
        <w:t>She further recommends the Commission direct PSE to study the difference in residential cost of service between rural, suburban and multi-family customers, including an in-depth examination of low-income customers, including low and high usage households.</w:t>
      </w:r>
      <w:r w:rsidR="00902913">
        <w:rPr>
          <w:rFonts w:eastAsia="SimSun"/>
        </w:rPr>
        <w:t xml:space="preserve"> </w:t>
      </w:r>
      <w:r w:rsidR="006A536B">
        <w:rPr>
          <w:rFonts w:eastAsia="SimSun"/>
        </w:rPr>
        <w:t>Ms. Levin recommends that t</w:t>
      </w:r>
      <w:r>
        <w:rPr>
          <w:rFonts w:eastAsia="SimSun"/>
        </w:rPr>
        <w:t>his study should be submitted to the Commission within a year of the conclusion of this proceeding so it can guide future rate changes.</w:t>
      </w:r>
      <w:r>
        <w:rPr>
          <w:rStyle w:val="FootnoteReference"/>
          <w:rFonts w:eastAsia="SimSun"/>
        </w:rPr>
        <w:footnoteReference w:id="77"/>
      </w:r>
      <w:r w:rsidR="00902913">
        <w:rPr>
          <w:rFonts w:eastAsia="SimSun"/>
        </w:rPr>
        <w:t xml:space="preserve"> </w:t>
      </w:r>
    </w:p>
    <w:p w:rsidR="003A5EB8" w:rsidRDefault="001A112C" w:rsidP="003A5EB8">
      <w:pPr>
        <w:pStyle w:val="answer"/>
        <w:ind w:firstLine="0"/>
        <w:rPr>
          <w:rFonts w:eastAsia="SimSun"/>
        </w:rPr>
      </w:pPr>
      <w:r>
        <w:rPr>
          <w:rFonts w:eastAsia="SimSun"/>
        </w:rPr>
        <w:t>TEP witness Shawn Collins makes no specific rate recommendation for the basic charge other than to urge the Commission to continue to adhere to its principle that basic charges reflect only “direct customer costs.”</w:t>
      </w:r>
      <w:r>
        <w:rPr>
          <w:rStyle w:val="FootnoteReference"/>
          <w:rFonts w:eastAsia="SimSun"/>
        </w:rPr>
        <w:footnoteReference w:id="78"/>
      </w:r>
    </w:p>
    <w:p w:rsidR="001C1EAE" w:rsidRDefault="0066292E" w:rsidP="001C1EAE">
      <w:pPr>
        <w:pStyle w:val="answer"/>
        <w:ind w:firstLine="0"/>
        <w:rPr>
          <w:rFonts w:eastAsia="SimSun"/>
        </w:rPr>
      </w:pPr>
      <w:r>
        <w:rPr>
          <w:rFonts w:eastAsia="SimSun"/>
        </w:rPr>
        <w:t>Public Counsel witness Glenn Watkins recommends reducing PSE’s electric residential basic charge to $7.50.</w:t>
      </w:r>
      <w:r>
        <w:rPr>
          <w:rStyle w:val="FootnoteReference"/>
          <w:rFonts w:eastAsia="SimSun"/>
        </w:rPr>
        <w:footnoteReference w:id="79"/>
      </w:r>
    </w:p>
    <w:p w:rsidR="00A91720" w:rsidRPr="009075DC" w:rsidRDefault="00A91720" w:rsidP="00A91720">
      <w:pPr>
        <w:pStyle w:val="question"/>
      </w:pPr>
      <w:r w:rsidRPr="009075DC">
        <w:t>Q.</w:t>
      </w:r>
      <w:r w:rsidRPr="009075DC">
        <w:tab/>
      </w:r>
      <w:r>
        <w:t>How do you respond</w:t>
      </w:r>
      <w:r w:rsidR="006A536B">
        <w:t xml:space="preserve"> to Mr. Ball’s residential </w:t>
      </w:r>
      <w:r w:rsidR="009A46C7">
        <w:t>basic charge</w:t>
      </w:r>
      <w:r w:rsidR="006A536B">
        <w:t xml:space="preserve"> proposal</w:t>
      </w:r>
      <w:r w:rsidRPr="009075DC">
        <w:t>?</w:t>
      </w:r>
    </w:p>
    <w:p w:rsidR="00A91720" w:rsidRDefault="00A91720" w:rsidP="00A91720">
      <w:pPr>
        <w:pStyle w:val="answer"/>
        <w:rPr>
          <w:rFonts w:eastAsia="SimSun"/>
        </w:rPr>
      </w:pPr>
      <w:r w:rsidRPr="009075DC">
        <w:rPr>
          <w:rFonts w:eastAsia="SimSun"/>
        </w:rPr>
        <w:t>A.</w:t>
      </w:r>
      <w:r w:rsidRPr="009075DC">
        <w:rPr>
          <w:rFonts w:eastAsia="SimSun"/>
        </w:rPr>
        <w:tab/>
      </w:r>
      <w:r w:rsidR="006A536B">
        <w:rPr>
          <w:rFonts w:eastAsia="SimSun"/>
        </w:rPr>
        <w:t xml:space="preserve">While I am encouraged to see Mr. Ball </w:t>
      </w:r>
      <w:r w:rsidR="00A15E0B">
        <w:rPr>
          <w:rFonts w:eastAsia="SimSun"/>
        </w:rPr>
        <w:t>recommending that the Commission</w:t>
      </w:r>
      <w:r w:rsidR="006A536B">
        <w:rPr>
          <w:rFonts w:eastAsia="SimSun"/>
        </w:rPr>
        <w:t xml:space="preserve"> treat transformers as customer-related costs, I am not convinced that his minimum bill proposal </w:t>
      </w:r>
      <w:r w:rsidR="00BD06BD">
        <w:rPr>
          <w:rFonts w:eastAsia="SimSun"/>
        </w:rPr>
        <w:t xml:space="preserve">actually serves to recover </w:t>
      </w:r>
      <w:r w:rsidR="00920919">
        <w:rPr>
          <w:rFonts w:eastAsia="SimSun"/>
        </w:rPr>
        <w:t>enough additional cost</w:t>
      </w:r>
      <w:r w:rsidR="00BD06BD">
        <w:rPr>
          <w:rFonts w:eastAsia="SimSun"/>
        </w:rPr>
        <w:t xml:space="preserve"> </w:t>
      </w:r>
      <w:r w:rsidR="006A536B">
        <w:rPr>
          <w:rFonts w:eastAsia="SimSun"/>
        </w:rPr>
        <w:t>to outweigh other practical considerations.</w:t>
      </w:r>
      <w:r w:rsidR="00902913">
        <w:rPr>
          <w:rFonts w:eastAsia="SimSun"/>
        </w:rPr>
        <w:t xml:space="preserve"> </w:t>
      </w:r>
      <w:r w:rsidR="00C43809">
        <w:rPr>
          <w:rFonts w:eastAsia="SimSun"/>
        </w:rPr>
        <w:t xml:space="preserve">PSE </w:t>
      </w:r>
      <w:r w:rsidR="00A14703">
        <w:rPr>
          <w:rFonts w:eastAsia="SimSun"/>
        </w:rPr>
        <w:t xml:space="preserve">generally agrees with Mr. Ball’s </w:t>
      </w:r>
      <w:r w:rsidR="009A46C7">
        <w:rPr>
          <w:rFonts w:eastAsia="SimSun"/>
        </w:rPr>
        <w:t>interest in reducing residential customer cross-subsidization</w:t>
      </w:r>
      <w:r w:rsidR="009A46C7">
        <w:rPr>
          <w:rStyle w:val="FootnoteReference"/>
          <w:rFonts w:eastAsia="SimSun"/>
        </w:rPr>
        <w:footnoteReference w:id="80"/>
      </w:r>
      <w:r w:rsidR="009A46C7">
        <w:rPr>
          <w:rFonts w:eastAsia="SimSun"/>
        </w:rPr>
        <w:t xml:space="preserve"> </w:t>
      </w:r>
      <w:r w:rsidR="00A14703">
        <w:rPr>
          <w:rFonts w:eastAsia="SimSun"/>
        </w:rPr>
        <w:t>and</w:t>
      </w:r>
      <w:r w:rsidR="006A536B">
        <w:rPr>
          <w:rFonts w:eastAsia="SimSun"/>
        </w:rPr>
        <w:t xml:space="preserve"> ha</w:t>
      </w:r>
      <w:r w:rsidR="00A14703">
        <w:rPr>
          <w:rFonts w:eastAsia="SimSun"/>
        </w:rPr>
        <w:t>d</w:t>
      </w:r>
      <w:r w:rsidR="006A536B">
        <w:rPr>
          <w:rFonts w:eastAsia="SimSun"/>
        </w:rPr>
        <w:t xml:space="preserve"> entertained the possibility of proposing a minimum bill in </w:t>
      </w:r>
      <w:r w:rsidR="00BA438F">
        <w:rPr>
          <w:rFonts w:eastAsia="SimSun"/>
        </w:rPr>
        <w:t xml:space="preserve">the original filing of </w:t>
      </w:r>
      <w:r w:rsidR="006A536B">
        <w:rPr>
          <w:rFonts w:eastAsia="SimSun"/>
        </w:rPr>
        <w:t>this case</w:t>
      </w:r>
      <w:r w:rsidR="00A14703">
        <w:rPr>
          <w:rFonts w:eastAsia="SimSun"/>
        </w:rPr>
        <w:t>.</w:t>
      </w:r>
      <w:r w:rsidR="00902913">
        <w:rPr>
          <w:rFonts w:eastAsia="SimSun"/>
        </w:rPr>
        <w:t xml:space="preserve"> </w:t>
      </w:r>
      <w:r w:rsidR="00BD06BD">
        <w:rPr>
          <w:rFonts w:eastAsia="SimSun"/>
        </w:rPr>
        <w:t>However</w:t>
      </w:r>
      <w:r w:rsidR="00A14703">
        <w:rPr>
          <w:rFonts w:eastAsia="SimSun"/>
        </w:rPr>
        <w:t xml:space="preserve">, PSE </w:t>
      </w:r>
      <w:r w:rsidR="00BD06BD">
        <w:rPr>
          <w:rFonts w:eastAsia="SimSun"/>
        </w:rPr>
        <w:t xml:space="preserve">ultimately </w:t>
      </w:r>
      <w:r w:rsidR="00A14703">
        <w:rPr>
          <w:rFonts w:eastAsia="SimSun"/>
        </w:rPr>
        <w:t>decided that the negative practical considerations of a minimum bill outweighed the potentially positive ratemaking considerations and PSE elected not to make such a proposal in this case</w:t>
      </w:r>
      <w:r>
        <w:rPr>
          <w:rFonts w:eastAsia="SimSun"/>
        </w:rPr>
        <w:t>.</w:t>
      </w:r>
    </w:p>
    <w:p w:rsidR="00A14703" w:rsidRPr="00AC7C2B" w:rsidRDefault="00A14703" w:rsidP="00EC52CB">
      <w:pPr>
        <w:pStyle w:val="question"/>
      </w:pPr>
      <w:r w:rsidRPr="00AC7C2B">
        <w:t>Q.</w:t>
      </w:r>
      <w:r w:rsidRPr="00AC7C2B">
        <w:tab/>
        <w:t>What practical considerations dissuaded PSE from making a minimum bill proposal?</w:t>
      </w:r>
    </w:p>
    <w:p w:rsidR="00AC7C2B" w:rsidRDefault="00A14703" w:rsidP="00A91720">
      <w:pPr>
        <w:pStyle w:val="answer"/>
        <w:rPr>
          <w:rFonts w:eastAsia="SimSun"/>
        </w:rPr>
      </w:pPr>
      <w:r>
        <w:rPr>
          <w:rFonts w:eastAsia="SimSun"/>
        </w:rPr>
        <w:t>A.</w:t>
      </w:r>
      <w:r>
        <w:rPr>
          <w:rFonts w:eastAsia="SimSun"/>
        </w:rPr>
        <w:tab/>
        <w:t>The primary consideration was the impact such a proposal might have on customer satisfaction and call volumes.</w:t>
      </w:r>
      <w:r w:rsidR="00902913">
        <w:rPr>
          <w:rFonts w:eastAsia="SimSun"/>
        </w:rPr>
        <w:t xml:space="preserve"> </w:t>
      </w:r>
      <w:r>
        <w:rPr>
          <w:rFonts w:eastAsia="SimSun"/>
        </w:rPr>
        <w:t>PSE has for several years had a goal of being ranked first in customer satisfaction in its relevant JD Powers categories.</w:t>
      </w:r>
      <w:r w:rsidR="00902913">
        <w:rPr>
          <w:rFonts w:eastAsia="SimSun"/>
        </w:rPr>
        <w:t xml:space="preserve"> </w:t>
      </w:r>
      <w:r>
        <w:rPr>
          <w:rFonts w:eastAsia="SimSun"/>
        </w:rPr>
        <w:t>One important criteria in that ranking is the ability</w:t>
      </w:r>
      <w:r w:rsidR="008C192E">
        <w:rPr>
          <w:rFonts w:eastAsia="SimSun"/>
        </w:rPr>
        <w:t xml:space="preserve"> for customers to understand their</w:t>
      </w:r>
      <w:r>
        <w:rPr>
          <w:rFonts w:eastAsia="SimSun"/>
        </w:rPr>
        <w:t xml:space="preserve"> bill.</w:t>
      </w:r>
      <w:r w:rsidR="00902913">
        <w:rPr>
          <w:rFonts w:eastAsia="SimSun"/>
        </w:rPr>
        <w:t xml:space="preserve"> </w:t>
      </w:r>
      <w:r>
        <w:rPr>
          <w:rFonts w:eastAsia="SimSun"/>
        </w:rPr>
        <w:t xml:space="preserve">Introducing a new billing component, particularly without a significant educational campaign, </w:t>
      </w:r>
      <w:r w:rsidR="002742B5">
        <w:rPr>
          <w:rFonts w:eastAsia="SimSun"/>
        </w:rPr>
        <w:t>is likely to put downward pressure on this metric.</w:t>
      </w:r>
      <w:r w:rsidR="00902913">
        <w:rPr>
          <w:rFonts w:eastAsia="SimSun"/>
        </w:rPr>
        <w:t xml:space="preserve"> </w:t>
      </w:r>
      <w:r w:rsidR="00AC7C2B">
        <w:rPr>
          <w:rFonts w:eastAsia="SimSun"/>
        </w:rPr>
        <w:t>The potential success in mitigating this issue through a significant customer educational campaign is unclear, but it would undoubtedly result in added costs against which the benefits of a minimum bill should be weighed.</w:t>
      </w:r>
    </w:p>
    <w:p w:rsidR="002742B5" w:rsidRDefault="002742B5" w:rsidP="00AC7C2B">
      <w:pPr>
        <w:pStyle w:val="answer"/>
        <w:ind w:firstLine="0"/>
        <w:rPr>
          <w:rFonts w:eastAsia="SimSun"/>
        </w:rPr>
      </w:pPr>
      <w:r>
        <w:rPr>
          <w:rFonts w:eastAsia="SimSun"/>
        </w:rPr>
        <w:t>Similarly, PSE</w:t>
      </w:r>
      <w:r w:rsidR="00A14703">
        <w:rPr>
          <w:rFonts w:eastAsia="SimSun"/>
        </w:rPr>
        <w:t xml:space="preserve"> is currently making significant efforts to drive down call volumes, particularly through its “get to zero” initiative</w:t>
      </w:r>
      <w:r w:rsidR="00A428F9">
        <w:rPr>
          <w:rFonts w:eastAsia="SimSun"/>
        </w:rPr>
        <w:t xml:space="preserve">, as customers increase the use of other customer-preferred pathways to connect with </w:t>
      </w:r>
      <w:r w:rsidR="00BA438F">
        <w:rPr>
          <w:rFonts w:eastAsia="SimSun"/>
        </w:rPr>
        <w:t>PSE</w:t>
      </w:r>
      <w:r w:rsidR="00A14703">
        <w:rPr>
          <w:rFonts w:eastAsia="SimSun"/>
        </w:rPr>
        <w:t>.</w:t>
      </w:r>
      <w:r w:rsidR="00902913">
        <w:rPr>
          <w:rFonts w:eastAsia="SimSun"/>
        </w:rPr>
        <w:t xml:space="preserve"> </w:t>
      </w:r>
      <w:r w:rsidR="00A14703">
        <w:rPr>
          <w:rFonts w:eastAsia="SimSun"/>
        </w:rPr>
        <w:t>Introducing</w:t>
      </w:r>
      <w:r>
        <w:rPr>
          <w:rFonts w:eastAsia="SimSun"/>
        </w:rPr>
        <w:t xml:space="preserve"> a new, and potentially confusing (or contentious), rate component to customer bills</w:t>
      </w:r>
      <w:r w:rsidR="00A14703">
        <w:rPr>
          <w:rFonts w:eastAsia="SimSun"/>
        </w:rPr>
        <w:t xml:space="preserve"> </w:t>
      </w:r>
      <w:r>
        <w:rPr>
          <w:rFonts w:eastAsia="SimSun"/>
        </w:rPr>
        <w:t xml:space="preserve">heightens the potential for increased customer calls. </w:t>
      </w:r>
    </w:p>
    <w:p w:rsidR="002742B5" w:rsidRPr="002742B5" w:rsidRDefault="002742B5" w:rsidP="00EC52CB">
      <w:pPr>
        <w:pStyle w:val="question"/>
      </w:pPr>
      <w:r w:rsidRPr="002742B5">
        <w:t>Q.</w:t>
      </w:r>
      <w:r w:rsidRPr="002742B5">
        <w:tab/>
        <w:t>Were there other practical considerations that dissuaded PSE from proposing a minimum bill?</w:t>
      </w:r>
    </w:p>
    <w:p w:rsidR="002742B5" w:rsidRDefault="002742B5" w:rsidP="00A91720">
      <w:pPr>
        <w:pStyle w:val="answer"/>
        <w:rPr>
          <w:rFonts w:eastAsia="SimSun"/>
        </w:rPr>
      </w:pPr>
      <w:r>
        <w:rPr>
          <w:rFonts w:eastAsia="SimSun"/>
        </w:rPr>
        <w:t>A.</w:t>
      </w:r>
      <w:r>
        <w:rPr>
          <w:rFonts w:eastAsia="SimSun"/>
        </w:rPr>
        <w:tab/>
        <w:t>Yes.</w:t>
      </w:r>
      <w:r w:rsidR="00902913">
        <w:rPr>
          <w:rFonts w:eastAsia="SimSun"/>
        </w:rPr>
        <w:t xml:space="preserve"> </w:t>
      </w:r>
      <w:r>
        <w:rPr>
          <w:rFonts w:eastAsia="SimSun"/>
        </w:rPr>
        <w:t xml:space="preserve">While introducing a minimum bill component into PSE’s residential rate structure is certainly possible, </w:t>
      </w:r>
      <w:r w:rsidR="008C192E">
        <w:rPr>
          <w:rFonts w:eastAsia="SimSun"/>
        </w:rPr>
        <w:t xml:space="preserve">making a change like this to </w:t>
      </w:r>
      <w:r w:rsidR="00C37AC5">
        <w:rPr>
          <w:rFonts w:eastAsia="SimSun"/>
        </w:rPr>
        <w:t>P</w:t>
      </w:r>
      <w:r w:rsidR="00C43809">
        <w:rPr>
          <w:rFonts w:eastAsia="SimSun"/>
        </w:rPr>
        <w:t>SE</w:t>
      </w:r>
      <w:r w:rsidR="008C192E">
        <w:rPr>
          <w:rFonts w:eastAsia="SimSun"/>
        </w:rPr>
        <w:t>’s billing system</w:t>
      </w:r>
      <w:r>
        <w:rPr>
          <w:rFonts w:eastAsia="SimSun"/>
        </w:rPr>
        <w:t xml:space="preserve"> come</w:t>
      </w:r>
      <w:r w:rsidR="00BA438F">
        <w:rPr>
          <w:rFonts w:eastAsia="SimSun"/>
        </w:rPr>
        <w:t>s</w:t>
      </w:r>
      <w:r>
        <w:rPr>
          <w:rFonts w:eastAsia="SimSun"/>
        </w:rPr>
        <w:t xml:space="preserve"> with a certain degree of risk and cost.</w:t>
      </w:r>
      <w:r w:rsidR="00902913">
        <w:rPr>
          <w:rFonts w:eastAsia="SimSun"/>
        </w:rPr>
        <w:t xml:space="preserve"> </w:t>
      </w:r>
      <w:r>
        <w:rPr>
          <w:rFonts w:eastAsia="SimSun"/>
        </w:rPr>
        <w:t xml:space="preserve">Bear in mind that this </w:t>
      </w:r>
      <w:r w:rsidR="00BA438F">
        <w:rPr>
          <w:rFonts w:eastAsia="SimSun"/>
        </w:rPr>
        <w:t xml:space="preserve">new bill component </w:t>
      </w:r>
      <w:r>
        <w:rPr>
          <w:rFonts w:eastAsia="SimSun"/>
        </w:rPr>
        <w:t xml:space="preserve">would need to be integrated into PSE’s already sophisticated billing logic, </w:t>
      </w:r>
      <w:r w:rsidR="008C192E">
        <w:rPr>
          <w:rFonts w:eastAsia="SimSun"/>
        </w:rPr>
        <w:t>and</w:t>
      </w:r>
      <w:r>
        <w:rPr>
          <w:rFonts w:eastAsia="SimSun"/>
        </w:rPr>
        <w:t xml:space="preserve"> would apply to over 900,000 residential customers.</w:t>
      </w:r>
      <w:r w:rsidR="00902913">
        <w:rPr>
          <w:rFonts w:eastAsia="SimSun"/>
        </w:rPr>
        <w:t xml:space="preserve"> </w:t>
      </w:r>
      <w:r>
        <w:rPr>
          <w:rFonts w:eastAsia="SimSun"/>
        </w:rPr>
        <w:t xml:space="preserve">Any errors or oversights in programming this logic could potentially impact </w:t>
      </w:r>
      <w:r w:rsidR="0062257E">
        <w:rPr>
          <w:rFonts w:eastAsia="SimSun"/>
        </w:rPr>
        <w:t xml:space="preserve">the bills of </w:t>
      </w:r>
      <w:r>
        <w:rPr>
          <w:rFonts w:eastAsia="SimSun"/>
        </w:rPr>
        <w:t>all residential customers, not just those for which the charge was intended.</w:t>
      </w:r>
      <w:r w:rsidR="00902913">
        <w:rPr>
          <w:rFonts w:eastAsia="SimSun"/>
        </w:rPr>
        <w:t xml:space="preserve"> </w:t>
      </w:r>
      <w:r>
        <w:rPr>
          <w:rFonts w:eastAsia="SimSun"/>
        </w:rPr>
        <w:t>Therefore</w:t>
      </w:r>
      <w:r w:rsidR="00C43809">
        <w:rPr>
          <w:rFonts w:eastAsia="SimSun"/>
        </w:rPr>
        <w:t>,</w:t>
      </w:r>
      <w:r>
        <w:rPr>
          <w:rFonts w:eastAsia="SimSun"/>
        </w:rPr>
        <w:t xml:space="preserve"> a significant amount of time, effort and testing would be required to ensure that this bill component worked correctly, under any possible scenario.</w:t>
      </w:r>
      <w:r w:rsidR="00AC7C2B">
        <w:rPr>
          <w:rFonts w:eastAsia="SimSun"/>
        </w:rPr>
        <w:t xml:space="preserve"> </w:t>
      </w:r>
    </w:p>
    <w:p w:rsidR="002742B5" w:rsidRPr="00823CDA" w:rsidRDefault="002742B5" w:rsidP="00EC52CB">
      <w:pPr>
        <w:pStyle w:val="question"/>
      </w:pPr>
      <w:r w:rsidRPr="00823CDA">
        <w:t>Q.</w:t>
      </w:r>
      <w:r w:rsidRPr="00823CDA">
        <w:tab/>
        <w:t>Are there any other reasons PSE is not supportive of Staff’s minimum bill proposal?</w:t>
      </w:r>
    </w:p>
    <w:p w:rsidR="002742B5" w:rsidRDefault="002742B5" w:rsidP="00A91720">
      <w:pPr>
        <w:pStyle w:val="answer"/>
        <w:rPr>
          <w:rFonts w:eastAsia="SimSun"/>
        </w:rPr>
      </w:pPr>
      <w:r>
        <w:rPr>
          <w:rFonts w:eastAsia="SimSun"/>
        </w:rPr>
        <w:t>A.</w:t>
      </w:r>
      <w:r>
        <w:rPr>
          <w:rFonts w:eastAsia="SimSun"/>
        </w:rPr>
        <w:tab/>
        <w:t>Yes.</w:t>
      </w:r>
      <w:r w:rsidR="00902913">
        <w:rPr>
          <w:rFonts w:eastAsia="SimSun"/>
        </w:rPr>
        <w:t xml:space="preserve"> </w:t>
      </w:r>
      <w:r>
        <w:rPr>
          <w:rFonts w:eastAsia="SimSun"/>
        </w:rPr>
        <w:t xml:space="preserve">When PSE explored the possibility of </w:t>
      </w:r>
      <w:r w:rsidR="00AC7C2B">
        <w:rPr>
          <w:rFonts w:eastAsia="SimSun"/>
        </w:rPr>
        <w:t xml:space="preserve">proposing </w:t>
      </w:r>
      <w:r>
        <w:rPr>
          <w:rFonts w:eastAsia="SimSun"/>
        </w:rPr>
        <w:t>a minimum bill, the figure contemplated was much higher than the one proposed by Staff.</w:t>
      </w:r>
      <w:r w:rsidR="00902913">
        <w:rPr>
          <w:rFonts w:eastAsia="SimSun"/>
        </w:rPr>
        <w:t xml:space="preserve"> </w:t>
      </w:r>
      <w:r>
        <w:rPr>
          <w:rFonts w:eastAsia="SimSun"/>
        </w:rPr>
        <w:t>This would have had a more material impact on the way costs were recovered across the residential class.</w:t>
      </w:r>
      <w:r w:rsidR="00902913">
        <w:rPr>
          <w:rFonts w:eastAsia="SimSun"/>
        </w:rPr>
        <w:t xml:space="preserve"> </w:t>
      </w:r>
      <w:r>
        <w:rPr>
          <w:rFonts w:eastAsia="SimSun"/>
        </w:rPr>
        <w:t>Staff’s proposal is far more modest by comparison.</w:t>
      </w:r>
      <w:r w:rsidR="00902913">
        <w:rPr>
          <w:rFonts w:eastAsia="SimSun"/>
        </w:rPr>
        <w:t xml:space="preserve"> </w:t>
      </w:r>
      <w:r>
        <w:rPr>
          <w:rFonts w:eastAsia="SimSun"/>
        </w:rPr>
        <w:t xml:space="preserve">Given all of the potential negative </w:t>
      </w:r>
      <w:r w:rsidR="00823CDA">
        <w:rPr>
          <w:rFonts w:eastAsia="SimSun"/>
        </w:rPr>
        <w:t>customer consequences</w:t>
      </w:r>
      <w:r w:rsidR="00AC7C2B">
        <w:rPr>
          <w:rFonts w:eastAsia="SimSun"/>
        </w:rPr>
        <w:t xml:space="preserve"> and billing issues</w:t>
      </w:r>
      <w:r w:rsidR="00823CDA">
        <w:rPr>
          <w:rFonts w:eastAsia="SimSun"/>
        </w:rPr>
        <w:t xml:space="preserve"> associated with introducing a minimum bill, the positive aspects of Staff’s proposal, which is estimated to only apply to </w:t>
      </w:r>
      <w:r w:rsidR="00D71244">
        <w:rPr>
          <w:rFonts w:eastAsia="SimSun"/>
        </w:rPr>
        <w:t>1.15</w:t>
      </w:r>
      <w:r w:rsidR="00823CDA">
        <w:rPr>
          <w:rFonts w:eastAsia="SimSun"/>
        </w:rPr>
        <w:t xml:space="preserve"> percent of customer bills</w:t>
      </w:r>
      <w:r w:rsidR="00D71244">
        <w:rPr>
          <w:rStyle w:val="FootnoteReference"/>
          <w:rFonts w:eastAsia="SimSun"/>
        </w:rPr>
        <w:footnoteReference w:id="81"/>
      </w:r>
      <w:r w:rsidR="00823CDA">
        <w:rPr>
          <w:rFonts w:eastAsia="SimSun"/>
        </w:rPr>
        <w:t xml:space="preserve"> and </w:t>
      </w:r>
      <w:r w:rsidR="00920919">
        <w:rPr>
          <w:rFonts w:eastAsia="SimSun"/>
        </w:rPr>
        <w:t xml:space="preserve">generate </w:t>
      </w:r>
      <w:r w:rsidR="00894225">
        <w:rPr>
          <w:rFonts w:eastAsia="SimSun"/>
        </w:rPr>
        <w:t xml:space="preserve">a little over </w:t>
      </w:r>
      <w:r w:rsidR="00823CDA">
        <w:rPr>
          <w:rFonts w:eastAsia="SimSun"/>
        </w:rPr>
        <w:t>$</w:t>
      </w:r>
      <w:r w:rsidR="00894225">
        <w:rPr>
          <w:rFonts w:eastAsia="SimSun"/>
        </w:rPr>
        <w:t>300,000</w:t>
      </w:r>
      <w:r w:rsidR="00920919">
        <w:rPr>
          <w:rFonts w:eastAsia="SimSun"/>
        </w:rPr>
        <w:t xml:space="preserve"> in minimum bill revenue</w:t>
      </w:r>
      <w:r w:rsidR="00823CDA">
        <w:rPr>
          <w:rFonts w:eastAsia="SimSun"/>
        </w:rPr>
        <w:t>,</w:t>
      </w:r>
      <w:r w:rsidR="00920919">
        <w:rPr>
          <w:rStyle w:val="FootnoteReference"/>
          <w:rFonts w:eastAsia="SimSun"/>
        </w:rPr>
        <w:footnoteReference w:id="82"/>
      </w:r>
      <w:r w:rsidR="00823CDA">
        <w:rPr>
          <w:rFonts w:eastAsia="SimSun"/>
        </w:rPr>
        <w:t xml:space="preserve"> does not appear to outweigh the negative customer </w:t>
      </w:r>
      <w:r w:rsidR="00BA438F">
        <w:rPr>
          <w:rFonts w:eastAsia="SimSun"/>
        </w:rPr>
        <w:t xml:space="preserve">or cost </w:t>
      </w:r>
      <w:r w:rsidR="00823CDA">
        <w:rPr>
          <w:rFonts w:eastAsia="SimSun"/>
        </w:rPr>
        <w:t>considerations.</w:t>
      </w:r>
      <w:r w:rsidR="00902913">
        <w:rPr>
          <w:rFonts w:eastAsia="SimSun"/>
        </w:rPr>
        <w:t xml:space="preserve"> </w:t>
      </w:r>
      <w:r w:rsidR="00AC7C2B">
        <w:rPr>
          <w:rFonts w:eastAsia="SimSun"/>
        </w:rPr>
        <w:t xml:space="preserve">In short, the very modest economic impact of Staff’s proposal does not appear to outweigh the </w:t>
      </w:r>
      <w:r w:rsidR="008C192E">
        <w:rPr>
          <w:rFonts w:eastAsia="SimSun"/>
        </w:rPr>
        <w:t xml:space="preserve">potential </w:t>
      </w:r>
      <w:r w:rsidR="00AC7C2B">
        <w:rPr>
          <w:rFonts w:eastAsia="SimSun"/>
        </w:rPr>
        <w:t>negative customer impacts, billing risks and implementation costs that would be required.</w:t>
      </w:r>
      <w:r w:rsidR="00902913">
        <w:rPr>
          <w:rFonts w:eastAsia="SimSun"/>
        </w:rPr>
        <w:t xml:space="preserve"> </w:t>
      </w:r>
      <w:r w:rsidR="00823CDA">
        <w:rPr>
          <w:rFonts w:eastAsia="SimSun"/>
        </w:rPr>
        <w:t xml:space="preserve"> </w:t>
      </w:r>
    </w:p>
    <w:p w:rsidR="001B2293" w:rsidRPr="00FC4E5E" w:rsidRDefault="001B2293" w:rsidP="00EC52CB">
      <w:pPr>
        <w:pStyle w:val="question"/>
      </w:pPr>
      <w:r w:rsidRPr="00FC4E5E">
        <w:t>Q.</w:t>
      </w:r>
      <w:r w:rsidRPr="00FC4E5E">
        <w:tab/>
        <w:t>How do you respond to Ms. Levin’s basic charge recommendation</w:t>
      </w:r>
      <w:r w:rsidR="004804DE">
        <w:t>s</w:t>
      </w:r>
      <w:r w:rsidRPr="00FC4E5E">
        <w:t>?</w:t>
      </w:r>
    </w:p>
    <w:p w:rsidR="001B2293" w:rsidRDefault="001B2293" w:rsidP="00A91720">
      <w:pPr>
        <w:pStyle w:val="answer"/>
        <w:rPr>
          <w:rFonts w:eastAsia="SimSun"/>
        </w:rPr>
      </w:pPr>
      <w:r>
        <w:rPr>
          <w:rFonts w:eastAsia="SimSun"/>
        </w:rPr>
        <w:t>A.</w:t>
      </w:r>
      <w:r>
        <w:rPr>
          <w:rFonts w:eastAsia="SimSun"/>
        </w:rPr>
        <w:tab/>
        <w:t xml:space="preserve">I believe Ms. Levin misconstrues PSE’s </w:t>
      </w:r>
      <w:r w:rsidR="009242E0">
        <w:rPr>
          <w:rFonts w:eastAsia="SimSun"/>
        </w:rPr>
        <w:t xml:space="preserve">allocation of transformers </w:t>
      </w:r>
      <w:r w:rsidR="00FC4E5E">
        <w:rPr>
          <w:rFonts w:eastAsia="SimSun"/>
        </w:rPr>
        <w:t>c</w:t>
      </w:r>
      <w:r w:rsidR="009242E0">
        <w:rPr>
          <w:rFonts w:eastAsia="SimSun"/>
        </w:rPr>
        <w:t>osts</w:t>
      </w:r>
      <w:r w:rsidR="00FC4E5E">
        <w:rPr>
          <w:rFonts w:eastAsia="SimSun"/>
        </w:rPr>
        <w:t xml:space="preserve"> and basic charge proposal</w:t>
      </w:r>
      <w:r>
        <w:rPr>
          <w:rFonts w:eastAsia="SimSun"/>
        </w:rPr>
        <w:t>,</w:t>
      </w:r>
      <w:r w:rsidR="001F63B7">
        <w:rPr>
          <w:rFonts w:eastAsia="SimSun"/>
        </w:rPr>
        <w:t xml:space="preserve"> misunderstands PSE’s construction standards, is too binary in her </w:t>
      </w:r>
      <w:r w:rsidR="007E0900">
        <w:rPr>
          <w:rFonts w:eastAsia="SimSun"/>
        </w:rPr>
        <w:t>treatment of transformer costs</w:t>
      </w:r>
      <w:r w:rsidR="001F63B7">
        <w:rPr>
          <w:rFonts w:eastAsia="SimSun"/>
        </w:rPr>
        <w:t xml:space="preserve"> and </w:t>
      </w:r>
      <w:r w:rsidR="00BA4664">
        <w:rPr>
          <w:rFonts w:eastAsia="SimSun"/>
        </w:rPr>
        <w:t xml:space="preserve">actually </w:t>
      </w:r>
      <w:r w:rsidR="00B00A8F">
        <w:rPr>
          <w:rFonts w:eastAsia="SimSun"/>
        </w:rPr>
        <w:t>provides examples that support</w:t>
      </w:r>
      <w:r w:rsidR="001F63B7">
        <w:rPr>
          <w:rFonts w:eastAsia="SimSun"/>
        </w:rPr>
        <w:t xml:space="preserve"> the inclusion of at least a portion of transformer costs in the basic charge.</w:t>
      </w:r>
      <w:r w:rsidR="00902913">
        <w:rPr>
          <w:rFonts w:eastAsia="SimSun"/>
        </w:rPr>
        <w:t xml:space="preserve"> </w:t>
      </w:r>
    </w:p>
    <w:p w:rsidR="001F63B7" w:rsidRPr="000659BC" w:rsidRDefault="001F63B7" w:rsidP="00EC52CB">
      <w:pPr>
        <w:pStyle w:val="question"/>
      </w:pPr>
      <w:r w:rsidRPr="000659BC">
        <w:t>Q.</w:t>
      </w:r>
      <w:r w:rsidRPr="000659BC">
        <w:tab/>
        <w:t xml:space="preserve">How does Ms. Levin misconstrue PSE’s </w:t>
      </w:r>
      <w:r w:rsidR="009242E0">
        <w:t>allocation of line transformer cost</w:t>
      </w:r>
      <w:r w:rsidR="00FC4E5E" w:rsidRPr="000659BC">
        <w:t>s</w:t>
      </w:r>
      <w:r w:rsidRPr="000659BC">
        <w:t>?</w:t>
      </w:r>
    </w:p>
    <w:p w:rsidR="001F63B7" w:rsidRDefault="00FC4E5E" w:rsidP="00A91720">
      <w:pPr>
        <w:pStyle w:val="answer"/>
        <w:rPr>
          <w:rFonts w:eastAsia="SimSun"/>
        </w:rPr>
      </w:pPr>
      <w:r>
        <w:rPr>
          <w:rFonts w:eastAsia="SimSun"/>
        </w:rPr>
        <w:t>A.</w:t>
      </w:r>
      <w:r>
        <w:rPr>
          <w:rFonts w:eastAsia="SimSun"/>
        </w:rPr>
        <w:tab/>
      </w:r>
      <w:r w:rsidR="00940B12">
        <w:rPr>
          <w:rFonts w:eastAsia="SimSun"/>
        </w:rPr>
        <w:t xml:space="preserve">Based on my understanding of Ms. Levin’s testimony and data </w:t>
      </w:r>
      <w:r w:rsidR="00BA438F">
        <w:rPr>
          <w:rFonts w:eastAsia="SimSun"/>
        </w:rPr>
        <w:t>responses</w:t>
      </w:r>
      <w:r w:rsidR="00940B12">
        <w:rPr>
          <w:rFonts w:eastAsia="SimSun"/>
        </w:rPr>
        <w:t>, she believes that the choice of</w:t>
      </w:r>
      <w:r w:rsidR="00E254F2">
        <w:rPr>
          <w:rFonts w:eastAsia="SimSun"/>
        </w:rPr>
        <w:t xml:space="preserve"> how</w:t>
      </w:r>
      <w:r w:rsidR="00940B12">
        <w:rPr>
          <w:rFonts w:eastAsia="SimSun"/>
        </w:rPr>
        <w:t xml:space="preserve"> to classify line transformer costs makes a difference in how they are allocated</w:t>
      </w:r>
      <w:r w:rsidR="004804DE">
        <w:rPr>
          <w:rFonts w:eastAsia="SimSun"/>
        </w:rPr>
        <w:t xml:space="preserve"> in </w:t>
      </w:r>
      <w:r w:rsidR="00BA438F">
        <w:rPr>
          <w:rFonts w:eastAsia="SimSun"/>
        </w:rPr>
        <w:t xml:space="preserve">PSE’s </w:t>
      </w:r>
      <w:r w:rsidR="004804DE">
        <w:rPr>
          <w:rFonts w:eastAsia="SimSun"/>
        </w:rPr>
        <w:t>cost of service study</w:t>
      </w:r>
      <w:r w:rsidR="00940B12">
        <w:rPr>
          <w:rFonts w:eastAsia="SimSun"/>
        </w:rPr>
        <w:t>.</w:t>
      </w:r>
      <w:r w:rsidR="00902913">
        <w:rPr>
          <w:rFonts w:eastAsia="SimSun"/>
        </w:rPr>
        <w:t xml:space="preserve"> </w:t>
      </w:r>
      <w:r w:rsidR="00940B12">
        <w:rPr>
          <w:rFonts w:eastAsia="SimSun"/>
        </w:rPr>
        <w:t>This is incorrect.</w:t>
      </w:r>
      <w:r w:rsidR="00902913">
        <w:rPr>
          <w:rFonts w:eastAsia="SimSun"/>
        </w:rPr>
        <w:t xml:space="preserve"> </w:t>
      </w:r>
      <w:r w:rsidR="00940B12">
        <w:rPr>
          <w:rFonts w:eastAsia="SimSun"/>
        </w:rPr>
        <w:t xml:space="preserve">In very simple terms, customers are assigned </w:t>
      </w:r>
      <w:r w:rsidR="00E254F2">
        <w:rPr>
          <w:rFonts w:eastAsia="SimSun"/>
        </w:rPr>
        <w:t>to specific line transformers</w:t>
      </w:r>
      <w:r w:rsidR="006231A2">
        <w:rPr>
          <w:rFonts w:eastAsia="SimSun"/>
        </w:rPr>
        <w:t>.</w:t>
      </w:r>
      <w:r w:rsidR="00902913">
        <w:rPr>
          <w:rFonts w:eastAsia="SimSun"/>
        </w:rPr>
        <w:t xml:space="preserve"> </w:t>
      </w:r>
      <w:r w:rsidR="00E254F2">
        <w:rPr>
          <w:rFonts w:eastAsia="SimSun"/>
        </w:rPr>
        <w:t>In most cases, these transformers are not shared by customers taking service under different rate schedules.</w:t>
      </w:r>
      <w:r w:rsidR="00902913">
        <w:rPr>
          <w:rFonts w:eastAsia="SimSun"/>
        </w:rPr>
        <w:t xml:space="preserve"> </w:t>
      </w:r>
      <w:r w:rsidR="00E254F2">
        <w:rPr>
          <w:rFonts w:eastAsia="SimSun"/>
        </w:rPr>
        <w:t xml:space="preserve">Therefore, the cost of these transformers </w:t>
      </w:r>
      <w:r w:rsidR="00894225">
        <w:rPr>
          <w:rFonts w:eastAsia="SimSun"/>
        </w:rPr>
        <w:t>is</w:t>
      </w:r>
      <w:r w:rsidR="00E254F2">
        <w:rPr>
          <w:rFonts w:eastAsia="SimSun"/>
        </w:rPr>
        <w:t xml:space="preserve"> generally assigned to the various classes.</w:t>
      </w:r>
      <w:r w:rsidR="00902913">
        <w:rPr>
          <w:rFonts w:eastAsia="SimSun"/>
        </w:rPr>
        <w:t xml:space="preserve"> </w:t>
      </w:r>
      <w:r w:rsidR="00E254F2">
        <w:rPr>
          <w:rFonts w:eastAsia="SimSun"/>
        </w:rPr>
        <w:t xml:space="preserve">This contrasts with the more traditional approach to allocating transformer costs, where the full pool of </w:t>
      </w:r>
      <w:r w:rsidR="00920919">
        <w:rPr>
          <w:rFonts w:eastAsia="SimSun"/>
        </w:rPr>
        <w:t xml:space="preserve">transformer </w:t>
      </w:r>
      <w:r w:rsidR="00E254F2">
        <w:rPr>
          <w:rFonts w:eastAsia="SimSun"/>
        </w:rPr>
        <w:t xml:space="preserve">costs are allocated among the various schedules based on some </w:t>
      </w:r>
      <w:r w:rsidR="00920919">
        <w:rPr>
          <w:rFonts w:eastAsia="SimSun"/>
        </w:rPr>
        <w:t xml:space="preserve">blanket </w:t>
      </w:r>
      <w:r w:rsidR="00E254F2">
        <w:rPr>
          <w:rFonts w:eastAsia="SimSun"/>
        </w:rPr>
        <w:t>method, typically based on the number of cus</w:t>
      </w:r>
      <w:r w:rsidR="00762CC7">
        <w:rPr>
          <w:rFonts w:eastAsia="SimSun"/>
        </w:rPr>
        <w:t>tomers served</w:t>
      </w:r>
      <w:r w:rsidR="00E254F2">
        <w:rPr>
          <w:rFonts w:eastAsia="SimSun"/>
        </w:rPr>
        <w:t>, the amount of peak load or some combination of the two</w:t>
      </w:r>
      <w:r w:rsidR="009D3C23">
        <w:rPr>
          <w:rFonts w:eastAsia="SimSun"/>
        </w:rPr>
        <w:t xml:space="preserve"> (e.g., using some form of “minimum system” or “minimum intercept” method)</w:t>
      </w:r>
      <w:r w:rsidR="00E254F2">
        <w:rPr>
          <w:rFonts w:eastAsia="SimSun"/>
        </w:rPr>
        <w:t>.</w:t>
      </w:r>
      <w:r w:rsidR="00902913">
        <w:rPr>
          <w:rFonts w:eastAsia="SimSun"/>
        </w:rPr>
        <w:t xml:space="preserve"> </w:t>
      </w:r>
      <w:r w:rsidR="00E254F2">
        <w:rPr>
          <w:rFonts w:eastAsia="SimSun"/>
        </w:rPr>
        <w:t>It is under this latter, more traditional approach, that the classification of transformer costs matters for purposes of allocation.</w:t>
      </w:r>
      <w:r w:rsidR="007A29D1">
        <w:rPr>
          <w:rStyle w:val="FootnoteReference"/>
          <w:rFonts w:eastAsia="SimSun"/>
        </w:rPr>
        <w:footnoteReference w:id="83"/>
      </w:r>
      <w:r w:rsidR="00902913">
        <w:rPr>
          <w:rFonts w:eastAsia="SimSun"/>
        </w:rPr>
        <w:t xml:space="preserve"> </w:t>
      </w:r>
      <w:r w:rsidR="00E254F2">
        <w:rPr>
          <w:rFonts w:eastAsia="SimSun"/>
        </w:rPr>
        <w:t xml:space="preserve">If </w:t>
      </w:r>
      <w:r w:rsidR="009D3C23">
        <w:rPr>
          <w:rFonts w:eastAsia="SimSun"/>
        </w:rPr>
        <w:t>some or all of the costs</w:t>
      </w:r>
      <w:r w:rsidR="00E254F2">
        <w:rPr>
          <w:rFonts w:eastAsia="SimSun"/>
        </w:rPr>
        <w:t xml:space="preserve"> are </w:t>
      </w:r>
      <w:r w:rsidR="009D3C23">
        <w:rPr>
          <w:rFonts w:eastAsia="SimSun"/>
        </w:rPr>
        <w:t>deemed</w:t>
      </w:r>
      <w:r w:rsidR="00E254F2">
        <w:rPr>
          <w:rFonts w:eastAsia="SimSun"/>
        </w:rPr>
        <w:t xml:space="preserve"> customer-related, then they would be allocated ba</w:t>
      </w:r>
      <w:r w:rsidR="00762CC7">
        <w:rPr>
          <w:rFonts w:eastAsia="SimSun"/>
        </w:rPr>
        <w:t>sed on some measure of customers</w:t>
      </w:r>
      <w:r w:rsidR="00E254F2">
        <w:rPr>
          <w:rFonts w:eastAsia="SimSun"/>
        </w:rPr>
        <w:t>.</w:t>
      </w:r>
      <w:r w:rsidR="00902913">
        <w:rPr>
          <w:rFonts w:eastAsia="SimSun"/>
        </w:rPr>
        <w:t xml:space="preserve"> </w:t>
      </w:r>
      <w:r w:rsidR="00E254F2">
        <w:rPr>
          <w:rFonts w:eastAsia="SimSun"/>
        </w:rPr>
        <w:t xml:space="preserve">Conversely, if they are </w:t>
      </w:r>
      <w:r w:rsidR="009D3C23">
        <w:rPr>
          <w:rFonts w:eastAsia="SimSun"/>
        </w:rPr>
        <w:t>deemed</w:t>
      </w:r>
      <w:r w:rsidR="00E254F2">
        <w:rPr>
          <w:rFonts w:eastAsia="SimSun"/>
        </w:rPr>
        <w:t xml:space="preserve"> demand-related, then they would be allocated based on demand.</w:t>
      </w:r>
      <w:r w:rsidR="00902913">
        <w:rPr>
          <w:rFonts w:eastAsia="SimSun"/>
        </w:rPr>
        <w:t xml:space="preserve"> </w:t>
      </w:r>
      <w:r w:rsidR="00E254F2">
        <w:rPr>
          <w:rFonts w:eastAsia="SimSun"/>
        </w:rPr>
        <w:t>PSE’s approach relies on neither.</w:t>
      </w:r>
      <w:r w:rsidR="00902913">
        <w:rPr>
          <w:rFonts w:eastAsia="SimSun"/>
        </w:rPr>
        <w:t xml:space="preserve"> </w:t>
      </w:r>
      <w:r w:rsidR="009D3C23">
        <w:rPr>
          <w:rFonts w:eastAsia="SimSun"/>
        </w:rPr>
        <w:t xml:space="preserve">For the most part, they are simply assigned and </w:t>
      </w:r>
      <w:r w:rsidR="00762CC7">
        <w:rPr>
          <w:rFonts w:eastAsia="SimSun"/>
        </w:rPr>
        <w:t>the</w:t>
      </w:r>
      <w:r w:rsidR="009D3C23">
        <w:rPr>
          <w:rFonts w:eastAsia="SimSun"/>
        </w:rPr>
        <w:t xml:space="preserve"> classification </w:t>
      </w:r>
      <w:r w:rsidR="00762CC7">
        <w:rPr>
          <w:rFonts w:eastAsia="SimSun"/>
        </w:rPr>
        <w:t xml:space="preserve">of these costs as being customer-related or demand-related </w:t>
      </w:r>
      <w:r w:rsidR="009D3C23">
        <w:rPr>
          <w:rFonts w:eastAsia="SimSun"/>
        </w:rPr>
        <w:t xml:space="preserve">is irrelevant to their </w:t>
      </w:r>
      <w:r w:rsidR="00762CC7">
        <w:rPr>
          <w:rFonts w:eastAsia="SimSun"/>
        </w:rPr>
        <w:t xml:space="preserve">subsequent </w:t>
      </w:r>
      <w:r w:rsidR="009D3C23">
        <w:rPr>
          <w:rFonts w:eastAsia="SimSun"/>
        </w:rPr>
        <w:t>allocation.</w:t>
      </w:r>
    </w:p>
    <w:p w:rsidR="009D3C23" w:rsidRPr="000659BC" w:rsidRDefault="009D3C23" w:rsidP="00EC52CB">
      <w:pPr>
        <w:pStyle w:val="question"/>
      </w:pPr>
      <w:r w:rsidRPr="000659BC">
        <w:t>Q.</w:t>
      </w:r>
      <w:r w:rsidRPr="000659BC">
        <w:tab/>
        <w:t xml:space="preserve">How does Ms. Levin misconstrue PSE’s </w:t>
      </w:r>
      <w:r>
        <w:t>treatment of transformer costs in its basic charge proposal</w:t>
      </w:r>
      <w:r w:rsidRPr="000659BC">
        <w:t>?</w:t>
      </w:r>
    </w:p>
    <w:p w:rsidR="00C83C6A" w:rsidRDefault="009D3C23" w:rsidP="009D3C23">
      <w:pPr>
        <w:pStyle w:val="answer"/>
        <w:rPr>
          <w:rFonts w:eastAsia="SimSun"/>
        </w:rPr>
      </w:pPr>
      <w:r>
        <w:rPr>
          <w:rFonts w:eastAsia="SimSun"/>
        </w:rPr>
        <w:t>A.</w:t>
      </w:r>
      <w:r>
        <w:rPr>
          <w:rFonts w:eastAsia="SimSun"/>
        </w:rPr>
        <w:tab/>
      </w:r>
      <w:r w:rsidR="00DA1E0F">
        <w:rPr>
          <w:rFonts w:eastAsia="SimSun"/>
        </w:rPr>
        <w:t xml:space="preserve">While it is not one hundred percent clear, Ms. Levin </w:t>
      </w:r>
      <w:r w:rsidR="00C83C6A">
        <w:rPr>
          <w:rFonts w:eastAsia="SimSun"/>
        </w:rPr>
        <w:t xml:space="preserve">appears to suggest </w:t>
      </w:r>
      <w:r w:rsidR="00DA1E0F">
        <w:rPr>
          <w:rFonts w:eastAsia="SimSun"/>
        </w:rPr>
        <w:t>that since transformer costs are classified as customer-related, PSE’s proposal is to recover all of their costs through the basic charge.</w:t>
      </w:r>
      <w:r w:rsidR="00902913">
        <w:rPr>
          <w:rFonts w:eastAsia="SimSun"/>
        </w:rPr>
        <w:t xml:space="preserve"> </w:t>
      </w:r>
      <w:r w:rsidR="00DA1E0F">
        <w:rPr>
          <w:rFonts w:eastAsia="SimSun"/>
        </w:rPr>
        <w:t>This is only partly true.</w:t>
      </w:r>
      <w:r w:rsidR="00902913">
        <w:rPr>
          <w:rFonts w:eastAsia="SimSun"/>
        </w:rPr>
        <w:t xml:space="preserve"> </w:t>
      </w:r>
      <w:r w:rsidR="00DA1E0F">
        <w:rPr>
          <w:rFonts w:eastAsia="SimSun"/>
        </w:rPr>
        <w:t xml:space="preserve">PSE has only proposed </w:t>
      </w:r>
      <w:r w:rsidR="009F6634">
        <w:rPr>
          <w:rFonts w:eastAsia="SimSun"/>
        </w:rPr>
        <w:t xml:space="preserve">to </w:t>
      </w:r>
      <w:r w:rsidR="00DA1E0F">
        <w:rPr>
          <w:rFonts w:eastAsia="SimSun"/>
        </w:rPr>
        <w:t>recover $9 per month of the full $11.24 per month of the customer-related costs identified in its electric cost of service study.</w:t>
      </w:r>
      <w:r w:rsidR="00902913">
        <w:rPr>
          <w:rFonts w:eastAsia="SimSun"/>
        </w:rPr>
        <w:t xml:space="preserve"> </w:t>
      </w:r>
      <w:r w:rsidR="00DA1E0F">
        <w:rPr>
          <w:rFonts w:eastAsia="SimSun"/>
        </w:rPr>
        <w:t xml:space="preserve">Ms. Levin notes that removing transformer costs from those considered customer-related reduces </w:t>
      </w:r>
      <w:r w:rsidR="009F6634">
        <w:rPr>
          <w:rFonts w:eastAsia="SimSun"/>
        </w:rPr>
        <w:t>those</w:t>
      </w:r>
      <w:r w:rsidR="00DA1E0F">
        <w:rPr>
          <w:rFonts w:eastAsia="SimSun"/>
        </w:rPr>
        <w:t xml:space="preserve"> costs to $8.07</w:t>
      </w:r>
      <w:r w:rsidR="009F6634">
        <w:rPr>
          <w:rFonts w:eastAsia="SimSun"/>
        </w:rPr>
        <w:t xml:space="preserve"> per month</w:t>
      </w:r>
      <w:r w:rsidR="00DA1E0F">
        <w:rPr>
          <w:rFonts w:eastAsia="SimSun"/>
        </w:rPr>
        <w:t>.</w:t>
      </w:r>
      <w:r w:rsidR="00B5149C">
        <w:rPr>
          <w:rStyle w:val="FootnoteReference"/>
          <w:rFonts w:eastAsia="SimSun"/>
        </w:rPr>
        <w:footnoteReference w:id="84"/>
      </w:r>
      <w:r w:rsidR="00902913">
        <w:rPr>
          <w:rFonts w:eastAsia="SimSun"/>
        </w:rPr>
        <w:t xml:space="preserve"> </w:t>
      </w:r>
      <w:r w:rsidR="006231A2">
        <w:rPr>
          <w:rFonts w:eastAsia="SimSun"/>
        </w:rPr>
        <w:t>So,</w:t>
      </w:r>
      <w:r w:rsidR="00DA1E0F">
        <w:rPr>
          <w:rFonts w:eastAsia="SimSun"/>
        </w:rPr>
        <w:t xml:space="preserve"> it stands to reason that PSE is only proposing that approximately $1 per month of the approximately $3 per month in transformer costs be recovered in PSE’s basic charge. </w:t>
      </w:r>
    </w:p>
    <w:p w:rsidR="00C83C6A" w:rsidRPr="00C83C6A" w:rsidRDefault="00C83C6A" w:rsidP="00EC52CB">
      <w:pPr>
        <w:pStyle w:val="question"/>
      </w:pPr>
      <w:r w:rsidRPr="00C83C6A">
        <w:t>Q.</w:t>
      </w:r>
      <w:r w:rsidRPr="00C83C6A">
        <w:tab/>
        <w:t>How does Ms. Levin misunderstand PSE’s construction standards?</w:t>
      </w:r>
    </w:p>
    <w:p w:rsidR="00C83C6A" w:rsidRDefault="00C83C6A" w:rsidP="009D3C23">
      <w:pPr>
        <w:pStyle w:val="answer"/>
        <w:rPr>
          <w:rFonts w:eastAsia="SimSun"/>
        </w:rPr>
      </w:pPr>
      <w:r>
        <w:rPr>
          <w:rFonts w:eastAsia="SimSun"/>
        </w:rPr>
        <w:t>A.</w:t>
      </w:r>
      <w:r>
        <w:rPr>
          <w:rFonts w:eastAsia="SimSun"/>
        </w:rPr>
        <w:tab/>
        <w:t>In several places in her testimony, Ms. Levin presents hypotheticals or makes assertions that contradict PSE’s construction standards.</w:t>
      </w:r>
      <w:r w:rsidR="00902913">
        <w:rPr>
          <w:rFonts w:eastAsia="SimSun"/>
        </w:rPr>
        <w:t xml:space="preserve"> </w:t>
      </w:r>
      <w:r>
        <w:rPr>
          <w:rFonts w:eastAsia="SimSun"/>
        </w:rPr>
        <w:t xml:space="preserve">For instance, Ms. Levin presents an example where a single dwelling has more than one meter but only one service line, suggesting that the only incremental cost associated with serving the second </w:t>
      </w:r>
      <w:r w:rsidR="009F6634">
        <w:rPr>
          <w:rFonts w:eastAsia="SimSun"/>
        </w:rPr>
        <w:t xml:space="preserve">location </w:t>
      </w:r>
      <w:r>
        <w:rPr>
          <w:rFonts w:eastAsia="SimSun"/>
        </w:rPr>
        <w:t>is the</w:t>
      </w:r>
      <w:r w:rsidR="009F6634">
        <w:rPr>
          <w:rFonts w:eastAsia="SimSun"/>
        </w:rPr>
        <w:t xml:space="preserve"> additional</w:t>
      </w:r>
      <w:r>
        <w:rPr>
          <w:rFonts w:eastAsia="SimSun"/>
        </w:rPr>
        <w:t xml:space="preserve"> meter.</w:t>
      </w:r>
      <w:r>
        <w:rPr>
          <w:rStyle w:val="FootnoteReference"/>
          <w:rFonts w:eastAsia="SimSun"/>
        </w:rPr>
        <w:footnoteReference w:id="85"/>
      </w:r>
      <w:r w:rsidR="00902913">
        <w:rPr>
          <w:rFonts w:eastAsia="SimSun"/>
        </w:rPr>
        <w:t xml:space="preserve"> </w:t>
      </w:r>
      <w:r>
        <w:rPr>
          <w:rFonts w:eastAsia="SimSun"/>
        </w:rPr>
        <w:t>This is not possible under PSE’s construction standards, where each meter is connected with its associated transformer through a dedicated service line.</w:t>
      </w:r>
      <w:r w:rsidR="00902913">
        <w:rPr>
          <w:rFonts w:eastAsia="SimSun"/>
        </w:rPr>
        <w:t xml:space="preserve"> </w:t>
      </w:r>
    </w:p>
    <w:p w:rsidR="00943919" w:rsidRDefault="00C83C6A" w:rsidP="009D3C23">
      <w:pPr>
        <w:pStyle w:val="answer"/>
        <w:rPr>
          <w:rFonts w:eastAsia="SimSun"/>
        </w:rPr>
      </w:pPr>
      <w:r>
        <w:rPr>
          <w:rFonts w:eastAsia="SimSun"/>
        </w:rPr>
        <w:tab/>
        <w:t>She further suggests that</w:t>
      </w:r>
      <w:r w:rsidR="00786ECC">
        <w:rPr>
          <w:rFonts w:eastAsia="SimSun"/>
        </w:rPr>
        <w:t xml:space="preserve"> a basic service charge should only recover incremental costs imposed by the presence of a new customer and, further, that</w:t>
      </w:r>
      <w:r>
        <w:rPr>
          <w:rFonts w:eastAsia="SimSun"/>
        </w:rPr>
        <w:t xml:space="preserve"> transformer costs </w:t>
      </w:r>
      <w:r w:rsidR="00786ECC">
        <w:rPr>
          <w:rFonts w:eastAsia="SimSun"/>
        </w:rPr>
        <w:t>are not necessarily incremental as the utility does not typically need an additional transformer to serve that customer.</w:t>
      </w:r>
      <w:r w:rsidR="00902913">
        <w:rPr>
          <w:rFonts w:eastAsia="SimSun"/>
        </w:rPr>
        <w:t xml:space="preserve"> </w:t>
      </w:r>
      <w:r w:rsidR="00786ECC">
        <w:rPr>
          <w:rFonts w:eastAsia="SimSun"/>
        </w:rPr>
        <w:t>This, of course, ignores the reality that the utility contemplat</w:t>
      </w:r>
      <w:r w:rsidR="009F6634">
        <w:rPr>
          <w:rFonts w:eastAsia="SimSun"/>
        </w:rPr>
        <w:t>es</w:t>
      </w:r>
      <w:r w:rsidR="00786ECC">
        <w:rPr>
          <w:rFonts w:eastAsia="SimSun"/>
        </w:rPr>
        <w:t xml:space="preserve"> whether additional capacity will be needed to serve additional customers in the nearby area</w:t>
      </w:r>
      <w:r w:rsidR="009F6634">
        <w:rPr>
          <w:rFonts w:eastAsia="SimSun"/>
        </w:rPr>
        <w:t xml:space="preserve"> when sizing </w:t>
      </w:r>
      <w:r w:rsidR="00B27CAD">
        <w:rPr>
          <w:rFonts w:eastAsia="SimSun"/>
        </w:rPr>
        <w:t xml:space="preserve">the installation of </w:t>
      </w:r>
      <w:r w:rsidR="009F6634">
        <w:rPr>
          <w:rFonts w:eastAsia="SimSun"/>
        </w:rPr>
        <w:t>new transformers</w:t>
      </w:r>
      <w:r w:rsidR="00786ECC">
        <w:rPr>
          <w:rFonts w:eastAsia="SimSun"/>
        </w:rPr>
        <w:t>.</w:t>
      </w:r>
      <w:r w:rsidR="00902913">
        <w:rPr>
          <w:rFonts w:eastAsia="SimSun"/>
        </w:rPr>
        <w:t xml:space="preserve"> </w:t>
      </w:r>
      <w:r w:rsidR="00786ECC">
        <w:rPr>
          <w:rFonts w:eastAsia="SimSun"/>
        </w:rPr>
        <w:t>Were the utility to simply size and install transformers to meet only the needs of each customer as it connects to the utility’s system, each new customer would indeed impose incremental costs</w:t>
      </w:r>
      <w:r w:rsidR="00B27CAD">
        <w:rPr>
          <w:rFonts w:eastAsia="SimSun"/>
        </w:rPr>
        <w:t>, requiring an incrementally larger transformer</w:t>
      </w:r>
      <w:r w:rsidR="00786ECC">
        <w:rPr>
          <w:rFonts w:eastAsia="SimSun"/>
        </w:rPr>
        <w:t>.</w:t>
      </w:r>
      <w:r w:rsidR="00902913">
        <w:rPr>
          <w:rFonts w:eastAsia="SimSun"/>
        </w:rPr>
        <w:t xml:space="preserve"> </w:t>
      </w:r>
      <w:r w:rsidR="00786ECC">
        <w:rPr>
          <w:rFonts w:eastAsia="SimSun"/>
        </w:rPr>
        <w:t>Of course, operating in this manner would also be highly inefficient and costly.</w:t>
      </w:r>
      <w:r w:rsidR="00902913">
        <w:rPr>
          <w:rFonts w:eastAsia="SimSun"/>
        </w:rPr>
        <w:t xml:space="preserve"> </w:t>
      </w:r>
      <w:r w:rsidR="00786ECC">
        <w:rPr>
          <w:rFonts w:eastAsia="SimSun"/>
        </w:rPr>
        <w:t>That being said, one should not assume that incremental costs to serve new customers do not exist simply because the capacity necessary to serve them was installed in advance of their commencement of service.</w:t>
      </w:r>
      <w:r w:rsidR="00902913">
        <w:rPr>
          <w:rFonts w:eastAsia="SimSun"/>
        </w:rPr>
        <w:t xml:space="preserve">   </w:t>
      </w:r>
      <w:r w:rsidR="00A14703">
        <w:rPr>
          <w:rFonts w:eastAsia="SimSun"/>
        </w:rPr>
        <w:t xml:space="preserve"> </w:t>
      </w:r>
    </w:p>
    <w:p w:rsidR="00943919" w:rsidRPr="007A29D1" w:rsidRDefault="00943919" w:rsidP="00EC52CB">
      <w:pPr>
        <w:pStyle w:val="question"/>
      </w:pPr>
      <w:r w:rsidRPr="007A29D1">
        <w:t>Q.</w:t>
      </w:r>
      <w:r w:rsidRPr="007A29D1">
        <w:tab/>
      </w:r>
      <w:r w:rsidR="00DB76BB">
        <w:t>Please elaborate on Ms. Levin’s</w:t>
      </w:r>
      <w:r w:rsidRPr="007A29D1">
        <w:t xml:space="preserve"> treatment of transformer costs</w:t>
      </w:r>
      <w:r w:rsidR="00DB76BB">
        <w:t>.</w:t>
      </w:r>
    </w:p>
    <w:p w:rsidR="005D725D" w:rsidRDefault="00943919" w:rsidP="009D3C23">
      <w:pPr>
        <w:pStyle w:val="answer"/>
        <w:rPr>
          <w:rFonts w:eastAsia="SimSun"/>
        </w:rPr>
      </w:pPr>
      <w:r>
        <w:rPr>
          <w:rFonts w:eastAsia="SimSun"/>
        </w:rPr>
        <w:t>A.</w:t>
      </w:r>
      <w:r>
        <w:rPr>
          <w:rFonts w:eastAsia="SimSun"/>
        </w:rPr>
        <w:tab/>
        <w:t xml:space="preserve">Ms. Levin </w:t>
      </w:r>
      <w:r w:rsidR="00DB76BB">
        <w:rPr>
          <w:rFonts w:eastAsia="SimSun"/>
        </w:rPr>
        <w:t>is binary in her thinking about the treatment of transformer costs.</w:t>
      </w:r>
      <w:r w:rsidR="00902913">
        <w:rPr>
          <w:rFonts w:eastAsia="SimSun"/>
        </w:rPr>
        <w:t xml:space="preserve"> </w:t>
      </w:r>
      <w:r w:rsidR="00DB76BB">
        <w:rPr>
          <w:rFonts w:eastAsia="SimSun"/>
        </w:rPr>
        <w:t xml:space="preserve">She </w:t>
      </w:r>
      <w:r>
        <w:rPr>
          <w:rFonts w:eastAsia="SimSun"/>
        </w:rPr>
        <w:t>appears to believe that transformer costs must either be considered customer-related or not.</w:t>
      </w:r>
      <w:r w:rsidR="00902913">
        <w:rPr>
          <w:rFonts w:eastAsia="SimSun"/>
        </w:rPr>
        <w:t xml:space="preserve"> </w:t>
      </w:r>
      <w:r>
        <w:rPr>
          <w:rFonts w:eastAsia="SimSun"/>
        </w:rPr>
        <w:t>There appears to be no middle ground.</w:t>
      </w:r>
      <w:r w:rsidR="00902913">
        <w:rPr>
          <w:rFonts w:eastAsia="SimSun"/>
        </w:rPr>
        <w:t xml:space="preserve"> </w:t>
      </w:r>
      <w:r>
        <w:rPr>
          <w:rFonts w:eastAsia="SimSun"/>
        </w:rPr>
        <w:t>However, it is commonly understood that many utility costs are caused by multiple factors.</w:t>
      </w:r>
      <w:r w:rsidR="00902913">
        <w:rPr>
          <w:rFonts w:eastAsia="SimSun"/>
        </w:rPr>
        <w:t xml:space="preserve"> </w:t>
      </w:r>
      <w:r>
        <w:rPr>
          <w:rFonts w:eastAsia="SimSun"/>
        </w:rPr>
        <w:t>Generation costs are a classic example, where a portion is considered to be driven by the need to meet a peak load requirement and a portion is related to the need to provide energy supply.</w:t>
      </w:r>
      <w:r w:rsidR="00902913">
        <w:rPr>
          <w:rFonts w:eastAsia="SimSun"/>
        </w:rPr>
        <w:t xml:space="preserve"> </w:t>
      </w:r>
      <w:r>
        <w:rPr>
          <w:rFonts w:eastAsia="SimSun"/>
        </w:rPr>
        <w:t>Transformer costs are no different, except that their costs are commonly considered to be driven in part to serve customers and in part to meet a peak load requirement.</w:t>
      </w:r>
      <w:r w:rsidR="00902913">
        <w:rPr>
          <w:rFonts w:eastAsia="SimSun"/>
        </w:rPr>
        <w:t xml:space="preserve"> </w:t>
      </w:r>
      <w:r>
        <w:rPr>
          <w:rFonts w:eastAsia="SimSun"/>
        </w:rPr>
        <w:t>In fact, Ms. Levin’s testimony supports that at least a portion of transformer costs are customer-related.</w:t>
      </w:r>
      <w:r w:rsidR="00902913">
        <w:rPr>
          <w:rFonts w:eastAsia="SimSun"/>
        </w:rPr>
        <w:t xml:space="preserve"> </w:t>
      </w:r>
    </w:p>
    <w:p w:rsidR="005D725D" w:rsidRPr="005D725D" w:rsidRDefault="005D725D" w:rsidP="00EC52CB">
      <w:pPr>
        <w:pStyle w:val="question"/>
      </w:pPr>
      <w:r w:rsidRPr="005D725D">
        <w:t>Q.</w:t>
      </w:r>
      <w:r w:rsidRPr="005D725D">
        <w:tab/>
        <w:t>How does Ms. Levin support that at lea</w:t>
      </w:r>
      <w:r w:rsidR="007A29D1">
        <w:t>st a portion of transformer cost</w:t>
      </w:r>
      <w:r w:rsidRPr="005D725D">
        <w:t>s are customer-related?</w:t>
      </w:r>
    </w:p>
    <w:p w:rsidR="00A14703" w:rsidRDefault="005D725D" w:rsidP="009D3C23">
      <w:pPr>
        <w:pStyle w:val="answer"/>
        <w:rPr>
          <w:rFonts w:eastAsia="SimSun"/>
        </w:rPr>
      </w:pPr>
      <w:r>
        <w:rPr>
          <w:rFonts w:eastAsia="SimSun"/>
        </w:rPr>
        <w:t>A.</w:t>
      </w:r>
      <w:r>
        <w:rPr>
          <w:rFonts w:eastAsia="SimSun"/>
        </w:rPr>
        <w:tab/>
      </w:r>
      <w:r w:rsidR="00943919">
        <w:rPr>
          <w:rFonts w:eastAsia="SimSun"/>
        </w:rPr>
        <w:t xml:space="preserve">She notes that it is often not practical to serve multiple customers through a single </w:t>
      </w:r>
      <w:r w:rsidR="00BA438F">
        <w:rPr>
          <w:rFonts w:eastAsia="SimSun"/>
        </w:rPr>
        <w:t xml:space="preserve">transformer </w:t>
      </w:r>
      <w:r w:rsidR="00943919">
        <w:rPr>
          <w:rFonts w:eastAsia="SimSun"/>
        </w:rPr>
        <w:t>and that utilities take into account the spacing between homes in choosing where to install transformers.</w:t>
      </w:r>
      <w:r>
        <w:rPr>
          <w:rStyle w:val="FootnoteReference"/>
          <w:rFonts w:eastAsia="SimSun"/>
        </w:rPr>
        <w:footnoteReference w:id="86"/>
      </w:r>
      <w:r w:rsidR="00902913">
        <w:rPr>
          <w:rFonts w:eastAsia="SimSun"/>
        </w:rPr>
        <w:t xml:space="preserve"> </w:t>
      </w:r>
      <w:r w:rsidR="00BA438F">
        <w:rPr>
          <w:rFonts w:eastAsia="SimSun"/>
        </w:rPr>
        <w:t>Therefore</w:t>
      </w:r>
      <w:r w:rsidR="00943919">
        <w:rPr>
          <w:rFonts w:eastAsia="SimSun"/>
        </w:rPr>
        <w:t xml:space="preserve">, </w:t>
      </w:r>
      <w:r w:rsidR="00B27CAD">
        <w:rPr>
          <w:rFonts w:eastAsia="SimSun"/>
        </w:rPr>
        <w:t>at least a portion of the</w:t>
      </w:r>
      <w:r w:rsidR="00943919">
        <w:rPr>
          <w:rFonts w:eastAsia="SimSun"/>
        </w:rPr>
        <w:t xml:space="preserve"> costs are driven by the presence of the customer, not necessarily the size of the peak load.</w:t>
      </w:r>
      <w:r w:rsidR="00760BDF">
        <w:rPr>
          <w:rStyle w:val="FootnoteReference"/>
          <w:rFonts w:eastAsia="SimSun"/>
        </w:rPr>
        <w:footnoteReference w:id="87"/>
      </w:r>
      <w:r w:rsidR="00902913">
        <w:rPr>
          <w:rFonts w:eastAsia="SimSun"/>
        </w:rPr>
        <w:t xml:space="preserve"> </w:t>
      </w:r>
      <w:r>
        <w:rPr>
          <w:rFonts w:eastAsia="SimSun"/>
        </w:rPr>
        <w:t>Further, she supports including the cost of service lines in the basic charge.</w:t>
      </w:r>
      <w:r>
        <w:rPr>
          <w:rStyle w:val="FootnoteReference"/>
          <w:rFonts w:eastAsia="SimSun"/>
        </w:rPr>
        <w:footnoteReference w:id="88"/>
      </w:r>
      <w:r w:rsidR="00902913">
        <w:rPr>
          <w:rFonts w:eastAsia="SimSun"/>
        </w:rPr>
        <w:t xml:space="preserve"> </w:t>
      </w:r>
      <w:r>
        <w:rPr>
          <w:rFonts w:eastAsia="SimSun"/>
        </w:rPr>
        <w:t>However, much like transformers, service lines are driven in part by the presence of the customer and in part by the amount of load being served.</w:t>
      </w:r>
      <w:r w:rsidR="00902913">
        <w:rPr>
          <w:rFonts w:eastAsia="SimSun"/>
        </w:rPr>
        <w:t xml:space="preserve"> </w:t>
      </w:r>
      <w:r w:rsidR="00760BDF">
        <w:rPr>
          <w:rFonts w:eastAsia="SimSun"/>
        </w:rPr>
        <w:t xml:space="preserve">Yet she is willing to treat these service lines as being </w:t>
      </w:r>
      <w:r>
        <w:rPr>
          <w:rFonts w:eastAsia="SimSun"/>
        </w:rPr>
        <w:t xml:space="preserve">one hundred percent </w:t>
      </w:r>
      <w:r w:rsidR="00760BDF">
        <w:rPr>
          <w:rFonts w:eastAsia="SimSun"/>
        </w:rPr>
        <w:t>customer-related</w:t>
      </w:r>
      <w:r w:rsidR="009F6634">
        <w:rPr>
          <w:rFonts w:eastAsia="SimSun"/>
        </w:rPr>
        <w:t xml:space="preserve"> and, importantly, part of the basic charge calculation</w:t>
      </w:r>
      <w:r w:rsidR="00760BDF">
        <w:rPr>
          <w:rFonts w:eastAsia="SimSun"/>
        </w:rPr>
        <w:t xml:space="preserve">. </w:t>
      </w:r>
    </w:p>
    <w:p w:rsidR="00C11ED9" w:rsidRPr="00C11ED9" w:rsidRDefault="00C11ED9" w:rsidP="00EC52CB">
      <w:pPr>
        <w:pStyle w:val="question"/>
      </w:pPr>
      <w:r w:rsidRPr="00C11ED9">
        <w:t>Q.</w:t>
      </w:r>
      <w:r w:rsidRPr="00C11ED9">
        <w:tab/>
        <w:t>Are there additional considerations for why transformer costs should be included in the calculation of residential basic charges?</w:t>
      </w:r>
    </w:p>
    <w:p w:rsidR="00C11ED9" w:rsidRDefault="00C11ED9" w:rsidP="009D3C23">
      <w:pPr>
        <w:pStyle w:val="answer"/>
        <w:rPr>
          <w:rFonts w:eastAsia="SimSun"/>
        </w:rPr>
      </w:pPr>
      <w:r>
        <w:rPr>
          <w:rFonts w:eastAsia="SimSun"/>
        </w:rPr>
        <w:t>A.</w:t>
      </w:r>
      <w:r>
        <w:rPr>
          <w:rFonts w:eastAsia="SimSun"/>
        </w:rPr>
        <w:tab/>
        <w:t>Yes.</w:t>
      </w:r>
      <w:r w:rsidR="00902913">
        <w:rPr>
          <w:rFonts w:eastAsia="SimSun"/>
        </w:rPr>
        <w:t xml:space="preserve"> </w:t>
      </w:r>
      <w:r>
        <w:rPr>
          <w:rFonts w:eastAsia="SimSun"/>
        </w:rPr>
        <w:t>As noted, and as is commonly the case, Ms. Levin included service lines in her recommended</w:t>
      </w:r>
      <w:r w:rsidR="000F4F11">
        <w:rPr>
          <w:rFonts w:eastAsia="SimSun"/>
        </w:rPr>
        <w:t xml:space="preserve"> basic charge calculation, but excludes transformer costs.</w:t>
      </w:r>
      <w:r w:rsidR="00902913">
        <w:rPr>
          <w:rFonts w:eastAsia="SimSun"/>
        </w:rPr>
        <w:t xml:space="preserve"> </w:t>
      </w:r>
      <w:r w:rsidR="000F4F11">
        <w:rPr>
          <w:rFonts w:eastAsia="SimSun"/>
        </w:rPr>
        <w:t>And yet, there appear to be many commonalities between the two</w:t>
      </w:r>
      <w:r w:rsidR="00B27CAD">
        <w:rPr>
          <w:rFonts w:eastAsia="SimSun"/>
        </w:rPr>
        <w:t>, particularly relative to residential service</w:t>
      </w:r>
      <w:r w:rsidR="000F4F11">
        <w:rPr>
          <w:rFonts w:eastAsia="SimSun"/>
        </w:rPr>
        <w:t>.</w:t>
      </w:r>
      <w:r w:rsidR="00902913">
        <w:rPr>
          <w:rFonts w:eastAsia="SimSun"/>
        </w:rPr>
        <w:t xml:space="preserve"> </w:t>
      </w:r>
      <w:r w:rsidR="000F4F11">
        <w:rPr>
          <w:rFonts w:eastAsia="SimSun"/>
        </w:rPr>
        <w:t>Both are used to serve a very limited number of customers, both have a predefined range of sizes</w:t>
      </w:r>
      <w:r w:rsidR="000B2E25">
        <w:rPr>
          <w:rFonts w:eastAsia="SimSun"/>
        </w:rPr>
        <w:t xml:space="preserve"> (i.e., load carrying capacity)</w:t>
      </w:r>
      <w:r w:rsidR="000F4F11">
        <w:rPr>
          <w:rFonts w:eastAsia="SimSun"/>
        </w:rPr>
        <w:t xml:space="preserve"> with a relatively narrow range of costs, and both are typically sized initially and not resized for changes in loads.</w:t>
      </w:r>
      <w:r w:rsidR="00902913">
        <w:rPr>
          <w:rFonts w:eastAsia="SimSun"/>
        </w:rPr>
        <w:t xml:space="preserve"> </w:t>
      </w:r>
      <w:r w:rsidR="000F4F11">
        <w:rPr>
          <w:rFonts w:eastAsia="SimSun"/>
        </w:rPr>
        <w:t>In fact, in certain respects, the costs associated with service lines are more variable than that of transformers</w:t>
      </w:r>
      <w:r w:rsidR="002A136E">
        <w:rPr>
          <w:rFonts w:eastAsia="SimSun"/>
        </w:rPr>
        <w:t>.</w:t>
      </w:r>
      <w:r w:rsidR="00902913">
        <w:rPr>
          <w:rFonts w:eastAsia="SimSun"/>
        </w:rPr>
        <w:t xml:space="preserve"> </w:t>
      </w:r>
      <w:r w:rsidR="002A136E">
        <w:rPr>
          <w:rFonts w:eastAsia="SimSun"/>
        </w:rPr>
        <w:t>U</w:t>
      </w:r>
      <w:r w:rsidR="000F4F11">
        <w:rPr>
          <w:rFonts w:eastAsia="SimSun"/>
        </w:rPr>
        <w:t>tilit</w:t>
      </w:r>
      <w:r w:rsidR="002A136E">
        <w:rPr>
          <w:rFonts w:eastAsia="SimSun"/>
        </w:rPr>
        <w:t>ies</w:t>
      </w:r>
      <w:r w:rsidR="000F4F11">
        <w:rPr>
          <w:rFonts w:eastAsia="SimSun"/>
        </w:rPr>
        <w:t xml:space="preserve"> must take into </w:t>
      </w:r>
      <w:r>
        <w:rPr>
          <w:rFonts w:eastAsia="SimSun"/>
        </w:rPr>
        <w:t>consideration the length of conductor required, among other considerations that may be unique to the particular residence</w:t>
      </w:r>
      <w:r w:rsidR="000F4F11">
        <w:rPr>
          <w:rFonts w:eastAsia="SimSun"/>
        </w:rPr>
        <w:t xml:space="preserve"> when determining the overall service line costs for any given customer</w:t>
      </w:r>
      <w:r>
        <w:rPr>
          <w:rFonts w:eastAsia="SimSun"/>
        </w:rPr>
        <w:t>.</w:t>
      </w:r>
      <w:r w:rsidR="00902913">
        <w:rPr>
          <w:rFonts w:eastAsia="SimSun"/>
        </w:rPr>
        <w:t xml:space="preserve"> </w:t>
      </w:r>
      <w:r>
        <w:rPr>
          <w:rFonts w:eastAsia="SimSun"/>
        </w:rPr>
        <w:t>Certainly, service line costs are not “one-size-fits-all.”</w:t>
      </w:r>
      <w:r w:rsidR="00902913">
        <w:rPr>
          <w:rFonts w:eastAsia="SimSun"/>
        </w:rPr>
        <w:t xml:space="preserve"> </w:t>
      </w:r>
      <w:r w:rsidR="000B2E25">
        <w:rPr>
          <w:rFonts w:eastAsia="SimSun"/>
        </w:rPr>
        <w:t xml:space="preserve">And, so, it </w:t>
      </w:r>
      <w:r w:rsidR="00BA438F">
        <w:rPr>
          <w:rFonts w:eastAsia="SimSun"/>
        </w:rPr>
        <w:t xml:space="preserve">would be </w:t>
      </w:r>
      <w:r w:rsidR="000B2E25">
        <w:rPr>
          <w:rFonts w:eastAsia="SimSun"/>
        </w:rPr>
        <w:t>incongruent to treat service lines as customer-related costs, but not the associated transformers.</w:t>
      </w:r>
      <w:r w:rsidR="00902913">
        <w:rPr>
          <w:rFonts w:eastAsia="SimSun"/>
        </w:rPr>
        <w:t xml:space="preserve"> </w:t>
      </w:r>
    </w:p>
    <w:p w:rsidR="00BA4664" w:rsidRPr="00BA4664" w:rsidRDefault="00BA4664" w:rsidP="00EC52CB">
      <w:pPr>
        <w:pStyle w:val="question"/>
      </w:pPr>
      <w:r w:rsidRPr="00BA4664">
        <w:t>Q.</w:t>
      </w:r>
      <w:r w:rsidRPr="00BA4664">
        <w:tab/>
        <w:t>How do</w:t>
      </w:r>
      <w:r w:rsidRPr="00EC52CB">
        <w:t xml:space="preserve"> </w:t>
      </w:r>
      <w:r w:rsidRPr="00BA4664">
        <w:t>you respond to Ms. Levin’</w:t>
      </w:r>
      <w:r w:rsidR="009F6634">
        <w:t>s proposal for a study of differe</w:t>
      </w:r>
      <w:r w:rsidRPr="00BA4664">
        <w:t>nces in residential cost of service?</w:t>
      </w:r>
    </w:p>
    <w:p w:rsidR="00BA4664" w:rsidRDefault="00BA4664" w:rsidP="009D3C23">
      <w:pPr>
        <w:pStyle w:val="answer"/>
        <w:rPr>
          <w:rFonts w:eastAsia="SimSun"/>
        </w:rPr>
      </w:pPr>
      <w:r>
        <w:rPr>
          <w:rFonts w:eastAsia="SimSun"/>
        </w:rPr>
        <w:t>A.</w:t>
      </w:r>
      <w:r>
        <w:rPr>
          <w:rFonts w:eastAsia="SimSun"/>
        </w:rPr>
        <w:tab/>
      </w:r>
      <w:r w:rsidR="00A10088">
        <w:rPr>
          <w:rFonts w:eastAsia="SimSun"/>
        </w:rPr>
        <w:t>Ms. Levin’s recommended study of cost differences for residential customers lacks clarity as to its purpose in the context of determining residential basic charges</w:t>
      </w:r>
      <w:r w:rsidR="00BA438F">
        <w:rPr>
          <w:rFonts w:eastAsia="SimSun"/>
        </w:rPr>
        <w:t xml:space="preserve"> and appears to extend beyond that stated purpose</w:t>
      </w:r>
      <w:r w:rsidR="00A10088">
        <w:rPr>
          <w:rFonts w:eastAsia="SimSun"/>
        </w:rPr>
        <w:t>.</w:t>
      </w:r>
      <w:r w:rsidR="00902913">
        <w:rPr>
          <w:rFonts w:eastAsia="SimSun"/>
        </w:rPr>
        <w:t xml:space="preserve"> </w:t>
      </w:r>
      <w:r w:rsidR="00A10088">
        <w:rPr>
          <w:rFonts w:eastAsia="SimSun"/>
        </w:rPr>
        <w:t>Indeed, in response to a data request from PSE, Ms. Levin suggests the need for power supply and transmission cost data, which would have no apparent value in determining a residential basic charge.</w:t>
      </w:r>
      <w:r w:rsidR="00902913">
        <w:rPr>
          <w:rFonts w:eastAsia="SimSun"/>
        </w:rPr>
        <w:t xml:space="preserve"> </w:t>
      </w:r>
      <w:r w:rsidR="00A10088">
        <w:rPr>
          <w:rFonts w:eastAsia="SimSun"/>
        </w:rPr>
        <w:t>Moreover, if one were to perform the requested study, it would take far longer than the year given to perform it.</w:t>
      </w:r>
      <w:r w:rsidR="00902913">
        <w:rPr>
          <w:rFonts w:eastAsia="SimSun"/>
        </w:rPr>
        <w:t xml:space="preserve"> </w:t>
      </w:r>
      <w:r w:rsidR="00A10088">
        <w:rPr>
          <w:rFonts w:eastAsia="SimSun"/>
        </w:rPr>
        <w:t>The analysis would first need to be properly framed for scope, only then could data begin to be collected.</w:t>
      </w:r>
      <w:r w:rsidR="00902913">
        <w:rPr>
          <w:rFonts w:eastAsia="SimSun"/>
        </w:rPr>
        <w:t xml:space="preserve"> </w:t>
      </w:r>
      <w:r w:rsidR="00A10088">
        <w:rPr>
          <w:rFonts w:eastAsia="SimSun"/>
        </w:rPr>
        <w:t xml:space="preserve">This data collection would apparently require load profile data that does not yet exist at the level required for the recommended study, and would take </w:t>
      </w:r>
      <w:r w:rsidR="00BA438F">
        <w:rPr>
          <w:rFonts w:eastAsia="SimSun"/>
        </w:rPr>
        <w:t xml:space="preserve">at least </w:t>
      </w:r>
      <w:r w:rsidR="00A10088">
        <w:rPr>
          <w:rFonts w:eastAsia="SimSun"/>
        </w:rPr>
        <w:t>a year to collect.</w:t>
      </w:r>
      <w:r w:rsidR="00902913">
        <w:rPr>
          <w:rFonts w:eastAsia="SimSun"/>
        </w:rPr>
        <w:t xml:space="preserve"> </w:t>
      </w:r>
      <w:r w:rsidR="00A10088">
        <w:rPr>
          <w:rFonts w:eastAsia="SimSun"/>
        </w:rPr>
        <w:t>And, of course, there would be the considerable time required for the actual analysis and development of a report.</w:t>
      </w:r>
      <w:r w:rsidR="00902913">
        <w:rPr>
          <w:rFonts w:eastAsia="SimSun"/>
        </w:rPr>
        <w:t xml:space="preserve"> </w:t>
      </w:r>
      <w:r w:rsidR="00A10088">
        <w:rPr>
          <w:rFonts w:eastAsia="SimSun"/>
        </w:rPr>
        <w:t>Therefore, PSE recommends that the Commission reject this vaguely defined and justified proposal</w:t>
      </w:r>
      <w:r w:rsidR="00A37986">
        <w:rPr>
          <w:rFonts w:eastAsia="SimSun"/>
        </w:rPr>
        <w:t>.</w:t>
      </w:r>
      <w:r w:rsidR="00902913">
        <w:rPr>
          <w:rFonts w:eastAsia="SimSun"/>
        </w:rPr>
        <w:t xml:space="preserve"> </w:t>
      </w:r>
      <w:r w:rsidR="00A37986">
        <w:rPr>
          <w:rFonts w:eastAsia="SimSun"/>
        </w:rPr>
        <w:t>I</w:t>
      </w:r>
      <w:r w:rsidR="00A10088">
        <w:rPr>
          <w:rFonts w:eastAsia="SimSun"/>
        </w:rPr>
        <w:t>f it were convinced of its need, a minimum of two years would be required</w:t>
      </w:r>
      <w:r w:rsidR="00BA438F">
        <w:rPr>
          <w:rFonts w:eastAsia="SimSun"/>
        </w:rPr>
        <w:t xml:space="preserve"> for its completion</w:t>
      </w:r>
      <w:r w:rsidR="00A10088">
        <w:rPr>
          <w:rFonts w:eastAsia="SimSun"/>
        </w:rPr>
        <w:t>.</w:t>
      </w:r>
      <w:r w:rsidR="00902913">
        <w:rPr>
          <w:rFonts w:eastAsia="SimSun"/>
        </w:rPr>
        <w:t xml:space="preserve"> </w:t>
      </w:r>
    </w:p>
    <w:p w:rsidR="009F5B38" w:rsidRPr="009F5B38" w:rsidRDefault="009F5B38" w:rsidP="00EC52CB">
      <w:pPr>
        <w:pStyle w:val="question"/>
      </w:pPr>
      <w:r w:rsidRPr="009F5B38">
        <w:t>Q.</w:t>
      </w:r>
      <w:r w:rsidRPr="009F5B38">
        <w:tab/>
        <w:t>How does Mr. Watkins support his recommendation for a $7.5</w:t>
      </w:r>
      <w:r w:rsidR="00700A09">
        <w:t>0</w:t>
      </w:r>
      <w:r w:rsidRPr="009F5B38">
        <w:t xml:space="preserve"> monthly basic charge for residential customers?</w:t>
      </w:r>
    </w:p>
    <w:p w:rsidR="009F5B38" w:rsidRDefault="009F5B38" w:rsidP="009D3C23">
      <w:pPr>
        <w:pStyle w:val="answer"/>
        <w:rPr>
          <w:rFonts w:eastAsia="SimSun"/>
        </w:rPr>
      </w:pPr>
      <w:r>
        <w:rPr>
          <w:rFonts w:eastAsia="SimSun"/>
        </w:rPr>
        <w:t>A.</w:t>
      </w:r>
      <w:r>
        <w:rPr>
          <w:rFonts w:eastAsia="SimSun"/>
        </w:rPr>
        <w:tab/>
      </w:r>
      <w:r w:rsidR="00722A96">
        <w:rPr>
          <w:rFonts w:eastAsia="SimSun"/>
        </w:rPr>
        <w:t>He begins by calculating a monthly basic charge that includes return, depreciation and income taxes on meter and service line plant,</w:t>
      </w:r>
      <w:r w:rsidR="004D0916">
        <w:rPr>
          <w:rStyle w:val="FootnoteReference"/>
          <w:rFonts w:eastAsia="SimSun"/>
        </w:rPr>
        <w:footnoteReference w:id="89"/>
      </w:r>
      <w:r w:rsidR="00722A96">
        <w:rPr>
          <w:rFonts w:eastAsia="SimSun"/>
        </w:rPr>
        <w:t xml:space="preserve"> as well as a limited subset of operation and maintenance expense.</w:t>
      </w:r>
      <w:r w:rsidR="00722A96">
        <w:rPr>
          <w:rStyle w:val="FootnoteReference"/>
          <w:rFonts w:eastAsia="SimSun"/>
        </w:rPr>
        <w:footnoteReference w:id="90"/>
      </w:r>
      <w:r w:rsidR="00902913">
        <w:rPr>
          <w:rFonts w:eastAsia="SimSun"/>
        </w:rPr>
        <w:t xml:space="preserve"> </w:t>
      </w:r>
      <w:r w:rsidR="00722A96">
        <w:rPr>
          <w:rFonts w:eastAsia="SimSun"/>
        </w:rPr>
        <w:t>Absent from Mr. Watkins’ basic charge calculations are capital and operating expenses associated with line transformers, as well as any share of overhead</w:t>
      </w:r>
      <w:r w:rsidR="00BA438F">
        <w:rPr>
          <w:rFonts w:eastAsia="SimSun"/>
        </w:rPr>
        <w:t xml:space="preserve"> administrative</w:t>
      </w:r>
      <w:r w:rsidR="00722A96">
        <w:rPr>
          <w:rFonts w:eastAsia="SimSun"/>
        </w:rPr>
        <w:t xml:space="preserve"> costs.</w:t>
      </w:r>
      <w:r w:rsidR="00722A96">
        <w:rPr>
          <w:rStyle w:val="FootnoteReference"/>
          <w:rFonts w:eastAsia="SimSun"/>
        </w:rPr>
        <w:footnoteReference w:id="91"/>
      </w:r>
      <w:r w:rsidR="00902913">
        <w:rPr>
          <w:rFonts w:eastAsia="SimSun"/>
        </w:rPr>
        <w:t xml:space="preserve"> </w:t>
      </w:r>
      <w:r w:rsidR="00722A96">
        <w:rPr>
          <w:rFonts w:eastAsia="SimSun"/>
        </w:rPr>
        <w:t xml:space="preserve">His calculations result in a range of basic charges from $4.05 to </w:t>
      </w:r>
      <w:r w:rsidR="009044DC">
        <w:rPr>
          <w:rFonts w:eastAsia="SimSun"/>
        </w:rPr>
        <w:t>$</w:t>
      </w:r>
      <w:r w:rsidR="00722A96">
        <w:rPr>
          <w:rFonts w:eastAsia="SimSun"/>
        </w:rPr>
        <w:t>5.61 per month.</w:t>
      </w:r>
      <w:r w:rsidR="00902913">
        <w:rPr>
          <w:rFonts w:eastAsia="SimSun"/>
        </w:rPr>
        <w:t xml:space="preserve"> </w:t>
      </w:r>
      <w:r w:rsidR="00722A96">
        <w:rPr>
          <w:rFonts w:eastAsia="SimSun"/>
        </w:rPr>
        <w:t xml:space="preserve">However, </w:t>
      </w:r>
      <w:r w:rsidR="009044DC">
        <w:rPr>
          <w:rFonts w:eastAsia="SimSun"/>
        </w:rPr>
        <w:t>to maintain</w:t>
      </w:r>
      <w:r w:rsidR="00722A96">
        <w:rPr>
          <w:rFonts w:eastAsia="SimSun"/>
        </w:rPr>
        <w:t xml:space="preserve"> continuity with existing rates, Mr. Watkins proposes a rate of $7.50.</w:t>
      </w:r>
      <w:r w:rsidR="00722A96">
        <w:rPr>
          <w:rStyle w:val="FootnoteReference"/>
          <w:rFonts w:eastAsia="SimSun"/>
        </w:rPr>
        <w:footnoteReference w:id="92"/>
      </w:r>
    </w:p>
    <w:p w:rsidR="009F5B38" w:rsidRPr="009F5B38" w:rsidRDefault="009F5B38" w:rsidP="00EC52CB">
      <w:pPr>
        <w:pStyle w:val="question"/>
      </w:pPr>
      <w:r w:rsidRPr="009F5B38">
        <w:t>Q.</w:t>
      </w:r>
      <w:r w:rsidRPr="009F5B38">
        <w:tab/>
        <w:t>How do you respond to Mr. Watkin’s</w:t>
      </w:r>
      <w:r w:rsidR="004D0916">
        <w:t xml:space="preserve"> justification for his basic charge recommendation</w:t>
      </w:r>
      <w:r w:rsidRPr="009F5B38">
        <w:t>?</w:t>
      </w:r>
    </w:p>
    <w:p w:rsidR="009F5B38" w:rsidRDefault="009F5B38" w:rsidP="009D3C23">
      <w:pPr>
        <w:pStyle w:val="answer"/>
        <w:rPr>
          <w:rFonts w:eastAsia="SimSun"/>
        </w:rPr>
      </w:pPr>
      <w:r>
        <w:rPr>
          <w:rFonts w:eastAsia="SimSun"/>
        </w:rPr>
        <w:t>A.</w:t>
      </w:r>
      <w:r>
        <w:rPr>
          <w:rFonts w:eastAsia="SimSun"/>
        </w:rPr>
        <w:tab/>
      </w:r>
      <w:r w:rsidR="009044DC">
        <w:rPr>
          <w:rFonts w:eastAsia="SimSun"/>
        </w:rPr>
        <w:t xml:space="preserve">I disagree both with the exclusion of transformer and overhead </w:t>
      </w:r>
      <w:r w:rsidR="002A136E">
        <w:rPr>
          <w:rFonts w:eastAsia="SimSun"/>
        </w:rPr>
        <w:t xml:space="preserve">administrative </w:t>
      </w:r>
      <w:r w:rsidR="009044DC">
        <w:rPr>
          <w:rFonts w:eastAsia="SimSun"/>
        </w:rPr>
        <w:t>costs.</w:t>
      </w:r>
      <w:r w:rsidR="00902913">
        <w:rPr>
          <w:rFonts w:eastAsia="SimSun"/>
        </w:rPr>
        <w:t xml:space="preserve"> </w:t>
      </w:r>
      <w:r w:rsidR="009044DC">
        <w:rPr>
          <w:rFonts w:eastAsia="SimSun"/>
        </w:rPr>
        <w:t>I already addressed the rationale for including transfor</w:t>
      </w:r>
      <w:r w:rsidR="00BA438F">
        <w:rPr>
          <w:rFonts w:eastAsia="SimSun"/>
        </w:rPr>
        <w:t>mer costs in my response to Ms. </w:t>
      </w:r>
      <w:r w:rsidR="009044DC">
        <w:rPr>
          <w:rFonts w:eastAsia="SimSun"/>
        </w:rPr>
        <w:t>Levin’s testimony</w:t>
      </w:r>
      <w:r w:rsidR="00BA438F">
        <w:rPr>
          <w:rFonts w:eastAsia="SimSun"/>
        </w:rPr>
        <w:t xml:space="preserve"> and will not repeat it here.</w:t>
      </w:r>
      <w:r w:rsidR="00902913">
        <w:rPr>
          <w:rFonts w:eastAsia="SimSun"/>
        </w:rPr>
        <w:t xml:space="preserve"> </w:t>
      </w:r>
      <w:r w:rsidR="000B2E25">
        <w:rPr>
          <w:rFonts w:eastAsia="SimSun"/>
        </w:rPr>
        <w:t>With regard to Mr. Watkin</w:t>
      </w:r>
      <w:r w:rsidR="00C43809">
        <w:rPr>
          <w:rFonts w:eastAsia="SimSun"/>
        </w:rPr>
        <w:t>s</w:t>
      </w:r>
      <w:r w:rsidR="000B2E25">
        <w:rPr>
          <w:rFonts w:eastAsia="SimSun"/>
        </w:rPr>
        <w:t xml:space="preserve">’ exclusion of overhead </w:t>
      </w:r>
      <w:r w:rsidR="00BA438F">
        <w:rPr>
          <w:rFonts w:eastAsia="SimSun"/>
        </w:rPr>
        <w:t xml:space="preserve">administrative </w:t>
      </w:r>
      <w:r w:rsidR="000B2E25">
        <w:rPr>
          <w:rFonts w:eastAsia="SimSun"/>
        </w:rPr>
        <w:t>costs, it is very likely the case that these costs are more customer-related than not.</w:t>
      </w:r>
      <w:r w:rsidR="00902913">
        <w:rPr>
          <w:rFonts w:eastAsia="SimSun"/>
        </w:rPr>
        <w:t xml:space="preserve"> </w:t>
      </w:r>
      <w:r w:rsidR="00551F41">
        <w:rPr>
          <w:rFonts w:eastAsia="SimSun"/>
        </w:rPr>
        <w:t>Take PSE’s tax accounting department as a simple example.</w:t>
      </w:r>
      <w:r w:rsidR="00902913">
        <w:rPr>
          <w:rFonts w:eastAsia="SimSun"/>
        </w:rPr>
        <w:t xml:space="preserve"> </w:t>
      </w:r>
      <w:r w:rsidR="00551F41">
        <w:rPr>
          <w:rFonts w:eastAsia="SimSun"/>
        </w:rPr>
        <w:t>It stands to reason that if PSE served one 2,500 aMW load in one location (i.e., one customer), the workload required to administer municipal and county taxes by the tax accounting department would be significantly reduced.</w:t>
      </w:r>
      <w:r w:rsidR="00902913">
        <w:rPr>
          <w:rFonts w:eastAsia="SimSun"/>
        </w:rPr>
        <w:t xml:space="preserve"> </w:t>
      </w:r>
      <w:r w:rsidR="00551F41">
        <w:rPr>
          <w:rFonts w:eastAsia="SimSun"/>
        </w:rPr>
        <w:t xml:space="preserve">Instead of dealing with taxing </w:t>
      </w:r>
      <w:r w:rsidR="00D06A09" w:rsidRPr="009779B0">
        <w:rPr>
          <w:rFonts w:eastAsia="SimSun"/>
        </w:rPr>
        <w:t>authorities</w:t>
      </w:r>
      <w:r w:rsidR="00551F41" w:rsidRPr="009779B0">
        <w:rPr>
          <w:rFonts w:eastAsia="SimSun"/>
        </w:rPr>
        <w:t xml:space="preserve"> in 8 counties and </w:t>
      </w:r>
      <w:r w:rsidR="009779B0">
        <w:rPr>
          <w:rFonts w:eastAsia="SimSun"/>
        </w:rPr>
        <w:t>97</w:t>
      </w:r>
      <w:r w:rsidR="00551F41">
        <w:rPr>
          <w:rFonts w:eastAsia="SimSun"/>
        </w:rPr>
        <w:t xml:space="preserve"> municipalities, the</w:t>
      </w:r>
      <w:r w:rsidR="00D06A09">
        <w:rPr>
          <w:rFonts w:eastAsia="SimSun"/>
        </w:rPr>
        <w:t xml:space="preserve"> department</w:t>
      </w:r>
      <w:r w:rsidR="00551F41">
        <w:rPr>
          <w:rFonts w:eastAsia="SimSun"/>
        </w:rPr>
        <w:t xml:space="preserve"> would only need to </w:t>
      </w:r>
      <w:r w:rsidR="00D06A09">
        <w:rPr>
          <w:rFonts w:eastAsia="SimSun"/>
        </w:rPr>
        <w:t xml:space="preserve">deal with </w:t>
      </w:r>
      <w:r w:rsidR="00551F41">
        <w:rPr>
          <w:rFonts w:eastAsia="SimSun"/>
        </w:rPr>
        <w:t>a relative few.</w:t>
      </w:r>
      <w:r w:rsidR="00551F41">
        <w:rPr>
          <w:rStyle w:val="FootnoteReference"/>
          <w:rFonts w:eastAsia="SimSun"/>
        </w:rPr>
        <w:footnoteReference w:id="93"/>
      </w:r>
      <w:r w:rsidR="00902913">
        <w:rPr>
          <w:rFonts w:eastAsia="SimSun"/>
        </w:rPr>
        <w:t xml:space="preserve"> </w:t>
      </w:r>
      <w:r w:rsidR="00D06A09">
        <w:rPr>
          <w:rFonts w:eastAsia="SimSun"/>
        </w:rPr>
        <w:t xml:space="preserve">At a macro level, serving one </w:t>
      </w:r>
      <w:r w:rsidR="006857CE">
        <w:rPr>
          <w:rFonts w:eastAsia="SimSun"/>
        </w:rPr>
        <w:t xml:space="preserve">very large customer at one location </w:t>
      </w:r>
      <w:r w:rsidR="00D06A09">
        <w:rPr>
          <w:rFonts w:eastAsia="SimSun"/>
        </w:rPr>
        <w:t>rather than</w:t>
      </w:r>
      <w:r w:rsidR="006857CE">
        <w:rPr>
          <w:rFonts w:eastAsia="SimSun"/>
        </w:rPr>
        <w:t xml:space="preserve"> over</w:t>
      </w:r>
      <w:r w:rsidR="00D06A09">
        <w:rPr>
          <w:rFonts w:eastAsia="SimSun"/>
        </w:rPr>
        <w:t xml:space="preserve"> one million </w:t>
      </w:r>
      <w:r w:rsidR="006857CE">
        <w:rPr>
          <w:rFonts w:eastAsia="SimSun"/>
        </w:rPr>
        <w:t xml:space="preserve">smaller </w:t>
      </w:r>
      <w:r w:rsidR="00D06A09">
        <w:rPr>
          <w:rFonts w:eastAsia="SimSun"/>
        </w:rPr>
        <w:t>customers over a wide geographically dispersed area would require far fewer employees to provide customer service, conservation services, transmission and distribution construction and maintenance, and the like.</w:t>
      </w:r>
      <w:r w:rsidR="00902913">
        <w:rPr>
          <w:rFonts w:eastAsia="SimSun"/>
        </w:rPr>
        <w:t xml:space="preserve"> </w:t>
      </w:r>
      <w:r w:rsidR="00D06A09">
        <w:rPr>
          <w:rFonts w:eastAsia="SimSun"/>
        </w:rPr>
        <w:t xml:space="preserve">With few employees needed in these areas, there would be fewer employees needed to support them in areas such as human resources, legal, </w:t>
      </w:r>
      <w:r w:rsidR="006857CE">
        <w:rPr>
          <w:rFonts w:eastAsia="SimSun"/>
        </w:rPr>
        <w:t>payroll, etc.</w:t>
      </w:r>
      <w:r w:rsidR="00902913">
        <w:rPr>
          <w:rFonts w:eastAsia="SimSun"/>
        </w:rPr>
        <w:t xml:space="preserve"> </w:t>
      </w:r>
      <w:r w:rsidR="006857CE">
        <w:rPr>
          <w:rFonts w:eastAsia="SimSun"/>
        </w:rPr>
        <w:t>All of that being said, it is apparent that the presence of customers</w:t>
      </w:r>
      <w:r w:rsidR="00860A0A">
        <w:rPr>
          <w:rFonts w:eastAsia="SimSun"/>
        </w:rPr>
        <w:t xml:space="preserve"> </w:t>
      </w:r>
      <w:r w:rsidR="006857CE">
        <w:rPr>
          <w:rFonts w:eastAsia="SimSun"/>
        </w:rPr>
        <w:t>is a significant contributor to PSE’s overhead costs and</w:t>
      </w:r>
      <w:r w:rsidR="00860A0A">
        <w:rPr>
          <w:rFonts w:eastAsia="SimSun"/>
        </w:rPr>
        <w:t>, therefore,</w:t>
      </w:r>
      <w:r w:rsidR="006857CE">
        <w:rPr>
          <w:rFonts w:eastAsia="SimSun"/>
        </w:rPr>
        <w:t xml:space="preserve"> </w:t>
      </w:r>
      <w:r w:rsidR="00AC05CB">
        <w:rPr>
          <w:rFonts w:eastAsia="SimSun"/>
        </w:rPr>
        <w:t xml:space="preserve">a share of these costs </w:t>
      </w:r>
      <w:r w:rsidR="006857CE">
        <w:rPr>
          <w:rFonts w:eastAsia="SimSun"/>
        </w:rPr>
        <w:t>are appropriate</w:t>
      </w:r>
      <w:r w:rsidR="00860A0A">
        <w:rPr>
          <w:rFonts w:eastAsia="SimSun"/>
        </w:rPr>
        <w:t>ly</w:t>
      </w:r>
      <w:r w:rsidR="006857CE">
        <w:rPr>
          <w:rFonts w:eastAsia="SimSun"/>
        </w:rPr>
        <w:t xml:space="preserve"> included among th</w:t>
      </w:r>
      <w:r w:rsidR="00AC05CB">
        <w:rPr>
          <w:rFonts w:eastAsia="SimSun"/>
        </w:rPr>
        <w:t>ose</w:t>
      </w:r>
      <w:r w:rsidR="006857CE">
        <w:rPr>
          <w:rFonts w:eastAsia="SimSun"/>
        </w:rPr>
        <w:t xml:space="preserve"> recovered through the basic charge.</w:t>
      </w:r>
      <w:r w:rsidR="00902913">
        <w:rPr>
          <w:rFonts w:eastAsia="SimSun"/>
        </w:rPr>
        <w:t xml:space="preserve"> </w:t>
      </w:r>
    </w:p>
    <w:p w:rsidR="005B22A5" w:rsidRPr="009075DC" w:rsidRDefault="005B22A5" w:rsidP="00A15B24">
      <w:pPr>
        <w:pStyle w:val="PleadingsL3"/>
        <w:rPr>
          <w:rFonts w:eastAsia="SimSun"/>
        </w:rPr>
      </w:pPr>
      <w:bookmarkStart w:id="33" w:name="_Toc489871483"/>
      <w:r>
        <w:rPr>
          <w:rFonts w:eastAsia="SimSun"/>
        </w:rPr>
        <w:t xml:space="preserve">Seasonal </w:t>
      </w:r>
      <w:r w:rsidR="00A84E0F">
        <w:rPr>
          <w:rFonts w:eastAsia="SimSun"/>
        </w:rPr>
        <w:t xml:space="preserve">Energy </w:t>
      </w:r>
      <w:r>
        <w:rPr>
          <w:rFonts w:eastAsia="SimSun"/>
        </w:rPr>
        <w:t>Rates</w:t>
      </w:r>
      <w:bookmarkEnd w:id="33"/>
    </w:p>
    <w:p w:rsidR="00A84E0F" w:rsidRPr="009075DC" w:rsidRDefault="00A84E0F" w:rsidP="00A84E0F">
      <w:pPr>
        <w:pStyle w:val="question"/>
      </w:pPr>
      <w:r>
        <w:t>Q</w:t>
      </w:r>
      <w:r w:rsidRPr="009075DC">
        <w:t>.</w:t>
      </w:r>
      <w:r w:rsidRPr="009075DC">
        <w:tab/>
      </w:r>
      <w:r>
        <w:t>Please summarize Staff’s proposal for seasonal energy rates for PSE’s basic residential electric customers.</w:t>
      </w:r>
    </w:p>
    <w:p w:rsidR="00A84E0F" w:rsidRDefault="00A84E0F" w:rsidP="00A84E0F">
      <w:pPr>
        <w:pStyle w:val="answer"/>
      </w:pPr>
      <w:r w:rsidRPr="009075DC">
        <w:rPr>
          <w:rFonts w:eastAsia="SimSun"/>
        </w:rPr>
        <w:t>A.</w:t>
      </w:r>
      <w:r w:rsidRPr="009075DC">
        <w:rPr>
          <w:rFonts w:eastAsia="SimSun"/>
        </w:rPr>
        <w:tab/>
      </w:r>
      <w:r w:rsidR="00FF3816">
        <w:rPr>
          <w:rFonts w:eastAsia="SimSun"/>
        </w:rPr>
        <w:t>Staff witness Jason Ball proposes seasonal energy rates for winter (November to April) and summer (May through October) for the second energy block (601 kWh and above), differentiated by the average dollar per megawatt-hour cost between seasons.</w:t>
      </w:r>
      <w:r w:rsidR="00FF3816">
        <w:rPr>
          <w:rStyle w:val="FootnoteReference"/>
          <w:rFonts w:eastAsia="SimSun"/>
        </w:rPr>
        <w:footnoteReference w:id="94"/>
      </w:r>
      <w:r w:rsidR="00902913">
        <w:rPr>
          <w:rFonts w:eastAsia="SimSun"/>
        </w:rPr>
        <w:t xml:space="preserve"> </w:t>
      </w:r>
    </w:p>
    <w:p w:rsidR="00A84E0F" w:rsidRPr="009075DC" w:rsidRDefault="00A84E0F" w:rsidP="00A84E0F">
      <w:pPr>
        <w:pStyle w:val="question"/>
      </w:pPr>
      <w:r w:rsidRPr="009075DC">
        <w:t>Q.</w:t>
      </w:r>
      <w:r w:rsidRPr="009075DC">
        <w:tab/>
      </w:r>
      <w:r w:rsidR="009D5952">
        <w:t>Do you support Staff’s seasonal rate proposal</w:t>
      </w:r>
      <w:r w:rsidRPr="009075DC">
        <w:t>?</w:t>
      </w:r>
    </w:p>
    <w:p w:rsidR="00A84E0F" w:rsidRDefault="00A84E0F" w:rsidP="00A84E0F">
      <w:pPr>
        <w:pStyle w:val="answer"/>
        <w:rPr>
          <w:rFonts w:eastAsia="SimSun"/>
        </w:rPr>
      </w:pPr>
      <w:r w:rsidRPr="009075DC">
        <w:rPr>
          <w:rFonts w:eastAsia="SimSun"/>
        </w:rPr>
        <w:t>A.</w:t>
      </w:r>
      <w:r w:rsidRPr="009075DC">
        <w:rPr>
          <w:rFonts w:eastAsia="SimSun"/>
        </w:rPr>
        <w:tab/>
      </w:r>
      <w:r w:rsidR="005C2AD8">
        <w:rPr>
          <w:rFonts w:eastAsia="SimSun"/>
        </w:rPr>
        <w:t>PSE</w:t>
      </w:r>
      <w:r w:rsidR="009D5952">
        <w:rPr>
          <w:rFonts w:eastAsia="SimSun"/>
        </w:rPr>
        <w:t xml:space="preserve"> generally support</w:t>
      </w:r>
      <w:r w:rsidR="005C2AD8">
        <w:rPr>
          <w:rFonts w:eastAsia="SimSun"/>
        </w:rPr>
        <w:t>s</w:t>
      </w:r>
      <w:r w:rsidR="009D5952">
        <w:rPr>
          <w:rFonts w:eastAsia="SimSun"/>
        </w:rPr>
        <w:t xml:space="preserve"> the concept of reflecting cost causation, </w:t>
      </w:r>
      <w:r w:rsidR="005C2AD8">
        <w:rPr>
          <w:rFonts w:eastAsia="SimSun"/>
        </w:rPr>
        <w:t>and Staff’s seasonal rate proposal, like their minimum bill proposal, attempts to do this.</w:t>
      </w:r>
      <w:r w:rsidR="00902913">
        <w:rPr>
          <w:rFonts w:eastAsia="SimSun"/>
        </w:rPr>
        <w:t xml:space="preserve"> </w:t>
      </w:r>
      <w:r w:rsidR="005C2AD8">
        <w:rPr>
          <w:rFonts w:eastAsia="SimSun"/>
        </w:rPr>
        <w:t xml:space="preserve">However, </w:t>
      </w:r>
      <w:r w:rsidR="009D5952">
        <w:rPr>
          <w:rFonts w:eastAsia="SimSun"/>
        </w:rPr>
        <w:t>t</w:t>
      </w:r>
      <w:r w:rsidR="00AC05CB">
        <w:rPr>
          <w:rFonts w:eastAsia="SimSun"/>
        </w:rPr>
        <w:t>he specific proposal put forth</w:t>
      </w:r>
      <w:r w:rsidR="009D5952">
        <w:rPr>
          <w:rFonts w:eastAsia="SimSun"/>
        </w:rPr>
        <w:t xml:space="preserve"> by Staff does not appear to be worth the challenges that it would create.</w:t>
      </w:r>
      <w:r w:rsidR="00902913">
        <w:rPr>
          <w:rFonts w:eastAsia="SimSun"/>
        </w:rPr>
        <w:t xml:space="preserve"> </w:t>
      </w:r>
      <w:r w:rsidR="009D5952">
        <w:rPr>
          <w:rFonts w:eastAsia="SimSun"/>
        </w:rPr>
        <w:t xml:space="preserve">Much like </w:t>
      </w:r>
      <w:r w:rsidR="00C43809">
        <w:rPr>
          <w:rFonts w:eastAsia="SimSun"/>
        </w:rPr>
        <w:t>the Staff’s</w:t>
      </w:r>
      <w:r w:rsidR="009D5952">
        <w:rPr>
          <w:rFonts w:eastAsia="SimSun"/>
        </w:rPr>
        <w:t xml:space="preserve"> minimum bill proposal, there will be similar challenges with implementing and communicating this structural change to customers’ bills.</w:t>
      </w:r>
      <w:r w:rsidR="00902913">
        <w:rPr>
          <w:rFonts w:eastAsia="SimSun"/>
        </w:rPr>
        <w:t xml:space="preserve"> </w:t>
      </w:r>
      <w:r w:rsidR="009D5952">
        <w:rPr>
          <w:rFonts w:eastAsia="SimSun"/>
        </w:rPr>
        <w:t xml:space="preserve">And, as with the minimum bill proposal, there does not appear to be a meaningful enough change in the bill structure to illicit a large enough change in </w:t>
      </w:r>
      <w:r w:rsidR="00AC05CB">
        <w:rPr>
          <w:rFonts w:eastAsia="SimSun"/>
        </w:rPr>
        <w:t xml:space="preserve">overall </w:t>
      </w:r>
      <w:r w:rsidR="009D5952">
        <w:rPr>
          <w:rFonts w:eastAsia="SimSun"/>
        </w:rPr>
        <w:t>customer usage patter</w:t>
      </w:r>
      <w:r w:rsidR="00471A0E">
        <w:rPr>
          <w:rFonts w:eastAsia="SimSun"/>
        </w:rPr>
        <w:t>n</w:t>
      </w:r>
      <w:r w:rsidR="009D5952">
        <w:rPr>
          <w:rFonts w:eastAsia="SimSun"/>
        </w:rPr>
        <w:t>s to outweigh the expected implementation costs, risk and customer perception challenges</w:t>
      </w:r>
      <w:r>
        <w:rPr>
          <w:rFonts w:eastAsia="SimSun"/>
        </w:rPr>
        <w:t>.</w:t>
      </w:r>
    </w:p>
    <w:p w:rsidR="009D5952" w:rsidRPr="00471A0E" w:rsidRDefault="009D5952" w:rsidP="00EC52CB">
      <w:pPr>
        <w:pStyle w:val="question"/>
      </w:pPr>
      <w:r w:rsidRPr="00471A0E">
        <w:t>Q.</w:t>
      </w:r>
      <w:r w:rsidRPr="00471A0E">
        <w:tab/>
        <w:t>Can you ex</w:t>
      </w:r>
      <w:r w:rsidR="00AC05CB">
        <w:t>pand on why you do not</w:t>
      </w:r>
      <w:r w:rsidRPr="00471A0E">
        <w:t xml:space="preserve"> believe Staff’s proposal will make a large change in </w:t>
      </w:r>
      <w:r w:rsidR="00AC05CB">
        <w:t xml:space="preserve">overall </w:t>
      </w:r>
      <w:r w:rsidRPr="00471A0E">
        <w:t>customer usage patterns?</w:t>
      </w:r>
    </w:p>
    <w:p w:rsidR="009D5952" w:rsidRDefault="009D5952" w:rsidP="00A84E0F">
      <w:pPr>
        <w:pStyle w:val="answer"/>
        <w:rPr>
          <w:rFonts w:eastAsia="SimSun"/>
        </w:rPr>
      </w:pPr>
      <w:r>
        <w:rPr>
          <w:rFonts w:eastAsia="SimSun"/>
        </w:rPr>
        <w:t>A.</w:t>
      </w:r>
      <w:r>
        <w:rPr>
          <w:rFonts w:eastAsia="SimSun"/>
        </w:rPr>
        <w:tab/>
        <w:t>Yes.</w:t>
      </w:r>
      <w:r w:rsidR="00902913">
        <w:rPr>
          <w:rFonts w:eastAsia="SimSun"/>
        </w:rPr>
        <w:t xml:space="preserve"> </w:t>
      </w:r>
      <w:r>
        <w:rPr>
          <w:rFonts w:eastAsia="SimSun"/>
        </w:rPr>
        <w:t>It is well understood that consumers generally change their consumption patterns in response to price signals.</w:t>
      </w:r>
      <w:r w:rsidR="00902913">
        <w:rPr>
          <w:rFonts w:eastAsia="SimSun"/>
        </w:rPr>
        <w:t xml:space="preserve"> </w:t>
      </w:r>
      <w:r>
        <w:rPr>
          <w:rFonts w:eastAsia="SimSun"/>
        </w:rPr>
        <w:t>As prices rise, consumption gen</w:t>
      </w:r>
      <w:r w:rsidR="00471A0E">
        <w:rPr>
          <w:rFonts w:eastAsia="SimSun"/>
        </w:rPr>
        <w:t>erally falls. The term used by economists to such an effect is “price elasticity.”</w:t>
      </w:r>
      <w:r w:rsidR="00902913">
        <w:rPr>
          <w:rFonts w:eastAsia="SimSun"/>
        </w:rPr>
        <w:t xml:space="preserve"> </w:t>
      </w:r>
      <w:r w:rsidR="00471A0E">
        <w:rPr>
          <w:rFonts w:eastAsia="SimSun"/>
        </w:rPr>
        <w:t>For electricity, the rule of thumb for price elasticity is that for every 10 percent increase in rates (or bills) there is about a one percent reduction in usage</w:t>
      </w:r>
      <w:r w:rsidR="00AC05CB">
        <w:rPr>
          <w:rFonts w:eastAsia="SimSun"/>
        </w:rPr>
        <w:t xml:space="preserve"> (and vice versa)</w:t>
      </w:r>
      <w:r w:rsidR="00471A0E">
        <w:rPr>
          <w:rFonts w:eastAsia="SimSun"/>
        </w:rPr>
        <w:t>.</w:t>
      </w:r>
      <w:r w:rsidR="00902913">
        <w:rPr>
          <w:rFonts w:eastAsia="SimSun"/>
        </w:rPr>
        <w:t xml:space="preserve"> </w:t>
      </w:r>
      <w:r w:rsidR="00471A0E">
        <w:rPr>
          <w:rFonts w:eastAsia="SimSun"/>
        </w:rPr>
        <w:t>As it turns out, the price differential that Staff proposes between summer and winter rates in the tail block of the electric residential rate structure is about 10 percent ($0.100917 per kWh in summer v</w:t>
      </w:r>
      <w:r w:rsidR="00376EB1">
        <w:rPr>
          <w:rFonts w:eastAsia="SimSun"/>
        </w:rPr>
        <w:t>ersus</w:t>
      </w:r>
      <w:r w:rsidR="00471A0E">
        <w:rPr>
          <w:rFonts w:eastAsia="SimSun"/>
        </w:rPr>
        <w:t xml:space="preserve"> $0.109528 per kWh in winter).</w:t>
      </w:r>
      <w:r w:rsidR="00471A0E">
        <w:rPr>
          <w:rStyle w:val="FootnoteReference"/>
          <w:rFonts w:eastAsia="SimSun"/>
        </w:rPr>
        <w:footnoteReference w:id="95"/>
      </w:r>
      <w:r w:rsidR="00902913">
        <w:rPr>
          <w:rFonts w:eastAsia="SimSun"/>
        </w:rPr>
        <w:t xml:space="preserve"> </w:t>
      </w:r>
      <w:r w:rsidR="00471A0E">
        <w:rPr>
          <w:rFonts w:eastAsia="SimSun"/>
        </w:rPr>
        <w:t>It is important to note here that by moving from a single year-around rate to a seasonal rate, the winter rate is now slightly higher and the summer rate is slightly lower.</w:t>
      </w:r>
      <w:r w:rsidR="00902913">
        <w:rPr>
          <w:rFonts w:eastAsia="SimSun"/>
        </w:rPr>
        <w:t xml:space="preserve"> </w:t>
      </w:r>
      <w:r w:rsidR="00471A0E">
        <w:rPr>
          <w:rFonts w:eastAsia="SimSun"/>
        </w:rPr>
        <w:t>As a result, the slightly lower usage in winter due to price elasticity would largely be offset by the slightly higher usage in summer.</w:t>
      </w:r>
      <w:r w:rsidR="00902913">
        <w:rPr>
          <w:rFonts w:eastAsia="SimSun"/>
        </w:rPr>
        <w:t xml:space="preserve"> </w:t>
      </w:r>
      <w:r w:rsidR="00471A0E">
        <w:rPr>
          <w:rFonts w:eastAsia="SimSun"/>
        </w:rPr>
        <w:t xml:space="preserve">While residential usage for PSE tends to be higher in the winter than in the summer, there may be a slight overall net decrease in usage as a result of Staff’s proposal. But, this impact is likely to be too small to </w:t>
      </w:r>
      <w:r w:rsidR="002953F7">
        <w:rPr>
          <w:rFonts w:eastAsia="SimSun"/>
        </w:rPr>
        <w:t>be considered material</w:t>
      </w:r>
      <w:r w:rsidR="00471A0E">
        <w:rPr>
          <w:rFonts w:eastAsia="SimSun"/>
        </w:rPr>
        <w:t xml:space="preserve">. </w:t>
      </w:r>
    </w:p>
    <w:p w:rsidR="00471A0E" w:rsidRPr="008C0E24" w:rsidRDefault="00471A0E" w:rsidP="00EC52CB">
      <w:pPr>
        <w:pStyle w:val="question"/>
      </w:pPr>
      <w:r w:rsidRPr="008C0E24">
        <w:t>Q.</w:t>
      </w:r>
      <w:r w:rsidRPr="008C0E24">
        <w:tab/>
        <w:t xml:space="preserve">Do you have any other </w:t>
      </w:r>
      <w:r w:rsidR="008C0E24" w:rsidRPr="008C0E24">
        <w:t xml:space="preserve">observations regarding </w:t>
      </w:r>
      <w:r w:rsidRPr="008C0E24">
        <w:t>Staff’s seasonal rate proposal?</w:t>
      </w:r>
    </w:p>
    <w:p w:rsidR="008C0E24" w:rsidRDefault="00471A0E" w:rsidP="00A84E0F">
      <w:pPr>
        <w:pStyle w:val="answer"/>
        <w:rPr>
          <w:rFonts w:eastAsia="SimSun"/>
        </w:rPr>
      </w:pPr>
      <w:r>
        <w:rPr>
          <w:rFonts w:eastAsia="SimSun"/>
        </w:rPr>
        <w:t>A.</w:t>
      </w:r>
      <w:r>
        <w:rPr>
          <w:rFonts w:eastAsia="SimSun"/>
        </w:rPr>
        <w:tab/>
      </w:r>
      <w:r w:rsidR="008C0E24">
        <w:rPr>
          <w:rFonts w:eastAsia="SimSun"/>
        </w:rPr>
        <w:t>Yes.</w:t>
      </w:r>
      <w:r w:rsidR="00902913">
        <w:rPr>
          <w:rFonts w:eastAsia="SimSun"/>
        </w:rPr>
        <w:t xml:space="preserve"> </w:t>
      </w:r>
      <w:r w:rsidR="008C0E24">
        <w:rPr>
          <w:rFonts w:eastAsia="SimSun"/>
        </w:rPr>
        <w:t>I have at least two to offer.</w:t>
      </w:r>
      <w:r w:rsidR="00902913">
        <w:rPr>
          <w:rFonts w:eastAsia="SimSun"/>
        </w:rPr>
        <w:t xml:space="preserve"> </w:t>
      </w:r>
      <w:r w:rsidR="008C0E24">
        <w:rPr>
          <w:rFonts w:eastAsia="SimSun"/>
        </w:rPr>
        <w:t>First, it is generally thought that low-income customers tend to rely disproportionally on electric heating.</w:t>
      </w:r>
      <w:r w:rsidR="00902913">
        <w:rPr>
          <w:rFonts w:eastAsia="SimSun"/>
        </w:rPr>
        <w:t xml:space="preserve"> </w:t>
      </w:r>
      <w:r w:rsidR="008C0E24">
        <w:rPr>
          <w:rFonts w:eastAsia="SimSun"/>
        </w:rPr>
        <w:t>As a result, Staff’s proposal may tend to disproportionally impact low-income customers.</w:t>
      </w:r>
      <w:r w:rsidR="00902913">
        <w:rPr>
          <w:rFonts w:eastAsia="SimSun"/>
        </w:rPr>
        <w:t xml:space="preserve"> </w:t>
      </w:r>
      <w:r w:rsidR="008C0E24">
        <w:rPr>
          <w:rFonts w:eastAsia="SimSun"/>
        </w:rPr>
        <w:t>While there may be ways to address this concern (e.g., with a higher level of bill assistance funding), there should be further consideration of this issue before approving a seasonal rate.</w:t>
      </w:r>
      <w:r w:rsidR="00AC05CB">
        <w:rPr>
          <w:rStyle w:val="FootnoteReference"/>
          <w:rFonts w:eastAsia="SimSun"/>
        </w:rPr>
        <w:footnoteReference w:id="96"/>
      </w:r>
    </w:p>
    <w:p w:rsidR="00471A0E" w:rsidRDefault="008C0E24" w:rsidP="00A84E0F">
      <w:pPr>
        <w:pStyle w:val="answer"/>
        <w:rPr>
          <w:rFonts w:eastAsia="SimSun"/>
        </w:rPr>
      </w:pPr>
      <w:r>
        <w:rPr>
          <w:rFonts w:eastAsia="SimSun"/>
        </w:rPr>
        <w:tab/>
        <w:t>Second, the timing of Staff’s proposal may not be ideal.</w:t>
      </w:r>
      <w:r w:rsidR="00902913">
        <w:rPr>
          <w:rFonts w:eastAsia="SimSun"/>
        </w:rPr>
        <w:t xml:space="preserve"> </w:t>
      </w:r>
      <w:r>
        <w:rPr>
          <w:rFonts w:eastAsia="SimSun"/>
        </w:rPr>
        <w:t xml:space="preserve">As PSE and state policy accelerate further towards decarbonization, proposals that make electricity generally more expensive to those that use it for space and water heating may provide a greater incentive for these customers to move to natural gas </w:t>
      </w:r>
      <w:r w:rsidR="002953F7">
        <w:rPr>
          <w:rFonts w:eastAsia="SimSun"/>
        </w:rPr>
        <w:t xml:space="preserve">(or other sources) </w:t>
      </w:r>
      <w:r>
        <w:rPr>
          <w:rFonts w:eastAsia="SimSun"/>
        </w:rPr>
        <w:t>for these heating needs.</w:t>
      </w:r>
      <w:r w:rsidR="00902913">
        <w:rPr>
          <w:rFonts w:eastAsia="SimSun"/>
        </w:rPr>
        <w:t xml:space="preserve"> </w:t>
      </w:r>
      <w:r>
        <w:rPr>
          <w:rFonts w:eastAsia="SimSun"/>
        </w:rPr>
        <w:t xml:space="preserve">Presently, there is limited ability to decarbonize natural gas service and once customers make the investments necessary to convert to natural gas for space and water heating, </w:t>
      </w:r>
      <w:r w:rsidR="00663CBB">
        <w:rPr>
          <w:rFonts w:eastAsia="SimSun"/>
        </w:rPr>
        <w:t>they may be more reluctant to switch back to less carbon-intensive sources of energy for these needs</w:t>
      </w:r>
      <w:r w:rsidR="002953F7">
        <w:rPr>
          <w:rFonts w:eastAsia="SimSun"/>
        </w:rPr>
        <w:t>, particularly</w:t>
      </w:r>
      <w:r w:rsidR="00663CBB">
        <w:rPr>
          <w:rFonts w:eastAsia="SimSun"/>
        </w:rPr>
        <w:t xml:space="preserve"> in the near term.</w:t>
      </w:r>
      <w:r w:rsidR="00902913">
        <w:rPr>
          <w:rFonts w:eastAsia="SimSun"/>
        </w:rPr>
        <w:t xml:space="preserve"> </w:t>
      </w:r>
      <w:r w:rsidR="00663CBB">
        <w:rPr>
          <w:rFonts w:eastAsia="SimSun"/>
        </w:rPr>
        <w:t>To put this simply, proposing seasonal rates at this time may be counterproductive to the growing interest in decarbonizing the energy sector.</w:t>
      </w:r>
      <w:r w:rsidR="00663CBB">
        <w:rPr>
          <w:rStyle w:val="FootnoteReference"/>
          <w:rFonts w:eastAsia="SimSun"/>
        </w:rPr>
        <w:footnoteReference w:id="97"/>
      </w:r>
      <w:r w:rsidR="00902913">
        <w:rPr>
          <w:rFonts w:eastAsia="SimSun"/>
        </w:rPr>
        <w:t xml:space="preserve"> </w:t>
      </w:r>
      <w:r>
        <w:rPr>
          <w:rFonts w:eastAsia="SimSun"/>
        </w:rPr>
        <w:t xml:space="preserve"> </w:t>
      </w:r>
    </w:p>
    <w:p w:rsidR="00663CBB" w:rsidRPr="00F776FC" w:rsidRDefault="00663CBB" w:rsidP="00EC52CB">
      <w:pPr>
        <w:pStyle w:val="question"/>
      </w:pPr>
      <w:r w:rsidRPr="00F776FC">
        <w:t>Q.</w:t>
      </w:r>
      <w:r w:rsidRPr="00F776FC">
        <w:tab/>
        <w:t>What do you recommend regarding Staff’s seasonal rate proposal?</w:t>
      </w:r>
    </w:p>
    <w:p w:rsidR="00663CBB" w:rsidRDefault="00663CBB" w:rsidP="00A84E0F">
      <w:pPr>
        <w:pStyle w:val="answer"/>
        <w:rPr>
          <w:rFonts w:eastAsia="SimSun"/>
        </w:rPr>
      </w:pPr>
      <w:r>
        <w:rPr>
          <w:rFonts w:eastAsia="SimSun"/>
        </w:rPr>
        <w:t>A.</w:t>
      </w:r>
      <w:r>
        <w:rPr>
          <w:rFonts w:eastAsia="SimSun"/>
        </w:rPr>
        <w:tab/>
        <w:t xml:space="preserve">While again being supportive </w:t>
      </w:r>
      <w:r w:rsidR="000E3FD4">
        <w:rPr>
          <w:rFonts w:eastAsia="SimSun"/>
        </w:rPr>
        <w:t xml:space="preserve">of </w:t>
      </w:r>
      <w:r>
        <w:rPr>
          <w:rFonts w:eastAsia="SimSun"/>
        </w:rPr>
        <w:t xml:space="preserve">Staff’s primary motivations for this proposal, </w:t>
      </w:r>
      <w:r w:rsidR="000E3FD4">
        <w:rPr>
          <w:rFonts w:eastAsia="SimSun"/>
        </w:rPr>
        <w:t>PSE</w:t>
      </w:r>
      <w:r>
        <w:rPr>
          <w:rFonts w:eastAsia="SimSun"/>
        </w:rPr>
        <w:t xml:space="preserve"> recommend</w:t>
      </w:r>
      <w:r w:rsidR="000E3FD4">
        <w:rPr>
          <w:rFonts w:eastAsia="SimSun"/>
        </w:rPr>
        <w:t>s</w:t>
      </w:r>
      <w:r>
        <w:rPr>
          <w:rFonts w:eastAsia="SimSun"/>
        </w:rPr>
        <w:t xml:space="preserve"> </w:t>
      </w:r>
      <w:r w:rsidR="00F776FC">
        <w:rPr>
          <w:rFonts w:eastAsia="SimSun"/>
        </w:rPr>
        <w:t>that the Commission reject Staff’s proposal at this time.</w:t>
      </w:r>
      <w:r w:rsidR="00902913">
        <w:rPr>
          <w:rFonts w:eastAsia="SimSun"/>
        </w:rPr>
        <w:t xml:space="preserve"> </w:t>
      </w:r>
      <w:r w:rsidR="00F776FC">
        <w:rPr>
          <w:rFonts w:eastAsia="SimSun"/>
        </w:rPr>
        <w:t>If the Commission nevertheless elects to accept Staff’s proposal, PSE respectfully suggest</w:t>
      </w:r>
      <w:r w:rsidR="00AC05CB">
        <w:rPr>
          <w:rFonts w:eastAsia="SimSun"/>
        </w:rPr>
        <w:t>s</w:t>
      </w:r>
      <w:r w:rsidR="00F776FC">
        <w:rPr>
          <w:rFonts w:eastAsia="SimSun"/>
        </w:rPr>
        <w:t xml:space="preserve"> that the definitions of the summer and winter seasons align with those currently used for other PSE rate schedules that have seasonal rates.</w:t>
      </w:r>
      <w:r w:rsidR="00F776FC">
        <w:rPr>
          <w:rStyle w:val="FootnoteReference"/>
          <w:rFonts w:eastAsia="SimSun"/>
        </w:rPr>
        <w:footnoteReference w:id="98"/>
      </w:r>
    </w:p>
    <w:p w:rsidR="005B22A5" w:rsidRPr="009075DC" w:rsidRDefault="000E3FD4" w:rsidP="00A15B24">
      <w:pPr>
        <w:pStyle w:val="PleadingsL3"/>
        <w:rPr>
          <w:rFonts w:eastAsia="SimSun"/>
        </w:rPr>
      </w:pPr>
      <w:bookmarkStart w:id="34" w:name="_Toc489871484"/>
      <w:r>
        <w:rPr>
          <w:rFonts w:eastAsia="SimSun"/>
        </w:rPr>
        <w:t>Third-</w:t>
      </w:r>
      <w:r w:rsidR="005B22A5" w:rsidRPr="002953F7">
        <w:rPr>
          <w:rFonts w:eastAsia="SimSun"/>
        </w:rPr>
        <w:t>Block</w:t>
      </w:r>
      <w:r w:rsidR="005B22A5">
        <w:rPr>
          <w:rFonts w:eastAsia="SimSun"/>
        </w:rPr>
        <w:t xml:space="preserve"> </w:t>
      </w:r>
      <w:r w:rsidR="005B22A5" w:rsidRPr="002953F7">
        <w:rPr>
          <w:rFonts w:eastAsia="SimSun"/>
        </w:rPr>
        <w:t>Rates</w:t>
      </w:r>
      <w:bookmarkEnd w:id="34"/>
    </w:p>
    <w:p w:rsidR="00A84E0F" w:rsidRPr="009075DC" w:rsidRDefault="00A84E0F" w:rsidP="00A84E0F">
      <w:pPr>
        <w:pStyle w:val="question"/>
      </w:pPr>
      <w:r>
        <w:t>Q</w:t>
      </w:r>
      <w:r w:rsidRPr="009075DC">
        <w:t>.</w:t>
      </w:r>
      <w:r w:rsidRPr="009075DC">
        <w:tab/>
      </w:r>
      <w:r>
        <w:t>Please summarize the Coalition’s proposal for the calculation and application of a possible third-block rate for PSE’s residential electric customers.</w:t>
      </w:r>
    </w:p>
    <w:p w:rsidR="00A84E0F" w:rsidRDefault="00A84E0F" w:rsidP="00A84E0F">
      <w:pPr>
        <w:pStyle w:val="answer"/>
      </w:pPr>
      <w:r w:rsidRPr="009075DC">
        <w:rPr>
          <w:rFonts w:eastAsia="SimSun"/>
        </w:rPr>
        <w:t>A.</w:t>
      </w:r>
      <w:r w:rsidRPr="009075DC">
        <w:rPr>
          <w:rFonts w:eastAsia="SimSun"/>
        </w:rPr>
        <w:tab/>
      </w:r>
      <w:r w:rsidR="006E0D1C">
        <w:rPr>
          <w:rFonts w:eastAsia="SimSun"/>
        </w:rPr>
        <w:t>Coalition witness Amanda Levin first proposes that PSE recalculate its third-block residential rate</w:t>
      </w:r>
      <w:r w:rsidR="002953F7">
        <w:rPr>
          <w:rFonts w:eastAsia="SimSun"/>
        </w:rPr>
        <w:t>,</w:t>
      </w:r>
      <w:r w:rsidR="006E0D1C">
        <w:rPr>
          <w:rFonts w:eastAsia="SimSun"/>
        </w:rPr>
        <w:t xml:space="preserve"> accounting for the expected cost of carbon emissions</w:t>
      </w:r>
      <w:r>
        <w:rPr>
          <w:rFonts w:eastAsia="SimSun"/>
        </w:rPr>
        <w:t>.</w:t>
      </w:r>
      <w:r w:rsidR="00902913">
        <w:rPr>
          <w:rFonts w:eastAsia="SimSun"/>
        </w:rPr>
        <w:t xml:space="preserve"> </w:t>
      </w:r>
      <w:r w:rsidR="006E0D1C">
        <w:rPr>
          <w:rFonts w:eastAsia="SimSun"/>
        </w:rPr>
        <w:t>Second, she proposes that PSE consider ways to better reflect the relative load factors of usage in each block.</w:t>
      </w:r>
      <w:r w:rsidR="006E0D1C">
        <w:rPr>
          <w:rStyle w:val="FootnoteReference"/>
          <w:rFonts w:eastAsia="SimSun"/>
        </w:rPr>
        <w:footnoteReference w:id="99"/>
      </w:r>
      <w:r w:rsidR="00902913">
        <w:rPr>
          <w:rFonts w:eastAsia="SimSun"/>
        </w:rPr>
        <w:t xml:space="preserve"> </w:t>
      </w:r>
    </w:p>
    <w:p w:rsidR="00A84E0F" w:rsidRPr="009075DC" w:rsidRDefault="00A84E0F" w:rsidP="00A84E0F">
      <w:pPr>
        <w:pStyle w:val="question"/>
      </w:pPr>
      <w:r w:rsidRPr="009075DC">
        <w:t>Q.</w:t>
      </w:r>
      <w:r w:rsidRPr="009075DC">
        <w:tab/>
      </w:r>
      <w:r w:rsidR="007253BC">
        <w:t>How do you respond to the Coalition’</w:t>
      </w:r>
      <w:r w:rsidR="0097429D">
        <w:t>s third-block proposal</w:t>
      </w:r>
      <w:r w:rsidRPr="009075DC">
        <w:t>?</w:t>
      </w:r>
    </w:p>
    <w:p w:rsidR="004C154F" w:rsidRDefault="00A84E0F" w:rsidP="00A84E0F">
      <w:pPr>
        <w:pStyle w:val="answer"/>
        <w:rPr>
          <w:rFonts w:eastAsia="SimSun"/>
        </w:rPr>
      </w:pPr>
      <w:r w:rsidRPr="009075DC">
        <w:rPr>
          <w:rFonts w:eastAsia="SimSun"/>
        </w:rPr>
        <w:t>A.</w:t>
      </w:r>
      <w:r w:rsidRPr="009075DC">
        <w:rPr>
          <w:rFonts w:eastAsia="SimSun"/>
        </w:rPr>
        <w:tab/>
      </w:r>
      <w:r w:rsidR="007253BC">
        <w:rPr>
          <w:rFonts w:eastAsia="SimSun"/>
        </w:rPr>
        <w:t>I have multiple concerns with the Coalition’s proposal.</w:t>
      </w:r>
      <w:r w:rsidR="00902913">
        <w:rPr>
          <w:rFonts w:eastAsia="SimSun"/>
        </w:rPr>
        <w:t xml:space="preserve"> </w:t>
      </w:r>
      <w:r w:rsidR="007253BC">
        <w:rPr>
          <w:rFonts w:eastAsia="SimSun"/>
        </w:rPr>
        <w:t xml:space="preserve">First, much like the discussions surrounding Staff’s minimum bill and seasonal rates, there will be billing and customer </w:t>
      </w:r>
      <w:r w:rsidR="004C154F">
        <w:rPr>
          <w:rFonts w:eastAsia="SimSun"/>
        </w:rPr>
        <w:t xml:space="preserve">perception </w:t>
      </w:r>
      <w:r w:rsidR="007253BC">
        <w:rPr>
          <w:rFonts w:eastAsia="SimSun"/>
        </w:rPr>
        <w:t>consideration</w:t>
      </w:r>
      <w:r w:rsidR="004C154F">
        <w:rPr>
          <w:rFonts w:eastAsia="SimSun"/>
        </w:rPr>
        <w:t>s</w:t>
      </w:r>
      <w:r w:rsidR="007253BC">
        <w:rPr>
          <w:rFonts w:eastAsia="SimSun"/>
        </w:rPr>
        <w:t xml:space="preserve"> that th</w:t>
      </w:r>
      <w:r w:rsidR="004C154F">
        <w:rPr>
          <w:rFonts w:eastAsia="SimSun"/>
        </w:rPr>
        <w:t>e Coalition has not addressed.</w:t>
      </w:r>
      <w:r w:rsidR="00902913">
        <w:rPr>
          <w:rFonts w:eastAsia="SimSun"/>
        </w:rPr>
        <w:t xml:space="preserve"> </w:t>
      </w:r>
      <w:r w:rsidR="004C154F">
        <w:rPr>
          <w:rFonts w:eastAsia="SimSun"/>
        </w:rPr>
        <w:t>Second, the Coalition’s third-block proposal (assuming that it resulted in a higher tail block rate) suffers from the same issues I raised for Staff’s seasonal rate proposal related to the unclear impact on customer usage, potential fuel switching</w:t>
      </w:r>
      <w:r w:rsidR="0097429D">
        <w:rPr>
          <w:rFonts w:eastAsia="SimSun"/>
        </w:rPr>
        <w:t xml:space="preserve">, the potential conflict with goals to decarbonize energy use in the </w:t>
      </w:r>
      <w:r w:rsidR="00C43809">
        <w:rPr>
          <w:rFonts w:eastAsia="SimSun"/>
        </w:rPr>
        <w:t>s</w:t>
      </w:r>
      <w:r w:rsidR="0097429D">
        <w:rPr>
          <w:rFonts w:eastAsia="SimSun"/>
        </w:rPr>
        <w:t>tate</w:t>
      </w:r>
      <w:r w:rsidR="004C154F">
        <w:rPr>
          <w:rFonts w:eastAsia="SimSun"/>
        </w:rPr>
        <w:t xml:space="preserve"> and low-income impacts.</w:t>
      </w:r>
      <w:r w:rsidR="00902913">
        <w:rPr>
          <w:rFonts w:eastAsia="SimSun"/>
        </w:rPr>
        <w:t xml:space="preserve"> </w:t>
      </w:r>
      <w:r w:rsidR="004C154F">
        <w:rPr>
          <w:rFonts w:eastAsia="SimSun"/>
        </w:rPr>
        <w:t xml:space="preserve">Third, it is unclear why the Coalition could not achieve its objective with a two-block rate </w:t>
      </w:r>
      <w:r w:rsidR="002953F7">
        <w:rPr>
          <w:rFonts w:eastAsia="SimSun"/>
        </w:rPr>
        <w:t xml:space="preserve">structure </w:t>
      </w:r>
      <w:r w:rsidR="004C154F">
        <w:rPr>
          <w:rFonts w:eastAsia="SimSun"/>
        </w:rPr>
        <w:t xml:space="preserve">with a greater </w:t>
      </w:r>
      <w:r w:rsidR="002953F7">
        <w:rPr>
          <w:rFonts w:eastAsia="SimSun"/>
        </w:rPr>
        <w:t xml:space="preserve">rate </w:t>
      </w:r>
      <w:r w:rsidR="004C154F">
        <w:rPr>
          <w:rFonts w:eastAsia="SimSun"/>
        </w:rPr>
        <w:t>differential.</w:t>
      </w:r>
      <w:r w:rsidR="00902913">
        <w:rPr>
          <w:rFonts w:eastAsia="SimSun"/>
        </w:rPr>
        <w:t xml:space="preserve"> </w:t>
      </w:r>
      <w:r w:rsidR="004C154F">
        <w:rPr>
          <w:rFonts w:eastAsia="SimSun"/>
        </w:rPr>
        <w:t>The Coalition does not make clear the purpose under its proposal of the second of the three rate blocks.</w:t>
      </w:r>
      <w:r w:rsidR="00902913">
        <w:rPr>
          <w:rFonts w:eastAsia="SimSun"/>
        </w:rPr>
        <w:t xml:space="preserve"> </w:t>
      </w:r>
      <w:r w:rsidR="004C154F">
        <w:rPr>
          <w:rFonts w:eastAsia="SimSun"/>
        </w:rPr>
        <w:t>Fourth, the Coalition’s proposal would appear to rely on speculative forecasts of carbon costs in the future.</w:t>
      </w:r>
      <w:r w:rsidR="00902913">
        <w:rPr>
          <w:rFonts w:eastAsia="SimSun"/>
        </w:rPr>
        <w:t xml:space="preserve"> </w:t>
      </w:r>
      <w:r w:rsidR="004C154F">
        <w:rPr>
          <w:rFonts w:eastAsia="SimSun"/>
        </w:rPr>
        <w:t>As noted earlier, the Commission rejected PSE’s proposed CSA mechanism, in part, for its use of “engineering estimates” that were unsuitable for ratemaking.</w:t>
      </w:r>
      <w:r w:rsidR="00902913">
        <w:rPr>
          <w:rFonts w:eastAsia="SimSun"/>
        </w:rPr>
        <w:t xml:space="preserve"> </w:t>
      </w:r>
      <w:r w:rsidR="004C154F">
        <w:rPr>
          <w:rFonts w:eastAsia="SimSun"/>
        </w:rPr>
        <w:t xml:space="preserve">The high (and now considerably dated) carbon price projections that the Coalition would have PSE (and the Commission) rely upon for determining the </w:t>
      </w:r>
      <w:r w:rsidR="00853258">
        <w:rPr>
          <w:rFonts w:eastAsia="SimSun"/>
        </w:rPr>
        <w:t>third-</w:t>
      </w:r>
      <w:r w:rsidR="004C154F">
        <w:rPr>
          <w:rFonts w:eastAsia="SimSun"/>
        </w:rPr>
        <w:t xml:space="preserve">block rate </w:t>
      </w:r>
      <w:r w:rsidR="0097429D">
        <w:rPr>
          <w:rFonts w:eastAsia="SimSun"/>
        </w:rPr>
        <w:t>are</w:t>
      </w:r>
      <w:r w:rsidR="004C154F">
        <w:rPr>
          <w:rFonts w:eastAsia="SimSun"/>
        </w:rPr>
        <w:t xml:space="preserve"> no more suitable for ratemaking.</w:t>
      </w:r>
      <w:r w:rsidR="00902913">
        <w:rPr>
          <w:rFonts w:eastAsia="SimSun"/>
        </w:rPr>
        <w:t xml:space="preserve"> </w:t>
      </w:r>
      <w:r w:rsidR="0097429D">
        <w:rPr>
          <w:rFonts w:eastAsia="SimSun"/>
        </w:rPr>
        <w:t>Fifth, adding another block to PSE’s residential rate design is “doubling down” on rate designs of the past, rather than looking to the more dynamic and tailored ratemaking of the future.</w:t>
      </w:r>
    </w:p>
    <w:p w:rsidR="004C154F" w:rsidRPr="0097429D" w:rsidRDefault="0097429D" w:rsidP="00EC52CB">
      <w:pPr>
        <w:pStyle w:val="question"/>
      </w:pPr>
      <w:r w:rsidRPr="0097429D">
        <w:t>Q.</w:t>
      </w:r>
      <w:r w:rsidRPr="0097429D">
        <w:tab/>
        <w:t>How do you respond to the Coalition’s proposal for incorporating load factor considerations into the calculation of PSE’s tail block rate?</w:t>
      </w:r>
    </w:p>
    <w:p w:rsidR="00A84E0F" w:rsidRDefault="0097429D" w:rsidP="00A84E0F">
      <w:pPr>
        <w:pStyle w:val="answer"/>
        <w:rPr>
          <w:rFonts w:eastAsia="SimSun"/>
        </w:rPr>
      </w:pPr>
      <w:r>
        <w:rPr>
          <w:rFonts w:eastAsia="SimSun"/>
        </w:rPr>
        <w:t>A.</w:t>
      </w:r>
      <w:r>
        <w:rPr>
          <w:rFonts w:eastAsia="SimSun"/>
        </w:rPr>
        <w:tab/>
        <w:t>This may have some conceptual merit.</w:t>
      </w:r>
      <w:r w:rsidR="00902913">
        <w:rPr>
          <w:rFonts w:eastAsia="SimSun"/>
        </w:rPr>
        <w:t xml:space="preserve"> </w:t>
      </w:r>
      <w:r>
        <w:rPr>
          <w:rFonts w:eastAsia="SimSun"/>
        </w:rPr>
        <w:t>However, m</w:t>
      </w:r>
      <w:r w:rsidR="007253BC">
        <w:rPr>
          <w:rFonts w:eastAsia="SimSun"/>
        </w:rPr>
        <w:t xml:space="preserve">uch like its proposal related to PSE’s residential basic charge, the Coalition offers very vague </w:t>
      </w:r>
      <w:r>
        <w:rPr>
          <w:rFonts w:eastAsia="SimSun"/>
        </w:rPr>
        <w:t>guidance and points to a study conducted over 40 years ago that no one appears to be able to locate.</w:t>
      </w:r>
      <w:r>
        <w:rPr>
          <w:rStyle w:val="FootnoteReference"/>
          <w:rFonts w:eastAsia="SimSun"/>
        </w:rPr>
        <w:footnoteReference w:id="100"/>
      </w:r>
      <w:r w:rsidR="00902913">
        <w:rPr>
          <w:rFonts w:eastAsia="SimSun"/>
        </w:rPr>
        <w:t xml:space="preserve"> </w:t>
      </w:r>
      <w:r>
        <w:rPr>
          <w:rFonts w:eastAsia="SimSun"/>
        </w:rPr>
        <w:t xml:space="preserve">Moreover, the data and analysis </w:t>
      </w:r>
      <w:r w:rsidR="00011134">
        <w:rPr>
          <w:rFonts w:eastAsia="SimSun"/>
        </w:rPr>
        <w:t xml:space="preserve">that is likely </w:t>
      </w:r>
      <w:r>
        <w:rPr>
          <w:rFonts w:eastAsia="SimSun"/>
        </w:rPr>
        <w:t>required is not readily available</w:t>
      </w:r>
      <w:r w:rsidR="00011134">
        <w:rPr>
          <w:rFonts w:eastAsia="SimSun"/>
        </w:rPr>
        <w:t>, would take time to develop</w:t>
      </w:r>
      <w:r>
        <w:rPr>
          <w:rFonts w:eastAsia="SimSun"/>
        </w:rPr>
        <w:t xml:space="preserve"> and therefore could not be implemented as part of this case.</w:t>
      </w:r>
      <w:r w:rsidR="00902913">
        <w:rPr>
          <w:rFonts w:eastAsia="SimSun"/>
        </w:rPr>
        <w:t xml:space="preserve"> </w:t>
      </w:r>
      <w:r w:rsidR="00011134">
        <w:rPr>
          <w:rFonts w:eastAsia="SimSun"/>
        </w:rPr>
        <w:t>Here again, even if such a study were conducted, there are many other issues and considerations, like those outlined above, that should be addressed first.</w:t>
      </w:r>
      <w:r w:rsidR="00902913">
        <w:rPr>
          <w:rFonts w:eastAsia="SimSun"/>
        </w:rPr>
        <w:t xml:space="preserve"> </w:t>
      </w:r>
      <w:r w:rsidR="00011134">
        <w:rPr>
          <w:rFonts w:eastAsia="SimSun"/>
        </w:rPr>
        <w:t xml:space="preserve">In light of those issues, if the Commission believes that this work would be helpful for the furtherance </w:t>
      </w:r>
      <w:r w:rsidR="002B52F3">
        <w:rPr>
          <w:rFonts w:eastAsia="SimSun"/>
        </w:rPr>
        <w:t xml:space="preserve">of </w:t>
      </w:r>
      <w:r w:rsidR="00011134">
        <w:rPr>
          <w:rFonts w:eastAsia="SimSun"/>
        </w:rPr>
        <w:t xml:space="preserve">better rate design for PSE’s residential customers, it </w:t>
      </w:r>
      <w:r w:rsidR="002953F7">
        <w:rPr>
          <w:rFonts w:eastAsia="SimSun"/>
        </w:rPr>
        <w:t>sh</w:t>
      </w:r>
      <w:r w:rsidR="00011134">
        <w:rPr>
          <w:rFonts w:eastAsia="SimSun"/>
        </w:rPr>
        <w:t xml:space="preserve">ould be conducted with a clearer purpose and direction. </w:t>
      </w:r>
    </w:p>
    <w:p w:rsidR="00851365" w:rsidRPr="00B5219F" w:rsidRDefault="00851365" w:rsidP="00EC52CB">
      <w:pPr>
        <w:pStyle w:val="question"/>
      </w:pPr>
      <w:r w:rsidRPr="00B5219F">
        <w:t>Q.</w:t>
      </w:r>
      <w:r w:rsidRPr="00B5219F">
        <w:tab/>
        <w:t>Do the parties to the original agreement that gave rise to PSE’s third-block rate proposal in this case still support this proposal?</w:t>
      </w:r>
    </w:p>
    <w:p w:rsidR="00851365" w:rsidRDefault="00851365" w:rsidP="00A84E0F">
      <w:pPr>
        <w:pStyle w:val="answer"/>
        <w:rPr>
          <w:rFonts w:eastAsia="SimSun"/>
        </w:rPr>
      </w:pPr>
      <w:r>
        <w:rPr>
          <w:rFonts w:eastAsia="SimSun"/>
        </w:rPr>
        <w:t>A.</w:t>
      </w:r>
      <w:r>
        <w:rPr>
          <w:rFonts w:eastAsia="SimSun"/>
        </w:rPr>
        <w:tab/>
        <w:t>No.</w:t>
      </w:r>
      <w:r w:rsidR="00902913">
        <w:rPr>
          <w:rFonts w:eastAsia="SimSun"/>
        </w:rPr>
        <w:t xml:space="preserve"> </w:t>
      </w:r>
      <w:r>
        <w:rPr>
          <w:rFonts w:eastAsia="SimSun"/>
        </w:rPr>
        <w:t>On June 29, 2017, four of the original signatories to this settlement agreement (“the Moving Parties”)</w:t>
      </w:r>
      <w:r w:rsidR="00B5219F">
        <w:rPr>
          <w:rStyle w:val="FootnoteReference"/>
          <w:rFonts w:eastAsia="SimSun"/>
        </w:rPr>
        <w:footnoteReference w:id="101"/>
      </w:r>
      <w:r>
        <w:rPr>
          <w:rFonts w:eastAsia="SimSun"/>
        </w:rPr>
        <w:t xml:space="preserve"> jointly </w:t>
      </w:r>
      <w:r w:rsidR="00C43809">
        <w:rPr>
          <w:rFonts w:eastAsia="SimSun"/>
        </w:rPr>
        <w:t>requested</w:t>
      </w:r>
      <w:r>
        <w:rPr>
          <w:rFonts w:eastAsia="SimSun"/>
        </w:rPr>
        <w:t xml:space="preserve"> the Commission to </w:t>
      </w:r>
      <w:r w:rsidR="00B5219F">
        <w:rPr>
          <w:rFonts w:eastAsia="SimSun"/>
        </w:rPr>
        <w:t>withdraw their support for a third-block rate for PSE’s residential electric customers.</w:t>
      </w:r>
      <w:r w:rsidR="00902913">
        <w:rPr>
          <w:rFonts w:eastAsia="SimSun"/>
        </w:rPr>
        <w:t xml:space="preserve"> </w:t>
      </w:r>
      <w:r w:rsidR="00B5219F">
        <w:rPr>
          <w:rFonts w:eastAsia="SimSun"/>
        </w:rPr>
        <w:t xml:space="preserve">This </w:t>
      </w:r>
      <w:r w:rsidR="00C43809">
        <w:rPr>
          <w:rFonts w:eastAsia="SimSun"/>
        </w:rPr>
        <w:t>joint motion</w:t>
      </w:r>
      <w:r w:rsidR="00B5219F">
        <w:rPr>
          <w:rFonts w:eastAsia="SimSun"/>
        </w:rPr>
        <w:t xml:space="preserve"> is provided as Exhibit JAP-</w:t>
      </w:r>
      <w:r w:rsidR="002953F7">
        <w:rPr>
          <w:rFonts w:eastAsia="SimSun"/>
        </w:rPr>
        <w:t>49</w:t>
      </w:r>
      <w:r w:rsidR="00B5219F">
        <w:rPr>
          <w:rFonts w:eastAsia="SimSun"/>
        </w:rPr>
        <w:t>.</w:t>
      </w:r>
      <w:r w:rsidR="00902913">
        <w:rPr>
          <w:rFonts w:eastAsia="SimSun"/>
        </w:rPr>
        <w:t xml:space="preserve"> </w:t>
      </w:r>
      <w:r w:rsidR="00B5219F">
        <w:rPr>
          <w:rFonts w:eastAsia="SimSun"/>
        </w:rPr>
        <w:t xml:space="preserve">In paragraph 5 of that </w:t>
      </w:r>
      <w:r w:rsidR="00C43809">
        <w:rPr>
          <w:rFonts w:eastAsia="SimSun"/>
        </w:rPr>
        <w:t>motion</w:t>
      </w:r>
      <w:r w:rsidR="00B5219F">
        <w:rPr>
          <w:rFonts w:eastAsia="SimSun"/>
        </w:rPr>
        <w:t xml:space="preserve">, the Moving </w:t>
      </w:r>
      <w:r w:rsidR="00C43809">
        <w:rPr>
          <w:rFonts w:eastAsia="SimSun"/>
        </w:rPr>
        <w:t>P</w:t>
      </w:r>
      <w:r w:rsidR="00B5219F">
        <w:rPr>
          <w:rFonts w:eastAsia="SimSun"/>
        </w:rPr>
        <w:t>arties noted that “mandating adoption of the three-tiered block rate structure at this time does not achieve the parties’ intended goals and the proposed rate does not send the anticipated price signals to customers.”</w:t>
      </w:r>
      <w:r w:rsidR="00902913">
        <w:rPr>
          <w:rFonts w:eastAsia="SimSun"/>
        </w:rPr>
        <w:t xml:space="preserve"> </w:t>
      </w:r>
      <w:r w:rsidR="00B5219F">
        <w:rPr>
          <w:rFonts w:eastAsia="SimSun"/>
        </w:rPr>
        <w:t>Other signatories to the original agreement did not object to this change to the agreement.</w:t>
      </w:r>
      <w:r w:rsidR="00B5219F">
        <w:rPr>
          <w:rStyle w:val="FootnoteReference"/>
          <w:rFonts w:eastAsia="SimSun"/>
        </w:rPr>
        <w:footnoteReference w:id="102"/>
      </w:r>
      <w:r w:rsidR="00902913">
        <w:rPr>
          <w:rFonts w:eastAsia="SimSun"/>
        </w:rPr>
        <w:t xml:space="preserve"> </w:t>
      </w:r>
    </w:p>
    <w:p w:rsidR="00B5219F" w:rsidRPr="00A25E38" w:rsidRDefault="00B5219F" w:rsidP="00EC52CB">
      <w:pPr>
        <w:pStyle w:val="question"/>
      </w:pPr>
      <w:r w:rsidRPr="00A25E38">
        <w:t>Q.</w:t>
      </w:r>
      <w:r w:rsidRPr="00A25E38">
        <w:tab/>
        <w:t>Given the foregoing,</w:t>
      </w:r>
      <w:r w:rsidR="00A25E38" w:rsidRPr="00A25E38">
        <w:t xml:space="preserve"> what</w:t>
      </w:r>
      <w:r w:rsidRPr="00A25E38">
        <w:t xml:space="preserve"> </w:t>
      </w:r>
      <w:r w:rsidR="00A25E38" w:rsidRPr="00A25E38">
        <w:t>should the Commission do with the Coalition’s third-block rate proposal?</w:t>
      </w:r>
    </w:p>
    <w:p w:rsidR="00A25E38" w:rsidRDefault="00A25E38" w:rsidP="00A84E0F">
      <w:pPr>
        <w:pStyle w:val="answer"/>
        <w:rPr>
          <w:rFonts w:eastAsia="SimSun"/>
        </w:rPr>
      </w:pPr>
      <w:r>
        <w:rPr>
          <w:rFonts w:eastAsia="SimSun"/>
        </w:rPr>
        <w:t>A.</w:t>
      </w:r>
      <w:r>
        <w:rPr>
          <w:rFonts w:eastAsia="SimSun"/>
        </w:rPr>
        <w:tab/>
        <w:t>PSE recommends that the Commission agree with the Moving Parties and determine that a third-block rate for PSE’s residential electric customers is not appropriate at this time.</w:t>
      </w:r>
      <w:r w:rsidR="00902913">
        <w:rPr>
          <w:rFonts w:eastAsia="SimSun"/>
        </w:rPr>
        <w:t xml:space="preserve"> </w:t>
      </w:r>
    </w:p>
    <w:p w:rsidR="007B08A2" w:rsidRPr="003B5206" w:rsidRDefault="007B08A2" w:rsidP="00A15B24">
      <w:pPr>
        <w:pStyle w:val="PleadingsL2"/>
      </w:pPr>
      <w:bookmarkStart w:id="35" w:name="_Toc489871485"/>
      <w:r>
        <w:t>Non-Residential Rate Design</w:t>
      </w:r>
      <w:bookmarkEnd w:id="35"/>
    </w:p>
    <w:p w:rsidR="00985554" w:rsidRPr="009075DC" w:rsidRDefault="00985554" w:rsidP="00985554">
      <w:pPr>
        <w:pStyle w:val="question"/>
      </w:pPr>
      <w:r>
        <w:t>Q</w:t>
      </w:r>
      <w:r w:rsidRPr="009075DC">
        <w:t>.</w:t>
      </w:r>
      <w:r w:rsidRPr="009075DC">
        <w:tab/>
      </w:r>
      <w:r>
        <w:t>Please summarize the various parties’ proposals for the design of PSE’s non-residential electric customer rates.</w:t>
      </w:r>
    </w:p>
    <w:p w:rsidR="00A77F37" w:rsidRDefault="00985554" w:rsidP="00A77F37">
      <w:pPr>
        <w:pStyle w:val="answer"/>
        <w:rPr>
          <w:rFonts w:eastAsia="SimSun"/>
        </w:rPr>
      </w:pPr>
      <w:r w:rsidRPr="009075DC">
        <w:rPr>
          <w:rFonts w:eastAsia="SimSun"/>
        </w:rPr>
        <w:t>A.</w:t>
      </w:r>
      <w:r w:rsidRPr="009075DC">
        <w:rPr>
          <w:rFonts w:eastAsia="SimSun"/>
        </w:rPr>
        <w:tab/>
      </w:r>
      <w:r w:rsidR="00483A40">
        <w:rPr>
          <w:rFonts w:eastAsia="SimSun"/>
        </w:rPr>
        <w:t xml:space="preserve">Aside from </w:t>
      </w:r>
      <w:r w:rsidR="000452D4">
        <w:rPr>
          <w:rFonts w:eastAsia="SimSun"/>
        </w:rPr>
        <w:t>h</w:t>
      </w:r>
      <w:r w:rsidR="00616AB5">
        <w:rPr>
          <w:rFonts w:eastAsia="SimSun"/>
        </w:rPr>
        <w:t xml:space="preserve">is proposal for </w:t>
      </w:r>
      <w:r w:rsidR="00483A40">
        <w:rPr>
          <w:rFonts w:eastAsia="SimSun"/>
        </w:rPr>
        <w:t xml:space="preserve">Schedule 40, which </w:t>
      </w:r>
      <w:r w:rsidR="00616AB5">
        <w:rPr>
          <w:rFonts w:eastAsia="SimSun"/>
        </w:rPr>
        <w:t>I will</w:t>
      </w:r>
      <w:r w:rsidR="00483A40">
        <w:rPr>
          <w:rFonts w:eastAsia="SimSun"/>
        </w:rPr>
        <w:t xml:space="preserve"> discussed later, Staff witness Jason Ball </w:t>
      </w:r>
      <w:r w:rsidR="00A77F37">
        <w:rPr>
          <w:rFonts w:eastAsia="SimSun"/>
        </w:rPr>
        <w:t>accept</w:t>
      </w:r>
      <w:r w:rsidR="00483A40">
        <w:rPr>
          <w:rFonts w:eastAsia="SimSun"/>
        </w:rPr>
        <w:t>s PSE’s</w:t>
      </w:r>
      <w:r w:rsidR="00A77F37">
        <w:rPr>
          <w:rFonts w:eastAsia="SimSun"/>
        </w:rPr>
        <w:t xml:space="preserve"> </w:t>
      </w:r>
      <w:r w:rsidR="004520E8">
        <w:rPr>
          <w:rFonts w:eastAsia="SimSun"/>
        </w:rPr>
        <w:t>proposed</w:t>
      </w:r>
      <w:r w:rsidR="00483A40">
        <w:rPr>
          <w:rFonts w:eastAsia="SimSun"/>
        </w:rPr>
        <w:t xml:space="preserve"> l</w:t>
      </w:r>
      <w:r w:rsidR="00A77F37">
        <w:rPr>
          <w:rFonts w:eastAsia="SimSun"/>
        </w:rPr>
        <w:t>ighting rates.</w:t>
      </w:r>
      <w:r w:rsidR="00902913">
        <w:rPr>
          <w:rFonts w:eastAsia="SimSun"/>
        </w:rPr>
        <w:t xml:space="preserve"> </w:t>
      </w:r>
      <w:r w:rsidR="00483A40">
        <w:rPr>
          <w:rFonts w:eastAsia="SimSun"/>
        </w:rPr>
        <w:t>Mr. Ball further proposed to i</w:t>
      </w:r>
      <w:r w:rsidR="00A77F37">
        <w:rPr>
          <w:rFonts w:eastAsia="SimSun"/>
        </w:rPr>
        <w:t xml:space="preserve">ncrease demand rates for Schedules 46 </w:t>
      </w:r>
      <w:r w:rsidR="000452D4">
        <w:rPr>
          <w:rFonts w:eastAsia="SimSun"/>
        </w:rPr>
        <w:t xml:space="preserve">and </w:t>
      </w:r>
      <w:r w:rsidR="00A77F37">
        <w:rPr>
          <w:rFonts w:eastAsia="SimSun"/>
        </w:rPr>
        <w:t>49 by 48</w:t>
      </w:r>
      <w:r w:rsidR="00483A40">
        <w:rPr>
          <w:rFonts w:eastAsia="SimSun"/>
        </w:rPr>
        <w:t xml:space="preserve"> percent</w:t>
      </w:r>
      <w:r w:rsidR="00A77F37">
        <w:rPr>
          <w:rFonts w:eastAsia="SimSun"/>
        </w:rPr>
        <w:t xml:space="preserve"> to reflect cost of service.</w:t>
      </w:r>
      <w:r w:rsidR="00483A40">
        <w:rPr>
          <w:rStyle w:val="FootnoteReference"/>
          <w:rFonts w:eastAsia="SimSun"/>
        </w:rPr>
        <w:footnoteReference w:id="103"/>
      </w:r>
    </w:p>
    <w:p w:rsidR="00A77F37" w:rsidRDefault="00A77F37" w:rsidP="00A77F37">
      <w:pPr>
        <w:pStyle w:val="answer"/>
        <w:rPr>
          <w:rFonts w:eastAsia="SimSun"/>
        </w:rPr>
      </w:pPr>
      <w:r>
        <w:rPr>
          <w:rFonts w:eastAsia="SimSun"/>
        </w:rPr>
        <w:tab/>
      </w:r>
      <w:r w:rsidR="00483A40">
        <w:rPr>
          <w:rFonts w:eastAsia="SimSun"/>
        </w:rPr>
        <w:t xml:space="preserve">Public Counsel witness Glenn Watkins </w:t>
      </w:r>
      <w:r w:rsidR="00700A09">
        <w:rPr>
          <w:rFonts w:eastAsia="SimSun"/>
        </w:rPr>
        <w:t xml:space="preserve">proposes </w:t>
      </w:r>
      <w:r>
        <w:rPr>
          <w:rFonts w:eastAsia="SimSun"/>
        </w:rPr>
        <w:t xml:space="preserve">to remove </w:t>
      </w:r>
      <w:r w:rsidR="00483A40">
        <w:rPr>
          <w:rFonts w:eastAsia="SimSun"/>
        </w:rPr>
        <w:t xml:space="preserve">the linkage between </w:t>
      </w:r>
      <w:r>
        <w:rPr>
          <w:rFonts w:eastAsia="SimSun"/>
        </w:rPr>
        <w:t xml:space="preserve">Schedule 40’s demand and energy </w:t>
      </w:r>
      <w:r w:rsidR="00483A40">
        <w:rPr>
          <w:rFonts w:eastAsia="SimSun"/>
        </w:rPr>
        <w:t>rates and those of</w:t>
      </w:r>
      <w:r>
        <w:rPr>
          <w:rFonts w:eastAsia="SimSun"/>
        </w:rPr>
        <w:t xml:space="preserve"> Schedule 49</w:t>
      </w:r>
      <w:r w:rsidR="00483A40">
        <w:rPr>
          <w:rFonts w:eastAsia="SimSun"/>
        </w:rPr>
        <w:t xml:space="preserve"> and that they be dependent upon his proposed rate spread</w:t>
      </w:r>
      <w:r>
        <w:rPr>
          <w:rFonts w:eastAsia="SimSun"/>
        </w:rPr>
        <w:t>.</w:t>
      </w:r>
      <w:r w:rsidR="00483A40">
        <w:rPr>
          <w:rStyle w:val="FootnoteReference"/>
          <w:rFonts w:eastAsia="SimSun"/>
        </w:rPr>
        <w:footnoteReference w:id="104"/>
      </w:r>
    </w:p>
    <w:p w:rsidR="00A77F37" w:rsidRPr="00DF65D3" w:rsidRDefault="00A77F37" w:rsidP="00DF65D3">
      <w:pPr>
        <w:pStyle w:val="answer"/>
        <w:rPr>
          <w:rFonts w:eastAsia="SimSun"/>
        </w:rPr>
      </w:pPr>
      <w:r>
        <w:rPr>
          <w:rFonts w:eastAsia="SimSun"/>
        </w:rPr>
        <w:tab/>
      </w:r>
      <w:r w:rsidR="00483A40">
        <w:rPr>
          <w:rFonts w:eastAsia="SimSun"/>
        </w:rPr>
        <w:t xml:space="preserve">Kroger witness Kevin Higgins proposes </w:t>
      </w:r>
      <w:r w:rsidR="00DF65D3">
        <w:rPr>
          <w:rFonts w:eastAsia="SimSun"/>
        </w:rPr>
        <w:t>to k</w:t>
      </w:r>
      <w:r>
        <w:rPr>
          <w:rFonts w:eastAsia="SimSun"/>
        </w:rPr>
        <w:t xml:space="preserve">eep </w:t>
      </w:r>
      <w:r w:rsidR="00DF65D3">
        <w:rPr>
          <w:rFonts w:eastAsia="SimSun"/>
        </w:rPr>
        <w:t xml:space="preserve">the </w:t>
      </w:r>
      <w:r>
        <w:rPr>
          <w:rFonts w:eastAsia="SimSun"/>
        </w:rPr>
        <w:t>tail-block energy rate</w:t>
      </w:r>
      <w:r w:rsidR="00DF65D3">
        <w:rPr>
          <w:rFonts w:eastAsia="SimSun"/>
        </w:rPr>
        <w:t xml:space="preserve"> of Schedule 25</w:t>
      </w:r>
      <w:r>
        <w:rPr>
          <w:rFonts w:eastAsia="SimSun"/>
        </w:rPr>
        <w:t xml:space="preserve"> at </w:t>
      </w:r>
      <w:r w:rsidR="00DF65D3">
        <w:rPr>
          <w:rFonts w:eastAsia="SimSun"/>
        </w:rPr>
        <w:t xml:space="preserve">its </w:t>
      </w:r>
      <w:r>
        <w:rPr>
          <w:rFonts w:eastAsia="SimSun"/>
        </w:rPr>
        <w:t>current level</w:t>
      </w:r>
      <w:r w:rsidR="00DF65D3">
        <w:rPr>
          <w:rFonts w:eastAsia="SimSun"/>
        </w:rPr>
        <w:t>, increasing the basic charge as proposed by PSE</w:t>
      </w:r>
      <w:r>
        <w:rPr>
          <w:rFonts w:eastAsia="SimSun"/>
        </w:rPr>
        <w:t xml:space="preserve"> and rais</w:t>
      </w:r>
      <w:r w:rsidR="00DF65D3">
        <w:rPr>
          <w:rFonts w:eastAsia="SimSun"/>
        </w:rPr>
        <w:t>ing</w:t>
      </w:r>
      <w:r>
        <w:rPr>
          <w:rFonts w:eastAsia="SimSun"/>
        </w:rPr>
        <w:t xml:space="preserve"> demand rates </w:t>
      </w:r>
      <w:r w:rsidR="00321551">
        <w:rPr>
          <w:rFonts w:eastAsia="SimSun"/>
        </w:rPr>
        <w:t xml:space="preserve">(and a portion of the first block energy rates) </w:t>
      </w:r>
      <w:r>
        <w:rPr>
          <w:rFonts w:eastAsia="SimSun"/>
        </w:rPr>
        <w:t xml:space="preserve">to recover </w:t>
      </w:r>
      <w:r w:rsidR="002953F7">
        <w:rPr>
          <w:rFonts w:eastAsia="SimSun"/>
        </w:rPr>
        <w:t xml:space="preserve">the </w:t>
      </w:r>
      <w:r>
        <w:rPr>
          <w:rFonts w:eastAsia="SimSun"/>
        </w:rPr>
        <w:t>remainder of</w:t>
      </w:r>
      <w:r w:rsidR="002953F7">
        <w:rPr>
          <w:rFonts w:eastAsia="SimSun"/>
        </w:rPr>
        <w:t xml:space="preserve"> the</w:t>
      </w:r>
      <w:r>
        <w:rPr>
          <w:rFonts w:eastAsia="SimSun"/>
        </w:rPr>
        <w:t xml:space="preserve"> revenue requirement</w:t>
      </w:r>
      <w:r w:rsidR="00DF65D3">
        <w:rPr>
          <w:rFonts w:eastAsia="SimSun"/>
        </w:rPr>
        <w:t xml:space="preserve"> spread to this schedule</w:t>
      </w:r>
      <w:r>
        <w:rPr>
          <w:rFonts w:eastAsia="SimSun"/>
        </w:rPr>
        <w:t>.</w:t>
      </w:r>
      <w:r w:rsidR="00DF65D3">
        <w:rPr>
          <w:rStyle w:val="FootnoteReference"/>
          <w:rFonts w:eastAsia="SimSun"/>
        </w:rPr>
        <w:footnoteReference w:id="105"/>
      </w:r>
      <w:r w:rsidR="00902913">
        <w:rPr>
          <w:rFonts w:eastAsia="SimSun"/>
        </w:rPr>
        <w:t xml:space="preserve"> </w:t>
      </w:r>
    </w:p>
    <w:p w:rsidR="00985554" w:rsidRPr="009075DC" w:rsidRDefault="00985554" w:rsidP="00985554">
      <w:pPr>
        <w:pStyle w:val="question"/>
      </w:pPr>
      <w:r w:rsidRPr="009075DC">
        <w:t>Q.</w:t>
      </w:r>
      <w:r w:rsidRPr="009075DC">
        <w:tab/>
      </w:r>
      <w:r>
        <w:t>How do you respond</w:t>
      </w:r>
      <w:r w:rsidR="00850783">
        <w:t xml:space="preserve"> to Staff’s proposed increases to the demand charges for customers served under electric Schedules 46 and 49</w:t>
      </w:r>
      <w:r w:rsidRPr="009075DC">
        <w:t>?</w:t>
      </w:r>
    </w:p>
    <w:p w:rsidR="00985554" w:rsidRDefault="00985554" w:rsidP="00985554">
      <w:pPr>
        <w:pStyle w:val="answer"/>
        <w:rPr>
          <w:rFonts w:eastAsia="SimSun"/>
        </w:rPr>
      </w:pPr>
      <w:r w:rsidRPr="009075DC">
        <w:rPr>
          <w:rFonts w:eastAsia="SimSun"/>
        </w:rPr>
        <w:t>A.</w:t>
      </w:r>
      <w:r w:rsidRPr="009075DC">
        <w:rPr>
          <w:rFonts w:eastAsia="SimSun"/>
        </w:rPr>
        <w:tab/>
      </w:r>
      <w:r w:rsidR="00850783">
        <w:rPr>
          <w:rFonts w:eastAsia="SimSun"/>
        </w:rPr>
        <w:t>As mentioned earlier in the context of Staff’s decoupling proposals, PSE is supportive of aligning demand charges with demand-related costs.</w:t>
      </w:r>
      <w:r w:rsidR="00902913">
        <w:rPr>
          <w:rFonts w:eastAsia="SimSun"/>
        </w:rPr>
        <w:t xml:space="preserve"> </w:t>
      </w:r>
      <w:r w:rsidR="009B1486">
        <w:rPr>
          <w:rFonts w:eastAsia="SimSun"/>
        </w:rPr>
        <w:t>PSE has some concerns with such a dramatic change in rates, as some customers with lower load factors will be disproportionally impacted.</w:t>
      </w:r>
      <w:r w:rsidR="00902913">
        <w:rPr>
          <w:rFonts w:eastAsia="SimSun"/>
        </w:rPr>
        <w:t xml:space="preserve"> </w:t>
      </w:r>
      <w:r w:rsidR="009B1486">
        <w:rPr>
          <w:rFonts w:eastAsia="SimSun"/>
        </w:rPr>
        <w:t>However, on balance</w:t>
      </w:r>
      <w:r w:rsidR="00850783">
        <w:rPr>
          <w:rFonts w:eastAsia="SimSun"/>
        </w:rPr>
        <w:t>, PSE is supportive of Staff’s proposal for these schedules</w:t>
      </w:r>
      <w:r>
        <w:rPr>
          <w:rFonts w:eastAsia="SimSun"/>
        </w:rPr>
        <w:t>.</w:t>
      </w:r>
      <w:r w:rsidR="00850783">
        <w:rPr>
          <w:rFonts w:eastAsia="SimSun"/>
        </w:rPr>
        <w:t xml:space="preserve"> </w:t>
      </w:r>
    </w:p>
    <w:p w:rsidR="00850783" w:rsidRPr="0089007B" w:rsidRDefault="00850783" w:rsidP="00EC52CB">
      <w:pPr>
        <w:pStyle w:val="question"/>
      </w:pPr>
      <w:r w:rsidRPr="0089007B">
        <w:t>Q.</w:t>
      </w:r>
      <w:r w:rsidRPr="0089007B">
        <w:tab/>
        <w:t>Do you support Public Counsel’s proposal to remove the linkage between the rates of Schedules 40 and 49?</w:t>
      </w:r>
    </w:p>
    <w:p w:rsidR="00616AB5" w:rsidRDefault="00850783" w:rsidP="00985554">
      <w:pPr>
        <w:pStyle w:val="answer"/>
        <w:rPr>
          <w:rFonts w:eastAsia="SimSun"/>
        </w:rPr>
      </w:pPr>
      <w:r>
        <w:rPr>
          <w:rFonts w:eastAsia="SimSun"/>
        </w:rPr>
        <w:t>A.</w:t>
      </w:r>
      <w:r>
        <w:rPr>
          <w:rFonts w:eastAsia="SimSun"/>
        </w:rPr>
        <w:tab/>
      </w:r>
      <w:r w:rsidR="0089007B">
        <w:rPr>
          <w:rFonts w:eastAsia="SimSun"/>
        </w:rPr>
        <w:t>I do in concept, but the implementation of this proposal will be more challenging than suggested by Public Counsel.</w:t>
      </w:r>
      <w:r w:rsidR="00902913">
        <w:rPr>
          <w:rFonts w:eastAsia="SimSun"/>
        </w:rPr>
        <w:t xml:space="preserve"> </w:t>
      </w:r>
      <w:r w:rsidR="0089007B">
        <w:rPr>
          <w:rFonts w:eastAsia="SimSun"/>
        </w:rPr>
        <w:t xml:space="preserve">As the Commission is aware, the distribution portion of Schedule 40 rates </w:t>
      </w:r>
      <w:r w:rsidR="00920D15">
        <w:rPr>
          <w:rFonts w:eastAsia="SimSun"/>
        </w:rPr>
        <w:t>is</w:t>
      </w:r>
      <w:r w:rsidR="0089007B">
        <w:rPr>
          <w:rFonts w:eastAsia="SimSun"/>
        </w:rPr>
        <w:t xml:space="preserve"> set individually for each campus served under this schedule.</w:t>
      </w:r>
      <w:r w:rsidR="00902913">
        <w:rPr>
          <w:rFonts w:eastAsia="SimSun"/>
        </w:rPr>
        <w:t xml:space="preserve"> </w:t>
      </w:r>
      <w:r w:rsidR="0089007B">
        <w:rPr>
          <w:rFonts w:eastAsia="SimSun"/>
        </w:rPr>
        <w:t xml:space="preserve">However, PSE’s cost of service study, from which the parity ratios are calculated, allocates distribution costs to Schedule 40 customers using factors </w:t>
      </w:r>
      <w:r w:rsidR="00920D15">
        <w:rPr>
          <w:rFonts w:eastAsia="SimSun"/>
        </w:rPr>
        <w:t xml:space="preserve">more generically </w:t>
      </w:r>
      <w:r w:rsidR="0089007B">
        <w:rPr>
          <w:rFonts w:eastAsia="SimSun"/>
        </w:rPr>
        <w:t>developed to allocate costs to all customers.</w:t>
      </w:r>
      <w:r w:rsidR="00902913">
        <w:rPr>
          <w:rFonts w:eastAsia="SimSun"/>
        </w:rPr>
        <w:t xml:space="preserve"> </w:t>
      </w:r>
      <w:r w:rsidR="0089007B">
        <w:rPr>
          <w:rFonts w:eastAsia="SimSun"/>
        </w:rPr>
        <w:t>Therefore, there is a certain disconnect between these two results, specifically for the assignment of distribution costs</w:t>
      </w:r>
      <w:r w:rsidR="002B52F3">
        <w:rPr>
          <w:rFonts w:eastAsia="SimSun"/>
        </w:rPr>
        <w:t>.</w:t>
      </w:r>
      <w:r w:rsidR="00902913">
        <w:rPr>
          <w:rFonts w:eastAsia="SimSun"/>
        </w:rPr>
        <w:t xml:space="preserve"> </w:t>
      </w:r>
      <w:r w:rsidR="002B52F3">
        <w:rPr>
          <w:rFonts w:eastAsia="SimSun"/>
        </w:rPr>
        <w:t>R</w:t>
      </w:r>
      <w:r w:rsidR="0089007B">
        <w:rPr>
          <w:rFonts w:eastAsia="SimSun"/>
        </w:rPr>
        <w:t xml:space="preserve">elying on the parity ratios of the cost of service study </w:t>
      </w:r>
      <w:r w:rsidR="00616AB5">
        <w:rPr>
          <w:rFonts w:eastAsia="SimSun"/>
        </w:rPr>
        <w:t xml:space="preserve">as they are currently calculated </w:t>
      </w:r>
      <w:r w:rsidR="0089007B">
        <w:rPr>
          <w:rFonts w:eastAsia="SimSun"/>
        </w:rPr>
        <w:t>would ignore this reality.</w:t>
      </w:r>
      <w:r w:rsidR="00902913">
        <w:rPr>
          <w:rFonts w:eastAsia="SimSun"/>
        </w:rPr>
        <w:t xml:space="preserve"> </w:t>
      </w:r>
      <w:r w:rsidR="0089007B">
        <w:rPr>
          <w:rFonts w:eastAsia="SimSun"/>
        </w:rPr>
        <w:t>T</w:t>
      </w:r>
      <w:r w:rsidR="00616AB5">
        <w:rPr>
          <w:rFonts w:eastAsia="SimSun"/>
        </w:rPr>
        <w:t>herefore, t</w:t>
      </w:r>
      <w:r w:rsidR="0089007B">
        <w:rPr>
          <w:rFonts w:eastAsia="SimSun"/>
        </w:rPr>
        <w:t xml:space="preserve">o implement this correctly, a more tailored parity ratio would </w:t>
      </w:r>
      <w:r w:rsidR="00920D15">
        <w:rPr>
          <w:rFonts w:eastAsia="SimSun"/>
        </w:rPr>
        <w:t xml:space="preserve">be </w:t>
      </w:r>
      <w:r w:rsidR="0089007B">
        <w:rPr>
          <w:rFonts w:eastAsia="SimSun"/>
        </w:rPr>
        <w:t>need</w:t>
      </w:r>
      <w:r w:rsidR="00920D15">
        <w:rPr>
          <w:rFonts w:eastAsia="SimSun"/>
        </w:rPr>
        <w:t>ed</w:t>
      </w:r>
      <w:r w:rsidR="0089007B">
        <w:rPr>
          <w:rFonts w:eastAsia="SimSun"/>
        </w:rPr>
        <w:t xml:space="preserve"> for Schedule 40, where the parity ratio excludes the </w:t>
      </w:r>
      <w:r w:rsidR="00920D15">
        <w:rPr>
          <w:rFonts w:eastAsia="SimSun"/>
        </w:rPr>
        <w:t xml:space="preserve">customer-specific </w:t>
      </w:r>
      <w:r w:rsidR="0089007B">
        <w:rPr>
          <w:rFonts w:eastAsia="SimSun"/>
        </w:rPr>
        <w:t>distribution</w:t>
      </w:r>
      <w:r w:rsidR="00920D15">
        <w:rPr>
          <w:rFonts w:eastAsia="SimSun"/>
        </w:rPr>
        <w:t xml:space="preserve"> costs</w:t>
      </w:r>
      <w:r w:rsidR="0089007B">
        <w:rPr>
          <w:rFonts w:eastAsia="SimSun"/>
        </w:rPr>
        <w:t>.</w:t>
      </w:r>
      <w:r w:rsidR="00902913">
        <w:rPr>
          <w:rFonts w:eastAsia="SimSun"/>
        </w:rPr>
        <w:t xml:space="preserve"> </w:t>
      </w:r>
    </w:p>
    <w:p w:rsidR="00616AB5" w:rsidRPr="00616AB5" w:rsidRDefault="00616AB5" w:rsidP="00EC52CB">
      <w:pPr>
        <w:pStyle w:val="question"/>
      </w:pPr>
      <w:r w:rsidRPr="00616AB5">
        <w:t>Q.</w:t>
      </w:r>
      <w:r w:rsidRPr="00616AB5">
        <w:tab/>
        <w:t>Have you attempted to create such a modified parity ratio for Schedule 40?</w:t>
      </w:r>
    </w:p>
    <w:p w:rsidR="00850783" w:rsidRDefault="00616AB5" w:rsidP="00985554">
      <w:pPr>
        <w:pStyle w:val="answer"/>
        <w:rPr>
          <w:rFonts w:eastAsia="SimSun"/>
        </w:rPr>
      </w:pPr>
      <w:r>
        <w:rPr>
          <w:rFonts w:eastAsia="SimSun"/>
        </w:rPr>
        <w:t>A.</w:t>
      </w:r>
      <w:r>
        <w:rPr>
          <w:rFonts w:eastAsia="SimSun"/>
        </w:rPr>
        <w:tab/>
        <w:t>Yes.</w:t>
      </w:r>
      <w:r w:rsidR="00902913">
        <w:rPr>
          <w:rFonts w:eastAsia="SimSun"/>
        </w:rPr>
        <w:t xml:space="preserve"> </w:t>
      </w:r>
      <w:r w:rsidR="002953F7">
        <w:rPr>
          <w:rFonts w:eastAsia="SimSun"/>
        </w:rPr>
        <w:t>This is presented in Exhibit JAP-50 to my testimony.</w:t>
      </w:r>
      <w:r w:rsidR="00902913">
        <w:rPr>
          <w:rFonts w:eastAsia="SimSun"/>
        </w:rPr>
        <w:t xml:space="preserve"> </w:t>
      </w:r>
      <w:r w:rsidR="002953F7">
        <w:rPr>
          <w:rFonts w:eastAsia="SimSun"/>
        </w:rPr>
        <w:t>The results in Exhibit JAP-50 show a small but meaningful difference in the parity ratios between the results presented for non</w:t>
      </w:r>
      <w:r w:rsidR="002A136E">
        <w:rPr>
          <w:rFonts w:eastAsia="SimSun"/>
        </w:rPr>
        <w:t>-</w:t>
      </w:r>
      <w:r w:rsidR="002953F7">
        <w:rPr>
          <w:rFonts w:eastAsia="SimSun"/>
        </w:rPr>
        <w:t>distribution-related costs and overall costs.</w:t>
      </w:r>
      <w:r w:rsidR="00902913">
        <w:rPr>
          <w:rFonts w:eastAsia="SimSun"/>
        </w:rPr>
        <w:t xml:space="preserve"> </w:t>
      </w:r>
      <w:r w:rsidR="002953F7">
        <w:rPr>
          <w:rFonts w:eastAsia="SimSun"/>
        </w:rPr>
        <w:t>The more refined parity calculations show about a 3 percent increase to Schedule 40’s parity ratio, which could easily be the difference between receiving an average rate increase and one that is above average.</w:t>
      </w:r>
    </w:p>
    <w:p w:rsidR="00616AB5" w:rsidRPr="00616AB5" w:rsidRDefault="00616AB5" w:rsidP="00EC52CB">
      <w:pPr>
        <w:pStyle w:val="question"/>
      </w:pPr>
      <w:r w:rsidRPr="00616AB5">
        <w:t>Q.</w:t>
      </w:r>
      <w:r w:rsidRPr="00616AB5">
        <w:tab/>
        <w:t>What do you recommend regarding Public Counsel’s proposal to break the linkage between the rates of Schedule 40 and 49?</w:t>
      </w:r>
    </w:p>
    <w:p w:rsidR="00616AB5" w:rsidRDefault="00616AB5" w:rsidP="00985554">
      <w:pPr>
        <w:pStyle w:val="answer"/>
        <w:rPr>
          <w:rFonts w:eastAsia="SimSun"/>
        </w:rPr>
      </w:pPr>
      <w:r>
        <w:rPr>
          <w:rFonts w:eastAsia="SimSun"/>
        </w:rPr>
        <w:t>A.</w:t>
      </w:r>
      <w:r>
        <w:rPr>
          <w:rFonts w:eastAsia="SimSun"/>
        </w:rPr>
        <w:tab/>
        <w:t>PSE is supportive of this general proposal but recommend</w:t>
      </w:r>
      <w:r w:rsidR="00C43809">
        <w:rPr>
          <w:rFonts w:eastAsia="SimSun"/>
        </w:rPr>
        <w:t>s</w:t>
      </w:r>
      <w:r>
        <w:rPr>
          <w:rFonts w:eastAsia="SimSun"/>
        </w:rPr>
        <w:t xml:space="preserve"> that the Commission reject Public Counsel’s approach for implementing this proposal in favor of PSE’s more refined approach for determining the parity ratios for Schedule 40.</w:t>
      </w:r>
      <w:r w:rsidR="00902913">
        <w:rPr>
          <w:rFonts w:eastAsia="SimSun"/>
        </w:rPr>
        <w:t xml:space="preserve"> </w:t>
      </w:r>
      <w:r w:rsidR="00920D15">
        <w:rPr>
          <w:rFonts w:eastAsia="SimSun"/>
        </w:rPr>
        <w:t>Decisions regarding rate spread could then follow from these adjusted results.</w:t>
      </w:r>
    </w:p>
    <w:p w:rsidR="00616AB5" w:rsidRPr="00616AB5" w:rsidRDefault="00616AB5" w:rsidP="00EC52CB">
      <w:pPr>
        <w:pStyle w:val="question"/>
      </w:pPr>
      <w:r w:rsidRPr="00616AB5">
        <w:t>Q.</w:t>
      </w:r>
      <w:r w:rsidRPr="00616AB5">
        <w:tab/>
        <w:t>Do you support Kroger’s proposed changes to the design of Schedule 25 rates?</w:t>
      </w:r>
    </w:p>
    <w:p w:rsidR="00616AB5" w:rsidRDefault="00616AB5" w:rsidP="00985554">
      <w:pPr>
        <w:pStyle w:val="answer"/>
        <w:rPr>
          <w:rFonts w:eastAsia="SimSun"/>
        </w:rPr>
      </w:pPr>
      <w:r>
        <w:rPr>
          <w:rFonts w:eastAsia="SimSun"/>
        </w:rPr>
        <w:t>A.</w:t>
      </w:r>
      <w:r>
        <w:rPr>
          <w:rFonts w:eastAsia="SimSun"/>
        </w:rPr>
        <w:tab/>
        <w:t>Yes.</w:t>
      </w:r>
      <w:r w:rsidR="00902913">
        <w:rPr>
          <w:rFonts w:eastAsia="SimSun"/>
        </w:rPr>
        <w:t xml:space="preserve"> </w:t>
      </w:r>
      <w:r w:rsidR="004B1E8B">
        <w:rPr>
          <w:rFonts w:eastAsia="SimSun"/>
        </w:rPr>
        <w:t>As with Staff’s proposal for Schedules 46 and 49, PSE supports aligning the demand-related charges of Schedule 25 to more fully recover their allocated demand-related costs.</w:t>
      </w:r>
      <w:r w:rsidR="00902913">
        <w:rPr>
          <w:rFonts w:eastAsia="SimSun"/>
        </w:rPr>
        <w:t xml:space="preserve"> </w:t>
      </w:r>
      <w:r w:rsidR="0026739C">
        <w:rPr>
          <w:rFonts w:eastAsia="SimSun"/>
        </w:rPr>
        <w:t xml:space="preserve">As with Staff’s proposal, PSE has some discomfort with the potential </w:t>
      </w:r>
      <w:r w:rsidR="00CD342B">
        <w:rPr>
          <w:rFonts w:eastAsia="SimSun"/>
        </w:rPr>
        <w:t>impacts these changes may have on customers with low load factors.</w:t>
      </w:r>
      <w:r w:rsidR="00902913">
        <w:rPr>
          <w:rFonts w:eastAsia="SimSun"/>
        </w:rPr>
        <w:t xml:space="preserve"> </w:t>
      </w:r>
      <w:r w:rsidR="00CD342B">
        <w:rPr>
          <w:rFonts w:eastAsia="SimSun"/>
        </w:rPr>
        <w:t>But, on balance, PSE is supportive of Kroger’s p</w:t>
      </w:r>
      <w:bookmarkStart w:id="36" w:name="aaa"/>
      <w:bookmarkEnd w:id="36"/>
      <w:r w:rsidR="00CD342B">
        <w:rPr>
          <w:rFonts w:eastAsia="SimSun"/>
        </w:rPr>
        <w:t>roposal.</w:t>
      </w:r>
    </w:p>
    <w:p w:rsidR="007B08A2" w:rsidRDefault="007B08A2" w:rsidP="00A15B24">
      <w:pPr>
        <w:pStyle w:val="PleadingsL2"/>
      </w:pPr>
      <w:bookmarkStart w:id="37" w:name="_Toc489871486"/>
      <w:r>
        <w:t>Schedule 40</w:t>
      </w:r>
      <w:bookmarkEnd w:id="37"/>
      <w:r w:rsidR="00FF6B70">
        <w:t xml:space="preserve"> </w:t>
      </w:r>
    </w:p>
    <w:p w:rsidR="002F19A0" w:rsidRPr="009075DC" w:rsidRDefault="002F19A0" w:rsidP="00A15B24">
      <w:pPr>
        <w:pStyle w:val="PleadingsL3"/>
        <w:rPr>
          <w:rFonts w:eastAsia="SimSun"/>
        </w:rPr>
      </w:pPr>
      <w:bookmarkStart w:id="38" w:name="_Toc489871487"/>
      <w:r w:rsidRPr="002953F7">
        <w:rPr>
          <w:rFonts w:eastAsia="SimSun"/>
        </w:rPr>
        <w:t>Substation</w:t>
      </w:r>
      <w:r>
        <w:rPr>
          <w:rFonts w:eastAsia="SimSun"/>
        </w:rPr>
        <w:t xml:space="preserve"> Costs</w:t>
      </w:r>
      <w:bookmarkEnd w:id="38"/>
    </w:p>
    <w:p w:rsidR="00985554" w:rsidRPr="009075DC" w:rsidRDefault="00985554" w:rsidP="00985554">
      <w:pPr>
        <w:pStyle w:val="question"/>
      </w:pPr>
      <w:r>
        <w:t>Q</w:t>
      </w:r>
      <w:r w:rsidRPr="009075DC">
        <w:t>.</w:t>
      </w:r>
      <w:r w:rsidRPr="009075DC">
        <w:tab/>
      </w:r>
      <w:r w:rsidR="00A76AF8">
        <w:t xml:space="preserve">Please summarize </w:t>
      </w:r>
      <w:r>
        <w:t xml:space="preserve">ICNU’s proposal for the </w:t>
      </w:r>
      <w:r w:rsidR="00453426">
        <w:t xml:space="preserve">allocation </w:t>
      </w:r>
      <w:r>
        <w:t xml:space="preserve">of </w:t>
      </w:r>
      <w:r w:rsidR="00453426">
        <w:t xml:space="preserve">substation costs to </w:t>
      </w:r>
      <w:r>
        <w:t>PSE’s customer</w:t>
      </w:r>
      <w:r w:rsidR="00453426">
        <w:t>s served under Schedules 40</w:t>
      </w:r>
      <w:r>
        <w:t>.</w:t>
      </w:r>
    </w:p>
    <w:p w:rsidR="00985554" w:rsidRDefault="00985554" w:rsidP="00985554">
      <w:pPr>
        <w:pStyle w:val="answer"/>
      </w:pPr>
      <w:r w:rsidRPr="009075DC">
        <w:rPr>
          <w:rFonts w:eastAsia="SimSun"/>
        </w:rPr>
        <w:t>A.</w:t>
      </w:r>
      <w:r w:rsidRPr="009075DC">
        <w:rPr>
          <w:rFonts w:eastAsia="SimSun"/>
        </w:rPr>
        <w:tab/>
      </w:r>
      <w:r w:rsidR="002416BD">
        <w:rPr>
          <w:rFonts w:eastAsia="SimSun"/>
        </w:rPr>
        <w:t xml:space="preserve">ICNU witness Bradley </w:t>
      </w:r>
      <w:r w:rsidR="00540153">
        <w:rPr>
          <w:rFonts w:eastAsia="SimSun"/>
        </w:rPr>
        <w:t xml:space="preserve">Mullins </w:t>
      </w:r>
      <w:r w:rsidR="002416BD">
        <w:rPr>
          <w:rFonts w:eastAsia="SimSun"/>
        </w:rPr>
        <w:t xml:space="preserve">recommends that PSE revise its allocation percentages in rebuttal testimony to fully account for the reliability benefits customers served from other regional substations received as a consequence of the Ardmore </w:t>
      </w:r>
      <w:r w:rsidR="005245A9">
        <w:rPr>
          <w:rFonts w:eastAsia="SimSun"/>
        </w:rPr>
        <w:t>substation</w:t>
      </w:r>
      <w:r w:rsidR="002416BD">
        <w:rPr>
          <w:rFonts w:eastAsia="SimSun"/>
        </w:rPr>
        <w:t>.</w:t>
      </w:r>
      <w:r w:rsidR="002416BD">
        <w:rPr>
          <w:rStyle w:val="FootnoteReference"/>
          <w:rFonts w:eastAsia="SimSun"/>
        </w:rPr>
        <w:footnoteReference w:id="106"/>
      </w:r>
    </w:p>
    <w:p w:rsidR="00985554" w:rsidRPr="009075DC" w:rsidRDefault="00985554" w:rsidP="00985554">
      <w:pPr>
        <w:pStyle w:val="question"/>
      </w:pPr>
      <w:r w:rsidRPr="009075DC">
        <w:t>Q.</w:t>
      </w:r>
      <w:r w:rsidRPr="009075DC">
        <w:tab/>
      </w:r>
      <w:r>
        <w:t>How do you respond</w:t>
      </w:r>
      <w:r w:rsidRPr="009075DC">
        <w:t>?</w:t>
      </w:r>
    </w:p>
    <w:p w:rsidR="00985554" w:rsidRDefault="00A95B38" w:rsidP="00985554">
      <w:pPr>
        <w:pStyle w:val="answer"/>
        <w:rPr>
          <w:rFonts w:eastAsia="SimSun"/>
        </w:rPr>
      </w:pPr>
      <w:r w:rsidRPr="00A07998">
        <w:rPr>
          <w:noProof/>
          <w:lang w:eastAsia="en-US"/>
        </w:rPr>
        <mc:AlternateContent>
          <mc:Choice Requires="wpg">
            <w:drawing>
              <wp:anchor distT="0" distB="0" distL="114300" distR="114300" simplePos="0" relativeHeight="251661312" behindDoc="0" locked="0" layoutInCell="1" allowOverlap="1" wp14:anchorId="0DE17832" wp14:editId="1DCCDACD">
                <wp:simplePos x="0" y="0"/>
                <wp:positionH relativeFrom="column">
                  <wp:posOffset>1791325</wp:posOffset>
                </wp:positionH>
                <wp:positionV relativeFrom="paragraph">
                  <wp:posOffset>6904470</wp:posOffset>
                </wp:positionV>
                <wp:extent cx="2691765" cy="454701"/>
                <wp:effectExtent l="0" t="0" r="0" b="254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1765" cy="454701"/>
                          <a:chOff x="4220" y="11248"/>
                          <a:chExt cx="3856" cy="1255"/>
                        </a:xfrm>
                      </wpg:grpSpPr>
                      <wps:wsp>
                        <wps:cNvPr id="7" name="Text Box 6"/>
                        <wps:cNvSpPr txBox="1">
                          <a:spLocks noChangeArrowheads="1"/>
                        </wps:cNvSpPr>
                        <wps:spPr bwMode="auto">
                          <a:xfrm>
                            <a:off x="4436" y="11873"/>
                            <a:ext cx="3640" cy="6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7D3A" w:rsidRDefault="009B7D3A" w:rsidP="00A95B38">
                              <w:pPr>
                                <w:pStyle w:val="plain"/>
                                <w:jc w:val="center"/>
                              </w:pPr>
                            </w:p>
                          </w:txbxContent>
                        </wps:txbx>
                        <wps:bodyPr rot="0" vert="horz" wrap="square" lIns="91440" tIns="91440" rIns="91440" bIns="91440" anchor="t" anchorCtr="0" upright="1">
                          <a:noAutofit/>
                        </wps:bodyPr>
                      </wps:wsp>
                      <wps:wsp>
                        <wps:cNvPr id="8" name="Text Box 7"/>
                        <wps:cNvSpPr txBox="1">
                          <a:spLocks noChangeArrowheads="1"/>
                        </wps:cNvSpPr>
                        <wps:spPr bwMode="auto">
                          <a:xfrm>
                            <a:off x="4220" y="11248"/>
                            <a:ext cx="3756" cy="1188"/>
                          </a:xfrm>
                          <a:prstGeom prst="rect">
                            <a:avLst/>
                          </a:prstGeom>
                          <a:solidFill>
                            <a:srgbClr val="FFFFFF"/>
                          </a:solidFill>
                          <a:ln w="19050">
                            <a:solidFill>
                              <a:srgbClr val="000000"/>
                            </a:solidFill>
                            <a:miter lim="800000"/>
                            <a:headEnd/>
                            <a:tailEnd/>
                          </a:ln>
                        </wps:spPr>
                        <wps:txbx>
                          <w:txbxContent>
                            <w:p w:rsidR="009B7D3A" w:rsidRPr="00EB6972" w:rsidRDefault="001823F3" w:rsidP="00A95B38">
                              <w:pPr>
                                <w:pStyle w:val="plain"/>
                                <w:jc w:val="center"/>
                                <w:rPr>
                                  <w:b/>
                                  <w:smallCaps/>
                                  <w:snapToGrid w:val="0"/>
                                  <w:sz w:val="20"/>
                                  <w:lang w:val="x-none" w:eastAsia="en-US"/>
                                </w:rPr>
                              </w:pPr>
                              <w:r>
                                <w:rPr>
                                  <w:b/>
                                  <w:smallCaps/>
                                  <w:snapToGrid w:val="0"/>
                                  <w:sz w:val="20"/>
                                  <w:lang w:eastAsia="en-US"/>
                                </w:rPr>
                                <w:t>Redacted 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9" style="position:absolute;left:0;text-align:left;margin-left:141.05pt;margin-top:543.65pt;width:211.95pt;height:35.8pt;z-index:251661312" coordorigin="4220,11248" coordsize="3856,1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">
                <v:shape id="Text Box 6" o:spid="_x0000_s1030" type="#_x0000_t202" style="position:absolute;left:4436;top:11873;width:364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u18IA&#10;AADaAAAADwAAAGRycy9kb3ducmV2LnhtbESPT4vCMBTE78J+h/CEvWmqLCrVKCIs6G39w67HR/Oa&#10;FpuX0sTa9dMbQfA4zMxvmMWqs5VoqfGlYwWjYQKCOHO6ZKPgdPwezED4gKyxckwK/snDavnRW2Cq&#10;3Y331B6CERHCPkUFRQh1KqXPCrLoh64mjl7uGoshysZI3eAtwm0lx0kykRZLjgsF1rQpKLscrlbB&#10;n5nsqp/ZRedf5/vvyFzbdrPLlfrsd+s5iEBdeIdf7a1WMIXnlXg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Ga7XwgAAANoAAAAPAAAAAAAAAAAAAAAAAJgCAABkcnMvZG93&#10;bnJldi54bWxQSwUGAAAAAAQABAD1AAAAhwMAAAAA&#10;" fillcolor="gray" stroked="f">
                  <v:textbox inset=",7.2pt,,7.2pt">
                    <w:txbxContent>
                      <w:p w:rsidR="009B7D3A" w:rsidRDefault="009B7D3A" w:rsidP="00A95B38">
                        <w:pPr>
                          <w:pStyle w:val="plain"/>
                          <w:jc w:val="center"/>
                        </w:pPr>
                      </w:p>
                    </w:txbxContent>
                  </v:textbox>
                </v:shape>
                <v:shape id="Text Box 7" o:spid="_x0000_s1031" type="#_x0000_t202" style="position:absolute;left:4220;top:11248;width:3756;height:1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ZR3sMA&#10;AADaAAAADwAAAGRycy9kb3ducmV2LnhtbESPQWvCQBCF7wX/wzJCL0U3VSoSXaUECuJFTEvOQ3ZM&#10;gtnZmN2a9N87B6G3GebNe+/b7kfXqjv1ofFs4H2egCIuvW24MvDz/TVbgwoR2WLrmQz8UYD9bvKy&#10;xdT6gc90z2OlxIRDigbqGLtU61DW5DDMfUcst4vvHUZZ+0rbHgcxd61eJMlKO2xYEmrsKKupvOa/&#10;zkB2LGQ8305FsWw/Vsd8yN6yypjX6fi5ARVpjP/i5/fBGpCugiIYo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ZR3sMAAADaAAAADwAAAAAAAAAAAAAAAACYAgAAZHJzL2Rv&#10;d25yZXYueG1sUEsFBgAAAAAEAAQA9QAAAIgDAAAAAA==&#10;" strokeweight="1.5pt">
                  <v:textbox inset=",7.2pt,,7.2pt">
                    <w:txbxContent>
                      <w:p w:rsidR="009B7D3A" w:rsidRPr="00EB6972" w:rsidRDefault="001823F3" w:rsidP="00A95B38">
                        <w:pPr>
                          <w:pStyle w:val="plain"/>
                          <w:jc w:val="center"/>
                          <w:rPr>
                            <w:b/>
                            <w:smallCaps/>
                            <w:snapToGrid w:val="0"/>
                            <w:sz w:val="20"/>
                            <w:lang w:val="x-none" w:eastAsia="en-US"/>
                          </w:rPr>
                        </w:pPr>
                        <w:r>
                          <w:rPr>
                            <w:b/>
                            <w:smallCaps/>
                            <w:snapToGrid w:val="0"/>
                            <w:sz w:val="20"/>
                            <w:lang w:eastAsia="en-US"/>
                          </w:rPr>
                          <w:t>Redacted Version</w:t>
                        </w:r>
                      </w:p>
                    </w:txbxContent>
                  </v:textbox>
                </v:shape>
              </v:group>
            </w:pict>
          </mc:Fallback>
        </mc:AlternateContent>
      </w:r>
      <w:r w:rsidR="00985554" w:rsidRPr="009075DC">
        <w:rPr>
          <w:rFonts w:eastAsia="SimSun"/>
        </w:rPr>
        <w:t>A.</w:t>
      </w:r>
      <w:r w:rsidR="00985554" w:rsidRPr="009075DC">
        <w:rPr>
          <w:rFonts w:eastAsia="SimSun"/>
        </w:rPr>
        <w:tab/>
      </w:r>
      <w:r w:rsidR="001B57ED">
        <w:rPr>
          <w:rFonts w:eastAsia="SimSun"/>
        </w:rPr>
        <w:t xml:space="preserve">I have multiple concerns with </w:t>
      </w:r>
      <w:r w:rsidR="00983EB4">
        <w:rPr>
          <w:rFonts w:eastAsia="SimSun"/>
        </w:rPr>
        <w:t>ICNU’s</w:t>
      </w:r>
      <w:r w:rsidR="001B57ED">
        <w:rPr>
          <w:rFonts w:eastAsia="SimSun"/>
        </w:rPr>
        <w:t xml:space="preserve"> proposal.</w:t>
      </w:r>
      <w:r w:rsidR="00902913">
        <w:rPr>
          <w:rFonts w:eastAsia="SimSun"/>
        </w:rPr>
        <w:t xml:space="preserve"> </w:t>
      </w:r>
      <w:r w:rsidR="001B57ED">
        <w:rPr>
          <w:rFonts w:eastAsia="SimSun"/>
        </w:rPr>
        <w:t>First, it is unclear how such an analysis would even be conducted.</w:t>
      </w:r>
      <w:r w:rsidR="00902913">
        <w:rPr>
          <w:rFonts w:eastAsia="SimSun"/>
        </w:rPr>
        <w:t xml:space="preserve"> </w:t>
      </w:r>
      <w:r w:rsidR="001B57ED">
        <w:rPr>
          <w:rFonts w:eastAsia="SimSun"/>
        </w:rPr>
        <w:t>Mr. Mullins offers no guidance on the quantitative analysis that he envision</w:t>
      </w:r>
      <w:r w:rsidR="00920D15">
        <w:rPr>
          <w:rFonts w:eastAsia="SimSun"/>
        </w:rPr>
        <w:t>s to allocate costs on “reliability benefits</w:t>
      </w:r>
      <w:r w:rsidR="001B57ED">
        <w:rPr>
          <w:rFonts w:eastAsia="SimSun"/>
        </w:rPr>
        <w:t>.</w:t>
      </w:r>
      <w:r w:rsidR="00920D15">
        <w:rPr>
          <w:rFonts w:eastAsia="SimSun"/>
        </w:rPr>
        <w:t>”</w:t>
      </w:r>
      <w:r w:rsidR="00902913">
        <w:rPr>
          <w:rFonts w:eastAsia="SimSun"/>
        </w:rPr>
        <w:t xml:space="preserve"> </w:t>
      </w:r>
      <w:r w:rsidR="001B57ED">
        <w:rPr>
          <w:rFonts w:eastAsia="SimSun"/>
        </w:rPr>
        <w:t>Second, Mr. Mullins does not address why such an analysis should be limited to the Ardmore substation and not all substations serving Schedule 40 customers.</w:t>
      </w:r>
      <w:r w:rsidR="00902913">
        <w:rPr>
          <w:rFonts w:eastAsia="SimSun"/>
        </w:rPr>
        <w:t xml:space="preserve"> </w:t>
      </w:r>
      <w:r w:rsidR="001B57ED">
        <w:rPr>
          <w:rFonts w:eastAsia="SimSun"/>
        </w:rPr>
        <w:t>It would seem arbitrary, capricious and probably discriminatory to hold out special treatment for one substation for one custom</w:t>
      </w:r>
      <w:r w:rsidR="00C9020D">
        <w:rPr>
          <w:rFonts w:eastAsia="SimSun"/>
        </w:rPr>
        <w:t>er, while not also applying the same</w:t>
      </w:r>
      <w:r w:rsidR="001B57ED">
        <w:rPr>
          <w:rFonts w:eastAsia="SimSun"/>
        </w:rPr>
        <w:t xml:space="preserve"> standard to all substations and all customers served under the same schedule.</w:t>
      </w:r>
      <w:r w:rsidR="00902913">
        <w:rPr>
          <w:rFonts w:eastAsia="SimSun"/>
        </w:rPr>
        <w:t xml:space="preserve"> </w:t>
      </w:r>
      <w:r w:rsidR="00920D15">
        <w:rPr>
          <w:rFonts w:eastAsia="SimSun"/>
        </w:rPr>
        <w:t xml:space="preserve">Third, </w:t>
      </w:r>
      <w:r w:rsidR="0038469F">
        <w:rPr>
          <w:rFonts w:eastAsia="SimSun"/>
        </w:rPr>
        <w:t xml:space="preserve">I disagree with </w:t>
      </w:r>
      <w:r w:rsidR="00920D15">
        <w:rPr>
          <w:rFonts w:eastAsia="SimSun"/>
        </w:rPr>
        <w:t>Mr. Mullin</w:t>
      </w:r>
      <w:r w:rsidR="00C9020D">
        <w:rPr>
          <w:rFonts w:eastAsia="SimSun"/>
        </w:rPr>
        <w:t>s’ recommendation</w:t>
      </w:r>
      <w:r w:rsidR="0038469F">
        <w:rPr>
          <w:rFonts w:eastAsia="SimSun"/>
        </w:rPr>
        <w:t xml:space="preserve"> that the percentage of Ardmore </w:t>
      </w:r>
      <w:r w:rsidR="005245A9">
        <w:rPr>
          <w:rFonts w:eastAsia="SimSun"/>
        </w:rPr>
        <w:t xml:space="preserve">substation </w:t>
      </w:r>
      <w:r w:rsidR="0038469F">
        <w:rPr>
          <w:rFonts w:eastAsia="SimSun"/>
        </w:rPr>
        <w:t>costs allocated to one customer</w:t>
      </w:r>
      <w:r w:rsidR="00C9020D">
        <w:rPr>
          <w:rFonts w:eastAsia="SimSun"/>
        </w:rPr>
        <w:t xml:space="preserve"> should</w:t>
      </w:r>
      <w:r w:rsidR="0038469F">
        <w:rPr>
          <w:rFonts w:eastAsia="SimSun"/>
        </w:rPr>
        <w:t xml:space="preserve"> not exceed the percentage that was allocated to this customer for the Interlaken </w:t>
      </w:r>
      <w:r w:rsidR="005245A9">
        <w:rPr>
          <w:rFonts w:eastAsia="SimSun"/>
        </w:rPr>
        <w:t>substation</w:t>
      </w:r>
      <w:r w:rsidR="0038469F">
        <w:rPr>
          <w:rFonts w:eastAsia="SimSun"/>
        </w:rPr>
        <w:t>.</w:t>
      </w:r>
      <w:r w:rsidR="00902913">
        <w:rPr>
          <w:rFonts w:eastAsia="SimSun"/>
        </w:rPr>
        <w:t xml:space="preserve"> </w:t>
      </w:r>
      <w:r w:rsidR="0038469F">
        <w:rPr>
          <w:rFonts w:eastAsia="SimSun"/>
        </w:rPr>
        <w:t>His comparison is inapt.</w:t>
      </w:r>
      <w:r w:rsidR="00902913">
        <w:rPr>
          <w:rFonts w:eastAsia="SimSun"/>
        </w:rPr>
        <w:t xml:space="preserve"> </w:t>
      </w:r>
      <w:r w:rsidR="0038469F">
        <w:rPr>
          <w:rFonts w:eastAsia="SimSun"/>
        </w:rPr>
        <w:t xml:space="preserve">These are completely different time periods, with different customer mixes and </w:t>
      </w:r>
      <w:r w:rsidR="00C9020D">
        <w:rPr>
          <w:rFonts w:eastAsia="SimSun"/>
        </w:rPr>
        <w:t xml:space="preserve">different </w:t>
      </w:r>
      <w:r w:rsidR="0038469F">
        <w:rPr>
          <w:rFonts w:eastAsia="SimSun"/>
        </w:rPr>
        <w:t>loads.</w:t>
      </w:r>
      <w:r w:rsidR="00902913">
        <w:rPr>
          <w:rFonts w:eastAsia="SimSun"/>
        </w:rPr>
        <w:t xml:space="preserve"> </w:t>
      </w:r>
      <w:r w:rsidR="0038469F">
        <w:rPr>
          <w:rFonts w:eastAsia="SimSun"/>
        </w:rPr>
        <w:t>Current costs should be allocated on current load</w:t>
      </w:r>
      <w:r w:rsidR="00B2552A">
        <w:rPr>
          <w:rFonts w:eastAsia="SimSun"/>
        </w:rPr>
        <w:t>,</w:t>
      </w:r>
      <w:r w:rsidR="005245A9">
        <w:rPr>
          <w:rFonts w:eastAsia="SimSun"/>
        </w:rPr>
        <w:t xml:space="preserve"> the</w:t>
      </w:r>
      <w:r w:rsidR="00CB2F2A">
        <w:rPr>
          <w:rFonts w:eastAsia="SimSun"/>
        </w:rPr>
        <w:t>y</w:t>
      </w:r>
      <w:r w:rsidR="005245A9">
        <w:rPr>
          <w:rFonts w:eastAsia="SimSun"/>
        </w:rPr>
        <w:t xml:space="preserve"> should </w:t>
      </w:r>
      <w:r w:rsidR="0038469F">
        <w:rPr>
          <w:rFonts w:eastAsia="SimSun"/>
        </w:rPr>
        <w:t xml:space="preserve">not be artificially limited by results from a rate case that concluded five years ago. </w:t>
      </w:r>
      <w:r w:rsidR="001B57ED">
        <w:rPr>
          <w:rFonts w:eastAsia="SimSun"/>
        </w:rPr>
        <w:t xml:space="preserve">Finally, </w:t>
      </w:r>
      <w:r w:rsidR="00B06438" w:rsidRPr="00B06438">
        <w:rPr>
          <w:rFonts w:eastAsia="SimSun"/>
          <w:highlight w:val="lightGray"/>
        </w:rPr>
        <w:t>██████████████████</w:t>
      </w:r>
      <w:r w:rsidR="00B06438">
        <w:rPr>
          <w:rFonts w:eastAsia="SimSun"/>
          <w:highlight w:val="lightGray"/>
        </w:rPr>
        <w:t>█████</w:t>
      </w:r>
      <w:r w:rsidR="001B57ED" w:rsidRPr="001B57ED">
        <w:rPr>
          <w:rFonts w:eastAsia="SimSun"/>
          <w:highlight w:val="lightGray"/>
        </w:rPr>
        <w:t xml:space="preserve"> </w:t>
      </w:r>
      <w:r w:rsidR="00B06438" w:rsidRPr="00B06438">
        <w:rPr>
          <w:rFonts w:eastAsia="SimSun"/>
          <w:highlight w:val="lightGray"/>
        </w:rPr>
        <w:t>████████████████████████████████████</w:t>
      </w:r>
      <w:r w:rsidR="00B06438">
        <w:rPr>
          <w:rFonts w:eastAsia="SimSun"/>
          <w:highlight w:val="lightGray"/>
        </w:rPr>
        <w:t xml:space="preserve">████████ </w:t>
      </w:r>
      <w:r w:rsidR="00B06438" w:rsidRPr="00B06438">
        <w:rPr>
          <w:rFonts w:eastAsia="SimSun"/>
          <w:highlight w:val="lightGray"/>
        </w:rPr>
        <w:t>█████████████████████████████████████████████████████████████████████████████████████████</w:t>
      </w:r>
      <w:r w:rsidR="00B06438">
        <w:rPr>
          <w:rFonts w:eastAsia="SimSun"/>
          <w:highlight w:val="lightGray"/>
        </w:rPr>
        <w:t xml:space="preserve">█ </w:t>
      </w:r>
      <w:r w:rsidR="00B06438" w:rsidRPr="00B06438">
        <w:rPr>
          <w:rFonts w:eastAsia="SimSun"/>
          <w:highlight w:val="lightGray"/>
        </w:rPr>
        <w:t>██████████████████████████████████████████████████████████████████████████████████████████████████████</w:t>
      </w:r>
      <w:r w:rsidR="00985554">
        <w:rPr>
          <w:rFonts w:eastAsia="SimSun"/>
        </w:rPr>
        <w:t>.</w:t>
      </w:r>
      <w:bookmarkStart w:id="39" w:name="_GoBack"/>
      <w:bookmarkEnd w:id="39"/>
    </w:p>
    <w:p w:rsidR="007B08A2" w:rsidRPr="009075DC" w:rsidRDefault="007B08A2" w:rsidP="007B08A2">
      <w:pPr>
        <w:pStyle w:val="question"/>
      </w:pPr>
      <w:r w:rsidRPr="009075DC">
        <w:t>Q.</w:t>
      </w:r>
      <w:r w:rsidRPr="009075DC">
        <w:tab/>
      </w:r>
      <w:r w:rsidR="00983EB4">
        <w:t xml:space="preserve">What do you recommend regarding ICNU’s proposed changes to the </w:t>
      </w:r>
      <w:r w:rsidR="0038469F">
        <w:t xml:space="preserve">allocation of </w:t>
      </w:r>
      <w:r w:rsidR="00983EB4">
        <w:t xml:space="preserve">Ardmore </w:t>
      </w:r>
      <w:r w:rsidR="005245A9">
        <w:t xml:space="preserve">substation </w:t>
      </w:r>
      <w:r w:rsidR="0038469F">
        <w:t>costs</w:t>
      </w:r>
      <w:r w:rsidRPr="009075DC">
        <w:t>?</w:t>
      </w:r>
    </w:p>
    <w:p w:rsidR="007B08A2" w:rsidRDefault="007B08A2" w:rsidP="007B08A2">
      <w:pPr>
        <w:pStyle w:val="answer"/>
      </w:pPr>
      <w:r w:rsidRPr="009075DC">
        <w:rPr>
          <w:rFonts w:eastAsia="SimSun"/>
        </w:rPr>
        <w:t>A.</w:t>
      </w:r>
      <w:r w:rsidRPr="009075DC">
        <w:rPr>
          <w:rFonts w:eastAsia="SimSun"/>
        </w:rPr>
        <w:tab/>
      </w:r>
      <w:r w:rsidR="0038469F">
        <w:rPr>
          <w:rFonts w:eastAsia="SimSun"/>
        </w:rPr>
        <w:t xml:space="preserve">For the foregoing reasons, </w:t>
      </w:r>
      <w:r w:rsidR="00983EB4">
        <w:rPr>
          <w:rFonts w:eastAsia="SimSun"/>
        </w:rPr>
        <w:t xml:space="preserve">PSE recommends that the Commission reject ICNU’s proposed changes to the allocation of Ardmore </w:t>
      </w:r>
      <w:r w:rsidR="005245A9">
        <w:rPr>
          <w:rFonts w:eastAsia="SimSun"/>
        </w:rPr>
        <w:t xml:space="preserve">substation </w:t>
      </w:r>
      <w:r w:rsidR="00983EB4">
        <w:rPr>
          <w:rFonts w:eastAsia="SimSun"/>
        </w:rPr>
        <w:t>costs to customers served under Schedule 40.</w:t>
      </w:r>
    </w:p>
    <w:p w:rsidR="002F19A0" w:rsidRPr="009075DC" w:rsidRDefault="002F19A0" w:rsidP="00A15B24">
      <w:pPr>
        <w:pStyle w:val="PleadingsL3"/>
        <w:rPr>
          <w:rFonts w:eastAsia="SimSun"/>
        </w:rPr>
      </w:pPr>
      <w:bookmarkStart w:id="40" w:name="_Toc489871488"/>
      <w:r>
        <w:rPr>
          <w:rFonts w:eastAsia="SimSun"/>
        </w:rPr>
        <w:t>Continuation of Schedule 40</w:t>
      </w:r>
      <w:bookmarkEnd w:id="40"/>
    </w:p>
    <w:p w:rsidR="002F19A0" w:rsidRPr="009075DC" w:rsidRDefault="002F19A0" w:rsidP="002F19A0">
      <w:pPr>
        <w:pStyle w:val="question"/>
      </w:pPr>
      <w:r>
        <w:t>Q</w:t>
      </w:r>
      <w:r w:rsidRPr="009075DC">
        <w:t>.</w:t>
      </w:r>
      <w:r w:rsidRPr="009075DC">
        <w:tab/>
      </w:r>
      <w:r>
        <w:t xml:space="preserve">Please summarize the </w:t>
      </w:r>
      <w:r w:rsidR="00A77F37">
        <w:t xml:space="preserve">Staff’s </w:t>
      </w:r>
      <w:r>
        <w:t xml:space="preserve">proposal for </w:t>
      </w:r>
      <w:r w:rsidR="00A77F37">
        <w:t xml:space="preserve">elimination of </w:t>
      </w:r>
      <w:r>
        <w:t>Schedules 40.</w:t>
      </w:r>
    </w:p>
    <w:p w:rsidR="002F19A0" w:rsidRDefault="00A95B38" w:rsidP="002F19A0">
      <w:pPr>
        <w:pStyle w:val="answer"/>
      </w:pPr>
      <w:r w:rsidRPr="00A07998">
        <w:rPr>
          <w:noProof/>
          <w:lang w:eastAsia="en-US"/>
        </w:rPr>
        <mc:AlternateContent>
          <mc:Choice Requires="wpg">
            <w:drawing>
              <wp:anchor distT="0" distB="0" distL="114300" distR="114300" simplePos="0" relativeHeight="251663360" behindDoc="0" locked="0" layoutInCell="1" allowOverlap="1" wp14:anchorId="56F2ACA2" wp14:editId="36D5AB9A">
                <wp:simplePos x="0" y="0"/>
                <wp:positionH relativeFrom="column">
                  <wp:posOffset>1991193</wp:posOffset>
                </wp:positionH>
                <wp:positionV relativeFrom="paragraph">
                  <wp:posOffset>2165622</wp:posOffset>
                </wp:positionV>
                <wp:extent cx="2691765" cy="459698"/>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1765" cy="459698"/>
                          <a:chOff x="4220" y="11248"/>
                          <a:chExt cx="3856" cy="1255"/>
                        </a:xfrm>
                      </wpg:grpSpPr>
                      <wps:wsp>
                        <wps:cNvPr id="10" name="Text Box 6"/>
                        <wps:cNvSpPr txBox="1">
                          <a:spLocks noChangeArrowheads="1"/>
                        </wps:cNvSpPr>
                        <wps:spPr bwMode="auto">
                          <a:xfrm>
                            <a:off x="4436" y="11873"/>
                            <a:ext cx="3640" cy="63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7D3A" w:rsidRDefault="009B7D3A" w:rsidP="00A95B38">
                              <w:pPr>
                                <w:pStyle w:val="plain"/>
                                <w:jc w:val="center"/>
                              </w:pPr>
                            </w:p>
                          </w:txbxContent>
                        </wps:txbx>
                        <wps:bodyPr rot="0" vert="horz" wrap="square" lIns="91440" tIns="91440" rIns="91440" bIns="91440" anchor="t" anchorCtr="0" upright="1">
                          <a:noAutofit/>
                        </wps:bodyPr>
                      </wps:wsp>
                      <wps:wsp>
                        <wps:cNvPr id="11" name="Text Box 7"/>
                        <wps:cNvSpPr txBox="1">
                          <a:spLocks noChangeArrowheads="1"/>
                        </wps:cNvSpPr>
                        <wps:spPr bwMode="auto">
                          <a:xfrm>
                            <a:off x="4220" y="11248"/>
                            <a:ext cx="3756" cy="1188"/>
                          </a:xfrm>
                          <a:prstGeom prst="rect">
                            <a:avLst/>
                          </a:prstGeom>
                          <a:solidFill>
                            <a:srgbClr val="FFFFFF"/>
                          </a:solidFill>
                          <a:ln w="19050">
                            <a:solidFill>
                              <a:srgbClr val="000000"/>
                            </a:solidFill>
                            <a:miter lim="800000"/>
                            <a:headEnd/>
                            <a:tailEnd/>
                          </a:ln>
                        </wps:spPr>
                        <wps:txbx>
                          <w:txbxContent>
                            <w:p w:rsidR="009B7D3A" w:rsidRPr="00EB6972" w:rsidRDefault="001823F3" w:rsidP="00A95B38">
                              <w:pPr>
                                <w:pStyle w:val="plain"/>
                                <w:jc w:val="center"/>
                                <w:rPr>
                                  <w:b/>
                                  <w:smallCaps/>
                                  <w:snapToGrid w:val="0"/>
                                  <w:sz w:val="20"/>
                                  <w:lang w:val="x-none" w:eastAsia="en-US"/>
                                </w:rPr>
                              </w:pPr>
                              <w:r>
                                <w:rPr>
                                  <w:b/>
                                  <w:smallCaps/>
                                  <w:snapToGrid w:val="0"/>
                                  <w:sz w:val="20"/>
                                  <w:lang w:eastAsia="en-US"/>
                                </w:rPr>
                                <w:t>Redacted Version</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32" style="position:absolute;left:0;text-align:left;margin-left:156.8pt;margin-top:170.5pt;width:211.95pt;height:36.2pt;z-index:251663360" coordorigin="4220,11248" coordsize="3856,1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">
                <v:shape id="Text Box 6" o:spid="_x0000_s1033" type="#_x0000_t202" style="position:absolute;left:4436;top:11873;width:364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cF4cQA&#10;AADbAAAADwAAAGRycy9kb3ducmV2LnhtbESPQWvCQBCF7wX/wzKCt7qxiEjqKkUo1FurYnscspNN&#10;MDsbsmuM/vrOQfA2w3vz3jerzeAb1VMX68AGZtMMFHERbM3OwPHw+boEFROyxSYwGbhRhM169LLC&#10;3IYr/1C/T05JCMccDVQptbnWsajIY5yGlli0MnQek6yd07bDq4T7Rr9l2UJ7rFkaKmxpW1Fx3l+8&#10;gV+32DXfy7Mt53/308xd+n67K42ZjIePd1CJhvQ0P66/rOALvfwiA+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nBeHEAAAA2wAAAA8AAAAAAAAAAAAAAAAAmAIAAGRycy9k&#10;b3ducmV2LnhtbFBLBQYAAAAABAAEAPUAAACJAwAAAAA=&#10;" fillcolor="gray" stroked="f">
                  <v:textbox inset=",7.2pt,,7.2pt">
                    <w:txbxContent>
                      <w:p w:rsidR="009B7D3A" w:rsidRDefault="009B7D3A" w:rsidP="00A95B38">
                        <w:pPr>
                          <w:pStyle w:val="plain"/>
                          <w:jc w:val="center"/>
                        </w:pPr>
                      </w:p>
                    </w:txbxContent>
                  </v:textbox>
                </v:shape>
                <v:shape id="Text Box 7" o:spid="_x0000_s1034" type="#_x0000_t202" style="position:absolute;left:4220;top:11248;width:3756;height:1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hpOMIA&#10;AADbAAAADwAAAGRycy9kb3ducmV2LnhtbESPQYvCMBCF7wv+hzCCl0VTXbZINcpSEMTLYpWeh2Zs&#10;i82kNllb/70RhL19w7x57816O5hG3KlztWUF81kEgriwuuZSwfm0my5BOI+ssbFMCh7kYLsZfawx&#10;0bbnI90zX4pgwi5BBZX3bSKlKyoy6Ga2JQ67i+0M+jB2pdQd9sHcNHIRRbE0WHNIqLCltKLimv0Z&#10;BekhD3i8/eb5V/MdH7I+/UxLpSbj4WcFwtPg/8Xv670O9efw+iUA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2Gk4wgAAANsAAAAPAAAAAAAAAAAAAAAAAJgCAABkcnMvZG93&#10;bnJldi54bWxQSwUGAAAAAAQABAD1AAAAhwMAAAAA&#10;" strokeweight="1.5pt">
                  <v:textbox inset=",7.2pt,,7.2pt">
                    <w:txbxContent>
                      <w:p w:rsidR="009B7D3A" w:rsidRPr="00EB6972" w:rsidRDefault="001823F3" w:rsidP="00A95B38">
                        <w:pPr>
                          <w:pStyle w:val="plain"/>
                          <w:jc w:val="center"/>
                          <w:rPr>
                            <w:b/>
                            <w:smallCaps/>
                            <w:snapToGrid w:val="0"/>
                            <w:sz w:val="20"/>
                            <w:lang w:val="x-none" w:eastAsia="en-US"/>
                          </w:rPr>
                        </w:pPr>
                        <w:r>
                          <w:rPr>
                            <w:b/>
                            <w:smallCaps/>
                            <w:snapToGrid w:val="0"/>
                            <w:sz w:val="20"/>
                            <w:lang w:eastAsia="en-US"/>
                          </w:rPr>
                          <w:t>Redacted Version</w:t>
                        </w:r>
                      </w:p>
                    </w:txbxContent>
                  </v:textbox>
                </v:shape>
              </v:group>
            </w:pict>
          </mc:Fallback>
        </mc:AlternateContent>
      </w:r>
      <w:r w:rsidR="002F19A0" w:rsidRPr="009075DC">
        <w:rPr>
          <w:rFonts w:eastAsia="SimSun"/>
        </w:rPr>
        <w:t>A.</w:t>
      </w:r>
      <w:r w:rsidR="002F19A0" w:rsidRPr="009075DC">
        <w:rPr>
          <w:rFonts w:eastAsia="SimSun"/>
        </w:rPr>
        <w:tab/>
      </w:r>
      <w:r w:rsidR="00A77F37">
        <w:rPr>
          <w:rFonts w:eastAsia="SimSun"/>
        </w:rPr>
        <w:t xml:space="preserve">Staff witness Jason Ball proposes to close Schedule 40 to new customers and, over a 12 month period, return existing customers to </w:t>
      </w:r>
      <w:r w:rsidR="008B4497">
        <w:rPr>
          <w:rFonts w:eastAsia="SimSun"/>
        </w:rPr>
        <w:t xml:space="preserve">an </w:t>
      </w:r>
      <w:r w:rsidR="00A77F37">
        <w:rPr>
          <w:rFonts w:eastAsia="SimSun"/>
        </w:rPr>
        <w:t>otherwise applicable rate schedule or a special contract</w:t>
      </w:r>
      <w:r w:rsidR="002F19A0">
        <w:rPr>
          <w:rFonts w:eastAsia="SimSun"/>
        </w:rPr>
        <w:t>.</w:t>
      </w:r>
      <w:r w:rsidR="00902913">
        <w:rPr>
          <w:rFonts w:eastAsia="SimSun"/>
        </w:rPr>
        <w:t xml:space="preserve"> </w:t>
      </w:r>
      <w:r w:rsidR="00A77F37">
        <w:rPr>
          <w:rFonts w:eastAsia="SimSun"/>
        </w:rPr>
        <w:t>Once all customers are removed from Schedule 40, PSE would</w:t>
      </w:r>
      <w:r w:rsidR="00B2552A">
        <w:rPr>
          <w:rFonts w:eastAsia="SimSun"/>
        </w:rPr>
        <w:t xml:space="preserve"> be required to</w:t>
      </w:r>
      <w:r w:rsidR="00A77F37">
        <w:rPr>
          <w:rFonts w:eastAsia="SimSun"/>
        </w:rPr>
        <w:t xml:space="preserve"> file to eliminate this schedule.</w:t>
      </w:r>
      <w:r w:rsidR="009633F7">
        <w:rPr>
          <w:rStyle w:val="FootnoteReference"/>
          <w:rFonts w:eastAsia="SimSun"/>
        </w:rPr>
        <w:footnoteReference w:id="107"/>
      </w:r>
    </w:p>
    <w:p w:rsidR="004C2212" w:rsidRDefault="004C2212" w:rsidP="002F19A0">
      <w:pPr>
        <w:pStyle w:val="question"/>
      </w:pPr>
      <w:r>
        <w:t>Q.</w:t>
      </w:r>
      <w:r>
        <w:tab/>
        <w:t>What is the basis for Staff’s recommendation?</w:t>
      </w:r>
    </w:p>
    <w:p w:rsidR="004C2212" w:rsidRPr="004C2212" w:rsidRDefault="004C2212" w:rsidP="002F19A0">
      <w:pPr>
        <w:pStyle w:val="question"/>
        <w:rPr>
          <w:b w:val="0"/>
        </w:rPr>
      </w:pPr>
      <w:r w:rsidRPr="004C2212">
        <w:rPr>
          <w:b w:val="0"/>
        </w:rPr>
        <w:t>A.</w:t>
      </w:r>
      <w:r w:rsidRPr="004C2212">
        <w:rPr>
          <w:b w:val="0"/>
        </w:rPr>
        <w:tab/>
      </w:r>
      <w:r>
        <w:rPr>
          <w:b w:val="0"/>
        </w:rPr>
        <w:t xml:space="preserve">Staff considers this schedule too complicated, </w:t>
      </w:r>
      <w:r w:rsidR="00C9020D">
        <w:rPr>
          <w:b w:val="0"/>
        </w:rPr>
        <w:t xml:space="preserve">as </w:t>
      </w:r>
      <w:r>
        <w:rPr>
          <w:b w:val="0"/>
        </w:rPr>
        <w:t>not appropriate</w:t>
      </w:r>
      <w:r w:rsidR="00C9020D">
        <w:rPr>
          <w:b w:val="0"/>
        </w:rPr>
        <w:t>ly</w:t>
      </w:r>
      <w:r>
        <w:rPr>
          <w:b w:val="0"/>
        </w:rPr>
        <w:t xml:space="preserve"> reflect</w:t>
      </w:r>
      <w:r w:rsidR="00C9020D">
        <w:rPr>
          <w:b w:val="0"/>
        </w:rPr>
        <w:t>ing</w:t>
      </w:r>
      <w:r>
        <w:rPr>
          <w:b w:val="0"/>
        </w:rPr>
        <w:t xml:space="preserve"> the cost of providing service under the schedule, and </w:t>
      </w:r>
      <w:r w:rsidR="00C9020D">
        <w:rPr>
          <w:b w:val="0"/>
        </w:rPr>
        <w:t xml:space="preserve">believes that </w:t>
      </w:r>
      <w:r>
        <w:rPr>
          <w:b w:val="0"/>
        </w:rPr>
        <w:t>similar service could be received through other schedules, namely Schedules 26 and 31.</w:t>
      </w:r>
      <w:r>
        <w:rPr>
          <w:rStyle w:val="FootnoteReference"/>
          <w:b w:val="0"/>
        </w:rPr>
        <w:footnoteReference w:id="108"/>
      </w:r>
    </w:p>
    <w:p w:rsidR="002F19A0" w:rsidRPr="009075DC" w:rsidRDefault="002F19A0" w:rsidP="002F19A0">
      <w:pPr>
        <w:pStyle w:val="question"/>
      </w:pPr>
      <w:r w:rsidRPr="009075DC">
        <w:t>Q.</w:t>
      </w:r>
      <w:r w:rsidRPr="009075DC">
        <w:tab/>
      </w:r>
      <w:r w:rsidR="00A53213">
        <w:t>Do you share Staff’s concerns regarding Schedule 40</w:t>
      </w:r>
      <w:r w:rsidRPr="009075DC">
        <w:t>?</w:t>
      </w:r>
    </w:p>
    <w:p w:rsidR="002F19A0" w:rsidRDefault="002F19A0" w:rsidP="002F19A0">
      <w:pPr>
        <w:pStyle w:val="answer"/>
        <w:rPr>
          <w:rFonts w:eastAsia="SimSun"/>
        </w:rPr>
      </w:pPr>
      <w:r w:rsidRPr="009075DC">
        <w:rPr>
          <w:rFonts w:eastAsia="SimSun"/>
        </w:rPr>
        <w:t>A.</w:t>
      </w:r>
      <w:r w:rsidRPr="009075DC">
        <w:rPr>
          <w:rFonts w:eastAsia="SimSun"/>
        </w:rPr>
        <w:tab/>
      </w:r>
      <w:r w:rsidR="00A53213">
        <w:rPr>
          <w:rFonts w:eastAsia="SimSun"/>
        </w:rPr>
        <w:t>Not to the extent experienced by Staff.</w:t>
      </w:r>
      <w:r w:rsidR="00902913">
        <w:rPr>
          <w:rFonts w:eastAsia="SimSun"/>
        </w:rPr>
        <w:t xml:space="preserve"> </w:t>
      </w:r>
      <w:r w:rsidR="00A53213">
        <w:rPr>
          <w:rFonts w:eastAsia="SimSun"/>
        </w:rPr>
        <w:t>PSE readily admits that this is a challenging schedule to administer.</w:t>
      </w:r>
      <w:r w:rsidR="00902913">
        <w:rPr>
          <w:rFonts w:eastAsia="SimSun"/>
        </w:rPr>
        <w:t xml:space="preserve"> </w:t>
      </w:r>
      <w:r w:rsidR="00A53213">
        <w:rPr>
          <w:rFonts w:eastAsia="SimSun"/>
        </w:rPr>
        <w:t xml:space="preserve">It is more complicated than many of </w:t>
      </w:r>
      <w:r w:rsidR="00C9020D">
        <w:rPr>
          <w:rFonts w:eastAsia="SimSun"/>
        </w:rPr>
        <w:t>PSE’s</w:t>
      </w:r>
      <w:r w:rsidR="00A53213">
        <w:rPr>
          <w:rFonts w:eastAsia="SimSun"/>
        </w:rPr>
        <w:t xml:space="preserve"> other rate schedules.</w:t>
      </w:r>
      <w:r w:rsidR="00902913">
        <w:rPr>
          <w:rFonts w:eastAsia="SimSun"/>
        </w:rPr>
        <w:t xml:space="preserve"> </w:t>
      </w:r>
      <w:r w:rsidR="00A53213">
        <w:rPr>
          <w:rFonts w:eastAsia="SimSun"/>
        </w:rPr>
        <w:t>PSE also acknowledges that certain components of the schedule</w:t>
      </w:r>
      <w:r w:rsidR="008B4497">
        <w:rPr>
          <w:rFonts w:eastAsia="SimSun"/>
        </w:rPr>
        <w:t>’</w:t>
      </w:r>
      <w:r w:rsidR="00A53213">
        <w:rPr>
          <w:rFonts w:eastAsia="SimSun"/>
        </w:rPr>
        <w:t>s rate design, specifically those that currently tie to other rate schedules, could be more tailored for Schedule 40.</w:t>
      </w:r>
      <w:r w:rsidR="00902913">
        <w:rPr>
          <w:rFonts w:eastAsia="SimSun"/>
        </w:rPr>
        <w:t xml:space="preserve"> </w:t>
      </w:r>
      <w:r w:rsidR="00A53213">
        <w:rPr>
          <w:rFonts w:eastAsia="SimSun"/>
        </w:rPr>
        <w:t>However, PSE continues to believe that the nature of the service provided under this schedule is unique enough to justify its continuation</w:t>
      </w:r>
      <w:r>
        <w:rPr>
          <w:rFonts w:eastAsia="SimSun"/>
        </w:rPr>
        <w:t>.</w:t>
      </w:r>
    </w:p>
    <w:p w:rsidR="00A53213" w:rsidRPr="00095B1C" w:rsidRDefault="00A53213" w:rsidP="00EC52CB">
      <w:pPr>
        <w:pStyle w:val="question"/>
      </w:pPr>
      <w:r w:rsidRPr="00095B1C">
        <w:t>Q.</w:t>
      </w:r>
      <w:r w:rsidRPr="00095B1C">
        <w:tab/>
        <w:t>How is service under Schedule 40 different from other schedules?</w:t>
      </w:r>
    </w:p>
    <w:p w:rsidR="00095B1C" w:rsidRDefault="00A53213" w:rsidP="002F19A0">
      <w:pPr>
        <w:pStyle w:val="answer"/>
        <w:rPr>
          <w:rFonts w:eastAsia="SimSun"/>
        </w:rPr>
      </w:pPr>
      <w:r>
        <w:rPr>
          <w:rFonts w:eastAsia="SimSun"/>
        </w:rPr>
        <w:t>A.</w:t>
      </w:r>
      <w:r>
        <w:rPr>
          <w:rFonts w:eastAsia="SimSun"/>
        </w:rPr>
        <w:tab/>
        <w:t>Schedule 40 was specifically developed to serve customers that have loads in close proximity to one another, close enough that they could loosely be considered a single load, particularly in terms of the power and transmission services provided.</w:t>
      </w:r>
      <w:r w:rsidR="00902913">
        <w:rPr>
          <w:rFonts w:eastAsia="SimSun"/>
        </w:rPr>
        <w:t xml:space="preserve"> </w:t>
      </w:r>
      <w:r w:rsidR="00095B1C">
        <w:rPr>
          <w:rFonts w:eastAsia="SimSun"/>
        </w:rPr>
        <w:t>These large, concentrated load centers do not quite fit the mold of a</w:t>
      </w:r>
      <w:r w:rsidR="00C9020D">
        <w:rPr>
          <w:rFonts w:eastAsia="SimSun"/>
        </w:rPr>
        <w:t xml:space="preserve"> large</w:t>
      </w:r>
      <w:r w:rsidR="00095B1C">
        <w:rPr>
          <w:rFonts w:eastAsia="SimSun"/>
        </w:rPr>
        <w:t xml:space="preserve"> single</w:t>
      </w:r>
      <w:r w:rsidR="00C9020D">
        <w:rPr>
          <w:rFonts w:eastAsia="SimSun"/>
        </w:rPr>
        <w:t>-site served under Schedule 49.</w:t>
      </w:r>
      <w:r w:rsidR="00902913">
        <w:rPr>
          <w:rFonts w:eastAsia="SimSun"/>
        </w:rPr>
        <w:t xml:space="preserve"> </w:t>
      </w:r>
      <w:r w:rsidR="00C9020D">
        <w:rPr>
          <w:rFonts w:eastAsia="SimSun"/>
        </w:rPr>
        <w:t xml:space="preserve">They also do not fit </w:t>
      </w:r>
      <w:r w:rsidR="00095B1C">
        <w:rPr>
          <w:rFonts w:eastAsia="SimSun"/>
        </w:rPr>
        <w:t>the mold of a large corporation</w:t>
      </w:r>
      <w:r w:rsidR="00C9020D">
        <w:rPr>
          <w:rFonts w:eastAsia="SimSun"/>
        </w:rPr>
        <w:t>, for example,</w:t>
      </w:r>
      <w:r w:rsidR="00095B1C">
        <w:rPr>
          <w:rFonts w:eastAsia="SimSun"/>
        </w:rPr>
        <w:t xml:space="preserve"> that may have </w:t>
      </w:r>
      <w:r w:rsidR="00C9020D">
        <w:rPr>
          <w:rFonts w:eastAsia="SimSun"/>
        </w:rPr>
        <w:t xml:space="preserve">many smaller </w:t>
      </w:r>
      <w:r w:rsidR="00095B1C">
        <w:rPr>
          <w:rFonts w:eastAsia="SimSun"/>
        </w:rPr>
        <w:t>loads</w:t>
      </w:r>
      <w:r w:rsidR="00C9020D">
        <w:rPr>
          <w:rFonts w:eastAsia="SimSun"/>
        </w:rPr>
        <w:t xml:space="preserve"> (that are large in aggregate)</w:t>
      </w:r>
      <w:r w:rsidR="00095B1C">
        <w:rPr>
          <w:rFonts w:eastAsia="SimSun"/>
        </w:rPr>
        <w:t xml:space="preserve"> spread throughout the utilities service area, </w:t>
      </w:r>
      <w:r w:rsidR="008B4497">
        <w:rPr>
          <w:rFonts w:eastAsia="SimSun"/>
        </w:rPr>
        <w:t xml:space="preserve">which </w:t>
      </w:r>
      <w:r w:rsidR="00095B1C">
        <w:rPr>
          <w:rFonts w:eastAsia="SimSun"/>
        </w:rPr>
        <w:t>may be served under PSE’s Schedule 26.</w:t>
      </w:r>
      <w:r w:rsidR="00902913">
        <w:rPr>
          <w:rFonts w:eastAsia="SimSun"/>
        </w:rPr>
        <w:t xml:space="preserve"> </w:t>
      </w:r>
      <w:r w:rsidR="00095B1C">
        <w:rPr>
          <w:rFonts w:eastAsia="SimSun"/>
        </w:rPr>
        <w:t>Service under Schedule 40 really is unique.</w:t>
      </w:r>
    </w:p>
    <w:p w:rsidR="00095B1C" w:rsidRPr="00095B1C" w:rsidRDefault="00095B1C" w:rsidP="002F19A0">
      <w:pPr>
        <w:pStyle w:val="answer"/>
        <w:rPr>
          <w:rFonts w:eastAsia="SimSun"/>
          <w:b/>
        </w:rPr>
      </w:pPr>
      <w:r w:rsidRPr="00095B1C">
        <w:rPr>
          <w:rFonts w:eastAsia="SimSun"/>
          <w:b/>
        </w:rPr>
        <w:t>Q.</w:t>
      </w:r>
      <w:r w:rsidRPr="00095B1C">
        <w:rPr>
          <w:rFonts w:eastAsia="SimSun"/>
          <w:b/>
        </w:rPr>
        <w:tab/>
        <w:t>Is this unique nature of the service under Schedule 40 reflected in the design of its rates?</w:t>
      </w:r>
    </w:p>
    <w:p w:rsidR="00A53213" w:rsidRDefault="00095B1C" w:rsidP="002F19A0">
      <w:pPr>
        <w:pStyle w:val="answer"/>
        <w:rPr>
          <w:rFonts w:eastAsia="SimSun"/>
        </w:rPr>
      </w:pPr>
      <w:r>
        <w:rPr>
          <w:rFonts w:eastAsia="SimSun"/>
        </w:rPr>
        <w:t>A.</w:t>
      </w:r>
      <w:r>
        <w:rPr>
          <w:rFonts w:eastAsia="SimSun"/>
        </w:rPr>
        <w:tab/>
        <w:t>Yes.</w:t>
      </w:r>
      <w:r w:rsidR="00902913">
        <w:rPr>
          <w:rFonts w:eastAsia="SimSun"/>
        </w:rPr>
        <w:t xml:space="preserve"> </w:t>
      </w:r>
      <w:r w:rsidR="00A53213">
        <w:rPr>
          <w:rFonts w:eastAsia="SimSun"/>
        </w:rPr>
        <w:t xml:space="preserve">The design </w:t>
      </w:r>
      <w:r w:rsidR="00C9020D">
        <w:rPr>
          <w:rFonts w:eastAsia="SimSun"/>
        </w:rPr>
        <w:t>of Schedule 40 rates mirror</w:t>
      </w:r>
      <w:r w:rsidR="008B4497">
        <w:rPr>
          <w:rFonts w:eastAsia="SimSun"/>
        </w:rPr>
        <w:t>s</w:t>
      </w:r>
      <w:r w:rsidR="00C9020D">
        <w:rPr>
          <w:rFonts w:eastAsia="SimSun"/>
        </w:rPr>
        <w:t xml:space="preserve"> the</w:t>
      </w:r>
      <w:r w:rsidR="00A53213">
        <w:rPr>
          <w:rFonts w:eastAsia="SimSun"/>
        </w:rPr>
        <w:t xml:space="preserve"> </w:t>
      </w:r>
      <w:r>
        <w:rPr>
          <w:rFonts w:eastAsia="SimSun"/>
        </w:rPr>
        <w:t>nature of the service provided</w:t>
      </w:r>
      <w:r w:rsidR="00A53213">
        <w:rPr>
          <w:rFonts w:eastAsia="SimSun"/>
        </w:rPr>
        <w:t>, where customers served under this schedule are treated as a single load from the perspective of power and transmission service, as a “campus” from the perspective of distribution service and as individual locations from the perspective of customer-related services (e.g., metering, billing, etc.).</w:t>
      </w:r>
      <w:r w:rsidR="00902913">
        <w:rPr>
          <w:rFonts w:eastAsia="SimSun"/>
        </w:rPr>
        <w:t xml:space="preserve"> </w:t>
      </w:r>
      <w:r w:rsidR="00C9020D">
        <w:rPr>
          <w:rFonts w:eastAsia="SimSun"/>
        </w:rPr>
        <w:t>Not surprisingly, this</w:t>
      </w:r>
      <w:r>
        <w:rPr>
          <w:rFonts w:eastAsia="SimSun"/>
        </w:rPr>
        <w:t xml:space="preserve"> makes for a more complicated rate structure.</w:t>
      </w:r>
    </w:p>
    <w:p w:rsidR="00095B1C" w:rsidRPr="00C80252" w:rsidRDefault="00095B1C" w:rsidP="00EC52CB">
      <w:pPr>
        <w:pStyle w:val="question"/>
      </w:pPr>
      <w:r w:rsidRPr="00C80252">
        <w:t>Q.</w:t>
      </w:r>
      <w:r w:rsidRPr="00C80252">
        <w:tab/>
        <w:t>Does having a complicated rate structure justify its termination?</w:t>
      </w:r>
    </w:p>
    <w:p w:rsidR="00095B1C" w:rsidRDefault="00095B1C" w:rsidP="002F19A0">
      <w:pPr>
        <w:pStyle w:val="answer"/>
        <w:rPr>
          <w:rFonts w:eastAsia="SimSun"/>
        </w:rPr>
      </w:pPr>
      <w:r>
        <w:rPr>
          <w:rFonts w:eastAsia="SimSun"/>
        </w:rPr>
        <w:t>A.</w:t>
      </w:r>
      <w:r>
        <w:rPr>
          <w:rFonts w:eastAsia="SimSun"/>
        </w:rPr>
        <w:tab/>
        <w:t>I do not believe so.</w:t>
      </w:r>
      <w:r w:rsidR="00902913">
        <w:rPr>
          <w:rFonts w:eastAsia="SimSun"/>
        </w:rPr>
        <w:t xml:space="preserve"> </w:t>
      </w:r>
      <w:r>
        <w:rPr>
          <w:rFonts w:eastAsia="SimSun"/>
        </w:rPr>
        <w:t>While</w:t>
      </w:r>
      <w:r w:rsidR="00A95B38">
        <w:rPr>
          <w:rFonts w:eastAsia="SimSun"/>
        </w:rPr>
        <w:t xml:space="preserve"> I am</w:t>
      </w:r>
      <w:r>
        <w:rPr>
          <w:rFonts w:eastAsia="SimSun"/>
        </w:rPr>
        <w:t xml:space="preserve"> sympathetic to Staff’s frustration with the complexity of this schedule, it would seem an injustice, particularly to the customers currently served under this schedule, to terminate </w:t>
      </w:r>
      <w:r w:rsidR="00C80252">
        <w:rPr>
          <w:rFonts w:eastAsia="SimSun"/>
        </w:rPr>
        <w:t>it simply for this fact.</w:t>
      </w:r>
      <w:r w:rsidR="00902913">
        <w:rPr>
          <w:rFonts w:eastAsia="SimSun"/>
        </w:rPr>
        <w:t xml:space="preserve"> </w:t>
      </w:r>
      <w:r w:rsidR="00C80252">
        <w:rPr>
          <w:rFonts w:eastAsia="SimSun"/>
        </w:rPr>
        <w:t xml:space="preserve">As I noted earlier, there really is no schedule under which </w:t>
      </w:r>
      <w:r w:rsidR="00C9020D">
        <w:rPr>
          <w:rFonts w:eastAsia="SimSun"/>
        </w:rPr>
        <w:t xml:space="preserve">comparable </w:t>
      </w:r>
      <w:r w:rsidR="00C80252">
        <w:rPr>
          <w:rFonts w:eastAsia="SimSun"/>
        </w:rPr>
        <w:t>service could be taken. Moreover, I am concerned with the significant rate impacts of Staff’s proposal to the affected customers.</w:t>
      </w:r>
      <w:r w:rsidR="00C80252">
        <w:rPr>
          <w:rStyle w:val="FootnoteReference"/>
          <w:rFonts w:eastAsia="SimSun"/>
        </w:rPr>
        <w:footnoteReference w:id="109"/>
      </w:r>
      <w:r w:rsidR="00902913">
        <w:rPr>
          <w:rFonts w:eastAsia="SimSun"/>
        </w:rPr>
        <w:t xml:space="preserve"> </w:t>
      </w:r>
      <w:r w:rsidR="00C80252">
        <w:rPr>
          <w:rFonts w:eastAsia="SimSun"/>
        </w:rPr>
        <w:t>As such, I would recommend that the Commission reject Staff’s proposal to terminate this schedule.</w:t>
      </w:r>
    </w:p>
    <w:p w:rsidR="00C80252" w:rsidRPr="00C80252" w:rsidRDefault="00C80252" w:rsidP="00EC52CB">
      <w:pPr>
        <w:pStyle w:val="question"/>
      </w:pPr>
      <w:r w:rsidRPr="00C80252">
        <w:t>Q.</w:t>
      </w:r>
      <w:r w:rsidRPr="00C80252">
        <w:tab/>
      </w:r>
      <w:r w:rsidR="00855DAB">
        <w:t>Is PSE</w:t>
      </w:r>
      <w:r w:rsidRPr="00C80252">
        <w:t xml:space="preserve"> open to alternatives to Staff’s proposal regarding Schedule 40?</w:t>
      </w:r>
    </w:p>
    <w:p w:rsidR="005959EB" w:rsidRDefault="00C80252" w:rsidP="00B2552A">
      <w:pPr>
        <w:pStyle w:val="answer"/>
        <w:rPr>
          <w:rFonts w:eastAsia="SimSun"/>
        </w:rPr>
      </w:pPr>
      <w:r>
        <w:rPr>
          <w:rFonts w:eastAsia="SimSun"/>
        </w:rPr>
        <w:t>A.</w:t>
      </w:r>
      <w:r>
        <w:rPr>
          <w:rFonts w:eastAsia="SimSun"/>
        </w:rPr>
        <w:tab/>
        <w:t>Yes.</w:t>
      </w:r>
      <w:r w:rsidR="00902913">
        <w:rPr>
          <w:rFonts w:eastAsia="SimSun"/>
        </w:rPr>
        <w:t xml:space="preserve"> </w:t>
      </w:r>
      <w:r>
        <w:rPr>
          <w:rFonts w:eastAsia="SimSun"/>
        </w:rPr>
        <w:t>I believe there is room for improvement in the design and implementation of Schedule 40 that could address many of Staff’s concerns.</w:t>
      </w:r>
      <w:r w:rsidR="00902913">
        <w:rPr>
          <w:rFonts w:eastAsia="SimSun"/>
        </w:rPr>
        <w:t xml:space="preserve"> </w:t>
      </w:r>
      <w:r>
        <w:rPr>
          <w:rFonts w:eastAsia="SimSun"/>
        </w:rPr>
        <w:t xml:space="preserve">For example, </w:t>
      </w:r>
      <w:r w:rsidR="005959EB">
        <w:rPr>
          <w:rFonts w:eastAsia="SimSun"/>
        </w:rPr>
        <w:t xml:space="preserve">as a first step, </w:t>
      </w:r>
      <w:r>
        <w:rPr>
          <w:rFonts w:eastAsia="SimSun"/>
        </w:rPr>
        <w:t>PSE could work to develop basic and reactive charges that are unique to Schedule 40, rather than continuing the existing practice of tying these rates to other schedules.</w:t>
      </w:r>
      <w:r w:rsidR="00902913">
        <w:rPr>
          <w:rFonts w:eastAsia="SimSun"/>
        </w:rPr>
        <w:t xml:space="preserve"> </w:t>
      </w:r>
      <w:r>
        <w:rPr>
          <w:rFonts w:eastAsia="SimSun"/>
        </w:rPr>
        <w:t xml:space="preserve">As discussed earlier in connection with Public Counsel’s proposal, PSE is </w:t>
      </w:r>
      <w:r w:rsidR="005959EB">
        <w:rPr>
          <w:rFonts w:eastAsia="SimSun"/>
        </w:rPr>
        <w:t xml:space="preserve">already </w:t>
      </w:r>
      <w:r>
        <w:rPr>
          <w:rFonts w:eastAsia="SimSun"/>
        </w:rPr>
        <w:t>receptive to breaking the linkage in the power and transmission rates of Schedule 40 from Schedule 49, if properly done.</w:t>
      </w:r>
      <w:r w:rsidR="00902913">
        <w:rPr>
          <w:rFonts w:eastAsia="SimSun"/>
        </w:rPr>
        <w:t xml:space="preserve"> </w:t>
      </w:r>
      <w:r>
        <w:rPr>
          <w:rFonts w:eastAsia="SimSun"/>
        </w:rPr>
        <w:t>Finally, PSE is open to streamlining the calculations used to develop each campus’s distribution charges.</w:t>
      </w:r>
      <w:r w:rsidR="00902913">
        <w:rPr>
          <w:rFonts w:eastAsia="SimSun"/>
        </w:rPr>
        <w:t xml:space="preserve"> </w:t>
      </w:r>
      <w:r w:rsidR="005959EB">
        <w:rPr>
          <w:rFonts w:eastAsia="SimSun"/>
        </w:rPr>
        <w:t>One option could simply be to replace the highly customized campus-specific distribution charges with a more traditional allocation of distribution costs to each campus or the schedule as a whole.</w:t>
      </w:r>
      <w:r w:rsidR="00902913">
        <w:rPr>
          <w:rFonts w:eastAsia="SimSun"/>
        </w:rPr>
        <w:t xml:space="preserve"> </w:t>
      </w:r>
      <w:r w:rsidR="005959EB">
        <w:rPr>
          <w:rFonts w:eastAsia="SimSun"/>
        </w:rPr>
        <w:t>There may be other options that PSE would be willing to consider, although</w:t>
      </w:r>
      <w:r w:rsidR="00B2552A">
        <w:rPr>
          <w:rFonts w:eastAsia="SimSun"/>
        </w:rPr>
        <w:t xml:space="preserve"> all of</w:t>
      </w:r>
      <w:r w:rsidR="005959EB">
        <w:rPr>
          <w:rFonts w:eastAsia="SimSun"/>
        </w:rPr>
        <w:t xml:space="preserve"> this would likely require time and analysis that extend</w:t>
      </w:r>
      <w:r w:rsidR="00C9020D">
        <w:rPr>
          <w:rFonts w:eastAsia="SimSun"/>
        </w:rPr>
        <w:t xml:space="preserve"> well</w:t>
      </w:r>
      <w:r w:rsidR="005959EB">
        <w:rPr>
          <w:rFonts w:eastAsia="SimSun"/>
        </w:rPr>
        <w:t xml:space="preserve"> beyond the current case.</w:t>
      </w:r>
      <w:r w:rsidR="00902913">
        <w:rPr>
          <w:rFonts w:eastAsia="SimSun"/>
        </w:rPr>
        <w:t xml:space="preserve"> </w:t>
      </w:r>
    </w:p>
    <w:p w:rsidR="00B2552A" w:rsidRDefault="00B2552A" w:rsidP="00B2552A">
      <w:pPr>
        <w:pStyle w:val="answer"/>
        <w:rPr>
          <w:rFonts w:eastAsia="SimSun"/>
        </w:rPr>
      </w:pPr>
      <w:r>
        <w:rPr>
          <w:rFonts w:eastAsia="SimSun"/>
        </w:rPr>
        <w:tab/>
        <w:t>If the Commission were receptiv</w:t>
      </w:r>
      <w:r w:rsidR="00A95B38">
        <w:rPr>
          <w:rFonts w:eastAsia="SimSun"/>
        </w:rPr>
        <w:t>e to Staff’s proposal to close</w:t>
      </w:r>
      <w:r>
        <w:rPr>
          <w:rFonts w:eastAsia="SimSun"/>
        </w:rPr>
        <w:t xml:space="preserve"> Schedule 40, PSE would reluctantly accept closing this schedule to new customers.</w:t>
      </w:r>
      <w:r w:rsidR="00902913">
        <w:rPr>
          <w:rFonts w:eastAsia="SimSun"/>
        </w:rPr>
        <w:t xml:space="preserve"> </w:t>
      </w:r>
      <w:r>
        <w:rPr>
          <w:rFonts w:eastAsia="SimSun"/>
        </w:rPr>
        <w:t>While this would deprive other customer</w:t>
      </w:r>
      <w:r w:rsidR="004726FC">
        <w:rPr>
          <w:rFonts w:eastAsia="SimSun"/>
        </w:rPr>
        <w:t>s</w:t>
      </w:r>
      <w:r>
        <w:rPr>
          <w:rFonts w:eastAsia="SimSun"/>
        </w:rPr>
        <w:t xml:space="preserve"> from potentially taking service under this schedule, at least it would not harm customers that are currently taking service under this schedule.</w:t>
      </w:r>
      <w:r w:rsidR="00902913">
        <w:rPr>
          <w:rFonts w:eastAsia="SimSun"/>
        </w:rPr>
        <w:t xml:space="preserve"> </w:t>
      </w:r>
    </w:p>
    <w:p w:rsidR="005959EB" w:rsidRPr="005959EB" w:rsidRDefault="005959EB" w:rsidP="00EC52CB">
      <w:pPr>
        <w:pStyle w:val="question"/>
      </w:pPr>
      <w:r w:rsidRPr="005959EB">
        <w:t>Q.</w:t>
      </w:r>
      <w:r w:rsidRPr="005959EB">
        <w:tab/>
        <w:t>Do you have any other concerns with Staff’s proposal regarding Schedule 40?</w:t>
      </w:r>
    </w:p>
    <w:p w:rsidR="00C80252" w:rsidRDefault="005959EB" w:rsidP="005959EB">
      <w:pPr>
        <w:pStyle w:val="answer"/>
        <w:rPr>
          <w:rFonts w:eastAsia="SimSun"/>
        </w:rPr>
      </w:pPr>
      <w:r>
        <w:rPr>
          <w:rFonts w:eastAsia="SimSun"/>
        </w:rPr>
        <w:t>A.</w:t>
      </w:r>
      <w:r>
        <w:rPr>
          <w:rFonts w:eastAsia="SimSun"/>
        </w:rPr>
        <w:tab/>
        <w:t>Yes.</w:t>
      </w:r>
      <w:r w:rsidR="00902913">
        <w:rPr>
          <w:rFonts w:eastAsia="SimSun"/>
        </w:rPr>
        <w:t xml:space="preserve"> </w:t>
      </w:r>
      <w:r>
        <w:rPr>
          <w:rFonts w:eastAsia="SimSun"/>
        </w:rPr>
        <w:t>PSE is unwilling to entertain special contracts in lieu of service under Schedule 40.</w:t>
      </w:r>
      <w:r w:rsidR="00902913">
        <w:rPr>
          <w:rFonts w:eastAsia="SimSun"/>
        </w:rPr>
        <w:t xml:space="preserve"> </w:t>
      </w:r>
      <w:r w:rsidR="00B96618">
        <w:rPr>
          <w:rFonts w:eastAsia="SimSun"/>
        </w:rPr>
        <w:t>The process for negotiating and gaining approval of special contracts is</w:t>
      </w:r>
      <w:r w:rsidR="00C9020D">
        <w:rPr>
          <w:rFonts w:eastAsia="SimSun"/>
        </w:rPr>
        <w:t xml:space="preserve"> much</w:t>
      </w:r>
      <w:r w:rsidR="00B96618">
        <w:rPr>
          <w:rFonts w:eastAsia="SimSun"/>
        </w:rPr>
        <w:t xml:space="preserve"> too cumbersome and would be an unnecessary drain on </w:t>
      </w:r>
      <w:r w:rsidR="00A95B38">
        <w:rPr>
          <w:rFonts w:eastAsia="SimSun"/>
        </w:rPr>
        <w:t>the resources of all involved.</w:t>
      </w:r>
      <w:r w:rsidR="00902913">
        <w:rPr>
          <w:rFonts w:eastAsia="SimSun"/>
        </w:rPr>
        <w:t xml:space="preserve"> </w:t>
      </w:r>
    </w:p>
    <w:p w:rsidR="00FF6B70" w:rsidRPr="003B5206" w:rsidRDefault="00FF6B70" w:rsidP="00A15B24">
      <w:pPr>
        <w:pStyle w:val="PleadingsL2"/>
      </w:pPr>
      <w:bookmarkStart w:id="41" w:name="_Toc489871489"/>
      <w:r>
        <w:t xml:space="preserve">Electric </w:t>
      </w:r>
      <w:r w:rsidR="00C9020D">
        <w:t>Cost Recovery Mechanism</w:t>
      </w:r>
      <w:r>
        <w:t xml:space="preserve"> Rate Design</w:t>
      </w:r>
      <w:bookmarkEnd w:id="41"/>
    </w:p>
    <w:p w:rsidR="00453426" w:rsidRPr="009075DC" w:rsidRDefault="00453426" w:rsidP="00453426">
      <w:pPr>
        <w:pStyle w:val="question"/>
      </w:pPr>
      <w:r>
        <w:t>Q</w:t>
      </w:r>
      <w:r w:rsidRPr="009075DC">
        <w:t>.</w:t>
      </w:r>
      <w:r w:rsidRPr="009075DC">
        <w:tab/>
      </w:r>
      <w:r>
        <w:t xml:space="preserve">Please summarize Kroger’s proposal for the design of PSE’s Electric </w:t>
      </w:r>
      <w:r w:rsidR="00C9020D">
        <w:t>Cost Recovery Mechanism (“</w:t>
      </w:r>
      <w:r w:rsidR="00A95B38">
        <w:t>E</w:t>
      </w:r>
      <w:r>
        <w:t>CRM</w:t>
      </w:r>
      <w:r w:rsidR="00C9020D">
        <w:t>”)</w:t>
      </w:r>
      <w:r>
        <w:t xml:space="preserve"> rates for its non-residential electric customers.</w:t>
      </w:r>
    </w:p>
    <w:p w:rsidR="00453426" w:rsidRDefault="00453426" w:rsidP="00453426">
      <w:pPr>
        <w:pStyle w:val="answer"/>
      </w:pPr>
      <w:r w:rsidRPr="009075DC">
        <w:rPr>
          <w:rFonts w:eastAsia="SimSun"/>
        </w:rPr>
        <w:t>A.</w:t>
      </w:r>
      <w:r w:rsidRPr="009075DC">
        <w:rPr>
          <w:rFonts w:eastAsia="SimSun"/>
        </w:rPr>
        <w:tab/>
      </w:r>
      <w:r w:rsidR="00A77F37">
        <w:rPr>
          <w:rFonts w:eastAsia="SimSun"/>
        </w:rPr>
        <w:t>Kroger witness Kevin Higgins proposes to reject PSE’s ECRM proposal</w:t>
      </w:r>
      <w:r w:rsidR="00C9020D">
        <w:rPr>
          <w:rFonts w:eastAsia="SimSun"/>
        </w:rPr>
        <w:t>.</w:t>
      </w:r>
      <w:r w:rsidR="00902913">
        <w:rPr>
          <w:rFonts w:eastAsia="SimSun"/>
        </w:rPr>
        <w:t xml:space="preserve"> </w:t>
      </w:r>
      <w:r w:rsidR="00C9020D">
        <w:rPr>
          <w:rFonts w:eastAsia="SimSun"/>
        </w:rPr>
        <w:t>However,</w:t>
      </w:r>
      <w:r w:rsidR="00A77F37">
        <w:rPr>
          <w:rFonts w:eastAsia="SimSun"/>
        </w:rPr>
        <w:t xml:space="preserve"> if approved, </w:t>
      </w:r>
      <w:r w:rsidR="00251DA7">
        <w:rPr>
          <w:rFonts w:eastAsia="SimSun"/>
        </w:rPr>
        <w:t xml:space="preserve">he </w:t>
      </w:r>
      <w:r w:rsidR="00A77F37">
        <w:rPr>
          <w:rFonts w:eastAsia="SimSun"/>
        </w:rPr>
        <w:t xml:space="preserve">proposes that </w:t>
      </w:r>
      <w:r w:rsidR="002459D9">
        <w:rPr>
          <w:rFonts w:eastAsia="SimSun"/>
        </w:rPr>
        <w:t xml:space="preserve">it be designed as a demand charge for demand-billed </w:t>
      </w:r>
      <w:r w:rsidR="00A77F37">
        <w:rPr>
          <w:rFonts w:eastAsia="SimSun"/>
        </w:rPr>
        <w:t>rate schedules.</w:t>
      </w:r>
      <w:r w:rsidR="002459D9">
        <w:rPr>
          <w:rStyle w:val="FootnoteReference"/>
          <w:rFonts w:eastAsia="SimSun"/>
        </w:rPr>
        <w:footnoteReference w:id="110"/>
      </w:r>
    </w:p>
    <w:p w:rsidR="00453426" w:rsidRPr="009075DC" w:rsidRDefault="00453426" w:rsidP="00453426">
      <w:pPr>
        <w:pStyle w:val="question"/>
      </w:pPr>
      <w:r w:rsidRPr="009075DC">
        <w:t>Q.</w:t>
      </w:r>
      <w:r w:rsidRPr="009075DC">
        <w:tab/>
      </w:r>
      <w:r w:rsidR="00B57E28">
        <w:t>Do you support Kroger’s proposed rate design for PSE’s ECRM</w:t>
      </w:r>
      <w:r w:rsidRPr="009075DC">
        <w:t>?</w:t>
      </w:r>
    </w:p>
    <w:p w:rsidR="00453426" w:rsidRDefault="00453426" w:rsidP="00453426">
      <w:pPr>
        <w:pStyle w:val="answer"/>
        <w:rPr>
          <w:rFonts w:eastAsia="SimSun"/>
        </w:rPr>
      </w:pPr>
      <w:r w:rsidRPr="009075DC">
        <w:rPr>
          <w:rFonts w:eastAsia="SimSun"/>
        </w:rPr>
        <w:t>A.</w:t>
      </w:r>
      <w:r w:rsidRPr="009075DC">
        <w:rPr>
          <w:rFonts w:eastAsia="SimSun"/>
        </w:rPr>
        <w:tab/>
      </w:r>
      <w:r w:rsidR="00B57E28">
        <w:rPr>
          <w:rFonts w:eastAsia="SimSun"/>
        </w:rPr>
        <w:t>Yes, Kroger presents a reasonable alternative for the design of this rate for schedules that include a demand charge.</w:t>
      </w:r>
      <w:r w:rsidR="00B57E28">
        <w:rPr>
          <w:rStyle w:val="FootnoteReference"/>
          <w:rFonts w:eastAsia="SimSun"/>
        </w:rPr>
        <w:footnoteReference w:id="111"/>
      </w:r>
      <w:r w:rsidR="00902913">
        <w:rPr>
          <w:rFonts w:eastAsia="SimSun"/>
        </w:rPr>
        <w:t xml:space="preserve"> </w:t>
      </w:r>
    </w:p>
    <w:p w:rsidR="00FF6B70" w:rsidRPr="003B5206" w:rsidRDefault="00FF6B70" w:rsidP="00A15B24">
      <w:pPr>
        <w:pStyle w:val="PleadingsL2"/>
      </w:pPr>
      <w:bookmarkStart w:id="42" w:name="_Toc489871490"/>
      <w:r>
        <w:t xml:space="preserve">Electric </w:t>
      </w:r>
      <w:r w:rsidRPr="00EC52CB">
        <w:t>Net</w:t>
      </w:r>
      <w:r>
        <w:t xml:space="preserve"> Metering</w:t>
      </w:r>
      <w:bookmarkEnd w:id="42"/>
    </w:p>
    <w:p w:rsidR="00453426" w:rsidRPr="009075DC" w:rsidRDefault="00453426" w:rsidP="00453426">
      <w:pPr>
        <w:pStyle w:val="question"/>
      </w:pPr>
      <w:r>
        <w:t>Q</w:t>
      </w:r>
      <w:r w:rsidRPr="009075DC">
        <w:t>.</w:t>
      </w:r>
      <w:r w:rsidRPr="009075DC">
        <w:tab/>
      </w:r>
      <w:r>
        <w:t>Please summarize Staff’s proposal related to PSE’s net metering customers.</w:t>
      </w:r>
    </w:p>
    <w:p w:rsidR="00453426" w:rsidRDefault="00453426" w:rsidP="00453426">
      <w:pPr>
        <w:pStyle w:val="answer"/>
      </w:pPr>
      <w:r w:rsidRPr="009075DC">
        <w:rPr>
          <w:rFonts w:eastAsia="SimSun"/>
        </w:rPr>
        <w:t>A.</w:t>
      </w:r>
      <w:r w:rsidRPr="009075DC">
        <w:rPr>
          <w:rFonts w:eastAsia="SimSun"/>
        </w:rPr>
        <w:tab/>
      </w:r>
      <w:r w:rsidR="00540153">
        <w:rPr>
          <w:rFonts w:eastAsia="SimSun"/>
        </w:rPr>
        <w:t xml:space="preserve">Staff witness Jason Ball </w:t>
      </w:r>
      <w:r w:rsidR="006832B7">
        <w:rPr>
          <w:rFonts w:eastAsia="SimSun"/>
        </w:rPr>
        <w:t xml:space="preserve">recommends that PSE </w:t>
      </w:r>
      <w:r w:rsidR="00540153">
        <w:rPr>
          <w:rFonts w:eastAsia="SimSun"/>
        </w:rPr>
        <w:t xml:space="preserve">prioritize </w:t>
      </w:r>
      <w:r w:rsidR="006832B7">
        <w:rPr>
          <w:rFonts w:eastAsia="SimSun"/>
        </w:rPr>
        <w:t>its net metering customers for</w:t>
      </w:r>
      <w:r w:rsidR="00540153">
        <w:rPr>
          <w:rFonts w:eastAsia="SimSun"/>
        </w:rPr>
        <w:t xml:space="preserve"> rollout of </w:t>
      </w:r>
      <w:r w:rsidR="006832B7">
        <w:rPr>
          <w:rFonts w:eastAsia="SimSun"/>
        </w:rPr>
        <w:t>advanced metering infrastructure (“</w:t>
      </w:r>
      <w:r w:rsidR="00540153">
        <w:rPr>
          <w:rFonts w:eastAsia="SimSun"/>
        </w:rPr>
        <w:t>AMI</w:t>
      </w:r>
      <w:r w:rsidR="006832B7">
        <w:rPr>
          <w:rFonts w:eastAsia="SimSun"/>
        </w:rPr>
        <w:t>”) or, if that is not possible, perform a demand study for these customers</w:t>
      </w:r>
      <w:r>
        <w:rPr>
          <w:rFonts w:eastAsia="SimSun"/>
        </w:rPr>
        <w:t>.</w:t>
      </w:r>
      <w:r w:rsidR="00902913">
        <w:rPr>
          <w:rFonts w:eastAsia="SimSun"/>
        </w:rPr>
        <w:t xml:space="preserve"> </w:t>
      </w:r>
      <w:r w:rsidR="006832B7">
        <w:rPr>
          <w:rFonts w:eastAsia="SimSun"/>
        </w:rPr>
        <w:t xml:space="preserve">Based on the information collected, he recommends that PSE propose a separate tariff schedule for net metering customer in its next </w:t>
      </w:r>
      <w:r w:rsidR="00FF2489">
        <w:rPr>
          <w:rFonts w:eastAsia="SimSun"/>
        </w:rPr>
        <w:t>GRC</w:t>
      </w:r>
      <w:r w:rsidR="006832B7">
        <w:rPr>
          <w:rFonts w:eastAsia="SimSun"/>
        </w:rPr>
        <w:t>.</w:t>
      </w:r>
      <w:r w:rsidR="006832B7">
        <w:rPr>
          <w:rStyle w:val="FootnoteReference"/>
          <w:rFonts w:eastAsia="SimSun"/>
        </w:rPr>
        <w:footnoteReference w:id="112"/>
      </w:r>
    </w:p>
    <w:p w:rsidR="00453426" w:rsidRPr="009075DC" w:rsidRDefault="00453426" w:rsidP="00453426">
      <w:pPr>
        <w:pStyle w:val="question"/>
      </w:pPr>
      <w:r w:rsidRPr="009075DC">
        <w:t>Q.</w:t>
      </w:r>
      <w:r w:rsidRPr="009075DC">
        <w:tab/>
      </w:r>
      <w:r w:rsidR="00AD33B3">
        <w:t>Do you support Staff’s recommendations</w:t>
      </w:r>
      <w:r w:rsidRPr="009075DC">
        <w:t>?</w:t>
      </w:r>
    </w:p>
    <w:p w:rsidR="00BA22EF" w:rsidRDefault="00453426" w:rsidP="00453426">
      <w:pPr>
        <w:pStyle w:val="answer"/>
        <w:rPr>
          <w:rFonts w:eastAsia="SimSun"/>
        </w:rPr>
      </w:pPr>
      <w:r w:rsidRPr="009075DC">
        <w:rPr>
          <w:rFonts w:eastAsia="SimSun"/>
        </w:rPr>
        <w:t>A.</w:t>
      </w:r>
      <w:r w:rsidRPr="009075DC">
        <w:rPr>
          <w:rFonts w:eastAsia="SimSun"/>
        </w:rPr>
        <w:tab/>
      </w:r>
      <w:r w:rsidR="00AD33B3">
        <w:rPr>
          <w:rFonts w:eastAsia="SimSun"/>
        </w:rPr>
        <w:t>Not entirely.</w:t>
      </w:r>
      <w:r w:rsidR="00902913">
        <w:rPr>
          <w:rFonts w:eastAsia="SimSun"/>
        </w:rPr>
        <w:t xml:space="preserve"> </w:t>
      </w:r>
      <w:r w:rsidR="00AD33B3">
        <w:rPr>
          <w:rFonts w:eastAsia="SimSun"/>
        </w:rPr>
        <w:t>PSE is unwilling to prioritize its AMI rollout for net metering customers.</w:t>
      </w:r>
      <w:r w:rsidR="00902913">
        <w:rPr>
          <w:rFonts w:eastAsia="SimSun"/>
        </w:rPr>
        <w:t xml:space="preserve"> </w:t>
      </w:r>
      <w:r w:rsidR="00AD33B3">
        <w:rPr>
          <w:rFonts w:eastAsia="SimSun"/>
        </w:rPr>
        <w:t>Reprioritizing PSE’s AMI roll out, which will occur over several years and in a very deliberate manner, for net metering customers would add to PSE’s cost of implementation, delay the rollout and likely not produce the desired results due to the nature of the AMI technology</w:t>
      </w:r>
      <w:r>
        <w:rPr>
          <w:rFonts w:eastAsia="SimSun"/>
        </w:rPr>
        <w:t>.</w:t>
      </w:r>
      <w:r w:rsidR="00AD33B3">
        <w:rPr>
          <w:rStyle w:val="FootnoteReference"/>
          <w:rFonts w:eastAsia="SimSun"/>
        </w:rPr>
        <w:footnoteReference w:id="113"/>
      </w:r>
      <w:r w:rsidR="00902913">
        <w:rPr>
          <w:rFonts w:eastAsia="SimSun"/>
        </w:rPr>
        <w:t xml:space="preserve"> </w:t>
      </w:r>
      <w:r w:rsidR="00AD33B3">
        <w:rPr>
          <w:rFonts w:eastAsia="SimSun"/>
        </w:rPr>
        <w:t>However, PSE would be willing to perform the demand study suggested by Staff.</w:t>
      </w:r>
      <w:r w:rsidR="00902913">
        <w:rPr>
          <w:rFonts w:eastAsia="SimSun"/>
        </w:rPr>
        <w:t xml:space="preserve"> </w:t>
      </w:r>
      <w:r w:rsidR="00AD33B3">
        <w:rPr>
          <w:rFonts w:eastAsia="SimSun"/>
        </w:rPr>
        <w:t xml:space="preserve">Indeed, PSE has already begun designing a program for collecting the information </w:t>
      </w:r>
      <w:r w:rsidR="00251DA7">
        <w:rPr>
          <w:rFonts w:eastAsia="SimSun"/>
        </w:rPr>
        <w:t xml:space="preserve">for net metering customers </w:t>
      </w:r>
      <w:r w:rsidR="00AD33B3">
        <w:rPr>
          <w:rFonts w:eastAsia="SimSun"/>
        </w:rPr>
        <w:t>that Staff is seeking.</w:t>
      </w:r>
      <w:r w:rsidR="00902913">
        <w:rPr>
          <w:rFonts w:eastAsia="SimSun"/>
        </w:rPr>
        <w:t xml:space="preserve"> </w:t>
      </w:r>
      <w:r w:rsidR="00AD33B3">
        <w:rPr>
          <w:rFonts w:eastAsia="SimSun"/>
        </w:rPr>
        <w:t>PSE intends to begin the actual data collection later this year.</w:t>
      </w:r>
      <w:r w:rsidR="00902913">
        <w:rPr>
          <w:rFonts w:eastAsia="SimSun"/>
        </w:rPr>
        <w:t xml:space="preserve"> </w:t>
      </w:r>
    </w:p>
    <w:p w:rsidR="00453426" w:rsidRDefault="00BA22EF" w:rsidP="00BA22EF">
      <w:pPr>
        <w:pStyle w:val="answer"/>
        <w:ind w:firstLine="0"/>
        <w:rPr>
          <w:rFonts w:eastAsia="SimSun"/>
        </w:rPr>
      </w:pPr>
      <w:r>
        <w:rPr>
          <w:rFonts w:eastAsia="SimSun"/>
        </w:rPr>
        <w:t>I</w:t>
      </w:r>
      <w:r w:rsidR="00AD33B3">
        <w:rPr>
          <w:rFonts w:eastAsia="SimSun"/>
        </w:rPr>
        <w:t>n response to Staff’s recommendation for a separate rate schedule for net metering customers,</w:t>
      </w:r>
      <w:r>
        <w:rPr>
          <w:rFonts w:eastAsia="SimSun"/>
        </w:rPr>
        <w:t xml:space="preserve"> PSE believe</w:t>
      </w:r>
      <w:r w:rsidR="004726FC">
        <w:rPr>
          <w:rFonts w:eastAsia="SimSun"/>
        </w:rPr>
        <w:t>s</w:t>
      </w:r>
      <w:r>
        <w:rPr>
          <w:rFonts w:eastAsia="SimSun"/>
        </w:rPr>
        <w:t xml:space="preserve"> this recommendation is premature, without further data, analysis and reasoned consideration.</w:t>
      </w:r>
      <w:r w:rsidR="00902913">
        <w:rPr>
          <w:rFonts w:eastAsia="SimSun"/>
        </w:rPr>
        <w:t xml:space="preserve"> </w:t>
      </w:r>
      <w:r>
        <w:rPr>
          <w:rFonts w:eastAsia="SimSun"/>
        </w:rPr>
        <w:t xml:space="preserve">However, PSE is willing to commit to having the </w:t>
      </w:r>
      <w:r w:rsidR="008C7717">
        <w:rPr>
          <w:rFonts w:eastAsia="SimSun"/>
        </w:rPr>
        <w:t xml:space="preserve">necessary </w:t>
      </w:r>
      <w:r w:rsidR="00251DA7">
        <w:rPr>
          <w:rFonts w:eastAsia="SimSun"/>
        </w:rPr>
        <w:t xml:space="preserve">interval load </w:t>
      </w:r>
      <w:r>
        <w:rPr>
          <w:rFonts w:eastAsia="SimSun"/>
        </w:rPr>
        <w:t xml:space="preserve">data available </w:t>
      </w:r>
      <w:r w:rsidR="008C7717">
        <w:rPr>
          <w:rFonts w:eastAsia="SimSun"/>
        </w:rPr>
        <w:t xml:space="preserve">and to respond more generally to </w:t>
      </w:r>
      <w:r>
        <w:rPr>
          <w:rFonts w:eastAsia="SimSun"/>
        </w:rPr>
        <w:t xml:space="preserve">Staff’s proposal to develop a separate tariff schedule for net metering customers in the next </w:t>
      </w:r>
      <w:r w:rsidR="00FF2489">
        <w:rPr>
          <w:rFonts w:eastAsia="SimSun"/>
        </w:rPr>
        <w:t>GRC</w:t>
      </w:r>
      <w:r>
        <w:rPr>
          <w:rFonts w:eastAsia="SimSun"/>
        </w:rPr>
        <w:t>.</w:t>
      </w:r>
      <w:r w:rsidR="008C7717">
        <w:rPr>
          <w:rStyle w:val="FootnoteReference"/>
          <w:rFonts w:eastAsia="SimSun"/>
        </w:rPr>
        <w:footnoteReference w:id="114"/>
      </w:r>
      <w:r w:rsidR="00AD33B3">
        <w:rPr>
          <w:rFonts w:eastAsia="SimSun"/>
        </w:rPr>
        <w:t xml:space="preserve"> </w:t>
      </w:r>
    </w:p>
    <w:p w:rsidR="00FF6B70" w:rsidRPr="003B5206" w:rsidRDefault="00FF6B70" w:rsidP="00A15B24">
      <w:pPr>
        <w:pStyle w:val="PleadingsL2"/>
      </w:pPr>
      <w:bookmarkStart w:id="43" w:name="_Toc489871491"/>
      <w:r>
        <w:t xml:space="preserve">Electric </w:t>
      </w:r>
      <w:r w:rsidRPr="00EC52CB">
        <w:t>Bill</w:t>
      </w:r>
      <w:r>
        <w:t xml:space="preserve"> Presentation</w:t>
      </w:r>
      <w:bookmarkEnd w:id="43"/>
    </w:p>
    <w:p w:rsidR="00453426" w:rsidRPr="009075DC" w:rsidRDefault="00453426" w:rsidP="00453426">
      <w:pPr>
        <w:pStyle w:val="question"/>
      </w:pPr>
      <w:r>
        <w:t>Q</w:t>
      </w:r>
      <w:r w:rsidRPr="009075DC">
        <w:t>.</w:t>
      </w:r>
      <w:r w:rsidRPr="009075DC">
        <w:tab/>
      </w:r>
      <w:r>
        <w:t xml:space="preserve">Please summarize </w:t>
      </w:r>
      <w:r w:rsidR="00540153">
        <w:t>Public Counsel</w:t>
      </w:r>
      <w:r>
        <w:t>’s proposal related to PSE’s electric bill presentation.</w:t>
      </w:r>
    </w:p>
    <w:p w:rsidR="00453426" w:rsidRDefault="00453426" w:rsidP="00453426">
      <w:pPr>
        <w:pStyle w:val="answer"/>
      </w:pPr>
      <w:r w:rsidRPr="009075DC">
        <w:rPr>
          <w:rFonts w:eastAsia="SimSun"/>
        </w:rPr>
        <w:t>A.</w:t>
      </w:r>
      <w:r w:rsidRPr="009075DC">
        <w:rPr>
          <w:rFonts w:eastAsia="SimSun"/>
        </w:rPr>
        <w:tab/>
      </w:r>
      <w:r w:rsidR="00142455">
        <w:rPr>
          <w:rFonts w:eastAsia="SimSun"/>
        </w:rPr>
        <w:t>Public Counsel witness Glenn Watkins recommends that the Commission order PSE to provide a summary sheet within its tariff that provides the all in price of electricity (including the all in price by volumetric usage block)</w:t>
      </w:r>
      <w:r>
        <w:rPr>
          <w:rFonts w:eastAsia="SimSun"/>
        </w:rPr>
        <w:t>.</w:t>
      </w:r>
      <w:r w:rsidR="00142455">
        <w:rPr>
          <w:rStyle w:val="FootnoteReference"/>
          <w:rFonts w:eastAsia="SimSun"/>
        </w:rPr>
        <w:footnoteReference w:id="115"/>
      </w:r>
    </w:p>
    <w:p w:rsidR="00453426" w:rsidRPr="009075DC" w:rsidRDefault="00453426" w:rsidP="00453426">
      <w:pPr>
        <w:pStyle w:val="question"/>
      </w:pPr>
      <w:r w:rsidRPr="009075DC">
        <w:t>Q.</w:t>
      </w:r>
      <w:r w:rsidRPr="009075DC">
        <w:tab/>
      </w:r>
      <w:r w:rsidR="00C760D0">
        <w:t>Is the development of the proposed summary sheet necessary</w:t>
      </w:r>
      <w:r w:rsidRPr="009075DC">
        <w:t>?</w:t>
      </w:r>
    </w:p>
    <w:p w:rsidR="00453426" w:rsidRDefault="00453426" w:rsidP="00453426">
      <w:pPr>
        <w:pStyle w:val="answer"/>
        <w:rPr>
          <w:rFonts w:eastAsia="SimSun"/>
        </w:rPr>
      </w:pPr>
      <w:r w:rsidRPr="009075DC">
        <w:rPr>
          <w:rFonts w:eastAsia="SimSun"/>
        </w:rPr>
        <w:t>A.</w:t>
      </w:r>
      <w:r w:rsidRPr="009075DC">
        <w:rPr>
          <w:rFonts w:eastAsia="SimSun"/>
        </w:rPr>
        <w:tab/>
      </w:r>
      <w:r w:rsidR="00C760D0">
        <w:rPr>
          <w:rFonts w:eastAsia="SimSun"/>
        </w:rPr>
        <w:t>No.</w:t>
      </w:r>
      <w:r w:rsidR="00902913">
        <w:rPr>
          <w:rFonts w:eastAsia="SimSun"/>
        </w:rPr>
        <w:t xml:space="preserve"> </w:t>
      </w:r>
      <w:r w:rsidR="00F84846">
        <w:rPr>
          <w:rFonts w:eastAsia="SimSun"/>
        </w:rPr>
        <w:t xml:space="preserve">The information requested by Mr. Watkins is already available to customers </w:t>
      </w:r>
      <w:r w:rsidR="00C760D0">
        <w:rPr>
          <w:rFonts w:eastAsia="SimSun"/>
        </w:rPr>
        <w:t>on</w:t>
      </w:r>
      <w:r w:rsidR="00F84846">
        <w:rPr>
          <w:rFonts w:eastAsia="SimSun"/>
        </w:rPr>
        <w:t xml:space="preserve"> their bill, which provides a simplified presentation</w:t>
      </w:r>
      <w:r w:rsidR="00C760D0">
        <w:rPr>
          <w:rFonts w:eastAsia="SimSun"/>
        </w:rPr>
        <w:t xml:space="preserve"> of the block rates inclusive of all the associated riders and trackers.</w:t>
      </w:r>
      <w:r w:rsidR="00902913">
        <w:rPr>
          <w:rFonts w:eastAsia="SimSun"/>
        </w:rPr>
        <w:t xml:space="preserve"> </w:t>
      </w:r>
      <w:r w:rsidR="00C760D0">
        <w:rPr>
          <w:rFonts w:eastAsia="SimSun"/>
        </w:rPr>
        <w:t>In addition</w:t>
      </w:r>
      <w:r w:rsidR="00F84846">
        <w:rPr>
          <w:rFonts w:eastAsia="SimSun"/>
        </w:rPr>
        <w:t xml:space="preserve">, a more generic summary is available to customers </w:t>
      </w:r>
      <w:r w:rsidR="00C760D0">
        <w:rPr>
          <w:rFonts w:eastAsia="SimSun"/>
        </w:rPr>
        <w:t xml:space="preserve">(and other interested parties) </w:t>
      </w:r>
      <w:r w:rsidR="00F84846">
        <w:rPr>
          <w:rFonts w:eastAsia="SimSun"/>
        </w:rPr>
        <w:t>on PSE’s website</w:t>
      </w:r>
      <w:r>
        <w:rPr>
          <w:rFonts w:eastAsia="SimSun"/>
        </w:rPr>
        <w:t>.</w:t>
      </w:r>
      <w:r w:rsidR="00902913">
        <w:rPr>
          <w:rFonts w:eastAsia="SimSun"/>
        </w:rPr>
        <w:t xml:space="preserve"> </w:t>
      </w:r>
      <w:r w:rsidR="00F84846">
        <w:rPr>
          <w:rFonts w:eastAsia="SimSun"/>
        </w:rPr>
        <w:t>A sample residential customer bill, which is also available on PSE’s website,</w:t>
      </w:r>
      <w:r w:rsidR="00F84846">
        <w:rPr>
          <w:rStyle w:val="FootnoteReference"/>
          <w:rFonts w:eastAsia="SimSun"/>
        </w:rPr>
        <w:footnoteReference w:id="116"/>
      </w:r>
      <w:r w:rsidR="00F84846">
        <w:rPr>
          <w:rFonts w:eastAsia="SimSun"/>
        </w:rPr>
        <w:t xml:space="preserve"> is provided as Exhibit JAP-</w:t>
      </w:r>
      <w:r w:rsidR="00B2552A">
        <w:rPr>
          <w:rFonts w:eastAsia="SimSun"/>
        </w:rPr>
        <w:t>51</w:t>
      </w:r>
      <w:r w:rsidR="00F84846">
        <w:rPr>
          <w:rFonts w:eastAsia="SimSun"/>
        </w:rPr>
        <w:t xml:space="preserve"> and a copy of the most recent summary sheet for residential customers available on PSE’s website is provided as Exhibit JAP-</w:t>
      </w:r>
      <w:r w:rsidR="00B2552A">
        <w:rPr>
          <w:rFonts w:eastAsia="SimSun"/>
        </w:rPr>
        <w:t>52</w:t>
      </w:r>
      <w:r w:rsidR="00F84846">
        <w:rPr>
          <w:rFonts w:eastAsia="SimSun"/>
        </w:rPr>
        <w:t>.</w:t>
      </w:r>
      <w:r w:rsidR="00527DE2">
        <w:rPr>
          <w:rStyle w:val="FootnoteReference"/>
          <w:rFonts w:eastAsia="SimSun"/>
        </w:rPr>
        <w:footnoteReference w:id="117"/>
      </w:r>
      <w:r w:rsidR="00902913">
        <w:rPr>
          <w:rFonts w:eastAsia="SimSun"/>
        </w:rPr>
        <w:t xml:space="preserve"> </w:t>
      </w:r>
    </w:p>
    <w:p w:rsidR="005B22A5" w:rsidRPr="003B5206" w:rsidRDefault="005B22A5" w:rsidP="00A15B24">
      <w:pPr>
        <w:pStyle w:val="PleadingsL2"/>
      </w:pPr>
      <w:bookmarkStart w:id="44" w:name="_Toc489871492"/>
      <w:r w:rsidRPr="005B22A5">
        <w:t xml:space="preserve">Recovery of Colstrip </w:t>
      </w:r>
      <w:r w:rsidRPr="00EC52CB">
        <w:t>Costs</w:t>
      </w:r>
      <w:r w:rsidRPr="005B22A5">
        <w:t xml:space="preserve"> from </w:t>
      </w:r>
      <w:r>
        <w:t>Microsoft</w:t>
      </w:r>
      <w:bookmarkEnd w:id="44"/>
    </w:p>
    <w:p w:rsidR="00453426" w:rsidRPr="009075DC" w:rsidRDefault="00453426" w:rsidP="00453426">
      <w:pPr>
        <w:pStyle w:val="question"/>
      </w:pPr>
      <w:r>
        <w:t>Q</w:t>
      </w:r>
      <w:r w:rsidRPr="009075DC">
        <w:t>.</w:t>
      </w:r>
      <w:r w:rsidRPr="009075DC">
        <w:tab/>
      </w:r>
      <w:r>
        <w:t>Please summarize ICNU’s proposal related to the recovery of Colstrip costs from Microsoft.</w:t>
      </w:r>
    </w:p>
    <w:p w:rsidR="00453426" w:rsidRDefault="00453426" w:rsidP="00453426">
      <w:pPr>
        <w:pStyle w:val="answer"/>
      </w:pPr>
      <w:r w:rsidRPr="009075DC">
        <w:rPr>
          <w:rFonts w:eastAsia="SimSun"/>
        </w:rPr>
        <w:t>A.</w:t>
      </w:r>
      <w:r w:rsidRPr="009075DC">
        <w:rPr>
          <w:rFonts w:eastAsia="SimSun"/>
        </w:rPr>
        <w:tab/>
      </w:r>
      <w:r w:rsidR="0083213C">
        <w:rPr>
          <w:rFonts w:eastAsia="SimSun"/>
        </w:rPr>
        <w:t xml:space="preserve">ICNU witness Bradley Mullins notes that </w:t>
      </w:r>
      <w:r w:rsidR="00757068">
        <w:rPr>
          <w:rFonts w:eastAsia="SimSun"/>
        </w:rPr>
        <w:t>the transition</w:t>
      </w:r>
      <w:r w:rsidR="0083213C">
        <w:rPr>
          <w:rFonts w:eastAsia="SimSun"/>
        </w:rPr>
        <w:t xml:space="preserve"> fee calculated for Microsoft in Docket UE-161123 did not extend beyond 2022, when its loss of load would have </w:t>
      </w:r>
      <w:r w:rsidR="00757068">
        <w:rPr>
          <w:rFonts w:eastAsia="SimSun"/>
        </w:rPr>
        <w:t xml:space="preserve">allowed PSE to avoid incremental costs </w:t>
      </w:r>
      <w:r w:rsidR="0083213C">
        <w:rPr>
          <w:rFonts w:eastAsia="SimSun"/>
        </w:rPr>
        <w:t>to</w:t>
      </w:r>
      <w:r w:rsidR="00757068">
        <w:rPr>
          <w:rFonts w:eastAsia="SimSun"/>
        </w:rPr>
        <w:t xml:space="preserve"> serve</w:t>
      </w:r>
      <w:r w:rsidR="0083213C">
        <w:rPr>
          <w:rFonts w:eastAsia="SimSun"/>
        </w:rPr>
        <w:t xml:space="preserve"> other customers and, therefore, </w:t>
      </w:r>
      <w:r w:rsidR="00757068">
        <w:rPr>
          <w:rFonts w:eastAsia="SimSun"/>
        </w:rPr>
        <w:t xml:space="preserve">would have led to </w:t>
      </w:r>
      <w:r w:rsidR="0083213C">
        <w:rPr>
          <w:rFonts w:eastAsia="SimSun"/>
        </w:rPr>
        <w:t xml:space="preserve">a lower </w:t>
      </w:r>
      <w:r w:rsidR="00757068">
        <w:rPr>
          <w:rFonts w:eastAsia="SimSun"/>
        </w:rPr>
        <w:t>transition</w:t>
      </w:r>
      <w:r w:rsidR="0083213C">
        <w:rPr>
          <w:rFonts w:eastAsia="SimSun"/>
        </w:rPr>
        <w:t xml:space="preserve"> fee.</w:t>
      </w:r>
      <w:r w:rsidR="00902913">
        <w:rPr>
          <w:rFonts w:eastAsia="SimSun"/>
        </w:rPr>
        <w:t xml:space="preserve"> </w:t>
      </w:r>
      <w:r w:rsidR="0083213C">
        <w:rPr>
          <w:rFonts w:eastAsia="SimSun"/>
        </w:rPr>
        <w:t xml:space="preserve">As such, Mr. Mullins recommends that Microsoft should likewise be </w:t>
      </w:r>
      <w:r w:rsidR="00757068">
        <w:rPr>
          <w:rFonts w:eastAsia="SimSun"/>
        </w:rPr>
        <w:t>excused from contributing to the recovery of future costs for Colstrip Units 1 and 2 beyond 2022</w:t>
      </w:r>
      <w:r>
        <w:rPr>
          <w:rFonts w:eastAsia="SimSun"/>
        </w:rPr>
        <w:t>.</w:t>
      </w:r>
      <w:r w:rsidR="00757068">
        <w:rPr>
          <w:rStyle w:val="FootnoteReference"/>
          <w:rFonts w:eastAsia="SimSun"/>
        </w:rPr>
        <w:footnoteReference w:id="118"/>
      </w:r>
    </w:p>
    <w:p w:rsidR="00453426" w:rsidRPr="009075DC" w:rsidRDefault="00453426" w:rsidP="00453426">
      <w:pPr>
        <w:pStyle w:val="question"/>
      </w:pPr>
      <w:r w:rsidRPr="009075DC">
        <w:t>Q.</w:t>
      </w:r>
      <w:r w:rsidRPr="009075DC">
        <w:tab/>
      </w:r>
      <w:r w:rsidR="00527DE2">
        <w:t>Is new information available since the time ICNU made its proposal</w:t>
      </w:r>
      <w:r w:rsidR="003911D7">
        <w:t xml:space="preserve"> related to this issue</w:t>
      </w:r>
      <w:r w:rsidRPr="009075DC">
        <w:t>?</w:t>
      </w:r>
    </w:p>
    <w:p w:rsidR="00527DE2" w:rsidRDefault="00453426" w:rsidP="00453426">
      <w:pPr>
        <w:pStyle w:val="answer"/>
        <w:rPr>
          <w:rFonts w:eastAsia="SimSun"/>
        </w:rPr>
      </w:pPr>
      <w:r w:rsidRPr="009075DC">
        <w:rPr>
          <w:rFonts w:eastAsia="SimSun"/>
        </w:rPr>
        <w:t>A.</w:t>
      </w:r>
      <w:r w:rsidRPr="009075DC">
        <w:rPr>
          <w:rFonts w:eastAsia="SimSun"/>
        </w:rPr>
        <w:tab/>
      </w:r>
      <w:r w:rsidR="00527DE2">
        <w:rPr>
          <w:rFonts w:eastAsia="SimSun"/>
        </w:rPr>
        <w:t>Yes, the Commission issued its order in Docket UE-161123.</w:t>
      </w:r>
      <w:r w:rsidR="00902913">
        <w:rPr>
          <w:rFonts w:eastAsia="SimSun"/>
        </w:rPr>
        <w:t xml:space="preserve"> </w:t>
      </w:r>
      <w:r w:rsidR="00527DE2">
        <w:rPr>
          <w:rFonts w:eastAsia="SimSun"/>
        </w:rPr>
        <w:t xml:space="preserve">In that order the Commission made clear that Microsoft will be responsible for its share of Colstrip-related costs and that </w:t>
      </w:r>
      <w:r w:rsidR="00365C7B">
        <w:rPr>
          <w:rFonts w:eastAsia="SimSun"/>
        </w:rPr>
        <w:t>the transition</w:t>
      </w:r>
      <w:r w:rsidR="00527DE2">
        <w:rPr>
          <w:rFonts w:eastAsia="SimSun"/>
        </w:rPr>
        <w:t xml:space="preserve"> fee </w:t>
      </w:r>
      <w:r w:rsidR="00D741AD">
        <w:rPr>
          <w:rFonts w:eastAsia="SimSun"/>
        </w:rPr>
        <w:t xml:space="preserve">that will </w:t>
      </w:r>
      <w:r w:rsidR="00527DE2">
        <w:rPr>
          <w:rFonts w:eastAsia="SimSun"/>
        </w:rPr>
        <w:t>be paid by Microsoft d</w:t>
      </w:r>
      <w:r w:rsidR="00D741AD">
        <w:rPr>
          <w:rFonts w:eastAsia="SimSun"/>
        </w:rPr>
        <w:t xml:space="preserve">oes </w:t>
      </w:r>
      <w:r w:rsidR="00527DE2">
        <w:rPr>
          <w:rFonts w:eastAsia="SimSun"/>
        </w:rPr>
        <w:t>not cover its share of Colstrip-related costs.</w:t>
      </w:r>
      <w:r w:rsidR="00902913">
        <w:rPr>
          <w:rFonts w:eastAsia="SimSun"/>
        </w:rPr>
        <w:t xml:space="preserve"> </w:t>
      </w:r>
      <w:r w:rsidR="00527DE2">
        <w:rPr>
          <w:rFonts w:eastAsia="SimSun"/>
        </w:rPr>
        <w:t>In relevant part, the Commission stated:</w:t>
      </w:r>
    </w:p>
    <w:p w:rsidR="00527DE2" w:rsidRDefault="00527DE2" w:rsidP="002917CC">
      <w:pPr>
        <w:pStyle w:val="Quote"/>
        <w:tabs>
          <w:tab w:val="left" w:pos="7920"/>
        </w:tabs>
        <w:ind w:right="720"/>
        <w:rPr>
          <w:rFonts w:eastAsia="SimSun"/>
        </w:rPr>
      </w:pPr>
      <w:r w:rsidRPr="006E26E2">
        <w:rPr>
          <w:rFonts w:eastAsia="SimSun"/>
        </w:rPr>
        <w:t>ICNU’s testimony notwithstanding, the record is clear: the Transition Fee does not include, and therefore should not be argued to cover, any part of any decommissioning and remediation costs for which Microsoft may be found responsible in a future proceeding. Determinations in PSE’s pending general rate case in Dockets UE-170033 and UG-170034, and in future cases, will resolve how and from whom PSE will recover its Colstrip decommissioning and remediation costs. We find here, on the basis of the record in this proceeding, that parties in any such pending or future proceedings will not be able to credibly argue that the Transition Fee Microsoft has agreed to pay in this docket absolves it from any cost responsibility for Colstrip decommissioning and remediation costs if the Commission finds further contributions are required.</w:t>
      </w:r>
      <w:r w:rsidR="00D741AD" w:rsidRPr="006E227D">
        <w:rPr>
          <w:rStyle w:val="FootnoteReference"/>
          <w:rFonts w:eastAsia="SimSun"/>
        </w:rPr>
        <w:footnoteReference w:id="119"/>
      </w:r>
      <w:r w:rsidRPr="006E227D">
        <w:rPr>
          <w:rStyle w:val="FootnoteReference"/>
          <w:rFonts w:eastAsia="SimSun"/>
        </w:rPr>
        <w:t xml:space="preserve"> </w:t>
      </w:r>
    </w:p>
    <w:p w:rsidR="00D741AD" w:rsidRPr="00D741AD" w:rsidRDefault="00D741AD" w:rsidP="006E26E2">
      <w:pPr>
        <w:pStyle w:val="question"/>
      </w:pPr>
      <w:r w:rsidRPr="00D741AD">
        <w:t>Q.</w:t>
      </w:r>
      <w:r w:rsidRPr="00D741AD">
        <w:tab/>
        <w:t>In light of this new information, how does PSE respond to ICNU’s proposal?</w:t>
      </w:r>
    </w:p>
    <w:p w:rsidR="00D741AD" w:rsidRDefault="00D741AD" w:rsidP="00D741AD">
      <w:pPr>
        <w:pStyle w:val="answer"/>
      </w:pPr>
      <w:r>
        <w:t>A.</w:t>
      </w:r>
      <w:r>
        <w:tab/>
        <w:t>The Commission’s order is clear that Microsoft must pay its share of Colstrip</w:t>
      </w:r>
      <w:r w:rsidR="003911D7">
        <w:t>-related costs.</w:t>
      </w:r>
      <w:r w:rsidR="00902913">
        <w:t xml:space="preserve"> </w:t>
      </w:r>
      <w:r w:rsidR="003911D7">
        <w:t>Therefore, the</w:t>
      </w:r>
      <w:r>
        <w:t xml:space="preserve"> issue </w:t>
      </w:r>
      <w:r w:rsidR="003911D7">
        <w:t>of whether Microsoft should pay and how much, if any, was already reflected in the calculated Transition Fee</w:t>
      </w:r>
      <w:r w:rsidR="004726FC">
        <w:t>,</w:t>
      </w:r>
      <w:r w:rsidR="003911D7">
        <w:t xml:space="preserve"> </w:t>
      </w:r>
      <w:r>
        <w:t>has already been resolved.</w:t>
      </w:r>
      <w:r w:rsidR="00902913">
        <w:t xml:space="preserve"> </w:t>
      </w:r>
    </w:p>
    <w:p w:rsidR="00D741AD" w:rsidRPr="00D741AD" w:rsidRDefault="00D741AD" w:rsidP="006E26E2">
      <w:pPr>
        <w:pStyle w:val="question"/>
      </w:pPr>
      <w:r w:rsidRPr="00D741AD">
        <w:t>Q.</w:t>
      </w:r>
      <w:r w:rsidRPr="00D741AD">
        <w:tab/>
        <w:t>Are there any issues outstanding for determining Microsoft’s Colstrip-related obligations?</w:t>
      </w:r>
    </w:p>
    <w:p w:rsidR="00602D32" w:rsidRDefault="00D741AD" w:rsidP="00D741AD">
      <w:pPr>
        <w:pStyle w:val="answer"/>
      </w:pPr>
      <w:r>
        <w:t>A.</w:t>
      </w:r>
      <w:r>
        <w:tab/>
        <w:t>Yes.</w:t>
      </w:r>
      <w:r w:rsidR="00902913">
        <w:t xml:space="preserve"> </w:t>
      </w:r>
      <w:r>
        <w:t xml:space="preserve">First, the overall level of required </w:t>
      </w:r>
      <w:r w:rsidR="003911D7">
        <w:t xml:space="preserve">Colstrip-related </w:t>
      </w:r>
      <w:r>
        <w:t>funding must be determined</w:t>
      </w:r>
      <w:r w:rsidR="003911D7">
        <w:t>, both for depreciation and decommissioning/remediation</w:t>
      </w:r>
      <w:r>
        <w:t>.</w:t>
      </w:r>
      <w:r w:rsidR="00902913">
        <w:t xml:space="preserve"> </w:t>
      </w:r>
      <w:r>
        <w:t>Second, the means by which funding will be recovered must be decided.</w:t>
      </w:r>
      <w:r w:rsidR="00902913">
        <w:t xml:space="preserve"> </w:t>
      </w:r>
      <w:r>
        <w:t>Finally</w:t>
      </w:r>
      <w:r w:rsidR="00602D32">
        <w:t>, Microsoft’s share of the funding requirement must be determined.</w:t>
      </w:r>
      <w:r w:rsidR="00902913">
        <w:t xml:space="preserve"> </w:t>
      </w:r>
      <w:r w:rsidR="00602D32">
        <w:t>The first two issues for portions of the longer term recovery of Colstrip costs</w:t>
      </w:r>
      <w:r w:rsidR="003911D7">
        <w:t>, primarily for Units No. 1 and No. 2,</w:t>
      </w:r>
      <w:r w:rsidR="00602D32">
        <w:t xml:space="preserve"> are currently being addressed in this case.</w:t>
      </w:r>
      <w:r w:rsidR="00902913">
        <w:t xml:space="preserve"> </w:t>
      </w:r>
      <w:r w:rsidR="00602D32">
        <w:t>However, the issue of how to allocate the recovery of these costs has yet to be raised.</w:t>
      </w:r>
    </w:p>
    <w:p w:rsidR="00602D32" w:rsidRPr="00602D32" w:rsidRDefault="00602D32" w:rsidP="006E26E2">
      <w:pPr>
        <w:pStyle w:val="question"/>
      </w:pPr>
      <w:r>
        <w:t>Q.</w:t>
      </w:r>
      <w:r>
        <w:tab/>
        <w:t>Does</w:t>
      </w:r>
      <w:r w:rsidRPr="00602D32">
        <w:t xml:space="preserve"> the Commission </w:t>
      </w:r>
      <w:r>
        <w:t xml:space="preserve">need to </w:t>
      </w:r>
      <w:r w:rsidRPr="00602D32">
        <w:t>address the issue of Microsoft’s share of these costs at this time?</w:t>
      </w:r>
      <w:r w:rsidR="00902913">
        <w:t xml:space="preserve"> </w:t>
      </w:r>
    </w:p>
    <w:p w:rsidR="00D741AD" w:rsidRPr="00D741AD" w:rsidRDefault="00602D32" w:rsidP="00D741AD">
      <w:pPr>
        <w:pStyle w:val="answer"/>
      </w:pPr>
      <w:r>
        <w:t>A.</w:t>
      </w:r>
      <w:r>
        <w:tab/>
        <w:t>No.</w:t>
      </w:r>
      <w:r w:rsidR="00902913">
        <w:t xml:space="preserve"> </w:t>
      </w:r>
      <w:r>
        <w:t>This would likely only serve to</w:t>
      </w:r>
      <w:r w:rsidR="003911D7">
        <w:t xml:space="preserve"> further</w:t>
      </w:r>
      <w:r>
        <w:t xml:space="preserve"> complicate an already complicated set of issues in this case, particularly when PSE did not address this issue in its initial filing.</w:t>
      </w:r>
      <w:r w:rsidR="00902913">
        <w:t xml:space="preserve"> </w:t>
      </w:r>
      <w:r>
        <w:t>In the alternative, PSE recommends that the Commission defer the determination of Microsoft’s share of Colstrip-related costs until after the first two issues (i.e., overall determination of cost and approach to cost recovery) are resolved.</w:t>
      </w:r>
      <w:r w:rsidR="00902913">
        <w:t xml:space="preserve"> </w:t>
      </w:r>
      <w:r>
        <w:t>If the Commission accepts something similar to the amounts and funding mechanisms proposed in this case, PSE envisions a subsequent filing or potentially a series of filings</w:t>
      </w:r>
      <w:r w:rsidR="00A95B38">
        <w:t>,</w:t>
      </w:r>
      <w:r>
        <w:t xml:space="preserve"> for different cost</w:t>
      </w:r>
      <w:r w:rsidR="00B2552A">
        <w:t>s to be recovered</w:t>
      </w:r>
      <w:r w:rsidR="006B3BAD">
        <w:rPr>
          <w:rStyle w:val="FootnoteReference"/>
        </w:rPr>
        <w:footnoteReference w:id="120"/>
      </w:r>
      <w:r>
        <w:t xml:space="preserve"> that determines how to allocate a portion of these costs to Microsoft </w:t>
      </w:r>
      <w:r w:rsidR="00A95B38">
        <w:t>so</w:t>
      </w:r>
      <w:r>
        <w:t xml:space="preserve"> that their contributions could flow back to remaining customers in much the same way as its transition fee (i.e., as a dollar for dollar credit implemented through PSE’s Schedule 95).</w:t>
      </w:r>
      <w:r w:rsidR="00902913">
        <w:t xml:space="preserve"> </w:t>
      </w:r>
      <w:r>
        <w:t xml:space="preserve">It is difficult to </w:t>
      </w:r>
      <w:r w:rsidR="00A95B38">
        <w:t xml:space="preserve">address the issue </w:t>
      </w:r>
      <w:r>
        <w:t>at this time without a clearer picture of how the upstream issues of cost and cost recovery will be resolved.</w:t>
      </w:r>
    </w:p>
    <w:p w:rsidR="005B22A5" w:rsidRPr="003B5206" w:rsidRDefault="005B22A5" w:rsidP="00A15B24">
      <w:pPr>
        <w:pStyle w:val="PleadingsL2"/>
      </w:pPr>
      <w:bookmarkStart w:id="45" w:name="_Toc489871493"/>
      <w:r>
        <w:t xml:space="preserve">Contingent </w:t>
      </w:r>
      <w:r w:rsidRPr="00EC52CB">
        <w:t>Power</w:t>
      </w:r>
      <w:r>
        <w:t xml:space="preserve"> Cost Calculations for Microsoft</w:t>
      </w:r>
      <w:bookmarkEnd w:id="45"/>
    </w:p>
    <w:p w:rsidR="009E0FF1" w:rsidRPr="009075DC" w:rsidRDefault="009E0FF1" w:rsidP="009E0FF1">
      <w:pPr>
        <w:pStyle w:val="question"/>
      </w:pPr>
      <w:r>
        <w:t>Q</w:t>
      </w:r>
      <w:r w:rsidRPr="009075DC">
        <w:t>.</w:t>
      </w:r>
      <w:r w:rsidRPr="009075DC">
        <w:tab/>
      </w:r>
      <w:r>
        <w:t>Did PSE provide another set of contingent power costs calculations as part of its rebuttal filing for the loss Microsoft load?</w:t>
      </w:r>
    </w:p>
    <w:p w:rsidR="009E0FF1" w:rsidRDefault="009E0FF1" w:rsidP="009E0FF1">
      <w:pPr>
        <w:pStyle w:val="answer"/>
      </w:pPr>
      <w:r w:rsidRPr="009075DC">
        <w:rPr>
          <w:rFonts w:eastAsia="SimSun"/>
        </w:rPr>
        <w:t>A.</w:t>
      </w:r>
      <w:r w:rsidRPr="009075DC">
        <w:rPr>
          <w:rFonts w:eastAsia="SimSun"/>
        </w:rPr>
        <w:tab/>
      </w:r>
      <w:r>
        <w:rPr>
          <w:rFonts w:eastAsia="SimSun"/>
        </w:rPr>
        <w:t>No.</w:t>
      </w:r>
      <w:r w:rsidR="00902913">
        <w:rPr>
          <w:rFonts w:eastAsia="SimSun"/>
        </w:rPr>
        <w:t xml:space="preserve"> </w:t>
      </w:r>
      <w:r>
        <w:rPr>
          <w:rFonts w:eastAsia="SimSun"/>
        </w:rPr>
        <w:t xml:space="preserve">There is little additional insight to be gained by providing an update to the contingent calculations previously provided in </w:t>
      </w:r>
      <w:r w:rsidR="00B2552A">
        <w:rPr>
          <w:rFonts w:eastAsia="SimSun"/>
        </w:rPr>
        <w:t xml:space="preserve">Exhibit JAP-38 and </w:t>
      </w:r>
      <w:r>
        <w:rPr>
          <w:rFonts w:eastAsia="SimSun"/>
        </w:rPr>
        <w:t>Exhibit JAP-43C</w:t>
      </w:r>
      <w:r w:rsidR="00B2552A">
        <w:rPr>
          <w:rFonts w:eastAsia="SimSun"/>
        </w:rPr>
        <w:t>,</w:t>
      </w:r>
      <w:r>
        <w:rPr>
          <w:rFonts w:eastAsia="SimSun"/>
        </w:rPr>
        <w:t xml:space="preserve"> based on power costs submitted in this rebuttal filing.</w:t>
      </w:r>
      <w:r w:rsidR="00902913">
        <w:rPr>
          <w:rFonts w:eastAsia="SimSun"/>
        </w:rPr>
        <w:t xml:space="preserve"> </w:t>
      </w:r>
      <w:r w:rsidR="00B576A5">
        <w:rPr>
          <w:rFonts w:eastAsia="SimSun"/>
        </w:rPr>
        <w:t xml:space="preserve">The primary issue is whether or not the Commission should approve contingent </w:t>
      </w:r>
      <w:r w:rsidR="00146490">
        <w:rPr>
          <w:rFonts w:eastAsia="SimSun"/>
        </w:rPr>
        <w:t xml:space="preserve">rate </w:t>
      </w:r>
      <w:r w:rsidR="00B576A5">
        <w:rPr>
          <w:rFonts w:eastAsia="SimSun"/>
        </w:rPr>
        <w:t>calculations at this time.</w:t>
      </w:r>
      <w:r w:rsidR="00902913">
        <w:rPr>
          <w:rFonts w:eastAsia="SimSun"/>
        </w:rPr>
        <w:t xml:space="preserve"> </w:t>
      </w:r>
      <w:r w:rsidR="00B576A5">
        <w:rPr>
          <w:rFonts w:eastAsia="SimSun"/>
        </w:rPr>
        <w:t xml:space="preserve">If the Commission agrees to approve the contingent rates as part of this case, </w:t>
      </w:r>
      <w:r>
        <w:rPr>
          <w:rFonts w:eastAsia="SimSun"/>
        </w:rPr>
        <w:t xml:space="preserve">PSE </w:t>
      </w:r>
      <w:r w:rsidR="00B576A5">
        <w:rPr>
          <w:rFonts w:eastAsia="SimSun"/>
        </w:rPr>
        <w:t>will update its contingent</w:t>
      </w:r>
      <w:r w:rsidR="00146490">
        <w:rPr>
          <w:rFonts w:eastAsia="SimSun"/>
        </w:rPr>
        <w:t xml:space="preserve"> rate</w:t>
      </w:r>
      <w:r w:rsidR="00B576A5">
        <w:rPr>
          <w:rFonts w:eastAsia="SimSun"/>
        </w:rPr>
        <w:t xml:space="preserve"> calculation</w:t>
      </w:r>
      <w:r w:rsidR="004726FC">
        <w:rPr>
          <w:rFonts w:eastAsia="SimSun"/>
        </w:rPr>
        <w:t>s</w:t>
      </w:r>
      <w:r w:rsidR="00B576A5">
        <w:rPr>
          <w:rFonts w:eastAsia="SimSun"/>
        </w:rPr>
        <w:t xml:space="preserve"> as part of its </w:t>
      </w:r>
      <w:r>
        <w:rPr>
          <w:rFonts w:eastAsia="SimSun"/>
        </w:rPr>
        <w:t xml:space="preserve">final update to power costs </w:t>
      </w:r>
      <w:r w:rsidR="00B576A5">
        <w:rPr>
          <w:rFonts w:eastAsia="SimSun"/>
        </w:rPr>
        <w:t xml:space="preserve">in </w:t>
      </w:r>
      <w:r>
        <w:rPr>
          <w:rFonts w:eastAsia="SimSun"/>
        </w:rPr>
        <w:t>its compliance filing.</w:t>
      </w:r>
    </w:p>
    <w:p w:rsidR="00DF11ED" w:rsidRPr="009075DC" w:rsidRDefault="00DF11ED" w:rsidP="00A15B24">
      <w:pPr>
        <w:pStyle w:val="PleadingsL1"/>
        <w:rPr>
          <w:rFonts w:eastAsia="SimSun"/>
        </w:rPr>
      </w:pPr>
      <w:bookmarkStart w:id="46" w:name="_Toc489871494"/>
      <w:r w:rsidRPr="00A15B24">
        <w:rPr>
          <w:rFonts w:eastAsia="SimSun"/>
        </w:rPr>
        <w:t>RESPONSE</w:t>
      </w:r>
      <w:r>
        <w:rPr>
          <w:rFonts w:eastAsia="SimSun"/>
        </w:rPr>
        <w:t xml:space="preserve"> </w:t>
      </w:r>
      <w:r w:rsidR="007B08A2">
        <w:rPr>
          <w:rFonts w:eastAsia="SimSun"/>
        </w:rPr>
        <w:t>TO ISSUES RAISED REGARDING NATURAL GAS COST OF SERVICE ANALYSIS</w:t>
      </w:r>
      <w:bookmarkEnd w:id="46"/>
    </w:p>
    <w:p w:rsidR="00DF11ED" w:rsidRPr="003B5206" w:rsidRDefault="007B08A2" w:rsidP="00A15B24">
      <w:pPr>
        <w:pStyle w:val="PleadingsL2"/>
      </w:pPr>
      <w:bookmarkStart w:id="47" w:name="_Toc489871495"/>
      <w:r>
        <w:t>Mains Allocation</w:t>
      </w:r>
      <w:bookmarkEnd w:id="47"/>
      <w:r>
        <w:t xml:space="preserve"> </w:t>
      </w:r>
    </w:p>
    <w:p w:rsidR="00453426" w:rsidRPr="009075DC" w:rsidRDefault="00453426" w:rsidP="00453426">
      <w:pPr>
        <w:pStyle w:val="question"/>
      </w:pPr>
      <w:r>
        <w:t>Q</w:t>
      </w:r>
      <w:r w:rsidRPr="009075DC">
        <w:t>.</w:t>
      </w:r>
      <w:r w:rsidRPr="009075DC">
        <w:tab/>
      </w:r>
      <w:r>
        <w:t>What do parties propose related to PSE’s</w:t>
      </w:r>
      <w:r w:rsidR="00D82534">
        <w:t xml:space="preserve"> allocation of gas mains?</w:t>
      </w:r>
    </w:p>
    <w:p w:rsidR="00453426" w:rsidRDefault="00453426" w:rsidP="00453426">
      <w:pPr>
        <w:pStyle w:val="answer"/>
      </w:pPr>
      <w:r w:rsidRPr="009075DC">
        <w:rPr>
          <w:rFonts w:eastAsia="SimSun"/>
        </w:rPr>
        <w:t>A.</w:t>
      </w:r>
      <w:r w:rsidRPr="009075DC">
        <w:rPr>
          <w:rFonts w:eastAsia="SimSun"/>
        </w:rPr>
        <w:tab/>
      </w:r>
      <w:r w:rsidR="00C711B9">
        <w:rPr>
          <w:rFonts w:eastAsia="SimSun"/>
        </w:rPr>
        <w:t>The parties</w:t>
      </w:r>
      <w:r w:rsidR="00AB4636">
        <w:rPr>
          <w:rFonts w:eastAsia="SimSun"/>
        </w:rPr>
        <w:t>’</w:t>
      </w:r>
      <w:r w:rsidR="00C711B9">
        <w:rPr>
          <w:rFonts w:eastAsia="SimSun"/>
        </w:rPr>
        <w:t xml:space="preserve"> proposals can generally be broken down into two categories, the method for classifying costs between demand and energy and the method for allocating demand-related costs.</w:t>
      </w:r>
    </w:p>
    <w:p w:rsidR="005B22A5" w:rsidRPr="009075DC" w:rsidRDefault="005B22A5" w:rsidP="00A15B24">
      <w:pPr>
        <w:pStyle w:val="PleadingsL3"/>
        <w:rPr>
          <w:rFonts w:eastAsia="SimSun"/>
        </w:rPr>
      </w:pPr>
      <w:bookmarkStart w:id="48" w:name="_Toc489871496"/>
      <w:r>
        <w:rPr>
          <w:rFonts w:eastAsia="SimSun"/>
        </w:rPr>
        <w:t xml:space="preserve">Peak </w:t>
      </w:r>
      <w:r w:rsidR="00D93CD5">
        <w:rPr>
          <w:rFonts w:eastAsia="SimSun"/>
        </w:rPr>
        <w:t xml:space="preserve">and </w:t>
      </w:r>
      <w:r w:rsidRPr="00EC52CB">
        <w:rPr>
          <w:rFonts w:eastAsia="SimSun"/>
        </w:rPr>
        <w:t>Average</w:t>
      </w:r>
      <w:r w:rsidR="00D93CD5">
        <w:rPr>
          <w:rFonts w:eastAsia="SimSun"/>
        </w:rPr>
        <w:t xml:space="preserve"> Methodology</w:t>
      </w:r>
      <w:bookmarkEnd w:id="48"/>
    </w:p>
    <w:p w:rsidR="00453426" w:rsidRPr="009075DC" w:rsidRDefault="00453426" w:rsidP="00453426">
      <w:pPr>
        <w:pStyle w:val="question"/>
      </w:pPr>
      <w:r>
        <w:t>Q</w:t>
      </w:r>
      <w:r w:rsidRPr="009075DC">
        <w:t>.</w:t>
      </w:r>
      <w:r w:rsidRPr="009075DC">
        <w:tab/>
      </w:r>
      <w:r>
        <w:t>Please summarize the parties’ proposals re</w:t>
      </w:r>
      <w:r w:rsidR="00001F46">
        <w:t>lated to PSE’s use of the “</w:t>
      </w:r>
      <w:r w:rsidR="00A95B38">
        <w:t>p</w:t>
      </w:r>
      <w:r w:rsidR="00001F46">
        <w:t>eak and</w:t>
      </w:r>
      <w:r>
        <w:t xml:space="preserve"> </w:t>
      </w:r>
      <w:r w:rsidR="00A95B38">
        <w:t>a</w:t>
      </w:r>
      <w:r>
        <w:t>verage</w:t>
      </w:r>
      <w:r w:rsidR="00001F46">
        <w:t>”</w:t>
      </w:r>
      <w:r>
        <w:t xml:space="preserve"> method for </w:t>
      </w:r>
      <w:r w:rsidR="00C711B9">
        <w:t>classifying</w:t>
      </w:r>
      <w:r>
        <w:t xml:space="preserve"> gas mains.</w:t>
      </w:r>
    </w:p>
    <w:p w:rsidR="00453426" w:rsidRDefault="00453426" w:rsidP="00453426">
      <w:pPr>
        <w:pStyle w:val="answer"/>
      </w:pPr>
      <w:r w:rsidRPr="009075DC">
        <w:rPr>
          <w:rFonts w:eastAsia="SimSun"/>
        </w:rPr>
        <w:t>A.</w:t>
      </w:r>
      <w:r w:rsidRPr="009075DC">
        <w:rPr>
          <w:rFonts w:eastAsia="SimSun"/>
        </w:rPr>
        <w:tab/>
      </w:r>
      <w:r w:rsidR="00444244">
        <w:rPr>
          <w:rFonts w:eastAsia="SimSun"/>
        </w:rPr>
        <w:t>NWIGU witness Brian Collins argues that the peak and average methodology used by PSE to allocate mains doe</w:t>
      </w:r>
      <w:r w:rsidR="00356BAC">
        <w:rPr>
          <w:rFonts w:eastAsia="SimSun"/>
        </w:rPr>
        <w:t>s</w:t>
      </w:r>
      <w:r w:rsidR="00444244">
        <w:rPr>
          <w:rFonts w:eastAsia="SimSun"/>
        </w:rPr>
        <w:t xml:space="preserve"> not best reflect cost of service and “double counts” the average component of the peak and average allocator, resulting in an over-allocation of costs to larger customers with high load factors.</w:t>
      </w:r>
      <w:r w:rsidR="00444244">
        <w:rPr>
          <w:rStyle w:val="FootnoteReference"/>
          <w:rFonts w:eastAsia="SimSun"/>
        </w:rPr>
        <w:footnoteReference w:id="121"/>
      </w:r>
      <w:r w:rsidR="00902913">
        <w:rPr>
          <w:rFonts w:eastAsia="SimSun"/>
        </w:rPr>
        <w:t xml:space="preserve"> </w:t>
      </w:r>
      <w:r w:rsidR="00444244">
        <w:rPr>
          <w:rFonts w:eastAsia="SimSun"/>
        </w:rPr>
        <w:t xml:space="preserve">He </w:t>
      </w:r>
      <w:r w:rsidR="00356BAC">
        <w:rPr>
          <w:rFonts w:eastAsia="SimSun"/>
        </w:rPr>
        <w:t xml:space="preserve">recommends instead that PSE allocate distribution mains </w:t>
      </w:r>
      <w:r w:rsidR="00A82911">
        <w:rPr>
          <w:rFonts w:eastAsia="SimSun"/>
        </w:rPr>
        <w:t xml:space="preserve">entirely on </w:t>
      </w:r>
      <w:r w:rsidR="00356BAC">
        <w:rPr>
          <w:rFonts w:eastAsia="SimSun"/>
        </w:rPr>
        <w:t>coincident demand.</w:t>
      </w:r>
      <w:r w:rsidR="00356BAC">
        <w:rPr>
          <w:rStyle w:val="FootnoteReference"/>
          <w:rFonts w:eastAsia="SimSun"/>
        </w:rPr>
        <w:footnoteReference w:id="122"/>
      </w:r>
      <w:r w:rsidR="00902913">
        <w:rPr>
          <w:rFonts w:eastAsia="SimSun"/>
        </w:rPr>
        <w:t xml:space="preserve"> </w:t>
      </w:r>
      <w:r w:rsidR="00356BAC">
        <w:rPr>
          <w:rFonts w:eastAsia="SimSun"/>
        </w:rPr>
        <w:t>Staff witness Jason Ball states that the main allocation methodology presented by PSE is acceptable for purposes of this case.</w:t>
      </w:r>
      <w:r w:rsidR="00356BAC">
        <w:rPr>
          <w:rStyle w:val="FootnoteReference"/>
          <w:rFonts w:eastAsia="SimSun"/>
        </w:rPr>
        <w:footnoteReference w:id="123"/>
      </w:r>
      <w:r w:rsidR="00902913">
        <w:rPr>
          <w:rFonts w:eastAsia="SimSun"/>
        </w:rPr>
        <w:t xml:space="preserve"> </w:t>
      </w:r>
      <w:r w:rsidR="00356BAC">
        <w:rPr>
          <w:rFonts w:eastAsia="SimSun"/>
        </w:rPr>
        <w:t>While he does not agree with many aspects of PSE’s methodology, Public Counsel witness Glenn Watkins acknowledges that the results of PSE’s gas study are not inherently biased against any customer.</w:t>
      </w:r>
      <w:r w:rsidR="00356BAC">
        <w:rPr>
          <w:rStyle w:val="FootnoteReference"/>
          <w:rFonts w:eastAsia="SimSun"/>
        </w:rPr>
        <w:footnoteReference w:id="124"/>
      </w:r>
    </w:p>
    <w:p w:rsidR="007A6FB2" w:rsidRPr="009075DC" w:rsidRDefault="007A6FB2" w:rsidP="007A6FB2">
      <w:pPr>
        <w:pStyle w:val="question"/>
      </w:pPr>
      <w:r w:rsidRPr="009075DC">
        <w:t>Q.</w:t>
      </w:r>
      <w:r w:rsidRPr="009075DC">
        <w:tab/>
      </w:r>
      <w:r>
        <w:t>How do you respond to NWIGU’s conclusion that the peak and average allocator double counts the average component of usage in the allocation of peak-related costs</w:t>
      </w:r>
      <w:r w:rsidRPr="009075DC">
        <w:t>?</w:t>
      </w:r>
    </w:p>
    <w:p w:rsidR="007A6FB2" w:rsidRDefault="007A6FB2" w:rsidP="007A6FB2">
      <w:pPr>
        <w:pStyle w:val="answer"/>
        <w:rPr>
          <w:rFonts w:eastAsia="SimSun"/>
        </w:rPr>
      </w:pPr>
      <w:r w:rsidRPr="009075DC">
        <w:rPr>
          <w:rFonts w:eastAsia="SimSun"/>
        </w:rPr>
        <w:t>A.</w:t>
      </w:r>
      <w:r w:rsidRPr="009075DC">
        <w:rPr>
          <w:rFonts w:eastAsia="SimSun"/>
        </w:rPr>
        <w:tab/>
      </w:r>
      <w:r>
        <w:rPr>
          <w:rFonts w:eastAsia="SimSun"/>
        </w:rPr>
        <w:t>I would merely point out that the same could likely be said of nearly every allocation factor that is built on peak loads.</w:t>
      </w:r>
      <w:r w:rsidR="00902913">
        <w:rPr>
          <w:rFonts w:eastAsia="SimSun"/>
        </w:rPr>
        <w:t xml:space="preserve"> </w:t>
      </w:r>
      <w:r>
        <w:rPr>
          <w:rFonts w:eastAsia="SimSun"/>
        </w:rPr>
        <w:t xml:space="preserve">Indeed, even </w:t>
      </w:r>
      <w:r w:rsidR="00D93CD5">
        <w:rPr>
          <w:rFonts w:eastAsia="SimSun"/>
        </w:rPr>
        <w:t xml:space="preserve">NWIGU’s </w:t>
      </w:r>
      <w:r>
        <w:rPr>
          <w:rFonts w:eastAsia="SimSun"/>
        </w:rPr>
        <w:t>proposed alternative includes average load as a subcomponent of the overall coincident peak load.</w:t>
      </w:r>
      <w:r w:rsidR="00902913">
        <w:rPr>
          <w:rFonts w:eastAsia="SimSun"/>
        </w:rPr>
        <w:t xml:space="preserve"> </w:t>
      </w:r>
      <w:r>
        <w:rPr>
          <w:rFonts w:eastAsia="SimSun"/>
        </w:rPr>
        <w:t>In reality, NWIGU’s issue is that a large portion of distribution mains costs are</w:t>
      </w:r>
      <w:r w:rsidR="00001F46">
        <w:rPr>
          <w:rFonts w:eastAsia="SimSun"/>
        </w:rPr>
        <w:t xml:space="preserve"> currently</w:t>
      </w:r>
      <w:r>
        <w:rPr>
          <w:rFonts w:eastAsia="SimSun"/>
        </w:rPr>
        <w:t xml:space="preserve"> being allocated on volumetric sales (including interruptible volumes) under the peak and average approach</w:t>
      </w:r>
      <w:r w:rsidR="00001F46">
        <w:rPr>
          <w:rFonts w:eastAsia="SimSun"/>
        </w:rPr>
        <w:t>, which leads to their proposal to allocate mains cost entirely on coincident demand</w:t>
      </w:r>
      <w:r>
        <w:rPr>
          <w:rFonts w:eastAsia="SimSun"/>
        </w:rPr>
        <w:t>.</w:t>
      </w:r>
    </w:p>
    <w:p w:rsidR="00453426" w:rsidRPr="009075DC" w:rsidRDefault="00453426" w:rsidP="00453426">
      <w:pPr>
        <w:pStyle w:val="question"/>
      </w:pPr>
      <w:r w:rsidRPr="009075DC">
        <w:t>Q.</w:t>
      </w:r>
      <w:r w:rsidRPr="009075DC">
        <w:tab/>
      </w:r>
      <w:r>
        <w:t>How do you respond</w:t>
      </w:r>
      <w:r w:rsidR="00083A53">
        <w:t xml:space="preserve"> to NWIGU’</w:t>
      </w:r>
      <w:r w:rsidR="007A6FB2">
        <w:t>s recommendation to allocate</w:t>
      </w:r>
      <w:r w:rsidR="00083A53">
        <w:t xml:space="preserve"> distribution mains entirely on coincident demand</w:t>
      </w:r>
      <w:r w:rsidRPr="009075DC">
        <w:t>?</w:t>
      </w:r>
    </w:p>
    <w:p w:rsidR="00B32E21" w:rsidRDefault="00453426" w:rsidP="00453426">
      <w:pPr>
        <w:pStyle w:val="answer"/>
        <w:rPr>
          <w:rFonts w:eastAsia="SimSun"/>
        </w:rPr>
      </w:pPr>
      <w:r w:rsidRPr="009075DC">
        <w:rPr>
          <w:rFonts w:eastAsia="SimSun"/>
        </w:rPr>
        <w:t>A.</w:t>
      </w:r>
      <w:r w:rsidRPr="009075DC">
        <w:rPr>
          <w:rFonts w:eastAsia="SimSun"/>
        </w:rPr>
        <w:tab/>
      </w:r>
      <w:r w:rsidR="00B32E21">
        <w:rPr>
          <w:rFonts w:eastAsia="SimSun"/>
        </w:rPr>
        <w:t>NWIGU’s proposal appears inconsistent with prior guidance from the Commission.</w:t>
      </w:r>
      <w:r w:rsidR="00902913">
        <w:rPr>
          <w:rFonts w:eastAsia="SimSun"/>
        </w:rPr>
        <w:t xml:space="preserve"> </w:t>
      </w:r>
      <w:r w:rsidR="00732427">
        <w:rPr>
          <w:rFonts w:eastAsia="SimSun"/>
        </w:rPr>
        <w:t xml:space="preserve">In past cases, the Commission has </w:t>
      </w:r>
      <w:r w:rsidR="00130888">
        <w:rPr>
          <w:rFonts w:eastAsia="SimSun"/>
        </w:rPr>
        <w:t xml:space="preserve">stated </w:t>
      </w:r>
      <w:r w:rsidR="00732427">
        <w:rPr>
          <w:rFonts w:eastAsia="SimSun"/>
        </w:rPr>
        <w:t xml:space="preserve">its preference for </w:t>
      </w:r>
      <w:r w:rsidR="00B32E21">
        <w:rPr>
          <w:rFonts w:eastAsia="SimSun"/>
        </w:rPr>
        <w:t>allocating gas main</w:t>
      </w:r>
      <w:r w:rsidR="00732427">
        <w:rPr>
          <w:rFonts w:eastAsia="SimSun"/>
        </w:rPr>
        <w:t xml:space="preserve"> costs in a manner that reflects both the way the</w:t>
      </w:r>
      <w:r w:rsidR="00B32E21">
        <w:rPr>
          <w:rFonts w:eastAsia="SimSun"/>
        </w:rPr>
        <w:t>se</w:t>
      </w:r>
      <w:r w:rsidR="00732427">
        <w:rPr>
          <w:rFonts w:eastAsia="SimSun"/>
        </w:rPr>
        <w:t xml:space="preserve"> costs are incurred, as well as the way the system is used.</w:t>
      </w:r>
      <w:r w:rsidR="00B32E21">
        <w:rPr>
          <w:rStyle w:val="FootnoteReference"/>
          <w:rFonts w:eastAsia="SimSun"/>
        </w:rPr>
        <w:footnoteReference w:id="125"/>
      </w:r>
      <w:r w:rsidR="00902913">
        <w:rPr>
          <w:rFonts w:eastAsia="SimSun"/>
        </w:rPr>
        <w:t xml:space="preserve"> </w:t>
      </w:r>
      <w:r w:rsidR="00732427">
        <w:rPr>
          <w:rFonts w:eastAsia="SimSun"/>
        </w:rPr>
        <w:t xml:space="preserve">While </w:t>
      </w:r>
      <w:r w:rsidR="00B32E21">
        <w:rPr>
          <w:rFonts w:eastAsia="SimSun"/>
        </w:rPr>
        <w:t>Mr. Collins</w:t>
      </w:r>
      <w:r w:rsidR="00732427">
        <w:rPr>
          <w:rFonts w:eastAsia="SimSun"/>
        </w:rPr>
        <w:t xml:space="preserve"> </w:t>
      </w:r>
      <w:r w:rsidR="00365D1E">
        <w:rPr>
          <w:rFonts w:eastAsia="SimSun"/>
        </w:rPr>
        <w:t xml:space="preserve">reasonably </w:t>
      </w:r>
      <w:r w:rsidR="00732427">
        <w:rPr>
          <w:rFonts w:eastAsia="SimSun"/>
        </w:rPr>
        <w:t>portray</w:t>
      </w:r>
      <w:r w:rsidR="00B32E21">
        <w:rPr>
          <w:rFonts w:eastAsia="SimSun"/>
        </w:rPr>
        <w:t>s</w:t>
      </w:r>
      <w:r w:rsidR="00732427">
        <w:rPr>
          <w:rFonts w:eastAsia="SimSun"/>
        </w:rPr>
        <w:t xml:space="preserve"> the manner in which PSE’s costs are incurred, NWIGU’s proposal appears to ignore the Commission’s guidance</w:t>
      </w:r>
      <w:r w:rsidR="00B32E21">
        <w:rPr>
          <w:rFonts w:eastAsia="SimSun"/>
        </w:rPr>
        <w:t xml:space="preserve"> to also reflect the manner in which the system is used.</w:t>
      </w:r>
      <w:r w:rsidR="00902913">
        <w:rPr>
          <w:rFonts w:eastAsia="SimSun"/>
        </w:rPr>
        <w:t xml:space="preserve"> </w:t>
      </w:r>
    </w:p>
    <w:p w:rsidR="00B32E21" w:rsidRPr="00AD64AE" w:rsidRDefault="00B32E21" w:rsidP="00EC52CB">
      <w:pPr>
        <w:pStyle w:val="question"/>
      </w:pPr>
      <w:r w:rsidRPr="00AD64AE">
        <w:t>Q.</w:t>
      </w:r>
      <w:r w:rsidRPr="00AD64AE">
        <w:tab/>
        <w:t>Why is it important to reflect both cost causation and system usage in the allocation of gas distribution mains?</w:t>
      </w:r>
    </w:p>
    <w:p w:rsidR="00B32E21" w:rsidRDefault="00B32E21" w:rsidP="00453426">
      <w:pPr>
        <w:pStyle w:val="answer"/>
        <w:rPr>
          <w:rFonts w:eastAsia="SimSun"/>
        </w:rPr>
      </w:pPr>
      <w:r>
        <w:rPr>
          <w:rFonts w:eastAsia="SimSun"/>
        </w:rPr>
        <w:t>A</w:t>
      </w:r>
      <w:r w:rsidR="00453426">
        <w:rPr>
          <w:rFonts w:eastAsia="SimSun"/>
        </w:rPr>
        <w:t>.</w:t>
      </w:r>
      <w:r>
        <w:rPr>
          <w:rFonts w:eastAsia="SimSun"/>
        </w:rPr>
        <w:tab/>
        <w:t>To do otherwise may invite a free rider problem, particularly for customers with interruptible loads.</w:t>
      </w:r>
      <w:r w:rsidR="00902913">
        <w:rPr>
          <w:rFonts w:eastAsia="SimSun"/>
        </w:rPr>
        <w:t xml:space="preserve"> </w:t>
      </w:r>
      <w:r>
        <w:rPr>
          <w:rFonts w:eastAsia="SimSun"/>
        </w:rPr>
        <w:t xml:space="preserve">This issue was summarized well by Janet Phelps in PSE’s 2007 GRC, where she noted </w:t>
      </w:r>
    </w:p>
    <w:p w:rsidR="00453426" w:rsidRPr="006E26E2" w:rsidRDefault="00130888" w:rsidP="002917CC">
      <w:pPr>
        <w:pStyle w:val="Quote"/>
        <w:ind w:right="720"/>
        <w:rPr>
          <w:rFonts w:eastAsia="SimSun"/>
        </w:rPr>
      </w:pPr>
      <w:r>
        <w:t>[W]</w:t>
      </w:r>
      <w:r w:rsidR="00B32E21" w:rsidRPr="006E26E2">
        <w:t>hile the system is not sized to serve large interruptible loads, those interruptible customers do use the system and therefore should pay a portion of the costs.</w:t>
      </w:r>
      <w:r w:rsidR="00902913">
        <w:t xml:space="preserve"> </w:t>
      </w:r>
      <w:r w:rsidR="00B32E21" w:rsidRPr="006E26E2">
        <w:t>The fact that their interruptible loads would be curtailed in the event of a design day peak should not exempt interruptible customers from contributing to capacity costs, since the system is used to deliver gas to them, including on many days during the peak season, and they benefit from the system.</w:t>
      </w:r>
      <w:r w:rsidR="00902913">
        <w:t xml:space="preserve"> </w:t>
      </w:r>
      <w:r w:rsidR="00B32E21" w:rsidRPr="006E26E2">
        <w:t xml:space="preserve">Simply put, these customers would not be able to receive </w:t>
      </w:r>
      <w:r w:rsidR="00B32E21" w:rsidRPr="006E26E2">
        <w:rPr>
          <w:u w:val="single"/>
        </w:rPr>
        <w:t>any</w:t>
      </w:r>
      <w:r w:rsidR="00B32E21" w:rsidRPr="006E26E2">
        <w:t xml:space="preserve"> interruptible service if the pipes had not been built to serve firm customers; they should not be able to use the mains for free.</w:t>
      </w:r>
      <w:r w:rsidR="00B32E21" w:rsidRPr="006E26E2">
        <w:rPr>
          <w:rStyle w:val="FootnoteReference"/>
        </w:rPr>
        <w:footnoteReference w:id="126"/>
      </w:r>
    </w:p>
    <w:p w:rsidR="00B32E21" w:rsidRPr="007A6FB2" w:rsidRDefault="00414E7C" w:rsidP="00EC52CB">
      <w:pPr>
        <w:pStyle w:val="question"/>
      </w:pPr>
      <w:r w:rsidRPr="007A6FB2">
        <w:t>Q.</w:t>
      </w:r>
      <w:r w:rsidRPr="007A6FB2">
        <w:tab/>
        <w:t>Has PSE’</w:t>
      </w:r>
      <w:r w:rsidR="007A6FB2">
        <w:t>s approach to allocating</w:t>
      </w:r>
      <w:r w:rsidRPr="007A6FB2">
        <w:t xml:space="preserve"> distribution mains been validated by any other independent third party?</w:t>
      </w:r>
    </w:p>
    <w:p w:rsidR="00E10015" w:rsidRDefault="00414E7C" w:rsidP="00A82911">
      <w:pPr>
        <w:pStyle w:val="answer"/>
      </w:pPr>
      <w:r>
        <w:t>A.</w:t>
      </w:r>
      <w:r>
        <w:tab/>
        <w:t xml:space="preserve">Yes, as part of the settlement of PSE’s filing in Docket UG-151663, </w:t>
      </w:r>
      <w:r w:rsidR="00E10015">
        <w:t>PSE’s cost allocation methods, including for allocating</w:t>
      </w:r>
      <w:r w:rsidR="007A6FB2">
        <w:t xml:space="preserve"> distribution</w:t>
      </w:r>
      <w:r w:rsidR="00E10015">
        <w:t xml:space="preserve"> mains to retail customers, was extensively reviewed by Brown, Williams, Moorehead &amp; Quinn (“BWMQ”) on behalf of the mediating parties to that case.</w:t>
      </w:r>
      <w:r w:rsidR="00902913">
        <w:t xml:space="preserve"> </w:t>
      </w:r>
      <w:r w:rsidR="00E10015">
        <w:t>In its final report, it concluded:</w:t>
      </w:r>
    </w:p>
    <w:p w:rsidR="00E10015" w:rsidRPr="00E10015" w:rsidRDefault="00E10015" w:rsidP="00EC52CB">
      <w:pPr>
        <w:pStyle w:val="Quote"/>
        <w:rPr>
          <w:i/>
        </w:rPr>
      </w:pPr>
      <w:r w:rsidRPr="006E26E2">
        <w:t>BWMQ believes that PSE’s filed case generally reflects traditional regulatory rate making concepts. BWMQ further believes that the cost classification, cost allocation and rate making principles used by PSE are within the normal definitions of just and reasonable rate making standards and in accord with the Washington Utilities and Transportation Commission’s (Washington Commission) approved rate making methodology for PSE. PSE’s witnesses Free and Piliaris follow the cost and rate making principles that have been previously accepted by the Washington Commission.</w:t>
      </w:r>
      <w:r w:rsidRPr="006E26E2">
        <w:rPr>
          <w:rStyle w:val="FootnoteReference"/>
        </w:rPr>
        <w:footnoteReference w:id="127"/>
      </w:r>
    </w:p>
    <w:p w:rsidR="00414E7C" w:rsidRPr="00643C93" w:rsidRDefault="00E10015" w:rsidP="00EC52CB">
      <w:pPr>
        <w:pStyle w:val="question"/>
      </w:pPr>
      <w:r w:rsidRPr="00643C93">
        <w:t xml:space="preserve"> </w:t>
      </w:r>
      <w:r w:rsidR="007A6FB2" w:rsidRPr="00643C93">
        <w:t>Q.</w:t>
      </w:r>
      <w:r w:rsidR="007A6FB2" w:rsidRPr="00643C93">
        <w:tab/>
        <w:t>Are there any other implications of NWIGU’s proposal to allocate all distribution mains costs on the basis of coincident peak demand?</w:t>
      </w:r>
    </w:p>
    <w:p w:rsidR="007A6FB2" w:rsidRDefault="007A6FB2" w:rsidP="00A82911">
      <w:pPr>
        <w:pStyle w:val="answer"/>
      </w:pPr>
      <w:r>
        <w:t>A.</w:t>
      </w:r>
      <w:r>
        <w:tab/>
        <w:t>Yes, there may be rate design implications.</w:t>
      </w:r>
      <w:r w:rsidR="00902913">
        <w:t xml:space="preserve"> </w:t>
      </w:r>
      <w:r>
        <w:t>Currently, these costs are split between energy and demand under the peak and average methodology.</w:t>
      </w:r>
      <w:r w:rsidR="00902913">
        <w:t xml:space="preserve"> </w:t>
      </w:r>
      <w:r>
        <w:t>Under NWIGU’s proposal, these costs woul</w:t>
      </w:r>
      <w:r w:rsidR="00365D1E">
        <w:t>d be considered entirely demand-</w:t>
      </w:r>
      <w:r>
        <w:t>related.</w:t>
      </w:r>
      <w:r w:rsidR="00902913">
        <w:t xml:space="preserve"> </w:t>
      </w:r>
      <w:r>
        <w:t>As Mr. Collins notes, prices should follow costs.</w:t>
      </w:r>
      <w:r w:rsidR="00643C93">
        <w:rPr>
          <w:rStyle w:val="FootnoteReference"/>
        </w:rPr>
        <w:footnoteReference w:id="128"/>
      </w:r>
      <w:r w:rsidR="00902913">
        <w:t xml:space="preserve"> </w:t>
      </w:r>
      <w:r>
        <w:t xml:space="preserve">Therefore, </w:t>
      </w:r>
      <w:r w:rsidR="00643C93">
        <w:t>demand charges would need to be set far higher to recover these costs. Currently, PSE charges approximately $1.14 per therm of peak or contract demand.</w:t>
      </w:r>
      <w:r w:rsidR="00902913">
        <w:t xml:space="preserve"> </w:t>
      </w:r>
      <w:r>
        <w:t xml:space="preserve"> </w:t>
      </w:r>
      <w:r w:rsidR="00643C93">
        <w:t>Cost-based demand charges</w:t>
      </w:r>
      <w:r w:rsidR="00365D1E">
        <w:t xml:space="preserve"> for interruptible customers</w:t>
      </w:r>
      <w:r w:rsidR="00643C93">
        <w:t xml:space="preserve"> under NWIGU’s proposal, using their analysis, would range from $2.89 per therm for Schedule 85 and 85T</w:t>
      </w:r>
      <w:r>
        <w:t xml:space="preserve"> </w:t>
      </w:r>
      <w:r w:rsidR="00643C93">
        <w:t>to $3.74 per therm for Schedules 86 and 86T.</w:t>
      </w:r>
      <w:r w:rsidR="00902913">
        <w:t xml:space="preserve"> </w:t>
      </w:r>
      <w:r w:rsidR="00643C93">
        <w:t>Despite NWIGU’s support for sending accurate price signals, they failed to propose that the price signals from their proposal actually be reflected in the design of gas rates.</w:t>
      </w:r>
    </w:p>
    <w:p w:rsidR="005B22A5" w:rsidRPr="009075DC" w:rsidRDefault="005B22A5" w:rsidP="00A15B24">
      <w:pPr>
        <w:pStyle w:val="PleadingsL3"/>
        <w:rPr>
          <w:rFonts w:eastAsia="SimSun"/>
        </w:rPr>
      </w:pPr>
      <w:bookmarkStart w:id="49" w:name="_Toc489871497"/>
      <w:r>
        <w:rPr>
          <w:rFonts w:eastAsia="SimSun"/>
        </w:rPr>
        <w:t xml:space="preserve">Design Day </w:t>
      </w:r>
      <w:r w:rsidRPr="00B2552A">
        <w:rPr>
          <w:rFonts w:eastAsia="SimSun"/>
        </w:rPr>
        <w:t>Peak</w:t>
      </w:r>
      <w:bookmarkEnd w:id="49"/>
    </w:p>
    <w:p w:rsidR="00453426" w:rsidRPr="009075DC" w:rsidRDefault="00453426" w:rsidP="00453426">
      <w:pPr>
        <w:pStyle w:val="question"/>
      </w:pPr>
      <w:r>
        <w:t>Q</w:t>
      </w:r>
      <w:r w:rsidRPr="009075DC">
        <w:t>.</w:t>
      </w:r>
      <w:r w:rsidRPr="009075DC">
        <w:tab/>
      </w:r>
      <w:r>
        <w:t>Please summarize Staff’s position related to PSE’s use of design day peak for the allocation of gas mains costs.</w:t>
      </w:r>
    </w:p>
    <w:p w:rsidR="00453426" w:rsidRDefault="00453426" w:rsidP="00453426">
      <w:pPr>
        <w:pStyle w:val="answer"/>
        <w:rPr>
          <w:rFonts w:eastAsia="SimSun"/>
        </w:rPr>
      </w:pPr>
      <w:r w:rsidRPr="009075DC">
        <w:rPr>
          <w:rFonts w:eastAsia="SimSun"/>
        </w:rPr>
        <w:t>A.</w:t>
      </w:r>
      <w:r w:rsidRPr="009075DC">
        <w:rPr>
          <w:rFonts w:eastAsia="SimSun"/>
        </w:rPr>
        <w:tab/>
      </w:r>
      <w:r w:rsidR="0056573E">
        <w:rPr>
          <w:rFonts w:eastAsia="SimSun"/>
        </w:rPr>
        <w:t xml:space="preserve">Staff witness Jason Ball rejects PSE’s use of design day peak </w:t>
      </w:r>
      <w:r w:rsidR="00B2552A">
        <w:rPr>
          <w:rFonts w:eastAsia="SimSun"/>
        </w:rPr>
        <w:t xml:space="preserve">for </w:t>
      </w:r>
      <w:r w:rsidR="0056573E">
        <w:rPr>
          <w:rFonts w:eastAsia="SimSun"/>
        </w:rPr>
        <w:t>the allocation of gas mains costs and instead proposes using the average class use in the highest five-day period for each of the last three years</w:t>
      </w:r>
      <w:r>
        <w:rPr>
          <w:rFonts w:eastAsia="SimSun"/>
        </w:rPr>
        <w:t>.</w:t>
      </w:r>
      <w:r w:rsidR="0056573E">
        <w:rPr>
          <w:rStyle w:val="FootnoteReference"/>
          <w:rFonts w:eastAsia="SimSun"/>
        </w:rPr>
        <w:footnoteReference w:id="129"/>
      </w:r>
    </w:p>
    <w:p w:rsidR="00032CE2" w:rsidRPr="00032CE2" w:rsidRDefault="00032CE2" w:rsidP="00745DFD">
      <w:pPr>
        <w:pStyle w:val="question"/>
      </w:pPr>
      <w:r w:rsidRPr="00032CE2">
        <w:t>Q.</w:t>
      </w:r>
      <w:r w:rsidRPr="00032CE2">
        <w:tab/>
        <w:t>Does NWIGU support the use of actual peak loads for the allocation of gas mains costs?</w:t>
      </w:r>
    </w:p>
    <w:p w:rsidR="00032CE2" w:rsidRDefault="00032CE2" w:rsidP="00453426">
      <w:pPr>
        <w:pStyle w:val="answer"/>
      </w:pPr>
      <w:r>
        <w:rPr>
          <w:rFonts w:eastAsia="SimSun"/>
        </w:rPr>
        <w:t>A.</w:t>
      </w:r>
      <w:r>
        <w:tab/>
      </w:r>
      <w:r w:rsidR="0000015C">
        <w:t>Yes, NWIGU</w:t>
      </w:r>
      <w:r w:rsidR="00902913">
        <w:t xml:space="preserve"> </w:t>
      </w:r>
      <w:r>
        <w:t>appears to</w:t>
      </w:r>
      <w:r w:rsidR="0000015C">
        <w:t xml:space="preserve"> support this</w:t>
      </w:r>
      <w:r>
        <w:t>, recommending the use of a “coincident demand” allocator to allocate PSE’s distribution main capacity related costs.</w:t>
      </w:r>
      <w:r>
        <w:rPr>
          <w:rStyle w:val="FootnoteReference"/>
        </w:rPr>
        <w:footnoteReference w:id="130"/>
      </w:r>
      <w:r w:rsidR="00902913">
        <w:t xml:space="preserve">  </w:t>
      </w:r>
    </w:p>
    <w:p w:rsidR="00091566" w:rsidRPr="00091566" w:rsidRDefault="00091566" w:rsidP="00745DFD">
      <w:pPr>
        <w:pStyle w:val="question"/>
      </w:pPr>
      <w:r w:rsidRPr="00091566">
        <w:t>Q.</w:t>
      </w:r>
      <w:r w:rsidRPr="00091566">
        <w:tab/>
        <w:t xml:space="preserve">Is the use of actual peak loads appropriate in light of the Commission’s historic </w:t>
      </w:r>
      <w:r>
        <w:t xml:space="preserve">preference to </w:t>
      </w:r>
      <w:r w:rsidRPr="00091566">
        <w:t xml:space="preserve">balance the allocation of distribution costs </w:t>
      </w:r>
      <w:r>
        <w:t>between</w:t>
      </w:r>
      <w:r w:rsidRPr="00091566">
        <w:t xml:space="preserve"> cost causation </w:t>
      </w:r>
      <w:r>
        <w:t>and actual</w:t>
      </w:r>
      <w:r w:rsidRPr="00091566">
        <w:t xml:space="preserve"> use of the system?</w:t>
      </w:r>
    </w:p>
    <w:p w:rsidR="00091566" w:rsidRDefault="00091566" w:rsidP="00091566">
      <w:pPr>
        <w:pStyle w:val="answer"/>
        <w:rPr>
          <w:rFonts w:eastAsia="SimSun"/>
        </w:rPr>
      </w:pPr>
      <w:r>
        <w:rPr>
          <w:rFonts w:eastAsia="SimSun"/>
        </w:rPr>
        <w:t>A.</w:t>
      </w:r>
      <w:r>
        <w:rPr>
          <w:rFonts w:eastAsia="SimSun"/>
        </w:rPr>
        <w:tab/>
        <w:t>No. Using actual peak loads, rather than design day loads, to allocate peak demand costs would tip the scales strongly in favor of allocating substantially all of PSE’s distribution mains costs solely on the way the system is currently being used, rather than on the basis of how the cost were incurred in the first place (i.e., based on design day planning criteria).</w:t>
      </w:r>
      <w:r w:rsidR="00902913">
        <w:rPr>
          <w:rFonts w:eastAsia="SimSun"/>
        </w:rPr>
        <w:t xml:space="preserve"> </w:t>
      </w:r>
      <w:r w:rsidR="006D2061">
        <w:rPr>
          <w:rFonts w:eastAsia="SimSun"/>
        </w:rPr>
        <w:t>One only has to note that actual peak demands have recently been approximately one-third lower than design day peak levels to realize that PSE is not planning</w:t>
      </w:r>
      <w:r>
        <w:rPr>
          <w:rFonts w:eastAsia="SimSun"/>
        </w:rPr>
        <w:t>, nor investing,</w:t>
      </w:r>
      <w:r w:rsidR="006D2061">
        <w:rPr>
          <w:rFonts w:eastAsia="SimSun"/>
        </w:rPr>
        <w:t xml:space="preserve"> </w:t>
      </w:r>
      <w:r w:rsidR="00365D1E">
        <w:rPr>
          <w:rFonts w:eastAsia="SimSun"/>
        </w:rPr>
        <w:t>on</w:t>
      </w:r>
      <w:r w:rsidR="006D2061">
        <w:rPr>
          <w:rFonts w:eastAsia="SimSun"/>
        </w:rPr>
        <w:t xml:space="preserve"> these historically low actual levels.</w:t>
      </w:r>
      <w:r w:rsidR="00902913">
        <w:rPr>
          <w:rFonts w:eastAsia="SimSun"/>
        </w:rPr>
        <w:t xml:space="preserve"> </w:t>
      </w:r>
      <w:r w:rsidR="00860BAD">
        <w:rPr>
          <w:rFonts w:eastAsia="SimSun"/>
        </w:rPr>
        <w:t xml:space="preserve">Moreover, a substantial portion of distribution main costs are already being allocated on </w:t>
      </w:r>
      <w:r w:rsidR="0035029A">
        <w:rPr>
          <w:rFonts w:eastAsia="SimSun"/>
        </w:rPr>
        <w:t xml:space="preserve">test year </w:t>
      </w:r>
      <w:r w:rsidR="00860BAD">
        <w:rPr>
          <w:rFonts w:eastAsia="SimSun"/>
        </w:rPr>
        <w:t>volume</w:t>
      </w:r>
      <w:r w:rsidR="0035029A">
        <w:rPr>
          <w:rFonts w:eastAsia="SimSun"/>
        </w:rPr>
        <w:t>s</w:t>
      </w:r>
      <w:r w:rsidR="006E7893">
        <w:rPr>
          <w:rFonts w:eastAsia="SimSun"/>
        </w:rPr>
        <w:t>, which again are</w:t>
      </w:r>
      <w:r w:rsidR="00860BAD">
        <w:rPr>
          <w:rFonts w:eastAsia="SimSun"/>
        </w:rPr>
        <w:t xml:space="preserve"> a measure of actual usage rather than </w:t>
      </w:r>
      <w:r w:rsidR="0035029A">
        <w:rPr>
          <w:rFonts w:eastAsia="SimSun"/>
        </w:rPr>
        <w:t>planned peaking needs.</w:t>
      </w:r>
    </w:p>
    <w:p w:rsidR="00091566" w:rsidRPr="000374F8" w:rsidRDefault="006E7893" w:rsidP="00745DFD">
      <w:pPr>
        <w:pStyle w:val="question"/>
      </w:pPr>
      <w:r w:rsidRPr="000374F8">
        <w:t>Q.</w:t>
      </w:r>
      <w:r w:rsidRPr="000374F8">
        <w:tab/>
        <w:t>What further guidance do you offer the Commission in relation to the various proposals to change the way in which PSE allocated gas distribution mains?</w:t>
      </w:r>
    </w:p>
    <w:p w:rsidR="006E7893" w:rsidRDefault="006E7893" w:rsidP="00091566">
      <w:pPr>
        <w:pStyle w:val="answer"/>
        <w:rPr>
          <w:rFonts w:eastAsia="SimSun"/>
        </w:rPr>
      </w:pPr>
      <w:r>
        <w:rPr>
          <w:rFonts w:eastAsia="SimSun"/>
        </w:rPr>
        <w:t>A.</w:t>
      </w:r>
      <w:r>
        <w:rPr>
          <w:rFonts w:eastAsia="SimSun"/>
        </w:rPr>
        <w:tab/>
        <w:t>PSE would recommend focusing on the big picture and end results</w:t>
      </w:r>
      <w:r w:rsidR="00365D1E">
        <w:rPr>
          <w:rFonts w:eastAsia="SimSun"/>
        </w:rPr>
        <w:t xml:space="preserve"> to produce a fair, just, reasonable and balanced result</w:t>
      </w:r>
      <w:r>
        <w:rPr>
          <w:rFonts w:eastAsia="SimSun"/>
        </w:rPr>
        <w:t>.</w:t>
      </w:r>
      <w:r w:rsidR="00902913">
        <w:rPr>
          <w:rFonts w:eastAsia="SimSun"/>
        </w:rPr>
        <w:t xml:space="preserve"> </w:t>
      </w:r>
      <w:r>
        <w:rPr>
          <w:rFonts w:eastAsia="SimSun"/>
        </w:rPr>
        <w:t>Too often, cost allocation and rate design proposals are made in a vacuum, without due consideration to other related factors.</w:t>
      </w:r>
      <w:r w:rsidR="00902913">
        <w:rPr>
          <w:rFonts w:eastAsia="SimSun"/>
        </w:rPr>
        <w:t xml:space="preserve"> </w:t>
      </w:r>
      <w:r w:rsidR="000374F8">
        <w:rPr>
          <w:rFonts w:eastAsia="SimSun"/>
        </w:rPr>
        <w:t>Note that the methodology proposed by PSE reflects a splitting of what could arguabl</w:t>
      </w:r>
      <w:r w:rsidR="00365D1E">
        <w:rPr>
          <w:rFonts w:eastAsia="SimSun"/>
        </w:rPr>
        <w:t>y be considered entirely demand-</w:t>
      </w:r>
      <w:r w:rsidR="000374F8">
        <w:rPr>
          <w:rFonts w:eastAsia="SimSun"/>
        </w:rPr>
        <w:t>related cost, between demand and energy.</w:t>
      </w:r>
      <w:r w:rsidR="00902913">
        <w:rPr>
          <w:rFonts w:eastAsia="SimSun"/>
        </w:rPr>
        <w:t xml:space="preserve"> </w:t>
      </w:r>
      <w:r w:rsidR="00365D1E">
        <w:rPr>
          <w:rFonts w:eastAsia="SimSun"/>
        </w:rPr>
        <w:t>PSE’s methodology further allocates a portion of costs on the basis of cost causation (i.e., design day peak) and a portion on how the system is used (i.e., volumetric usage).</w:t>
      </w:r>
      <w:r w:rsidR="00902913">
        <w:rPr>
          <w:rFonts w:eastAsia="SimSun"/>
        </w:rPr>
        <w:t xml:space="preserve"> </w:t>
      </w:r>
      <w:r w:rsidR="00365D1E">
        <w:rPr>
          <w:rFonts w:eastAsia="SimSun"/>
        </w:rPr>
        <w:t xml:space="preserve">Costs </w:t>
      </w:r>
      <w:r w:rsidR="000374F8">
        <w:rPr>
          <w:rFonts w:eastAsia="SimSun"/>
        </w:rPr>
        <w:t>deemed to be energy-related are further split between main sizes to provide a more refined allocation between the rate classes. In short, PSE’s proposal already instills many checks and balances, which Staff’s and NWIGU’s proposals would otherwise remove</w:t>
      </w:r>
      <w:r w:rsidR="00365D1E">
        <w:rPr>
          <w:rFonts w:eastAsia="SimSun"/>
        </w:rPr>
        <w:t xml:space="preserve"> or at least tilt strongly in one direction or another</w:t>
      </w:r>
      <w:r w:rsidR="000374F8">
        <w:rPr>
          <w:rFonts w:eastAsia="SimSun"/>
        </w:rPr>
        <w:t>.</w:t>
      </w:r>
      <w:r w:rsidR="00902913">
        <w:rPr>
          <w:rFonts w:eastAsia="SimSun"/>
        </w:rPr>
        <w:t xml:space="preserve"> </w:t>
      </w:r>
      <w:r w:rsidR="000374F8">
        <w:rPr>
          <w:rFonts w:eastAsia="SimSun"/>
        </w:rPr>
        <w:t xml:space="preserve">Staff’s proposal would allocate substantially all mains costs on some measure of actual use, whereas </w:t>
      </w:r>
      <w:r w:rsidR="00365D1E">
        <w:rPr>
          <w:rFonts w:eastAsia="SimSun"/>
        </w:rPr>
        <w:t>PSE’s proposal balances actual and planned use.</w:t>
      </w:r>
      <w:r w:rsidR="00902913">
        <w:rPr>
          <w:rFonts w:eastAsia="SimSun"/>
        </w:rPr>
        <w:t xml:space="preserve"> </w:t>
      </w:r>
      <w:r w:rsidR="00365D1E">
        <w:rPr>
          <w:rFonts w:eastAsia="SimSun"/>
        </w:rPr>
        <w:t xml:space="preserve">Likewise, </w:t>
      </w:r>
      <w:r w:rsidR="000374F8">
        <w:rPr>
          <w:rFonts w:eastAsia="SimSun"/>
        </w:rPr>
        <w:t>NWIGU’s proposal would allocate all mains costs on demand alone</w:t>
      </w:r>
      <w:r w:rsidR="00365D1E">
        <w:rPr>
          <w:rFonts w:eastAsia="SimSun"/>
        </w:rPr>
        <w:t>, whereas PSE’s proposal treats mains costs as being partly due to demand and partly due to energy</w:t>
      </w:r>
      <w:r w:rsidR="000374F8">
        <w:rPr>
          <w:rFonts w:eastAsia="SimSun"/>
        </w:rPr>
        <w:t>.</w:t>
      </w:r>
      <w:r w:rsidR="00902913">
        <w:rPr>
          <w:rFonts w:eastAsia="SimSun"/>
        </w:rPr>
        <w:t xml:space="preserve"> </w:t>
      </w:r>
      <w:r w:rsidR="00365D1E">
        <w:rPr>
          <w:rFonts w:eastAsia="SimSun"/>
        </w:rPr>
        <w:t>That being said, d</w:t>
      </w:r>
      <w:r w:rsidR="000374F8">
        <w:rPr>
          <w:rFonts w:eastAsia="SimSun"/>
        </w:rPr>
        <w:t>ue to its superior balancing of interests, PSE recommend</w:t>
      </w:r>
      <w:r w:rsidR="00365D1E">
        <w:rPr>
          <w:rFonts w:eastAsia="SimSun"/>
        </w:rPr>
        <w:t>s</w:t>
      </w:r>
      <w:r w:rsidR="000374F8">
        <w:rPr>
          <w:rFonts w:eastAsia="SimSun"/>
        </w:rPr>
        <w:t xml:space="preserve"> that the Commission accept its proposal for the allocation of gas distribution mains over Staff’s and NWIGU’s.</w:t>
      </w:r>
      <w:r w:rsidR="00902913">
        <w:rPr>
          <w:rFonts w:eastAsia="SimSun"/>
        </w:rPr>
        <w:t xml:space="preserve"> </w:t>
      </w:r>
    </w:p>
    <w:p w:rsidR="00FF6B70" w:rsidRPr="009075DC" w:rsidRDefault="00FF6B70" w:rsidP="00A15B24">
      <w:pPr>
        <w:pStyle w:val="PleadingsL1"/>
        <w:rPr>
          <w:rFonts w:eastAsia="SimSun"/>
        </w:rPr>
      </w:pPr>
      <w:bookmarkStart w:id="50" w:name="_Toc489871498"/>
      <w:r>
        <w:rPr>
          <w:rFonts w:eastAsia="SimSun"/>
        </w:rPr>
        <w:t xml:space="preserve">RESPONSE TO ISSUES RAISED REGARDING NATURAL GAS RATE SPREAD </w:t>
      </w:r>
      <w:r w:rsidRPr="00745DFD">
        <w:rPr>
          <w:rFonts w:eastAsia="SimSun"/>
        </w:rPr>
        <w:t>AND</w:t>
      </w:r>
      <w:r>
        <w:rPr>
          <w:rFonts w:eastAsia="SimSun"/>
        </w:rPr>
        <w:t xml:space="preserve"> RATE DESIGN</w:t>
      </w:r>
      <w:bookmarkEnd w:id="50"/>
    </w:p>
    <w:p w:rsidR="00FF6B70" w:rsidRPr="003B5206" w:rsidRDefault="00FF6B70" w:rsidP="00A15B24">
      <w:pPr>
        <w:pStyle w:val="PleadingsL2"/>
      </w:pPr>
      <w:bookmarkStart w:id="51" w:name="_Toc489871499"/>
      <w:r>
        <w:t>Rate Spread</w:t>
      </w:r>
      <w:bookmarkEnd w:id="51"/>
    </w:p>
    <w:p w:rsidR="00453426" w:rsidRPr="009075DC" w:rsidRDefault="00453426" w:rsidP="00453426">
      <w:pPr>
        <w:pStyle w:val="question"/>
      </w:pPr>
      <w:r>
        <w:t>Q</w:t>
      </w:r>
      <w:r w:rsidRPr="009075DC">
        <w:t>.</w:t>
      </w:r>
      <w:r w:rsidRPr="009075DC">
        <w:tab/>
      </w:r>
      <w:r>
        <w:t>Please summarize the various parties’ proposals for PSE’s gas rate spread.</w:t>
      </w:r>
    </w:p>
    <w:p w:rsidR="00453426" w:rsidRDefault="00453426" w:rsidP="00453426">
      <w:pPr>
        <w:pStyle w:val="answer"/>
      </w:pPr>
      <w:r w:rsidRPr="009075DC">
        <w:rPr>
          <w:rFonts w:eastAsia="SimSun"/>
        </w:rPr>
        <w:t>A.</w:t>
      </w:r>
      <w:r w:rsidRPr="009075DC">
        <w:rPr>
          <w:rFonts w:eastAsia="SimSun"/>
        </w:rPr>
        <w:tab/>
      </w:r>
      <w:r w:rsidR="003974DA">
        <w:rPr>
          <w:rFonts w:eastAsia="SimSun"/>
        </w:rPr>
        <w:t>As with electric, Staff witness Jason Ball accepts PSE’s proposed methodology for rate spread</w:t>
      </w:r>
      <w:r>
        <w:rPr>
          <w:rFonts w:eastAsia="SimSun"/>
        </w:rPr>
        <w:t>.</w:t>
      </w:r>
      <w:r w:rsidR="003974DA">
        <w:rPr>
          <w:rStyle w:val="FootnoteReference"/>
          <w:rFonts w:eastAsia="SimSun"/>
        </w:rPr>
        <w:footnoteReference w:id="131"/>
      </w:r>
      <w:r w:rsidR="00902913">
        <w:rPr>
          <w:rFonts w:eastAsia="SimSun"/>
        </w:rPr>
        <w:t xml:space="preserve"> </w:t>
      </w:r>
      <w:r w:rsidR="003974DA">
        <w:rPr>
          <w:rFonts w:eastAsia="SimSun"/>
        </w:rPr>
        <w:t>Likewise, Public Counsel witness Glenn Watkins finds PSE’s gas rate spread acceptable.</w:t>
      </w:r>
      <w:r w:rsidR="003974DA">
        <w:rPr>
          <w:rStyle w:val="FootnoteReference"/>
          <w:rFonts w:eastAsia="SimSun"/>
        </w:rPr>
        <w:footnoteReference w:id="132"/>
      </w:r>
      <w:r w:rsidR="00902913">
        <w:rPr>
          <w:rFonts w:eastAsia="SimSun"/>
        </w:rPr>
        <w:t xml:space="preserve"> </w:t>
      </w:r>
      <w:r w:rsidR="003974DA">
        <w:rPr>
          <w:rFonts w:eastAsia="SimSun"/>
        </w:rPr>
        <w:t xml:space="preserve">NWIGU witness Brian Collins, on the other hand, proposes to move classes receiving decreases under his proposed cost of service study to </w:t>
      </w:r>
      <w:r w:rsidR="00DF0BDB">
        <w:rPr>
          <w:rFonts w:eastAsia="SimSun"/>
        </w:rPr>
        <w:t>“</w:t>
      </w:r>
      <w:r w:rsidR="003974DA">
        <w:rPr>
          <w:rFonts w:eastAsia="SimSun"/>
        </w:rPr>
        <w:t>25 percent of their cost of service.</w:t>
      </w:r>
      <w:r w:rsidR="00DF0BDB">
        <w:rPr>
          <w:rFonts w:eastAsia="SimSun"/>
        </w:rPr>
        <w:t>”</w:t>
      </w:r>
      <w:r w:rsidR="003974DA">
        <w:rPr>
          <w:rStyle w:val="FootnoteReference"/>
          <w:rFonts w:eastAsia="SimSun"/>
        </w:rPr>
        <w:footnoteReference w:id="133"/>
      </w:r>
    </w:p>
    <w:p w:rsidR="00453426" w:rsidRPr="009075DC" w:rsidRDefault="00453426" w:rsidP="00453426">
      <w:pPr>
        <w:pStyle w:val="question"/>
      </w:pPr>
      <w:r w:rsidRPr="009075DC">
        <w:t>Q.</w:t>
      </w:r>
      <w:r w:rsidRPr="009075DC">
        <w:tab/>
      </w:r>
      <w:r>
        <w:t>How do you respond</w:t>
      </w:r>
      <w:r w:rsidR="00454149">
        <w:t xml:space="preserve"> to NWIGU’s proposal</w:t>
      </w:r>
      <w:r w:rsidRPr="009075DC">
        <w:t>?</w:t>
      </w:r>
    </w:p>
    <w:p w:rsidR="00453426" w:rsidRDefault="00453426" w:rsidP="00453426">
      <w:pPr>
        <w:pStyle w:val="answer"/>
        <w:rPr>
          <w:rFonts w:eastAsia="SimSun"/>
        </w:rPr>
      </w:pPr>
      <w:r w:rsidRPr="009075DC">
        <w:rPr>
          <w:rFonts w:eastAsia="SimSun"/>
        </w:rPr>
        <w:t>A.</w:t>
      </w:r>
      <w:r w:rsidRPr="009075DC">
        <w:rPr>
          <w:rFonts w:eastAsia="SimSun"/>
        </w:rPr>
        <w:tab/>
      </w:r>
      <w:r w:rsidR="00454149">
        <w:rPr>
          <w:rFonts w:eastAsia="SimSun"/>
        </w:rPr>
        <w:t>NWIGU’s proposal is extreme. Like the proposals made by its electric counterparts, NWIGU proposes to spread rates in a manner inconsistent with recent prior practice for PSE.</w:t>
      </w:r>
      <w:r w:rsidR="00902913">
        <w:rPr>
          <w:rFonts w:eastAsia="SimSun"/>
        </w:rPr>
        <w:t xml:space="preserve"> </w:t>
      </w:r>
      <w:r w:rsidR="00454149">
        <w:rPr>
          <w:rFonts w:eastAsia="SimSun"/>
        </w:rPr>
        <w:t>However, NWIGU take</w:t>
      </w:r>
      <w:r w:rsidR="0000015C">
        <w:rPr>
          <w:rFonts w:eastAsia="SimSun"/>
        </w:rPr>
        <w:t>s</w:t>
      </w:r>
      <w:r w:rsidR="00454149">
        <w:rPr>
          <w:rFonts w:eastAsia="SimSun"/>
        </w:rPr>
        <w:t xml:space="preserve"> it to another level by proposing absolute increases in rates of 19.38 percent to customers on Schedules 41 and 41T and a </w:t>
      </w:r>
      <w:r w:rsidR="00BD376D">
        <w:rPr>
          <w:rFonts w:eastAsia="SimSun"/>
        </w:rPr>
        <w:t>stunning</w:t>
      </w:r>
      <w:r w:rsidR="00454149">
        <w:rPr>
          <w:rFonts w:eastAsia="SimSun"/>
        </w:rPr>
        <w:t xml:space="preserve"> 25.73 percent to customers on Schedules 31 and 31T</w:t>
      </w:r>
      <w:r>
        <w:rPr>
          <w:rFonts w:eastAsia="SimSun"/>
        </w:rPr>
        <w:t>.</w:t>
      </w:r>
      <w:r w:rsidR="00F20976">
        <w:rPr>
          <w:rStyle w:val="FootnoteReference"/>
          <w:rFonts w:eastAsia="SimSun"/>
        </w:rPr>
        <w:footnoteReference w:id="134"/>
      </w:r>
      <w:r w:rsidR="00902913">
        <w:rPr>
          <w:rFonts w:eastAsia="SimSun"/>
        </w:rPr>
        <w:t xml:space="preserve"> </w:t>
      </w:r>
      <w:r w:rsidR="00E02E7D">
        <w:rPr>
          <w:rFonts w:eastAsia="SimSun"/>
        </w:rPr>
        <w:t xml:space="preserve">At the same time, </w:t>
      </w:r>
      <w:r w:rsidR="00DF0BDB">
        <w:rPr>
          <w:rFonts w:eastAsia="SimSun"/>
        </w:rPr>
        <w:t>NWIGU</w:t>
      </w:r>
      <w:r w:rsidR="00E02E7D">
        <w:rPr>
          <w:rFonts w:eastAsia="SimSun"/>
        </w:rPr>
        <w:t xml:space="preserve"> proposes absolute decreases in rates as high as 14.89 percent to customers served under Schedules 87 and 87T.</w:t>
      </w:r>
      <w:r w:rsidR="00F20976">
        <w:rPr>
          <w:rStyle w:val="FootnoteReference"/>
          <w:rFonts w:eastAsia="SimSun"/>
        </w:rPr>
        <w:footnoteReference w:id="135"/>
      </w:r>
      <w:r w:rsidR="00902913">
        <w:rPr>
          <w:rFonts w:eastAsia="SimSun"/>
        </w:rPr>
        <w:t xml:space="preserve"> </w:t>
      </w:r>
      <w:r w:rsidR="00454149">
        <w:rPr>
          <w:rFonts w:eastAsia="SimSun"/>
        </w:rPr>
        <w:t xml:space="preserve">These </w:t>
      </w:r>
      <w:r w:rsidR="00E02E7D">
        <w:rPr>
          <w:rFonts w:eastAsia="SimSun"/>
        </w:rPr>
        <w:t xml:space="preserve">dramatic changes in </w:t>
      </w:r>
      <w:r w:rsidR="00454149">
        <w:rPr>
          <w:rFonts w:eastAsia="SimSun"/>
        </w:rPr>
        <w:t>proposed rate</w:t>
      </w:r>
      <w:r w:rsidR="00E02E7D">
        <w:rPr>
          <w:rFonts w:eastAsia="SimSun"/>
        </w:rPr>
        <w:t>s</w:t>
      </w:r>
      <w:r w:rsidR="00454149">
        <w:rPr>
          <w:rFonts w:eastAsia="SimSun"/>
        </w:rPr>
        <w:t xml:space="preserve"> are largely owing to the significantly different cost of service results proposed by NWIGU.</w:t>
      </w:r>
      <w:r w:rsidR="00902913">
        <w:rPr>
          <w:rFonts w:eastAsia="SimSun"/>
        </w:rPr>
        <w:t xml:space="preserve"> </w:t>
      </w:r>
      <w:r w:rsidR="00454149">
        <w:rPr>
          <w:rFonts w:eastAsia="SimSun"/>
        </w:rPr>
        <w:t xml:space="preserve">Nevertheless, </w:t>
      </w:r>
      <w:r w:rsidR="00F20976">
        <w:rPr>
          <w:rFonts w:eastAsia="SimSun"/>
        </w:rPr>
        <w:t xml:space="preserve">even if one were to accept NWIGU’s cost of service results, </w:t>
      </w:r>
      <w:r w:rsidR="00454149">
        <w:rPr>
          <w:rFonts w:eastAsia="SimSun"/>
        </w:rPr>
        <w:t>this proposal completely throws the concept of gradualism out the window and should therefore be rejected by the Commission.</w:t>
      </w:r>
    </w:p>
    <w:p w:rsidR="00FF6B70" w:rsidRPr="003B5206" w:rsidRDefault="00FF6B70" w:rsidP="00A15B24">
      <w:pPr>
        <w:pStyle w:val="PleadingsL2"/>
      </w:pPr>
      <w:bookmarkStart w:id="52" w:name="_Toc489871500"/>
      <w:r w:rsidRPr="00745DFD">
        <w:t>Residential</w:t>
      </w:r>
      <w:r>
        <w:t xml:space="preserve"> Rate Design</w:t>
      </w:r>
      <w:bookmarkEnd w:id="52"/>
    </w:p>
    <w:p w:rsidR="00453426" w:rsidRPr="009075DC" w:rsidRDefault="00453426" w:rsidP="00453426">
      <w:pPr>
        <w:pStyle w:val="question"/>
      </w:pPr>
      <w:r>
        <w:t>Q</w:t>
      </w:r>
      <w:r w:rsidRPr="009075DC">
        <w:t>.</w:t>
      </w:r>
      <w:r w:rsidRPr="009075DC">
        <w:tab/>
      </w:r>
      <w:r>
        <w:t>Please summarize the various parties’ proposals regarding PSE’s rate design for residential gas customers.</w:t>
      </w:r>
    </w:p>
    <w:p w:rsidR="00453426" w:rsidRDefault="00453426" w:rsidP="00453426">
      <w:pPr>
        <w:pStyle w:val="answer"/>
      </w:pPr>
      <w:r w:rsidRPr="009075DC">
        <w:rPr>
          <w:rFonts w:eastAsia="SimSun"/>
        </w:rPr>
        <w:t>A.</w:t>
      </w:r>
      <w:r w:rsidRPr="009075DC">
        <w:rPr>
          <w:rFonts w:eastAsia="SimSun"/>
        </w:rPr>
        <w:tab/>
      </w:r>
      <w:r w:rsidR="003A7BA6">
        <w:rPr>
          <w:rFonts w:eastAsia="SimSun"/>
        </w:rPr>
        <w:t xml:space="preserve">Staff witness Jason Ball proposes a higher basic charge </w:t>
      </w:r>
      <w:r w:rsidR="00BD376D">
        <w:rPr>
          <w:rFonts w:eastAsia="SimSun"/>
        </w:rPr>
        <w:t>than PSE.</w:t>
      </w:r>
      <w:r w:rsidR="00902913">
        <w:rPr>
          <w:rFonts w:eastAsia="SimSun"/>
        </w:rPr>
        <w:t xml:space="preserve"> </w:t>
      </w:r>
      <w:r w:rsidR="00BD376D">
        <w:rPr>
          <w:rFonts w:eastAsia="SimSun"/>
        </w:rPr>
        <w:t xml:space="preserve">He proposes a basic charge </w:t>
      </w:r>
      <w:r w:rsidR="003A7BA6">
        <w:rPr>
          <w:rFonts w:eastAsia="SimSun"/>
        </w:rPr>
        <w:t>of $12.04.</w:t>
      </w:r>
      <w:r w:rsidR="003A7BA6">
        <w:rPr>
          <w:rStyle w:val="FootnoteReference"/>
          <w:rFonts w:eastAsia="SimSun"/>
        </w:rPr>
        <w:footnoteReference w:id="136"/>
      </w:r>
      <w:r w:rsidR="003A7BA6">
        <w:rPr>
          <w:rFonts w:eastAsia="SimSun"/>
        </w:rPr>
        <w:t xml:space="preserve"> Public Counsel witness Glenn Watkins accepts PSE’s proposed charge of $11 per month as reasonable for residential customers receiving natural case service.</w:t>
      </w:r>
      <w:r w:rsidR="003A7BA6">
        <w:rPr>
          <w:rStyle w:val="FootnoteReference"/>
          <w:rFonts w:eastAsia="SimSun"/>
        </w:rPr>
        <w:footnoteReference w:id="137"/>
      </w:r>
    </w:p>
    <w:p w:rsidR="00453426" w:rsidRPr="009075DC" w:rsidRDefault="00453426" w:rsidP="00453426">
      <w:pPr>
        <w:pStyle w:val="question"/>
      </w:pPr>
      <w:r w:rsidRPr="009075DC">
        <w:t>Q.</w:t>
      </w:r>
      <w:r w:rsidRPr="009075DC">
        <w:tab/>
      </w:r>
      <w:r>
        <w:t>How do you respond</w:t>
      </w:r>
      <w:r w:rsidRPr="009075DC">
        <w:t>?</w:t>
      </w:r>
    </w:p>
    <w:p w:rsidR="00453426" w:rsidRDefault="00453426" w:rsidP="00453426">
      <w:pPr>
        <w:pStyle w:val="answer"/>
        <w:rPr>
          <w:rFonts w:eastAsia="SimSun"/>
        </w:rPr>
      </w:pPr>
      <w:r w:rsidRPr="009075DC">
        <w:rPr>
          <w:rFonts w:eastAsia="SimSun"/>
        </w:rPr>
        <w:t>A.</w:t>
      </w:r>
      <w:r w:rsidRPr="009075DC">
        <w:rPr>
          <w:rFonts w:eastAsia="SimSun"/>
        </w:rPr>
        <w:tab/>
      </w:r>
      <w:r w:rsidR="00687437">
        <w:rPr>
          <w:rFonts w:eastAsia="SimSun"/>
        </w:rPr>
        <w:t xml:space="preserve">While </w:t>
      </w:r>
      <w:r w:rsidR="00BD376D">
        <w:rPr>
          <w:rFonts w:eastAsia="SimSun"/>
        </w:rPr>
        <w:t>I am</w:t>
      </w:r>
      <w:r w:rsidR="00687437">
        <w:rPr>
          <w:rFonts w:eastAsia="SimSun"/>
        </w:rPr>
        <w:t xml:space="preserve"> pleased to see Public Counsel’s support for </w:t>
      </w:r>
      <w:r w:rsidR="00BD376D">
        <w:rPr>
          <w:rFonts w:eastAsia="SimSun"/>
        </w:rPr>
        <w:t xml:space="preserve">PSE’s </w:t>
      </w:r>
      <w:r w:rsidR="00687437">
        <w:rPr>
          <w:rFonts w:eastAsia="SimSun"/>
        </w:rPr>
        <w:t>basic charge proposal for its gas residential customers, PSE would welcome the greater alignment of customer costs and customer-related revenue</w:t>
      </w:r>
      <w:r w:rsidR="00DF0BDB">
        <w:rPr>
          <w:rFonts w:eastAsia="SimSun"/>
        </w:rPr>
        <w:t xml:space="preserve"> that is presented</w:t>
      </w:r>
      <w:r w:rsidR="00687437">
        <w:rPr>
          <w:rFonts w:eastAsia="SimSun"/>
        </w:rPr>
        <w:t xml:space="preserve"> in Staff’s proposal</w:t>
      </w:r>
      <w:r>
        <w:rPr>
          <w:rFonts w:eastAsia="SimSun"/>
        </w:rPr>
        <w:t>.</w:t>
      </w:r>
      <w:r w:rsidR="00902913">
        <w:rPr>
          <w:rFonts w:eastAsia="SimSun"/>
        </w:rPr>
        <w:t xml:space="preserve"> </w:t>
      </w:r>
    </w:p>
    <w:p w:rsidR="00FF6B70" w:rsidRPr="003B5206" w:rsidRDefault="00FF6B70" w:rsidP="00A15B24">
      <w:pPr>
        <w:pStyle w:val="PleadingsL2"/>
      </w:pPr>
      <w:bookmarkStart w:id="53" w:name="_Toc489871501"/>
      <w:r w:rsidRPr="00FF6B70">
        <w:t>Non-</w:t>
      </w:r>
      <w:r w:rsidRPr="00745DFD">
        <w:t>Residential</w:t>
      </w:r>
      <w:r>
        <w:t xml:space="preserve"> Rate Design</w:t>
      </w:r>
      <w:bookmarkEnd w:id="53"/>
    </w:p>
    <w:p w:rsidR="00453426" w:rsidRPr="009075DC" w:rsidRDefault="00453426" w:rsidP="00453426">
      <w:pPr>
        <w:pStyle w:val="question"/>
      </w:pPr>
      <w:r>
        <w:t>Q</w:t>
      </w:r>
      <w:r w:rsidRPr="009075DC">
        <w:t>.</w:t>
      </w:r>
      <w:r w:rsidRPr="009075DC">
        <w:tab/>
      </w:r>
      <w:r>
        <w:t xml:space="preserve">Please summarize </w:t>
      </w:r>
      <w:r w:rsidR="00ED5BE4">
        <w:t>Staff’s</w:t>
      </w:r>
      <w:r>
        <w:t xml:space="preserve"> proposal regarding PSE’s rate design for non-residential gas customers.</w:t>
      </w:r>
    </w:p>
    <w:p w:rsidR="00453426" w:rsidRDefault="00453426" w:rsidP="00453426">
      <w:pPr>
        <w:pStyle w:val="answer"/>
      </w:pPr>
      <w:r w:rsidRPr="009075DC">
        <w:rPr>
          <w:rFonts w:eastAsia="SimSun"/>
        </w:rPr>
        <w:t>A.</w:t>
      </w:r>
      <w:r w:rsidRPr="009075DC">
        <w:rPr>
          <w:rFonts w:eastAsia="SimSun"/>
        </w:rPr>
        <w:tab/>
      </w:r>
      <w:r w:rsidR="00ED5BE4">
        <w:rPr>
          <w:rFonts w:eastAsia="SimSun"/>
        </w:rPr>
        <w:t>Staff witness Jason Ball was the only other witness to testify on natural gas rate design and appears to accept PSE’s approach to moving non-residential demand charges 25 percent towards their calculated cost of service</w:t>
      </w:r>
      <w:r>
        <w:rPr>
          <w:rFonts w:eastAsia="SimSun"/>
        </w:rPr>
        <w:t>.</w:t>
      </w:r>
      <w:r w:rsidR="00ED5BE4">
        <w:rPr>
          <w:rStyle w:val="FootnoteReference"/>
          <w:rFonts w:eastAsia="SimSun"/>
        </w:rPr>
        <w:footnoteReference w:id="138"/>
      </w:r>
    </w:p>
    <w:p w:rsidR="00453426" w:rsidRPr="009075DC" w:rsidRDefault="00453426" w:rsidP="00453426">
      <w:pPr>
        <w:pStyle w:val="question"/>
      </w:pPr>
      <w:r w:rsidRPr="009075DC">
        <w:t>Q.</w:t>
      </w:r>
      <w:r w:rsidRPr="009075DC">
        <w:tab/>
      </w:r>
      <w:r>
        <w:t>How do you respond</w:t>
      </w:r>
      <w:r w:rsidRPr="009075DC">
        <w:t>?</w:t>
      </w:r>
    </w:p>
    <w:p w:rsidR="00453426" w:rsidRDefault="00453426" w:rsidP="00453426">
      <w:pPr>
        <w:pStyle w:val="answer"/>
        <w:rPr>
          <w:rFonts w:eastAsia="SimSun"/>
        </w:rPr>
      </w:pPr>
      <w:r w:rsidRPr="009075DC">
        <w:rPr>
          <w:rFonts w:eastAsia="SimSun"/>
        </w:rPr>
        <w:t>A.</w:t>
      </w:r>
      <w:r w:rsidRPr="009075DC">
        <w:rPr>
          <w:rFonts w:eastAsia="SimSun"/>
        </w:rPr>
        <w:tab/>
      </w:r>
      <w:r w:rsidR="00687437">
        <w:rPr>
          <w:rFonts w:eastAsia="SimSun"/>
        </w:rPr>
        <w:t>PSE shares Staff’s perspective on the long overdue need to differentiate demand charges among the Company’s non-residential gas customers</w:t>
      </w:r>
      <w:r>
        <w:rPr>
          <w:rFonts w:eastAsia="SimSun"/>
        </w:rPr>
        <w:t>.</w:t>
      </w:r>
      <w:r w:rsidR="00902913">
        <w:rPr>
          <w:rFonts w:eastAsia="SimSun"/>
        </w:rPr>
        <w:t xml:space="preserve"> </w:t>
      </w:r>
      <w:r w:rsidR="00687437">
        <w:rPr>
          <w:rFonts w:eastAsia="SimSun"/>
        </w:rPr>
        <w:t>Given the lack of controversy over this issue, PSE recommends that the Commission approve this proposal.</w:t>
      </w:r>
    </w:p>
    <w:p w:rsidR="00C26AC6" w:rsidRPr="009075DC" w:rsidRDefault="00C26AC6" w:rsidP="00B14C60">
      <w:pPr>
        <w:pStyle w:val="PleadingsL1"/>
        <w:rPr>
          <w:rFonts w:eastAsia="SimSun"/>
        </w:rPr>
      </w:pPr>
      <w:bookmarkStart w:id="54" w:name="_Toc489871502"/>
      <w:r>
        <w:rPr>
          <w:rFonts w:eastAsia="SimSun"/>
        </w:rPr>
        <w:t xml:space="preserve">RESPONSE </w:t>
      </w:r>
      <w:r w:rsidRPr="00745DFD">
        <w:rPr>
          <w:rFonts w:eastAsia="SimSun"/>
        </w:rPr>
        <w:t>TO</w:t>
      </w:r>
      <w:r>
        <w:rPr>
          <w:rFonts w:eastAsia="SimSun"/>
        </w:rPr>
        <w:t xml:space="preserve"> PARTIES</w:t>
      </w:r>
      <w:r w:rsidR="00BD376D">
        <w:rPr>
          <w:rFonts w:eastAsia="SimSun"/>
        </w:rPr>
        <w:t>’</w:t>
      </w:r>
      <w:r>
        <w:rPr>
          <w:rFonts w:eastAsia="SimSun"/>
        </w:rPr>
        <w:t xml:space="preserve"> CALCULATION OF TEST YEAR REVENUE</w:t>
      </w:r>
      <w:bookmarkEnd w:id="54"/>
    </w:p>
    <w:p w:rsidR="00C26AC6" w:rsidRPr="003B5206" w:rsidRDefault="00C26AC6" w:rsidP="00B14C60">
      <w:pPr>
        <w:pStyle w:val="PleadingsL2"/>
      </w:pPr>
      <w:bookmarkStart w:id="55" w:name="_Toc489871503"/>
      <w:r>
        <w:t>Adjusting Price Schedules</w:t>
      </w:r>
      <w:bookmarkEnd w:id="55"/>
    </w:p>
    <w:p w:rsidR="00453426" w:rsidRPr="009075DC" w:rsidRDefault="00453426" w:rsidP="00453426">
      <w:pPr>
        <w:pStyle w:val="question"/>
      </w:pPr>
      <w:r>
        <w:t>Q</w:t>
      </w:r>
      <w:r w:rsidRPr="009075DC">
        <w:t>.</w:t>
      </w:r>
      <w:r w:rsidRPr="009075DC">
        <w:tab/>
      </w:r>
      <w:r>
        <w:t>Please summarize Staff’s calculation of PSE’s adjusting price schedule revenue.</w:t>
      </w:r>
    </w:p>
    <w:p w:rsidR="00453426" w:rsidRDefault="00453426" w:rsidP="00453426">
      <w:pPr>
        <w:pStyle w:val="answer"/>
      </w:pPr>
      <w:r w:rsidRPr="009075DC">
        <w:rPr>
          <w:rFonts w:eastAsia="SimSun"/>
        </w:rPr>
        <w:t>A.</w:t>
      </w:r>
      <w:r w:rsidRPr="009075DC">
        <w:rPr>
          <w:rFonts w:eastAsia="SimSun"/>
        </w:rPr>
        <w:tab/>
      </w:r>
      <w:r w:rsidR="00540153">
        <w:rPr>
          <w:rFonts w:eastAsia="SimSun"/>
        </w:rPr>
        <w:t>Staff witness Melissa Cheesman’s revenue impact presentation</w:t>
      </w:r>
      <w:r w:rsidR="00560D44">
        <w:rPr>
          <w:rFonts w:eastAsia="SimSun"/>
        </w:rPr>
        <w:t xml:space="preserve"> in Exhibit </w:t>
      </w:r>
      <w:r w:rsidR="00540153">
        <w:rPr>
          <w:rFonts w:eastAsia="SimSun"/>
        </w:rPr>
        <w:t xml:space="preserve">MCC-12 </w:t>
      </w:r>
      <w:r w:rsidR="00560D44">
        <w:rPr>
          <w:rFonts w:eastAsia="SimSun"/>
        </w:rPr>
        <w:t>appears to mirror the results f</w:t>
      </w:r>
      <w:r w:rsidR="00ED5BE4">
        <w:rPr>
          <w:rFonts w:eastAsia="SimSun"/>
        </w:rPr>
        <w:t>r</w:t>
      </w:r>
      <w:r w:rsidR="00560D44">
        <w:rPr>
          <w:rFonts w:eastAsia="SimSun"/>
        </w:rPr>
        <w:t>om</w:t>
      </w:r>
      <w:r w:rsidR="00ED5BE4">
        <w:rPr>
          <w:rFonts w:eastAsia="SimSun"/>
        </w:rPr>
        <w:t xml:space="preserve"> my Exhibit JAP-44 for </w:t>
      </w:r>
      <w:r w:rsidR="00540153">
        <w:rPr>
          <w:rFonts w:eastAsia="SimSun"/>
        </w:rPr>
        <w:t>Schedule 95 (PCORC), Schedule 141 (ERF) and Schedule 142 (Decoupling)</w:t>
      </w:r>
      <w:r w:rsidR="00560D44">
        <w:rPr>
          <w:rFonts w:eastAsia="SimSun"/>
        </w:rPr>
        <w:t>.</w:t>
      </w:r>
      <w:r w:rsidR="00902913">
        <w:rPr>
          <w:rFonts w:eastAsia="SimSun"/>
        </w:rPr>
        <w:t xml:space="preserve"> </w:t>
      </w:r>
      <w:r w:rsidR="00560D44">
        <w:rPr>
          <w:rFonts w:eastAsia="SimSun"/>
        </w:rPr>
        <w:t>Similarly, Ms. Cheesman’s revenue impact presentation in Exhibit MCC-13 appears to mirror the results from my Exhibit JAP-45 for Schedule 141 (ERF) and Schedule 142 (Decoupling)</w:t>
      </w:r>
      <w:r w:rsidR="00540153">
        <w:rPr>
          <w:rFonts w:eastAsia="SimSun"/>
        </w:rPr>
        <w:t>.</w:t>
      </w:r>
      <w:r w:rsidR="00560D44">
        <w:rPr>
          <w:rStyle w:val="FootnoteReference"/>
          <w:rFonts w:eastAsia="SimSun"/>
        </w:rPr>
        <w:footnoteReference w:id="139"/>
      </w:r>
      <w:r w:rsidR="00902913">
        <w:rPr>
          <w:rFonts w:eastAsia="SimSun"/>
        </w:rPr>
        <w:t xml:space="preserve"> </w:t>
      </w:r>
    </w:p>
    <w:p w:rsidR="00453426" w:rsidRPr="009075DC" w:rsidRDefault="00453426" w:rsidP="00453426">
      <w:pPr>
        <w:pStyle w:val="question"/>
      </w:pPr>
      <w:r w:rsidRPr="009075DC">
        <w:t>Q.</w:t>
      </w:r>
      <w:r w:rsidRPr="009075DC">
        <w:tab/>
      </w:r>
      <w:r w:rsidR="00E627FB">
        <w:t>Do you agree with the numbers used by Ms. Cheesman in Exhibit MCC-12 and Exhibit MCC-13</w:t>
      </w:r>
      <w:r w:rsidRPr="009075DC">
        <w:t>?</w:t>
      </w:r>
    </w:p>
    <w:p w:rsidR="00453426" w:rsidRDefault="00453426" w:rsidP="00453426">
      <w:pPr>
        <w:pStyle w:val="answer"/>
        <w:rPr>
          <w:rFonts w:eastAsia="SimSun"/>
        </w:rPr>
      </w:pPr>
      <w:r w:rsidRPr="009075DC">
        <w:rPr>
          <w:rFonts w:eastAsia="SimSun"/>
        </w:rPr>
        <w:t>A.</w:t>
      </w:r>
      <w:r w:rsidRPr="009075DC">
        <w:rPr>
          <w:rFonts w:eastAsia="SimSun"/>
        </w:rPr>
        <w:tab/>
      </w:r>
      <w:r w:rsidR="00E627FB">
        <w:rPr>
          <w:rFonts w:eastAsia="SimSun"/>
        </w:rPr>
        <w:t>I do, insofar as they align with PSE’s filed estimates.</w:t>
      </w:r>
      <w:r w:rsidR="00902913">
        <w:rPr>
          <w:rFonts w:eastAsia="SimSun"/>
        </w:rPr>
        <w:t xml:space="preserve"> </w:t>
      </w:r>
      <w:r w:rsidR="00E627FB">
        <w:rPr>
          <w:rFonts w:eastAsia="SimSun"/>
        </w:rPr>
        <w:t>However, to the extent that the Commission accepts Staff’s proposed changes to PSE’s electric and gas temperature normalization of loads, as presented by Ms. Jing Liu, it would be appropriate to reflect those changes in load in updated results comparable to those that Ms. Cheesman references in my testimony, Exhibit JAP-44 and Exhibit JAP-45</w:t>
      </w:r>
      <w:r>
        <w:rPr>
          <w:rFonts w:eastAsia="SimSun"/>
        </w:rPr>
        <w:t>.</w:t>
      </w:r>
    </w:p>
    <w:p w:rsidR="00E627FB" w:rsidRPr="008F2940" w:rsidRDefault="00E627FB" w:rsidP="00745DFD">
      <w:pPr>
        <w:pStyle w:val="question"/>
      </w:pPr>
      <w:r w:rsidRPr="008F2940">
        <w:t>Q.</w:t>
      </w:r>
      <w:r w:rsidRPr="008F2940">
        <w:tab/>
        <w:t>Will these changes have any bearing on the rates charged by PSE?</w:t>
      </w:r>
    </w:p>
    <w:p w:rsidR="00E627FB" w:rsidRDefault="00E627FB" w:rsidP="00453426">
      <w:pPr>
        <w:pStyle w:val="answer"/>
        <w:rPr>
          <w:rFonts w:eastAsia="SimSun"/>
        </w:rPr>
      </w:pPr>
      <w:r>
        <w:rPr>
          <w:rFonts w:eastAsia="SimSun"/>
        </w:rPr>
        <w:t>A.</w:t>
      </w:r>
      <w:r>
        <w:rPr>
          <w:rFonts w:eastAsia="SimSun"/>
        </w:rPr>
        <w:tab/>
        <w:t>No.</w:t>
      </w:r>
      <w:r w:rsidR="00902913">
        <w:rPr>
          <w:rFonts w:eastAsia="SimSun"/>
        </w:rPr>
        <w:t xml:space="preserve"> </w:t>
      </w:r>
      <w:r>
        <w:rPr>
          <w:rFonts w:eastAsia="SimSun"/>
        </w:rPr>
        <w:t xml:space="preserve">This is more of a presentation issue as to the level of revenue changes </w:t>
      </w:r>
      <w:r w:rsidR="008F2940">
        <w:rPr>
          <w:rFonts w:eastAsia="SimSun"/>
        </w:rPr>
        <w:t>associated with the difference between</w:t>
      </w:r>
      <w:r>
        <w:rPr>
          <w:rFonts w:eastAsia="SimSun"/>
        </w:rPr>
        <w:t xml:space="preserve"> current and approved rates.</w:t>
      </w:r>
      <w:r w:rsidR="00902913">
        <w:rPr>
          <w:rFonts w:eastAsia="SimSun"/>
        </w:rPr>
        <w:t xml:space="preserve"> </w:t>
      </w:r>
      <w:r w:rsidR="008F2940">
        <w:rPr>
          <w:rFonts w:eastAsia="SimSun"/>
        </w:rPr>
        <w:t>If the load is changed based on Ms. Liu’s proposal, then the associated revenues presented should reflect those changes as well.</w:t>
      </w:r>
    </w:p>
    <w:p w:rsidR="00C26AC6" w:rsidRPr="003B5206" w:rsidRDefault="00C26AC6" w:rsidP="00B14C60">
      <w:pPr>
        <w:pStyle w:val="PleadingsL2"/>
      </w:pPr>
      <w:bookmarkStart w:id="56" w:name="_Toc489871504"/>
      <w:r>
        <w:t xml:space="preserve">“Imputed” </w:t>
      </w:r>
      <w:r w:rsidRPr="00745DFD">
        <w:t>Rental</w:t>
      </w:r>
      <w:r>
        <w:t xml:space="preserve"> Revenue</w:t>
      </w:r>
      <w:bookmarkEnd w:id="56"/>
    </w:p>
    <w:p w:rsidR="00453426" w:rsidRPr="009075DC" w:rsidRDefault="00453426" w:rsidP="00453426">
      <w:pPr>
        <w:pStyle w:val="question"/>
      </w:pPr>
      <w:r>
        <w:t>Q</w:t>
      </w:r>
      <w:r w:rsidRPr="009075DC">
        <w:t>.</w:t>
      </w:r>
      <w:r w:rsidRPr="009075DC">
        <w:tab/>
      </w:r>
      <w:r>
        <w:t>Please summarize Staff’s</w:t>
      </w:r>
      <w:r w:rsidR="007B05EE">
        <w:t xml:space="preserve"> proposal to “imput</w:t>
      </w:r>
      <w:r w:rsidR="00DF0BDB">
        <w:t>e</w:t>
      </w:r>
      <w:r>
        <w:t xml:space="preserve">” revenue from PSE’s gas </w:t>
      </w:r>
      <w:r w:rsidR="00CF11E2">
        <w:t>R</w:t>
      </w:r>
      <w:r>
        <w:t>ental customers.</w:t>
      </w:r>
    </w:p>
    <w:p w:rsidR="00453426" w:rsidRDefault="00453426" w:rsidP="00453426">
      <w:pPr>
        <w:pStyle w:val="answer"/>
      </w:pPr>
      <w:r w:rsidRPr="009075DC">
        <w:rPr>
          <w:rFonts w:eastAsia="SimSun"/>
        </w:rPr>
        <w:t>A.</w:t>
      </w:r>
      <w:r w:rsidRPr="009075DC">
        <w:rPr>
          <w:rFonts w:eastAsia="SimSun"/>
        </w:rPr>
        <w:tab/>
      </w:r>
      <w:r w:rsidR="007B05EE">
        <w:rPr>
          <w:rFonts w:eastAsia="SimSun"/>
        </w:rPr>
        <w:t>Staff, through its witness Elizabeth O’Connell, is proposing to close PSE’s gas water heater rental program.</w:t>
      </w:r>
      <w:r w:rsidR="007B05EE">
        <w:rPr>
          <w:rStyle w:val="FootnoteReference"/>
          <w:rFonts w:eastAsia="SimSun"/>
        </w:rPr>
        <w:footnoteReference w:id="140"/>
      </w:r>
      <w:r w:rsidR="00902913">
        <w:rPr>
          <w:rFonts w:eastAsia="SimSun"/>
        </w:rPr>
        <w:t xml:space="preserve"> </w:t>
      </w:r>
      <w:r w:rsidR="00DA45D2">
        <w:rPr>
          <w:rFonts w:eastAsia="SimSun"/>
        </w:rPr>
        <w:t xml:space="preserve">To anticipate its end, and so that the apparent cross-subsidization </w:t>
      </w:r>
      <w:r w:rsidR="00781891">
        <w:rPr>
          <w:rFonts w:eastAsia="SimSun"/>
        </w:rPr>
        <w:t xml:space="preserve">of other customers </w:t>
      </w:r>
      <w:r w:rsidR="004726FC">
        <w:rPr>
          <w:rFonts w:eastAsia="SimSun"/>
        </w:rPr>
        <w:t xml:space="preserve">by </w:t>
      </w:r>
      <w:r w:rsidR="00CF11E2">
        <w:rPr>
          <w:rFonts w:eastAsia="SimSun"/>
        </w:rPr>
        <w:t>R</w:t>
      </w:r>
      <w:r w:rsidR="00DA45D2">
        <w:rPr>
          <w:rFonts w:eastAsia="SimSun"/>
        </w:rPr>
        <w:t>ental customers does not influence the cost of service results, Staff witness Jason Ball proposes to “imput</w:t>
      </w:r>
      <w:r w:rsidR="00DF0BDB">
        <w:rPr>
          <w:rFonts w:eastAsia="SimSun"/>
        </w:rPr>
        <w:t>e</w:t>
      </w:r>
      <w:r w:rsidR="004726FC">
        <w:rPr>
          <w:rFonts w:eastAsia="SimSun"/>
        </w:rPr>
        <w:t>” the R</w:t>
      </w:r>
      <w:r w:rsidR="00DA45D2">
        <w:rPr>
          <w:rFonts w:eastAsia="SimSun"/>
        </w:rPr>
        <w:t>ental revenue at a cost-based level so that this cross-subsidization is eliminated in Staff’s gas cost of service model</w:t>
      </w:r>
      <w:r>
        <w:rPr>
          <w:rFonts w:eastAsia="SimSun"/>
        </w:rPr>
        <w:t>.</w:t>
      </w:r>
      <w:r w:rsidR="00DA45D2">
        <w:rPr>
          <w:rStyle w:val="FootnoteReference"/>
          <w:rFonts w:eastAsia="SimSun"/>
        </w:rPr>
        <w:footnoteReference w:id="141"/>
      </w:r>
    </w:p>
    <w:p w:rsidR="00453426" w:rsidRPr="009075DC" w:rsidRDefault="00453426" w:rsidP="00453426">
      <w:pPr>
        <w:pStyle w:val="question"/>
      </w:pPr>
      <w:r w:rsidRPr="009075DC">
        <w:t>Q.</w:t>
      </w:r>
      <w:r w:rsidRPr="009075DC">
        <w:tab/>
      </w:r>
      <w:r w:rsidR="00DA45D2">
        <w:t>Does Staff’s imputed revenue have any practical implications</w:t>
      </w:r>
      <w:r w:rsidRPr="009075DC">
        <w:t>?</w:t>
      </w:r>
    </w:p>
    <w:p w:rsidR="003A2C6B" w:rsidRDefault="00453426" w:rsidP="00453426">
      <w:pPr>
        <w:pStyle w:val="answer"/>
        <w:rPr>
          <w:rFonts w:eastAsia="SimSun"/>
        </w:rPr>
      </w:pPr>
      <w:r w:rsidRPr="009075DC">
        <w:rPr>
          <w:rFonts w:eastAsia="SimSun"/>
        </w:rPr>
        <w:t>A.</w:t>
      </w:r>
      <w:r w:rsidRPr="009075DC">
        <w:rPr>
          <w:rFonts w:eastAsia="SimSun"/>
        </w:rPr>
        <w:tab/>
      </w:r>
      <w:r w:rsidR="00DF0BDB">
        <w:rPr>
          <w:rFonts w:eastAsia="SimSun"/>
        </w:rPr>
        <w:t xml:space="preserve">Not as </w:t>
      </w:r>
      <w:r w:rsidR="003A2C6B">
        <w:rPr>
          <w:rFonts w:eastAsia="SimSun"/>
        </w:rPr>
        <w:t>originally proposed</w:t>
      </w:r>
      <w:r w:rsidR="00DA45D2">
        <w:rPr>
          <w:rFonts w:eastAsia="SimSun"/>
        </w:rPr>
        <w:t>.</w:t>
      </w:r>
      <w:r w:rsidR="00902913">
        <w:rPr>
          <w:rFonts w:eastAsia="SimSun"/>
        </w:rPr>
        <w:t xml:space="preserve"> </w:t>
      </w:r>
      <w:r w:rsidR="00DA45D2">
        <w:rPr>
          <w:rFonts w:eastAsia="SimSun"/>
        </w:rPr>
        <w:t xml:space="preserve">As presented in the workpapers of Mr. Ball, </w:t>
      </w:r>
      <w:r w:rsidR="004726FC">
        <w:rPr>
          <w:rFonts w:eastAsia="SimSun"/>
        </w:rPr>
        <w:t>R</w:t>
      </w:r>
      <w:r w:rsidR="00DA45D2">
        <w:rPr>
          <w:rFonts w:eastAsia="SimSun"/>
        </w:rPr>
        <w:t xml:space="preserve">ental revenues </w:t>
      </w:r>
      <w:r w:rsidR="003A2C6B">
        <w:rPr>
          <w:rFonts w:eastAsia="SimSun"/>
        </w:rPr>
        <w:t>we</w:t>
      </w:r>
      <w:r w:rsidR="00DA45D2">
        <w:rPr>
          <w:rFonts w:eastAsia="SimSun"/>
        </w:rPr>
        <w:t>re simply set equal to their allocated costs</w:t>
      </w:r>
      <w:r w:rsidR="00DF0BDB">
        <w:rPr>
          <w:rFonts w:eastAsia="SimSun"/>
        </w:rPr>
        <w:t xml:space="preserve"> in his cost of service study</w:t>
      </w:r>
      <w:r w:rsidR="00DA45D2">
        <w:rPr>
          <w:rFonts w:eastAsia="SimSun"/>
        </w:rPr>
        <w:t>.</w:t>
      </w:r>
      <w:r w:rsidR="00902913">
        <w:rPr>
          <w:rFonts w:eastAsia="SimSun"/>
        </w:rPr>
        <w:t xml:space="preserve"> </w:t>
      </w:r>
      <w:r w:rsidR="00DA45D2">
        <w:rPr>
          <w:rFonts w:eastAsia="SimSun"/>
        </w:rPr>
        <w:t xml:space="preserve">However, the lost revenue </w:t>
      </w:r>
      <w:r w:rsidR="003A2C6B">
        <w:rPr>
          <w:rFonts w:eastAsia="SimSun"/>
        </w:rPr>
        <w:t>wa</w:t>
      </w:r>
      <w:r w:rsidR="00DA45D2">
        <w:rPr>
          <w:rFonts w:eastAsia="SimSun"/>
        </w:rPr>
        <w:t>s not reallocated to other customers in his cost of service or rate spread analysis, nor d</w:t>
      </w:r>
      <w:r w:rsidR="00B2552A">
        <w:rPr>
          <w:rFonts w:eastAsia="SimSun"/>
        </w:rPr>
        <w:t>i</w:t>
      </w:r>
      <w:r w:rsidR="004726FC">
        <w:rPr>
          <w:rFonts w:eastAsia="SimSun"/>
        </w:rPr>
        <w:t>d</w:t>
      </w:r>
      <w:r w:rsidR="00DA45D2">
        <w:rPr>
          <w:rFonts w:eastAsia="SimSun"/>
        </w:rPr>
        <w:t xml:space="preserve"> Mr. Ball p</w:t>
      </w:r>
      <w:r w:rsidR="00A16154">
        <w:rPr>
          <w:rFonts w:eastAsia="SimSun"/>
        </w:rPr>
        <w:t xml:space="preserve">ropose to change </w:t>
      </w:r>
      <w:r w:rsidR="004726FC">
        <w:rPr>
          <w:rFonts w:eastAsia="SimSun"/>
        </w:rPr>
        <w:t>R</w:t>
      </w:r>
      <w:r w:rsidR="00A16154">
        <w:rPr>
          <w:rFonts w:eastAsia="SimSun"/>
        </w:rPr>
        <w:t>ental rates.</w:t>
      </w:r>
      <w:r w:rsidR="00902913">
        <w:rPr>
          <w:rFonts w:eastAsia="SimSun"/>
        </w:rPr>
        <w:t xml:space="preserve"> </w:t>
      </w:r>
    </w:p>
    <w:p w:rsidR="003A2C6B" w:rsidRDefault="003A2C6B" w:rsidP="00453426">
      <w:pPr>
        <w:pStyle w:val="answer"/>
        <w:rPr>
          <w:rFonts w:eastAsia="SimSun"/>
        </w:rPr>
      </w:pPr>
      <w:r>
        <w:rPr>
          <w:rFonts w:eastAsia="SimSun"/>
        </w:rPr>
        <w:tab/>
        <w:t xml:space="preserve">Subsequently, in Staff’s Response to PSE Data Request No. 024, it recognized this issue and indicated its support for setting Rental rates equal to their cost of service and reallocating the </w:t>
      </w:r>
      <w:r w:rsidR="00125DD4">
        <w:rPr>
          <w:rFonts w:eastAsia="SimSun"/>
        </w:rPr>
        <w:t xml:space="preserve">loss in </w:t>
      </w:r>
      <w:r>
        <w:rPr>
          <w:rFonts w:eastAsia="SimSun"/>
        </w:rPr>
        <w:t>revenue to other customers through the rate spread process.</w:t>
      </w:r>
      <w:r w:rsidR="00902913">
        <w:rPr>
          <w:rFonts w:eastAsia="SimSun"/>
        </w:rPr>
        <w:t xml:space="preserve"> </w:t>
      </w:r>
      <w:r>
        <w:rPr>
          <w:rFonts w:eastAsia="SimSun"/>
        </w:rPr>
        <w:t>Staff’s Response to PSE Data Request No. 024 is provided as Exhibit JAP-</w:t>
      </w:r>
      <w:r w:rsidR="00B2552A">
        <w:rPr>
          <w:rFonts w:eastAsia="SimSun"/>
        </w:rPr>
        <w:t>53</w:t>
      </w:r>
      <w:r>
        <w:rPr>
          <w:rFonts w:eastAsia="SimSun"/>
        </w:rPr>
        <w:t>.</w:t>
      </w:r>
    </w:p>
    <w:p w:rsidR="003A2C6B" w:rsidRPr="00343462" w:rsidRDefault="003A2C6B" w:rsidP="00745DFD">
      <w:pPr>
        <w:pStyle w:val="question"/>
      </w:pPr>
      <w:r w:rsidRPr="00343462">
        <w:t>Q.</w:t>
      </w:r>
      <w:r w:rsidRPr="00343462">
        <w:tab/>
        <w:t>Do you support Staff’s updated position on this issue?</w:t>
      </w:r>
    </w:p>
    <w:p w:rsidR="00453426" w:rsidRDefault="003A2C6B" w:rsidP="00453426">
      <w:pPr>
        <w:pStyle w:val="answer"/>
        <w:rPr>
          <w:rFonts w:eastAsia="SimSun"/>
        </w:rPr>
      </w:pPr>
      <w:r>
        <w:rPr>
          <w:rFonts w:eastAsia="SimSun"/>
        </w:rPr>
        <w:t>A.</w:t>
      </w:r>
      <w:r>
        <w:rPr>
          <w:rFonts w:eastAsia="SimSun"/>
        </w:rPr>
        <w:tab/>
        <w:t xml:space="preserve">While PSE continues to believe Staff’s overall proposal </w:t>
      </w:r>
      <w:r w:rsidR="00125DD4">
        <w:rPr>
          <w:rFonts w:eastAsia="SimSun"/>
        </w:rPr>
        <w:t xml:space="preserve">related to </w:t>
      </w:r>
      <w:r>
        <w:rPr>
          <w:rFonts w:eastAsia="SimSun"/>
        </w:rPr>
        <w:t>the program</w:t>
      </w:r>
      <w:r w:rsidR="00125DD4">
        <w:rPr>
          <w:rFonts w:eastAsia="SimSun"/>
        </w:rPr>
        <w:t xml:space="preserve"> should be rejected</w:t>
      </w:r>
      <w:r>
        <w:rPr>
          <w:rFonts w:eastAsia="SimSun"/>
        </w:rPr>
        <w:t>, if the Commission agrees with Staff</w:t>
      </w:r>
      <w:r w:rsidR="00125DD4">
        <w:rPr>
          <w:rFonts w:eastAsia="SimSun"/>
        </w:rPr>
        <w:t xml:space="preserve"> that the program should be terminated</w:t>
      </w:r>
      <w:r>
        <w:rPr>
          <w:rFonts w:eastAsia="SimSun"/>
        </w:rPr>
        <w:t xml:space="preserve">, then PSE would </w:t>
      </w:r>
      <w:r w:rsidR="00125DD4">
        <w:rPr>
          <w:rFonts w:eastAsia="SimSun"/>
        </w:rPr>
        <w:t xml:space="preserve">join Staff in </w:t>
      </w:r>
      <w:r>
        <w:rPr>
          <w:rFonts w:eastAsia="SimSun"/>
        </w:rPr>
        <w:t>support</w:t>
      </w:r>
      <w:r w:rsidR="00125DD4">
        <w:rPr>
          <w:rFonts w:eastAsia="SimSun"/>
        </w:rPr>
        <w:t>ing the</w:t>
      </w:r>
      <w:r>
        <w:rPr>
          <w:rFonts w:eastAsia="SimSun"/>
        </w:rPr>
        <w:t xml:space="preserve"> setting </w:t>
      </w:r>
      <w:r w:rsidR="00125DD4">
        <w:rPr>
          <w:rFonts w:eastAsia="SimSun"/>
        </w:rPr>
        <w:t xml:space="preserve">of </w:t>
      </w:r>
      <w:r>
        <w:rPr>
          <w:rFonts w:eastAsia="SimSun"/>
        </w:rPr>
        <w:t xml:space="preserve">Rental rates </w:t>
      </w:r>
      <w:r w:rsidR="00125DD4">
        <w:rPr>
          <w:rFonts w:eastAsia="SimSun"/>
        </w:rPr>
        <w:t>at</w:t>
      </w:r>
      <w:r>
        <w:rPr>
          <w:rFonts w:eastAsia="SimSun"/>
        </w:rPr>
        <w:t xml:space="preserve"> their cost of service </w:t>
      </w:r>
      <w:r w:rsidR="00B2552A">
        <w:rPr>
          <w:rFonts w:eastAsia="SimSun"/>
        </w:rPr>
        <w:t xml:space="preserve">in this proceeding </w:t>
      </w:r>
      <w:r>
        <w:rPr>
          <w:rFonts w:eastAsia="SimSun"/>
        </w:rPr>
        <w:t>and reflecting the difference in revenue in the spread of the gas revenue requirement to other customers.</w:t>
      </w:r>
      <w:r w:rsidR="00A16154">
        <w:rPr>
          <w:rFonts w:eastAsia="SimSun"/>
        </w:rPr>
        <w:t xml:space="preserve"> </w:t>
      </w:r>
    </w:p>
    <w:p w:rsidR="00A16154" w:rsidRPr="00A16154" w:rsidRDefault="00A16154" w:rsidP="00745DFD">
      <w:pPr>
        <w:pStyle w:val="question"/>
      </w:pPr>
      <w:r w:rsidRPr="00A16154">
        <w:t>Q.</w:t>
      </w:r>
      <w:r w:rsidRPr="00A16154">
        <w:tab/>
      </w:r>
      <w:r w:rsidR="00125DD4">
        <w:t xml:space="preserve">Would </w:t>
      </w:r>
      <w:r w:rsidRPr="00A16154">
        <w:t xml:space="preserve">Staff’s </w:t>
      </w:r>
      <w:r w:rsidR="00125DD4">
        <w:t xml:space="preserve">original </w:t>
      </w:r>
      <w:r w:rsidRPr="00A16154">
        <w:t>proposal to eliminate PSE’s water heater rental program have real revenue implications?</w:t>
      </w:r>
    </w:p>
    <w:p w:rsidR="00C20AFD" w:rsidRDefault="00A16154" w:rsidP="00453426">
      <w:pPr>
        <w:pStyle w:val="answer"/>
        <w:rPr>
          <w:rFonts w:eastAsia="SimSun"/>
        </w:rPr>
      </w:pPr>
      <w:r>
        <w:rPr>
          <w:rFonts w:eastAsia="SimSun"/>
        </w:rPr>
        <w:t>A.</w:t>
      </w:r>
      <w:r>
        <w:rPr>
          <w:rFonts w:eastAsia="SimSun"/>
        </w:rPr>
        <w:tab/>
        <w:t>Absolutely.</w:t>
      </w:r>
      <w:r w:rsidR="00902913">
        <w:rPr>
          <w:rFonts w:eastAsia="SimSun"/>
        </w:rPr>
        <w:t xml:space="preserve"> </w:t>
      </w:r>
      <w:r>
        <w:rPr>
          <w:rFonts w:eastAsia="SimSun"/>
        </w:rPr>
        <w:t xml:space="preserve">Staff’s proposal is to remove customers from the </w:t>
      </w:r>
      <w:r w:rsidR="00125DD4">
        <w:rPr>
          <w:rFonts w:eastAsia="SimSun"/>
        </w:rPr>
        <w:t xml:space="preserve">rental </w:t>
      </w:r>
      <w:r>
        <w:rPr>
          <w:rFonts w:eastAsia="SimSun"/>
        </w:rPr>
        <w:t>program as soon as their rented equipment is fully depreciated.</w:t>
      </w:r>
      <w:r w:rsidR="00BA000E">
        <w:rPr>
          <w:rStyle w:val="FootnoteReference"/>
          <w:rFonts w:eastAsia="SimSun"/>
        </w:rPr>
        <w:footnoteReference w:id="142"/>
      </w:r>
      <w:r w:rsidR="00902913">
        <w:rPr>
          <w:rFonts w:eastAsia="SimSun"/>
        </w:rPr>
        <w:t xml:space="preserve"> </w:t>
      </w:r>
      <w:r w:rsidR="00B2552A">
        <w:rPr>
          <w:rFonts w:eastAsia="SimSun"/>
        </w:rPr>
        <w:t>Citing a PSE data response</w:t>
      </w:r>
      <w:r w:rsidR="00571724">
        <w:rPr>
          <w:rFonts w:eastAsia="SimSun"/>
        </w:rPr>
        <w:t>, Staff notes that over 18,</w:t>
      </w:r>
      <w:r w:rsidR="00B2552A">
        <w:rPr>
          <w:rFonts w:eastAsia="SimSun"/>
        </w:rPr>
        <w:t xml:space="preserve">000 </w:t>
      </w:r>
      <w:r>
        <w:rPr>
          <w:rFonts w:eastAsia="SimSun"/>
        </w:rPr>
        <w:t>of PSE’s customers in the program already have fully depreciated equipment</w:t>
      </w:r>
      <w:r w:rsidR="00DF0BDB">
        <w:rPr>
          <w:rFonts w:eastAsia="SimSun"/>
        </w:rPr>
        <w:t xml:space="preserve"> and therefore should be removed from the program</w:t>
      </w:r>
      <w:r>
        <w:rPr>
          <w:rFonts w:eastAsia="SimSun"/>
        </w:rPr>
        <w:t>.</w:t>
      </w:r>
      <w:r w:rsidR="00BA000E">
        <w:rPr>
          <w:rStyle w:val="FootnoteReference"/>
          <w:rFonts w:eastAsia="SimSun"/>
        </w:rPr>
        <w:footnoteReference w:id="143"/>
      </w:r>
      <w:r w:rsidR="00902913">
        <w:rPr>
          <w:rFonts w:eastAsia="SimSun"/>
        </w:rPr>
        <w:t xml:space="preserve"> </w:t>
      </w:r>
      <w:r w:rsidR="00571724">
        <w:rPr>
          <w:rFonts w:eastAsia="SimSun"/>
        </w:rPr>
        <w:t xml:space="preserve">With approximately 33,000 </w:t>
      </w:r>
      <w:r w:rsidR="008F20D1">
        <w:rPr>
          <w:rFonts w:eastAsia="SimSun"/>
        </w:rPr>
        <w:t xml:space="preserve">Rental </w:t>
      </w:r>
      <w:r w:rsidR="00571724">
        <w:rPr>
          <w:rFonts w:eastAsia="SimSun"/>
        </w:rPr>
        <w:t>customers in total, under Staff’s proposal</w:t>
      </w:r>
      <w:r w:rsidR="00DF0BDB">
        <w:rPr>
          <w:rFonts w:eastAsia="SimSun"/>
        </w:rPr>
        <w:t xml:space="preserve">, </w:t>
      </w:r>
      <w:r>
        <w:rPr>
          <w:rFonts w:eastAsia="SimSun"/>
        </w:rPr>
        <w:t>PSE stands to lose a significant amount of revenue</w:t>
      </w:r>
      <w:r w:rsidR="00125DD4">
        <w:rPr>
          <w:rFonts w:eastAsia="SimSun"/>
        </w:rPr>
        <w:t xml:space="preserve"> shortly after rates go into effect</w:t>
      </w:r>
      <w:r>
        <w:rPr>
          <w:rFonts w:eastAsia="SimSun"/>
        </w:rPr>
        <w:t xml:space="preserve">, net of the cost of service, which is not reflected in Staff’s </w:t>
      </w:r>
      <w:r w:rsidR="00125DD4">
        <w:rPr>
          <w:rFonts w:eastAsia="SimSun"/>
        </w:rPr>
        <w:t>overall proposed revenue deficiency calculation</w:t>
      </w:r>
      <w:r>
        <w:rPr>
          <w:rFonts w:eastAsia="SimSun"/>
        </w:rPr>
        <w:t>.</w:t>
      </w:r>
      <w:r w:rsidR="00902913">
        <w:rPr>
          <w:rFonts w:eastAsia="SimSun"/>
        </w:rPr>
        <w:t xml:space="preserve"> </w:t>
      </w:r>
      <w:r>
        <w:rPr>
          <w:rFonts w:eastAsia="SimSun"/>
        </w:rPr>
        <w:t xml:space="preserve">In other words, under Staff’s </w:t>
      </w:r>
      <w:r w:rsidR="00125DD4">
        <w:rPr>
          <w:rFonts w:eastAsia="SimSun"/>
        </w:rPr>
        <w:t xml:space="preserve">original </w:t>
      </w:r>
      <w:r>
        <w:rPr>
          <w:rFonts w:eastAsia="SimSun"/>
        </w:rPr>
        <w:t xml:space="preserve">proposal, PSE </w:t>
      </w:r>
      <w:r w:rsidR="00125DD4">
        <w:rPr>
          <w:rFonts w:eastAsia="SimSun"/>
        </w:rPr>
        <w:t xml:space="preserve">would </w:t>
      </w:r>
      <w:r>
        <w:rPr>
          <w:rFonts w:eastAsia="SimSun"/>
        </w:rPr>
        <w:t>s</w:t>
      </w:r>
      <w:r w:rsidR="00C20AFD">
        <w:rPr>
          <w:rFonts w:eastAsia="SimSun"/>
        </w:rPr>
        <w:t xml:space="preserve">uffer </w:t>
      </w:r>
      <w:r w:rsidR="00125DD4">
        <w:rPr>
          <w:rFonts w:eastAsia="SimSun"/>
        </w:rPr>
        <w:t xml:space="preserve">an </w:t>
      </w:r>
      <w:r w:rsidR="00C20AFD">
        <w:rPr>
          <w:rFonts w:eastAsia="SimSun"/>
        </w:rPr>
        <w:t xml:space="preserve">inevitable </w:t>
      </w:r>
      <w:r>
        <w:rPr>
          <w:rFonts w:eastAsia="SimSun"/>
        </w:rPr>
        <w:t xml:space="preserve">drag in its earning as customers are forced out of the </w:t>
      </w:r>
      <w:r w:rsidR="00C20AFD">
        <w:rPr>
          <w:rFonts w:eastAsia="SimSun"/>
        </w:rPr>
        <w:t xml:space="preserve">rental </w:t>
      </w:r>
      <w:r>
        <w:rPr>
          <w:rFonts w:eastAsia="SimSun"/>
        </w:rPr>
        <w:t>program</w:t>
      </w:r>
      <w:r w:rsidR="00125DD4">
        <w:rPr>
          <w:rFonts w:eastAsia="SimSun"/>
        </w:rPr>
        <w:t xml:space="preserve"> shortly after rates from this case go into effect</w:t>
      </w:r>
      <w:r>
        <w:rPr>
          <w:rFonts w:eastAsia="SimSun"/>
        </w:rPr>
        <w:t>.</w:t>
      </w:r>
      <w:r w:rsidR="00902913">
        <w:rPr>
          <w:rFonts w:eastAsia="SimSun"/>
        </w:rPr>
        <w:t xml:space="preserve"> </w:t>
      </w:r>
    </w:p>
    <w:p w:rsidR="00C26AC6" w:rsidRPr="003B5206" w:rsidRDefault="00C26AC6" w:rsidP="00B14C60">
      <w:pPr>
        <w:pStyle w:val="PleadingsL2"/>
      </w:pPr>
      <w:bookmarkStart w:id="57" w:name="_Toc489871505"/>
      <w:r w:rsidRPr="00745DFD">
        <w:t>Terminology</w:t>
      </w:r>
      <w:r>
        <w:t xml:space="preserve"> (“Pro Forma Revenue)</w:t>
      </w:r>
      <w:bookmarkEnd w:id="57"/>
    </w:p>
    <w:p w:rsidR="00453426" w:rsidRPr="009075DC" w:rsidRDefault="00453426" w:rsidP="00453426">
      <w:pPr>
        <w:pStyle w:val="question"/>
      </w:pPr>
      <w:r>
        <w:t>Q</w:t>
      </w:r>
      <w:r w:rsidRPr="009075DC">
        <w:t>.</w:t>
      </w:r>
      <w:r w:rsidRPr="009075DC">
        <w:tab/>
      </w:r>
      <w:r w:rsidR="00DF0BDB">
        <w:t xml:space="preserve">Please summarize </w:t>
      </w:r>
      <w:r>
        <w:t>Staff’s concerns related to PSE’s use of the term “pro forma revenue”?</w:t>
      </w:r>
    </w:p>
    <w:p w:rsidR="00453426" w:rsidRDefault="00453426" w:rsidP="00453426">
      <w:pPr>
        <w:pStyle w:val="answer"/>
      </w:pPr>
      <w:r w:rsidRPr="009075DC">
        <w:rPr>
          <w:rFonts w:eastAsia="SimSun"/>
        </w:rPr>
        <w:t>A.</w:t>
      </w:r>
      <w:r w:rsidRPr="009075DC">
        <w:rPr>
          <w:rFonts w:eastAsia="SimSun"/>
        </w:rPr>
        <w:tab/>
      </w:r>
      <w:r w:rsidR="00C0000F">
        <w:rPr>
          <w:rFonts w:eastAsia="SimSun"/>
        </w:rPr>
        <w:t>Staff witness Melissa Cheesman disagrees with the Company’s use of the term “pro forma revenue” in its presentation of results, instead suggesting that the results presented actually represent PSE’s “actual revenue</w:t>
      </w:r>
      <w:r>
        <w:rPr>
          <w:rFonts w:eastAsia="SimSun"/>
        </w:rPr>
        <w:t>.</w:t>
      </w:r>
      <w:r w:rsidR="00C0000F">
        <w:rPr>
          <w:rFonts w:eastAsia="SimSun"/>
        </w:rPr>
        <w:t>”</w:t>
      </w:r>
      <w:r w:rsidR="00C0000F">
        <w:rPr>
          <w:rStyle w:val="FootnoteReference"/>
          <w:rFonts w:eastAsia="SimSun"/>
        </w:rPr>
        <w:footnoteReference w:id="144"/>
      </w:r>
    </w:p>
    <w:p w:rsidR="00453426" w:rsidRPr="009075DC" w:rsidRDefault="00453426" w:rsidP="00453426">
      <w:pPr>
        <w:pStyle w:val="question"/>
      </w:pPr>
      <w:r w:rsidRPr="009075DC">
        <w:t>Q.</w:t>
      </w:r>
      <w:r w:rsidRPr="009075DC">
        <w:tab/>
      </w:r>
      <w:r w:rsidR="0054042E">
        <w:t>Do you agree with Staff’s characterization of PSE’s presentation of revenue</w:t>
      </w:r>
      <w:r w:rsidRPr="009075DC">
        <w:t>?</w:t>
      </w:r>
    </w:p>
    <w:p w:rsidR="00FB63CC" w:rsidRDefault="00453426" w:rsidP="00453426">
      <w:pPr>
        <w:pStyle w:val="answer"/>
        <w:rPr>
          <w:rFonts w:eastAsia="SimSun"/>
        </w:rPr>
      </w:pPr>
      <w:r w:rsidRPr="009075DC">
        <w:rPr>
          <w:rFonts w:eastAsia="SimSun"/>
        </w:rPr>
        <w:t>A.</w:t>
      </w:r>
      <w:r w:rsidRPr="009075DC">
        <w:rPr>
          <w:rFonts w:eastAsia="SimSun"/>
        </w:rPr>
        <w:tab/>
      </w:r>
      <w:r w:rsidR="0054042E">
        <w:rPr>
          <w:rFonts w:eastAsia="SimSun"/>
        </w:rPr>
        <w:t>No.</w:t>
      </w:r>
      <w:r w:rsidR="00902913">
        <w:rPr>
          <w:rFonts w:eastAsia="SimSun"/>
        </w:rPr>
        <w:t xml:space="preserve"> </w:t>
      </w:r>
      <w:r w:rsidR="00FB63CC">
        <w:rPr>
          <w:rFonts w:eastAsia="SimSun"/>
        </w:rPr>
        <w:t xml:space="preserve">I disagree with Staff’s </w:t>
      </w:r>
      <w:r w:rsidR="0054042E">
        <w:rPr>
          <w:rFonts w:eastAsia="SimSun"/>
        </w:rPr>
        <w:t xml:space="preserve">conclusion that </w:t>
      </w:r>
      <w:r w:rsidR="00FB63CC">
        <w:rPr>
          <w:rFonts w:eastAsia="SimSun"/>
        </w:rPr>
        <w:t xml:space="preserve">what I reference in testimony as “pro forma revenue” </w:t>
      </w:r>
      <w:r w:rsidR="0054042E">
        <w:rPr>
          <w:rFonts w:eastAsia="SimSun"/>
        </w:rPr>
        <w:t>is in fact</w:t>
      </w:r>
      <w:r w:rsidR="00FB63CC">
        <w:rPr>
          <w:rFonts w:eastAsia="SimSun"/>
        </w:rPr>
        <w:t xml:space="preserve"> “actual revenue.”</w:t>
      </w:r>
      <w:r w:rsidR="00902913">
        <w:rPr>
          <w:rFonts w:eastAsia="SimSun"/>
        </w:rPr>
        <w:t xml:space="preserve"> </w:t>
      </w:r>
      <w:r w:rsidR="00FB63CC">
        <w:rPr>
          <w:rFonts w:eastAsia="SimSun"/>
        </w:rPr>
        <w:t xml:space="preserve">The loads used to </w:t>
      </w:r>
      <w:r w:rsidR="00925CE8">
        <w:rPr>
          <w:rFonts w:eastAsia="SimSun"/>
        </w:rPr>
        <w:t xml:space="preserve">generate </w:t>
      </w:r>
      <w:r w:rsidR="00DF0BDB">
        <w:rPr>
          <w:rFonts w:eastAsia="SimSun"/>
        </w:rPr>
        <w:t xml:space="preserve">what I term “pro forma </w:t>
      </w:r>
      <w:r w:rsidR="00FB63CC">
        <w:rPr>
          <w:rFonts w:eastAsia="SimSun"/>
        </w:rPr>
        <w:t>revenue</w:t>
      </w:r>
      <w:r w:rsidR="00DF0BDB">
        <w:rPr>
          <w:rFonts w:eastAsia="SimSun"/>
        </w:rPr>
        <w:t>”</w:t>
      </w:r>
      <w:r w:rsidR="00FB63CC">
        <w:rPr>
          <w:rFonts w:eastAsia="SimSun"/>
        </w:rPr>
        <w:t xml:space="preserve"> have been </w:t>
      </w:r>
      <w:r w:rsidR="0054042E">
        <w:rPr>
          <w:rFonts w:eastAsia="SimSun"/>
        </w:rPr>
        <w:t xml:space="preserve">(1) </w:t>
      </w:r>
      <w:r w:rsidR="00FB63CC">
        <w:rPr>
          <w:rFonts w:eastAsia="SimSun"/>
        </w:rPr>
        <w:t>restated to reflect the rates in effect at the end of the test year</w:t>
      </w:r>
      <w:r w:rsidR="00CF11E2">
        <w:rPr>
          <w:rFonts w:eastAsia="SimSun"/>
        </w:rPr>
        <w:t>,</w:t>
      </w:r>
      <w:r w:rsidR="0054042E">
        <w:rPr>
          <w:rFonts w:eastAsia="SimSun"/>
        </w:rPr>
        <w:t xml:space="preserve"> (2) </w:t>
      </w:r>
      <w:r w:rsidR="00FB63CC">
        <w:rPr>
          <w:rFonts w:eastAsia="SimSun"/>
        </w:rPr>
        <w:t>norma</w:t>
      </w:r>
      <w:r w:rsidR="0054042E">
        <w:rPr>
          <w:rFonts w:eastAsia="SimSun"/>
        </w:rPr>
        <w:t>lized for the effects of abnormal temperature</w:t>
      </w:r>
      <w:r w:rsidR="00FB63CC">
        <w:rPr>
          <w:rFonts w:eastAsia="SimSun"/>
        </w:rPr>
        <w:t xml:space="preserve">, </w:t>
      </w:r>
      <w:r w:rsidR="0054042E">
        <w:rPr>
          <w:rFonts w:eastAsia="SimSun"/>
        </w:rPr>
        <w:t xml:space="preserve">(3) </w:t>
      </w:r>
      <w:r w:rsidR="00FB63CC">
        <w:rPr>
          <w:rFonts w:eastAsia="SimSun"/>
        </w:rPr>
        <w:t>corrected for any billing or metering errors</w:t>
      </w:r>
      <w:r w:rsidR="00CF11E2">
        <w:rPr>
          <w:rFonts w:eastAsia="SimSun"/>
        </w:rPr>
        <w:t xml:space="preserve">, </w:t>
      </w:r>
      <w:r w:rsidR="00FB63CC">
        <w:rPr>
          <w:rFonts w:eastAsia="SimSun"/>
        </w:rPr>
        <w:t xml:space="preserve">and </w:t>
      </w:r>
      <w:r w:rsidR="0054042E">
        <w:rPr>
          <w:rFonts w:eastAsia="SimSun"/>
        </w:rPr>
        <w:t xml:space="preserve">(4) </w:t>
      </w:r>
      <w:r w:rsidR="00FB63CC">
        <w:rPr>
          <w:rFonts w:eastAsia="SimSun"/>
        </w:rPr>
        <w:t>pro formed for anticipated schedule switching by customers when new rates go into effect.</w:t>
      </w:r>
      <w:r w:rsidR="00DF0BDB">
        <w:rPr>
          <w:rStyle w:val="FootnoteReference"/>
          <w:rFonts w:eastAsia="SimSun"/>
        </w:rPr>
        <w:footnoteReference w:id="145"/>
      </w:r>
      <w:r w:rsidR="00902913">
        <w:rPr>
          <w:rFonts w:eastAsia="SimSun"/>
        </w:rPr>
        <w:t xml:space="preserve"> </w:t>
      </w:r>
      <w:r w:rsidR="00FB63CC">
        <w:rPr>
          <w:rFonts w:eastAsia="SimSun"/>
        </w:rPr>
        <w:t>None of this represents “actual revenue.”</w:t>
      </w:r>
      <w:r w:rsidR="00902913">
        <w:rPr>
          <w:rFonts w:eastAsia="SimSun"/>
        </w:rPr>
        <w:t xml:space="preserve"> </w:t>
      </w:r>
      <w:r w:rsidR="00FB63CC">
        <w:rPr>
          <w:rFonts w:eastAsia="SimSun"/>
        </w:rPr>
        <w:t>Actual revenue is what PSE booked at the time it was recognized</w:t>
      </w:r>
      <w:r w:rsidR="0054042E">
        <w:rPr>
          <w:rFonts w:eastAsia="SimSun"/>
        </w:rPr>
        <w:t>, based on actual loads, actual rates, actual bills and the schedules under which service was actually taken during the test year.</w:t>
      </w:r>
      <w:r w:rsidR="00902913">
        <w:rPr>
          <w:rFonts w:eastAsia="SimSun"/>
        </w:rPr>
        <w:t xml:space="preserve"> </w:t>
      </w:r>
      <w:r w:rsidR="0054042E">
        <w:rPr>
          <w:rFonts w:eastAsia="SimSun"/>
        </w:rPr>
        <w:t>In reality, actual revenue</w:t>
      </w:r>
      <w:r w:rsidR="00FB63CC">
        <w:rPr>
          <w:rFonts w:eastAsia="SimSun"/>
        </w:rPr>
        <w:t xml:space="preserve"> is </w:t>
      </w:r>
      <w:r w:rsidR="0054042E">
        <w:rPr>
          <w:rFonts w:eastAsia="SimSun"/>
        </w:rPr>
        <w:t xml:space="preserve">simply </w:t>
      </w:r>
      <w:r w:rsidR="00FB63CC">
        <w:rPr>
          <w:rFonts w:eastAsia="SimSun"/>
        </w:rPr>
        <w:t xml:space="preserve">the starting point for determining the pro formed amount of revenue upon which </w:t>
      </w:r>
      <w:r w:rsidR="0054042E">
        <w:rPr>
          <w:rFonts w:eastAsia="SimSun"/>
        </w:rPr>
        <w:t>a utility</w:t>
      </w:r>
      <w:r w:rsidR="00FB63CC">
        <w:rPr>
          <w:rFonts w:eastAsia="SimSun"/>
        </w:rPr>
        <w:t xml:space="preserve"> determine</w:t>
      </w:r>
      <w:r w:rsidR="0054042E">
        <w:rPr>
          <w:rFonts w:eastAsia="SimSun"/>
        </w:rPr>
        <w:t>s</w:t>
      </w:r>
      <w:r w:rsidR="00FB63CC">
        <w:rPr>
          <w:rFonts w:eastAsia="SimSun"/>
        </w:rPr>
        <w:t xml:space="preserve"> the electric and gas revenue deficiencies in </w:t>
      </w:r>
      <w:r w:rsidR="0054042E">
        <w:rPr>
          <w:rFonts w:eastAsia="SimSun"/>
        </w:rPr>
        <w:t>its</w:t>
      </w:r>
      <w:r w:rsidR="00FB63CC">
        <w:rPr>
          <w:rFonts w:eastAsia="SimSun"/>
        </w:rPr>
        <w:t xml:space="preserve"> case</w:t>
      </w:r>
      <w:r w:rsidR="0042295A">
        <w:rPr>
          <w:rFonts w:eastAsia="SimSun"/>
        </w:rPr>
        <w:t>.</w:t>
      </w:r>
      <w:r w:rsidR="00902913">
        <w:rPr>
          <w:rFonts w:eastAsia="SimSun"/>
        </w:rPr>
        <w:t xml:space="preserve"> </w:t>
      </w:r>
    </w:p>
    <w:p w:rsidR="00453426" w:rsidRDefault="00FB63CC" w:rsidP="00FB63CC">
      <w:pPr>
        <w:pStyle w:val="answer"/>
        <w:ind w:firstLine="0"/>
        <w:rPr>
          <w:rFonts w:eastAsia="SimSun"/>
        </w:rPr>
      </w:pPr>
      <w:r>
        <w:rPr>
          <w:rFonts w:eastAsia="SimSun"/>
        </w:rPr>
        <w:t xml:space="preserve">Moreover, I find </w:t>
      </w:r>
      <w:r w:rsidR="00925CE8">
        <w:rPr>
          <w:rFonts w:eastAsia="SimSun"/>
        </w:rPr>
        <w:t xml:space="preserve">Staff’s </w:t>
      </w:r>
      <w:r>
        <w:rPr>
          <w:rFonts w:eastAsia="SimSun"/>
        </w:rPr>
        <w:t xml:space="preserve">confusion </w:t>
      </w:r>
      <w:r w:rsidR="00BE0C31">
        <w:rPr>
          <w:rFonts w:eastAsia="SimSun"/>
        </w:rPr>
        <w:t xml:space="preserve">on this issue </w:t>
      </w:r>
      <w:r>
        <w:rPr>
          <w:rFonts w:eastAsia="SimSun"/>
        </w:rPr>
        <w:t xml:space="preserve">very curious, as PSE has </w:t>
      </w:r>
      <w:r w:rsidR="001B6CCE">
        <w:rPr>
          <w:rFonts w:eastAsia="SimSun"/>
        </w:rPr>
        <w:t xml:space="preserve">consistently </w:t>
      </w:r>
      <w:r>
        <w:rPr>
          <w:rFonts w:eastAsia="SimSun"/>
        </w:rPr>
        <w:t xml:space="preserve">been using the term “pro forma revenue” in exhibits and work papers filed in its GRCs for decades, certainly as long as the most tenured employees in </w:t>
      </w:r>
      <w:r w:rsidR="00CF11E2">
        <w:rPr>
          <w:rFonts w:eastAsia="SimSun"/>
        </w:rPr>
        <w:t>PSE</w:t>
      </w:r>
      <w:r w:rsidR="001B6CCE">
        <w:rPr>
          <w:rFonts w:eastAsia="SimSun"/>
        </w:rPr>
        <w:t>’s</w:t>
      </w:r>
      <w:r>
        <w:rPr>
          <w:rFonts w:eastAsia="SimSun"/>
        </w:rPr>
        <w:t xml:space="preserve"> Rates Department</w:t>
      </w:r>
      <w:r w:rsidR="00925CE8">
        <w:rPr>
          <w:rFonts w:eastAsia="SimSun"/>
        </w:rPr>
        <w:t xml:space="preserve"> can recall</w:t>
      </w:r>
      <w:r w:rsidR="00555D72">
        <w:rPr>
          <w:rFonts w:eastAsia="SimSun"/>
        </w:rPr>
        <w:t>.</w:t>
      </w:r>
      <w:r w:rsidR="00902913">
        <w:rPr>
          <w:rFonts w:eastAsia="SimSun"/>
        </w:rPr>
        <w:t xml:space="preserve"> </w:t>
      </w:r>
      <w:r w:rsidR="00BE0C31">
        <w:rPr>
          <w:rFonts w:eastAsia="SimSun"/>
        </w:rPr>
        <w:t xml:space="preserve">PSE is </w:t>
      </w:r>
      <w:r w:rsidR="00BB0B3E">
        <w:rPr>
          <w:rFonts w:eastAsia="SimSun"/>
        </w:rPr>
        <w:t>further</w:t>
      </w:r>
      <w:r w:rsidR="00BE0C31">
        <w:rPr>
          <w:rFonts w:eastAsia="SimSun"/>
        </w:rPr>
        <w:t xml:space="preserve"> perplexed as to w</w:t>
      </w:r>
      <w:r>
        <w:rPr>
          <w:rFonts w:eastAsia="SimSun"/>
        </w:rPr>
        <w:t>hy Staff is now confused by this terminology, particularly when what was meant by that terminology was plainly outlined in the testimony referenced by Ms. Cheesman</w:t>
      </w:r>
      <w:r w:rsidR="00453426">
        <w:rPr>
          <w:rFonts w:eastAsia="SimSun"/>
        </w:rPr>
        <w:t>.</w:t>
      </w:r>
      <w:r w:rsidR="00BB0B3E">
        <w:rPr>
          <w:rStyle w:val="FootnoteReference"/>
          <w:rFonts w:eastAsia="SimSun"/>
        </w:rPr>
        <w:footnoteReference w:id="146"/>
      </w:r>
    </w:p>
    <w:p w:rsidR="00FB63CC" w:rsidRPr="001B6CCE" w:rsidRDefault="00FB63CC" w:rsidP="00745DFD">
      <w:pPr>
        <w:pStyle w:val="question"/>
      </w:pPr>
      <w:r w:rsidRPr="001B6CCE">
        <w:t>Q.</w:t>
      </w:r>
      <w:r w:rsidRPr="001B6CCE">
        <w:tab/>
        <w:t xml:space="preserve">Have others used this “pro forma revenue” terminology </w:t>
      </w:r>
      <w:r w:rsidR="001B6CCE" w:rsidRPr="001B6CCE">
        <w:t>as well?</w:t>
      </w:r>
      <w:r w:rsidR="00902913">
        <w:t xml:space="preserve"> </w:t>
      </w:r>
    </w:p>
    <w:p w:rsidR="001B6CCE" w:rsidRDefault="001B6CCE" w:rsidP="00453426">
      <w:pPr>
        <w:pStyle w:val="answer"/>
        <w:rPr>
          <w:rFonts w:eastAsia="SimSun"/>
        </w:rPr>
      </w:pPr>
      <w:r>
        <w:rPr>
          <w:rFonts w:eastAsia="SimSun"/>
        </w:rPr>
        <w:t>A.</w:t>
      </w:r>
      <w:r>
        <w:rPr>
          <w:rFonts w:eastAsia="SimSun"/>
        </w:rPr>
        <w:tab/>
        <w:t>Yes.</w:t>
      </w:r>
      <w:r w:rsidR="00902913">
        <w:rPr>
          <w:rFonts w:eastAsia="SimSun"/>
        </w:rPr>
        <w:t xml:space="preserve"> </w:t>
      </w:r>
      <w:r>
        <w:rPr>
          <w:rFonts w:eastAsia="SimSun"/>
        </w:rPr>
        <w:t>Although not a topic often discussed at length in rate cases, this terminology has been used in the past by Staff,</w:t>
      </w:r>
      <w:r w:rsidR="0042295A">
        <w:rPr>
          <w:rStyle w:val="FootnoteReference"/>
          <w:rFonts w:eastAsia="SimSun"/>
        </w:rPr>
        <w:footnoteReference w:id="147"/>
      </w:r>
      <w:r>
        <w:rPr>
          <w:rFonts w:eastAsia="SimSun"/>
        </w:rPr>
        <w:t xml:space="preserve"> in settlements of issues in past PSE rate cases,</w:t>
      </w:r>
      <w:r>
        <w:rPr>
          <w:rStyle w:val="FootnoteReference"/>
          <w:rFonts w:eastAsia="SimSun"/>
        </w:rPr>
        <w:footnoteReference w:id="148"/>
      </w:r>
      <w:r>
        <w:rPr>
          <w:rFonts w:eastAsia="SimSun"/>
        </w:rPr>
        <w:t xml:space="preserve"> as well as by the Commission </w:t>
      </w:r>
      <w:r w:rsidR="00571724">
        <w:rPr>
          <w:rFonts w:eastAsia="SimSun"/>
        </w:rPr>
        <w:t xml:space="preserve">in </w:t>
      </w:r>
      <w:r>
        <w:rPr>
          <w:rFonts w:eastAsia="SimSun"/>
        </w:rPr>
        <w:t>PSE</w:t>
      </w:r>
      <w:r w:rsidR="0042295A">
        <w:rPr>
          <w:rFonts w:eastAsia="SimSun"/>
        </w:rPr>
        <w:t>’s last GRC</w:t>
      </w:r>
      <w:r>
        <w:rPr>
          <w:rFonts w:eastAsia="SimSun"/>
        </w:rPr>
        <w:t>.</w:t>
      </w:r>
      <w:r w:rsidR="0042295A">
        <w:rPr>
          <w:rStyle w:val="FootnoteReference"/>
          <w:rFonts w:eastAsia="SimSun"/>
        </w:rPr>
        <w:footnoteReference w:id="149"/>
      </w:r>
      <w:r w:rsidR="00902913">
        <w:rPr>
          <w:rFonts w:eastAsia="SimSun"/>
        </w:rPr>
        <w:t xml:space="preserve"> </w:t>
      </w:r>
      <w:r w:rsidR="00381F7D">
        <w:rPr>
          <w:rFonts w:eastAsia="SimSun"/>
        </w:rPr>
        <w:t>In</w:t>
      </w:r>
      <w:r w:rsidR="00905BC0">
        <w:rPr>
          <w:rFonts w:eastAsia="SimSun"/>
        </w:rPr>
        <w:t xml:space="preserve"> fact, this terminology was used by witnesses for Cascade Natural Gas, including one of Staff’s former accounting witnesses, in its just-filed </w:t>
      </w:r>
      <w:r w:rsidR="00FF2489">
        <w:rPr>
          <w:rFonts w:eastAsia="SimSun"/>
        </w:rPr>
        <w:t>GRC</w:t>
      </w:r>
      <w:r w:rsidR="00905BC0">
        <w:rPr>
          <w:rFonts w:eastAsia="SimSun"/>
        </w:rPr>
        <w:t>.</w:t>
      </w:r>
      <w:r w:rsidR="00905BC0">
        <w:rPr>
          <w:rStyle w:val="FootnoteReference"/>
          <w:rFonts w:eastAsia="SimSun"/>
        </w:rPr>
        <w:footnoteReference w:id="150"/>
      </w:r>
    </w:p>
    <w:p w:rsidR="00584E78" w:rsidRPr="00BE0C31" w:rsidRDefault="0042295A" w:rsidP="00745DFD">
      <w:pPr>
        <w:pStyle w:val="question"/>
      </w:pPr>
      <w:r w:rsidRPr="00BE0C31">
        <w:t>Q.</w:t>
      </w:r>
      <w:r w:rsidRPr="00BE0C31">
        <w:tab/>
      </w:r>
      <w:r w:rsidR="00584E78" w:rsidRPr="00BE0C31">
        <w:t>What do you recommend to address this issue?</w:t>
      </w:r>
    </w:p>
    <w:p w:rsidR="00FF6B70" w:rsidRDefault="00584E78" w:rsidP="00584E78">
      <w:pPr>
        <w:pStyle w:val="answer"/>
      </w:pPr>
      <w:r>
        <w:t>A.</w:t>
      </w:r>
      <w:r>
        <w:tab/>
        <w:t xml:space="preserve">Rather than have the Commission apply a rigid </w:t>
      </w:r>
      <w:r w:rsidR="00BB0B3E">
        <w:t>set of guidelines</w:t>
      </w:r>
      <w:r>
        <w:t>, PSE recommends that this issue is better addressed directly and collaboratively between parties, particularly between PSE and Staff.</w:t>
      </w:r>
      <w:r w:rsidR="00902913">
        <w:t xml:space="preserve"> </w:t>
      </w:r>
      <w:r>
        <w:t>PSE agrees that confusion in terminology is counterproductive and that a common use and understanding of terms is helpful.</w:t>
      </w:r>
      <w:r w:rsidR="00902913">
        <w:t xml:space="preserve"> </w:t>
      </w:r>
      <w:r>
        <w:t>So, it commits to work with Staff to satisfactorily address this issue for future rate proceedings.</w:t>
      </w:r>
    </w:p>
    <w:p w:rsidR="00F8418D" w:rsidRPr="009075DC" w:rsidRDefault="00F8418D" w:rsidP="00B14C60">
      <w:pPr>
        <w:pStyle w:val="PleadingsL1"/>
        <w:rPr>
          <w:rFonts w:eastAsia="SimSun"/>
        </w:rPr>
      </w:pPr>
      <w:bookmarkStart w:id="58" w:name="_Toc489871506"/>
      <w:r w:rsidRPr="00745DFD">
        <w:rPr>
          <w:rFonts w:eastAsia="SimSun"/>
        </w:rPr>
        <w:t>CONCLUSION</w:t>
      </w:r>
      <w:bookmarkEnd w:id="29"/>
      <w:bookmarkEnd w:id="58"/>
    </w:p>
    <w:p w:rsidR="00F8418D" w:rsidRPr="009075DC" w:rsidRDefault="00F8418D" w:rsidP="00734EBA">
      <w:pPr>
        <w:pStyle w:val="question"/>
      </w:pPr>
      <w:r w:rsidRPr="009075DC">
        <w:t>Q.</w:t>
      </w:r>
      <w:r w:rsidRPr="009075DC">
        <w:tab/>
        <w:t xml:space="preserve">Does this conclude your </w:t>
      </w:r>
      <w:r w:rsidR="0013679C">
        <w:t xml:space="preserve">rebuttal </w:t>
      </w:r>
      <w:r w:rsidRPr="009075DC">
        <w:t>testimony?</w:t>
      </w:r>
    </w:p>
    <w:p w:rsidR="00734EBA" w:rsidRPr="009075DC" w:rsidRDefault="00F8418D">
      <w:pPr>
        <w:pStyle w:val="answer"/>
        <w:rPr>
          <w:rFonts w:eastAsia="SimSun"/>
        </w:rPr>
      </w:pPr>
      <w:r w:rsidRPr="009075DC">
        <w:rPr>
          <w:rFonts w:eastAsia="SimSun"/>
        </w:rPr>
        <w:t>A.</w:t>
      </w:r>
      <w:r w:rsidRPr="009075DC">
        <w:rPr>
          <w:rFonts w:eastAsia="SimSun"/>
        </w:rPr>
        <w:tab/>
        <w:t>Yes</w:t>
      </w:r>
      <w:r w:rsidR="00406B72">
        <w:rPr>
          <w:rFonts w:eastAsia="SimSun"/>
        </w:rPr>
        <w:t>.</w:t>
      </w:r>
    </w:p>
    <w:sectPr w:rsidR="00734EBA" w:rsidRPr="009075DC" w:rsidSect="00EC61B9">
      <w:footerReference w:type="default" r:id="rId12"/>
      <w:footerReference w:type="first" r:id="rId13"/>
      <w:pgSz w:w="12240" w:h="15840" w:code="1"/>
      <w:pgMar w:top="1440" w:right="1440" w:bottom="1440" w:left="2160" w:header="864" w:footer="576"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D3A" w:rsidRDefault="009B7D3A">
      <w:r>
        <w:separator/>
      </w:r>
    </w:p>
  </w:endnote>
  <w:endnote w:type="continuationSeparator" w:id="0">
    <w:p w:rsidR="009B7D3A" w:rsidRDefault="009B7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erif 3-Light">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D3A" w:rsidRDefault="009B7D3A">
    <w:pPr>
      <w:pStyle w:val="Footer"/>
      <w:tabs>
        <w:tab w:val="clear" w:pos="4507"/>
        <w:tab w:val="clear" w:pos="9000"/>
        <w:tab w:val="right" w:pos="8730"/>
      </w:tabs>
      <w:spacing w:line="240" w:lineRule="auto"/>
      <w:ind w:right="-90"/>
      <w:rPr>
        <w:b/>
        <w:bCs/>
        <w:sz w:val="20"/>
        <w:u w:val="single"/>
      </w:rPr>
    </w:pPr>
    <w:r>
      <w:rPr>
        <w:b/>
        <w:bCs/>
        <w:sz w:val="20"/>
        <w:u w:val="single"/>
      </w:rPr>
      <w:t>______________________________________________________________________________________</w:t>
    </w:r>
  </w:p>
  <w:p w:rsidR="009B7D3A" w:rsidRDefault="009B7D3A">
    <w:pPr>
      <w:pStyle w:val="Footer"/>
      <w:tabs>
        <w:tab w:val="clear" w:pos="4507"/>
        <w:tab w:val="clear" w:pos="9000"/>
        <w:tab w:val="right" w:pos="8640"/>
      </w:tabs>
      <w:spacing w:line="240" w:lineRule="auto"/>
      <w:ind w:right="0" w:hanging="4"/>
      <w:rPr>
        <w:sz w:val="10"/>
        <w:szCs w:val="10"/>
      </w:rPr>
    </w:pPr>
  </w:p>
  <w:p w:rsidR="009B7D3A" w:rsidRDefault="009B7D3A">
    <w:pPr>
      <w:pStyle w:val="Footer"/>
      <w:tabs>
        <w:tab w:val="clear" w:pos="4507"/>
        <w:tab w:val="clear" w:pos="9000"/>
        <w:tab w:val="right" w:pos="8640"/>
      </w:tabs>
      <w:ind w:hanging="4"/>
    </w:pPr>
    <w:r>
      <w:t>Prefiled Rebuttal Testimony</w:t>
    </w:r>
    <w:r>
      <w:tab/>
      <w:t>Exh. JAP-46CT</w:t>
    </w:r>
  </w:p>
  <w:p w:rsidR="009B7D3A" w:rsidRDefault="009B7D3A">
    <w:pPr>
      <w:pStyle w:val="Footer"/>
      <w:tabs>
        <w:tab w:val="clear" w:pos="4507"/>
        <w:tab w:val="clear" w:pos="9000"/>
        <w:tab w:val="right" w:pos="8640"/>
      </w:tabs>
      <w:ind w:hanging="4"/>
      <w:rPr>
        <w:rStyle w:val="PageNumber"/>
      </w:rPr>
    </w:pPr>
    <w:r>
      <w:t>(Confidential) of</w:t>
    </w:r>
    <w:r>
      <w:tab/>
      <w:t>Page </w:t>
    </w:r>
    <w:r>
      <w:rPr>
        <w:rStyle w:val="PageNumber"/>
      </w:rPr>
      <w:fldChar w:fldCharType="begin"/>
    </w:r>
    <w:r>
      <w:rPr>
        <w:rStyle w:val="PageNumber"/>
      </w:rPr>
      <w:instrText xml:space="preserve"> PAGE </w:instrText>
    </w:r>
    <w:r>
      <w:rPr>
        <w:rStyle w:val="PageNumber"/>
      </w:rPr>
      <w:fldChar w:fldCharType="separate"/>
    </w:r>
    <w:r w:rsidR="00B06438">
      <w:rPr>
        <w:rStyle w:val="PageNumber"/>
        <w:noProof/>
      </w:rPr>
      <w:t>iv</w:t>
    </w:r>
    <w:r>
      <w:rPr>
        <w:rStyle w:val="PageNumber"/>
      </w:rPr>
      <w:fldChar w:fldCharType="end"/>
    </w:r>
    <w:r>
      <w:rPr>
        <w:rStyle w:val="PageNumber"/>
      </w:rPr>
      <w:t xml:space="preserve"> of </w:t>
    </w:r>
    <w:r>
      <w:t>iv</w:t>
    </w:r>
  </w:p>
  <w:p w:rsidR="009B7D3A" w:rsidRDefault="009B7D3A" w:rsidP="008869EC">
    <w:pPr>
      <w:pStyle w:val="Footer"/>
      <w:tabs>
        <w:tab w:val="clear" w:pos="4507"/>
        <w:tab w:val="clear" w:pos="9000"/>
        <w:tab w:val="right" w:pos="8640"/>
      </w:tabs>
      <w:ind w:hanging="4"/>
    </w:pPr>
    <w:r>
      <w:t>Jon A. Piliaris</w:t>
    </w:r>
    <w:r w:rsidRPr="00782962">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D3A" w:rsidRDefault="009B7D3A">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rsidR="009B7D3A" w:rsidRDefault="009B7D3A">
    <w:pPr>
      <w:pStyle w:val="Footer"/>
      <w:tabs>
        <w:tab w:val="clear" w:pos="4507"/>
        <w:tab w:val="clear" w:pos="9000"/>
        <w:tab w:val="right" w:pos="8640"/>
      </w:tabs>
      <w:spacing w:line="240" w:lineRule="auto"/>
      <w:ind w:right="0"/>
      <w:rPr>
        <w:sz w:val="10"/>
      </w:rPr>
    </w:pPr>
  </w:p>
  <w:p w:rsidR="009B7D3A" w:rsidRDefault="009B7D3A">
    <w:pPr>
      <w:pStyle w:val="Footer"/>
      <w:tabs>
        <w:tab w:val="clear" w:pos="4507"/>
        <w:tab w:val="clear" w:pos="9000"/>
        <w:tab w:val="right" w:pos="8640"/>
      </w:tabs>
    </w:pPr>
    <w:r>
      <w:t>Prefiled Rebuttal Testimony</w:t>
    </w:r>
    <w:r>
      <w:tab/>
      <w:t>Exh. JAP-46CT</w:t>
    </w:r>
  </w:p>
  <w:p w:rsidR="009B7D3A" w:rsidRDefault="009B7D3A">
    <w:pPr>
      <w:pStyle w:val="Footer"/>
      <w:tabs>
        <w:tab w:val="clear" w:pos="4507"/>
        <w:tab w:val="clear" w:pos="9000"/>
        <w:tab w:val="right" w:pos="8640"/>
      </w:tabs>
      <w:rPr>
        <w:rStyle w:val="PageNumber"/>
      </w:rPr>
    </w:pPr>
    <w:r>
      <w:t>(Confidential) of</w:t>
    </w:r>
    <w:r>
      <w:tab/>
      <w:t>Page </w:t>
    </w:r>
    <w:r>
      <w:rPr>
        <w:rStyle w:val="PageNumber"/>
      </w:rPr>
      <w:fldChar w:fldCharType="begin"/>
    </w:r>
    <w:r>
      <w:rPr>
        <w:rStyle w:val="PageNumber"/>
      </w:rPr>
      <w:instrText xml:space="preserve"> PAGE </w:instrText>
    </w:r>
    <w:r>
      <w:rPr>
        <w:rStyle w:val="PageNumber"/>
      </w:rPr>
      <w:fldChar w:fldCharType="separate"/>
    </w:r>
    <w:r w:rsidR="00B06438">
      <w:rPr>
        <w:rStyle w:val="PageNumber"/>
        <w:noProof/>
      </w:rPr>
      <w:t>62</w:t>
    </w:r>
    <w:r>
      <w:rPr>
        <w:rStyle w:val="PageNumber"/>
      </w:rPr>
      <w:fldChar w:fldCharType="end"/>
    </w:r>
    <w:r>
      <w:rPr>
        <w:rStyle w:val="PageNumber"/>
      </w:rPr>
      <w:t xml:space="preserve"> of </w:t>
    </w:r>
    <w:r>
      <w:rPr>
        <w:rStyle w:val="PageNumber"/>
      </w:rPr>
      <w:fldChar w:fldCharType="begin"/>
    </w:r>
    <w:r>
      <w:rPr>
        <w:rStyle w:val="PageNumber"/>
      </w:rPr>
      <w:instrText xml:space="preserve"> SECTIONPAGES </w:instrText>
    </w:r>
    <w:r>
      <w:rPr>
        <w:rStyle w:val="PageNumber"/>
      </w:rPr>
      <w:fldChar w:fldCharType="separate"/>
    </w:r>
    <w:r w:rsidR="00B06438">
      <w:rPr>
        <w:rStyle w:val="PageNumber"/>
        <w:noProof/>
      </w:rPr>
      <w:t>86</w:t>
    </w:r>
    <w:r>
      <w:rPr>
        <w:rStyle w:val="PageNumber"/>
      </w:rPr>
      <w:fldChar w:fldCharType="end"/>
    </w:r>
  </w:p>
  <w:p w:rsidR="009B7D3A" w:rsidRDefault="009B7D3A" w:rsidP="008869EC">
    <w:pPr>
      <w:pStyle w:val="Footer"/>
      <w:tabs>
        <w:tab w:val="clear" w:pos="4507"/>
        <w:tab w:val="clear" w:pos="9000"/>
        <w:tab w:val="right" w:pos="8640"/>
      </w:tabs>
    </w:pPr>
    <w:r>
      <w:t>Jon A. Piliaris</w:t>
    </w:r>
    <w:r w:rsidRPr="00782962">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D3A" w:rsidRDefault="009B7D3A">
    <w:pPr>
      <w:pStyle w:val="Footer"/>
      <w:tabs>
        <w:tab w:val="clear" w:pos="4507"/>
        <w:tab w:val="clear" w:pos="9000"/>
        <w:tab w:val="right" w:pos="8730"/>
      </w:tabs>
      <w:spacing w:line="240" w:lineRule="auto"/>
      <w:ind w:left="-634" w:right="-90"/>
      <w:rPr>
        <w:b/>
        <w:sz w:val="20"/>
        <w:u w:val="single"/>
      </w:rPr>
    </w:pPr>
    <w:r>
      <w:rPr>
        <w:b/>
        <w:sz w:val="20"/>
        <w:u w:val="single"/>
      </w:rPr>
      <w:t>____________________________________________________________________________________________</w:t>
    </w:r>
  </w:p>
  <w:p w:rsidR="009B7D3A" w:rsidRDefault="009B7D3A">
    <w:pPr>
      <w:pStyle w:val="Footer"/>
      <w:tabs>
        <w:tab w:val="clear" w:pos="4507"/>
        <w:tab w:val="clear" w:pos="9000"/>
        <w:tab w:val="right" w:pos="8640"/>
      </w:tabs>
      <w:spacing w:line="240" w:lineRule="auto"/>
      <w:ind w:left="-630" w:right="0" w:hanging="4"/>
      <w:rPr>
        <w:sz w:val="10"/>
      </w:rPr>
    </w:pPr>
  </w:p>
  <w:p w:rsidR="009B7D3A" w:rsidRDefault="009B7D3A">
    <w:pPr>
      <w:pStyle w:val="Footer"/>
      <w:tabs>
        <w:tab w:val="clear" w:pos="4507"/>
        <w:tab w:val="clear" w:pos="9000"/>
        <w:tab w:val="right" w:pos="8640"/>
      </w:tabs>
      <w:ind w:left="-630" w:hanging="4"/>
    </w:pPr>
    <w:r>
      <w:t>Prefiled Direct Testimony of</w:t>
    </w:r>
    <w:r>
      <w:tab/>
      <w:t>Exhibit No. ___(JD-1CT)</w:t>
    </w:r>
  </w:p>
  <w:p w:rsidR="009B7D3A" w:rsidRDefault="009B7D3A">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 xml:space="preserve"> of 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D3A" w:rsidRDefault="009B7D3A">
      <w:r>
        <w:separator/>
      </w:r>
    </w:p>
  </w:footnote>
  <w:footnote w:type="continuationSeparator" w:id="0">
    <w:p w:rsidR="009B7D3A" w:rsidRDefault="009B7D3A">
      <w:r>
        <w:continuationSeparator/>
      </w:r>
    </w:p>
  </w:footnote>
  <w:footnote w:id="1">
    <w:p w:rsidR="009B7D3A" w:rsidRDefault="009B7D3A" w:rsidP="006106EB">
      <w:pPr>
        <w:pStyle w:val="FootnoteText"/>
        <w:spacing w:before="0" w:line="240" w:lineRule="auto"/>
      </w:pPr>
      <w:r>
        <w:rPr>
          <w:rStyle w:val="FootnoteReference"/>
        </w:rPr>
        <w:footnoteRef/>
      </w:r>
      <w:r>
        <w:t xml:space="preserve"> Liu, Exh. JL-1CT at 61:13-18.</w:t>
      </w:r>
    </w:p>
  </w:footnote>
  <w:footnote w:id="2">
    <w:p w:rsidR="009B7D3A" w:rsidRDefault="009B7D3A" w:rsidP="006106EB">
      <w:pPr>
        <w:pStyle w:val="FootnoteText"/>
        <w:spacing w:before="0" w:line="240" w:lineRule="auto"/>
      </w:pPr>
      <w:r>
        <w:rPr>
          <w:rStyle w:val="FootnoteReference"/>
        </w:rPr>
        <w:footnoteRef/>
      </w:r>
      <w:r>
        <w:t xml:space="preserve"> Gorman, Exh. MPG-1T at 29:19-21. Al-Jabir, Exh. AZA-1T at 2:8-14.</w:t>
      </w:r>
    </w:p>
  </w:footnote>
  <w:footnote w:id="3">
    <w:p w:rsidR="009B7D3A" w:rsidRDefault="009B7D3A" w:rsidP="006106EB">
      <w:pPr>
        <w:pStyle w:val="FootnoteText"/>
        <w:spacing w:before="0" w:line="240" w:lineRule="auto"/>
      </w:pPr>
      <w:r>
        <w:rPr>
          <w:rStyle w:val="FootnoteReference"/>
        </w:rPr>
        <w:footnoteRef/>
      </w:r>
      <w:r>
        <w:t xml:space="preserve"> Levin, Exh. AML-1T at 15:20-22.</w:t>
      </w:r>
    </w:p>
  </w:footnote>
  <w:footnote w:id="4">
    <w:p w:rsidR="009B7D3A" w:rsidRDefault="009B7D3A" w:rsidP="006106EB">
      <w:pPr>
        <w:pStyle w:val="FootnoteText"/>
        <w:spacing w:before="0" w:line="240" w:lineRule="auto"/>
      </w:pPr>
      <w:r>
        <w:rPr>
          <w:rStyle w:val="FootnoteReference"/>
        </w:rPr>
        <w:footnoteRef/>
      </w:r>
      <w:r>
        <w:t xml:space="preserve"> Higgins, Exh. KCH-1T at 4:5-8. Collins, Exh. SMC-1T at 27.</w:t>
      </w:r>
      <w:r w:rsidR="00902913">
        <w:t xml:space="preserve"> </w:t>
      </w:r>
      <w:r>
        <w:t>Brosch, Exh. MLB-1T at 35:11-17.</w:t>
      </w:r>
    </w:p>
  </w:footnote>
  <w:footnote w:id="5">
    <w:p w:rsidR="009B7D3A" w:rsidRDefault="009B7D3A" w:rsidP="006106EB">
      <w:pPr>
        <w:pStyle w:val="FootnoteText"/>
        <w:spacing w:before="0" w:line="240" w:lineRule="auto"/>
      </w:pPr>
      <w:r>
        <w:rPr>
          <w:rStyle w:val="FootnoteReference"/>
        </w:rPr>
        <w:footnoteRef/>
      </w:r>
      <w:r>
        <w:t xml:space="preserve"> Gorman, Exh. MPG-1T at 29:1-9. </w:t>
      </w:r>
    </w:p>
  </w:footnote>
  <w:footnote w:id="6">
    <w:p w:rsidR="009B7D3A" w:rsidRDefault="009B7D3A" w:rsidP="006106EB">
      <w:pPr>
        <w:pStyle w:val="FootnoteText"/>
        <w:spacing w:before="0" w:line="240" w:lineRule="auto"/>
      </w:pPr>
      <w:r>
        <w:rPr>
          <w:rStyle w:val="FootnoteReference"/>
        </w:rPr>
        <w:footnoteRef/>
      </w:r>
      <w:r>
        <w:t xml:space="preserve"> Al-Jabir, Exh. AZA-1T at 6:17-22.</w:t>
      </w:r>
    </w:p>
  </w:footnote>
  <w:footnote w:id="7">
    <w:p w:rsidR="009B7D3A" w:rsidRDefault="009B7D3A" w:rsidP="006106EB">
      <w:pPr>
        <w:pStyle w:val="FootnoteText"/>
        <w:spacing w:before="0" w:line="240" w:lineRule="auto"/>
      </w:pPr>
      <w:r>
        <w:rPr>
          <w:rStyle w:val="FootnoteReference"/>
        </w:rPr>
        <w:footnoteRef/>
      </w:r>
      <w:r>
        <w:t xml:space="preserve"> Piliaris, Exh. </w:t>
      </w:r>
      <w:r w:rsidR="00D751D9">
        <w:t xml:space="preserve">JAP-29 at 120, </w:t>
      </w:r>
      <w:r>
        <w:t>Tables VII.5 and VII.6.</w:t>
      </w:r>
    </w:p>
  </w:footnote>
  <w:footnote w:id="8">
    <w:p w:rsidR="009B7D3A" w:rsidRDefault="009B7D3A" w:rsidP="006106EB">
      <w:pPr>
        <w:pStyle w:val="FootnoteText"/>
        <w:spacing w:before="0" w:line="240" w:lineRule="auto"/>
      </w:pPr>
      <w:r>
        <w:rPr>
          <w:rStyle w:val="FootnoteReference"/>
        </w:rPr>
        <w:footnoteRef/>
      </w:r>
      <w:r>
        <w:t xml:space="preserve"> Liu, Exh. JL-1CT at 49:1-8.</w:t>
      </w:r>
    </w:p>
  </w:footnote>
  <w:footnote w:id="9">
    <w:p w:rsidR="009B7D3A" w:rsidRDefault="009B7D3A" w:rsidP="006106EB">
      <w:pPr>
        <w:pStyle w:val="FootnoteText"/>
        <w:spacing w:before="0" w:line="240" w:lineRule="auto"/>
      </w:pPr>
      <w:r>
        <w:rPr>
          <w:rStyle w:val="FootnoteReference"/>
        </w:rPr>
        <w:footnoteRef/>
      </w:r>
      <w:r>
        <w:t xml:space="preserve"> Brosch, Exh. MLB-1T at 35:11-17.</w:t>
      </w:r>
    </w:p>
  </w:footnote>
  <w:footnote w:id="10">
    <w:p w:rsidR="009B7D3A" w:rsidRDefault="009B7D3A" w:rsidP="006106EB">
      <w:pPr>
        <w:pStyle w:val="FootnoteText"/>
        <w:spacing w:before="0" w:line="240" w:lineRule="auto"/>
      </w:pPr>
      <w:r>
        <w:rPr>
          <w:rStyle w:val="FootnoteReference"/>
        </w:rPr>
        <w:footnoteRef/>
      </w:r>
      <w:r>
        <w:t xml:space="preserve"> Levin, Exh. AML-1T at 22:8-23:8.</w:t>
      </w:r>
    </w:p>
  </w:footnote>
  <w:footnote w:id="11">
    <w:p w:rsidR="009B7D3A" w:rsidRDefault="009B7D3A" w:rsidP="006106EB">
      <w:pPr>
        <w:pStyle w:val="FootnoteText"/>
        <w:spacing w:before="0" w:line="240" w:lineRule="auto"/>
      </w:pPr>
      <w:r>
        <w:rPr>
          <w:rStyle w:val="FootnoteReference"/>
        </w:rPr>
        <w:footnoteRef/>
      </w:r>
      <w:r>
        <w:t xml:space="preserve"> Higgins, Exh. KCH-1T at 15:1-5. Al-Jabir, Exh. AZA-1T at 15:21-16:5.</w:t>
      </w:r>
    </w:p>
  </w:footnote>
  <w:footnote w:id="12">
    <w:p w:rsidR="009B7D3A" w:rsidRDefault="009B7D3A" w:rsidP="006106EB">
      <w:pPr>
        <w:pStyle w:val="FootnoteText"/>
        <w:spacing w:before="0" w:line="240" w:lineRule="auto"/>
      </w:pPr>
      <w:r>
        <w:rPr>
          <w:rStyle w:val="FootnoteReference"/>
        </w:rPr>
        <w:footnoteRef/>
      </w:r>
      <w:r>
        <w:t xml:space="preserve"> Fixed production costs were production factored to test year levels based on the difference between actual customer counts in the test year and projected customer counts in the rate year.</w:t>
      </w:r>
      <w:r w:rsidR="00902913">
        <w:t xml:space="preserve"> </w:t>
      </w:r>
      <w:r>
        <w:t xml:space="preserve">If the projection of customer counts prove accurate, the allowed fixed production costs will grow into the rate year levels approved by the Commission. </w:t>
      </w:r>
    </w:p>
  </w:footnote>
  <w:footnote w:id="13">
    <w:p w:rsidR="009B7D3A" w:rsidRDefault="009B7D3A" w:rsidP="006106EB">
      <w:pPr>
        <w:pStyle w:val="FootnoteText"/>
        <w:spacing w:before="0" w:line="240" w:lineRule="auto"/>
      </w:pPr>
      <w:r>
        <w:rPr>
          <w:rStyle w:val="FootnoteReference"/>
        </w:rPr>
        <w:footnoteRef/>
      </w:r>
      <w:r>
        <w:t xml:space="preserve"> Exh. JAP-41.</w:t>
      </w:r>
    </w:p>
  </w:footnote>
  <w:footnote w:id="14">
    <w:p w:rsidR="009B7D3A" w:rsidRDefault="009B7D3A" w:rsidP="006106EB">
      <w:pPr>
        <w:pStyle w:val="FootnoteText"/>
        <w:spacing w:before="0" w:line="240" w:lineRule="auto"/>
      </w:pPr>
      <w:r>
        <w:rPr>
          <w:rStyle w:val="FootnoteReference"/>
        </w:rPr>
        <w:footnoteRef/>
      </w:r>
      <w:r>
        <w:t xml:space="preserve"> This is also true for any decoupling proposal and exhibits that are ultimately approved by the Commission.</w:t>
      </w:r>
    </w:p>
  </w:footnote>
  <w:footnote w:id="15">
    <w:p w:rsidR="009B7D3A" w:rsidRDefault="009B7D3A" w:rsidP="006106EB">
      <w:pPr>
        <w:pStyle w:val="FootnoteText"/>
        <w:spacing w:before="0" w:line="240" w:lineRule="auto"/>
      </w:pPr>
      <w:r>
        <w:rPr>
          <w:rStyle w:val="FootnoteReference"/>
        </w:rPr>
        <w:footnoteRef/>
      </w:r>
      <w:r>
        <w:t xml:space="preserve"> The classification of PSE’s power costs is discussed in more depth later in this testimony.</w:t>
      </w:r>
    </w:p>
  </w:footnote>
  <w:footnote w:id="16">
    <w:p w:rsidR="009B7D3A" w:rsidRDefault="009B7D3A" w:rsidP="006106EB">
      <w:pPr>
        <w:pStyle w:val="FootnoteText"/>
        <w:spacing w:before="0" w:line="240" w:lineRule="auto"/>
      </w:pPr>
      <w:r>
        <w:rPr>
          <w:rStyle w:val="FootnoteReference"/>
        </w:rPr>
        <w:footnoteRef/>
      </w:r>
      <w:r>
        <w:t xml:space="preserve"> In the development of this exhibit, PSE noticed that allowed fixed production costs were shaped across months for rate groups that include Schedules 26 and 31, based on demand charge revenue.</w:t>
      </w:r>
      <w:r w:rsidR="00902913">
        <w:t xml:space="preserve"> </w:t>
      </w:r>
      <w:r>
        <w:t>In retrospect, it is more appropriate to shape these costs for these customers based on energy usage, as reflected in this exhibit, since these costs will be collected in retail rates through kWh energy charges rather than kW demand charges.</w:t>
      </w:r>
      <w:r w:rsidR="00902913">
        <w:t xml:space="preserve"> </w:t>
      </w:r>
      <w:r>
        <w:t xml:space="preserve"> </w:t>
      </w:r>
    </w:p>
  </w:footnote>
  <w:footnote w:id="17">
    <w:p w:rsidR="009B7D3A" w:rsidRDefault="009B7D3A" w:rsidP="006106EB">
      <w:pPr>
        <w:pStyle w:val="FootnoteText"/>
        <w:spacing w:before="0" w:line="240" w:lineRule="auto"/>
      </w:pPr>
      <w:r>
        <w:rPr>
          <w:rStyle w:val="FootnoteReference"/>
        </w:rPr>
        <w:footnoteRef/>
      </w:r>
      <w:r>
        <w:t xml:space="preserve"> Liu, Exh. JL-1CT at 64:1-4.</w:t>
      </w:r>
    </w:p>
  </w:footnote>
  <w:footnote w:id="18">
    <w:p w:rsidR="009B7D3A" w:rsidRDefault="009B7D3A" w:rsidP="006106EB">
      <w:pPr>
        <w:pStyle w:val="FootnoteText"/>
        <w:spacing w:before="0" w:line="240" w:lineRule="auto"/>
      </w:pPr>
      <w:r>
        <w:rPr>
          <w:rStyle w:val="FootnoteReference"/>
        </w:rPr>
        <w:footnoteRef/>
      </w:r>
      <w:r>
        <w:t xml:space="preserve"> Brosch, Exh. MLB-1T at 46:7-8. Higgins, Exh. KCH-1T at 17:11-15. Al-Jabir, Exh. AZA-1T at 16:12-18.</w:t>
      </w:r>
    </w:p>
  </w:footnote>
  <w:footnote w:id="19">
    <w:p w:rsidR="009B7D3A" w:rsidRDefault="009B7D3A" w:rsidP="006106EB">
      <w:pPr>
        <w:pStyle w:val="FootnoteText"/>
        <w:spacing w:before="0" w:line="240" w:lineRule="auto"/>
      </w:pPr>
      <w:r>
        <w:rPr>
          <w:rStyle w:val="FootnoteReference"/>
        </w:rPr>
        <w:footnoteRef/>
      </w:r>
      <w:r>
        <w:t xml:space="preserve"> Al-Jabir, Exh. AZA-1T at 17:6-15.</w:t>
      </w:r>
    </w:p>
  </w:footnote>
  <w:footnote w:id="20">
    <w:p w:rsidR="009B7D3A" w:rsidRDefault="009B7D3A" w:rsidP="006106EB">
      <w:pPr>
        <w:pStyle w:val="FootnoteText"/>
        <w:spacing w:before="0" w:line="240" w:lineRule="auto"/>
      </w:pPr>
      <w:r>
        <w:rPr>
          <w:rStyle w:val="FootnoteReference"/>
        </w:rPr>
        <w:footnoteRef/>
      </w:r>
      <w:r>
        <w:t xml:space="preserve"> Levin, Exh. AML-1T at 24:17-21.</w:t>
      </w:r>
    </w:p>
  </w:footnote>
  <w:footnote w:id="21">
    <w:p w:rsidR="009B7D3A" w:rsidRDefault="009B7D3A" w:rsidP="006106EB">
      <w:pPr>
        <w:pStyle w:val="FootnoteText"/>
        <w:spacing w:before="0" w:line="240" w:lineRule="auto"/>
      </w:pPr>
      <w:r>
        <w:rPr>
          <w:rStyle w:val="FootnoteReference"/>
        </w:rPr>
        <w:footnoteRef/>
      </w:r>
      <w:r>
        <w:t xml:space="preserve"> </w:t>
      </w:r>
      <w:r w:rsidRPr="002953F7">
        <w:rPr>
          <w:i/>
        </w:rPr>
        <w:t>Id.</w:t>
      </w:r>
      <w:r>
        <w:t xml:space="preserve"> at 25:21-26:2.</w:t>
      </w:r>
    </w:p>
  </w:footnote>
  <w:footnote w:id="22">
    <w:p w:rsidR="009B7D3A" w:rsidRDefault="009B7D3A" w:rsidP="006106EB">
      <w:pPr>
        <w:pStyle w:val="FootnoteText"/>
        <w:spacing w:before="0" w:line="240" w:lineRule="auto"/>
      </w:pPr>
      <w:r>
        <w:rPr>
          <w:rStyle w:val="FootnoteReference"/>
        </w:rPr>
        <w:footnoteRef/>
      </w:r>
      <w:r>
        <w:t xml:space="preserve"> Collins, Exh. SMC-1T at 27.</w:t>
      </w:r>
    </w:p>
  </w:footnote>
  <w:footnote w:id="23">
    <w:p w:rsidR="009B7D3A" w:rsidRDefault="009B7D3A" w:rsidP="006106EB">
      <w:pPr>
        <w:pStyle w:val="FootnoteText"/>
        <w:spacing w:before="0" w:line="240" w:lineRule="auto"/>
      </w:pPr>
      <w:r>
        <w:rPr>
          <w:rStyle w:val="FootnoteReference"/>
        </w:rPr>
        <w:footnoteRef/>
      </w:r>
      <w:r>
        <w:t xml:space="preserve"> For the period ending June 30, 2017, the deferred balance for residential gas customers is $43.2 million. </w:t>
      </w:r>
    </w:p>
  </w:footnote>
  <w:footnote w:id="24">
    <w:p w:rsidR="009B7D3A" w:rsidRDefault="009B7D3A" w:rsidP="006106EB">
      <w:pPr>
        <w:pStyle w:val="FootnoteText"/>
        <w:spacing w:before="0" w:line="240" w:lineRule="auto"/>
      </w:pPr>
      <w:r>
        <w:rPr>
          <w:rStyle w:val="FootnoteReference"/>
        </w:rPr>
        <w:footnoteRef/>
      </w:r>
      <w:r>
        <w:t xml:space="preserve"> Liu, Exh. JL-1CT at 64:3-4.</w:t>
      </w:r>
    </w:p>
  </w:footnote>
  <w:footnote w:id="25">
    <w:p w:rsidR="009B7D3A" w:rsidRDefault="009B7D3A" w:rsidP="006106EB">
      <w:pPr>
        <w:pStyle w:val="FootnoteText"/>
        <w:spacing w:before="0" w:line="240" w:lineRule="auto"/>
      </w:pPr>
      <w:r>
        <w:rPr>
          <w:rStyle w:val="FootnoteReference"/>
        </w:rPr>
        <w:footnoteRef/>
      </w:r>
      <w:r>
        <w:t xml:space="preserve"> Liu, Exh. JL-1T at 20:9-13.</w:t>
      </w:r>
    </w:p>
  </w:footnote>
  <w:footnote w:id="26">
    <w:p w:rsidR="009B7D3A" w:rsidRDefault="009B7D3A" w:rsidP="006106EB">
      <w:pPr>
        <w:pStyle w:val="FootnoteText"/>
        <w:spacing w:before="0" w:line="240" w:lineRule="auto"/>
      </w:pPr>
      <w:r>
        <w:rPr>
          <w:rStyle w:val="FootnoteReference"/>
        </w:rPr>
        <w:footnoteRef/>
      </w:r>
      <w:r>
        <w:t xml:space="preserve"> Piliaris, Exh. JAP-4 at 1:14.</w:t>
      </w:r>
    </w:p>
  </w:footnote>
  <w:footnote w:id="27">
    <w:p w:rsidR="009B7D3A" w:rsidRDefault="009B7D3A" w:rsidP="006106EB">
      <w:pPr>
        <w:pStyle w:val="FootnoteText"/>
        <w:spacing w:before="0" w:line="240" w:lineRule="auto"/>
      </w:pPr>
      <w:r>
        <w:rPr>
          <w:rStyle w:val="FootnoteReference"/>
        </w:rPr>
        <w:footnoteRef/>
      </w:r>
      <w:r>
        <w:t xml:space="preserve"> Liu, Exh. JL-1CT at 30:16-20.</w:t>
      </w:r>
      <w:r w:rsidR="00902913">
        <w:t xml:space="preserve"> </w:t>
      </w:r>
      <w:r>
        <w:t>Staff subsequently confirmed in response to PSE’s Data Request No. 006 to Staff that its proposal also included the corresponding transportation schedules.</w:t>
      </w:r>
    </w:p>
  </w:footnote>
  <w:footnote w:id="28">
    <w:p w:rsidR="009B7D3A" w:rsidRDefault="009B7D3A" w:rsidP="006106EB">
      <w:pPr>
        <w:pStyle w:val="FootnoteText"/>
        <w:spacing w:before="0" w:line="240" w:lineRule="auto"/>
      </w:pPr>
      <w:r>
        <w:rPr>
          <w:rStyle w:val="FootnoteReference"/>
        </w:rPr>
        <w:footnoteRef/>
      </w:r>
      <w:r>
        <w:t xml:space="preserve"> </w:t>
      </w:r>
      <w:r w:rsidRPr="002953F7">
        <w:rPr>
          <w:i/>
        </w:rPr>
        <w:t>Id.</w:t>
      </w:r>
      <w:r>
        <w:t xml:space="preserve"> at 31:3-6.</w:t>
      </w:r>
    </w:p>
  </w:footnote>
  <w:footnote w:id="29">
    <w:p w:rsidR="009B7D3A" w:rsidRDefault="009B7D3A" w:rsidP="006106EB">
      <w:pPr>
        <w:pStyle w:val="FootnoteText"/>
        <w:spacing w:before="0" w:line="240" w:lineRule="auto"/>
      </w:pPr>
      <w:r>
        <w:rPr>
          <w:rStyle w:val="FootnoteReference"/>
        </w:rPr>
        <w:footnoteRef/>
      </w:r>
      <w:r>
        <w:t xml:space="preserve"> </w:t>
      </w:r>
      <w:r w:rsidRPr="002953F7">
        <w:rPr>
          <w:i/>
        </w:rPr>
        <w:t>Id.</w:t>
      </w:r>
      <w:r>
        <w:t xml:space="preserve"> at 31:11-14.</w:t>
      </w:r>
    </w:p>
  </w:footnote>
  <w:footnote w:id="30">
    <w:p w:rsidR="009B7D3A" w:rsidRDefault="009B7D3A" w:rsidP="006106EB">
      <w:pPr>
        <w:pStyle w:val="FootnoteText"/>
        <w:spacing w:before="0" w:line="240" w:lineRule="auto"/>
      </w:pPr>
      <w:r>
        <w:rPr>
          <w:rStyle w:val="FootnoteReference"/>
        </w:rPr>
        <w:footnoteRef/>
      </w:r>
      <w:r>
        <w:t xml:space="preserve"> </w:t>
      </w:r>
      <w:r w:rsidRPr="002953F7">
        <w:rPr>
          <w:i/>
        </w:rPr>
        <w:t>Id.</w:t>
      </w:r>
      <w:r>
        <w:t xml:space="preserve"> at 31:14-17.</w:t>
      </w:r>
    </w:p>
  </w:footnote>
  <w:footnote w:id="31">
    <w:p w:rsidR="009B7D3A" w:rsidRDefault="009B7D3A" w:rsidP="006106EB">
      <w:pPr>
        <w:pStyle w:val="FootnoteText"/>
        <w:spacing w:before="0" w:line="240" w:lineRule="auto"/>
      </w:pPr>
      <w:r>
        <w:rPr>
          <w:rStyle w:val="FootnoteReference"/>
        </w:rPr>
        <w:footnoteRef/>
      </w:r>
      <w:r>
        <w:t xml:space="preserve"> Gorman, Exh. MPG-1T at 31:8-10.</w:t>
      </w:r>
    </w:p>
  </w:footnote>
  <w:footnote w:id="32">
    <w:p w:rsidR="009B7D3A" w:rsidRDefault="009B7D3A" w:rsidP="006106EB">
      <w:pPr>
        <w:pStyle w:val="FootnoteText"/>
        <w:spacing w:before="0" w:line="240" w:lineRule="auto"/>
      </w:pPr>
      <w:r>
        <w:rPr>
          <w:rStyle w:val="FootnoteReference"/>
        </w:rPr>
        <w:footnoteRef/>
      </w:r>
      <w:r>
        <w:t xml:space="preserve"> Al-Jabir, Exh. AZA-1T at 12:6-7.</w:t>
      </w:r>
    </w:p>
  </w:footnote>
  <w:footnote w:id="33">
    <w:p w:rsidR="009B7D3A" w:rsidRDefault="009B7D3A" w:rsidP="006106EB">
      <w:pPr>
        <w:pStyle w:val="FootnoteText"/>
        <w:spacing w:before="0" w:line="240" w:lineRule="auto"/>
      </w:pPr>
      <w:r>
        <w:rPr>
          <w:rStyle w:val="FootnoteReference"/>
        </w:rPr>
        <w:footnoteRef/>
      </w:r>
      <w:r>
        <w:t xml:space="preserve"> It is noteworthy that Staff, who was a party to the approved settlement, is among those proposing to exclude customers from PSE’s electric decoupling mechanism.</w:t>
      </w:r>
    </w:p>
  </w:footnote>
  <w:footnote w:id="34">
    <w:p w:rsidR="009B7D3A" w:rsidRDefault="009B7D3A" w:rsidP="006106EB">
      <w:pPr>
        <w:pStyle w:val="FootnoteText"/>
        <w:spacing w:before="0" w:line="240" w:lineRule="auto"/>
      </w:pPr>
      <w:r>
        <w:rPr>
          <w:rStyle w:val="FootnoteReference"/>
        </w:rPr>
        <w:footnoteRef/>
      </w:r>
      <w:r w:rsidR="00F85098">
        <w:t xml:space="preserve"> Dockets UE-121697/</w:t>
      </w:r>
      <w:r>
        <w:t>UG-121705 (</w:t>
      </w:r>
      <w:r w:rsidR="00F85098">
        <w:t>c</w:t>
      </w:r>
      <w:r>
        <w:t>onsolidated), Order 07, Synopsis at page ii.</w:t>
      </w:r>
    </w:p>
  </w:footnote>
  <w:footnote w:id="35">
    <w:p w:rsidR="009B7D3A" w:rsidRDefault="009B7D3A" w:rsidP="006106EB">
      <w:pPr>
        <w:pStyle w:val="FootnoteText"/>
        <w:spacing w:before="0" w:line="240" w:lineRule="auto"/>
      </w:pPr>
      <w:r>
        <w:rPr>
          <w:rStyle w:val="FootnoteReference"/>
        </w:rPr>
        <w:footnoteRef/>
      </w:r>
      <w:r>
        <w:t xml:space="preserve"> </w:t>
      </w:r>
      <w:r w:rsidRPr="0060603F">
        <w:rPr>
          <w:i/>
        </w:rPr>
        <w:t>Report and Policy Statement on Regulatory Mechanisms, Including Decoupling, to Encourage Utilities to Meet or Exceed their Conservation Targets</w:t>
      </w:r>
      <w:r>
        <w:t>, Docket UE-100522 at 18.</w:t>
      </w:r>
    </w:p>
  </w:footnote>
  <w:footnote w:id="36">
    <w:p w:rsidR="009B7D3A" w:rsidRDefault="009B7D3A" w:rsidP="006106EB">
      <w:pPr>
        <w:pStyle w:val="FootnoteText"/>
        <w:spacing w:before="0" w:line="240" w:lineRule="auto"/>
      </w:pPr>
      <w:r>
        <w:rPr>
          <w:rStyle w:val="FootnoteReference"/>
        </w:rPr>
        <w:footnoteRef/>
      </w:r>
      <w:r>
        <w:t xml:space="preserve"> Liu, Exh. JL-1T at 42:1-11.</w:t>
      </w:r>
      <w:r w:rsidR="00902913">
        <w:t xml:space="preserve"> </w:t>
      </w:r>
      <w:r>
        <w:t>Ball, Exh. JLB-1T at 54:3-10.</w:t>
      </w:r>
    </w:p>
  </w:footnote>
  <w:footnote w:id="37">
    <w:p w:rsidR="009B7D3A" w:rsidRDefault="009B7D3A" w:rsidP="006106EB">
      <w:pPr>
        <w:pStyle w:val="FootnoteText"/>
        <w:spacing w:before="0" w:line="240" w:lineRule="auto"/>
      </w:pPr>
      <w:r>
        <w:rPr>
          <w:rStyle w:val="FootnoteReference"/>
        </w:rPr>
        <w:footnoteRef/>
      </w:r>
      <w:r>
        <w:t xml:space="preserve"> Piliaris, Exh. JAP-1T at 26:6-14.</w:t>
      </w:r>
    </w:p>
  </w:footnote>
  <w:footnote w:id="38">
    <w:p w:rsidR="009B7D3A" w:rsidRDefault="009B7D3A" w:rsidP="006106EB">
      <w:pPr>
        <w:pStyle w:val="FootnoteText"/>
        <w:spacing w:before="0" w:line="240" w:lineRule="auto"/>
      </w:pPr>
      <w:r>
        <w:rPr>
          <w:rStyle w:val="FootnoteReference"/>
        </w:rPr>
        <w:footnoteRef/>
      </w:r>
      <w:r>
        <w:t xml:space="preserve"> Using more current information, only 18 percent of costs are shown to be demand related.</w:t>
      </w:r>
      <w:r w:rsidR="00902913">
        <w:t xml:space="preserve"> </w:t>
      </w:r>
      <w:r>
        <w:t>See Exh. JAP-1T at 28:18-29:5.</w:t>
      </w:r>
    </w:p>
  </w:footnote>
  <w:footnote w:id="39">
    <w:p w:rsidR="009B7D3A" w:rsidRDefault="009B7D3A" w:rsidP="006106EB">
      <w:pPr>
        <w:pStyle w:val="FootnoteText"/>
        <w:spacing w:before="0" w:line="240" w:lineRule="auto"/>
      </w:pPr>
      <w:r>
        <w:rPr>
          <w:rStyle w:val="FootnoteReference"/>
        </w:rPr>
        <w:footnoteRef/>
      </w:r>
      <w:r>
        <w:t xml:space="preserve"> Barnard, Exh. KJB-15 at 1:27.</w:t>
      </w:r>
    </w:p>
  </w:footnote>
  <w:footnote w:id="40">
    <w:p w:rsidR="009B7D3A" w:rsidRDefault="009B7D3A" w:rsidP="006106EB">
      <w:pPr>
        <w:pStyle w:val="FootnoteText"/>
        <w:spacing w:before="0" w:line="240" w:lineRule="auto"/>
      </w:pPr>
      <w:r>
        <w:rPr>
          <w:rStyle w:val="FootnoteReference"/>
        </w:rPr>
        <w:footnoteRef/>
      </w:r>
      <w:r>
        <w:t xml:space="preserve"> Calculated by subtracting 25 percent from 43 percent and dividing the difference by 43 percent.</w:t>
      </w:r>
    </w:p>
  </w:footnote>
  <w:footnote w:id="41">
    <w:p w:rsidR="009B7D3A" w:rsidRDefault="009B7D3A" w:rsidP="006106EB">
      <w:pPr>
        <w:pStyle w:val="FootnoteText"/>
        <w:spacing w:before="0" w:line="240" w:lineRule="auto"/>
      </w:pPr>
      <w:r>
        <w:rPr>
          <w:rStyle w:val="FootnoteReference"/>
        </w:rPr>
        <w:footnoteRef/>
      </w:r>
      <w:r>
        <w:t xml:space="preserve"> Piliaris, Exh. JAP-1T at 119:1-3.</w:t>
      </w:r>
    </w:p>
  </w:footnote>
  <w:footnote w:id="42">
    <w:p w:rsidR="009B7D3A" w:rsidRDefault="009B7D3A" w:rsidP="006106EB">
      <w:pPr>
        <w:pStyle w:val="FootnoteText"/>
        <w:spacing w:before="0" w:line="240" w:lineRule="auto"/>
      </w:pPr>
      <w:r>
        <w:rPr>
          <w:rStyle w:val="FootnoteReference"/>
        </w:rPr>
        <w:footnoteRef/>
      </w:r>
      <w:r>
        <w:t xml:space="preserve"> Liu, Exh. JL-1CT at 41:18-42:11.</w:t>
      </w:r>
    </w:p>
  </w:footnote>
  <w:footnote w:id="43">
    <w:p w:rsidR="009B7D3A" w:rsidRDefault="009B7D3A" w:rsidP="006106EB">
      <w:pPr>
        <w:pStyle w:val="FootnoteText"/>
        <w:spacing w:before="0" w:line="240" w:lineRule="auto"/>
      </w:pPr>
      <w:r>
        <w:rPr>
          <w:rStyle w:val="FootnoteReference"/>
        </w:rPr>
        <w:footnoteRef/>
      </w:r>
      <w:r>
        <w:t xml:space="preserve"> Ball, Exh. JLB-1T at 46:1-9.</w:t>
      </w:r>
    </w:p>
  </w:footnote>
  <w:footnote w:id="44">
    <w:p w:rsidR="009B7D3A" w:rsidRDefault="009B7D3A" w:rsidP="006106EB">
      <w:pPr>
        <w:pStyle w:val="FootnoteText"/>
        <w:spacing w:before="0" w:line="240" w:lineRule="auto"/>
      </w:pPr>
      <w:r>
        <w:rPr>
          <w:rStyle w:val="FootnoteReference"/>
        </w:rPr>
        <w:footnoteRef/>
      </w:r>
      <w:r>
        <w:t xml:space="preserve"> </w:t>
      </w:r>
      <w:r w:rsidRPr="002953F7">
        <w:rPr>
          <w:i/>
        </w:rPr>
        <w:t>Id.</w:t>
      </w:r>
      <w:r>
        <w:t xml:space="preserve"> at 54:1-10.</w:t>
      </w:r>
    </w:p>
  </w:footnote>
  <w:footnote w:id="45">
    <w:p w:rsidR="009B7D3A" w:rsidRDefault="009B7D3A" w:rsidP="006106EB">
      <w:pPr>
        <w:pStyle w:val="FootnoteText"/>
        <w:spacing w:before="0" w:line="240" w:lineRule="auto"/>
      </w:pPr>
      <w:r>
        <w:rPr>
          <w:rStyle w:val="FootnoteReference"/>
        </w:rPr>
        <w:footnoteRef/>
      </w:r>
      <w:r>
        <w:t xml:space="preserve"> Brosch, Exh. MLB-1T at 35:11-17.</w:t>
      </w:r>
    </w:p>
  </w:footnote>
  <w:footnote w:id="46">
    <w:p w:rsidR="009B7D3A" w:rsidRDefault="009B7D3A" w:rsidP="006106EB">
      <w:pPr>
        <w:pStyle w:val="FootnoteText"/>
        <w:spacing w:before="0" w:line="240" w:lineRule="auto"/>
      </w:pPr>
      <w:r>
        <w:rPr>
          <w:rStyle w:val="FootnoteReference"/>
        </w:rPr>
        <w:footnoteRef/>
      </w:r>
      <w:r>
        <w:t xml:space="preserve"> Al-Jabir, Exh. AZA-1T at 5:9-11.</w:t>
      </w:r>
    </w:p>
  </w:footnote>
  <w:footnote w:id="47">
    <w:p w:rsidR="009B7D3A" w:rsidRDefault="009B7D3A" w:rsidP="006106EB">
      <w:pPr>
        <w:pStyle w:val="FootnoteText"/>
        <w:spacing w:before="0" w:line="240" w:lineRule="auto"/>
      </w:pPr>
      <w:r>
        <w:rPr>
          <w:rStyle w:val="FootnoteReference"/>
        </w:rPr>
        <w:footnoteRef/>
      </w:r>
      <w:r>
        <w:t xml:space="preserve"> Barnard, Exh. KJB-1T at 6:10-11.</w:t>
      </w:r>
    </w:p>
  </w:footnote>
  <w:footnote w:id="48">
    <w:p w:rsidR="009B7D3A" w:rsidRDefault="009B7D3A" w:rsidP="006106EB">
      <w:pPr>
        <w:pStyle w:val="FootnoteText"/>
        <w:spacing w:before="0" w:line="240" w:lineRule="auto"/>
      </w:pPr>
      <w:r>
        <w:rPr>
          <w:rStyle w:val="FootnoteReference"/>
        </w:rPr>
        <w:footnoteRef/>
      </w:r>
      <w:r>
        <w:t xml:space="preserve"> Brosch, Exh. MLB-1T at 36:7-11.</w:t>
      </w:r>
    </w:p>
  </w:footnote>
  <w:footnote w:id="49">
    <w:p w:rsidR="009B7D3A" w:rsidRDefault="009B7D3A" w:rsidP="006106EB">
      <w:pPr>
        <w:pStyle w:val="FootnoteText"/>
        <w:spacing w:before="0" w:line="240" w:lineRule="auto"/>
      </w:pPr>
      <w:r>
        <w:rPr>
          <w:rStyle w:val="FootnoteReference"/>
        </w:rPr>
        <w:footnoteRef/>
      </w:r>
      <w:r>
        <w:t xml:space="preserve"> </w:t>
      </w:r>
      <w:r w:rsidRPr="00FF5E87">
        <w:rPr>
          <w:i/>
          <w:sz w:val="23"/>
          <w:szCs w:val="23"/>
        </w:rPr>
        <w:t>A Decade of Decoupling for US Energy Utilities: Rate Impacts, Designs, and Observations</w:t>
      </w:r>
      <w:r w:rsidRPr="00FF5E87">
        <w:rPr>
          <w:sz w:val="23"/>
          <w:szCs w:val="23"/>
        </w:rPr>
        <w:t xml:space="preserve">, available at </w:t>
      </w:r>
      <w:hyperlink r:id="rId1" w:history="1">
        <w:r w:rsidRPr="000626C9">
          <w:rPr>
            <w:rStyle w:val="Hyperlink"/>
            <w:sz w:val="23"/>
            <w:szCs w:val="23"/>
          </w:rPr>
          <w:t>http://www.raponline.org/wp-content/uploads/2016/05/gracefulsystems-morgan-decouplingreport-2012-dec.pdf</w:t>
        </w:r>
      </w:hyperlink>
      <w:r>
        <w:rPr>
          <w:sz w:val="23"/>
          <w:szCs w:val="23"/>
        </w:rPr>
        <w:t>.</w:t>
      </w:r>
    </w:p>
  </w:footnote>
  <w:footnote w:id="50">
    <w:p w:rsidR="009B7D3A" w:rsidRDefault="009B7D3A" w:rsidP="006106EB">
      <w:pPr>
        <w:pStyle w:val="FootnoteText"/>
        <w:spacing w:before="0" w:line="240" w:lineRule="auto"/>
      </w:pPr>
      <w:r>
        <w:rPr>
          <w:rStyle w:val="FootnoteReference"/>
        </w:rPr>
        <w:footnoteRef/>
      </w:r>
      <w:r>
        <w:t xml:space="preserve"> Order 08, Dockets UE-1110</w:t>
      </w:r>
      <w:r w:rsidR="00810618">
        <w:t>48/</w:t>
      </w:r>
      <w:r>
        <w:t>UG-111049 (</w:t>
      </w:r>
      <w:r w:rsidR="00810618">
        <w:t>c</w:t>
      </w:r>
      <w:r>
        <w:t>onsolidated) at</w:t>
      </w:r>
      <w:r w:rsidR="009261A7">
        <w:t xml:space="preserve"> p.</w:t>
      </w:r>
      <w:r>
        <w:t xml:space="preserve"> ii.</w:t>
      </w:r>
    </w:p>
  </w:footnote>
  <w:footnote w:id="51">
    <w:p w:rsidR="009B7D3A" w:rsidRDefault="009B7D3A" w:rsidP="006106EB">
      <w:pPr>
        <w:pStyle w:val="FootnoteText"/>
        <w:spacing w:before="0" w:line="240" w:lineRule="auto"/>
      </w:pPr>
      <w:r>
        <w:rPr>
          <w:rStyle w:val="FootnoteReference"/>
        </w:rPr>
        <w:footnoteRef/>
      </w:r>
      <w:r>
        <w:t xml:space="preserve"> Policy Statement at 8, ¶ 12.</w:t>
      </w:r>
    </w:p>
  </w:footnote>
  <w:footnote w:id="52">
    <w:p w:rsidR="009B7D3A" w:rsidRDefault="009B7D3A" w:rsidP="006106EB">
      <w:pPr>
        <w:pStyle w:val="FootnoteText"/>
        <w:spacing w:before="0" w:line="240" w:lineRule="auto"/>
      </w:pPr>
      <w:r>
        <w:rPr>
          <w:rStyle w:val="FootnoteReference"/>
        </w:rPr>
        <w:footnoteRef/>
      </w:r>
      <w:r>
        <w:t xml:space="preserve"> </w:t>
      </w:r>
      <w:r w:rsidRPr="002953F7">
        <w:rPr>
          <w:i/>
        </w:rPr>
        <w:t>Id.</w:t>
      </w:r>
      <w:r>
        <w:t xml:space="preserve"> at 13, ¶ 19.</w:t>
      </w:r>
    </w:p>
  </w:footnote>
  <w:footnote w:id="53">
    <w:p w:rsidR="009B7D3A" w:rsidRDefault="009B7D3A" w:rsidP="006106EB">
      <w:pPr>
        <w:pStyle w:val="FootnoteText"/>
        <w:spacing w:before="0" w:line="240" w:lineRule="auto"/>
      </w:pPr>
      <w:r>
        <w:rPr>
          <w:rStyle w:val="FootnoteReference"/>
        </w:rPr>
        <w:footnoteRef/>
      </w:r>
      <w:r>
        <w:t xml:space="preserve"> </w:t>
      </w:r>
      <w:r w:rsidRPr="002953F7">
        <w:rPr>
          <w:i/>
        </w:rPr>
        <w:t>Id.</w:t>
      </w:r>
      <w:r>
        <w:t xml:space="preserve"> at 16, ¶ 27.</w:t>
      </w:r>
    </w:p>
  </w:footnote>
  <w:footnote w:id="54">
    <w:p w:rsidR="009B7D3A" w:rsidRDefault="009B7D3A" w:rsidP="006106EB">
      <w:pPr>
        <w:pStyle w:val="FootnoteText"/>
        <w:spacing w:before="0" w:line="240" w:lineRule="auto"/>
      </w:pPr>
      <w:r>
        <w:rPr>
          <w:rStyle w:val="FootnoteReference"/>
        </w:rPr>
        <w:footnoteRef/>
      </w:r>
      <w:r>
        <w:t xml:space="preserve"> Collins, Exh. SMC-1T at 11:13-17.</w:t>
      </w:r>
    </w:p>
  </w:footnote>
  <w:footnote w:id="55">
    <w:p w:rsidR="009B7D3A" w:rsidRDefault="009B7D3A" w:rsidP="006106EB">
      <w:pPr>
        <w:pStyle w:val="FootnoteText"/>
        <w:spacing w:before="0" w:line="240" w:lineRule="auto"/>
      </w:pPr>
      <w:r>
        <w:rPr>
          <w:rStyle w:val="FootnoteReference"/>
        </w:rPr>
        <w:footnoteRef/>
      </w:r>
      <w:r>
        <w:t xml:space="preserve"> Piliaris, Exh. JAP-1T at 146:4-5.</w:t>
      </w:r>
    </w:p>
  </w:footnote>
  <w:footnote w:id="56">
    <w:p w:rsidR="009B7D3A" w:rsidRDefault="009B7D3A" w:rsidP="006106EB">
      <w:pPr>
        <w:pStyle w:val="FootnoteText"/>
        <w:spacing w:before="0" w:line="240" w:lineRule="auto"/>
      </w:pPr>
      <w:r>
        <w:rPr>
          <w:rStyle w:val="FootnoteReference"/>
        </w:rPr>
        <w:footnoteRef/>
      </w:r>
      <w:r>
        <w:t xml:space="preserve"> PSE intends to update these calculations in its final compliance filing to reflect the fixed production costs approved by the Commission.</w:t>
      </w:r>
    </w:p>
  </w:footnote>
  <w:footnote w:id="57">
    <w:p w:rsidR="009B7D3A" w:rsidRDefault="009B7D3A" w:rsidP="006106EB">
      <w:pPr>
        <w:pStyle w:val="FootnoteText"/>
        <w:spacing w:before="0" w:line="240" w:lineRule="auto"/>
      </w:pPr>
      <w:r>
        <w:rPr>
          <w:rStyle w:val="FootnoteReference"/>
        </w:rPr>
        <w:footnoteRef/>
      </w:r>
      <w:r>
        <w:t xml:space="preserve"> Liu, Exh. JL-1CT at 63:1-4.</w:t>
      </w:r>
    </w:p>
  </w:footnote>
  <w:footnote w:id="58">
    <w:p w:rsidR="009B7D3A" w:rsidRDefault="009B7D3A" w:rsidP="006106EB">
      <w:pPr>
        <w:pStyle w:val="FootnoteText"/>
        <w:spacing w:before="0" w:line="240" w:lineRule="auto"/>
      </w:pPr>
      <w:r>
        <w:rPr>
          <w:rStyle w:val="FootnoteReference"/>
        </w:rPr>
        <w:footnoteRef/>
      </w:r>
      <w:r>
        <w:t xml:space="preserve"> Piliaris, Exh. JAP-1T at 134:1-7.</w:t>
      </w:r>
    </w:p>
  </w:footnote>
  <w:footnote w:id="59">
    <w:p w:rsidR="009B7D3A" w:rsidRDefault="009B7D3A" w:rsidP="006106EB">
      <w:pPr>
        <w:pStyle w:val="FootnoteText"/>
        <w:spacing w:before="0" w:line="240" w:lineRule="auto"/>
      </w:pPr>
      <w:r>
        <w:rPr>
          <w:rStyle w:val="FootnoteReference"/>
        </w:rPr>
        <w:footnoteRef/>
      </w:r>
      <w:r>
        <w:t xml:space="preserve"> Ball, Exh. JLB-1T at 7:13-8:7.</w:t>
      </w:r>
    </w:p>
  </w:footnote>
  <w:footnote w:id="60">
    <w:p w:rsidR="009B7D3A" w:rsidRDefault="009B7D3A" w:rsidP="006106EB">
      <w:pPr>
        <w:pStyle w:val="FootnoteText"/>
        <w:spacing w:before="0" w:line="240" w:lineRule="auto"/>
      </w:pPr>
      <w:r>
        <w:rPr>
          <w:rStyle w:val="FootnoteReference"/>
        </w:rPr>
        <w:footnoteRef/>
      </w:r>
      <w:r>
        <w:t xml:space="preserve"> Watkins, Exh. GAW-1T at 33:8-21.</w:t>
      </w:r>
      <w:r w:rsidR="00902913">
        <w:t xml:space="preserve"> </w:t>
      </w:r>
      <w:r>
        <w:t>Note also that Mr. Watkins references a range of results in his rate spread discussion using both the originally calculated peak credit results, as well as those using updated data.</w:t>
      </w:r>
    </w:p>
  </w:footnote>
  <w:footnote w:id="61">
    <w:p w:rsidR="009B7D3A" w:rsidRDefault="009B7D3A" w:rsidP="006106EB">
      <w:pPr>
        <w:pStyle w:val="FootnoteText"/>
        <w:spacing w:before="0" w:line="240" w:lineRule="auto"/>
      </w:pPr>
      <w:r>
        <w:rPr>
          <w:rStyle w:val="FootnoteReference"/>
        </w:rPr>
        <w:footnoteRef/>
      </w:r>
      <w:r>
        <w:t xml:space="preserve"> </w:t>
      </w:r>
      <w:r w:rsidRPr="002953F7">
        <w:rPr>
          <w:i/>
        </w:rPr>
        <w:t>Id.</w:t>
      </w:r>
      <w:r>
        <w:t xml:space="preserve"> at 20:12-21:9.</w:t>
      </w:r>
    </w:p>
  </w:footnote>
  <w:footnote w:id="62">
    <w:p w:rsidR="009B7D3A" w:rsidRDefault="009B7D3A" w:rsidP="006106EB">
      <w:pPr>
        <w:pStyle w:val="FootnoteText"/>
        <w:spacing w:before="0" w:line="240" w:lineRule="auto"/>
      </w:pPr>
      <w:r>
        <w:rPr>
          <w:rStyle w:val="FootnoteReference"/>
        </w:rPr>
        <w:footnoteRef/>
      </w:r>
      <w:r>
        <w:t xml:space="preserve"> Gorman, Exh. MPG-1T at 26:21-27:3.</w:t>
      </w:r>
    </w:p>
  </w:footnote>
  <w:footnote w:id="63">
    <w:p w:rsidR="009B7D3A" w:rsidRDefault="009B7D3A" w:rsidP="006106EB">
      <w:pPr>
        <w:pStyle w:val="FootnoteText"/>
        <w:spacing w:before="0" w:line="240" w:lineRule="auto"/>
      </w:pPr>
      <w:r>
        <w:rPr>
          <w:rStyle w:val="FootnoteReference"/>
        </w:rPr>
        <w:footnoteRef/>
      </w:r>
      <w:r>
        <w:t xml:space="preserve"> Higgins, Exh. KCH-1T at 8:5-9:7.</w:t>
      </w:r>
    </w:p>
  </w:footnote>
  <w:footnote w:id="64">
    <w:p w:rsidR="009B7D3A" w:rsidRDefault="009B7D3A" w:rsidP="006106EB">
      <w:pPr>
        <w:pStyle w:val="FootnoteText"/>
        <w:spacing w:before="0" w:line="240" w:lineRule="auto"/>
      </w:pPr>
      <w:r>
        <w:rPr>
          <w:rStyle w:val="FootnoteReference"/>
        </w:rPr>
        <w:footnoteRef/>
      </w:r>
      <w:r>
        <w:t xml:space="preserve"> Al-Jabir, Exh. AZA-1T at 25:7-26:12.</w:t>
      </w:r>
    </w:p>
  </w:footnote>
  <w:footnote w:id="65">
    <w:p w:rsidR="009B7D3A" w:rsidRDefault="009B7D3A" w:rsidP="006106EB">
      <w:pPr>
        <w:pStyle w:val="FootnoteText"/>
        <w:spacing w:before="0" w:line="240" w:lineRule="auto"/>
      </w:pPr>
      <w:r>
        <w:rPr>
          <w:rStyle w:val="FootnoteReference"/>
        </w:rPr>
        <w:footnoteRef/>
      </w:r>
      <w:r>
        <w:t xml:space="preserve"> Property taxes are technically allocated on plant.</w:t>
      </w:r>
      <w:r w:rsidR="00902913">
        <w:t xml:space="preserve"> </w:t>
      </w:r>
      <w:r>
        <w:t>However, the production and transmission plant is allocated on peak credit.</w:t>
      </w:r>
    </w:p>
  </w:footnote>
  <w:footnote w:id="66">
    <w:p w:rsidR="009B7D3A" w:rsidRDefault="009B7D3A" w:rsidP="006106EB">
      <w:pPr>
        <w:pStyle w:val="FootnoteText"/>
        <w:spacing w:before="0" w:line="240" w:lineRule="auto"/>
      </w:pPr>
      <w:r>
        <w:rPr>
          <w:rStyle w:val="FootnoteReference"/>
        </w:rPr>
        <w:footnoteRef/>
      </w:r>
      <w:r>
        <w:t xml:space="preserve"> Hancock, Exh. CSH-1T at 15:5-20.</w:t>
      </w:r>
    </w:p>
  </w:footnote>
  <w:footnote w:id="67">
    <w:p w:rsidR="009B7D3A" w:rsidRDefault="009B7D3A" w:rsidP="006106EB">
      <w:pPr>
        <w:pStyle w:val="FootnoteText"/>
        <w:spacing w:before="0" w:line="240" w:lineRule="auto"/>
      </w:pPr>
      <w:r>
        <w:rPr>
          <w:rStyle w:val="FootnoteReference"/>
        </w:rPr>
        <w:footnoteRef/>
      </w:r>
      <w:r>
        <w:t xml:space="preserve"> Watkins, Exh. GAW-1T at 19:10-20:11 and 21:10-17.</w:t>
      </w:r>
    </w:p>
  </w:footnote>
  <w:footnote w:id="68">
    <w:p w:rsidR="009B7D3A" w:rsidRDefault="009B7D3A" w:rsidP="006106EB">
      <w:pPr>
        <w:pStyle w:val="FootnoteText"/>
        <w:spacing w:before="0" w:line="240" w:lineRule="auto"/>
      </w:pPr>
      <w:r>
        <w:rPr>
          <w:rStyle w:val="FootnoteReference"/>
        </w:rPr>
        <w:footnoteRef/>
      </w:r>
      <w:r>
        <w:t xml:space="preserve"> </w:t>
      </w:r>
      <w:r w:rsidRPr="00C43809">
        <w:rPr>
          <w:i/>
        </w:rPr>
        <w:t>Id</w:t>
      </w:r>
      <w:r>
        <w:t>.</w:t>
      </w:r>
    </w:p>
  </w:footnote>
  <w:footnote w:id="69">
    <w:p w:rsidR="009B7D3A" w:rsidRDefault="009B7D3A" w:rsidP="006106EB">
      <w:pPr>
        <w:pStyle w:val="FootnoteText"/>
        <w:spacing w:before="0" w:line="240" w:lineRule="auto"/>
      </w:pPr>
      <w:r>
        <w:rPr>
          <w:rStyle w:val="FootnoteReference"/>
        </w:rPr>
        <w:footnoteRef/>
      </w:r>
      <w:r>
        <w:t xml:space="preserve"> Watkins, Exh. GAW-1T at 18:18-19:9.</w:t>
      </w:r>
    </w:p>
  </w:footnote>
  <w:footnote w:id="70">
    <w:p w:rsidR="009B7D3A" w:rsidRDefault="009B7D3A" w:rsidP="006106EB">
      <w:pPr>
        <w:pStyle w:val="FootnoteText"/>
        <w:spacing w:before="0" w:line="240" w:lineRule="auto"/>
      </w:pPr>
      <w:r>
        <w:rPr>
          <w:rStyle w:val="FootnoteReference"/>
        </w:rPr>
        <w:footnoteRef/>
      </w:r>
      <w:r>
        <w:t xml:space="preserve"> Ball, Exh. JLB-1T at 14:8-12.</w:t>
      </w:r>
    </w:p>
  </w:footnote>
  <w:footnote w:id="71">
    <w:p w:rsidR="009B7D3A" w:rsidRDefault="009B7D3A" w:rsidP="006106EB">
      <w:pPr>
        <w:pStyle w:val="FootnoteText"/>
        <w:spacing w:before="0" w:line="240" w:lineRule="auto"/>
      </w:pPr>
      <w:r>
        <w:rPr>
          <w:rStyle w:val="FootnoteReference"/>
        </w:rPr>
        <w:footnoteRef/>
      </w:r>
      <w:r>
        <w:t xml:space="preserve"> Watkins, Exh. GAW-1T at 36:19-38:2.</w:t>
      </w:r>
    </w:p>
  </w:footnote>
  <w:footnote w:id="72">
    <w:p w:rsidR="009B7D3A" w:rsidRDefault="009B7D3A" w:rsidP="006106EB">
      <w:pPr>
        <w:pStyle w:val="FootnoteText"/>
        <w:spacing w:before="0" w:line="240" w:lineRule="auto"/>
      </w:pPr>
      <w:r>
        <w:rPr>
          <w:rStyle w:val="FootnoteReference"/>
        </w:rPr>
        <w:footnoteRef/>
      </w:r>
      <w:r>
        <w:t xml:space="preserve"> Gorman, Exh. MPG-1T at 28:1-22.</w:t>
      </w:r>
    </w:p>
  </w:footnote>
  <w:footnote w:id="73">
    <w:p w:rsidR="009B7D3A" w:rsidRDefault="009B7D3A" w:rsidP="006106EB">
      <w:pPr>
        <w:pStyle w:val="FootnoteText"/>
        <w:spacing w:before="0" w:line="240" w:lineRule="auto"/>
      </w:pPr>
      <w:r>
        <w:rPr>
          <w:rStyle w:val="FootnoteReference"/>
        </w:rPr>
        <w:footnoteRef/>
      </w:r>
      <w:r>
        <w:t xml:space="preserve"> Higgins, Exh. KCH-1T at 11:5-12:3.</w:t>
      </w:r>
    </w:p>
  </w:footnote>
  <w:footnote w:id="74">
    <w:p w:rsidR="009B7D3A" w:rsidRDefault="009B7D3A" w:rsidP="006106EB">
      <w:pPr>
        <w:pStyle w:val="FootnoteText"/>
        <w:spacing w:before="0" w:line="240" w:lineRule="auto"/>
      </w:pPr>
      <w:r>
        <w:rPr>
          <w:rStyle w:val="FootnoteReference"/>
        </w:rPr>
        <w:footnoteRef/>
      </w:r>
      <w:r>
        <w:t xml:space="preserve"> Al-Jabir, Exh. AZA-1T at 29:7-14.</w:t>
      </w:r>
    </w:p>
  </w:footnote>
  <w:footnote w:id="75">
    <w:p w:rsidR="009B7D3A" w:rsidRDefault="009B7D3A" w:rsidP="006106EB">
      <w:pPr>
        <w:pStyle w:val="FootnoteText"/>
        <w:spacing w:before="0" w:line="240" w:lineRule="auto"/>
      </w:pPr>
      <w:r>
        <w:rPr>
          <w:rStyle w:val="FootnoteReference"/>
        </w:rPr>
        <w:footnoteRef/>
      </w:r>
      <w:r>
        <w:t xml:space="preserve"> Along with a small amount of distribution costs recovered through Schedule 62.</w:t>
      </w:r>
    </w:p>
  </w:footnote>
  <w:footnote w:id="76">
    <w:p w:rsidR="009B7D3A" w:rsidRDefault="009B7D3A" w:rsidP="006106EB">
      <w:pPr>
        <w:pStyle w:val="FootnoteText"/>
        <w:spacing w:before="0" w:line="240" w:lineRule="auto"/>
      </w:pPr>
      <w:r>
        <w:rPr>
          <w:rStyle w:val="FootnoteReference"/>
        </w:rPr>
        <w:footnoteRef/>
      </w:r>
      <w:r>
        <w:t xml:space="preserve"> Ball, Exh. JLB-1T at 20:1-2 and 29:3-18.</w:t>
      </w:r>
    </w:p>
  </w:footnote>
  <w:footnote w:id="77">
    <w:p w:rsidR="009B7D3A" w:rsidRDefault="009B7D3A" w:rsidP="006106EB">
      <w:pPr>
        <w:pStyle w:val="FootnoteText"/>
        <w:spacing w:before="0" w:line="240" w:lineRule="auto"/>
      </w:pPr>
      <w:r>
        <w:rPr>
          <w:rStyle w:val="FootnoteReference"/>
        </w:rPr>
        <w:footnoteRef/>
      </w:r>
      <w:r>
        <w:t xml:space="preserve"> Levin, Exh. AML-1T at 10:20-11:15.</w:t>
      </w:r>
    </w:p>
  </w:footnote>
  <w:footnote w:id="78">
    <w:p w:rsidR="009B7D3A" w:rsidRDefault="009B7D3A" w:rsidP="006106EB">
      <w:pPr>
        <w:pStyle w:val="FootnoteText"/>
        <w:spacing w:before="0" w:line="240" w:lineRule="auto"/>
      </w:pPr>
      <w:r>
        <w:rPr>
          <w:rStyle w:val="FootnoteReference"/>
        </w:rPr>
        <w:footnoteRef/>
      </w:r>
      <w:r>
        <w:t xml:space="preserve"> Collins, Exh. SMC-1T at 21:1-17.</w:t>
      </w:r>
    </w:p>
  </w:footnote>
  <w:footnote w:id="79">
    <w:p w:rsidR="009B7D3A" w:rsidRDefault="009B7D3A" w:rsidP="006106EB">
      <w:pPr>
        <w:pStyle w:val="FootnoteText"/>
        <w:spacing w:before="0" w:line="240" w:lineRule="auto"/>
      </w:pPr>
      <w:r>
        <w:rPr>
          <w:rStyle w:val="FootnoteReference"/>
        </w:rPr>
        <w:footnoteRef/>
      </w:r>
      <w:r>
        <w:t xml:space="preserve"> Watkins, Exh. GAW-1T at 51:13-19.</w:t>
      </w:r>
    </w:p>
  </w:footnote>
  <w:footnote w:id="80">
    <w:p w:rsidR="009B7D3A" w:rsidRDefault="009B7D3A" w:rsidP="006106EB">
      <w:pPr>
        <w:pStyle w:val="FootnoteText"/>
        <w:spacing w:before="0" w:line="240" w:lineRule="auto"/>
      </w:pPr>
      <w:r>
        <w:rPr>
          <w:rStyle w:val="FootnoteReference"/>
        </w:rPr>
        <w:footnoteRef/>
      </w:r>
      <w:r>
        <w:t xml:space="preserve"> Ball, Exh. JLB-1T at 29:20-30:8.</w:t>
      </w:r>
    </w:p>
  </w:footnote>
  <w:footnote w:id="81">
    <w:p w:rsidR="009B7D3A" w:rsidRDefault="009B7D3A" w:rsidP="006106EB">
      <w:pPr>
        <w:pStyle w:val="FootnoteText"/>
        <w:spacing w:before="0" w:line="240" w:lineRule="auto"/>
      </w:pPr>
      <w:r>
        <w:rPr>
          <w:rStyle w:val="FootnoteReference"/>
        </w:rPr>
        <w:footnoteRef/>
      </w:r>
      <w:r>
        <w:t xml:space="preserve"> Ball, Exh. JLB-1T at 29:7-9.</w:t>
      </w:r>
    </w:p>
  </w:footnote>
  <w:footnote w:id="82">
    <w:p w:rsidR="009B7D3A" w:rsidRDefault="009B7D3A" w:rsidP="006106EB">
      <w:pPr>
        <w:pStyle w:val="FootnoteText"/>
        <w:spacing w:before="0" w:line="240" w:lineRule="auto"/>
      </w:pPr>
      <w:r>
        <w:rPr>
          <w:rStyle w:val="FootnoteReference"/>
        </w:rPr>
        <w:footnoteRef/>
      </w:r>
      <w:r>
        <w:t xml:space="preserve"> This is revenue over and above what PSE would have recovered from the same customers without a minimum bill (through volumetric rates). </w:t>
      </w:r>
    </w:p>
  </w:footnote>
  <w:footnote w:id="83">
    <w:p w:rsidR="009B7D3A" w:rsidRDefault="009B7D3A" w:rsidP="006106EB">
      <w:pPr>
        <w:pStyle w:val="FootnoteText"/>
        <w:spacing w:before="0" w:line="240" w:lineRule="auto"/>
      </w:pPr>
      <w:r>
        <w:rPr>
          <w:rStyle w:val="FootnoteReference"/>
        </w:rPr>
        <w:footnoteRef/>
      </w:r>
      <w:r>
        <w:t xml:space="preserve"> This may be, in part, why this issue was so contested in Ms. Levin’s cited cases.</w:t>
      </w:r>
      <w:r w:rsidR="00902913">
        <w:t xml:space="preserve"> </w:t>
      </w:r>
      <w:r>
        <w:t>At that time, PSE used a more traditional method for allocating transformer costs, as opposed to its current approach that assigns these costs more directly to individual customers.</w:t>
      </w:r>
      <w:r w:rsidR="00902913">
        <w:t xml:space="preserve"> </w:t>
      </w:r>
      <w:r>
        <w:t>It is worth noting that PSE also now assigns feeder and substation costs to individual customers, rather than the traditional approach used to allocate these costs in the cited cases.</w:t>
      </w:r>
      <w:r w:rsidR="00902913">
        <w:t xml:space="preserve"> </w:t>
      </w:r>
    </w:p>
  </w:footnote>
  <w:footnote w:id="84">
    <w:p w:rsidR="009B7D3A" w:rsidRDefault="009B7D3A" w:rsidP="006106EB">
      <w:pPr>
        <w:pStyle w:val="FootnoteText"/>
        <w:spacing w:before="0" w:line="240" w:lineRule="auto"/>
      </w:pPr>
      <w:r>
        <w:rPr>
          <w:rStyle w:val="FootnoteReference"/>
        </w:rPr>
        <w:footnoteRef/>
      </w:r>
      <w:r>
        <w:t xml:space="preserve"> Levin, Exh. AML-1T at 7:18-20.</w:t>
      </w:r>
    </w:p>
  </w:footnote>
  <w:footnote w:id="85">
    <w:p w:rsidR="009B7D3A" w:rsidRDefault="009B7D3A" w:rsidP="006106EB">
      <w:pPr>
        <w:pStyle w:val="FootnoteText"/>
        <w:spacing w:before="0" w:line="240" w:lineRule="auto"/>
      </w:pPr>
      <w:r>
        <w:rPr>
          <w:rStyle w:val="FootnoteReference"/>
        </w:rPr>
        <w:footnoteRef/>
      </w:r>
      <w:r>
        <w:t xml:space="preserve"> Levin, Exh. AML-1T at 8:1-7.</w:t>
      </w:r>
    </w:p>
  </w:footnote>
  <w:footnote w:id="86">
    <w:p w:rsidR="009B7D3A" w:rsidRDefault="009B7D3A" w:rsidP="006106EB">
      <w:pPr>
        <w:pStyle w:val="FootnoteText"/>
        <w:spacing w:before="0" w:line="240" w:lineRule="auto"/>
      </w:pPr>
      <w:r>
        <w:rPr>
          <w:rStyle w:val="FootnoteReference"/>
        </w:rPr>
        <w:footnoteRef/>
      </w:r>
      <w:r>
        <w:t xml:space="preserve"> </w:t>
      </w:r>
      <w:r w:rsidRPr="002953F7">
        <w:rPr>
          <w:i/>
        </w:rPr>
        <w:t>Id</w:t>
      </w:r>
      <w:r>
        <w:t>. at 6:3-8.</w:t>
      </w:r>
    </w:p>
  </w:footnote>
  <w:footnote w:id="87">
    <w:p w:rsidR="009B7D3A" w:rsidRDefault="009B7D3A" w:rsidP="006106EB">
      <w:pPr>
        <w:pStyle w:val="FootnoteText"/>
        <w:spacing w:before="0" w:line="240" w:lineRule="auto"/>
      </w:pPr>
      <w:r>
        <w:rPr>
          <w:rStyle w:val="FootnoteReference"/>
        </w:rPr>
        <w:footnoteRef/>
      </w:r>
      <w:r>
        <w:t xml:space="preserve"> It should be intuitively obvious that it is far less costly to install one transformer capable of serving 1 megawatt in load than 100 individual transformers serving an equivalent amount of peak load, particularly if the transformers are spread out over many miles.</w:t>
      </w:r>
      <w:r w:rsidR="00902913">
        <w:t xml:space="preserve"> </w:t>
      </w:r>
      <w:r>
        <w:t>Clearly, the presence of many dispersed customers, not their aggregate load, is causing the higher costs.</w:t>
      </w:r>
      <w:r w:rsidR="00902913">
        <w:t xml:space="preserve"> </w:t>
      </w:r>
      <w:r>
        <w:t xml:space="preserve"> </w:t>
      </w:r>
    </w:p>
  </w:footnote>
  <w:footnote w:id="88">
    <w:p w:rsidR="009B7D3A" w:rsidRDefault="009B7D3A" w:rsidP="006106EB">
      <w:pPr>
        <w:pStyle w:val="FootnoteText"/>
        <w:spacing w:before="0" w:line="240" w:lineRule="auto"/>
      </w:pPr>
      <w:r>
        <w:rPr>
          <w:rStyle w:val="FootnoteReference"/>
        </w:rPr>
        <w:footnoteRef/>
      </w:r>
      <w:r>
        <w:t xml:space="preserve"> </w:t>
      </w:r>
      <w:r w:rsidRPr="002953F7">
        <w:rPr>
          <w:i/>
        </w:rPr>
        <w:t>Id</w:t>
      </w:r>
      <w:r>
        <w:t>. at 10:17-19.</w:t>
      </w:r>
    </w:p>
  </w:footnote>
  <w:footnote w:id="89">
    <w:p w:rsidR="009B7D3A" w:rsidRDefault="009B7D3A" w:rsidP="006106EB">
      <w:pPr>
        <w:pStyle w:val="FootnoteText"/>
        <w:spacing w:before="0" w:line="240" w:lineRule="auto"/>
      </w:pPr>
      <w:r>
        <w:rPr>
          <w:rStyle w:val="FootnoteReference"/>
        </w:rPr>
        <w:footnoteRef/>
      </w:r>
      <w:r>
        <w:t xml:space="preserve"> At 46:16-47:22 of his testimony</w:t>
      </w:r>
      <w:r w:rsidR="00376EB1">
        <w:t>,</w:t>
      </w:r>
      <w:r>
        <w:t xml:space="preserve"> Exh. GAW-1T, Mr. Watkins goes on a curious tangent arguing that PSE already recovers the cost of its meters and service lines from new customers and, therefore, including such costs in the calculation of the basic charge constitutes a double count to new customers.</w:t>
      </w:r>
      <w:r w:rsidR="00902913">
        <w:t xml:space="preserve"> </w:t>
      </w:r>
      <w:r>
        <w:t>However, he fails to address why the costs then exist on PSE’s books and from whom they should be recovered.</w:t>
      </w:r>
      <w:r w:rsidR="00902913">
        <w:t xml:space="preserve"> </w:t>
      </w:r>
      <w:r>
        <w:t>Despite his arguments, he then proceeds to include these costs in his basic charge calculation.</w:t>
      </w:r>
    </w:p>
  </w:footnote>
  <w:footnote w:id="90">
    <w:p w:rsidR="009B7D3A" w:rsidRDefault="009B7D3A" w:rsidP="006106EB">
      <w:pPr>
        <w:pStyle w:val="FootnoteText"/>
        <w:spacing w:before="0" w:line="240" w:lineRule="auto"/>
      </w:pPr>
      <w:r>
        <w:rPr>
          <w:rStyle w:val="FootnoteReference"/>
        </w:rPr>
        <w:footnoteRef/>
      </w:r>
      <w:r>
        <w:t xml:space="preserve"> Watkins, Exh. GAW-11.</w:t>
      </w:r>
    </w:p>
  </w:footnote>
  <w:footnote w:id="91">
    <w:p w:rsidR="009B7D3A" w:rsidRDefault="009B7D3A" w:rsidP="006106EB">
      <w:pPr>
        <w:pStyle w:val="FootnoteText"/>
        <w:spacing w:before="0" w:line="240" w:lineRule="auto"/>
      </w:pPr>
      <w:r>
        <w:rPr>
          <w:rStyle w:val="FootnoteReference"/>
        </w:rPr>
        <w:footnoteRef/>
      </w:r>
      <w:r>
        <w:t xml:space="preserve"> </w:t>
      </w:r>
      <w:r w:rsidRPr="002953F7">
        <w:rPr>
          <w:i/>
        </w:rPr>
        <w:t>Id</w:t>
      </w:r>
      <w:r>
        <w:t>.</w:t>
      </w:r>
    </w:p>
  </w:footnote>
  <w:footnote w:id="92">
    <w:p w:rsidR="009B7D3A" w:rsidRDefault="009B7D3A" w:rsidP="006106EB">
      <w:pPr>
        <w:pStyle w:val="FootnoteText"/>
        <w:spacing w:before="0" w:line="240" w:lineRule="auto"/>
      </w:pPr>
      <w:r>
        <w:rPr>
          <w:rStyle w:val="FootnoteReference"/>
        </w:rPr>
        <w:footnoteRef/>
      </w:r>
      <w:r>
        <w:t xml:space="preserve"> Watkins, Exh. GAW-1T at 51:13-19.</w:t>
      </w:r>
    </w:p>
  </w:footnote>
  <w:footnote w:id="93">
    <w:p w:rsidR="009B7D3A" w:rsidRDefault="009B7D3A" w:rsidP="006106EB">
      <w:pPr>
        <w:pStyle w:val="FootnoteText"/>
        <w:spacing w:before="0" w:line="240" w:lineRule="auto"/>
      </w:pPr>
      <w:r>
        <w:rPr>
          <w:rStyle w:val="FootnoteReference"/>
        </w:rPr>
        <w:footnoteRef/>
      </w:r>
      <w:r>
        <w:t xml:space="preserve"> For purposes of this example, the focus is primarily on administering municipal taxes associated with the sales of electricity within the boundaries of the taxing authority.</w:t>
      </w:r>
    </w:p>
  </w:footnote>
  <w:footnote w:id="94">
    <w:p w:rsidR="009B7D3A" w:rsidRDefault="009B7D3A" w:rsidP="006106EB">
      <w:pPr>
        <w:pStyle w:val="FootnoteText"/>
        <w:spacing w:before="0" w:line="240" w:lineRule="auto"/>
      </w:pPr>
      <w:r>
        <w:rPr>
          <w:rStyle w:val="FootnoteReference"/>
        </w:rPr>
        <w:footnoteRef/>
      </w:r>
      <w:r>
        <w:t xml:space="preserve"> Ball, Exh. JLB-1T at 32:8-22.</w:t>
      </w:r>
    </w:p>
  </w:footnote>
  <w:footnote w:id="95">
    <w:p w:rsidR="009B7D3A" w:rsidRDefault="009B7D3A" w:rsidP="006106EB">
      <w:pPr>
        <w:pStyle w:val="FootnoteText"/>
        <w:spacing w:before="0" w:line="240" w:lineRule="auto"/>
      </w:pPr>
      <w:r>
        <w:rPr>
          <w:rStyle w:val="FootnoteReference"/>
        </w:rPr>
        <w:footnoteRef/>
      </w:r>
      <w:r>
        <w:t xml:space="preserve"> </w:t>
      </w:r>
      <w:r w:rsidRPr="002953F7">
        <w:rPr>
          <w:i/>
        </w:rPr>
        <w:t>Id.</w:t>
      </w:r>
      <w:r>
        <w:t xml:space="preserve"> at 20:1-2.</w:t>
      </w:r>
    </w:p>
  </w:footnote>
  <w:footnote w:id="96">
    <w:p w:rsidR="009B7D3A" w:rsidRDefault="009B7D3A" w:rsidP="006106EB">
      <w:pPr>
        <w:pStyle w:val="FootnoteText"/>
        <w:spacing w:before="0" w:line="240" w:lineRule="auto"/>
      </w:pPr>
      <w:r>
        <w:rPr>
          <w:rStyle w:val="FootnoteReference"/>
        </w:rPr>
        <w:footnoteRef/>
      </w:r>
      <w:r>
        <w:t xml:space="preserve"> It is perhaps also noteworthy that the beneficiaries of Staff’s proposal are likely to be the relatively more affluent customers that can afford air conditioning that is used, of course, in the summer months when rates would be lowered. </w:t>
      </w:r>
    </w:p>
  </w:footnote>
  <w:footnote w:id="97">
    <w:p w:rsidR="009B7D3A" w:rsidRDefault="009B7D3A" w:rsidP="006106EB">
      <w:pPr>
        <w:pStyle w:val="FootnoteText"/>
        <w:spacing w:before="0" w:line="240" w:lineRule="auto"/>
      </w:pPr>
      <w:r>
        <w:rPr>
          <w:rStyle w:val="FootnoteReference"/>
        </w:rPr>
        <w:footnoteRef/>
      </w:r>
      <w:r>
        <w:t xml:space="preserve"> This presents an interesting conundrum.</w:t>
      </w:r>
      <w:r w:rsidR="00902913">
        <w:t xml:space="preserve"> </w:t>
      </w:r>
      <w:r>
        <w:t>While a greater rate differential is likely to elicit a stronger consumptive response, to the extent that this response results in fuel switching, this may not be a desirable response from a broader societal perspective.</w:t>
      </w:r>
      <w:r w:rsidR="00902913">
        <w:t xml:space="preserve"> </w:t>
      </w:r>
      <w:r>
        <w:t>Indeed, in areas without natural gas service, this could result in switching to wood for fuel, which may create a separate set of issues for the local air quality.</w:t>
      </w:r>
    </w:p>
  </w:footnote>
  <w:footnote w:id="98">
    <w:p w:rsidR="009B7D3A" w:rsidRDefault="009B7D3A" w:rsidP="006106EB">
      <w:pPr>
        <w:pStyle w:val="FootnoteText"/>
        <w:spacing w:before="0" w:line="240" w:lineRule="auto"/>
      </w:pPr>
      <w:r>
        <w:rPr>
          <w:rStyle w:val="FootnoteReference"/>
        </w:rPr>
        <w:footnoteRef/>
      </w:r>
      <w:r>
        <w:t xml:space="preserve"> For PSE’s other schedules, summer is defined as the period from April 1 through September 30 and winter is defined as the period from October 1 through March 31.</w:t>
      </w:r>
    </w:p>
  </w:footnote>
  <w:footnote w:id="99">
    <w:p w:rsidR="009B7D3A" w:rsidRDefault="009B7D3A" w:rsidP="006106EB">
      <w:pPr>
        <w:pStyle w:val="FootnoteText"/>
        <w:spacing w:before="0" w:line="240" w:lineRule="auto"/>
      </w:pPr>
      <w:r>
        <w:rPr>
          <w:rStyle w:val="FootnoteReference"/>
        </w:rPr>
        <w:footnoteRef/>
      </w:r>
      <w:r>
        <w:t xml:space="preserve"> Levin, Exh. AML-1T at 13:10-15:13.</w:t>
      </w:r>
    </w:p>
  </w:footnote>
  <w:footnote w:id="100">
    <w:p w:rsidR="009B7D3A" w:rsidRDefault="009B7D3A" w:rsidP="006106EB">
      <w:pPr>
        <w:pStyle w:val="FootnoteText"/>
        <w:spacing w:before="0" w:line="240" w:lineRule="auto"/>
      </w:pPr>
      <w:r>
        <w:rPr>
          <w:rStyle w:val="FootnoteReference"/>
        </w:rPr>
        <w:footnoteRef/>
      </w:r>
      <w:r>
        <w:t xml:space="preserve"> In response to a data request, the Coalition did not have this study.</w:t>
      </w:r>
      <w:r w:rsidR="00902913">
        <w:t xml:space="preserve"> </w:t>
      </w:r>
      <w:r>
        <w:t>Likewise, PSE has yet to locate it.</w:t>
      </w:r>
      <w:r w:rsidR="00902913">
        <w:t xml:space="preserve"> </w:t>
      </w:r>
    </w:p>
  </w:footnote>
  <w:footnote w:id="101">
    <w:p w:rsidR="009B7D3A" w:rsidRDefault="009B7D3A" w:rsidP="006106EB">
      <w:pPr>
        <w:pStyle w:val="FootnoteText"/>
        <w:spacing w:before="0" w:line="240" w:lineRule="auto"/>
      </w:pPr>
      <w:r>
        <w:rPr>
          <w:rStyle w:val="FootnoteReference"/>
        </w:rPr>
        <w:footnoteRef/>
      </w:r>
      <w:r>
        <w:t xml:space="preserve"> The Moving Parties included PSE, Staff, Public Counsel and TEP.</w:t>
      </w:r>
    </w:p>
  </w:footnote>
  <w:footnote w:id="102">
    <w:p w:rsidR="009B7D3A" w:rsidRDefault="009B7D3A" w:rsidP="006106EB">
      <w:pPr>
        <w:pStyle w:val="FootnoteText"/>
        <w:spacing w:before="0" w:line="240" w:lineRule="auto"/>
      </w:pPr>
      <w:r>
        <w:rPr>
          <w:rStyle w:val="FootnoteReference"/>
        </w:rPr>
        <w:footnoteRef/>
      </w:r>
      <w:r>
        <w:t xml:space="preserve"> These other signatories included ICNU, FEA, Kroger and Wal-Mart.</w:t>
      </w:r>
    </w:p>
  </w:footnote>
  <w:footnote w:id="103">
    <w:p w:rsidR="009B7D3A" w:rsidRDefault="009B7D3A" w:rsidP="006106EB">
      <w:pPr>
        <w:pStyle w:val="FootnoteText"/>
        <w:spacing w:before="0" w:line="240" w:lineRule="auto"/>
      </w:pPr>
      <w:r>
        <w:rPr>
          <w:rStyle w:val="FootnoteReference"/>
        </w:rPr>
        <w:footnoteRef/>
      </w:r>
      <w:r>
        <w:t xml:space="preserve"> Ball, Exh. JLB-1T at 53:12-54:10.</w:t>
      </w:r>
    </w:p>
  </w:footnote>
  <w:footnote w:id="104">
    <w:p w:rsidR="009B7D3A" w:rsidRDefault="009B7D3A" w:rsidP="006106EB">
      <w:pPr>
        <w:pStyle w:val="FootnoteText"/>
        <w:spacing w:before="0" w:line="240" w:lineRule="auto"/>
      </w:pPr>
      <w:r>
        <w:rPr>
          <w:rStyle w:val="FootnoteReference"/>
        </w:rPr>
        <w:footnoteRef/>
      </w:r>
      <w:r>
        <w:t xml:space="preserve"> Watkins, Exh. GAW-1T at 38:7-40:22.</w:t>
      </w:r>
    </w:p>
  </w:footnote>
  <w:footnote w:id="105">
    <w:p w:rsidR="009B7D3A" w:rsidRDefault="009B7D3A" w:rsidP="006106EB">
      <w:pPr>
        <w:pStyle w:val="FootnoteText"/>
        <w:spacing w:before="0" w:line="240" w:lineRule="auto"/>
      </w:pPr>
      <w:r>
        <w:rPr>
          <w:rStyle w:val="FootnoteReference"/>
        </w:rPr>
        <w:footnoteRef/>
      </w:r>
      <w:r>
        <w:t xml:space="preserve"> Higgins, Exh. KCH-1T at 19:19-20:5.</w:t>
      </w:r>
    </w:p>
  </w:footnote>
  <w:footnote w:id="106">
    <w:p w:rsidR="009B7D3A" w:rsidRDefault="009B7D3A" w:rsidP="006106EB">
      <w:pPr>
        <w:pStyle w:val="FootnoteText"/>
        <w:spacing w:before="0" w:line="240" w:lineRule="auto"/>
      </w:pPr>
      <w:r>
        <w:rPr>
          <w:rStyle w:val="FootnoteReference"/>
        </w:rPr>
        <w:footnoteRef/>
      </w:r>
      <w:r>
        <w:t xml:space="preserve"> Mullins, Exh. BGM-1CT at 56:3-5.</w:t>
      </w:r>
    </w:p>
  </w:footnote>
  <w:footnote w:id="107">
    <w:p w:rsidR="009B7D3A" w:rsidRDefault="009B7D3A" w:rsidP="006106EB">
      <w:pPr>
        <w:pStyle w:val="FootnoteText"/>
        <w:spacing w:before="0" w:line="240" w:lineRule="auto"/>
      </w:pPr>
      <w:r>
        <w:rPr>
          <w:rStyle w:val="FootnoteReference"/>
        </w:rPr>
        <w:footnoteRef/>
      </w:r>
      <w:r>
        <w:t xml:space="preserve"> Ball, Exh. JLB-1T at 46:1-9.</w:t>
      </w:r>
    </w:p>
  </w:footnote>
  <w:footnote w:id="108">
    <w:p w:rsidR="009B7D3A" w:rsidRDefault="009B7D3A" w:rsidP="006106EB">
      <w:pPr>
        <w:pStyle w:val="FootnoteText"/>
        <w:spacing w:before="0" w:line="240" w:lineRule="auto"/>
      </w:pPr>
      <w:r>
        <w:rPr>
          <w:rStyle w:val="FootnoteReference"/>
        </w:rPr>
        <w:footnoteRef/>
      </w:r>
      <w:r>
        <w:t xml:space="preserve"> </w:t>
      </w:r>
      <w:r>
        <w:rPr>
          <w:i/>
        </w:rPr>
        <w:t>Id.</w:t>
      </w:r>
      <w:r>
        <w:t xml:space="preserve"> at 46:11-47:24.</w:t>
      </w:r>
    </w:p>
  </w:footnote>
  <w:footnote w:id="109">
    <w:p w:rsidR="009B7D3A" w:rsidRDefault="009B7D3A" w:rsidP="006106EB">
      <w:pPr>
        <w:pStyle w:val="FootnoteText"/>
        <w:spacing w:before="0" w:line="240" w:lineRule="auto"/>
      </w:pPr>
      <w:r>
        <w:rPr>
          <w:rStyle w:val="FootnoteReference"/>
        </w:rPr>
        <w:footnoteRef/>
      </w:r>
      <w:r>
        <w:t xml:space="preserve"> </w:t>
      </w:r>
      <w:r w:rsidRPr="002953F7">
        <w:rPr>
          <w:i/>
        </w:rPr>
        <w:t>Id.</w:t>
      </w:r>
      <w:r>
        <w:t xml:space="preserve"> at 50:1-2.</w:t>
      </w:r>
    </w:p>
  </w:footnote>
  <w:footnote w:id="110">
    <w:p w:rsidR="009B7D3A" w:rsidRDefault="009B7D3A" w:rsidP="006106EB">
      <w:pPr>
        <w:pStyle w:val="FootnoteText"/>
        <w:spacing w:before="0" w:line="240" w:lineRule="auto"/>
      </w:pPr>
      <w:r>
        <w:rPr>
          <w:rStyle w:val="FootnoteReference"/>
        </w:rPr>
        <w:footnoteRef/>
      </w:r>
      <w:r>
        <w:t xml:space="preserve"> Higgins, Exh. KCH-1T at 22:20-23:2.</w:t>
      </w:r>
    </w:p>
  </w:footnote>
  <w:footnote w:id="111">
    <w:p w:rsidR="009B7D3A" w:rsidRDefault="009B7D3A" w:rsidP="006106EB">
      <w:pPr>
        <w:pStyle w:val="FootnoteText"/>
        <w:spacing w:before="0" w:line="240" w:lineRule="auto"/>
      </w:pPr>
      <w:r>
        <w:rPr>
          <w:rStyle w:val="FootnoteReference"/>
        </w:rPr>
        <w:footnoteRef/>
      </w:r>
      <w:r>
        <w:t xml:space="preserve"> In response to a data request, Kroger clarified that for Schedule 25, a portion of the ECRM costs should be recovered in its demand charge and another portion in the first block energy rate, based on the level of first block rates that are in excess of the tail block rate.</w:t>
      </w:r>
      <w:r w:rsidR="00902913">
        <w:t xml:space="preserve"> </w:t>
      </w:r>
      <w:r>
        <w:t>PSE supports this clarification as well.</w:t>
      </w:r>
      <w:r w:rsidR="00902913">
        <w:t xml:space="preserve"> </w:t>
      </w:r>
    </w:p>
  </w:footnote>
  <w:footnote w:id="112">
    <w:p w:rsidR="009B7D3A" w:rsidRDefault="009B7D3A" w:rsidP="006106EB">
      <w:pPr>
        <w:pStyle w:val="FootnoteText"/>
        <w:spacing w:before="0" w:line="240" w:lineRule="auto"/>
      </w:pPr>
      <w:r>
        <w:rPr>
          <w:rStyle w:val="FootnoteReference"/>
        </w:rPr>
        <w:footnoteRef/>
      </w:r>
      <w:r>
        <w:t xml:space="preserve"> Ball, Exh. JLB-1T at 51:6-13.</w:t>
      </w:r>
    </w:p>
  </w:footnote>
  <w:footnote w:id="113">
    <w:p w:rsidR="009B7D3A" w:rsidRDefault="009B7D3A" w:rsidP="006106EB">
      <w:pPr>
        <w:pStyle w:val="FootnoteText"/>
        <w:spacing w:before="0" w:line="240" w:lineRule="auto"/>
      </w:pPr>
      <w:r>
        <w:rPr>
          <w:rStyle w:val="FootnoteReference"/>
        </w:rPr>
        <w:footnoteRef/>
      </w:r>
      <w:r>
        <w:t xml:space="preserve"> AMI technology relies on a “mesh network” where meters can relay information for one another if their signal is unable to get to the more centralized aggregators.</w:t>
      </w:r>
      <w:r w:rsidR="00902913">
        <w:t xml:space="preserve"> </w:t>
      </w:r>
      <w:r>
        <w:t>Without other AMI enabled meters in close proximity, these meters will not perform much better than PSE’s existing AMR technology.</w:t>
      </w:r>
      <w:r w:rsidR="00902913">
        <w:t xml:space="preserve"> </w:t>
      </w:r>
    </w:p>
  </w:footnote>
  <w:footnote w:id="114">
    <w:p w:rsidR="009B7D3A" w:rsidRDefault="009B7D3A" w:rsidP="006106EB">
      <w:pPr>
        <w:pStyle w:val="FootnoteText"/>
        <w:spacing w:before="0" w:line="240" w:lineRule="auto"/>
      </w:pPr>
      <w:r>
        <w:rPr>
          <w:rStyle w:val="FootnoteReference"/>
        </w:rPr>
        <w:footnoteRef/>
      </w:r>
      <w:r>
        <w:t xml:space="preserve"> This may or may not result in a proposal by PSE for a separate rate schedule for net metering customers. </w:t>
      </w:r>
    </w:p>
  </w:footnote>
  <w:footnote w:id="115">
    <w:p w:rsidR="009B7D3A" w:rsidRDefault="009B7D3A" w:rsidP="006106EB">
      <w:pPr>
        <w:pStyle w:val="FootnoteText"/>
        <w:spacing w:before="0" w:line="240" w:lineRule="auto"/>
      </w:pPr>
      <w:r>
        <w:rPr>
          <w:rStyle w:val="FootnoteReference"/>
        </w:rPr>
        <w:footnoteRef/>
      </w:r>
      <w:r>
        <w:t xml:space="preserve"> Watkins, Exh. GAW-1T at 63:23-64:2.</w:t>
      </w:r>
    </w:p>
  </w:footnote>
  <w:footnote w:id="116">
    <w:p w:rsidR="009B7D3A" w:rsidRDefault="009B7D3A" w:rsidP="006106EB">
      <w:pPr>
        <w:pStyle w:val="FootnoteText"/>
        <w:spacing w:before="0" w:line="240" w:lineRule="auto"/>
      </w:pPr>
      <w:r>
        <w:rPr>
          <w:rStyle w:val="FootnoteReference"/>
        </w:rPr>
        <w:footnoteRef/>
      </w:r>
      <w:r>
        <w:t xml:space="preserve"> This document can be found at the following link: </w:t>
      </w:r>
      <w:hyperlink r:id="rId2" w:history="1">
        <w:r w:rsidRPr="00A201EA">
          <w:rPr>
            <w:rStyle w:val="Hyperlink"/>
          </w:rPr>
          <w:t>https://pse.com/accountsandservices/YourAccount/Pages/Understand-Your-Bill.aspx</w:t>
        </w:r>
      </w:hyperlink>
      <w:r>
        <w:t xml:space="preserve">. </w:t>
      </w:r>
    </w:p>
  </w:footnote>
  <w:footnote w:id="117">
    <w:p w:rsidR="009B7D3A" w:rsidRDefault="009B7D3A" w:rsidP="006106EB">
      <w:pPr>
        <w:pStyle w:val="FootnoteText"/>
        <w:spacing w:before="0" w:line="240" w:lineRule="auto"/>
      </w:pPr>
      <w:r>
        <w:rPr>
          <w:rStyle w:val="FootnoteReference"/>
        </w:rPr>
        <w:footnoteRef/>
      </w:r>
      <w:r>
        <w:t xml:space="preserve"> This document can be found at the following link: </w:t>
      </w:r>
      <w:hyperlink r:id="rId3" w:history="1">
        <w:r w:rsidRPr="00A201EA">
          <w:rPr>
            <w:rStyle w:val="Hyperlink"/>
          </w:rPr>
          <w:t>https://pse.com/aboutpse/Rates/Documents/summ_elec_prices_2017_05_01.pdf</w:t>
        </w:r>
      </w:hyperlink>
      <w:r>
        <w:t xml:space="preserve"> .</w:t>
      </w:r>
    </w:p>
  </w:footnote>
  <w:footnote w:id="118">
    <w:p w:rsidR="009B7D3A" w:rsidRDefault="009B7D3A" w:rsidP="006106EB">
      <w:pPr>
        <w:pStyle w:val="FootnoteText"/>
        <w:spacing w:before="0" w:line="240" w:lineRule="auto"/>
      </w:pPr>
      <w:r>
        <w:rPr>
          <w:rStyle w:val="FootnoteReference"/>
        </w:rPr>
        <w:footnoteRef/>
      </w:r>
      <w:r>
        <w:t xml:space="preserve"> Mullins, Exh. BGM-1T at 22:15-24:11.</w:t>
      </w:r>
    </w:p>
  </w:footnote>
  <w:footnote w:id="119">
    <w:p w:rsidR="009B7D3A" w:rsidRDefault="009B7D3A" w:rsidP="006106EB">
      <w:pPr>
        <w:pStyle w:val="FootnoteText"/>
        <w:spacing w:before="0" w:line="240" w:lineRule="auto"/>
      </w:pPr>
      <w:r>
        <w:rPr>
          <w:rStyle w:val="FootnoteReference"/>
        </w:rPr>
        <w:footnoteRef/>
      </w:r>
      <w:r>
        <w:t xml:space="preserve"> Docket UE-161123, Order 06, ¶ 86.</w:t>
      </w:r>
    </w:p>
  </w:footnote>
  <w:footnote w:id="120">
    <w:p w:rsidR="009B7D3A" w:rsidRDefault="009B7D3A" w:rsidP="006106EB">
      <w:pPr>
        <w:pStyle w:val="FootnoteText"/>
        <w:spacing w:before="0" w:line="240" w:lineRule="auto"/>
      </w:pPr>
      <w:r>
        <w:rPr>
          <w:rStyle w:val="FootnoteReference"/>
        </w:rPr>
        <w:footnoteRef/>
      </w:r>
      <w:r>
        <w:t xml:space="preserve"> In other words, Colstrip Units No. 1 and No. 2 may be handled in this case.</w:t>
      </w:r>
      <w:r w:rsidR="00902913">
        <w:t xml:space="preserve"> </w:t>
      </w:r>
      <w:r>
        <w:t xml:space="preserve">The other units may be addressed in a later case or cases, if the issue of the recovery of undepreciated plant is separate from the issue of the recovery of decommissioning and remediation costs. </w:t>
      </w:r>
    </w:p>
  </w:footnote>
  <w:footnote w:id="121">
    <w:p w:rsidR="009B7D3A" w:rsidRDefault="009B7D3A" w:rsidP="006106EB">
      <w:pPr>
        <w:pStyle w:val="FootnoteText"/>
        <w:spacing w:before="0" w:line="240" w:lineRule="auto"/>
      </w:pPr>
      <w:r>
        <w:rPr>
          <w:rStyle w:val="FootnoteReference"/>
        </w:rPr>
        <w:footnoteRef/>
      </w:r>
      <w:r>
        <w:t xml:space="preserve"> Collins, Exh. BCC-1T at 3:5-11.</w:t>
      </w:r>
    </w:p>
  </w:footnote>
  <w:footnote w:id="122">
    <w:p w:rsidR="009B7D3A" w:rsidRDefault="009B7D3A" w:rsidP="006106EB">
      <w:pPr>
        <w:pStyle w:val="FootnoteText"/>
        <w:spacing w:before="0" w:line="240" w:lineRule="auto"/>
      </w:pPr>
      <w:r>
        <w:rPr>
          <w:rStyle w:val="FootnoteReference"/>
        </w:rPr>
        <w:footnoteRef/>
      </w:r>
      <w:r>
        <w:t xml:space="preserve"> </w:t>
      </w:r>
      <w:r w:rsidRPr="002953F7">
        <w:rPr>
          <w:i/>
        </w:rPr>
        <w:t>Id.</w:t>
      </w:r>
      <w:r>
        <w:t xml:space="preserve"> at 18:1-9.</w:t>
      </w:r>
    </w:p>
  </w:footnote>
  <w:footnote w:id="123">
    <w:p w:rsidR="009B7D3A" w:rsidRDefault="009B7D3A" w:rsidP="006106EB">
      <w:pPr>
        <w:pStyle w:val="FootnoteText"/>
        <w:spacing w:before="0" w:line="240" w:lineRule="auto"/>
      </w:pPr>
      <w:r>
        <w:rPr>
          <w:rStyle w:val="FootnoteReference"/>
        </w:rPr>
        <w:footnoteRef/>
      </w:r>
      <w:r>
        <w:t xml:space="preserve"> Ball, Exh. JLB-1T at 12:18-22.</w:t>
      </w:r>
    </w:p>
  </w:footnote>
  <w:footnote w:id="124">
    <w:p w:rsidR="009B7D3A" w:rsidRDefault="009B7D3A" w:rsidP="006106EB">
      <w:pPr>
        <w:pStyle w:val="FootnoteText"/>
        <w:spacing w:before="0" w:line="240" w:lineRule="auto"/>
      </w:pPr>
      <w:r>
        <w:rPr>
          <w:rStyle w:val="FootnoteReference"/>
        </w:rPr>
        <w:footnoteRef/>
      </w:r>
      <w:r>
        <w:t xml:space="preserve"> Watkins, Exh. GAW-1T at 66:11-18.</w:t>
      </w:r>
    </w:p>
  </w:footnote>
  <w:footnote w:id="125">
    <w:p w:rsidR="009B7D3A" w:rsidRDefault="009B7D3A" w:rsidP="006106EB">
      <w:pPr>
        <w:pStyle w:val="FootnoteText"/>
        <w:spacing w:before="0" w:line="240" w:lineRule="auto"/>
      </w:pPr>
      <w:r>
        <w:rPr>
          <w:rStyle w:val="FootnoteReference"/>
        </w:rPr>
        <w:footnoteRef/>
      </w:r>
      <w:r>
        <w:t xml:space="preserve"> </w:t>
      </w:r>
      <w:r w:rsidRPr="00A95B38">
        <w:rPr>
          <w:i/>
        </w:rPr>
        <w:t>See, e.g.</w:t>
      </w:r>
      <w:r>
        <w:t>, Docket UG-940034, Fifth Supplemental Order, at 4-5 and 12.</w:t>
      </w:r>
    </w:p>
  </w:footnote>
  <w:footnote w:id="126">
    <w:p w:rsidR="009B7D3A" w:rsidRDefault="009B7D3A" w:rsidP="006106EB">
      <w:pPr>
        <w:pStyle w:val="FootnoteText"/>
        <w:spacing w:before="0" w:line="240" w:lineRule="auto"/>
      </w:pPr>
      <w:r>
        <w:rPr>
          <w:rStyle w:val="FootnoteReference"/>
        </w:rPr>
        <w:footnoteRef/>
      </w:r>
      <w:r>
        <w:t xml:space="preserve"> Docket UG-072301, Exh. JKP-17T at 4:13-21.</w:t>
      </w:r>
    </w:p>
  </w:footnote>
  <w:footnote w:id="127">
    <w:p w:rsidR="009B7D3A" w:rsidRDefault="009B7D3A" w:rsidP="006106EB">
      <w:pPr>
        <w:pStyle w:val="FootnoteText"/>
        <w:spacing w:before="0" w:line="240" w:lineRule="auto"/>
      </w:pPr>
      <w:r>
        <w:rPr>
          <w:rStyle w:val="FootnoteReference"/>
        </w:rPr>
        <w:footnoteRef/>
      </w:r>
      <w:r>
        <w:t xml:space="preserve"> Docket UG-151663, Exh. JCW-2C at 16.</w:t>
      </w:r>
    </w:p>
  </w:footnote>
  <w:footnote w:id="128">
    <w:p w:rsidR="009B7D3A" w:rsidRDefault="009B7D3A" w:rsidP="006106EB">
      <w:pPr>
        <w:pStyle w:val="FootnoteText"/>
        <w:spacing w:before="0" w:line="240" w:lineRule="auto"/>
      </w:pPr>
      <w:r>
        <w:rPr>
          <w:rStyle w:val="FootnoteReference"/>
        </w:rPr>
        <w:footnoteRef/>
      </w:r>
      <w:r>
        <w:t xml:space="preserve"> Collins, Exh. BCC-1T at 14:19-17:22.</w:t>
      </w:r>
    </w:p>
  </w:footnote>
  <w:footnote w:id="129">
    <w:p w:rsidR="009B7D3A" w:rsidRDefault="009B7D3A" w:rsidP="006106EB">
      <w:pPr>
        <w:pStyle w:val="FootnoteText"/>
        <w:spacing w:before="0" w:line="240" w:lineRule="auto"/>
      </w:pPr>
      <w:r>
        <w:rPr>
          <w:rStyle w:val="FootnoteReference"/>
        </w:rPr>
        <w:footnoteRef/>
      </w:r>
      <w:r>
        <w:t xml:space="preserve"> Ball, Exh. JLB-1T at 10:20-12:8.</w:t>
      </w:r>
    </w:p>
  </w:footnote>
  <w:footnote w:id="130">
    <w:p w:rsidR="009B7D3A" w:rsidRDefault="009B7D3A" w:rsidP="006106EB">
      <w:pPr>
        <w:pStyle w:val="FootnoteText"/>
        <w:spacing w:before="0" w:line="240" w:lineRule="auto"/>
      </w:pPr>
      <w:r>
        <w:rPr>
          <w:rStyle w:val="FootnoteReference"/>
        </w:rPr>
        <w:footnoteRef/>
      </w:r>
      <w:r>
        <w:t xml:space="preserve"> Collins, Exh. BCC-1T at 18:4-5.</w:t>
      </w:r>
    </w:p>
  </w:footnote>
  <w:footnote w:id="131">
    <w:p w:rsidR="009B7D3A" w:rsidRDefault="009B7D3A" w:rsidP="006106EB">
      <w:pPr>
        <w:pStyle w:val="FootnoteText"/>
        <w:spacing w:before="0" w:line="240" w:lineRule="auto"/>
      </w:pPr>
      <w:r>
        <w:rPr>
          <w:rStyle w:val="FootnoteReference"/>
        </w:rPr>
        <w:footnoteRef/>
      </w:r>
      <w:r>
        <w:t xml:space="preserve"> Ball, Exh. JLB-1T at 15:3-7.</w:t>
      </w:r>
    </w:p>
  </w:footnote>
  <w:footnote w:id="132">
    <w:p w:rsidR="009B7D3A" w:rsidRDefault="009B7D3A" w:rsidP="006106EB">
      <w:pPr>
        <w:pStyle w:val="FootnoteText"/>
        <w:spacing w:before="0" w:line="240" w:lineRule="auto"/>
      </w:pPr>
      <w:r>
        <w:rPr>
          <w:rStyle w:val="FootnoteReference"/>
        </w:rPr>
        <w:footnoteRef/>
      </w:r>
      <w:r>
        <w:t xml:space="preserve"> Watkins, Exh. GAW-1T at 68:1-8.</w:t>
      </w:r>
    </w:p>
  </w:footnote>
  <w:footnote w:id="133">
    <w:p w:rsidR="009B7D3A" w:rsidRDefault="009B7D3A" w:rsidP="006106EB">
      <w:pPr>
        <w:pStyle w:val="FootnoteText"/>
        <w:spacing w:before="0" w:line="240" w:lineRule="auto"/>
      </w:pPr>
      <w:r>
        <w:rPr>
          <w:rStyle w:val="FootnoteReference"/>
        </w:rPr>
        <w:footnoteRef/>
      </w:r>
      <w:r>
        <w:t xml:space="preserve"> Collins, Exh. BCC-1T at 18:11-25.</w:t>
      </w:r>
    </w:p>
  </w:footnote>
  <w:footnote w:id="134">
    <w:p w:rsidR="009B7D3A" w:rsidRDefault="009B7D3A" w:rsidP="006106EB">
      <w:pPr>
        <w:pStyle w:val="FootnoteText"/>
        <w:spacing w:before="0" w:line="240" w:lineRule="auto"/>
      </w:pPr>
      <w:r>
        <w:rPr>
          <w:rStyle w:val="FootnoteReference"/>
        </w:rPr>
        <w:footnoteRef/>
      </w:r>
      <w:r>
        <w:t xml:space="preserve"> </w:t>
      </w:r>
      <w:r>
        <w:rPr>
          <w:i/>
        </w:rPr>
        <w:t>Id.</w:t>
      </w:r>
      <w:r>
        <w:t>, Exh. BCC-4 at 1.</w:t>
      </w:r>
    </w:p>
  </w:footnote>
  <w:footnote w:id="135">
    <w:p w:rsidR="009B7D3A" w:rsidRDefault="009B7D3A" w:rsidP="006106EB">
      <w:pPr>
        <w:pStyle w:val="FootnoteText"/>
        <w:spacing w:before="0" w:line="240" w:lineRule="auto"/>
      </w:pPr>
      <w:r>
        <w:rPr>
          <w:rStyle w:val="FootnoteReference"/>
        </w:rPr>
        <w:footnoteRef/>
      </w:r>
      <w:r>
        <w:t xml:space="preserve"> </w:t>
      </w:r>
      <w:r w:rsidR="00FF2489">
        <w:rPr>
          <w:i/>
        </w:rPr>
        <w:t>Id</w:t>
      </w:r>
      <w:r w:rsidRPr="00FF2489">
        <w:rPr>
          <w:i/>
        </w:rPr>
        <w:t>.</w:t>
      </w:r>
    </w:p>
  </w:footnote>
  <w:footnote w:id="136">
    <w:p w:rsidR="009B7D3A" w:rsidRDefault="009B7D3A" w:rsidP="006106EB">
      <w:pPr>
        <w:pStyle w:val="FootnoteText"/>
        <w:spacing w:before="0" w:line="240" w:lineRule="auto"/>
      </w:pPr>
      <w:r>
        <w:rPr>
          <w:rStyle w:val="FootnoteReference"/>
        </w:rPr>
        <w:footnoteRef/>
      </w:r>
      <w:r>
        <w:t xml:space="preserve"> Ball, Exh. JLB-1T at 22:1-2.</w:t>
      </w:r>
    </w:p>
  </w:footnote>
  <w:footnote w:id="137">
    <w:p w:rsidR="009B7D3A" w:rsidRDefault="009B7D3A" w:rsidP="006106EB">
      <w:pPr>
        <w:pStyle w:val="FootnoteText"/>
        <w:spacing w:before="0" w:line="240" w:lineRule="auto"/>
      </w:pPr>
      <w:r>
        <w:rPr>
          <w:rStyle w:val="FootnoteReference"/>
        </w:rPr>
        <w:footnoteRef/>
      </w:r>
      <w:r>
        <w:t xml:space="preserve"> Watkins, Exh. GAW-1T at 69:18-23.</w:t>
      </w:r>
    </w:p>
  </w:footnote>
  <w:footnote w:id="138">
    <w:p w:rsidR="009B7D3A" w:rsidRDefault="009B7D3A" w:rsidP="006106EB">
      <w:pPr>
        <w:pStyle w:val="FootnoteText"/>
        <w:spacing w:before="0" w:line="240" w:lineRule="auto"/>
      </w:pPr>
      <w:r>
        <w:rPr>
          <w:rStyle w:val="FootnoteReference"/>
        </w:rPr>
        <w:footnoteRef/>
      </w:r>
      <w:r>
        <w:t xml:space="preserve"> Ball, Exh. JLB-1T at 55:1-56:6.</w:t>
      </w:r>
    </w:p>
  </w:footnote>
  <w:footnote w:id="139">
    <w:p w:rsidR="009B7D3A" w:rsidRDefault="009B7D3A" w:rsidP="006106EB">
      <w:pPr>
        <w:pStyle w:val="FootnoteText"/>
        <w:spacing w:before="0" w:line="240" w:lineRule="auto"/>
      </w:pPr>
      <w:r>
        <w:rPr>
          <w:rStyle w:val="FootnoteReference"/>
        </w:rPr>
        <w:footnoteRef/>
      </w:r>
      <w:r>
        <w:t xml:space="preserve"> Cheesman, Exh. MCC-12.</w:t>
      </w:r>
    </w:p>
  </w:footnote>
  <w:footnote w:id="140">
    <w:p w:rsidR="009B7D3A" w:rsidRDefault="009B7D3A" w:rsidP="006106EB">
      <w:pPr>
        <w:pStyle w:val="FootnoteText"/>
        <w:spacing w:before="0" w:line="240" w:lineRule="auto"/>
      </w:pPr>
      <w:r>
        <w:rPr>
          <w:rStyle w:val="FootnoteReference"/>
        </w:rPr>
        <w:footnoteRef/>
      </w:r>
      <w:r>
        <w:t xml:space="preserve"> O’Connell, Exh. ECO-1CT at 26:1-12.</w:t>
      </w:r>
    </w:p>
  </w:footnote>
  <w:footnote w:id="141">
    <w:p w:rsidR="009B7D3A" w:rsidRDefault="009B7D3A" w:rsidP="006106EB">
      <w:pPr>
        <w:pStyle w:val="FootnoteText"/>
        <w:spacing w:before="0" w:line="240" w:lineRule="auto"/>
      </w:pPr>
      <w:r>
        <w:rPr>
          <w:rStyle w:val="FootnoteReference"/>
        </w:rPr>
        <w:footnoteRef/>
      </w:r>
      <w:r>
        <w:t xml:space="preserve"> Ball, Exh. JLB-1T at 13:9-22.</w:t>
      </w:r>
    </w:p>
  </w:footnote>
  <w:footnote w:id="142">
    <w:p w:rsidR="009B7D3A" w:rsidRDefault="009B7D3A" w:rsidP="006106EB">
      <w:pPr>
        <w:pStyle w:val="FootnoteText"/>
        <w:spacing w:before="0" w:line="240" w:lineRule="auto"/>
      </w:pPr>
      <w:r>
        <w:rPr>
          <w:rStyle w:val="FootnoteReference"/>
        </w:rPr>
        <w:footnoteRef/>
      </w:r>
      <w:r>
        <w:t xml:space="preserve"> O’Connell, Exh. ECO-1CT at 26:1-12.</w:t>
      </w:r>
    </w:p>
  </w:footnote>
  <w:footnote w:id="143">
    <w:p w:rsidR="009B7D3A" w:rsidRDefault="009B7D3A" w:rsidP="006106EB">
      <w:pPr>
        <w:pStyle w:val="FootnoteText"/>
        <w:spacing w:before="0" w:line="240" w:lineRule="auto"/>
      </w:pPr>
      <w:r>
        <w:rPr>
          <w:rStyle w:val="FootnoteReference"/>
        </w:rPr>
        <w:footnoteRef/>
      </w:r>
      <w:r>
        <w:t xml:space="preserve"> O’Connell, Exh. ECO-18.</w:t>
      </w:r>
    </w:p>
  </w:footnote>
  <w:footnote w:id="144">
    <w:p w:rsidR="009B7D3A" w:rsidRDefault="009B7D3A" w:rsidP="006106EB">
      <w:pPr>
        <w:pStyle w:val="FootnoteText"/>
        <w:spacing w:before="0" w:line="240" w:lineRule="auto"/>
      </w:pPr>
      <w:r>
        <w:rPr>
          <w:rStyle w:val="FootnoteReference"/>
        </w:rPr>
        <w:footnoteRef/>
      </w:r>
      <w:r>
        <w:t xml:space="preserve"> Cheesman, Exh. MCC-1T at 27:18-28:12.</w:t>
      </w:r>
    </w:p>
  </w:footnote>
  <w:footnote w:id="145">
    <w:p w:rsidR="009B7D3A" w:rsidRDefault="009B7D3A" w:rsidP="006106EB">
      <w:pPr>
        <w:pStyle w:val="FootnoteText"/>
        <w:spacing w:before="0" w:line="240" w:lineRule="auto"/>
      </w:pPr>
      <w:r>
        <w:rPr>
          <w:rStyle w:val="FootnoteReference"/>
        </w:rPr>
        <w:footnoteRef/>
      </w:r>
      <w:r>
        <w:t xml:space="preserve"> In this case, there are a number of customers moving to and from electric Schedule 40 and from gas Schedule 41 to gas Schedule 85.</w:t>
      </w:r>
      <w:r w:rsidR="00902913">
        <w:t xml:space="preserve"> </w:t>
      </w:r>
      <w:r>
        <w:t>As there are revenue implications from moving customers between schedules, these are taken into account in the derivation of “pro forma” revenue.</w:t>
      </w:r>
    </w:p>
  </w:footnote>
  <w:footnote w:id="146">
    <w:p w:rsidR="009B7D3A" w:rsidRDefault="009B7D3A" w:rsidP="006106EB">
      <w:pPr>
        <w:pStyle w:val="FootnoteText"/>
        <w:spacing w:before="0" w:line="240" w:lineRule="auto"/>
      </w:pPr>
      <w:r>
        <w:rPr>
          <w:rStyle w:val="FootnoteReference"/>
        </w:rPr>
        <w:footnoteRef/>
      </w:r>
      <w:r>
        <w:t xml:space="preserve"> It may be noteworthy that no other party in the case shared Staff’s confusion on this issue.</w:t>
      </w:r>
    </w:p>
  </w:footnote>
  <w:footnote w:id="147">
    <w:p w:rsidR="009B7D3A" w:rsidRDefault="009B7D3A" w:rsidP="006106EB">
      <w:pPr>
        <w:pStyle w:val="FootnoteText"/>
        <w:spacing w:before="0" w:line="240" w:lineRule="auto"/>
      </w:pPr>
      <w:r>
        <w:rPr>
          <w:rStyle w:val="FootnoteReference"/>
        </w:rPr>
        <w:footnoteRef/>
      </w:r>
      <w:r w:rsidR="00FF2489">
        <w:t xml:space="preserve"> Staff R</w:t>
      </w:r>
      <w:r>
        <w:t>esponse to PSE Data Request No. 5 in Dockets UE-040640</w:t>
      </w:r>
      <w:r w:rsidR="00FF2489">
        <w:t>/ UG-040641 (c</w:t>
      </w:r>
      <w:r>
        <w:t>onsolidated)</w:t>
      </w:r>
      <w:r w:rsidR="00FF2489">
        <w:t>.</w:t>
      </w:r>
    </w:p>
  </w:footnote>
  <w:footnote w:id="148">
    <w:p w:rsidR="009B7D3A" w:rsidRDefault="009B7D3A" w:rsidP="006106EB">
      <w:pPr>
        <w:pStyle w:val="FootnoteText"/>
        <w:spacing w:before="0" w:line="240" w:lineRule="auto"/>
      </w:pPr>
      <w:r>
        <w:rPr>
          <w:rStyle w:val="FootnoteReference"/>
        </w:rPr>
        <w:footnoteRef/>
      </w:r>
      <w:r>
        <w:t xml:space="preserve"> Dockets UE-072300</w:t>
      </w:r>
      <w:r w:rsidR="00FF2489">
        <w:t>/</w:t>
      </w:r>
      <w:r>
        <w:t>UG-072301 (</w:t>
      </w:r>
      <w:r w:rsidR="00FF2489">
        <w:t>c</w:t>
      </w:r>
      <w:r>
        <w:t>onsolidated), Order 12, page 31.</w:t>
      </w:r>
    </w:p>
  </w:footnote>
  <w:footnote w:id="149">
    <w:p w:rsidR="009B7D3A" w:rsidRDefault="009B7D3A" w:rsidP="006106EB">
      <w:pPr>
        <w:pStyle w:val="FootnoteText"/>
        <w:spacing w:before="0" w:line="240" w:lineRule="auto"/>
      </w:pPr>
      <w:r>
        <w:rPr>
          <w:rStyle w:val="FootnoteReference"/>
        </w:rPr>
        <w:footnoteRef/>
      </w:r>
      <w:r>
        <w:t xml:space="preserve"> Dockets UE-111048</w:t>
      </w:r>
      <w:r w:rsidR="00FF2489">
        <w:t>/</w:t>
      </w:r>
      <w:r>
        <w:t>UG-111049 (</w:t>
      </w:r>
      <w:r w:rsidR="00FF2489">
        <w:t>c</w:t>
      </w:r>
      <w:r>
        <w:t xml:space="preserve">onsolidated), Order 08, </w:t>
      </w:r>
      <w:r w:rsidR="00BC6037">
        <w:t>at</w:t>
      </w:r>
      <w:r>
        <w:t xml:space="preserve"> ¶ 474. </w:t>
      </w:r>
    </w:p>
  </w:footnote>
  <w:footnote w:id="150">
    <w:p w:rsidR="009B7D3A" w:rsidRDefault="009B7D3A" w:rsidP="006106EB">
      <w:pPr>
        <w:pStyle w:val="FootnoteText"/>
        <w:spacing w:before="0" w:line="240" w:lineRule="auto"/>
      </w:pPr>
      <w:r>
        <w:rPr>
          <w:rStyle w:val="FootnoteReference"/>
        </w:rPr>
        <w:footnoteRef/>
      </w:r>
      <w:r>
        <w:t xml:space="preserve"> Docket UG-170855, Exh. MPP-1T at 10:10-14 and Exh. MCR-3 at 4:22-5:14.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D3A" w:rsidRDefault="009B7D3A">
    <w:pPr>
      <w:pStyle w:val="Header"/>
    </w:pPr>
    <w:r>
      <w:rPr>
        <w:noProof/>
        <w:lang w:eastAsia="en-US"/>
      </w:rPr>
      <mc:AlternateContent>
        <mc:Choice Requires="wps">
          <w:drawing>
            <wp:anchor distT="0" distB="0" distL="114300" distR="114300" simplePos="0" relativeHeight="251660288" behindDoc="0" locked="0" layoutInCell="0" allowOverlap="1" wp14:anchorId="03C25F51" wp14:editId="52CF4ED0">
              <wp:simplePos x="0" y="0"/>
              <wp:positionH relativeFrom="column">
                <wp:posOffset>-177165</wp:posOffset>
              </wp:positionH>
              <wp:positionV relativeFrom="paragraph">
                <wp:posOffset>2540</wp:posOffset>
              </wp:positionV>
              <wp:extent cx="0" cy="9258300"/>
              <wp:effectExtent l="22860" t="21590" r="24765" b="260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BN3eQaAgAANAQAAA4AAAAAAAAAAAAAAAAALgIAAGRycy9lMm9Eb2MueG1sUEsBAi0AFAAG&#10;AAgAAAAhAKivqaTcAAAACQEAAA8AAAAAAAAAAAAAAAAAdAQAAGRycy9kb3ducmV2LnhtbFBLBQYA&#10;AAAABAAEAPMAAAB9BQAAAAA=&#10;" o:allowincell="f" strokeweight="3pt">
              <v:stroke linestyle="thin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D3A" w:rsidRDefault="009B7D3A">
    <w:pPr>
      <w:pStyle w:val="Header"/>
    </w:pPr>
    <w:r>
      <w:rPr>
        <w:noProof/>
        <w:lang w:eastAsia="en-US"/>
      </w:rPr>
      <mc:AlternateContent>
        <mc:Choice Requires="wps">
          <w:drawing>
            <wp:anchor distT="0" distB="0" distL="114300" distR="114300" simplePos="0" relativeHeight="251662336" behindDoc="0" locked="0" layoutInCell="1" allowOverlap="1" wp14:anchorId="5A636994" wp14:editId="32D63A2B">
              <wp:simplePos x="0" y="0"/>
              <wp:positionH relativeFrom="column">
                <wp:posOffset>-177165</wp:posOffset>
              </wp:positionH>
              <wp:positionV relativeFrom="paragraph">
                <wp:posOffset>-88900</wp:posOffset>
              </wp:positionV>
              <wp:extent cx="0" cy="9258300"/>
              <wp:effectExtent l="22860" t="25400" r="24765" b="222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r5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E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"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EC698"/>
    <w:lvl w:ilvl="0">
      <w:start w:val="1"/>
      <w:numFmt w:val="decimal"/>
      <w:pStyle w:val="ListBullet4"/>
      <w:lvlText w:val="%1."/>
      <w:lvlJc w:val="left"/>
      <w:pPr>
        <w:tabs>
          <w:tab w:val="num" w:pos="1800"/>
        </w:tabs>
        <w:ind w:left="1800" w:hanging="360"/>
      </w:pPr>
      <w:rPr>
        <w:rFonts w:cs="Times New Roman"/>
      </w:rPr>
    </w:lvl>
  </w:abstractNum>
  <w:abstractNum w:abstractNumId="1">
    <w:nsid w:val="FFFFFF7D"/>
    <w:multiLevelType w:val="singleLevel"/>
    <w:tmpl w:val="8ED2B1E4"/>
    <w:lvl w:ilvl="0">
      <w:start w:val="1"/>
      <w:numFmt w:val="decimal"/>
      <w:pStyle w:val="ListBullet3"/>
      <w:lvlText w:val="%1."/>
      <w:lvlJc w:val="left"/>
      <w:pPr>
        <w:tabs>
          <w:tab w:val="num" w:pos="1440"/>
        </w:tabs>
        <w:ind w:left="1440" w:hanging="360"/>
      </w:pPr>
      <w:rPr>
        <w:rFonts w:cs="Times New Roman"/>
      </w:rPr>
    </w:lvl>
  </w:abstractNum>
  <w:abstractNum w:abstractNumId="2">
    <w:nsid w:val="FFFFFF7E"/>
    <w:multiLevelType w:val="singleLevel"/>
    <w:tmpl w:val="7AC0AB1A"/>
    <w:lvl w:ilvl="0">
      <w:start w:val="1"/>
      <w:numFmt w:val="decimal"/>
      <w:pStyle w:val="ListBullet2"/>
      <w:lvlText w:val="%1."/>
      <w:lvlJc w:val="left"/>
      <w:pPr>
        <w:tabs>
          <w:tab w:val="num" w:pos="1080"/>
        </w:tabs>
        <w:ind w:left="1080" w:hanging="360"/>
      </w:pPr>
      <w:rPr>
        <w:rFonts w:cs="Times New Roman"/>
      </w:rPr>
    </w:lvl>
  </w:abstractNum>
  <w:abstractNum w:abstractNumId="3">
    <w:nsid w:val="FFFFFF7F"/>
    <w:multiLevelType w:val="singleLevel"/>
    <w:tmpl w:val="D60C1BBA"/>
    <w:lvl w:ilvl="0">
      <w:start w:val="1"/>
      <w:numFmt w:val="decimal"/>
      <w:pStyle w:val="ListBullet"/>
      <w:lvlText w:val="%1."/>
      <w:lvlJc w:val="left"/>
      <w:pPr>
        <w:tabs>
          <w:tab w:val="num" w:pos="720"/>
        </w:tabs>
        <w:ind w:left="720" w:hanging="360"/>
      </w:pPr>
      <w:rPr>
        <w:rFonts w:cs="Times New Roman"/>
      </w:rPr>
    </w:lvl>
  </w:abstractNum>
  <w:abstractNum w:abstractNumId="4">
    <w:nsid w:val="FFFFFF80"/>
    <w:multiLevelType w:val="singleLevel"/>
    <w:tmpl w:val="7FA0C4FE"/>
    <w:lvl w:ilvl="0">
      <w:start w:val="1"/>
      <w:numFmt w:val="bullet"/>
      <w:pStyle w:val="ListNumber4"/>
      <w:lvlText w:val=""/>
      <w:lvlJc w:val="left"/>
      <w:pPr>
        <w:tabs>
          <w:tab w:val="num" w:pos="1800"/>
        </w:tabs>
        <w:ind w:left="1800" w:hanging="360"/>
      </w:pPr>
      <w:rPr>
        <w:rFonts w:ascii="Symbol" w:hAnsi="Symbol" w:hint="default"/>
      </w:rPr>
    </w:lvl>
  </w:abstractNum>
  <w:abstractNum w:abstractNumId="5">
    <w:nsid w:val="FFFFFF81"/>
    <w:multiLevelType w:val="singleLevel"/>
    <w:tmpl w:val="5A98D924"/>
    <w:lvl w:ilvl="0">
      <w:start w:val="1"/>
      <w:numFmt w:val="bullet"/>
      <w:pStyle w:val="ListNumber3"/>
      <w:lvlText w:val=""/>
      <w:lvlJc w:val="left"/>
      <w:pPr>
        <w:tabs>
          <w:tab w:val="num" w:pos="1440"/>
        </w:tabs>
        <w:ind w:left="1440" w:hanging="360"/>
      </w:pPr>
      <w:rPr>
        <w:rFonts w:ascii="Symbol" w:hAnsi="Symbol" w:hint="default"/>
      </w:rPr>
    </w:lvl>
  </w:abstractNum>
  <w:abstractNum w:abstractNumId="6">
    <w:nsid w:val="FFFFFF82"/>
    <w:multiLevelType w:val="singleLevel"/>
    <w:tmpl w:val="C4BCDFC6"/>
    <w:lvl w:ilvl="0">
      <w:start w:val="1"/>
      <w:numFmt w:val="bullet"/>
      <w:pStyle w:val="ListNumber2"/>
      <w:lvlText w:val=""/>
      <w:lvlJc w:val="left"/>
      <w:pPr>
        <w:tabs>
          <w:tab w:val="num" w:pos="1080"/>
        </w:tabs>
        <w:ind w:left="1080" w:hanging="360"/>
      </w:pPr>
      <w:rPr>
        <w:rFonts w:ascii="Symbol" w:hAnsi="Symbol" w:hint="default"/>
      </w:rPr>
    </w:lvl>
  </w:abstractNum>
  <w:abstractNum w:abstractNumId="7">
    <w:nsid w:val="FFFFFF83"/>
    <w:multiLevelType w:val="singleLevel"/>
    <w:tmpl w:val="8A66CF3C"/>
    <w:lvl w:ilvl="0">
      <w:start w:val="1"/>
      <w:numFmt w:val="bullet"/>
      <w:pStyle w:val="ListNumber"/>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pStyle w:val="ListNumber5"/>
      <w:lvlText w:val="%1."/>
      <w:lvlJc w:val="left"/>
      <w:pPr>
        <w:tabs>
          <w:tab w:val="num" w:pos="360"/>
        </w:tabs>
        <w:ind w:left="360" w:hanging="360"/>
      </w:pPr>
      <w:rPr>
        <w:rFonts w:cs="Times New Roman"/>
      </w:rPr>
    </w:lvl>
  </w:abstractNum>
  <w:abstractNum w:abstractNumId="9">
    <w:nsid w:val="FFFFFF89"/>
    <w:multiLevelType w:val="singleLevel"/>
    <w:tmpl w:val="6DE42616"/>
    <w:lvl w:ilvl="0">
      <w:start w:val="1"/>
      <w:numFmt w:val="bullet"/>
      <w:pStyle w:val="ListBullet5"/>
      <w:lvlText w:val=""/>
      <w:lvlJc w:val="left"/>
      <w:pPr>
        <w:tabs>
          <w:tab w:val="num" w:pos="360"/>
        </w:tabs>
        <w:ind w:left="360" w:hanging="360"/>
      </w:pPr>
      <w:rPr>
        <w:rFonts w:ascii="Symbol" w:hAnsi="Symbol" w:hint="default"/>
      </w:rPr>
    </w:lvl>
  </w:abstractNum>
  <w:abstractNum w:abstractNumId="10">
    <w:nsid w:val="05757C0E"/>
    <w:multiLevelType w:val="hybridMultilevel"/>
    <w:tmpl w:val="0602FDFC"/>
    <w:lvl w:ilvl="0" w:tplc="053C33C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06D25BB8"/>
    <w:multiLevelType w:val="multilevel"/>
    <w:tmpl w:val="7578E004"/>
    <w:lvl w:ilvl="0">
      <w:start w:val="1"/>
      <w:numFmt w:val="decimal"/>
      <w:pStyle w:val="Numbr10S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2">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3">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14">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3935544C"/>
    <w:multiLevelType w:val="hybridMultilevel"/>
    <w:tmpl w:val="8D1E5814"/>
    <w:name w:val="HeadingStyles||Heading|3|3|0|1|0|33||mpNA||mpNA||mpNA||mpNA||mpNA||mpNA||mpNA||mpNA||"/>
    <w:lvl w:ilvl="0" w:tplc="618817A2">
      <w:start w:val="1"/>
      <w:numFmt w:val="upperRoman"/>
      <w:pStyle w:val="Heading1"/>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9AB15DD"/>
    <w:multiLevelType w:val="hybridMultilevel"/>
    <w:tmpl w:val="E61C5F84"/>
    <w:lvl w:ilvl="0" w:tplc="031CA65A">
      <w:start w:val="1"/>
      <w:numFmt w:val="upperLetter"/>
      <w:pStyle w:val="Heading2"/>
      <w:lvlText w:val="%1."/>
      <w:lvlJc w:val="left"/>
      <w:pPr>
        <w:ind w:left="1440" w:hanging="360"/>
      </w:pPr>
      <w:rPr>
        <w:rFonts w:ascii="Times New Roman Bold" w:hAnsi="Times New Roman Bold" w:hint="default"/>
        <w:b/>
        <w:bCs/>
        <w:color w:val="1F497D"/>
        <w:sz w:val="22"/>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C1F3C25"/>
    <w:multiLevelType w:val="multilevel"/>
    <w:tmpl w:val="BE66CFB6"/>
    <w:name w:val="zzmpPleadings||Pleadings|2|1|1|1|10|33||1|12|37||1|12|37||1|12|33||1|12|33||1|12|33||1|12|33||1|12|33||1|12|33||"/>
    <w:lvl w:ilvl="0">
      <w:start w:val="1"/>
      <w:numFmt w:val="upperRoman"/>
      <w:pStyle w:val="PleadingsL1"/>
      <w:lvlText w:val="%1."/>
      <w:lvlJc w:val="left"/>
      <w:pPr>
        <w:tabs>
          <w:tab w:val="num" w:pos="720"/>
        </w:tabs>
        <w:ind w:left="720" w:firstLine="0"/>
      </w:pPr>
      <w:rPr>
        <w:b/>
        <w:i w:val="0"/>
        <w:caps w:val="0"/>
        <w:u w:val="none"/>
      </w:rPr>
    </w:lvl>
    <w:lvl w:ilvl="1">
      <w:start w:val="1"/>
      <w:numFmt w:val="upperLetter"/>
      <w:pStyle w:val="PleadingsL2"/>
      <w:lvlText w:val="%2."/>
      <w:lvlJc w:val="left"/>
      <w:pPr>
        <w:tabs>
          <w:tab w:val="num" w:pos="720"/>
        </w:tabs>
        <w:ind w:left="720" w:hanging="720"/>
      </w:pPr>
      <w:rPr>
        <w:b/>
        <w:i w:val="0"/>
        <w:caps w:val="0"/>
        <w:u w:val="none"/>
      </w:rPr>
    </w:lvl>
    <w:lvl w:ilvl="2">
      <w:start w:val="1"/>
      <w:numFmt w:val="decimal"/>
      <w:pStyle w:val="PleadingsL3"/>
      <w:lvlText w:val="%3."/>
      <w:lvlJc w:val="left"/>
      <w:pPr>
        <w:tabs>
          <w:tab w:val="num" w:pos="1440"/>
        </w:tabs>
        <w:ind w:left="1440" w:hanging="720"/>
      </w:pPr>
      <w:rPr>
        <w:b/>
        <w:i w:val="0"/>
        <w:caps w:val="0"/>
        <w:u w:val="none"/>
      </w:rPr>
    </w:lvl>
    <w:lvl w:ilvl="3">
      <w:start w:val="1"/>
      <w:numFmt w:val="lowerLetter"/>
      <w:pStyle w:val="PleadingsL4"/>
      <w:lvlText w:val="%4."/>
      <w:lvlJc w:val="left"/>
      <w:pPr>
        <w:tabs>
          <w:tab w:val="num" w:pos="2160"/>
        </w:tabs>
        <w:ind w:left="2160" w:hanging="720"/>
      </w:pPr>
      <w:rPr>
        <w:b/>
        <w:i w:val="0"/>
        <w:caps w:val="0"/>
        <w:u w:val="none"/>
      </w:rPr>
    </w:lvl>
    <w:lvl w:ilvl="4">
      <w:start w:val="1"/>
      <w:numFmt w:val="lowerRoman"/>
      <w:pStyle w:val="PleadingsL5"/>
      <w:lvlText w:val="(%5)"/>
      <w:lvlJc w:val="left"/>
      <w:pPr>
        <w:tabs>
          <w:tab w:val="num" w:pos="2880"/>
        </w:tabs>
        <w:ind w:left="2880" w:hanging="720"/>
      </w:pPr>
      <w:rPr>
        <w:b/>
        <w:i w:val="0"/>
        <w:caps w:val="0"/>
        <w:u w:val="none"/>
      </w:rPr>
    </w:lvl>
    <w:lvl w:ilvl="5">
      <w:start w:val="1"/>
      <w:numFmt w:val="lowerLetter"/>
      <w:pStyle w:val="PleadingsL6"/>
      <w:lvlText w:val="(%6)"/>
      <w:lvlJc w:val="left"/>
      <w:pPr>
        <w:tabs>
          <w:tab w:val="num" w:pos="3600"/>
        </w:tabs>
        <w:ind w:left="3600" w:hanging="720"/>
      </w:pPr>
      <w:rPr>
        <w:b/>
        <w:i w:val="0"/>
        <w:caps w:val="0"/>
        <w:u w:val="none"/>
      </w:rPr>
    </w:lvl>
    <w:lvl w:ilvl="6">
      <w:start w:val="1"/>
      <w:numFmt w:val="lowerRoman"/>
      <w:pStyle w:val="PleadingsL7"/>
      <w:lvlText w:val="%7."/>
      <w:lvlJc w:val="left"/>
      <w:pPr>
        <w:tabs>
          <w:tab w:val="num" w:pos="4320"/>
        </w:tabs>
        <w:ind w:left="4320" w:hanging="720"/>
      </w:pPr>
      <w:rPr>
        <w:b/>
        <w:i w:val="0"/>
        <w:caps w:val="0"/>
        <w:u w:val="none"/>
      </w:rPr>
    </w:lvl>
    <w:lvl w:ilvl="7">
      <w:start w:val="1"/>
      <w:numFmt w:val="lowerLetter"/>
      <w:pStyle w:val="PleadingsL8"/>
      <w:lvlText w:val="%8)"/>
      <w:lvlJc w:val="left"/>
      <w:pPr>
        <w:tabs>
          <w:tab w:val="num" w:pos="5040"/>
        </w:tabs>
        <w:ind w:left="5040" w:hanging="720"/>
      </w:pPr>
      <w:rPr>
        <w:b/>
        <w:i w:val="0"/>
        <w:caps w:val="0"/>
        <w:u w:val="none"/>
      </w:rPr>
    </w:lvl>
    <w:lvl w:ilvl="8">
      <w:start w:val="1"/>
      <w:numFmt w:val="lowerRoman"/>
      <w:pStyle w:val="PleadingsL9"/>
      <w:lvlText w:val="%9)"/>
      <w:lvlJc w:val="left"/>
      <w:pPr>
        <w:tabs>
          <w:tab w:val="num" w:pos="5760"/>
        </w:tabs>
        <w:ind w:left="5760" w:hanging="720"/>
      </w:pPr>
      <w:rPr>
        <w:b/>
        <w:i w:val="0"/>
        <w:caps w:val="0"/>
        <w:u w:val="none"/>
      </w:rPr>
    </w:lvl>
  </w:abstractNum>
  <w:abstractNum w:abstractNumId="18">
    <w:nsid w:val="41BA49BD"/>
    <w:multiLevelType w:val="multilevel"/>
    <w:tmpl w:val="4516A8CE"/>
    <w:lvl w:ilvl="0">
      <w:start w:val="1"/>
      <w:numFmt w:val="decimal"/>
      <w:pStyle w:val="Numbr10D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1%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9">
    <w:nsid w:val="47CC27AC"/>
    <w:multiLevelType w:val="hybridMultilevel"/>
    <w:tmpl w:val="A4DE8152"/>
    <w:lvl w:ilvl="0" w:tplc="D4CC323C">
      <w:start w:val="1"/>
      <w:numFmt w:val="decimal"/>
      <w:pStyle w:val="Heading3"/>
      <w:lvlText w:val="%1."/>
      <w:lvlJc w:val="left"/>
      <w:pPr>
        <w:ind w:left="1080" w:hanging="360"/>
      </w:pPr>
      <w:rPr>
        <w:rFonts w:ascii="Times New Roman Bold" w:hAnsi="Times New Roman Bold" w:hint="default"/>
        <w:b/>
        <w:i w:val="0"/>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21">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2">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23">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24">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25">
    <w:nsid w:val="67C42705"/>
    <w:multiLevelType w:val="multilevel"/>
    <w:tmpl w:val="AF422406"/>
    <w:lvl w:ilvl="0">
      <w:start w:val="1"/>
      <w:numFmt w:val="decimal"/>
      <w:pStyle w:val="Numbr1-9S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6">
    <w:nsid w:val="67FD0F6D"/>
    <w:multiLevelType w:val="multilevel"/>
    <w:tmpl w:val="30FEEC8E"/>
    <w:lvl w:ilvl="0">
      <w:start w:val="1"/>
      <w:numFmt w:val="decimal"/>
      <w:pStyle w:val="Numbr1-9D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27">
    <w:nsid w:val="683F788B"/>
    <w:multiLevelType w:val="hybridMultilevel"/>
    <w:tmpl w:val="C902F9E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29">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11"/>
  </w:num>
  <w:num w:numId="13">
    <w:abstractNumId w:val="26"/>
  </w:num>
  <w:num w:numId="14">
    <w:abstractNumId w:val="18"/>
  </w:num>
  <w:num w:numId="15">
    <w:abstractNumId w:val="23"/>
  </w:num>
  <w:num w:numId="16">
    <w:abstractNumId w:val="24"/>
  </w:num>
  <w:num w:numId="17">
    <w:abstractNumId w:val="28"/>
  </w:num>
  <w:num w:numId="18">
    <w:abstractNumId w:val="20"/>
  </w:num>
  <w:num w:numId="19">
    <w:abstractNumId w:val="29"/>
  </w:num>
  <w:num w:numId="20">
    <w:abstractNumId w:val="21"/>
  </w:num>
  <w:num w:numId="21">
    <w:abstractNumId w:val="22"/>
  </w:num>
  <w:num w:numId="22">
    <w:abstractNumId w:val="13"/>
  </w:num>
  <w:num w:numId="23">
    <w:abstractNumId w:val="12"/>
  </w:num>
  <w:num w:numId="24">
    <w:abstractNumId w:val="14"/>
  </w:num>
  <w:num w:numId="25">
    <w:abstractNumId w:val="27"/>
  </w:num>
  <w:num w:numId="26">
    <w:abstractNumId w:val="10"/>
  </w:num>
  <w:num w:numId="27">
    <w:abstractNumId w:val="15"/>
  </w:num>
  <w:num w:numId="28">
    <w:abstractNumId w:val="16"/>
  </w:num>
  <w:num w:numId="29">
    <w:abstractNumId w:val="19"/>
  </w:num>
  <w:num w:numId="30">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0"/>
    <w:docVar w:name="85TrailerDate" w:val="0"/>
    <w:docVar w:name="85TrailerDateField" w:val="0"/>
    <w:docVar w:name="85TrailerDraft" w:val="0"/>
    <w:docVar w:name="85TrailerLocation" w:val="None/Remove"/>
    <w:docVar w:name="85TrailerTime" w:val="0"/>
    <w:docVar w:name="85TrailerType" w:val="102"/>
    <w:docVar w:name="HeadingStyles" w:val="||Heading|3|3|0|1|0|33||mpNA||mpNA||mpNA||mpNA||mpNA||mpNA||mpNA||mpNA||"/>
    <w:docVar w:name="MPDocID" w:val="136477129.1"/>
    <w:docVar w:name="MPDocIDTemplate" w:val="%c-|%m/|%n|.%v"/>
    <w:docVar w:name="MPDocIDTemplateDefault" w:val="%c-|%m/|%n|.%v"/>
    <w:docVar w:name="NewDocStampType" w:val="1"/>
    <w:docVar w:name="zzmpFixedCurScheme" w:val="Pleadings"/>
    <w:docVar w:name="zzmpFixedCurScheme_9.0" w:val="2zzmpPleadings"/>
    <w:docVar w:name="zzmpnSession" w:val="0.7903711"/>
    <w:docVar w:name="zzmpPleadings" w:val="||Pleadings|2|1|1|1|10|33||1|12|37||1|12|37||1|12|33||1|12|33||1|12|33||1|12|33||1|12|33||1|12|33||"/>
  </w:docVars>
  <w:rsids>
    <w:rsidRoot w:val="00CD1A65"/>
    <w:rsid w:val="0000015C"/>
    <w:rsid w:val="00000A6F"/>
    <w:rsid w:val="000018F4"/>
    <w:rsid w:val="00001F46"/>
    <w:rsid w:val="00002751"/>
    <w:rsid w:val="00002825"/>
    <w:rsid w:val="00003202"/>
    <w:rsid w:val="00003CCA"/>
    <w:rsid w:val="00004D39"/>
    <w:rsid w:val="0000554F"/>
    <w:rsid w:val="00005B21"/>
    <w:rsid w:val="0000723E"/>
    <w:rsid w:val="00007913"/>
    <w:rsid w:val="000101C9"/>
    <w:rsid w:val="0001112F"/>
    <w:rsid w:val="00011134"/>
    <w:rsid w:val="00011365"/>
    <w:rsid w:val="00011F34"/>
    <w:rsid w:val="00012170"/>
    <w:rsid w:val="00012CC9"/>
    <w:rsid w:val="000139D8"/>
    <w:rsid w:val="000166B1"/>
    <w:rsid w:val="00017DB9"/>
    <w:rsid w:val="00020C64"/>
    <w:rsid w:val="00020C6A"/>
    <w:rsid w:val="0002256A"/>
    <w:rsid w:val="0002428B"/>
    <w:rsid w:val="00024ADC"/>
    <w:rsid w:val="000251EE"/>
    <w:rsid w:val="0003005E"/>
    <w:rsid w:val="00031B05"/>
    <w:rsid w:val="00032928"/>
    <w:rsid w:val="00032B65"/>
    <w:rsid w:val="00032BAE"/>
    <w:rsid w:val="00032CE2"/>
    <w:rsid w:val="000334C5"/>
    <w:rsid w:val="0003603B"/>
    <w:rsid w:val="0003636C"/>
    <w:rsid w:val="000373BB"/>
    <w:rsid w:val="000374F8"/>
    <w:rsid w:val="00037CE8"/>
    <w:rsid w:val="00040032"/>
    <w:rsid w:val="00040E73"/>
    <w:rsid w:val="00041701"/>
    <w:rsid w:val="000425A2"/>
    <w:rsid w:val="00043BF2"/>
    <w:rsid w:val="000444CD"/>
    <w:rsid w:val="00044F9A"/>
    <w:rsid w:val="000452D4"/>
    <w:rsid w:val="000456B9"/>
    <w:rsid w:val="000458B0"/>
    <w:rsid w:val="000460D8"/>
    <w:rsid w:val="0004727F"/>
    <w:rsid w:val="00047F15"/>
    <w:rsid w:val="0005073B"/>
    <w:rsid w:val="00051008"/>
    <w:rsid w:val="000528F5"/>
    <w:rsid w:val="00052A37"/>
    <w:rsid w:val="00053B7F"/>
    <w:rsid w:val="00054C6A"/>
    <w:rsid w:val="00054CEF"/>
    <w:rsid w:val="00055FFA"/>
    <w:rsid w:val="00057091"/>
    <w:rsid w:val="00057AE7"/>
    <w:rsid w:val="00057C3E"/>
    <w:rsid w:val="00060493"/>
    <w:rsid w:val="00060C88"/>
    <w:rsid w:val="000623F4"/>
    <w:rsid w:val="00063680"/>
    <w:rsid w:val="00064171"/>
    <w:rsid w:val="00064903"/>
    <w:rsid w:val="000659BC"/>
    <w:rsid w:val="000671C3"/>
    <w:rsid w:val="00067771"/>
    <w:rsid w:val="0006778A"/>
    <w:rsid w:val="00070567"/>
    <w:rsid w:val="00070DC0"/>
    <w:rsid w:val="00072512"/>
    <w:rsid w:val="0007268C"/>
    <w:rsid w:val="000726FC"/>
    <w:rsid w:val="0007391C"/>
    <w:rsid w:val="0007591C"/>
    <w:rsid w:val="000769BB"/>
    <w:rsid w:val="00076A47"/>
    <w:rsid w:val="00077BF8"/>
    <w:rsid w:val="00080FC6"/>
    <w:rsid w:val="00082010"/>
    <w:rsid w:val="0008213E"/>
    <w:rsid w:val="00082260"/>
    <w:rsid w:val="00082C18"/>
    <w:rsid w:val="000831B1"/>
    <w:rsid w:val="0008390F"/>
    <w:rsid w:val="00083A53"/>
    <w:rsid w:val="00084DAC"/>
    <w:rsid w:val="0008555B"/>
    <w:rsid w:val="00085C4A"/>
    <w:rsid w:val="00085CC0"/>
    <w:rsid w:val="00085F69"/>
    <w:rsid w:val="000867DE"/>
    <w:rsid w:val="000905D7"/>
    <w:rsid w:val="00091566"/>
    <w:rsid w:val="00091AD2"/>
    <w:rsid w:val="00091AE5"/>
    <w:rsid w:val="00092201"/>
    <w:rsid w:val="00093447"/>
    <w:rsid w:val="00093522"/>
    <w:rsid w:val="00093C4A"/>
    <w:rsid w:val="00095B1C"/>
    <w:rsid w:val="000969E2"/>
    <w:rsid w:val="000A0290"/>
    <w:rsid w:val="000A0F0E"/>
    <w:rsid w:val="000A150F"/>
    <w:rsid w:val="000A2258"/>
    <w:rsid w:val="000A4ADD"/>
    <w:rsid w:val="000A56A7"/>
    <w:rsid w:val="000A7131"/>
    <w:rsid w:val="000A7F6A"/>
    <w:rsid w:val="000B068C"/>
    <w:rsid w:val="000B18E9"/>
    <w:rsid w:val="000B1EA2"/>
    <w:rsid w:val="000B2E25"/>
    <w:rsid w:val="000B38BF"/>
    <w:rsid w:val="000B3FB1"/>
    <w:rsid w:val="000B547D"/>
    <w:rsid w:val="000B6388"/>
    <w:rsid w:val="000B6DD9"/>
    <w:rsid w:val="000C21F0"/>
    <w:rsid w:val="000C480A"/>
    <w:rsid w:val="000C56F0"/>
    <w:rsid w:val="000C5931"/>
    <w:rsid w:val="000C5A2C"/>
    <w:rsid w:val="000C6EA8"/>
    <w:rsid w:val="000C7BD8"/>
    <w:rsid w:val="000D0074"/>
    <w:rsid w:val="000D0F91"/>
    <w:rsid w:val="000D1FB5"/>
    <w:rsid w:val="000D3BF9"/>
    <w:rsid w:val="000D515D"/>
    <w:rsid w:val="000D5B61"/>
    <w:rsid w:val="000D74A2"/>
    <w:rsid w:val="000D7995"/>
    <w:rsid w:val="000D7E04"/>
    <w:rsid w:val="000E2BB4"/>
    <w:rsid w:val="000E2D02"/>
    <w:rsid w:val="000E3483"/>
    <w:rsid w:val="000E348A"/>
    <w:rsid w:val="000E35AC"/>
    <w:rsid w:val="000E3BF1"/>
    <w:rsid w:val="000E3FD4"/>
    <w:rsid w:val="000E4043"/>
    <w:rsid w:val="000E507F"/>
    <w:rsid w:val="000E50F0"/>
    <w:rsid w:val="000E5955"/>
    <w:rsid w:val="000E67F4"/>
    <w:rsid w:val="000E7D46"/>
    <w:rsid w:val="000F041C"/>
    <w:rsid w:val="000F0479"/>
    <w:rsid w:val="000F04B4"/>
    <w:rsid w:val="000F0D40"/>
    <w:rsid w:val="000F23B3"/>
    <w:rsid w:val="000F31BD"/>
    <w:rsid w:val="000F4005"/>
    <w:rsid w:val="000F490A"/>
    <w:rsid w:val="000F4F11"/>
    <w:rsid w:val="000F53C0"/>
    <w:rsid w:val="000F6EF9"/>
    <w:rsid w:val="000F762C"/>
    <w:rsid w:val="000F7DE8"/>
    <w:rsid w:val="00100417"/>
    <w:rsid w:val="001010E0"/>
    <w:rsid w:val="001023BE"/>
    <w:rsid w:val="0010268D"/>
    <w:rsid w:val="00102CE2"/>
    <w:rsid w:val="00102D02"/>
    <w:rsid w:val="001045A8"/>
    <w:rsid w:val="0010573F"/>
    <w:rsid w:val="0010641D"/>
    <w:rsid w:val="001066A2"/>
    <w:rsid w:val="0010724B"/>
    <w:rsid w:val="00110894"/>
    <w:rsid w:val="001115BE"/>
    <w:rsid w:val="00113420"/>
    <w:rsid w:val="0011347D"/>
    <w:rsid w:val="00113B9D"/>
    <w:rsid w:val="00113E20"/>
    <w:rsid w:val="00114B5C"/>
    <w:rsid w:val="00115F53"/>
    <w:rsid w:val="00116CF5"/>
    <w:rsid w:val="00117965"/>
    <w:rsid w:val="00117E9F"/>
    <w:rsid w:val="0012055A"/>
    <w:rsid w:val="001222A4"/>
    <w:rsid w:val="001227D6"/>
    <w:rsid w:val="00123096"/>
    <w:rsid w:val="001235E4"/>
    <w:rsid w:val="001248E8"/>
    <w:rsid w:val="00125292"/>
    <w:rsid w:val="00125DD4"/>
    <w:rsid w:val="00126228"/>
    <w:rsid w:val="00127342"/>
    <w:rsid w:val="00127A1F"/>
    <w:rsid w:val="00130888"/>
    <w:rsid w:val="001310AA"/>
    <w:rsid w:val="001314A8"/>
    <w:rsid w:val="0013195B"/>
    <w:rsid w:val="00132447"/>
    <w:rsid w:val="00132C94"/>
    <w:rsid w:val="0013586D"/>
    <w:rsid w:val="0013679C"/>
    <w:rsid w:val="00137615"/>
    <w:rsid w:val="00140EC8"/>
    <w:rsid w:val="00141044"/>
    <w:rsid w:val="001417A7"/>
    <w:rsid w:val="00141820"/>
    <w:rsid w:val="00141A46"/>
    <w:rsid w:val="00142455"/>
    <w:rsid w:val="00142532"/>
    <w:rsid w:val="00142781"/>
    <w:rsid w:val="001433AA"/>
    <w:rsid w:val="00143E87"/>
    <w:rsid w:val="00146490"/>
    <w:rsid w:val="00146EDB"/>
    <w:rsid w:val="0014708D"/>
    <w:rsid w:val="001479BB"/>
    <w:rsid w:val="00150187"/>
    <w:rsid w:val="001507AA"/>
    <w:rsid w:val="00150B43"/>
    <w:rsid w:val="00151400"/>
    <w:rsid w:val="00151E68"/>
    <w:rsid w:val="001526D0"/>
    <w:rsid w:val="001527E4"/>
    <w:rsid w:val="001530C6"/>
    <w:rsid w:val="001533D3"/>
    <w:rsid w:val="00153529"/>
    <w:rsid w:val="00155A5E"/>
    <w:rsid w:val="00155ABF"/>
    <w:rsid w:val="00155EA4"/>
    <w:rsid w:val="001561A8"/>
    <w:rsid w:val="001578FF"/>
    <w:rsid w:val="001603DB"/>
    <w:rsid w:val="0016182B"/>
    <w:rsid w:val="00161845"/>
    <w:rsid w:val="00163F6E"/>
    <w:rsid w:val="0016430B"/>
    <w:rsid w:val="00165B21"/>
    <w:rsid w:val="001664B2"/>
    <w:rsid w:val="00166CB0"/>
    <w:rsid w:val="00166FE8"/>
    <w:rsid w:val="00167766"/>
    <w:rsid w:val="0016795C"/>
    <w:rsid w:val="00170A15"/>
    <w:rsid w:val="00171539"/>
    <w:rsid w:val="00172914"/>
    <w:rsid w:val="00173AA8"/>
    <w:rsid w:val="001744D8"/>
    <w:rsid w:val="0017489F"/>
    <w:rsid w:val="00174936"/>
    <w:rsid w:val="00174A67"/>
    <w:rsid w:val="00175079"/>
    <w:rsid w:val="00175DDE"/>
    <w:rsid w:val="00175E3E"/>
    <w:rsid w:val="00176501"/>
    <w:rsid w:val="00177B8E"/>
    <w:rsid w:val="0018016B"/>
    <w:rsid w:val="00180C05"/>
    <w:rsid w:val="00180E45"/>
    <w:rsid w:val="001812AB"/>
    <w:rsid w:val="001812C0"/>
    <w:rsid w:val="001817F0"/>
    <w:rsid w:val="00181A1F"/>
    <w:rsid w:val="00182226"/>
    <w:rsid w:val="001823F3"/>
    <w:rsid w:val="00182C81"/>
    <w:rsid w:val="00183093"/>
    <w:rsid w:val="00183CF1"/>
    <w:rsid w:val="00184D5A"/>
    <w:rsid w:val="00185C17"/>
    <w:rsid w:val="00185C49"/>
    <w:rsid w:val="00185D01"/>
    <w:rsid w:val="001919C4"/>
    <w:rsid w:val="00192832"/>
    <w:rsid w:val="00192868"/>
    <w:rsid w:val="00192D72"/>
    <w:rsid w:val="001936DE"/>
    <w:rsid w:val="0019618A"/>
    <w:rsid w:val="0019637E"/>
    <w:rsid w:val="00196CB7"/>
    <w:rsid w:val="00196FCA"/>
    <w:rsid w:val="00197652"/>
    <w:rsid w:val="00197984"/>
    <w:rsid w:val="001A112C"/>
    <w:rsid w:val="001A1529"/>
    <w:rsid w:val="001A2510"/>
    <w:rsid w:val="001A2DBE"/>
    <w:rsid w:val="001A4255"/>
    <w:rsid w:val="001A4458"/>
    <w:rsid w:val="001A4A08"/>
    <w:rsid w:val="001A4DED"/>
    <w:rsid w:val="001A5911"/>
    <w:rsid w:val="001A66B6"/>
    <w:rsid w:val="001A7397"/>
    <w:rsid w:val="001B05DD"/>
    <w:rsid w:val="001B0F21"/>
    <w:rsid w:val="001B163F"/>
    <w:rsid w:val="001B2293"/>
    <w:rsid w:val="001B4051"/>
    <w:rsid w:val="001B4343"/>
    <w:rsid w:val="001B57ED"/>
    <w:rsid w:val="001B61DF"/>
    <w:rsid w:val="001B6CCE"/>
    <w:rsid w:val="001B7283"/>
    <w:rsid w:val="001B79DB"/>
    <w:rsid w:val="001C097C"/>
    <w:rsid w:val="001C1757"/>
    <w:rsid w:val="001C1EAE"/>
    <w:rsid w:val="001C2894"/>
    <w:rsid w:val="001C5CAF"/>
    <w:rsid w:val="001C7603"/>
    <w:rsid w:val="001C7CBE"/>
    <w:rsid w:val="001D05A4"/>
    <w:rsid w:val="001D0F46"/>
    <w:rsid w:val="001D186B"/>
    <w:rsid w:val="001D1D31"/>
    <w:rsid w:val="001D2261"/>
    <w:rsid w:val="001D2653"/>
    <w:rsid w:val="001D2B74"/>
    <w:rsid w:val="001D3062"/>
    <w:rsid w:val="001D3065"/>
    <w:rsid w:val="001D3131"/>
    <w:rsid w:val="001D3E58"/>
    <w:rsid w:val="001D524F"/>
    <w:rsid w:val="001D63E9"/>
    <w:rsid w:val="001D684E"/>
    <w:rsid w:val="001D68A6"/>
    <w:rsid w:val="001D77B6"/>
    <w:rsid w:val="001D7C48"/>
    <w:rsid w:val="001E0816"/>
    <w:rsid w:val="001E13D8"/>
    <w:rsid w:val="001E2231"/>
    <w:rsid w:val="001E2391"/>
    <w:rsid w:val="001E3020"/>
    <w:rsid w:val="001E347C"/>
    <w:rsid w:val="001E35A7"/>
    <w:rsid w:val="001E513B"/>
    <w:rsid w:val="001E60E6"/>
    <w:rsid w:val="001E694B"/>
    <w:rsid w:val="001E6B0B"/>
    <w:rsid w:val="001E6D45"/>
    <w:rsid w:val="001F00F8"/>
    <w:rsid w:val="001F0B61"/>
    <w:rsid w:val="001F0E2A"/>
    <w:rsid w:val="001F12EA"/>
    <w:rsid w:val="001F1AB5"/>
    <w:rsid w:val="001F283C"/>
    <w:rsid w:val="001F313C"/>
    <w:rsid w:val="001F4571"/>
    <w:rsid w:val="001F63B7"/>
    <w:rsid w:val="001F79B6"/>
    <w:rsid w:val="00201995"/>
    <w:rsid w:val="00202C2B"/>
    <w:rsid w:val="0020317D"/>
    <w:rsid w:val="00203289"/>
    <w:rsid w:val="00204631"/>
    <w:rsid w:val="00204D0F"/>
    <w:rsid w:val="00206603"/>
    <w:rsid w:val="00206F0F"/>
    <w:rsid w:val="00210AF9"/>
    <w:rsid w:val="00210FD3"/>
    <w:rsid w:val="002111FC"/>
    <w:rsid w:val="0021264C"/>
    <w:rsid w:val="00215C22"/>
    <w:rsid w:val="002176C8"/>
    <w:rsid w:val="00217738"/>
    <w:rsid w:val="00217773"/>
    <w:rsid w:val="002200C5"/>
    <w:rsid w:val="00220BA5"/>
    <w:rsid w:val="0022127D"/>
    <w:rsid w:val="00221CB5"/>
    <w:rsid w:val="002225DC"/>
    <w:rsid w:val="00222C36"/>
    <w:rsid w:val="0022312D"/>
    <w:rsid w:val="00223FE7"/>
    <w:rsid w:val="00224D4C"/>
    <w:rsid w:val="0022574D"/>
    <w:rsid w:val="00225A16"/>
    <w:rsid w:val="002272F9"/>
    <w:rsid w:val="00227B90"/>
    <w:rsid w:val="00232693"/>
    <w:rsid w:val="00235E91"/>
    <w:rsid w:val="002366CD"/>
    <w:rsid w:val="002370A7"/>
    <w:rsid w:val="00237BC7"/>
    <w:rsid w:val="00237DAF"/>
    <w:rsid w:val="0024042B"/>
    <w:rsid w:val="00240D91"/>
    <w:rsid w:val="002416BD"/>
    <w:rsid w:val="0024173A"/>
    <w:rsid w:val="002423F8"/>
    <w:rsid w:val="00242803"/>
    <w:rsid w:val="00242F00"/>
    <w:rsid w:val="002439A7"/>
    <w:rsid w:val="00243C0C"/>
    <w:rsid w:val="00243D81"/>
    <w:rsid w:val="0024414E"/>
    <w:rsid w:val="002459D9"/>
    <w:rsid w:val="002503F1"/>
    <w:rsid w:val="00250A52"/>
    <w:rsid w:val="002514AA"/>
    <w:rsid w:val="00251DA7"/>
    <w:rsid w:val="0025348F"/>
    <w:rsid w:val="00253A60"/>
    <w:rsid w:val="00253D38"/>
    <w:rsid w:val="0025416C"/>
    <w:rsid w:val="0025541B"/>
    <w:rsid w:val="002555BD"/>
    <w:rsid w:val="0025596F"/>
    <w:rsid w:val="00255B54"/>
    <w:rsid w:val="00257406"/>
    <w:rsid w:val="00260028"/>
    <w:rsid w:val="0026017D"/>
    <w:rsid w:val="0026033F"/>
    <w:rsid w:val="00260C1E"/>
    <w:rsid w:val="00260FEF"/>
    <w:rsid w:val="00261527"/>
    <w:rsid w:val="00261C58"/>
    <w:rsid w:val="0026246B"/>
    <w:rsid w:val="00262E08"/>
    <w:rsid w:val="002633EA"/>
    <w:rsid w:val="00263954"/>
    <w:rsid w:val="00263957"/>
    <w:rsid w:val="00264A3B"/>
    <w:rsid w:val="00265322"/>
    <w:rsid w:val="00265D55"/>
    <w:rsid w:val="0026646A"/>
    <w:rsid w:val="0026739C"/>
    <w:rsid w:val="0027022C"/>
    <w:rsid w:val="00271076"/>
    <w:rsid w:val="00271C28"/>
    <w:rsid w:val="00272458"/>
    <w:rsid w:val="002727F1"/>
    <w:rsid w:val="002742B5"/>
    <w:rsid w:val="002747B0"/>
    <w:rsid w:val="002758F7"/>
    <w:rsid w:val="002776EB"/>
    <w:rsid w:val="00281869"/>
    <w:rsid w:val="00281FB1"/>
    <w:rsid w:val="00282FFC"/>
    <w:rsid w:val="002835EF"/>
    <w:rsid w:val="00284894"/>
    <w:rsid w:val="00285457"/>
    <w:rsid w:val="00285588"/>
    <w:rsid w:val="00287F1B"/>
    <w:rsid w:val="00290409"/>
    <w:rsid w:val="00290764"/>
    <w:rsid w:val="002909F6"/>
    <w:rsid w:val="00290A9F"/>
    <w:rsid w:val="002917CC"/>
    <w:rsid w:val="00291DF5"/>
    <w:rsid w:val="00292DA1"/>
    <w:rsid w:val="00292FA1"/>
    <w:rsid w:val="002953F7"/>
    <w:rsid w:val="00296A6A"/>
    <w:rsid w:val="00296C41"/>
    <w:rsid w:val="00297CE7"/>
    <w:rsid w:val="002A0971"/>
    <w:rsid w:val="002A0A85"/>
    <w:rsid w:val="002A11DF"/>
    <w:rsid w:val="002A134B"/>
    <w:rsid w:val="002A136E"/>
    <w:rsid w:val="002A192D"/>
    <w:rsid w:val="002A1CC8"/>
    <w:rsid w:val="002A2592"/>
    <w:rsid w:val="002A2B26"/>
    <w:rsid w:val="002A3406"/>
    <w:rsid w:val="002A5324"/>
    <w:rsid w:val="002A6C1E"/>
    <w:rsid w:val="002A728C"/>
    <w:rsid w:val="002B0674"/>
    <w:rsid w:val="002B07E7"/>
    <w:rsid w:val="002B19A0"/>
    <w:rsid w:val="002B1D5B"/>
    <w:rsid w:val="002B34B6"/>
    <w:rsid w:val="002B3F2B"/>
    <w:rsid w:val="002B45F5"/>
    <w:rsid w:val="002B52F3"/>
    <w:rsid w:val="002B6EC5"/>
    <w:rsid w:val="002B7714"/>
    <w:rsid w:val="002C091A"/>
    <w:rsid w:val="002C49C6"/>
    <w:rsid w:val="002C4A47"/>
    <w:rsid w:val="002C68E6"/>
    <w:rsid w:val="002D0C18"/>
    <w:rsid w:val="002D0FA8"/>
    <w:rsid w:val="002D2A12"/>
    <w:rsid w:val="002D33EB"/>
    <w:rsid w:val="002D3501"/>
    <w:rsid w:val="002D3F60"/>
    <w:rsid w:val="002D5599"/>
    <w:rsid w:val="002D673E"/>
    <w:rsid w:val="002D693E"/>
    <w:rsid w:val="002D6F6F"/>
    <w:rsid w:val="002D7216"/>
    <w:rsid w:val="002D7655"/>
    <w:rsid w:val="002D7D60"/>
    <w:rsid w:val="002E0FE0"/>
    <w:rsid w:val="002E1234"/>
    <w:rsid w:val="002E1BB9"/>
    <w:rsid w:val="002E2A62"/>
    <w:rsid w:val="002E41ED"/>
    <w:rsid w:val="002E4423"/>
    <w:rsid w:val="002E44ED"/>
    <w:rsid w:val="002E459E"/>
    <w:rsid w:val="002E5103"/>
    <w:rsid w:val="002E5502"/>
    <w:rsid w:val="002E5518"/>
    <w:rsid w:val="002E6F7D"/>
    <w:rsid w:val="002E7AD2"/>
    <w:rsid w:val="002F0FE8"/>
    <w:rsid w:val="002F19A0"/>
    <w:rsid w:val="002F4BC1"/>
    <w:rsid w:val="002F4CD2"/>
    <w:rsid w:val="002F6E18"/>
    <w:rsid w:val="002F706F"/>
    <w:rsid w:val="002F77A9"/>
    <w:rsid w:val="002F7A4E"/>
    <w:rsid w:val="002F7C7C"/>
    <w:rsid w:val="00300996"/>
    <w:rsid w:val="0030150A"/>
    <w:rsid w:val="00301A6C"/>
    <w:rsid w:val="00302D0C"/>
    <w:rsid w:val="00302E7A"/>
    <w:rsid w:val="003041F5"/>
    <w:rsid w:val="00304BA0"/>
    <w:rsid w:val="0030575E"/>
    <w:rsid w:val="00306F7C"/>
    <w:rsid w:val="0030775B"/>
    <w:rsid w:val="00311821"/>
    <w:rsid w:val="0031329C"/>
    <w:rsid w:val="003150B6"/>
    <w:rsid w:val="00315629"/>
    <w:rsid w:val="00317739"/>
    <w:rsid w:val="00317B03"/>
    <w:rsid w:val="00320F41"/>
    <w:rsid w:val="00321551"/>
    <w:rsid w:val="00322395"/>
    <w:rsid w:val="00322508"/>
    <w:rsid w:val="00322CA7"/>
    <w:rsid w:val="003239D7"/>
    <w:rsid w:val="003244A3"/>
    <w:rsid w:val="003244FC"/>
    <w:rsid w:val="00325B31"/>
    <w:rsid w:val="00325CC4"/>
    <w:rsid w:val="0032685E"/>
    <w:rsid w:val="0032688C"/>
    <w:rsid w:val="00326E7E"/>
    <w:rsid w:val="003303D4"/>
    <w:rsid w:val="00330580"/>
    <w:rsid w:val="00332263"/>
    <w:rsid w:val="0033255F"/>
    <w:rsid w:val="003325A3"/>
    <w:rsid w:val="0033262E"/>
    <w:rsid w:val="00332A3D"/>
    <w:rsid w:val="00332EF1"/>
    <w:rsid w:val="00335F02"/>
    <w:rsid w:val="003360EB"/>
    <w:rsid w:val="0033664C"/>
    <w:rsid w:val="00336842"/>
    <w:rsid w:val="003375D2"/>
    <w:rsid w:val="00340E60"/>
    <w:rsid w:val="0034112B"/>
    <w:rsid w:val="003415CD"/>
    <w:rsid w:val="00341838"/>
    <w:rsid w:val="00342B7D"/>
    <w:rsid w:val="00343462"/>
    <w:rsid w:val="00343E5D"/>
    <w:rsid w:val="00343F89"/>
    <w:rsid w:val="0034534C"/>
    <w:rsid w:val="0034545B"/>
    <w:rsid w:val="003455AF"/>
    <w:rsid w:val="00345DEB"/>
    <w:rsid w:val="003466A5"/>
    <w:rsid w:val="00346B8D"/>
    <w:rsid w:val="00347473"/>
    <w:rsid w:val="0035029A"/>
    <w:rsid w:val="003524AD"/>
    <w:rsid w:val="00355D0F"/>
    <w:rsid w:val="0035666C"/>
    <w:rsid w:val="003567AA"/>
    <w:rsid w:val="00356BAC"/>
    <w:rsid w:val="00361737"/>
    <w:rsid w:val="00363E4F"/>
    <w:rsid w:val="003644BA"/>
    <w:rsid w:val="00365C7B"/>
    <w:rsid w:val="00365D1E"/>
    <w:rsid w:val="00365D6C"/>
    <w:rsid w:val="00365FA4"/>
    <w:rsid w:val="003675FD"/>
    <w:rsid w:val="0036790A"/>
    <w:rsid w:val="00367F8F"/>
    <w:rsid w:val="003709DA"/>
    <w:rsid w:val="003710C2"/>
    <w:rsid w:val="00372422"/>
    <w:rsid w:val="00372F79"/>
    <w:rsid w:val="00373813"/>
    <w:rsid w:val="00373D78"/>
    <w:rsid w:val="0037404C"/>
    <w:rsid w:val="00376EB1"/>
    <w:rsid w:val="00380B7D"/>
    <w:rsid w:val="0038156A"/>
    <w:rsid w:val="0038164D"/>
    <w:rsid w:val="00381F7D"/>
    <w:rsid w:val="00382131"/>
    <w:rsid w:val="00382C51"/>
    <w:rsid w:val="0038469F"/>
    <w:rsid w:val="00384BF4"/>
    <w:rsid w:val="00385174"/>
    <w:rsid w:val="003854E8"/>
    <w:rsid w:val="0038685C"/>
    <w:rsid w:val="0038793E"/>
    <w:rsid w:val="00387E62"/>
    <w:rsid w:val="00390BB7"/>
    <w:rsid w:val="00390F80"/>
    <w:rsid w:val="003911D7"/>
    <w:rsid w:val="003918EE"/>
    <w:rsid w:val="00392E3B"/>
    <w:rsid w:val="0039335C"/>
    <w:rsid w:val="00393553"/>
    <w:rsid w:val="00393930"/>
    <w:rsid w:val="00393BFD"/>
    <w:rsid w:val="003945A0"/>
    <w:rsid w:val="00394906"/>
    <w:rsid w:val="00395B47"/>
    <w:rsid w:val="00395C17"/>
    <w:rsid w:val="00396E44"/>
    <w:rsid w:val="00397235"/>
    <w:rsid w:val="003974DA"/>
    <w:rsid w:val="0039752F"/>
    <w:rsid w:val="00397DF1"/>
    <w:rsid w:val="003A0129"/>
    <w:rsid w:val="003A0200"/>
    <w:rsid w:val="003A1103"/>
    <w:rsid w:val="003A135D"/>
    <w:rsid w:val="003A24F0"/>
    <w:rsid w:val="003A25AC"/>
    <w:rsid w:val="003A2C6B"/>
    <w:rsid w:val="003A2E40"/>
    <w:rsid w:val="003A358A"/>
    <w:rsid w:val="003A37CF"/>
    <w:rsid w:val="003A3FD8"/>
    <w:rsid w:val="003A4E91"/>
    <w:rsid w:val="003A5AA0"/>
    <w:rsid w:val="003A5EB8"/>
    <w:rsid w:val="003A7BA6"/>
    <w:rsid w:val="003B0242"/>
    <w:rsid w:val="003B184A"/>
    <w:rsid w:val="003B1953"/>
    <w:rsid w:val="003B1F80"/>
    <w:rsid w:val="003B2697"/>
    <w:rsid w:val="003B2FBF"/>
    <w:rsid w:val="003B3024"/>
    <w:rsid w:val="003B3679"/>
    <w:rsid w:val="003B48E0"/>
    <w:rsid w:val="003B5280"/>
    <w:rsid w:val="003B54A9"/>
    <w:rsid w:val="003B5556"/>
    <w:rsid w:val="003B6007"/>
    <w:rsid w:val="003B67E4"/>
    <w:rsid w:val="003B6B49"/>
    <w:rsid w:val="003B6F01"/>
    <w:rsid w:val="003B77BD"/>
    <w:rsid w:val="003B7BD3"/>
    <w:rsid w:val="003C09A2"/>
    <w:rsid w:val="003C0EB4"/>
    <w:rsid w:val="003C19A1"/>
    <w:rsid w:val="003C1DBD"/>
    <w:rsid w:val="003C24C0"/>
    <w:rsid w:val="003C2573"/>
    <w:rsid w:val="003C2E90"/>
    <w:rsid w:val="003C37BC"/>
    <w:rsid w:val="003C3870"/>
    <w:rsid w:val="003C3EB4"/>
    <w:rsid w:val="003C4449"/>
    <w:rsid w:val="003C4582"/>
    <w:rsid w:val="003C51B6"/>
    <w:rsid w:val="003C58FE"/>
    <w:rsid w:val="003C64DB"/>
    <w:rsid w:val="003C66B0"/>
    <w:rsid w:val="003C6CFA"/>
    <w:rsid w:val="003D03FF"/>
    <w:rsid w:val="003D094A"/>
    <w:rsid w:val="003D25AE"/>
    <w:rsid w:val="003D2AE7"/>
    <w:rsid w:val="003D2CAA"/>
    <w:rsid w:val="003D3E30"/>
    <w:rsid w:val="003D6487"/>
    <w:rsid w:val="003D6D6C"/>
    <w:rsid w:val="003D721D"/>
    <w:rsid w:val="003D74E1"/>
    <w:rsid w:val="003D78FC"/>
    <w:rsid w:val="003E05B7"/>
    <w:rsid w:val="003E1248"/>
    <w:rsid w:val="003E1CD9"/>
    <w:rsid w:val="003E418E"/>
    <w:rsid w:val="003E43FB"/>
    <w:rsid w:val="003E5299"/>
    <w:rsid w:val="003E605A"/>
    <w:rsid w:val="003F00FB"/>
    <w:rsid w:val="003F0486"/>
    <w:rsid w:val="003F0734"/>
    <w:rsid w:val="003F136D"/>
    <w:rsid w:val="003F15E1"/>
    <w:rsid w:val="003F17F4"/>
    <w:rsid w:val="003F18D0"/>
    <w:rsid w:val="003F1EE5"/>
    <w:rsid w:val="003F2814"/>
    <w:rsid w:val="003F2A81"/>
    <w:rsid w:val="003F2D98"/>
    <w:rsid w:val="003F32CF"/>
    <w:rsid w:val="003F3405"/>
    <w:rsid w:val="003F3A2C"/>
    <w:rsid w:val="003F408E"/>
    <w:rsid w:val="003F415D"/>
    <w:rsid w:val="003F4DB0"/>
    <w:rsid w:val="003F58C7"/>
    <w:rsid w:val="003F601C"/>
    <w:rsid w:val="003F6A19"/>
    <w:rsid w:val="003F6D15"/>
    <w:rsid w:val="003F75BC"/>
    <w:rsid w:val="003F7BA0"/>
    <w:rsid w:val="004005CD"/>
    <w:rsid w:val="00400E04"/>
    <w:rsid w:val="0040113C"/>
    <w:rsid w:val="004011EA"/>
    <w:rsid w:val="00401D31"/>
    <w:rsid w:val="004036B6"/>
    <w:rsid w:val="00404453"/>
    <w:rsid w:val="00404CFE"/>
    <w:rsid w:val="004059EB"/>
    <w:rsid w:val="0040642A"/>
    <w:rsid w:val="0040651F"/>
    <w:rsid w:val="004066D0"/>
    <w:rsid w:val="004067DB"/>
    <w:rsid w:val="00406B72"/>
    <w:rsid w:val="004100FF"/>
    <w:rsid w:val="00410F83"/>
    <w:rsid w:val="00410FB9"/>
    <w:rsid w:val="00411684"/>
    <w:rsid w:val="00411F09"/>
    <w:rsid w:val="004133AD"/>
    <w:rsid w:val="004142F6"/>
    <w:rsid w:val="00414E7C"/>
    <w:rsid w:val="0041507C"/>
    <w:rsid w:val="00416515"/>
    <w:rsid w:val="00417494"/>
    <w:rsid w:val="00420933"/>
    <w:rsid w:val="00421117"/>
    <w:rsid w:val="00421A4E"/>
    <w:rsid w:val="00421D6D"/>
    <w:rsid w:val="0042295A"/>
    <w:rsid w:val="004233D5"/>
    <w:rsid w:val="004233FB"/>
    <w:rsid w:val="0042344B"/>
    <w:rsid w:val="00423A55"/>
    <w:rsid w:val="0042489F"/>
    <w:rsid w:val="004266CA"/>
    <w:rsid w:val="00426D81"/>
    <w:rsid w:val="0042791E"/>
    <w:rsid w:val="004306BC"/>
    <w:rsid w:val="00430BD3"/>
    <w:rsid w:val="00430D30"/>
    <w:rsid w:val="00430D80"/>
    <w:rsid w:val="004319E1"/>
    <w:rsid w:val="0043239C"/>
    <w:rsid w:val="00432B60"/>
    <w:rsid w:val="0043326F"/>
    <w:rsid w:val="0043332D"/>
    <w:rsid w:val="00433619"/>
    <w:rsid w:val="0043396E"/>
    <w:rsid w:val="00433A8A"/>
    <w:rsid w:val="00433CB2"/>
    <w:rsid w:val="00433CD9"/>
    <w:rsid w:val="00434515"/>
    <w:rsid w:val="00434BDA"/>
    <w:rsid w:val="0043516D"/>
    <w:rsid w:val="00435F1B"/>
    <w:rsid w:val="0043611D"/>
    <w:rsid w:val="004363AE"/>
    <w:rsid w:val="00436552"/>
    <w:rsid w:val="00440346"/>
    <w:rsid w:val="0044097A"/>
    <w:rsid w:val="00442BDB"/>
    <w:rsid w:val="00443378"/>
    <w:rsid w:val="00443445"/>
    <w:rsid w:val="004441C3"/>
    <w:rsid w:val="00444244"/>
    <w:rsid w:val="00445291"/>
    <w:rsid w:val="004479B6"/>
    <w:rsid w:val="004520E8"/>
    <w:rsid w:val="0045217A"/>
    <w:rsid w:val="00452684"/>
    <w:rsid w:val="00453426"/>
    <w:rsid w:val="0045400D"/>
    <w:rsid w:val="00454149"/>
    <w:rsid w:val="00454484"/>
    <w:rsid w:val="00455FB0"/>
    <w:rsid w:val="00460F14"/>
    <w:rsid w:val="00461E19"/>
    <w:rsid w:val="004634CD"/>
    <w:rsid w:val="00463EFF"/>
    <w:rsid w:val="00464D88"/>
    <w:rsid w:val="00465629"/>
    <w:rsid w:val="00466E61"/>
    <w:rsid w:val="004674DD"/>
    <w:rsid w:val="0046783D"/>
    <w:rsid w:val="0046788D"/>
    <w:rsid w:val="00467D78"/>
    <w:rsid w:val="004708DE"/>
    <w:rsid w:val="004709B1"/>
    <w:rsid w:val="00471A0E"/>
    <w:rsid w:val="00472593"/>
    <w:rsid w:val="004726FC"/>
    <w:rsid w:val="00472ED7"/>
    <w:rsid w:val="00473CB4"/>
    <w:rsid w:val="00474F45"/>
    <w:rsid w:val="004758A2"/>
    <w:rsid w:val="00476A1F"/>
    <w:rsid w:val="00480054"/>
    <w:rsid w:val="004804DE"/>
    <w:rsid w:val="004807DC"/>
    <w:rsid w:val="00480BEE"/>
    <w:rsid w:val="00480DFA"/>
    <w:rsid w:val="004818C2"/>
    <w:rsid w:val="0048269E"/>
    <w:rsid w:val="0048295A"/>
    <w:rsid w:val="00482CE9"/>
    <w:rsid w:val="004837B4"/>
    <w:rsid w:val="00483A40"/>
    <w:rsid w:val="004847D0"/>
    <w:rsid w:val="00485871"/>
    <w:rsid w:val="00486844"/>
    <w:rsid w:val="00486F8C"/>
    <w:rsid w:val="00487FDC"/>
    <w:rsid w:val="00490281"/>
    <w:rsid w:val="00491882"/>
    <w:rsid w:val="004941F5"/>
    <w:rsid w:val="004949C9"/>
    <w:rsid w:val="00494CF7"/>
    <w:rsid w:val="004970A2"/>
    <w:rsid w:val="0049768D"/>
    <w:rsid w:val="00497C3C"/>
    <w:rsid w:val="004A1256"/>
    <w:rsid w:val="004A1BA4"/>
    <w:rsid w:val="004A1F3B"/>
    <w:rsid w:val="004A36C8"/>
    <w:rsid w:val="004A390A"/>
    <w:rsid w:val="004A4D0C"/>
    <w:rsid w:val="004A636A"/>
    <w:rsid w:val="004A694E"/>
    <w:rsid w:val="004A75AA"/>
    <w:rsid w:val="004A75FA"/>
    <w:rsid w:val="004A78E3"/>
    <w:rsid w:val="004B0A53"/>
    <w:rsid w:val="004B1E8B"/>
    <w:rsid w:val="004B3487"/>
    <w:rsid w:val="004B3E9E"/>
    <w:rsid w:val="004B4939"/>
    <w:rsid w:val="004B4B95"/>
    <w:rsid w:val="004B6069"/>
    <w:rsid w:val="004B62CF"/>
    <w:rsid w:val="004C05B4"/>
    <w:rsid w:val="004C09FD"/>
    <w:rsid w:val="004C154F"/>
    <w:rsid w:val="004C168F"/>
    <w:rsid w:val="004C16E8"/>
    <w:rsid w:val="004C170F"/>
    <w:rsid w:val="004C1DC7"/>
    <w:rsid w:val="004C2212"/>
    <w:rsid w:val="004C2A9D"/>
    <w:rsid w:val="004C3E5A"/>
    <w:rsid w:val="004C4A2E"/>
    <w:rsid w:val="004C638F"/>
    <w:rsid w:val="004C6641"/>
    <w:rsid w:val="004C69B5"/>
    <w:rsid w:val="004C6CED"/>
    <w:rsid w:val="004C7097"/>
    <w:rsid w:val="004C71E1"/>
    <w:rsid w:val="004D03B3"/>
    <w:rsid w:val="004D0916"/>
    <w:rsid w:val="004D1343"/>
    <w:rsid w:val="004D2851"/>
    <w:rsid w:val="004D2A90"/>
    <w:rsid w:val="004D3D21"/>
    <w:rsid w:val="004D400A"/>
    <w:rsid w:val="004D4861"/>
    <w:rsid w:val="004D4984"/>
    <w:rsid w:val="004D4B77"/>
    <w:rsid w:val="004D4DCA"/>
    <w:rsid w:val="004D5B37"/>
    <w:rsid w:val="004D7505"/>
    <w:rsid w:val="004D7A7F"/>
    <w:rsid w:val="004E01A2"/>
    <w:rsid w:val="004E0DE1"/>
    <w:rsid w:val="004E1648"/>
    <w:rsid w:val="004E17E1"/>
    <w:rsid w:val="004E1E18"/>
    <w:rsid w:val="004E2C82"/>
    <w:rsid w:val="004E36E2"/>
    <w:rsid w:val="004E4D21"/>
    <w:rsid w:val="004E5469"/>
    <w:rsid w:val="004E5E66"/>
    <w:rsid w:val="004E65AF"/>
    <w:rsid w:val="004F0344"/>
    <w:rsid w:val="004F11E5"/>
    <w:rsid w:val="004F1C95"/>
    <w:rsid w:val="004F2081"/>
    <w:rsid w:val="004F25CC"/>
    <w:rsid w:val="004F272B"/>
    <w:rsid w:val="004F42E7"/>
    <w:rsid w:val="004F50A3"/>
    <w:rsid w:val="004F5337"/>
    <w:rsid w:val="004F55BA"/>
    <w:rsid w:val="004F5EC4"/>
    <w:rsid w:val="004F6C25"/>
    <w:rsid w:val="004F7BB1"/>
    <w:rsid w:val="00501565"/>
    <w:rsid w:val="00502B7E"/>
    <w:rsid w:val="00503B4D"/>
    <w:rsid w:val="00504484"/>
    <w:rsid w:val="005044D0"/>
    <w:rsid w:val="00504618"/>
    <w:rsid w:val="00504687"/>
    <w:rsid w:val="005051C0"/>
    <w:rsid w:val="00505678"/>
    <w:rsid w:val="00507671"/>
    <w:rsid w:val="0050790B"/>
    <w:rsid w:val="00507A1B"/>
    <w:rsid w:val="00507DCE"/>
    <w:rsid w:val="005101FD"/>
    <w:rsid w:val="00511B9A"/>
    <w:rsid w:val="00512554"/>
    <w:rsid w:val="0051291A"/>
    <w:rsid w:val="0051359F"/>
    <w:rsid w:val="00513C79"/>
    <w:rsid w:val="0051419C"/>
    <w:rsid w:val="00514EB9"/>
    <w:rsid w:val="0051596F"/>
    <w:rsid w:val="00516FC7"/>
    <w:rsid w:val="0052070A"/>
    <w:rsid w:val="00520E14"/>
    <w:rsid w:val="00521C04"/>
    <w:rsid w:val="00521C41"/>
    <w:rsid w:val="00521FC2"/>
    <w:rsid w:val="005245A9"/>
    <w:rsid w:val="005245FB"/>
    <w:rsid w:val="00524B1B"/>
    <w:rsid w:val="00525A4A"/>
    <w:rsid w:val="00525D2A"/>
    <w:rsid w:val="00526204"/>
    <w:rsid w:val="00527418"/>
    <w:rsid w:val="00527866"/>
    <w:rsid w:val="00527DE2"/>
    <w:rsid w:val="00530959"/>
    <w:rsid w:val="005315E5"/>
    <w:rsid w:val="0053165C"/>
    <w:rsid w:val="005316AA"/>
    <w:rsid w:val="00533B23"/>
    <w:rsid w:val="00533EF1"/>
    <w:rsid w:val="00533F86"/>
    <w:rsid w:val="00537591"/>
    <w:rsid w:val="00537B92"/>
    <w:rsid w:val="00540153"/>
    <w:rsid w:val="0054042E"/>
    <w:rsid w:val="00540997"/>
    <w:rsid w:val="00540E13"/>
    <w:rsid w:val="00541AB6"/>
    <w:rsid w:val="0054244E"/>
    <w:rsid w:val="00543C97"/>
    <w:rsid w:val="005447C6"/>
    <w:rsid w:val="00545293"/>
    <w:rsid w:val="00545CA3"/>
    <w:rsid w:val="005468D3"/>
    <w:rsid w:val="005469A0"/>
    <w:rsid w:val="0054761B"/>
    <w:rsid w:val="00550EF4"/>
    <w:rsid w:val="00550F70"/>
    <w:rsid w:val="00551149"/>
    <w:rsid w:val="00551C94"/>
    <w:rsid w:val="00551F41"/>
    <w:rsid w:val="0055239B"/>
    <w:rsid w:val="00552EF6"/>
    <w:rsid w:val="00553071"/>
    <w:rsid w:val="00553157"/>
    <w:rsid w:val="00553D39"/>
    <w:rsid w:val="00554649"/>
    <w:rsid w:val="00554CEB"/>
    <w:rsid w:val="005557AF"/>
    <w:rsid w:val="00555D72"/>
    <w:rsid w:val="00556755"/>
    <w:rsid w:val="00556802"/>
    <w:rsid w:val="00556BD8"/>
    <w:rsid w:val="00557FF3"/>
    <w:rsid w:val="00560BDC"/>
    <w:rsid w:val="00560D44"/>
    <w:rsid w:val="0056302F"/>
    <w:rsid w:val="00563CDF"/>
    <w:rsid w:val="00563CE2"/>
    <w:rsid w:val="00564239"/>
    <w:rsid w:val="005642B7"/>
    <w:rsid w:val="00564563"/>
    <w:rsid w:val="005651E0"/>
    <w:rsid w:val="0056573E"/>
    <w:rsid w:val="00565A01"/>
    <w:rsid w:val="005661BE"/>
    <w:rsid w:val="005665C3"/>
    <w:rsid w:val="00566656"/>
    <w:rsid w:val="00566D9B"/>
    <w:rsid w:val="0057057E"/>
    <w:rsid w:val="00571724"/>
    <w:rsid w:val="00571AEF"/>
    <w:rsid w:val="00571D94"/>
    <w:rsid w:val="00571F90"/>
    <w:rsid w:val="00572594"/>
    <w:rsid w:val="0057278B"/>
    <w:rsid w:val="00572A1B"/>
    <w:rsid w:val="00572DD7"/>
    <w:rsid w:val="00573849"/>
    <w:rsid w:val="005775FE"/>
    <w:rsid w:val="005809F6"/>
    <w:rsid w:val="00584E78"/>
    <w:rsid w:val="00585BB2"/>
    <w:rsid w:val="00586948"/>
    <w:rsid w:val="00587372"/>
    <w:rsid w:val="0058766E"/>
    <w:rsid w:val="005879F2"/>
    <w:rsid w:val="00587E33"/>
    <w:rsid w:val="00591A61"/>
    <w:rsid w:val="00592134"/>
    <w:rsid w:val="00592351"/>
    <w:rsid w:val="00592472"/>
    <w:rsid w:val="00592644"/>
    <w:rsid w:val="00592D78"/>
    <w:rsid w:val="0059465D"/>
    <w:rsid w:val="005959EB"/>
    <w:rsid w:val="00596396"/>
    <w:rsid w:val="00597808"/>
    <w:rsid w:val="005979E2"/>
    <w:rsid w:val="005A022C"/>
    <w:rsid w:val="005A0B57"/>
    <w:rsid w:val="005A0D6F"/>
    <w:rsid w:val="005A0DE3"/>
    <w:rsid w:val="005A155A"/>
    <w:rsid w:val="005A1926"/>
    <w:rsid w:val="005A2318"/>
    <w:rsid w:val="005A3A5E"/>
    <w:rsid w:val="005A5933"/>
    <w:rsid w:val="005A5C7F"/>
    <w:rsid w:val="005A662D"/>
    <w:rsid w:val="005A7582"/>
    <w:rsid w:val="005A7B39"/>
    <w:rsid w:val="005B041E"/>
    <w:rsid w:val="005B0F70"/>
    <w:rsid w:val="005B1227"/>
    <w:rsid w:val="005B1BDA"/>
    <w:rsid w:val="005B1CB8"/>
    <w:rsid w:val="005B2176"/>
    <w:rsid w:val="005B22A5"/>
    <w:rsid w:val="005B2405"/>
    <w:rsid w:val="005B314D"/>
    <w:rsid w:val="005B485C"/>
    <w:rsid w:val="005B594E"/>
    <w:rsid w:val="005B5A0A"/>
    <w:rsid w:val="005B7269"/>
    <w:rsid w:val="005B742D"/>
    <w:rsid w:val="005B7B14"/>
    <w:rsid w:val="005B7B34"/>
    <w:rsid w:val="005C057A"/>
    <w:rsid w:val="005C2294"/>
    <w:rsid w:val="005C26D2"/>
    <w:rsid w:val="005C2AD8"/>
    <w:rsid w:val="005C3071"/>
    <w:rsid w:val="005C3BDA"/>
    <w:rsid w:val="005C4350"/>
    <w:rsid w:val="005C51E1"/>
    <w:rsid w:val="005C58C8"/>
    <w:rsid w:val="005C6F49"/>
    <w:rsid w:val="005D058D"/>
    <w:rsid w:val="005D0E49"/>
    <w:rsid w:val="005D1EA0"/>
    <w:rsid w:val="005D2164"/>
    <w:rsid w:val="005D27C9"/>
    <w:rsid w:val="005D2DF2"/>
    <w:rsid w:val="005D3306"/>
    <w:rsid w:val="005D391D"/>
    <w:rsid w:val="005D5262"/>
    <w:rsid w:val="005D52BD"/>
    <w:rsid w:val="005D6946"/>
    <w:rsid w:val="005D7148"/>
    <w:rsid w:val="005D725D"/>
    <w:rsid w:val="005D7606"/>
    <w:rsid w:val="005D78A6"/>
    <w:rsid w:val="005D7C82"/>
    <w:rsid w:val="005E09DF"/>
    <w:rsid w:val="005E0C3F"/>
    <w:rsid w:val="005E1BF9"/>
    <w:rsid w:val="005E2C8E"/>
    <w:rsid w:val="005E2D0A"/>
    <w:rsid w:val="005E30B2"/>
    <w:rsid w:val="005E446E"/>
    <w:rsid w:val="005E4883"/>
    <w:rsid w:val="005E4CEA"/>
    <w:rsid w:val="005E6AA5"/>
    <w:rsid w:val="005E7DF8"/>
    <w:rsid w:val="005F0775"/>
    <w:rsid w:val="005F0DAB"/>
    <w:rsid w:val="005F2A8D"/>
    <w:rsid w:val="005F3D28"/>
    <w:rsid w:val="005F411E"/>
    <w:rsid w:val="005F577C"/>
    <w:rsid w:val="005F76C3"/>
    <w:rsid w:val="00600A48"/>
    <w:rsid w:val="00601B12"/>
    <w:rsid w:val="00601F0F"/>
    <w:rsid w:val="00602D32"/>
    <w:rsid w:val="00603A47"/>
    <w:rsid w:val="00603BDD"/>
    <w:rsid w:val="00605756"/>
    <w:rsid w:val="0060603F"/>
    <w:rsid w:val="006060D0"/>
    <w:rsid w:val="006065BA"/>
    <w:rsid w:val="00607FCD"/>
    <w:rsid w:val="00610390"/>
    <w:rsid w:val="006106EB"/>
    <w:rsid w:val="00610C82"/>
    <w:rsid w:val="006114BF"/>
    <w:rsid w:val="00611BE6"/>
    <w:rsid w:val="00611F49"/>
    <w:rsid w:val="00612331"/>
    <w:rsid w:val="00612582"/>
    <w:rsid w:val="00612866"/>
    <w:rsid w:val="00613400"/>
    <w:rsid w:val="0061358D"/>
    <w:rsid w:val="006141C6"/>
    <w:rsid w:val="006149D5"/>
    <w:rsid w:val="00614AB0"/>
    <w:rsid w:val="006158B0"/>
    <w:rsid w:val="00615BA8"/>
    <w:rsid w:val="006166A7"/>
    <w:rsid w:val="00616AB5"/>
    <w:rsid w:val="00616BDC"/>
    <w:rsid w:val="00617612"/>
    <w:rsid w:val="00621388"/>
    <w:rsid w:val="006219C1"/>
    <w:rsid w:val="00621A32"/>
    <w:rsid w:val="00621F71"/>
    <w:rsid w:val="0062257E"/>
    <w:rsid w:val="00622E2B"/>
    <w:rsid w:val="006231A2"/>
    <w:rsid w:val="00623EAD"/>
    <w:rsid w:val="00624398"/>
    <w:rsid w:val="006249AA"/>
    <w:rsid w:val="006254D3"/>
    <w:rsid w:val="00630315"/>
    <w:rsid w:val="00630EAD"/>
    <w:rsid w:val="00632256"/>
    <w:rsid w:val="00633834"/>
    <w:rsid w:val="006338CF"/>
    <w:rsid w:val="00634A84"/>
    <w:rsid w:val="00634C03"/>
    <w:rsid w:val="0063512A"/>
    <w:rsid w:val="0063527A"/>
    <w:rsid w:val="00635B8A"/>
    <w:rsid w:val="00636B02"/>
    <w:rsid w:val="00637DBB"/>
    <w:rsid w:val="00640E94"/>
    <w:rsid w:val="00641675"/>
    <w:rsid w:val="00641CBB"/>
    <w:rsid w:val="0064220D"/>
    <w:rsid w:val="006423BF"/>
    <w:rsid w:val="00643350"/>
    <w:rsid w:val="00643C93"/>
    <w:rsid w:val="006455A2"/>
    <w:rsid w:val="00646A22"/>
    <w:rsid w:val="006473EC"/>
    <w:rsid w:val="00650CC9"/>
    <w:rsid w:val="006511CF"/>
    <w:rsid w:val="00652CDE"/>
    <w:rsid w:val="0065388B"/>
    <w:rsid w:val="00653E0A"/>
    <w:rsid w:val="00655A63"/>
    <w:rsid w:val="00655E60"/>
    <w:rsid w:val="00656EB7"/>
    <w:rsid w:val="00657F91"/>
    <w:rsid w:val="0066089E"/>
    <w:rsid w:val="00660D21"/>
    <w:rsid w:val="00661590"/>
    <w:rsid w:val="00661CF5"/>
    <w:rsid w:val="0066292E"/>
    <w:rsid w:val="00662F32"/>
    <w:rsid w:val="0066300A"/>
    <w:rsid w:val="00663620"/>
    <w:rsid w:val="00663CBB"/>
    <w:rsid w:val="006648D9"/>
    <w:rsid w:val="00666543"/>
    <w:rsid w:val="006665EA"/>
    <w:rsid w:val="0066669F"/>
    <w:rsid w:val="00667981"/>
    <w:rsid w:val="00667CA3"/>
    <w:rsid w:val="00672286"/>
    <w:rsid w:val="006722F7"/>
    <w:rsid w:val="0067270F"/>
    <w:rsid w:val="00673A9F"/>
    <w:rsid w:val="00673FB0"/>
    <w:rsid w:val="00675BA8"/>
    <w:rsid w:val="006768F0"/>
    <w:rsid w:val="0067782C"/>
    <w:rsid w:val="006806DF"/>
    <w:rsid w:val="00680A76"/>
    <w:rsid w:val="006811D1"/>
    <w:rsid w:val="006819F1"/>
    <w:rsid w:val="00681AF1"/>
    <w:rsid w:val="00681E92"/>
    <w:rsid w:val="00683198"/>
    <w:rsid w:val="006832B7"/>
    <w:rsid w:val="006857CE"/>
    <w:rsid w:val="006863FB"/>
    <w:rsid w:val="006871DF"/>
    <w:rsid w:val="0068740D"/>
    <w:rsid w:val="00687437"/>
    <w:rsid w:val="006874DF"/>
    <w:rsid w:val="00687B3E"/>
    <w:rsid w:val="00687BB4"/>
    <w:rsid w:val="00692685"/>
    <w:rsid w:val="006936D1"/>
    <w:rsid w:val="00693729"/>
    <w:rsid w:val="00693C4C"/>
    <w:rsid w:val="00693C60"/>
    <w:rsid w:val="00693C9B"/>
    <w:rsid w:val="0069502F"/>
    <w:rsid w:val="00696255"/>
    <w:rsid w:val="006971DB"/>
    <w:rsid w:val="00697BE3"/>
    <w:rsid w:val="006A01EE"/>
    <w:rsid w:val="006A192F"/>
    <w:rsid w:val="006A262E"/>
    <w:rsid w:val="006A2A87"/>
    <w:rsid w:val="006A31F3"/>
    <w:rsid w:val="006A36EB"/>
    <w:rsid w:val="006A3DBA"/>
    <w:rsid w:val="006A536B"/>
    <w:rsid w:val="006A5744"/>
    <w:rsid w:val="006A716E"/>
    <w:rsid w:val="006A74F5"/>
    <w:rsid w:val="006A7DEB"/>
    <w:rsid w:val="006A7F43"/>
    <w:rsid w:val="006B0268"/>
    <w:rsid w:val="006B146E"/>
    <w:rsid w:val="006B16C0"/>
    <w:rsid w:val="006B2755"/>
    <w:rsid w:val="006B3BAD"/>
    <w:rsid w:val="006B40A8"/>
    <w:rsid w:val="006B4712"/>
    <w:rsid w:val="006B50D3"/>
    <w:rsid w:val="006B5757"/>
    <w:rsid w:val="006B79D5"/>
    <w:rsid w:val="006C03DD"/>
    <w:rsid w:val="006C15B5"/>
    <w:rsid w:val="006C1BFE"/>
    <w:rsid w:val="006C25C2"/>
    <w:rsid w:val="006C2AE1"/>
    <w:rsid w:val="006C2ED2"/>
    <w:rsid w:val="006C3EAD"/>
    <w:rsid w:val="006C4F89"/>
    <w:rsid w:val="006C616A"/>
    <w:rsid w:val="006C793A"/>
    <w:rsid w:val="006D065D"/>
    <w:rsid w:val="006D07F2"/>
    <w:rsid w:val="006D2061"/>
    <w:rsid w:val="006D3268"/>
    <w:rsid w:val="006D478A"/>
    <w:rsid w:val="006D48DF"/>
    <w:rsid w:val="006D5D2B"/>
    <w:rsid w:val="006D6611"/>
    <w:rsid w:val="006D6D2C"/>
    <w:rsid w:val="006E034B"/>
    <w:rsid w:val="006E041D"/>
    <w:rsid w:val="006E04A1"/>
    <w:rsid w:val="006E08AF"/>
    <w:rsid w:val="006E0D1C"/>
    <w:rsid w:val="006E159E"/>
    <w:rsid w:val="006E1B73"/>
    <w:rsid w:val="006E227D"/>
    <w:rsid w:val="006E26E2"/>
    <w:rsid w:val="006E38DF"/>
    <w:rsid w:val="006E39DE"/>
    <w:rsid w:val="006E3A4D"/>
    <w:rsid w:val="006E3F70"/>
    <w:rsid w:val="006E42AB"/>
    <w:rsid w:val="006E4E94"/>
    <w:rsid w:val="006E5139"/>
    <w:rsid w:val="006E670F"/>
    <w:rsid w:val="006E73FB"/>
    <w:rsid w:val="006E7532"/>
    <w:rsid w:val="006E7893"/>
    <w:rsid w:val="006F0464"/>
    <w:rsid w:val="006F0CA7"/>
    <w:rsid w:val="006F0EC2"/>
    <w:rsid w:val="006F0F09"/>
    <w:rsid w:val="006F0F51"/>
    <w:rsid w:val="006F268B"/>
    <w:rsid w:val="006F4B75"/>
    <w:rsid w:val="006F5553"/>
    <w:rsid w:val="006F58D6"/>
    <w:rsid w:val="006F741F"/>
    <w:rsid w:val="006F7734"/>
    <w:rsid w:val="00700A09"/>
    <w:rsid w:val="00700AF8"/>
    <w:rsid w:val="007027F0"/>
    <w:rsid w:val="00702F60"/>
    <w:rsid w:val="00704232"/>
    <w:rsid w:val="00704B71"/>
    <w:rsid w:val="00704D80"/>
    <w:rsid w:val="007068E6"/>
    <w:rsid w:val="00706B06"/>
    <w:rsid w:val="007102EE"/>
    <w:rsid w:val="007112A2"/>
    <w:rsid w:val="00711ECD"/>
    <w:rsid w:val="00711F8C"/>
    <w:rsid w:val="00713452"/>
    <w:rsid w:val="007134DF"/>
    <w:rsid w:val="007138BD"/>
    <w:rsid w:val="00714AFD"/>
    <w:rsid w:val="00716292"/>
    <w:rsid w:val="007175A8"/>
    <w:rsid w:val="00720F40"/>
    <w:rsid w:val="0072162E"/>
    <w:rsid w:val="00722A96"/>
    <w:rsid w:val="00722EC7"/>
    <w:rsid w:val="0072310A"/>
    <w:rsid w:val="007234D6"/>
    <w:rsid w:val="00723BF3"/>
    <w:rsid w:val="0072459E"/>
    <w:rsid w:val="00724C25"/>
    <w:rsid w:val="007253BC"/>
    <w:rsid w:val="007259B3"/>
    <w:rsid w:val="00726952"/>
    <w:rsid w:val="007272EF"/>
    <w:rsid w:val="007274CD"/>
    <w:rsid w:val="00730C4A"/>
    <w:rsid w:val="0073104F"/>
    <w:rsid w:val="00732427"/>
    <w:rsid w:val="007324FB"/>
    <w:rsid w:val="0073473E"/>
    <w:rsid w:val="007347E6"/>
    <w:rsid w:val="00734EBA"/>
    <w:rsid w:val="007353E8"/>
    <w:rsid w:val="00737B0A"/>
    <w:rsid w:val="00740802"/>
    <w:rsid w:val="00741A4C"/>
    <w:rsid w:val="00741D0C"/>
    <w:rsid w:val="0074206F"/>
    <w:rsid w:val="00743A49"/>
    <w:rsid w:val="00745606"/>
    <w:rsid w:val="00745B9C"/>
    <w:rsid w:val="00745DFD"/>
    <w:rsid w:val="007464C7"/>
    <w:rsid w:val="0074780F"/>
    <w:rsid w:val="007479D7"/>
    <w:rsid w:val="00747E79"/>
    <w:rsid w:val="007500C0"/>
    <w:rsid w:val="0075114A"/>
    <w:rsid w:val="00752492"/>
    <w:rsid w:val="00752A39"/>
    <w:rsid w:val="00752EBB"/>
    <w:rsid w:val="00754552"/>
    <w:rsid w:val="007547FF"/>
    <w:rsid w:val="00756AAC"/>
    <w:rsid w:val="00757068"/>
    <w:rsid w:val="00760094"/>
    <w:rsid w:val="007608D1"/>
    <w:rsid w:val="00760BDF"/>
    <w:rsid w:val="00761068"/>
    <w:rsid w:val="0076163B"/>
    <w:rsid w:val="00761722"/>
    <w:rsid w:val="00761E8E"/>
    <w:rsid w:val="00762CC7"/>
    <w:rsid w:val="007634AB"/>
    <w:rsid w:val="00764DAF"/>
    <w:rsid w:val="00765BC2"/>
    <w:rsid w:val="00770765"/>
    <w:rsid w:val="00771ADE"/>
    <w:rsid w:val="00771B62"/>
    <w:rsid w:val="00772CF4"/>
    <w:rsid w:val="007731A6"/>
    <w:rsid w:val="0077386A"/>
    <w:rsid w:val="00774F17"/>
    <w:rsid w:val="007773E2"/>
    <w:rsid w:val="00777698"/>
    <w:rsid w:val="007777E6"/>
    <w:rsid w:val="00780212"/>
    <w:rsid w:val="0078122C"/>
    <w:rsid w:val="007816E1"/>
    <w:rsid w:val="00781891"/>
    <w:rsid w:val="0078192B"/>
    <w:rsid w:val="00782962"/>
    <w:rsid w:val="0078337F"/>
    <w:rsid w:val="00784F4E"/>
    <w:rsid w:val="007853ED"/>
    <w:rsid w:val="00785BD9"/>
    <w:rsid w:val="00786668"/>
    <w:rsid w:val="00786ECC"/>
    <w:rsid w:val="00786F84"/>
    <w:rsid w:val="007879A0"/>
    <w:rsid w:val="007879D2"/>
    <w:rsid w:val="00787F86"/>
    <w:rsid w:val="007900B1"/>
    <w:rsid w:val="00790168"/>
    <w:rsid w:val="007917E4"/>
    <w:rsid w:val="00792710"/>
    <w:rsid w:val="00792C58"/>
    <w:rsid w:val="00793B29"/>
    <w:rsid w:val="00793ED4"/>
    <w:rsid w:val="00794BAC"/>
    <w:rsid w:val="007953B3"/>
    <w:rsid w:val="007955DE"/>
    <w:rsid w:val="0079592D"/>
    <w:rsid w:val="007964B6"/>
    <w:rsid w:val="00796AB9"/>
    <w:rsid w:val="007A0359"/>
    <w:rsid w:val="007A038A"/>
    <w:rsid w:val="007A09DE"/>
    <w:rsid w:val="007A1265"/>
    <w:rsid w:val="007A1C62"/>
    <w:rsid w:val="007A29D1"/>
    <w:rsid w:val="007A4E90"/>
    <w:rsid w:val="007A50D7"/>
    <w:rsid w:val="007A5685"/>
    <w:rsid w:val="007A6FB2"/>
    <w:rsid w:val="007A71CE"/>
    <w:rsid w:val="007B05EE"/>
    <w:rsid w:val="007B08A2"/>
    <w:rsid w:val="007B0D7A"/>
    <w:rsid w:val="007B105B"/>
    <w:rsid w:val="007B1A40"/>
    <w:rsid w:val="007B330C"/>
    <w:rsid w:val="007B3B09"/>
    <w:rsid w:val="007B4DA0"/>
    <w:rsid w:val="007B5128"/>
    <w:rsid w:val="007B6691"/>
    <w:rsid w:val="007B7275"/>
    <w:rsid w:val="007B7744"/>
    <w:rsid w:val="007C0025"/>
    <w:rsid w:val="007C06D7"/>
    <w:rsid w:val="007C0F09"/>
    <w:rsid w:val="007C14BE"/>
    <w:rsid w:val="007C1CE4"/>
    <w:rsid w:val="007C341F"/>
    <w:rsid w:val="007C3BA4"/>
    <w:rsid w:val="007C3DA2"/>
    <w:rsid w:val="007C4EEE"/>
    <w:rsid w:val="007C56FC"/>
    <w:rsid w:val="007C6142"/>
    <w:rsid w:val="007C7110"/>
    <w:rsid w:val="007C7EDA"/>
    <w:rsid w:val="007D0116"/>
    <w:rsid w:val="007D1AE8"/>
    <w:rsid w:val="007D1FD1"/>
    <w:rsid w:val="007D2984"/>
    <w:rsid w:val="007D2AFF"/>
    <w:rsid w:val="007D38A6"/>
    <w:rsid w:val="007D422A"/>
    <w:rsid w:val="007D4D04"/>
    <w:rsid w:val="007D4E77"/>
    <w:rsid w:val="007D5E7C"/>
    <w:rsid w:val="007D7052"/>
    <w:rsid w:val="007D728F"/>
    <w:rsid w:val="007D792A"/>
    <w:rsid w:val="007D7C2F"/>
    <w:rsid w:val="007E00FF"/>
    <w:rsid w:val="007E0900"/>
    <w:rsid w:val="007E09D2"/>
    <w:rsid w:val="007E1066"/>
    <w:rsid w:val="007E1502"/>
    <w:rsid w:val="007E15E2"/>
    <w:rsid w:val="007E28A2"/>
    <w:rsid w:val="007E36BD"/>
    <w:rsid w:val="007E37E0"/>
    <w:rsid w:val="007E4170"/>
    <w:rsid w:val="007E4303"/>
    <w:rsid w:val="007E45D1"/>
    <w:rsid w:val="007E4B2D"/>
    <w:rsid w:val="007E572D"/>
    <w:rsid w:val="007E5D84"/>
    <w:rsid w:val="007E5F4F"/>
    <w:rsid w:val="007E637E"/>
    <w:rsid w:val="007E64EB"/>
    <w:rsid w:val="007E652E"/>
    <w:rsid w:val="007E689E"/>
    <w:rsid w:val="007E692E"/>
    <w:rsid w:val="007E76AC"/>
    <w:rsid w:val="007E78AF"/>
    <w:rsid w:val="007E7DB7"/>
    <w:rsid w:val="007F089F"/>
    <w:rsid w:val="007F1060"/>
    <w:rsid w:val="007F1B32"/>
    <w:rsid w:val="007F1DA1"/>
    <w:rsid w:val="007F274C"/>
    <w:rsid w:val="007F2833"/>
    <w:rsid w:val="007F3EA4"/>
    <w:rsid w:val="007F4174"/>
    <w:rsid w:val="007F559A"/>
    <w:rsid w:val="007F60D1"/>
    <w:rsid w:val="007F6A9D"/>
    <w:rsid w:val="007F6C03"/>
    <w:rsid w:val="007F7DB4"/>
    <w:rsid w:val="007F7E67"/>
    <w:rsid w:val="00801927"/>
    <w:rsid w:val="00802ACC"/>
    <w:rsid w:val="008033A1"/>
    <w:rsid w:val="008061CB"/>
    <w:rsid w:val="00806549"/>
    <w:rsid w:val="008069EB"/>
    <w:rsid w:val="00806FD6"/>
    <w:rsid w:val="0080732C"/>
    <w:rsid w:val="00807920"/>
    <w:rsid w:val="00807DC6"/>
    <w:rsid w:val="00810618"/>
    <w:rsid w:val="008108AB"/>
    <w:rsid w:val="0081126A"/>
    <w:rsid w:val="00811478"/>
    <w:rsid w:val="0081183A"/>
    <w:rsid w:val="00812215"/>
    <w:rsid w:val="008122C6"/>
    <w:rsid w:val="00812D69"/>
    <w:rsid w:val="00813661"/>
    <w:rsid w:val="00814B2E"/>
    <w:rsid w:val="00815FFB"/>
    <w:rsid w:val="0081660B"/>
    <w:rsid w:val="008171E7"/>
    <w:rsid w:val="00817414"/>
    <w:rsid w:val="00817D16"/>
    <w:rsid w:val="00821648"/>
    <w:rsid w:val="008232C8"/>
    <w:rsid w:val="00823CDA"/>
    <w:rsid w:val="008244E3"/>
    <w:rsid w:val="008254AA"/>
    <w:rsid w:val="008261C3"/>
    <w:rsid w:val="008272EF"/>
    <w:rsid w:val="00827622"/>
    <w:rsid w:val="008300E7"/>
    <w:rsid w:val="00831B3D"/>
    <w:rsid w:val="0083213C"/>
    <w:rsid w:val="0083228E"/>
    <w:rsid w:val="00832B64"/>
    <w:rsid w:val="00834814"/>
    <w:rsid w:val="00834A08"/>
    <w:rsid w:val="008355D2"/>
    <w:rsid w:val="0083638D"/>
    <w:rsid w:val="00836702"/>
    <w:rsid w:val="00837E3B"/>
    <w:rsid w:val="00840CFB"/>
    <w:rsid w:val="008418FE"/>
    <w:rsid w:val="008426C6"/>
    <w:rsid w:val="00844ABF"/>
    <w:rsid w:val="00845A09"/>
    <w:rsid w:val="00845F78"/>
    <w:rsid w:val="00846025"/>
    <w:rsid w:val="00846152"/>
    <w:rsid w:val="0084663C"/>
    <w:rsid w:val="0084669B"/>
    <w:rsid w:val="00847364"/>
    <w:rsid w:val="008475F7"/>
    <w:rsid w:val="00850735"/>
    <w:rsid w:val="00850783"/>
    <w:rsid w:val="00851207"/>
    <w:rsid w:val="00851365"/>
    <w:rsid w:val="0085187B"/>
    <w:rsid w:val="008520E5"/>
    <w:rsid w:val="00852A67"/>
    <w:rsid w:val="00853258"/>
    <w:rsid w:val="008554E1"/>
    <w:rsid w:val="008555D6"/>
    <w:rsid w:val="00855DAB"/>
    <w:rsid w:val="00856058"/>
    <w:rsid w:val="008560AA"/>
    <w:rsid w:val="008578AC"/>
    <w:rsid w:val="00857C4F"/>
    <w:rsid w:val="00860A0A"/>
    <w:rsid w:val="00860BAD"/>
    <w:rsid w:val="00861015"/>
    <w:rsid w:val="008622E6"/>
    <w:rsid w:val="00862C8F"/>
    <w:rsid w:val="00862EC7"/>
    <w:rsid w:val="00863939"/>
    <w:rsid w:val="00863A3D"/>
    <w:rsid w:val="00863AE4"/>
    <w:rsid w:val="00864908"/>
    <w:rsid w:val="00864D19"/>
    <w:rsid w:val="008659FF"/>
    <w:rsid w:val="00865FB3"/>
    <w:rsid w:val="00866641"/>
    <w:rsid w:val="008702B7"/>
    <w:rsid w:val="00870468"/>
    <w:rsid w:val="008707B7"/>
    <w:rsid w:val="00870991"/>
    <w:rsid w:val="00870E4A"/>
    <w:rsid w:val="00871072"/>
    <w:rsid w:val="00872887"/>
    <w:rsid w:val="0087325E"/>
    <w:rsid w:val="00873862"/>
    <w:rsid w:val="00876FE6"/>
    <w:rsid w:val="00877BC0"/>
    <w:rsid w:val="00881A27"/>
    <w:rsid w:val="00882659"/>
    <w:rsid w:val="008827A7"/>
    <w:rsid w:val="008830F9"/>
    <w:rsid w:val="00884379"/>
    <w:rsid w:val="0088470E"/>
    <w:rsid w:val="00884985"/>
    <w:rsid w:val="00885BEC"/>
    <w:rsid w:val="00885F68"/>
    <w:rsid w:val="00886451"/>
    <w:rsid w:val="008869EC"/>
    <w:rsid w:val="0089007B"/>
    <w:rsid w:val="008906F3"/>
    <w:rsid w:val="0089212C"/>
    <w:rsid w:val="00892520"/>
    <w:rsid w:val="00894225"/>
    <w:rsid w:val="008948DC"/>
    <w:rsid w:val="0089595B"/>
    <w:rsid w:val="00896299"/>
    <w:rsid w:val="00896CD7"/>
    <w:rsid w:val="008971A3"/>
    <w:rsid w:val="008978DD"/>
    <w:rsid w:val="00897A6D"/>
    <w:rsid w:val="008A0B3E"/>
    <w:rsid w:val="008A1F10"/>
    <w:rsid w:val="008A288C"/>
    <w:rsid w:val="008A2EDB"/>
    <w:rsid w:val="008A48BE"/>
    <w:rsid w:val="008A5E4E"/>
    <w:rsid w:val="008A606D"/>
    <w:rsid w:val="008A66A7"/>
    <w:rsid w:val="008A6B5F"/>
    <w:rsid w:val="008A70F5"/>
    <w:rsid w:val="008A7CA1"/>
    <w:rsid w:val="008A7F35"/>
    <w:rsid w:val="008B0D24"/>
    <w:rsid w:val="008B25E3"/>
    <w:rsid w:val="008B3D6F"/>
    <w:rsid w:val="008B4497"/>
    <w:rsid w:val="008B6B95"/>
    <w:rsid w:val="008B7304"/>
    <w:rsid w:val="008B739B"/>
    <w:rsid w:val="008B7B64"/>
    <w:rsid w:val="008B7FC5"/>
    <w:rsid w:val="008C0615"/>
    <w:rsid w:val="008C0E24"/>
    <w:rsid w:val="008C10C0"/>
    <w:rsid w:val="008C192E"/>
    <w:rsid w:val="008C1BAC"/>
    <w:rsid w:val="008C20FF"/>
    <w:rsid w:val="008C4586"/>
    <w:rsid w:val="008C4AE3"/>
    <w:rsid w:val="008C589D"/>
    <w:rsid w:val="008C5DCB"/>
    <w:rsid w:val="008C5F34"/>
    <w:rsid w:val="008C69DB"/>
    <w:rsid w:val="008C7717"/>
    <w:rsid w:val="008C7983"/>
    <w:rsid w:val="008C79FE"/>
    <w:rsid w:val="008D03EA"/>
    <w:rsid w:val="008D1FBD"/>
    <w:rsid w:val="008D3FE1"/>
    <w:rsid w:val="008D428E"/>
    <w:rsid w:val="008D4C23"/>
    <w:rsid w:val="008D5499"/>
    <w:rsid w:val="008D5784"/>
    <w:rsid w:val="008D694B"/>
    <w:rsid w:val="008D712B"/>
    <w:rsid w:val="008D7840"/>
    <w:rsid w:val="008E005F"/>
    <w:rsid w:val="008E00EF"/>
    <w:rsid w:val="008E0AD5"/>
    <w:rsid w:val="008E1390"/>
    <w:rsid w:val="008E13BF"/>
    <w:rsid w:val="008E1824"/>
    <w:rsid w:val="008E4520"/>
    <w:rsid w:val="008E4B09"/>
    <w:rsid w:val="008E5C68"/>
    <w:rsid w:val="008E61BB"/>
    <w:rsid w:val="008E6E18"/>
    <w:rsid w:val="008E7A0D"/>
    <w:rsid w:val="008E7D08"/>
    <w:rsid w:val="008F0360"/>
    <w:rsid w:val="008F1DFD"/>
    <w:rsid w:val="008F1F8B"/>
    <w:rsid w:val="008F20D1"/>
    <w:rsid w:val="008F21F0"/>
    <w:rsid w:val="008F2940"/>
    <w:rsid w:val="008F2CAF"/>
    <w:rsid w:val="008F2DD6"/>
    <w:rsid w:val="008F3187"/>
    <w:rsid w:val="008F4C14"/>
    <w:rsid w:val="008F7306"/>
    <w:rsid w:val="008F739E"/>
    <w:rsid w:val="008F7F79"/>
    <w:rsid w:val="00900809"/>
    <w:rsid w:val="009013D9"/>
    <w:rsid w:val="00902913"/>
    <w:rsid w:val="00902AA1"/>
    <w:rsid w:val="009041B6"/>
    <w:rsid w:val="009044DC"/>
    <w:rsid w:val="00904733"/>
    <w:rsid w:val="00904F7D"/>
    <w:rsid w:val="00905BC0"/>
    <w:rsid w:val="00906383"/>
    <w:rsid w:val="00906773"/>
    <w:rsid w:val="009067E4"/>
    <w:rsid w:val="009075DC"/>
    <w:rsid w:val="0090760E"/>
    <w:rsid w:val="00910E4B"/>
    <w:rsid w:val="00911969"/>
    <w:rsid w:val="00911D1B"/>
    <w:rsid w:val="00912ACA"/>
    <w:rsid w:val="009139C3"/>
    <w:rsid w:val="00914544"/>
    <w:rsid w:val="00914617"/>
    <w:rsid w:val="0091508E"/>
    <w:rsid w:val="00920919"/>
    <w:rsid w:val="00920D15"/>
    <w:rsid w:val="009225E7"/>
    <w:rsid w:val="009235FB"/>
    <w:rsid w:val="0092367C"/>
    <w:rsid w:val="009242E0"/>
    <w:rsid w:val="009243DE"/>
    <w:rsid w:val="00924F80"/>
    <w:rsid w:val="0092521F"/>
    <w:rsid w:val="00925CE8"/>
    <w:rsid w:val="00925EB8"/>
    <w:rsid w:val="009261A7"/>
    <w:rsid w:val="00926395"/>
    <w:rsid w:val="00926838"/>
    <w:rsid w:val="00926BB5"/>
    <w:rsid w:val="00926F84"/>
    <w:rsid w:val="009313F2"/>
    <w:rsid w:val="00931AF0"/>
    <w:rsid w:val="00932723"/>
    <w:rsid w:val="00932DD3"/>
    <w:rsid w:val="00933FCC"/>
    <w:rsid w:val="0093478A"/>
    <w:rsid w:val="00935C3E"/>
    <w:rsid w:val="009360C7"/>
    <w:rsid w:val="0093659D"/>
    <w:rsid w:val="009367D5"/>
    <w:rsid w:val="00936BE4"/>
    <w:rsid w:val="00937640"/>
    <w:rsid w:val="00937D5A"/>
    <w:rsid w:val="00940B12"/>
    <w:rsid w:val="00940C67"/>
    <w:rsid w:val="00941237"/>
    <w:rsid w:val="009426F1"/>
    <w:rsid w:val="0094330C"/>
    <w:rsid w:val="00943479"/>
    <w:rsid w:val="00943919"/>
    <w:rsid w:val="00947B74"/>
    <w:rsid w:val="00947F23"/>
    <w:rsid w:val="00951150"/>
    <w:rsid w:val="00951391"/>
    <w:rsid w:val="009517DD"/>
    <w:rsid w:val="00952223"/>
    <w:rsid w:val="0095467F"/>
    <w:rsid w:val="00955380"/>
    <w:rsid w:val="00955F63"/>
    <w:rsid w:val="009576BE"/>
    <w:rsid w:val="00960171"/>
    <w:rsid w:val="00961E05"/>
    <w:rsid w:val="009633F7"/>
    <w:rsid w:val="00963942"/>
    <w:rsid w:val="009647FA"/>
    <w:rsid w:val="00966474"/>
    <w:rsid w:val="00966588"/>
    <w:rsid w:val="00966B10"/>
    <w:rsid w:val="00966C81"/>
    <w:rsid w:val="00966F57"/>
    <w:rsid w:val="00966FC0"/>
    <w:rsid w:val="00967449"/>
    <w:rsid w:val="00971C72"/>
    <w:rsid w:val="00972197"/>
    <w:rsid w:val="0097229E"/>
    <w:rsid w:val="009722A3"/>
    <w:rsid w:val="00972D2E"/>
    <w:rsid w:val="00972F74"/>
    <w:rsid w:val="00973B25"/>
    <w:rsid w:val="0097429D"/>
    <w:rsid w:val="009747F5"/>
    <w:rsid w:val="00975BAB"/>
    <w:rsid w:val="009760D8"/>
    <w:rsid w:val="009773FF"/>
    <w:rsid w:val="009775C7"/>
    <w:rsid w:val="009779B0"/>
    <w:rsid w:val="00980834"/>
    <w:rsid w:val="00980A58"/>
    <w:rsid w:val="0098152B"/>
    <w:rsid w:val="0098299A"/>
    <w:rsid w:val="00982F5E"/>
    <w:rsid w:val="00983DD9"/>
    <w:rsid w:val="00983EB4"/>
    <w:rsid w:val="00984A44"/>
    <w:rsid w:val="00985554"/>
    <w:rsid w:val="00985F35"/>
    <w:rsid w:val="00987C56"/>
    <w:rsid w:val="00990297"/>
    <w:rsid w:val="00990591"/>
    <w:rsid w:val="00991A60"/>
    <w:rsid w:val="0099224E"/>
    <w:rsid w:val="00993BD7"/>
    <w:rsid w:val="00994776"/>
    <w:rsid w:val="00994FE8"/>
    <w:rsid w:val="00995BC5"/>
    <w:rsid w:val="00996D61"/>
    <w:rsid w:val="009973D1"/>
    <w:rsid w:val="009A0AD1"/>
    <w:rsid w:val="009A10FB"/>
    <w:rsid w:val="009A1FF8"/>
    <w:rsid w:val="009A3260"/>
    <w:rsid w:val="009A33B2"/>
    <w:rsid w:val="009A46C7"/>
    <w:rsid w:val="009A6969"/>
    <w:rsid w:val="009A6E26"/>
    <w:rsid w:val="009A7BEE"/>
    <w:rsid w:val="009B0DB9"/>
    <w:rsid w:val="009B0E8E"/>
    <w:rsid w:val="009B0EB2"/>
    <w:rsid w:val="009B0EB3"/>
    <w:rsid w:val="009B1285"/>
    <w:rsid w:val="009B1486"/>
    <w:rsid w:val="009B3EB2"/>
    <w:rsid w:val="009B4BA8"/>
    <w:rsid w:val="009B5733"/>
    <w:rsid w:val="009B67C5"/>
    <w:rsid w:val="009B7D3A"/>
    <w:rsid w:val="009C109B"/>
    <w:rsid w:val="009C12C0"/>
    <w:rsid w:val="009C17B4"/>
    <w:rsid w:val="009C1BD2"/>
    <w:rsid w:val="009C1C81"/>
    <w:rsid w:val="009C1DF9"/>
    <w:rsid w:val="009C23F8"/>
    <w:rsid w:val="009C28B1"/>
    <w:rsid w:val="009C3E90"/>
    <w:rsid w:val="009C5049"/>
    <w:rsid w:val="009C55D9"/>
    <w:rsid w:val="009C6207"/>
    <w:rsid w:val="009C6355"/>
    <w:rsid w:val="009C6452"/>
    <w:rsid w:val="009C68F0"/>
    <w:rsid w:val="009C6B2A"/>
    <w:rsid w:val="009D0FDD"/>
    <w:rsid w:val="009D172E"/>
    <w:rsid w:val="009D1CD4"/>
    <w:rsid w:val="009D1F78"/>
    <w:rsid w:val="009D2CBD"/>
    <w:rsid w:val="009D2F06"/>
    <w:rsid w:val="009D3C23"/>
    <w:rsid w:val="009D4767"/>
    <w:rsid w:val="009D5952"/>
    <w:rsid w:val="009D6790"/>
    <w:rsid w:val="009D6C41"/>
    <w:rsid w:val="009D7FA2"/>
    <w:rsid w:val="009E01FD"/>
    <w:rsid w:val="009E0B51"/>
    <w:rsid w:val="009E0FF1"/>
    <w:rsid w:val="009E27EB"/>
    <w:rsid w:val="009E2B56"/>
    <w:rsid w:val="009E3CF5"/>
    <w:rsid w:val="009E40D0"/>
    <w:rsid w:val="009E486E"/>
    <w:rsid w:val="009E5A09"/>
    <w:rsid w:val="009E758A"/>
    <w:rsid w:val="009F0584"/>
    <w:rsid w:val="009F0FA2"/>
    <w:rsid w:val="009F16F6"/>
    <w:rsid w:val="009F2286"/>
    <w:rsid w:val="009F303B"/>
    <w:rsid w:val="009F3A4C"/>
    <w:rsid w:val="009F3D88"/>
    <w:rsid w:val="009F5360"/>
    <w:rsid w:val="009F5B38"/>
    <w:rsid w:val="009F6332"/>
    <w:rsid w:val="009F6634"/>
    <w:rsid w:val="00A000AE"/>
    <w:rsid w:val="00A0051F"/>
    <w:rsid w:val="00A00A07"/>
    <w:rsid w:val="00A02DD0"/>
    <w:rsid w:val="00A031E6"/>
    <w:rsid w:val="00A0341E"/>
    <w:rsid w:val="00A03C2C"/>
    <w:rsid w:val="00A0488E"/>
    <w:rsid w:val="00A10088"/>
    <w:rsid w:val="00A10F73"/>
    <w:rsid w:val="00A130CD"/>
    <w:rsid w:val="00A13807"/>
    <w:rsid w:val="00A1390B"/>
    <w:rsid w:val="00A14703"/>
    <w:rsid w:val="00A148EB"/>
    <w:rsid w:val="00A14A3F"/>
    <w:rsid w:val="00A1527A"/>
    <w:rsid w:val="00A15B24"/>
    <w:rsid w:val="00A15E0B"/>
    <w:rsid w:val="00A16154"/>
    <w:rsid w:val="00A16FBB"/>
    <w:rsid w:val="00A1796F"/>
    <w:rsid w:val="00A21717"/>
    <w:rsid w:val="00A2288B"/>
    <w:rsid w:val="00A22B03"/>
    <w:rsid w:val="00A24DEB"/>
    <w:rsid w:val="00A24F0A"/>
    <w:rsid w:val="00A25E38"/>
    <w:rsid w:val="00A27109"/>
    <w:rsid w:val="00A27290"/>
    <w:rsid w:val="00A27F45"/>
    <w:rsid w:val="00A27F4D"/>
    <w:rsid w:val="00A339F5"/>
    <w:rsid w:val="00A33FCF"/>
    <w:rsid w:val="00A3415A"/>
    <w:rsid w:val="00A354F2"/>
    <w:rsid w:val="00A35C7F"/>
    <w:rsid w:val="00A36F59"/>
    <w:rsid w:val="00A370FB"/>
    <w:rsid w:val="00A3719C"/>
    <w:rsid w:val="00A373A2"/>
    <w:rsid w:val="00A37986"/>
    <w:rsid w:val="00A37C23"/>
    <w:rsid w:val="00A41041"/>
    <w:rsid w:val="00A42771"/>
    <w:rsid w:val="00A42875"/>
    <w:rsid w:val="00A428F9"/>
    <w:rsid w:val="00A47A93"/>
    <w:rsid w:val="00A50417"/>
    <w:rsid w:val="00A52A23"/>
    <w:rsid w:val="00A52CE9"/>
    <w:rsid w:val="00A52FBE"/>
    <w:rsid w:val="00A53213"/>
    <w:rsid w:val="00A540D4"/>
    <w:rsid w:val="00A55CD4"/>
    <w:rsid w:val="00A56D01"/>
    <w:rsid w:val="00A57080"/>
    <w:rsid w:val="00A57BFE"/>
    <w:rsid w:val="00A635F6"/>
    <w:rsid w:val="00A643B3"/>
    <w:rsid w:val="00A65E84"/>
    <w:rsid w:val="00A67509"/>
    <w:rsid w:val="00A679F1"/>
    <w:rsid w:val="00A706E6"/>
    <w:rsid w:val="00A72C03"/>
    <w:rsid w:val="00A75BCB"/>
    <w:rsid w:val="00A75C01"/>
    <w:rsid w:val="00A76AF8"/>
    <w:rsid w:val="00A76BF9"/>
    <w:rsid w:val="00A76E2F"/>
    <w:rsid w:val="00A77667"/>
    <w:rsid w:val="00A77F37"/>
    <w:rsid w:val="00A8078F"/>
    <w:rsid w:val="00A81093"/>
    <w:rsid w:val="00A81383"/>
    <w:rsid w:val="00A817DE"/>
    <w:rsid w:val="00A82911"/>
    <w:rsid w:val="00A82B18"/>
    <w:rsid w:val="00A83E17"/>
    <w:rsid w:val="00A84915"/>
    <w:rsid w:val="00A84E0F"/>
    <w:rsid w:val="00A84E60"/>
    <w:rsid w:val="00A860B7"/>
    <w:rsid w:val="00A87832"/>
    <w:rsid w:val="00A91720"/>
    <w:rsid w:val="00A92F14"/>
    <w:rsid w:val="00A943DE"/>
    <w:rsid w:val="00A950BE"/>
    <w:rsid w:val="00A95B38"/>
    <w:rsid w:val="00A9627B"/>
    <w:rsid w:val="00A962D0"/>
    <w:rsid w:val="00A96BA8"/>
    <w:rsid w:val="00A96FF2"/>
    <w:rsid w:val="00AA0A33"/>
    <w:rsid w:val="00AA0F3E"/>
    <w:rsid w:val="00AA1DE4"/>
    <w:rsid w:val="00AA2435"/>
    <w:rsid w:val="00AA2591"/>
    <w:rsid w:val="00AA3023"/>
    <w:rsid w:val="00AA3302"/>
    <w:rsid w:val="00AA3626"/>
    <w:rsid w:val="00AA56EA"/>
    <w:rsid w:val="00AA5B30"/>
    <w:rsid w:val="00AA63DC"/>
    <w:rsid w:val="00AB0736"/>
    <w:rsid w:val="00AB1B73"/>
    <w:rsid w:val="00AB246C"/>
    <w:rsid w:val="00AB3379"/>
    <w:rsid w:val="00AB4636"/>
    <w:rsid w:val="00AB5D04"/>
    <w:rsid w:val="00AB5F0F"/>
    <w:rsid w:val="00AB6B68"/>
    <w:rsid w:val="00AB6DAC"/>
    <w:rsid w:val="00AB75F7"/>
    <w:rsid w:val="00AB7AC0"/>
    <w:rsid w:val="00AC05CB"/>
    <w:rsid w:val="00AC0EFD"/>
    <w:rsid w:val="00AC18E3"/>
    <w:rsid w:val="00AC3234"/>
    <w:rsid w:val="00AC5FC7"/>
    <w:rsid w:val="00AC6E75"/>
    <w:rsid w:val="00AC78A7"/>
    <w:rsid w:val="00AC7AED"/>
    <w:rsid w:val="00AC7C2B"/>
    <w:rsid w:val="00AC7C43"/>
    <w:rsid w:val="00AD03A4"/>
    <w:rsid w:val="00AD17A6"/>
    <w:rsid w:val="00AD1A9B"/>
    <w:rsid w:val="00AD202A"/>
    <w:rsid w:val="00AD33B3"/>
    <w:rsid w:val="00AD34D4"/>
    <w:rsid w:val="00AD36AA"/>
    <w:rsid w:val="00AD64AE"/>
    <w:rsid w:val="00AD6ACE"/>
    <w:rsid w:val="00AD6E2D"/>
    <w:rsid w:val="00AD6F59"/>
    <w:rsid w:val="00AD72F4"/>
    <w:rsid w:val="00AE125B"/>
    <w:rsid w:val="00AE1753"/>
    <w:rsid w:val="00AE2220"/>
    <w:rsid w:val="00AE3316"/>
    <w:rsid w:val="00AE3CC8"/>
    <w:rsid w:val="00AE3CFA"/>
    <w:rsid w:val="00AE4245"/>
    <w:rsid w:val="00AE466B"/>
    <w:rsid w:val="00AE4C18"/>
    <w:rsid w:val="00AE517C"/>
    <w:rsid w:val="00AE6554"/>
    <w:rsid w:val="00AE6853"/>
    <w:rsid w:val="00AE6A41"/>
    <w:rsid w:val="00AE78FE"/>
    <w:rsid w:val="00AF00C2"/>
    <w:rsid w:val="00AF15AC"/>
    <w:rsid w:val="00AF1C3B"/>
    <w:rsid w:val="00AF207F"/>
    <w:rsid w:val="00AF2386"/>
    <w:rsid w:val="00AF294B"/>
    <w:rsid w:val="00AF2B4F"/>
    <w:rsid w:val="00AF3257"/>
    <w:rsid w:val="00AF34B0"/>
    <w:rsid w:val="00AF426F"/>
    <w:rsid w:val="00AF4D97"/>
    <w:rsid w:val="00AF5CAD"/>
    <w:rsid w:val="00AF6283"/>
    <w:rsid w:val="00B00A8F"/>
    <w:rsid w:val="00B01500"/>
    <w:rsid w:val="00B0164A"/>
    <w:rsid w:val="00B0213C"/>
    <w:rsid w:val="00B0263C"/>
    <w:rsid w:val="00B027A9"/>
    <w:rsid w:val="00B0416A"/>
    <w:rsid w:val="00B04D94"/>
    <w:rsid w:val="00B06438"/>
    <w:rsid w:val="00B0701E"/>
    <w:rsid w:val="00B07E93"/>
    <w:rsid w:val="00B105AD"/>
    <w:rsid w:val="00B10D55"/>
    <w:rsid w:val="00B1463B"/>
    <w:rsid w:val="00B14C60"/>
    <w:rsid w:val="00B14D9B"/>
    <w:rsid w:val="00B14DE9"/>
    <w:rsid w:val="00B15A54"/>
    <w:rsid w:val="00B15EDE"/>
    <w:rsid w:val="00B16D6C"/>
    <w:rsid w:val="00B17F8A"/>
    <w:rsid w:val="00B20BBF"/>
    <w:rsid w:val="00B2223B"/>
    <w:rsid w:val="00B223B9"/>
    <w:rsid w:val="00B22DF8"/>
    <w:rsid w:val="00B23136"/>
    <w:rsid w:val="00B23999"/>
    <w:rsid w:val="00B23A48"/>
    <w:rsid w:val="00B24CBD"/>
    <w:rsid w:val="00B2552A"/>
    <w:rsid w:val="00B266D7"/>
    <w:rsid w:val="00B27039"/>
    <w:rsid w:val="00B278E8"/>
    <w:rsid w:val="00B27CAD"/>
    <w:rsid w:val="00B30725"/>
    <w:rsid w:val="00B31C09"/>
    <w:rsid w:val="00B32C85"/>
    <w:rsid w:val="00B32E21"/>
    <w:rsid w:val="00B3350E"/>
    <w:rsid w:val="00B3467C"/>
    <w:rsid w:val="00B3683E"/>
    <w:rsid w:val="00B36A6E"/>
    <w:rsid w:val="00B373B1"/>
    <w:rsid w:val="00B375EA"/>
    <w:rsid w:val="00B44620"/>
    <w:rsid w:val="00B44F47"/>
    <w:rsid w:val="00B4519A"/>
    <w:rsid w:val="00B4527B"/>
    <w:rsid w:val="00B45BFA"/>
    <w:rsid w:val="00B4622E"/>
    <w:rsid w:val="00B46243"/>
    <w:rsid w:val="00B46B5F"/>
    <w:rsid w:val="00B47650"/>
    <w:rsid w:val="00B50B31"/>
    <w:rsid w:val="00B5149C"/>
    <w:rsid w:val="00B51D81"/>
    <w:rsid w:val="00B5217C"/>
    <w:rsid w:val="00B5219F"/>
    <w:rsid w:val="00B5579B"/>
    <w:rsid w:val="00B55D6C"/>
    <w:rsid w:val="00B566E6"/>
    <w:rsid w:val="00B56E59"/>
    <w:rsid w:val="00B57332"/>
    <w:rsid w:val="00B576A5"/>
    <w:rsid w:val="00B57BEC"/>
    <w:rsid w:val="00B57E28"/>
    <w:rsid w:val="00B62952"/>
    <w:rsid w:val="00B62B61"/>
    <w:rsid w:val="00B62D23"/>
    <w:rsid w:val="00B63675"/>
    <w:rsid w:val="00B63A0E"/>
    <w:rsid w:val="00B645E3"/>
    <w:rsid w:val="00B64BF6"/>
    <w:rsid w:val="00B64EDA"/>
    <w:rsid w:val="00B64F79"/>
    <w:rsid w:val="00B658A6"/>
    <w:rsid w:val="00B67D2F"/>
    <w:rsid w:val="00B7150D"/>
    <w:rsid w:val="00B71534"/>
    <w:rsid w:val="00B7217C"/>
    <w:rsid w:val="00B72B8E"/>
    <w:rsid w:val="00B73F34"/>
    <w:rsid w:val="00B73FBB"/>
    <w:rsid w:val="00B74FBA"/>
    <w:rsid w:val="00B7633E"/>
    <w:rsid w:val="00B76F4F"/>
    <w:rsid w:val="00B773FF"/>
    <w:rsid w:val="00B776E1"/>
    <w:rsid w:val="00B77EA2"/>
    <w:rsid w:val="00B81686"/>
    <w:rsid w:val="00B83055"/>
    <w:rsid w:val="00B84050"/>
    <w:rsid w:val="00B86876"/>
    <w:rsid w:val="00B874A3"/>
    <w:rsid w:val="00B87598"/>
    <w:rsid w:val="00B906AA"/>
    <w:rsid w:val="00B93265"/>
    <w:rsid w:val="00B94A1E"/>
    <w:rsid w:val="00B96372"/>
    <w:rsid w:val="00B96618"/>
    <w:rsid w:val="00B97BA8"/>
    <w:rsid w:val="00BA000E"/>
    <w:rsid w:val="00BA0156"/>
    <w:rsid w:val="00BA01EC"/>
    <w:rsid w:val="00BA0530"/>
    <w:rsid w:val="00BA120F"/>
    <w:rsid w:val="00BA17EA"/>
    <w:rsid w:val="00BA18DA"/>
    <w:rsid w:val="00BA22EF"/>
    <w:rsid w:val="00BA2D49"/>
    <w:rsid w:val="00BA34B2"/>
    <w:rsid w:val="00BA438F"/>
    <w:rsid w:val="00BA4435"/>
    <w:rsid w:val="00BA4664"/>
    <w:rsid w:val="00BA49FE"/>
    <w:rsid w:val="00BA6566"/>
    <w:rsid w:val="00BA68E3"/>
    <w:rsid w:val="00BA6F03"/>
    <w:rsid w:val="00BA7B3C"/>
    <w:rsid w:val="00BB068C"/>
    <w:rsid w:val="00BB0B3E"/>
    <w:rsid w:val="00BB0E95"/>
    <w:rsid w:val="00BB1386"/>
    <w:rsid w:val="00BB2842"/>
    <w:rsid w:val="00BB3B79"/>
    <w:rsid w:val="00BB4CC2"/>
    <w:rsid w:val="00BB56E2"/>
    <w:rsid w:val="00BB58AE"/>
    <w:rsid w:val="00BB5DB1"/>
    <w:rsid w:val="00BB6B94"/>
    <w:rsid w:val="00BB71E9"/>
    <w:rsid w:val="00BB75FC"/>
    <w:rsid w:val="00BC0C2B"/>
    <w:rsid w:val="00BC29F7"/>
    <w:rsid w:val="00BC2ACE"/>
    <w:rsid w:val="00BC2D15"/>
    <w:rsid w:val="00BC3351"/>
    <w:rsid w:val="00BC4460"/>
    <w:rsid w:val="00BC45CD"/>
    <w:rsid w:val="00BC48B1"/>
    <w:rsid w:val="00BC5A31"/>
    <w:rsid w:val="00BC6037"/>
    <w:rsid w:val="00BC61FA"/>
    <w:rsid w:val="00BC68F4"/>
    <w:rsid w:val="00BC6B8F"/>
    <w:rsid w:val="00BD050D"/>
    <w:rsid w:val="00BD06BD"/>
    <w:rsid w:val="00BD094A"/>
    <w:rsid w:val="00BD0976"/>
    <w:rsid w:val="00BD0FA2"/>
    <w:rsid w:val="00BD1824"/>
    <w:rsid w:val="00BD265A"/>
    <w:rsid w:val="00BD3447"/>
    <w:rsid w:val="00BD376D"/>
    <w:rsid w:val="00BD4BAF"/>
    <w:rsid w:val="00BD50E5"/>
    <w:rsid w:val="00BD5285"/>
    <w:rsid w:val="00BD562C"/>
    <w:rsid w:val="00BD5D14"/>
    <w:rsid w:val="00BD61E5"/>
    <w:rsid w:val="00BD6611"/>
    <w:rsid w:val="00BD6B3D"/>
    <w:rsid w:val="00BE0B31"/>
    <w:rsid w:val="00BE0C31"/>
    <w:rsid w:val="00BE1655"/>
    <w:rsid w:val="00BE165C"/>
    <w:rsid w:val="00BE2A55"/>
    <w:rsid w:val="00BE308C"/>
    <w:rsid w:val="00BE3AC1"/>
    <w:rsid w:val="00BE43D3"/>
    <w:rsid w:val="00BE540B"/>
    <w:rsid w:val="00BE57AC"/>
    <w:rsid w:val="00BE5A0F"/>
    <w:rsid w:val="00BE7C9B"/>
    <w:rsid w:val="00BF16FF"/>
    <w:rsid w:val="00BF274B"/>
    <w:rsid w:val="00BF2C19"/>
    <w:rsid w:val="00BF303C"/>
    <w:rsid w:val="00BF328C"/>
    <w:rsid w:val="00BF3A9D"/>
    <w:rsid w:val="00BF4B51"/>
    <w:rsid w:val="00BF4C8F"/>
    <w:rsid w:val="00BF5CBB"/>
    <w:rsid w:val="00BF65D6"/>
    <w:rsid w:val="00BF774D"/>
    <w:rsid w:val="00C0000F"/>
    <w:rsid w:val="00C003A4"/>
    <w:rsid w:val="00C004F0"/>
    <w:rsid w:val="00C00764"/>
    <w:rsid w:val="00C00B5E"/>
    <w:rsid w:val="00C017CB"/>
    <w:rsid w:val="00C01B8A"/>
    <w:rsid w:val="00C01DCE"/>
    <w:rsid w:val="00C0338C"/>
    <w:rsid w:val="00C03D0A"/>
    <w:rsid w:val="00C05B97"/>
    <w:rsid w:val="00C062FD"/>
    <w:rsid w:val="00C07256"/>
    <w:rsid w:val="00C0752B"/>
    <w:rsid w:val="00C07B3D"/>
    <w:rsid w:val="00C1018E"/>
    <w:rsid w:val="00C10B0E"/>
    <w:rsid w:val="00C10DC6"/>
    <w:rsid w:val="00C11A4B"/>
    <w:rsid w:val="00C11ED9"/>
    <w:rsid w:val="00C12ADD"/>
    <w:rsid w:val="00C12C7D"/>
    <w:rsid w:val="00C13ACF"/>
    <w:rsid w:val="00C14D1F"/>
    <w:rsid w:val="00C14DCB"/>
    <w:rsid w:val="00C15368"/>
    <w:rsid w:val="00C15F53"/>
    <w:rsid w:val="00C16C86"/>
    <w:rsid w:val="00C17442"/>
    <w:rsid w:val="00C20AFD"/>
    <w:rsid w:val="00C20DD3"/>
    <w:rsid w:val="00C21220"/>
    <w:rsid w:val="00C216CC"/>
    <w:rsid w:val="00C22377"/>
    <w:rsid w:val="00C22D7C"/>
    <w:rsid w:val="00C2328D"/>
    <w:rsid w:val="00C23367"/>
    <w:rsid w:val="00C23566"/>
    <w:rsid w:val="00C236BE"/>
    <w:rsid w:val="00C25F56"/>
    <w:rsid w:val="00C26681"/>
    <w:rsid w:val="00C269BA"/>
    <w:rsid w:val="00C26AC6"/>
    <w:rsid w:val="00C27EAA"/>
    <w:rsid w:val="00C31DC6"/>
    <w:rsid w:val="00C31DDE"/>
    <w:rsid w:val="00C32CE6"/>
    <w:rsid w:val="00C34E59"/>
    <w:rsid w:val="00C362B1"/>
    <w:rsid w:val="00C36869"/>
    <w:rsid w:val="00C36E56"/>
    <w:rsid w:val="00C37AC5"/>
    <w:rsid w:val="00C40716"/>
    <w:rsid w:val="00C409D7"/>
    <w:rsid w:val="00C40B5E"/>
    <w:rsid w:val="00C40D2D"/>
    <w:rsid w:val="00C41A76"/>
    <w:rsid w:val="00C41D80"/>
    <w:rsid w:val="00C4265C"/>
    <w:rsid w:val="00C428C1"/>
    <w:rsid w:val="00C42D03"/>
    <w:rsid w:val="00C43809"/>
    <w:rsid w:val="00C443C1"/>
    <w:rsid w:val="00C44C3F"/>
    <w:rsid w:val="00C46ACD"/>
    <w:rsid w:val="00C4711F"/>
    <w:rsid w:val="00C4777A"/>
    <w:rsid w:val="00C50E6D"/>
    <w:rsid w:val="00C51203"/>
    <w:rsid w:val="00C51B3F"/>
    <w:rsid w:val="00C51C0F"/>
    <w:rsid w:val="00C51E10"/>
    <w:rsid w:val="00C52206"/>
    <w:rsid w:val="00C5236E"/>
    <w:rsid w:val="00C52DDE"/>
    <w:rsid w:val="00C54333"/>
    <w:rsid w:val="00C5538C"/>
    <w:rsid w:val="00C55508"/>
    <w:rsid w:val="00C5553B"/>
    <w:rsid w:val="00C55B2C"/>
    <w:rsid w:val="00C55BCD"/>
    <w:rsid w:val="00C56552"/>
    <w:rsid w:val="00C5786C"/>
    <w:rsid w:val="00C6018D"/>
    <w:rsid w:val="00C60C58"/>
    <w:rsid w:val="00C6327D"/>
    <w:rsid w:val="00C63444"/>
    <w:rsid w:val="00C63D7A"/>
    <w:rsid w:val="00C64106"/>
    <w:rsid w:val="00C64910"/>
    <w:rsid w:val="00C64F37"/>
    <w:rsid w:val="00C65285"/>
    <w:rsid w:val="00C65753"/>
    <w:rsid w:val="00C65A08"/>
    <w:rsid w:val="00C662FA"/>
    <w:rsid w:val="00C6667C"/>
    <w:rsid w:val="00C6713F"/>
    <w:rsid w:val="00C707EF"/>
    <w:rsid w:val="00C70AD4"/>
    <w:rsid w:val="00C711B9"/>
    <w:rsid w:val="00C725AD"/>
    <w:rsid w:val="00C736E6"/>
    <w:rsid w:val="00C73C6C"/>
    <w:rsid w:val="00C75CDD"/>
    <w:rsid w:val="00C760D0"/>
    <w:rsid w:val="00C7683A"/>
    <w:rsid w:val="00C76DCC"/>
    <w:rsid w:val="00C8021D"/>
    <w:rsid w:val="00C80252"/>
    <w:rsid w:val="00C807B6"/>
    <w:rsid w:val="00C80B6B"/>
    <w:rsid w:val="00C8119A"/>
    <w:rsid w:val="00C83C6A"/>
    <w:rsid w:val="00C83D1D"/>
    <w:rsid w:val="00C843DC"/>
    <w:rsid w:val="00C854E1"/>
    <w:rsid w:val="00C86ED6"/>
    <w:rsid w:val="00C9020D"/>
    <w:rsid w:val="00C914FC"/>
    <w:rsid w:val="00C91AAE"/>
    <w:rsid w:val="00C92CD7"/>
    <w:rsid w:val="00C93694"/>
    <w:rsid w:val="00C93962"/>
    <w:rsid w:val="00C94219"/>
    <w:rsid w:val="00C9450A"/>
    <w:rsid w:val="00C94774"/>
    <w:rsid w:val="00C948B1"/>
    <w:rsid w:val="00C949EB"/>
    <w:rsid w:val="00C968F0"/>
    <w:rsid w:val="00CA012D"/>
    <w:rsid w:val="00CA084F"/>
    <w:rsid w:val="00CA1F02"/>
    <w:rsid w:val="00CA3B3D"/>
    <w:rsid w:val="00CA54B6"/>
    <w:rsid w:val="00CA5B05"/>
    <w:rsid w:val="00CA6C90"/>
    <w:rsid w:val="00CA6F2E"/>
    <w:rsid w:val="00CA7F28"/>
    <w:rsid w:val="00CB0501"/>
    <w:rsid w:val="00CB089E"/>
    <w:rsid w:val="00CB0A6C"/>
    <w:rsid w:val="00CB1F21"/>
    <w:rsid w:val="00CB25A6"/>
    <w:rsid w:val="00CB26FE"/>
    <w:rsid w:val="00CB2F2A"/>
    <w:rsid w:val="00CB52AF"/>
    <w:rsid w:val="00CB53EB"/>
    <w:rsid w:val="00CB54E5"/>
    <w:rsid w:val="00CB6B51"/>
    <w:rsid w:val="00CB6E01"/>
    <w:rsid w:val="00CB7AE4"/>
    <w:rsid w:val="00CB7C18"/>
    <w:rsid w:val="00CC04BC"/>
    <w:rsid w:val="00CC06B8"/>
    <w:rsid w:val="00CC1227"/>
    <w:rsid w:val="00CC1BCD"/>
    <w:rsid w:val="00CC216D"/>
    <w:rsid w:val="00CC29C6"/>
    <w:rsid w:val="00CC2B6B"/>
    <w:rsid w:val="00CC55C8"/>
    <w:rsid w:val="00CC63B9"/>
    <w:rsid w:val="00CC6CDE"/>
    <w:rsid w:val="00CC771C"/>
    <w:rsid w:val="00CC7E24"/>
    <w:rsid w:val="00CD029F"/>
    <w:rsid w:val="00CD1A65"/>
    <w:rsid w:val="00CD2306"/>
    <w:rsid w:val="00CD342B"/>
    <w:rsid w:val="00CD3816"/>
    <w:rsid w:val="00CD3F12"/>
    <w:rsid w:val="00CD5217"/>
    <w:rsid w:val="00CD525E"/>
    <w:rsid w:val="00CD5328"/>
    <w:rsid w:val="00CD5989"/>
    <w:rsid w:val="00CD7BEA"/>
    <w:rsid w:val="00CE04E1"/>
    <w:rsid w:val="00CE07DC"/>
    <w:rsid w:val="00CE12B6"/>
    <w:rsid w:val="00CE17E6"/>
    <w:rsid w:val="00CE1846"/>
    <w:rsid w:val="00CE1920"/>
    <w:rsid w:val="00CE23F7"/>
    <w:rsid w:val="00CE2DE2"/>
    <w:rsid w:val="00CE2EC4"/>
    <w:rsid w:val="00CE2FCC"/>
    <w:rsid w:val="00CE4780"/>
    <w:rsid w:val="00CE4BE6"/>
    <w:rsid w:val="00CE526D"/>
    <w:rsid w:val="00CE54C2"/>
    <w:rsid w:val="00CE54C8"/>
    <w:rsid w:val="00CE577C"/>
    <w:rsid w:val="00CE5F26"/>
    <w:rsid w:val="00CF0530"/>
    <w:rsid w:val="00CF098F"/>
    <w:rsid w:val="00CF1119"/>
    <w:rsid w:val="00CF11E2"/>
    <w:rsid w:val="00CF1E44"/>
    <w:rsid w:val="00CF358D"/>
    <w:rsid w:val="00CF5213"/>
    <w:rsid w:val="00CF560B"/>
    <w:rsid w:val="00CF7001"/>
    <w:rsid w:val="00CF7048"/>
    <w:rsid w:val="00CF74F3"/>
    <w:rsid w:val="00D005A2"/>
    <w:rsid w:val="00D00992"/>
    <w:rsid w:val="00D00D4C"/>
    <w:rsid w:val="00D01773"/>
    <w:rsid w:val="00D01B6A"/>
    <w:rsid w:val="00D0230E"/>
    <w:rsid w:val="00D04205"/>
    <w:rsid w:val="00D0492C"/>
    <w:rsid w:val="00D04E42"/>
    <w:rsid w:val="00D04F24"/>
    <w:rsid w:val="00D051AB"/>
    <w:rsid w:val="00D065AC"/>
    <w:rsid w:val="00D0665D"/>
    <w:rsid w:val="00D0672D"/>
    <w:rsid w:val="00D06A09"/>
    <w:rsid w:val="00D071D9"/>
    <w:rsid w:val="00D07297"/>
    <w:rsid w:val="00D077DA"/>
    <w:rsid w:val="00D07D2C"/>
    <w:rsid w:val="00D10C82"/>
    <w:rsid w:val="00D111AF"/>
    <w:rsid w:val="00D125BF"/>
    <w:rsid w:val="00D1284F"/>
    <w:rsid w:val="00D1395F"/>
    <w:rsid w:val="00D13EBA"/>
    <w:rsid w:val="00D1407E"/>
    <w:rsid w:val="00D14CFC"/>
    <w:rsid w:val="00D15781"/>
    <w:rsid w:val="00D170B8"/>
    <w:rsid w:val="00D173FD"/>
    <w:rsid w:val="00D1798E"/>
    <w:rsid w:val="00D203D3"/>
    <w:rsid w:val="00D211C8"/>
    <w:rsid w:val="00D21686"/>
    <w:rsid w:val="00D219B7"/>
    <w:rsid w:val="00D22E5B"/>
    <w:rsid w:val="00D231AA"/>
    <w:rsid w:val="00D242CA"/>
    <w:rsid w:val="00D24501"/>
    <w:rsid w:val="00D274CF"/>
    <w:rsid w:val="00D27F9C"/>
    <w:rsid w:val="00D307C6"/>
    <w:rsid w:val="00D3158F"/>
    <w:rsid w:val="00D33228"/>
    <w:rsid w:val="00D34B7B"/>
    <w:rsid w:val="00D34F29"/>
    <w:rsid w:val="00D35801"/>
    <w:rsid w:val="00D41FFC"/>
    <w:rsid w:val="00D430CB"/>
    <w:rsid w:val="00D43B6E"/>
    <w:rsid w:val="00D45FEB"/>
    <w:rsid w:val="00D463A0"/>
    <w:rsid w:val="00D5240F"/>
    <w:rsid w:val="00D54498"/>
    <w:rsid w:val="00D5747F"/>
    <w:rsid w:val="00D60E8B"/>
    <w:rsid w:val="00D62AE4"/>
    <w:rsid w:val="00D63BF5"/>
    <w:rsid w:val="00D65113"/>
    <w:rsid w:val="00D6547D"/>
    <w:rsid w:val="00D65CC4"/>
    <w:rsid w:val="00D6728D"/>
    <w:rsid w:val="00D701D2"/>
    <w:rsid w:val="00D703E9"/>
    <w:rsid w:val="00D70E42"/>
    <w:rsid w:val="00D71244"/>
    <w:rsid w:val="00D7337C"/>
    <w:rsid w:val="00D733E9"/>
    <w:rsid w:val="00D741AD"/>
    <w:rsid w:val="00D74BE2"/>
    <w:rsid w:val="00D74DA7"/>
    <w:rsid w:val="00D751D9"/>
    <w:rsid w:val="00D7575D"/>
    <w:rsid w:val="00D7577A"/>
    <w:rsid w:val="00D76783"/>
    <w:rsid w:val="00D82534"/>
    <w:rsid w:val="00D82F5E"/>
    <w:rsid w:val="00D83BD3"/>
    <w:rsid w:val="00D83F66"/>
    <w:rsid w:val="00D843AA"/>
    <w:rsid w:val="00D847C4"/>
    <w:rsid w:val="00D8483D"/>
    <w:rsid w:val="00D85EAE"/>
    <w:rsid w:val="00D8612C"/>
    <w:rsid w:val="00D863C2"/>
    <w:rsid w:val="00D90805"/>
    <w:rsid w:val="00D90FF4"/>
    <w:rsid w:val="00D93122"/>
    <w:rsid w:val="00D93CD5"/>
    <w:rsid w:val="00D94101"/>
    <w:rsid w:val="00D94825"/>
    <w:rsid w:val="00D94CA8"/>
    <w:rsid w:val="00D95151"/>
    <w:rsid w:val="00D95F68"/>
    <w:rsid w:val="00D97E81"/>
    <w:rsid w:val="00DA0153"/>
    <w:rsid w:val="00DA0331"/>
    <w:rsid w:val="00DA1E0F"/>
    <w:rsid w:val="00DA2D0B"/>
    <w:rsid w:val="00DA45D2"/>
    <w:rsid w:val="00DA5026"/>
    <w:rsid w:val="00DA509F"/>
    <w:rsid w:val="00DA7469"/>
    <w:rsid w:val="00DA7D3D"/>
    <w:rsid w:val="00DB08C0"/>
    <w:rsid w:val="00DB0A6C"/>
    <w:rsid w:val="00DB0E0E"/>
    <w:rsid w:val="00DB2869"/>
    <w:rsid w:val="00DB301E"/>
    <w:rsid w:val="00DB319B"/>
    <w:rsid w:val="00DB4568"/>
    <w:rsid w:val="00DB5488"/>
    <w:rsid w:val="00DB64DC"/>
    <w:rsid w:val="00DB6710"/>
    <w:rsid w:val="00DB6949"/>
    <w:rsid w:val="00DB707C"/>
    <w:rsid w:val="00DB76BB"/>
    <w:rsid w:val="00DC349D"/>
    <w:rsid w:val="00DC35E5"/>
    <w:rsid w:val="00DC3C34"/>
    <w:rsid w:val="00DC3F6F"/>
    <w:rsid w:val="00DC5CD6"/>
    <w:rsid w:val="00DC6CA9"/>
    <w:rsid w:val="00DC78A5"/>
    <w:rsid w:val="00DD0029"/>
    <w:rsid w:val="00DD0489"/>
    <w:rsid w:val="00DD07FD"/>
    <w:rsid w:val="00DD0ACB"/>
    <w:rsid w:val="00DD0EA5"/>
    <w:rsid w:val="00DD1DA9"/>
    <w:rsid w:val="00DD1DCF"/>
    <w:rsid w:val="00DD2250"/>
    <w:rsid w:val="00DD233F"/>
    <w:rsid w:val="00DD3BEB"/>
    <w:rsid w:val="00DD4985"/>
    <w:rsid w:val="00DD4EF5"/>
    <w:rsid w:val="00DD5B4E"/>
    <w:rsid w:val="00DD68D1"/>
    <w:rsid w:val="00DE2318"/>
    <w:rsid w:val="00DE37B3"/>
    <w:rsid w:val="00DE4F77"/>
    <w:rsid w:val="00DE69DD"/>
    <w:rsid w:val="00DE6A65"/>
    <w:rsid w:val="00DF0A7C"/>
    <w:rsid w:val="00DF0BDB"/>
    <w:rsid w:val="00DF1108"/>
    <w:rsid w:val="00DF11ED"/>
    <w:rsid w:val="00DF1E8A"/>
    <w:rsid w:val="00DF20AA"/>
    <w:rsid w:val="00DF279F"/>
    <w:rsid w:val="00DF3335"/>
    <w:rsid w:val="00DF5529"/>
    <w:rsid w:val="00DF55B2"/>
    <w:rsid w:val="00DF5AC8"/>
    <w:rsid w:val="00DF5C77"/>
    <w:rsid w:val="00DF5D71"/>
    <w:rsid w:val="00DF65D3"/>
    <w:rsid w:val="00DF6BA9"/>
    <w:rsid w:val="00DF7CB8"/>
    <w:rsid w:val="00DF7DCA"/>
    <w:rsid w:val="00E02CD1"/>
    <w:rsid w:val="00E02DCE"/>
    <w:rsid w:val="00E02E7D"/>
    <w:rsid w:val="00E034F1"/>
    <w:rsid w:val="00E03641"/>
    <w:rsid w:val="00E0439A"/>
    <w:rsid w:val="00E04431"/>
    <w:rsid w:val="00E04CE3"/>
    <w:rsid w:val="00E05014"/>
    <w:rsid w:val="00E054D8"/>
    <w:rsid w:val="00E060DE"/>
    <w:rsid w:val="00E078C5"/>
    <w:rsid w:val="00E10015"/>
    <w:rsid w:val="00E104A8"/>
    <w:rsid w:val="00E10EF1"/>
    <w:rsid w:val="00E147DB"/>
    <w:rsid w:val="00E172F7"/>
    <w:rsid w:val="00E1747D"/>
    <w:rsid w:val="00E17ED9"/>
    <w:rsid w:val="00E20737"/>
    <w:rsid w:val="00E22C54"/>
    <w:rsid w:val="00E254F2"/>
    <w:rsid w:val="00E2622B"/>
    <w:rsid w:val="00E26E5A"/>
    <w:rsid w:val="00E2712A"/>
    <w:rsid w:val="00E27937"/>
    <w:rsid w:val="00E3143B"/>
    <w:rsid w:val="00E32941"/>
    <w:rsid w:val="00E332F6"/>
    <w:rsid w:val="00E33738"/>
    <w:rsid w:val="00E35091"/>
    <w:rsid w:val="00E3529D"/>
    <w:rsid w:val="00E36103"/>
    <w:rsid w:val="00E361D9"/>
    <w:rsid w:val="00E369CA"/>
    <w:rsid w:val="00E3736A"/>
    <w:rsid w:val="00E37845"/>
    <w:rsid w:val="00E37C13"/>
    <w:rsid w:val="00E37E5D"/>
    <w:rsid w:val="00E41290"/>
    <w:rsid w:val="00E4193E"/>
    <w:rsid w:val="00E42118"/>
    <w:rsid w:val="00E4232C"/>
    <w:rsid w:val="00E423A8"/>
    <w:rsid w:val="00E4294C"/>
    <w:rsid w:val="00E42E09"/>
    <w:rsid w:val="00E42E37"/>
    <w:rsid w:val="00E43439"/>
    <w:rsid w:val="00E44025"/>
    <w:rsid w:val="00E46085"/>
    <w:rsid w:val="00E46107"/>
    <w:rsid w:val="00E4629B"/>
    <w:rsid w:val="00E51B87"/>
    <w:rsid w:val="00E52355"/>
    <w:rsid w:val="00E52F45"/>
    <w:rsid w:val="00E53AC8"/>
    <w:rsid w:val="00E54077"/>
    <w:rsid w:val="00E54219"/>
    <w:rsid w:val="00E54542"/>
    <w:rsid w:val="00E54B5B"/>
    <w:rsid w:val="00E557AC"/>
    <w:rsid w:val="00E55908"/>
    <w:rsid w:val="00E56EC1"/>
    <w:rsid w:val="00E571F3"/>
    <w:rsid w:val="00E607EC"/>
    <w:rsid w:val="00E60934"/>
    <w:rsid w:val="00E627FB"/>
    <w:rsid w:val="00E63563"/>
    <w:rsid w:val="00E63C00"/>
    <w:rsid w:val="00E65581"/>
    <w:rsid w:val="00E6776D"/>
    <w:rsid w:val="00E70958"/>
    <w:rsid w:val="00E712C4"/>
    <w:rsid w:val="00E71B57"/>
    <w:rsid w:val="00E73AC1"/>
    <w:rsid w:val="00E74183"/>
    <w:rsid w:val="00E74F74"/>
    <w:rsid w:val="00E75AE2"/>
    <w:rsid w:val="00E764C6"/>
    <w:rsid w:val="00E76535"/>
    <w:rsid w:val="00E76B40"/>
    <w:rsid w:val="00E77D12"/>
    <w:rsid w:val="00E77E8A"/>
    <w:rsid w:val="00E82136"/>
    <w:rsid w:val="00E82709"/>
    <w:rsid w:val="00E828EB"/>
    <w:rsid w:val="00E82EF6"/>
    <w:rsid w:val="00E84717"/>
    <w:rsid w:val="00E84C08"/>
    <w:rsid w:val="00E8668A"/>
    <w:rsid w:val="00E8669A"/>
    <w:rsid w:val="00E8781B"/>
    <w:rsid w:val="00E9069D"/>
    <w:rsid w:val="00E9070E"/>
    <w:rsid w:val="00E90BF6"/>
    <w:rsid w:val="00E920C8"/>
    <w:rsid w:val="00E920DB"/>
    <w:rsid w:val="00E9290E"/>
    <w:rsid w:val="00E942EE"/>
    <w:rsid w:val="00E9506C"/>
    <w:rsid w:val="00E956C2"/>
    <w:rsid w:val="00E9590B"/>
    <w:rsid w:val="00E96B31"/>
    <w:rsid w:val="00E96E4D"/>
    <w:rsid w:val="00EA05F8"/>
    <w:rsid w:val="00EA0871"/>
    <w:rsid w:val="00EA10BF"/>
    <w:rsid w:val="00EA1106"/>
    <w:rsid w:val="00EA12D0"/>
    <w:rsid w:val="00EA1534"/>
    <w:rsid w:val="00EA22D8"/>
    <w:rsid w:val="00EA5149"/>
    <w:rsid w:val="00EA724E"/>
    <w:rsid w:val="00EB07F5"/>
    <w:rsid w:val="00EB0B86"/>
    <w:rsid w:val="00EB41E1"/>
    <w:rsid w:val="00EB43E3"/>
    <w:rsid w:val="00EB4A70"/>
    <w:rsid w:val="00EB4F3B"/>
    <w:rsid w:val="00EB5A4B"/>
    <w:rsid w:val="00EB5CCA"/>
    <w:rsid w:val="00EC0779"/>
    <w:rsid w:val="00EC0902"/>
    <w:rsid w:val="00EC0D89"/>
    <w:rsid w:val="00EC0F4B"/>
    <w:rsid w:val="00EC140F"/>
    <w:rsid w:val="00EC1677"/>
    <w:rsid w:val="00EC1761"/>
    <w:rsid w:val="00EC1D31"/>
    <w:rsid w:val="00EC24CC"/>
    <w:rsid w:val="00EC2CB1"/>
    <w:rsid w:val="00EC36C4"/>
    <w:rsid w:val="00EC42A0"/>
    <w:rsid w:val="00EC4307"/>
    <w:rsid w:val="00EC4855"/>
    <w:rsid w:val="00EC52CB"/>
    <w:rsid w:val="00EC5596"/>
    <w:rsid w:val="00EC574B"/>
    <w:rsid w:val="00EC61B9"/>
    <w:rsid w:val="00EC6538"/>
    <w:rsid w:val="00EC6F7E"/>
    <w:rsid w:val="00ED1644"/>
    <w:rsid w:val="00ED300B"/>
    <w:rsid w:val="00ED3116"/>
    <w:rsid w:val="00ED3D8A"/>
    <w:rsid w:val="00ED423F"/>
    <w:rsid w:val="00ED4A72"/>
    <w:rsid w:val="00ED58ED"/>
    <w:rsid w:val="00ED5BE4"/>
    <w:rsid w:val="00ED5C89"/>
    <w:rsid w:val="00ED6024"/>
    <w:rsid w:val="00ED687B"/>
    <w:rsid w:val="00ED6A6E"/>
    <w:rsid w:val="00EE0B22"/>
    <w:rsid w:val="00EE12F6"/>
    <w:rsid w:val="00EE1640"/>
    <w:rsid w:val="00EE195F"/>
    <w:rsid w:val="00EE1AC4"/>
    <w:rsid w:val="00EE1EA9"/>
    <w:rsid w:val="00EE21E9"/>
    <w:rsid w:val="00EE2746"/>
    <w:rsid w:val="00EE2E35"/>
    <w:rsid w:val="00EE3900"/>
    <w:rsid w:val="00EE4294"/>
    <w:rsid w:val="00EE42BF"/>
    <w:rsid w:val="00EE4613"/>
    <w:rsid w:val="00EE4813"/>
    <w:rsid w:val="00EE4FC6"/>
    <w:rsid w:val="00EE5E3B"/>
    <w:rsid w:val="00EF00EC"/>
    <w:rsid w:val="00EF0976"/>
    <w:rsid w:val="00EF2085"/>
    <w:rsid w:val="00EF3850"/>
    <w:rsid w:val="00EF3B62"/>
    <w:rsid w:val="00EF4FC8"/>
    <w:rsid w:val="00EF5C09"/>
    <w:rsid w:val="00EF5CC2"/>
    <w:rsid w:val="00EF5F3A"/>
    <w:rsid w:val="00EF6F01"/>
    <w:rsid w:val="00F00047"/>
    <w:rsid w:val="00F003F6"/>
    <w:rsid w:val="00F01262"/>
    <w:rsid w:val="00F01467"/>
    <w:rsid w:val="00F01C6A"/>
    <w:rsid w:val="00F03729"/>
    <w:rsid w:val="00F04ABF"/>
    <w:rsid w:val="00F04E1C"/>
    <w:rsid w:val="00F06D30"/>
    <w:rsid w:val="00F06FFD"/>
    <w:rsid w:val="00F11E21"/>
    <w:rsid w:val="00F11FB9"/>
    <w:rsid w:val="00F1300E"/>
    <w:rsid w:val="00F139A3"/>
    <w:rsid w:val="00F144A1"/>
    <w:rsid w:val="00F151DF"/>
    <w:rsid w:val="00F1744A"/>
    <w:rsid w:val="00F177D6"/>
    <w:rsid w:val="00F17EC7"/>
    <w:rsid w:val="00F20204"/>
    <w:rsid w:val="00F20976"/>
    <w:rsid w:val="00F21BFD"/>
    <w:rsid w:val="00F21D3A"/>
    <w:rsid w:val="00F21D5C"/>
    <w:rsid w:val="00F22DBA"/>
    <w:rsid w:val="00F233B1"/>
    <w:rsid w:val="00F23A83"/>
    <w:rsid w:val="00F24383"/>
    <w:rsid w:val="00F2608F"/>
    <w:rsid w:val="00F262C1"/>
    <w:rsid w:val="00F26518"/>
    <w:rsid w:val="00F269B2"/>
    <w:rsid w:val="00F27099"/>
    <w:rsid w:val="00F275A7"/>
    <w:rsid w:val="00F27CB4"/>
    <w:rsid w:val="00F31ADF"/>
    <w:rsid w:val="00F32561"/>
    <w:rsid w:val="00F358B9"/>
    <w:rsid w:val="00F37B02"/>
    <w:rsid w:val="00F400E2"/>
    <w:rsid w:val="00F40918"/>
    <w:rsid w:val="00F409F5"/>
    <w:rsid w:val="00F41B35"/>
    <w:rsid w:val="00F42412"/>
    <w:rsid w:val="00F43BE6"/>
    <w:rsid w:val="00F43E9B"/>
    <w:rsid w:val="00F4496E"/>
    <w:rsid w:val="00F45321"/>
    <w:rsid w:val="00F4532A"/>
    <w:rsid w:val="00F4555E"/>
    <w:rsid w:val="00F456FE"/>
    <w:rsid w:val="00F45E6C"/>
    <w:rsid w:val="00F4662F"/>
    <w:rsid w:val="00F46C9B"/>
    <w:rsid w:val="00F46FCF"/>
    <w:rsid w:val="00F47257"/>
    <w:rsid w:val="00F47952"/>
    <w:rsid w:val="00F47BB1"/>
    <w:rsid w:val="00F5016E"/>
    <w:rsid w:val="00F514D0"/>
    <w:rsid w:val="00F52174"/>
    <w:rsid w:val="00F5297A"/>
    <w:rsid w:val="00F52CEC"/>
    <w:rsid w:val="00F52EB7"/>
    <w:rsid w:val="00F54EB2"/>
    <w:rsid w:val="00F56256"/>
    <w:rsid w:val="00F56E56"/>
    <w:rsid w:val="00F57641"/>
    <w:rsid w:val="00F57882"/>
    <w:rsid w:val="00F60BF1"/>
    <w:rsid w:val="00F6120A"/>
    <w:rsid w:val="00F617A0"/>
    <w:rsid w:val="00F61E32"/>
    <w:rsid w:val="00F62772"/>
    <w:rsid w:val="00F637CB"/>
    <w:rsid w:val="00F63A44"/>
    <w:rsid w:val="00F6607A"/>
    <w:rsid w:val="00F665A1"/>
    <w:rsid w:val="00F668A7"/>
    <w:rsid w:val="00F668C7"/>
    <w:rsid w:val="00F66F62"/>
    <w:rsid w:val="00F67965"/>
    <w:rsid w:val="00F7177A"/>
    <w:rsid w:val="00F7294B"/>
    <w:rsid w:val="00F74892"/>
    <w:rsid w:val="00F74A9E"/>
    <w:rsid w:val="00F7519D"/>
    <w:rsid w:val="00F7641D"/>
    <w:rsid w:val="00F76A25"/>
    <w:rsid w:val="00F76D9B"/>
    <w:rsid w:val="00F776FC"/>
    <w:rsid w:val="00F80B4C"/>
    <w:rsid w:val="00F80FF6"/>
    <w:rsid w:val="00F8418D"/>
    <w:rsid w:val="00F84846"/>
    <w:rsid w:val="00F848A5"/>
    <w:rsid w:val="00F85098"/>
    <w:rsid w:val="00F85D5F"/>
    <w:rsid w:val="00F85F00"/>
    <w:rsid w:val="00F86385"/>
    <w:rsid w:val="00F86691"/>
    <w:rsid w:val="00F87670"/>
    <w:rsid w:val="00F90CF4"/>
    <w:rsid w:val="00F91105"/>
    <w:rsid w:val="00F92EA1"/>
    <w:rsid w:val="00F939B7"/>
    <w:rsid w:val="00F94661"/>
    <w:rsid w:val="00F9505F"/>
    <w:rsid w:val="00F962FF"/>
    <w:rsid w:val="00F96CB9"/>
    <w:rsid w:val="00F96E34"/>
    <w:rsid w:val="00FA07C2"/>
    <w:rsid w:val="00FA093D"/>
    <w:rsid w:val="00FA1491"/>
    <w:rsid w:val="00FA22CD"/>
    <w:rsid w:val="00FA29D5"/>
    <w:rsid w:val="00FA3672"/>
    <w:rsid w:val="00FA4134"/>
    <w:rsid w:val="00FA4290"/>
    <w:rsid w:val="00FA42D7"/>
    <w:rsid w:val="00FA5143"/>
    <w:rsid w:val="00FA67D9"/>
    <w:rsid w:val="00FA6A03"/>
    <w:rsid w:val="00FA7423"/>
    <w:rsid w:val="00FA7797"/>
    <w:rsid w:val="00FA7E08"/>
    <w:rsid w:val="00FB0C7B"/>
    <w:rsid w:val="00FB0D7F"/>
    <w:rsid w:val="00FB1380"/>
    <w:rsid w:val="00FB1952"/>
    <w:rsid w:val="00FB1985"/>
    <w:rsid w:val="00FB1F00"/>
    <w:rsid w:val="00FB203C"/>
    <w:rsid w:val="00FB2EF0"/>
    <w:rsid w:val="00FB3234"/>
    <w:rsid w:val="00FB37E5"/>
    <w:rsid w:val="00FB4B89"/>
    <w:rsid w:val="00FB5474"/>
    <w:rsid w:val="00FB63CC"/>
    <w:rsid w:val="00FC172E"/>
    <w:rsid w:val="00FC1D8B"/>
    <w:rsid w:val="00FC295F"/>
    <w:rsid w:val="00FC2F39"/>
    <w:rsid w:val="00FC4E5E"/>
    <w:rsid w:val="00FC5841"/>
    <w:rsid w:val="00FC5E02"/>
    <w:rsid w:val="00FC605C"/>
    <w:rsid w:val="00FC6D07"/>
    <w:rsid w:val="00FC73B6"/>
    <w:rsid w:val="00FC7F96"/>
    <w:rsid w:val="00FD00D4"/>
    <w:rsid w:val="00FD1025"/>
    <w:rsid w:val="00FD1570"/>
    <w:rsid w:val="00FD2477"/>
    <w:rsid w:val="00FD309A"/>
    <w:rsid w:val="00FD3477"/>
    <w:rsid w:val="00FD43FD"/>
    <w:rsid w:val="00FD4F62"/>
    <w:rsid w:val="00FD5488"/>
    <w:rsid w:val="00FD5B44"/>
    <w:rsid w:val="00FD7ACD"/>
    <w:rsid w:val="00FD7BB7"/>
    <w:rsid w:val="00FE2CFD"/>
    <w:rsid w:val="00FE33F2"/>
    <w:rsid w:val="00FE3862"/>
    <w:rsid w:val="00FE41DF"/>
    <w:rsid w:val="00FE4E26"/>
    <w:rsid w:val="00FE7709"/>
    <w:rsid w:val="00FF08C2"/>
    <w:rsid w:val="00FF13E8"/>
    <w:rsid w:val="00FF2050"/>
    <w:rsid w:val="00FF222E"/>
    <w:rsid w:val="00FF2326"/>
    <w:rsid w:val="00FF2489"/>
    <w:rsid w:val="00FF3435"/>
    <w:rsid w:val="00FF3816"/>
    <w:rsid w:val="00FF3D0A"/>
    <w:rsid w:val="00FF447C"/>
    <w:rsid w:val="00FF44DF"/>
    <w:rsid w:val="00FF4648"/>
    <w:rsid w:val="00FF5AD0"/>
    <w:rsid w:val="00FF6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semiHidden="0" w:unhideWhenUsed="0"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C52CB"/>
    <w:pPr>
      <w:spacing w:line="480" w:lineRule="atLeast"/>
      <w:ind w:firstLine="720"/>
    </w:pPr>
    <w:rPr>
      <w:rFonts w:ascii="Times New Roman" w:hAnsi="Times New Roman"/>
      <w:sz w:val="24"/>
      <w:szCs w:val="20"/>
      <w:lang w:eastAsia="zh-CN"/>
    </w:rPr>
  </w:style>
  <w:style w:type="paragraph" w:styleId="Heading1">
    <w:name w:val="heading 1"/>
    <w:basedOn w:val="single"/>
    <w:next w:val="Normal"/>
    <w:link w:val="Heading1Char"/>
    <w:uiPriority w:val="99"/>
    <w:qFormat/>
    <w:rsid w:val="00A15B24"/>
    <w:pPr>
      <w:keepNext/>
      <w:keepLines/>
      <w:numPr>
        <w:numId w:val="27"/>
      </w:numPr>
      <w:spacing w:after="320"/>
      <w:ind w:right="720"/>
      <w:jc w:val="center"/>
      <w:outlineLvl w:val="0"/>
    </w:pPr>
    <w:rPr>
      <w:b/>
    </w:rPr>
  </w:style>
  <w:style w:type="paragraph" w:styleId="Heading2">
    <w:name w:val="heading 2"/>
    <w:basedOn w:val="Heading1"/>
    <w:next w:val="Normal"/>
    <w:link w:val="Heading2Char"/>
    <w:qFormat/>
    <w:rsid w:val="00A15B24"/>
    <w:pPr>
      <w:numPr>
        <w:numId w:val="28"/>
      </w:numPr>
      <w:spacing w:before="360" w:after="360" w:line="240" w:lineRule="auto"/>
      <w:ind w:left="720" w:hanging="720"/>
      <w:jc w:val="left"/>
      <w:outlineLvl w:val="1"/>
    </w:pPr>
    <w:rPr>
      <w:u w:val="single"/>
    </w:rPr>
  </w:style>
  <w:style w:type="paragraph" w:styleId="Heading3">
    <w:name w:val="heading 3"/>
    <w:basedOn w:val="Heading2"/>
    <w:next w:val="Normal"/>
    <w:link w:val="Heading3Char"/>
    <w:uiPriority w:val="99"/>
    <w:qFormat/>
    <w:rsid w:val="00A15B24"/>
    <w:pPr>
      <w:numPr>
        <w:numId w:val="29"/>
      </w:numPr>
      <w:spacing w:before="120"/>
      <w:ind w:left="1440" w:hanging="720"/>
      <w:outlineLvl w:val="2"/>
    </w:pPr>
  </w:style>
  <w:style w:type="paragraph" w:styleId="Heading4">
    <w:name w:val="heading 4"/>
    <w:aliases w:val="h4"/>
    <w:basedOn w:val="Heading3"/>
    <w:next w:val="Normal"/>
    <w:link w:val="Heading4Char"/>
    <w:uiPriority w:val="99"/>
    <w:qFormat/>
    <w:rsid w:val="00EC61B9"/>
    <w:pPr>
      <w:ind w:left="2160"/>
      <w:outlineLvl w:val="3"/>
    </w:pPr>
  </w:style>
  <w:style w:type="paragraph" w:styleId="Heading5">
    <w:name w:val="heading 5"/>
    <w:aliases w:val="h5"/>
    <w:basedOn w:val="Heading4"/>
    <w:next w:val="Normal"/>
    <w:link w:val="Heading5Char"/>
    <w:uiPriority w:val="99"/>
    <w:qFormat/>
    <w:rsid w:val="00EC61B9"/>
    <w:pPr>
      <w:ind w:left="2880"/>
      <w:outlineLvl w:val="4"/>
    </w:pPr>
  </w:style>
  <w:style w:type="paragraph" w:styleId="Heading6">
    <w:name w:val="heading 6"/>
    <w:aliases w:val="h6"/>
    <w:basedOn w:val="Heading5"/>
    <w:next w:val="Normal"/>
    <w:link w:val="Heading6Char"/>
    <w:uiPriority w:val="99"/>
    <w:qFormat/>
    <w:rsid w:val="00EC61B9"/>
    <w:pPr>
      <w:ind w:left="3600"/>
      <w:outlineLvl w:val="5"/>
    </w:pPr>
  </w:style>
  <w:style w:type="paragraph" w:styleId="Heading7">
    <w:name w:val="heading 7"/>
    <w:aliases w:val="h7"/>
    <w:basedOn w:val="Heading6"/>
    <w:next w:val="Normal"/>
    <w:link w:val="Heading7Char"/>
    <w:uiPriority w:val="99"/>
    <w:qFormat/>
    <w:rsid w:val="00EC61B9"/>
    <w:pPr>
      <w:ind w:left="4320"/>
      <w:outlineLvl w:val="6"/>
    </w:pPr>
  </w:style>
  <w:style w:type="paragraph" w:styleId="Heading8">
    <w:name w:val="heading 8"/>
    <w:aliases w:val="h8"/>
    <w:basedOn w:val="Heading6"/>
    <w:next w:val="Normal"/>
    <w:link w:val="Heading8Char"/>
    <w:uiPriority w:val="99"/>
    <w:qFormat/>
    <w:rsid w:val="00EC61B9"/>
    <w:pPr>
      <w:ind w:left="5040"/>
      <w:outlineLvl w:val="7"/>
    </w:pPr>
  </w:style>
  <w:style w:type="paragraph" w:styleId="Heading9">
    <w:name w:val="heading 9"/>
    <w:aliases w:val="h9"/>
    <w:basedOn w:val="Heading6"/>
    <w:next w:val="Normal"/>
    <w:link w:val="Heading9Char"/>
    <w:uiPriority w:val="99"/>
    <w:qFormat/>
    <w:rsid w:val="00EC61B9"/>
    <w:pPr>
      <w:ind w:left="5760"/>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singleChar"/>
    <w:link w:val="Heading1"/>
    <w:uiPriority w:val="99"/>
    <w:locked/>
    <w:rsid w:val="00A15B24"/>
    <w:rPr>
      <w:rFonts w:ascii="Times New Roman" w:hAnsi="Times New Roman" w:cs="Times New Roman"/>
      <w:b/>
      <w:sz w:val="24"/>
      <w:szCs w:val="20"/>
      <w:lang w:val="en-US" w:eastAsia="zh-CN" w:bidi="ar-SA"/>
    </w:rPr>
  </w:style>
  <w:style w:type="character" w:customStyle="1" w:styleId="Heading2Char">
    <w:name w:val="Heading 2 Char"/>
    <w:basedOn w:val="Heading1Char"/>
    <w:link w:val="Heading2"/>
    <w:locked/>
    <w:rsid w:val="00A15B24"/>
    <w:rPr>
      <w:rFonts w:ascii="Times New Roman" w:hAnsi="Times New Roman" w:cs="Times New Roman"/>
      <w:b/>
      <w:sz w:val="24"/>
      <w:szCs w:val="20"/>
      <w:u w:val="single"/>
      <w:lang w:val="en-US" w:eastAsia="zh-CN" w:bidi="ar-SA"/>
    </w:rPr>
  </w:style>
  <w:style w:type="character" w:customStyle="1" w:styleId="Heading3Char">
    <w:name w:val="Heading 3 Char"/>
    <w:basedOn w:val="DefaultParagraphFont"/>
    <w:link w:val="Heading3"/>
    <w:uiPriority w:val="99"/>
    <w:locked/>
    <w:rsid w:val="00A15B24"/>
    <w:rPr>
      <w:rFonts w:ascii="Times New Roman" w:hAnsi="Times New Roman"/>
      <w:b/>
      <w:sz w:val="24"/>
      <w:szCs w:val="20"/>
      <w:u w:val="single"/>
      <w:lang w:eastAsia="zh-CN"/>
    </w:rPr>
  </w:style>
  <w:style w:type="character" w:customStyle="1" w:styleId="Heading4Char">
    <w:name w:val="Heading 4 Char"/>
    <w:aliases w:val="h4 Char"/>
    <w:basedOn w:val="DefaultParagraphFont"/>
    <w:link w:val="Heading4"/>
    <w:uiPriority w:val="99"/>
    <w:locked/>
    <w:rsid w:val="007D422A"/>
    <w:rPr>
      <w:rFonts w:ascii="Times New Roman" w:hAnsi="Times New Roman"/>
      <w:b/>
      <w:sz w:val="24"/>
      <w:szCs w:val="20"/>
      <w:u w:val="single"/>
      <w:lang w:eastAsia="zh-CN"/>
    </w:rPr>
  </w:style>
  <w:style w:type="character" w:customStyle="1" w:styleId="Heading5Char">
    <w:name w:val="Heading 5 Char"/>
    <w:aliases w:val="h5 Char"/>
    <w:basedOn w:val="DefaultParagraphFont"/>
    <w:link w:val="Heading5"/>
    <w:uiPriority w:val="99"/>
    <w:locked/>
    <w:rsid w:val="007D422A"/>
    <w:rPr>
      <w:rFonts w:ascii="Times New Roman" w:hAnsi="Times New Roman"/>
      <w:b/>
      <w:sz w:val="24"/>
      <w:szCs w:val="20"/>
      <w:u w:val="single"/>
      <w:lang w:eastAsia="zh-CN"/>
    </w:rPr>
  </w:style>
  <w:style w:type="character" w:customStyle="1" w:styleId="Heading6Char">
    <w:name w:val="Heading 6 Char"/>
    <w:aliases w:val="h6 Char"/>
    <w:basedOn w:val="DefaultParagraphFont"/>
    <w:link w:val="Heading6"/>
    <w:uiPriority w:val="99"/>
    <w:locked/>
    <w:rsid w:val="007D422A"/>
    <w:rPr>
      <w:rFonts w:ascii="Times New Roman" w:hAnsi="Times New Roman"/>
      <w:b/>
      <w:sz w:val="24"/>
      <w:szCs w:val="20"/>
      <w:u w:val="single"/>
      <w:lang w:eastAsia="zh-CN"/>
    </w:rPr>
  </w:style>
  <w:style w:type="character" w:customStyle="1" w:styleId="Heading7Char">
    <w:name w:val="Heading 7 Char"/>
    <w:aliases w:val="h7 Char"/>
    <w:basedOn w:val="DefaultParagraphFont"/>
    <w:link w:val="Heading7"/>
    <w:uiPriority w:val="99"/>
    <w:locked/>
    <w:rsid w:val="007D422A"/>
    <w:rPr>
      <w:rFonts w:ascii="Times New Roman" w:hAnsi="Times New Roman"/>
      <w:b/>
      <w:sz w:val="24"/>
      <w:szCs w:val="20"/>
      <w:u w:val="single"/>
      <w:lang w:eastAsia="zh-CN"/>
    </w:rPr>
  </w:style>
  <w:style w:type="character" w:customStyle="1" w:styleId="Heading8Char">
    <w:name w:val="Heading 8 Char"/>
    <w:aliases w:val="h8 Char"/>
    <w:basedOn w:val="DefaultParagraphFont"/>
    <w:link w:val="Heading8"/>
    <w:uiPriority w:val="99"/>
    <w:locked/>
    <w:rsid w:val="007D422A"/>
    <w:rPr>
      <w:rFonts w:ascii="Times New Roman" w:hAnsi="Times New Roman"/>
      <w:b/>
      <w:sz w:val="24"/>
      <w:szCs w:val="20"/>
      <w:u w:val="single"/>
      <w:lang w:eastAsia="zh-CN"/>
    </w:rPr>
  </w:style>
  <w:style w:type="character" w:customStyle="1" w:styleId="Heading9Char">
    <w:name w:val="Heading 9 Char"/>
    <w:aliases w:val="h9 Char"/>
    <w:basedOn w:val="DefaultParagraphFont"/>
    <w:link w:val="Heading9"/>
    <w:uiPriority w:val="99"/>
    <w:locked/>
    <w:rsid w:val="007D422A"/>
    <w:rPr>
      <w:rFonts w:ascii="Times New Roman" w:hAnsi="Times New Roman"/>
      <w:b/>
      <w:sz w:val="24"/>
      <w:szCs w:val="20"/>
      <w:u w:val="single"/>
      <w:lang w:eastAsia="zh-CN"/>
    </w:rPr>
  </w:style>
  <w:style w:type="paragraph" w:customStyle="1" w:styleId="single">
    <w:name w:val="single"/>
    <w:basedOn w:val="Normal"/>
    <w:link w:val="singleChar1"/>
    <w:uiPriority w:val="99"/>
    <w:rsid w:val="00EC61B9"/>
    <w:pPr>
      <w:spacing w:before="240" w:line="240" w:lineRule="atLeast"/>
    </w:p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szCs w:val="20"/>
      <w:lang w:eastAsia="zh-CN"/>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ft Char"/>
    <w:basedOn w:val="single"/>
    <w:link w:val="FootnoteTextChar"/>
    <w:qFormat/>
    <w:rsid w:val="00EC61B9"/>
    <w:rPr>
      <w:sz w:val="22"/>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basedOn w:val="DefaultParagraphFont"/>
    <w:link w:val="FootnoteText"/>
    <w:semiHidden/>
    <w:locked/>
    <w:rsid w:val="007D422A"/>
    <w:rPr>
      <w:rFonts w:ascii="Times New Roman" w:hAnsi="Times New Roman" w:cs="Times New Roman"/>
      <w:sz w:val="20"/>
      <w:szCs w:val="20"/>
      <w:lang w:eastAsia="zh-CN"/>
    </w:rPr>
  </w:style>
  <w:style w:type="paragraph" w:styleId="TOC7">
    <w:name w:val="toc 7"/>
    <w:basedOn w:val="TOC4"/>
    <w:uiPriority w:val="99"/>
    <w:semiHidden/>
    <w:rsid w:val="00EC61B9"/>
    <w:pPr>
      <w:ind w:left="5040"/>
    </w:pPr>
  </w:style>
  <w:style w:type="paragraph" w:styleId="TOC4">
    <w:name w:val="toc 4"/>
    <w:basedOn w:val="TOC3"/>
    <w:uiPriority w:val="39"/>
    <w:rsid w:val="00EC61B9"/>
    <w:pPr>
      <w:ind w:left="2880"/>
    </w:pPr>
  </w:style>
  <w:style w:type="paragraph" w:styleId="TOC3">
    <w:name w:val="toc 3"/>
    <w:basedOn w:val="TOC2"/>
    <w:uiPriority w:val="39"/>
    <w:rsid w:val="00EC61B9"/>
    <w:pPr>
      <w:ind w:left="2160"/>
    </w:pPr>
  </w:style>
  <w:style w:type="paragraph" w:styleId="TOC2">
    <w:name w:val="toc 2"/>
    <w:basedOn w:val="TOC1"/>
    <w:uiPriority w:val="39"/>
    <w:rsid w:val="00EC61B9"/>
    <w:pPr>
      <w:ind w:left="1440"/>
    </w:pPr>
  </w:style>
  <w:style w:type="paragraph" w:styleId="TOC1">
    <w:name w:val="toc 1"/>
    <w:basedOn w:val="unjustifiedblock"/>
    <w:uiPriority w:val="3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color w:val="000000"/>
    </w:rPr>
  </w:style>
  <w:style w:type="character" w:customStyle="1" w:styleId="FooterChar">
    <w:name w:val="Footer Char"/>
    <w:basedOn w:val="DefaultParagraphFont"/>
    <w:link w:val="Footer"/>
    <w:uiPriority w:val="99"/>
    <w:semiHidden/>
    <w:locked/>
    <w:rsid w:val="007D422A"/>
    <w:rPr>
      <w:rFonts w:ascii="Times New Roman" w:hAnsi="Times New Roman" w:cs="Times New Roman"/>
      <w:sz w:val="20"/>
      <w:szCs w:val="20"/>
      <w:lang w:eastAsia="zh-CN"/>
    </w:rPr>
  </w:style>
  <w:style w:type="paragraph" w:customStyle="1" w:styleId="plain">
    <w:name w:val="plain"/>
    <w:basedOn w:val="unjustifiedblock"/>
    <w:link w:val="plainChar"/>
    <w:rsid w:val="00EC61B9"/>
    <w:pPr>
      <w:spacing w:before="0"/>
    </w:pPr>
  </w:style>
  <w:style w:type="paragraph" w:styleId="Header">
    <w:name w:val="header"/>
    <w:basedOn w:val="plain"/>
    <w:link w:val="HeaderChar"/>
    <w:uiPriority w:val="99"/>
    <w:rsid w:val="00EC61B9"/>
    <w:pPr>
      <w:tabs>
        <w:tab w:val="center" w:pos="4507"/>
        <w:tab w:val="right" w:pos="9000"/>
      </w:tabs>
    </w:pPr>
  </w:style>
  <w:style w:type="character" w:customStyle="1" w:styleId="HeaderChar">
    <w:name w:val="Header Char"/>
    <w:basedOn w:val="DefaultParagraphFont"/>
    <w:link w:val="Header"/>
    <w:uiPriority w:val="99"/>
    <w:semiHidden/>
    <w:locked/>
    <w:rsid w:val="007D422A"/>
    <w:rPr>
      <w:rFonts w:ascii="Times New Roman" w:hAnsi="Times New Roman" w:cs="Times New Roman"/>
      <w:sz w:val="20"/>
      <w:szCs w:val="20"/>
      <w:lang w:eastAsia="zh-CN"/>
    </w:rPr>
  </w:style>
  <w:style w:type="character" w:styleId="FootnoteReference">
    <w:name w:val="footnote reference"/>
    <w:aliases w:val="o,fr,Style 3,Style 13,Style 12,Style 15,Style 17,Style 9,o1,fr1,o2,fr2,o3,fr3,Style 18,(NECG) Footnote Reference,Style 20,Style 7,Style 8,Style 19,Style 28,Style 11,Style 16,Styl"/>
    <w:basedOn w:val="DefaultParagraphFont"/>
    <w:qFormat/>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rPr>
      <w:rFonts w:ascii="CG Times (WN)" w:hAnsi="CG Times (WN)"/>
    </w:r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rFonts w:ascii="Arial" w:hAnsi="Arial"/>
      <w:sz w:val="22"/>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szCs w:val="20"/>
      <w:lang w:eastAsia="zh-CN"/>
    </w:rPr>
  </w:style>
  <w:style w:type="paragraph" w:styleId="BodyText">
    <w:name w:val="Body Text"/>
    <w:aliases w:val="bt"/>
    <w:basedOn w:val="Normal"/>
    <w:link w:val="BodyTextChar"/>
    <w:uiPriority w:val="99"/>
    <w:rsid w:val="00EC61B9"/>
    <w:pPr>
      <w:spacing w:line="240" w:lineRule="auto"/>
      <w:ind w:firstLine="0"/>
      <w:jc w:val="both"/>
    </w:pPr>
    <w:rPr>
      <w:lang w:val="en-GB"/>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szCs w:val="20"/>
      <w:lang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34EBA"/>
    <w:pPr>
      <w:keepNext/>
      <w:keepLines/>
      <w:spacing w:after="120" w:line="480" w:lineRule="auto"/>
    </w:pPr>
    <w:rPr>
      <w:rFonts w:eastAsia="SimSun"/>
      <w:b/>
    </w:rPr>
  </w:style>
  <w:style w:type="paragraph" w:customStyle="1" w:styleId="answer">
    <w:name w:val="answer"/>
    <w:basedOn w:val="Normal"/>
    <w:link w:val="answerChar1"/>
    <w:rsid w:val="00EC61B9"/>
    <w:pPr>
      <w:spacing w:before="120" w:after="120" w:line="480" w:lineRule="auto"/>
      <w:ind w:left="720" w:hanging="720"/>
    </w:p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szCs w:val="20"/>
      <w:lang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2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1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1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1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1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rsid w:val="00EC61B9"/>
    <w:pPr>
      <w:numPr>
        <w:numId w:val="1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1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1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1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2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2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2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rFonts w:ascii="Times" w:hAnsi="Times"/>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szCs w:val="16"/>
      <w:lang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szCs w:val="20"/>
      <w:lang w:eastAsia="zh-CN"/>
    </w:rPr>
  </w:style>
  <w:style w:type="paragraph" w:styleId="BodyText3">
    <w:name w:val="Body Text 3"/>
    <w:basedOn w:val="Normal"/>
    <w:link w:val="BodyText3Char"/>
    <w:uiPriority w:val="99"/>
    <w:rsid w:val="00EC61B9"/>
    <w:pPr>
      <w:spacing w:line="360" w:lineRule="auto"/>
      <w:ind w:right="-720" w:firstLine="0"/>
    </w:pPr>
    <w:rPr>
      <w:lang w:eastAsia="en-US"/>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szCs w:val="16"/>
      <w:lang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rsid w:val="00EC61B9"/>
    <w:rPr>
      <w:rFonts w:ascii="Garamond" w:hAnsi="Garamond"/>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EC61B9"/>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7D422A"/>
    <w:rPr>
      <w:rFonts w:ascii="Times New Roman" w:hAnsi="Times New Roman" w:cs="Times New Roman"/>
      <w:sz w:val="2"/>
      <w:lang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24"/>
      </w:numPr>
      <w:spacing w:after="120" w:line="240" w:lineRule="auto"/>
      <w:ind w:right="1440"/>
    </w:pPr>
    <w:rPr>
      <w:szCs w:val="24"/>
      <w:lang w:eastAsia="en-US"/>
    </w:rPr>
  </w:style>
  <w:style w:type="character" w:styleId="Strong">
    <w:name w:val="Strong"/>
    <w:basedOn w:val="DefaultParagraphFont"/>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bCs/>
      <w:kern w:val="28"/>
      <w:sz w:val="32"/>
      <w:szCs w:val="32"/>
      <w:lang w:eastAsia="zh-CN"/>
    </w:rPr>
  </w:style>
  <w:style w:type="paragraph" w:styleId="Caption">
    <w:name w:val="caption"/>
    <w:basedOn w:val="Normal"/>
    <w:next w:val="Normal"/>
    <w:uiPriority w:val="99"/>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basedOn w:val="DefaultParagraphFont"/>
    <w:uiPriority w:val="99"/>
    <w:rsid w:val="00EC61B9"/>
    <w:rPr>
      <w:rFonts w:cs="Times New Roman"/>
      <w:sz w:val="24"/>
      <w:lang w:val="en-US" w:eastAsia="zh-CN" w:bidi="ar-SA"/>
    </w:rPr>
  </w:style>
  <w:style w:type="character" w:customStyle="1" w:styleId="h1CharChar">
    <w:name w:val="h1 Char Char"/>
    <w:basedOn w:val="singleChar"/>
    <w:uiPriority w:val="99"/>
    <w:rsid w:val="00EC61B9"/>
    <w:rPr>
      <w:rFonts w:cs="Times New Roman"/>
      <w:b/>
      <w:sz w:val="24"/>
      <w:lang w:val="en-US" w:eastAsia="zh-CN" w:bidi="ar-SA"/>
    </w:rPr>
  </w:style>
  <w:style w:type="character" w:customStyle="1" w:styleId="h2CharChar">
    <w:name w:val="h2 Char Char"/>
    <w:basedOn w:val="h1CharChar"/>
    <w:uiPriority w:val="99"/>
    <w:rsid w:val="00EC61B9"/>
    <w:rPr>
      <w:rFonts w:cs="Times New Roman"/>
      <w:b/>
      <w:sz w:val="24"/>
      <w:u w:val="single"/>
      <w:lang w:val="en-US" w:eastAsia="zh-CN" w:bidi="ar-SA"/>
    </w:rPr>
  </w:style>
  <w:style w:type="character" w:customStyle="1" w:styleId="h3CharChar">
    <w:name w:val="h3 Char Char"/>
    <w:basedOn w:val="h2CharChar"/>
    <w:uiPriority w:val="99"/>
    <w:rsid w:val="00EC61B9"/>
    <w:rPr>
      <w:rFonts w:cs="Times New Roman"/>
      <w:b/>
      <w:sz w:val="24"/>
      <w:u w:val="single"/>
      <w:lang w:val="en-US" w:eastAsia="zh-CN" w:bidi="ar-SA"/>
    </w:rPr>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7D422A"/>
    <w:rPr>
      <w:rFonts w:ascii="Times New Roman" w:hAnsi="Times New Roman" w:cs="Times New Roman"/>
      <w:sz w:val="20"/>
      <w:szCs w:val="20"/>
      <w:lang w:eastAsia="zh-CN"/>
    </w:rPr>
  </w:style>
  <w:style w:type="paragraph" w:styleId="BodyTextFirstIndent2">
    <w:name w:val="Body Text First Indent 2"/>
    <w:basedOn w:val="BodyTextIndent"/>
    <w:link w:val="BodyTextFirstIndent2Char"/>
    <w:uiPriority w:val="99"/>
    <w:rsid w:val="00EC61B9"/>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7D422A"/>
    <w:rPr>
      <w:rFonts w:ascii="Times New Roman" w:hAnsi="Times New Roman" w:cs="Times New Roman"/>
      <w:sz w:val="20"/>
      <w:szCs w:val="20"/>
      <w:lang w:eastAsia="zh-CN"/>
    </w:rPr>
  </w:style>
  <w:style w:type="paragraph" w:styleId="Closing">
    <w:name w:val="Closing"/>
    <w:basedOn w:val="Normal"/>
    <w:link w:val="ClosingChar"/>
    <w:uiPriority w:val="99"/>
    <w:rsid w:val="00EC61B9"/>
    <w:pPr>
      <w:ind w:left="4320"/>
    </w:p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7D422A"/>
    <w:rPr>
      <w:rFonts w:ascii="Times New Roman" w:hAnsi="Times New Roman" w:cs="Times New Roman"/>
      <w:b/>
      <w:bCs/>
      <w:sz w:val="20"/>
      <w:szCs w:val="20"/>
      <w:lang w:eastAsia="zh-CN"/>
    </w:rPr>
  </w:style>
  <w:style w:type="paragraph" w:styleId="Date">
    <w:name w:val="Date"/>
    <w:basedOn w:val="Normal"/>
    <w:next w:val="Normal"/>
    <w:link w:val="DateChar"/>
    <w:uiPriority w:val="99"/>
    <w:rsid w:val="00EC61B9"/>
  </w:style>
  <w:style w:type="character" w:customStyle="1" w:styleId="DateChar">
    <w:name w:val="Date Char"/>
    <w:basedOn w:val="DefaultParagraphFont"/>
    <w:link w:val="Date"/>
    <w:uiPriority w:val="99"/>
    <w:semiHidden/>
    <w:locked/>
    <w:rsid w:val="007D422A"/>
    <w:rPr>
      <w:rFonts w:ascii="Times New Roman" w:hAnsi="Times New Roman" w:cs="Times New Roman"/>
      <w:sz w:val="20"/>
      <w:szCs w:val="20"/>
      <w:lang w:eastAsia="zh-CN"/>
    </w:rPr>
  </w:style>
  <w:style w:type="paragraph" w:styleId="DocumentMap">
    <w:name w:val="Document Map"/>
    <w:basedOn w:val="Normal"/>
    <w:link w:val="DocumentMapChar"/>
    <w:uiPriority w:val="99"/>
    <w:semiHidden/>
    <w:rsid w:val="00EC61B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eastAsia="zh-CN"/>
    </w:rPr>
  </w:style>
  <w:style w:type="paragraph" w:styleId="E-mailSignature">
    <w:name w:val="E-mail Signature"/>
    <w:basedOn w:val="Normal"/>
    <w:link w:val="E-mailSignatureChar"/>
    <w:uiPriority w:val="99"/>
    <w:rsid w:val="00EC61B9"/>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szCs w:val="20"/>
      <w:lang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szCs w:val="20"/>
      <w:lang w:eastAsia="zh-CN"/>
    </w:rPr>
  </w:style>
  <w:style w:type="paragraph" w:styleId="HTMLAddress">
    <w:name w:val="HTML Address"/>
    <w:basedOn w:val="Normal"/>
    <w:link w:val="HTMLAddressChar"/>
    <w:uiPriority w:val="99"/>
    <w:rsid w:val="00EC61B9"/>
    <w:rPr>
      <w:i/>
      <w:iCs/>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iCs/>
      <w:sz w:val="20"/>
      <w:szCs w:val="20"/>
      <w:lang w:eastAsia="zh-CN"/>
    </w:rPr>
  </w:style>
  <w:style w:type="paragraph" w:styleId="HTMLPreformatted">
    <w:name w:val="HTML Preformatted"/>
    <w:basedOn w:val="Normal"/>
    <w:link w:val="HTMLPreformattedChar"/>
    <w:uiPriority w:val="99"/>
    <w:rsid w:val="00EC61B9"/>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Courier New"/>
      <w:sz w:val="20"/>
      <w:szCs w:val="20"/>
      <w:lang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numPr>
        <w:numId w:val="7"/>
      </w:numPr>
      <w:tabs>
        <w:tab w:val="clear" w:pos="720"/>
        <w:tab w:val="num" w:pos="360"/>
      </w:tabs>
      <w:ind w:left="360"/>
    </w:pPr>
  </w:style>
  <w:style w:type="paragraph" w:styleId="ListBullet2">
    <w:name w:val="List Bullet 2"/>
    <w:basedOn w:val="Normal"/>
    <w:autoRedefine/>
    <w:uiPriority w:val="99"/>
    <w:rsid w:val="00EC61B9"/>
    <w:pPr>
      <w:numPr>
        <w:numId w:val="8"/>
      </w:numPr>
      <w:tabs>
        <w:tab w:val="clear" w:pos="1080"/>
        <w:tab w:val="num" w:pos="720"/>
      </w:tabs>
      <w:ind w:left="720"/>
    </w:pPr>
  </w:style>
  <w:style w:type="paragraph" w:styleId="ListBullet3">
    <w:name w:val="List Bullet 3"/>
    <w:basedOn w:val="Normal"/>
    <w:autoRedefine/>
    <w:uiPriority w:val="99"/>
    <w:rsid w:val="00EC61B9"/>
    <w:pPr>
      <w:numPr>
        <w:numId w:val="9"/>
      </w:numPr>
      <w:tabs>
        <w:tab w:val="clear" w:pos="1440"/>
        <w:tab w:val="num" w:pos="1080"/>
      </w:tabs>
      <w:ind w:left="1080"/>
    </w:pPr>
  </w:style>
  <w:style w:type="paragraph" w:styleId="ListBullet4">
    <w:name w:val="List Bullet 4"/>
    <w:basedOn w:val="Normal"/>
    <w:autoRedefine/>
    <w:uiPriority w:val="99"/>
    <w:rsid w:val="00EC61B9"/>
    <w:pPr>
      <w:numPr>
        <w:numId w:val="10"/>
      </w:numPr>
      <w:tabs>
        <w:tab w:val="clear" w:pos="1800"/>
        <w:tab w:val="num" w:pos="1440"/>
      </w:tabs>
      <w:ind w:left="1440"/>
    </w:pPr>
  </w:style>
  <w:style w:type="paragraph" w:styleId="ListBullet5">
    <w:name w:val="List Bullet 5"/>
    <w:basedOn w:val="Normal"/>
    <w:autoRedefine/>
    <w:uiPriority w:val="99"/>
    <w:rsid w:val="00EC61B9"/>
    <w:pPr>
      <w:numPr>
        <w:numId w:val="1"/>
      </w:numPr>
      <w:tabs>
        <w:tab w:val="clear" w:pos="360"/>
        <w:tab w:val="num" w:pos="1800"/>
      </w:tabs>
      <w:ind w:left="180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numPr>
        <w:numId w:val="2"/>
      </w:numPr>
      <w:tabs>
        <w:tab w:val="clear" w:pos="720"/>
        <w:tab w:val="num" w:pos="360"/>
      </w:tabs>
      <w:ind w:left="360"/>
    </w:pPr>
  </w:style>
  <w:style w:type="paragraph" w:styleId="ListNumber2">
    <w:name w:val="List Number 2"/>
    <w:basedOn w:val="Normal"/>
    <w:uiPriority w:val="99"/>
    <w:rsid w:val="00EC61B9"/>
    <w:pPr>
      <w:numPr>
        <w:numId w:val="3"/>
      </w:numPr>
      <w:tabs>
        <w:tab w:val="clear" w:pos="1080"/>
        <w:tab w:val="num" w:pos="720"/>
      </w:tabs>
      <w:ind w:left="720"/>
    </w:pPr>
  </w:style>
  <w:style w:type="paragraph" w:styleId="ListNumber3">
    <w:name w:val="List Number 3"/>
    <w:basedOn w:val="Normal"/>
    <w:uiPriority w:val="99"/>
    <w:rsid w:val="00EC61B9"/>
    <w:pPr>
      <w:numPr>
        <w:numId w:val="4"/>
      </w:numPr>
      <w:tabs>
        <w:tab w:val="clear" w:pos="1440"/>
        <w:tab w:val="num" w:pos="1080"/>
      </w:tabs>
      <w:ind w:left="1080"/>
    </w:pPr>
  </w:style>
  <w:style w:type="paragraph" w:styleId="ListNumber4">
    <w:name w:val="List Number 4"/>
    <w:basedOn w:val="Normal"/>
    <w:uiPriority w:val="99"/>
    <w:rsid w:val="00EC61B9"/>
    <w:pPr>
      <w:numPr>
        <w:numId w:val="5"/>
      </w:numPr>
      <w:tabs>
        <w:tab w:val="clear" w:pos="1800"/>
        <w:tab w:val="num" w:pos="1440"/>
      </w:tabs>
      <w:ind w:left="1440"/>
    </w:pPr>
  </w:style>
  <w:style w:type="paragraph" w:styleId="ListNumber5">
    <w:name w:val="List Number 5"/>
    <w:basedOn w:val="Normal"/>
    <w:uiPriority w:val="99"/>
    <w:rsid w:val="00EC61B9"/>
    <w:pPr>
      <w:numPr>
        <w:numId w:val="6"/>
      </w:numPr>
      <w:tabs>
        <w:tab w:val="clear" w:pos="360"/>
        <w:tab w:val="num" w:pos="1800"/>
      </w:tabs>
      <w:ind w:left="180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zCs w:val="24"/>
      <w:shd w:val="pct20" w:color="auto" w:fill="auto"/>
      <w:lang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szCs w:val="20"/>
      <w:lang w:eastAsia="zh-CN"/>
    </w:rPr>
  </w:style>
  <w:style w:type="paragraph" w:styleId="PlainText">
    <w:name w:val="Plain Text"/>
    <w:basedOn w:val="Normal"/>
    <w:link w:val="PlainTextChar"/>
    <w:uiPriority w:val="99"/>
    <w:rsid w:val="00EC61B9"/>
    <w:rPr>
      <w:rFonts w:ascii="Courier New" w:hAnsi="Courier New" w:cs="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Courier New"/>
      <w:sz w:val="20"/>
      <w:szCs w:val="20"/>
      <w:lang w:eastAsia="zh-CN"/>
    </w:rPr>
  </w:style>
  <w:style w:type="paragraph" w:styleId="Salutation">
    <w:name w:val="Salutation"/>
    <w:basedOn w:val="Normal"/>
    <w:next w:val="Normal"/>
    <w:link w:val="SalutationChar"/>
    <w:uiPriority w:val="99"/>
    <w:rsid w:val="00EC61B9"/>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szCs w:val="20"/>
      <w:lang w:eastAsia="zh-CN"/>
    </w:rPr>
  </w:style>
  <w:style w:type="paragraph" w:styleId="Signature">
    <w:name w:val="Signature"/>
    <w:basedOn w:val="Normal"/>
    <w:link w:val="SignatureChar"/>
    <w:uiPriority w:val="99"/>
    <w:rsid w:val="00EC61B9"/>
    <w:pPr>
      <w:ind w:left="4320"/>
    </w:p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szCs w:val="20"/>
      <w:lang w:eastAsia="zh-CN"/>
    </w:rPr>
  </w:style>
  <w:style w:type="paragraph" w:styleId="Subtitle">
    <w:name w:val="Subtitle"/>
    <w:basedOn w:val="Normal"/>
    <w:link w:val="SubtitleChar"/>
    <w:uiPriority w:val="99"/>
    <w:qFormat/>
    <w:rsid w:val="00EC61B9"/>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99"/>
    <w:locked/>
    <w:rsid w:val="007D422A"/>
    <w:rPr>
      <w:rFonts w:ascii="Cambria" w:hAnsi="Cambria" w:cs="Times New Roman"/>
      <w:sz w:val="24"/>
      <w:szCs w:val="24"/>
      <w:lang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ahoma"/>
      <w:sz w:val="20"/>
      <w:szCs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rsid w:val="00B06438"/>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answerChar">
    <w:name w:val="answer Char"/>
    <w:basedOn w:val="DefaultParagraphFont"/>
    <w:rsid w:val="00EC61B9"/>
    <w:rPr>
      <w:rFonts w:cs="Times New Roman"/>
      <w:sz w:val="24"/>
      <w:lang w:val="en-US" w:eastAsia="zh-CN" w:bidi="ar-SA"/>
    </w:rPr>
  </w:style>
  <w:style w:type="character" w:customStyle="1" w:styleId="singleChar1">
    <w:name w:val="single Char1"/>
    <w:basedOn w:val="DefaultParagraphFont"/>
    <w:link w:val="single"/>
    <w:uiPriority w:val="99"/>
    <w:locked/>
    <w:rsid w:val="00082C18"/>
    <w:rPr>
      <w:rFonts w:cs="Times New Roman"/>
      <w:sz w:val="24"/>
      <w:lang w:val="en-US" w:eastAsia="zh-CN" w:bidi="ar-SA"/>
    </w:rPr>
  </w:style>
  <w:style w:type="character" w:customStyle="1" w:styleId="singleblockChar">
    <w:name w:val="single block Char"/>
    <w:basedOn w:val="singleChar1"/>
    <w:link w:val="singleblock"/>
    <w:uiPriority w:val="99"/>
    <w:locked/>
    <w:rsid w:val="00082C18"/>
    <w:rPr>
      <w:rFonts w:cs="Times New Roman"/>
      <w:sz w:val="24"/>
      <w:lang w:val="en-US" w:eastAsia="zh-CN" w:bidi="ar-SA"/>
    </w:rPr>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basedOn w:val="singlehangingChar"/>
    <w:link w:val="question"/>
    <w:uiPriority w:val="99"/>
    <w:locked/>
    <w:rsid w:val="00734EBA"/>
    <w:rPr>
      <w:rFonts w:eastAsia="SimSun"/>
      <w:b/>
      <w:sz w:val="24"/>
      <w:szCs w:val="20"/>
      <w:lang w:val="en-US" w:eastAsia="zh-CN"/>
    </w:rPr>
  </w:style>
  <w:style w:type="table" w:styleId="TableGrid">
    <w:name w:val="Table Grid"/>
    <w:basedOn w:val="TableNormal"/>
    <w:uiPriority w:val="99"/>
    <w:rsid w:val="00BE165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rsid w:val="00CC1BCD"/>
    <w:rPr>
      <w:rFonts w:cs="Times New Roman"/>
      <w:vertAlign w:val="superscript"/>
    </w:rPr>
  </w:style>
  <w:style w:type="paragraph" w:styleId="ListParagraph">
    <w:name w:val="List Paragraph"/>
    <w:basedOn w:val="Normal"/>
    <w:uiPriority w:val="34"/>
    <w:qFormat/>
    <w:rsid w:val="009D1F78"/>
    <w:pPr>
      <w:ind w:left="720"/>
      <w:contextualSpacing/>
    </w:pPr>
  </w:style>
  <w:style w:type="paragraph" w:customStyle="1" w:styleId="Answer0">
    <w:name w:val="Answer"/>
    <w:basedOn w:val="Normal"/>
    <w:uiPriority w:val="99"/>
    <w:rsid w:val="009973D1"/>
    <w:pPr>
      <w:spacing w:before="120" w:after="120" w:line="480" w:lineRule="auto"/>
      <w:ind w:left="720" w:hanging="720"/>
    </w:pPr>
  </w:style>
  <w:style w:type="character" w:customStyle="1" w:styleId="answerChar1">
    <w:name w:val="answer Char1"/>
    <w:basedOn w:val="DefaultParagraphFont"/>
    <w:link w:val="answer"/>
    <w:locked/>
    <w:rsid w:val="009973D1"/>
    <w:rPr>
      <w:rFonts w:ascii="Times New Roman" w:hAnsi="Times New Roman"/>
      <w:sz w:val="24"/>
      <w:szCs w:val="20"/>
      <w:lang w:eastAsia="zh-CN"/>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r Char,ft Cha Char"/>
    <w:uiPriority w:val="99"/>
    <w:locked/>
    <w:rsid w:val="00F57641"/>
    <w:rPr>
      <w:sz w:val="22"/>
      <w:szCs w:val="22"/>
    </w:rPr>
  </w:style>
  <w:style w:type="paragraph" w:styleId="Revision">
    <w:name w:val="Revision"/>
    <w:hidden/>
    <w:uiPriority w:val="99"/>
    <w:semiHidden/>
    <w:rsid w:val="00127342"/>
    <w:rPr>
      <w:rFonts w:ascii="Times New Roman" w:hAnsi="Times New Roman"/>
      <w:sz w:val="24"/>
      <w:szCs w:val="20"/>
      <w:lang w:eastAsia="zh-CN"/>
    </w:rPr>
  </w:style>
  <w:style w:type="paragraph" w:customStyle="1" w:styleId="sinerItalic">
    <w:name w:val="siner + Italic"/>
    <w:basedOn w:val="answer"/>
    <w:rsid w:val="00B31C09"/>
    <w:pPr>
      <w:ind w:left="1440" w:firstLine="0"/>
    </w:pPr>
    <w:rPr>
      <w:rFonts w:eastAsia="SimSun"/>
      <w:i/>
    </w:rPr>
  </w:style>
  <w:style w:type="paragraph" w:styleId="Quote">
    <w:name w:val="Quote"/>
    <w:basedOn w:val="Normal"/>
    <w:next w:val="Normal"/>
    <w:link w:val="QuoteChar"/>
    <w:uiPriority w:val="29"/>
    <w:qFormat/>
    <w:rsid w:val="00EC52CB"/>
    <w:pPr>
      <w:spacing w:after="280" w:line="240" w:lineRule="auto"/>
      <w:ind w:left="1440" w:right="1440" w:firstLine="0"/>
    </w:pPr>
    <w:rPr>
      <w:iCs/>
      <w:color w:val="000000" w:themeColor="text1"/>
    </w:rPr>
  </w:style>
  <w:style w:type="character" w:customStyle="1" w:styleId="QuoteChar">
    <w:name w:val="Quote Char"/>
    <w:basedOn w:val="DefaultParagraphFont"/>
    <w:link w:val="Quote"/>
    <w:uiPriority w:val="29"/>
    <w:rsid w:val="00EC52CB"/>
    <w:rPr>
      <w:rFonts w:ascii="Times New Roman" w:hAnsi="Times New Roman"/>
      <w:iCs/>
      <w:color w:val="000000" w:themeColor="text1"/>
      <w:sz w:val="24"/>
      <w:szCs w:val="20"/>
      <w:lang w:eastAsia="zh-CN"/>
    </w:rPr>
  </w:style>
  <w:style w:type="character" w:customStyle="1" w:styleId="plainChar">
    <w:name w:val="plain Char"/>
    <w:link w:val="plain"/>
    <w:locked/>
    <w:rsid w:val="007E4B2D"/>
    <w:rPr>
      <w:rFonts w:ascii="Times New Roman" w:hAnsi="Times New Roman"/>
      <w:sz w:val="24"/>
      <w:szCs w:val="20"/>
      <w:lang w:eastAsia="zh-CN"/>
    </w:rPr>
  </w:style>
  <w:style w:type="paragraph" w:customStyle="1" w:styleId="PleadingsCont1">
    <w:name w:val="Pleadings Cont 1"/>
    <w:basedOn w:val="Normal"/>
    <w:link w:val="PleadingsCont1Char"/>
    <w:rsid w:val="00A15B24"/>
    <w:pPr>
      <w:widowControl w:val="0"/>
      <w:spacing w:after="240" w:line="240" w:lineRule="auto"/>
      <w:ind w:firstLine="0"/>
    </w:pPr>
    <w:rPr>
      <w:lang w:eastAsia="en-US"/>
    </w:rPr>
  </w:style>
  <w:style w:type="character" w:customStyle="1" w:styleId="PleadingsCont1Char">
    <w:name w:val="Pleadings Cont 1 Char"/>
    <w:basedOn w:val="Heading1Char"/>
    <w:link w:val="PleadingsCont1"/>
    <w:rsid w:val="00A15B24"/>
    <w:rPr>
      <w:rFonts w:ascii="Times New Roman" w:hAnsi="Times New Roman" w:cs="Times New Roman"/>
      <w:b w:val="0"/>
      <w:sz w:val="24"/>
      <w:szCs w:val="20"/>
      <w:lang w:val="en-US" w:eastAsia="zh-CN" w:bidi="ar-SA"/>
    </w:rPr>
  </w:style>
  <w:style w:type="paragraph" w:customStyle="1" w:styleId="PleadingsCont2">
    <w:name w:val="Pleadings Cont 2"/>
    <w:basedOn w:val="PleadingsCont1"/>
    <w:link w:val="PleadingsCont2Char"/>
    <w:rsid w:val="00A15B24"/>
    <w:pPr>
      <w:widowControl/>
      <w:ind w:left="720"/>
    </w:pPr>
  </w:style>
  <w:style w:type="character" w:customStyle="1" w:styleId="PleadingsCont2Char">
    <w:name w:val="Pleadings Cont 2 Char"/>
    <w:basedOn w:val="Heading1Char"/>
    <w:link w:val="PleadingsCont2"/>
    <w:rsid w:val="00A15B24"/>
    <w:rPr>
      <w:rFonts w:ascii="Times New Roman" w:hAnsi="Times New Roman" w:cs="Times New Roman"/>
      <w:b w:val="0"/>
      <w:sz w:val="24"/>
      <w:szCs w:val="20"/>
      <w:lang w:val="en-US" w:eastAsia="zh-CN" w:bidi="ar-SA"/>
    </w:rPr>
  </w:style>
  <w:style w:type="paragraph" w:customStyle="1" w:styleId="PleadingsCont3">
    <w:name w:val="Pleadings Cont 3"/>
    <w:basedOn w:val="PleadingsCont2"/>
    <w:link w:val="PleadingsCont3Char"/>
    <w:rsid w:val="00A15B24"/>
    <w:pPr>
      <w:ind w:left="1440"/>
    </w:pPr>
  </w:style>
  <w:style w:type="character" w:customStyle="1" w:styleId="PleadingsCont3Char">
    <w:name w:val="Pleadings Cont 3 Char"/>
    <w:basedOn w:val="Heading1Char"/>
    <w:link w:val="PleadingsCont3"/>
    <w:rsid w:val="00A15B24"/>
    <w:rPr>
      <w:rFonts w:ascii="Times New Roman" w:hAnsi="Times New Roman" w:cs="Times New Roman"/>
      <w:b w:val="0"/>
      <w:sz w:val="24"/>
      <w:szCs w:val="20"/>
      <w:lang w:val="en-US" w:eastAsia="zh-CN" w:bidi="ar-SA"/>
    </w:rPr>
  </w:style>
  <w:style w:type="paragraph" w:customStyle="1" w:styleId="PleadingsCont4">
    <w:name w:val="Pleadings Cont 4"/>
    <w:basedOn w:val="PleadingsCont3"/>
    <w:link w:val="PleadingsCont4Char"/>
    <w:rsid w:val="00A15B24"/>
    <w:pPr>
      <w:ind w:left="2160"/>
    </w:pPr>
  </w:style>
  <w:style w:type="character" w:customStyle="1" w:styleId="PleadingsCont4Char">
    <w:name w:val="Pleadings Cont 4 Char"/>
    <w:basedOn w:val="Heading1Char"/>
    <w:link w:val="PleadingsCont4"/>
    <w:rsid w:val="00A15B24"/>
    <w:rPr>
      <w:rFonts w:ascii="Times New Roman" w:hAnsi="Times New Roman" w:cs="Times New Roman"/>
      <w:b w:val="0"/>
      <w:sz w:val="24"/>
      <w:szCs w:val="20"/>
      <w:lang w:val="en-US" w:eastAsia="zh-CN" w:bidi="ar-SA"/>
    </w:rPr>
  </w:style>
  <w:style w:type="paragraph" w:customStyle="1" w:styleId="PleadingsCont5">
    <w:name w:val="Pleadings Cont 5"/>
    <w:basedOn w:val="PleadingsCont4"/>
    <w:link w:val="PleadingsCont5Char"/>
    <w:rsid w:val="00A15B24"/>
    <w:pPr>
      <w:ind w:left="2880"/>
    </w:pPr>
  </w:style>
  <w:style w:type="character" w:customStyle="1" w:styleId="PleadingsCont5Char">
    <w:name w:val="Pleadings Cont 5 Char"/>
    <w:basedOn w:val="Heading1Char"/>
    <w:link w:val="PleadingsCont5"/>
    <w:rsid w:val="00A15B24"/>
    <w:rPr>
      <w:rFonts w:ascii="Times New Roman" w:hAnsi="Times New Roman" w:cs="Times New Roman"/>
      <w:b w:val="0"/>
      <w:sz w:val="24"/>
      <w:szCs w:val="20"/>
      <w:lang w:val="en-US" w:eastAsia="zh-CN" w:bidi="ar-SA"/>
    </w:rPr>
  </w:style>
  <w:style w:type="paragraph" w:customStyle="1" w:styleId="PleadingsCont6">
    <w:name w:val="Pleadings Cont 6"/>
    <w:basedOn w:val="PleadingsCont5"/>
    <w:link w:val="PleadingsCont6Char"/>
    <w:rsid w:val="00A15B24"/>
    <w:pPr>
      <w:ind w:left="3600"/>
    </w:pPr>
  </w:style>
  <w:style w:type="character" w:customStyle="1" w:styleId="PleadingsCont6Char">
    <w:name w:val="Pleadings Cont 6 Char"/>
    <w:basedOn w:val="Heading1Char"/>
    <w:link w:val="PleadingsCont6"/>
    <w:rsid w:val="00A15B24"/>
    <w:rPr>
      <w:rFonts w:ascii="Times New Roman" w:hAnsi="Times New Roman" w:cs="Times New Roman"/>
      <w:b w:val="0"/>
      <w:sz w:val="24"/>
      <w:szCs w:val="20"/>
      <w:lang w:val="en-US" w:eastAsia="zh-CN" w:bidi="ar-SA"/>
    </w:rPr>
  </w:style>
  <w:style w:type="paragraph" w:customStyle="1" w:styleId="PleadingsCont7">
    <w:name w:val="Pleadings Cont 7"/>
    <w:basedOn w:val="PleadingsCont6"/>
    <w:link w:val="PleadingsCont7Char"/>
    <w:rsid w:val="00A15B24"/>
    <w:pPr>
      <w:ind w:left="4320"/>
    </w:pPr>
  </w:style>
  <w:style w:type="character" w:customStyle="1" w:styleId="PleadingsCont7Char">
    <w:name w:val="Pleadings Cont 7 Char"/>
    <w:basedOn w:val="Heading1Char"/>
    <w:link w:val="PleadingsCont7"/>
    <w:rsid w:val="00A15B24"/>
    <w:rPr>
      <w:rFonts w:ascii="Times New Roman" w:hAnsi="Times New Roman" w:cs="Times New Roman"/>
      <w:b w:val="0"/>
      <w:sz w:val="24"/>
      <w:szCs w:val="20"/>
      <w:lang w:val="en-US" w:eastAsia="zh-CN" w:bidi="ar-SA"/>
    </w:rPr>
  </w:style>
  <w:style w:type="paragraph" w:customStyle="1" w:styleId="PleadingsCont8">
    <w:name w:val="Pleadings Cont 8"/>
    <w:basedOn w:val="PleadingsCont7"/>
    <w:link w:val="PleadingsCont8Char"/>
    <w:rsid w:val="00A15B24"/>
    <w:pPr>
      <w:ind w:left="5040"/>
    </w:pPr>
  </w:style>
  <w:style w:type="character" w:customStyle="1" w:styleId="PleadingsCont8Char">
    <w:name w:val="Pleadings Cont 8 Char"/>
    <w:basedOn w:val="Heading1Char"/>
    <w:link w:val="PleadingsCont8"/>
    <w:rsid w:val="00A15B24"/>
    <w:rPr>
      <w:rFonts w:ascii="Times New Roman" w:hAnsi="Times New Roman" w:cs="Times New Roman"/>
      <w:b w:val="0"/>
      <w:sz w:val="24"/>
      <w:szCs w:val="20"/>
      <w:lang w:val="en-US" w:eastAsia="zh-CN" w:bidi="ar-SA"/>
    </w:rPr>
  </w:style>
  <w:style w:type="paragraph" w:customStyle="1" w:styleId="PleadingsCont9">
    <w:name w:val="Pleadings Cont 9"/>
    <w:basedOn w:val="PleadingsCont8"/>
    <w:link w:val="PleadingsCont9Char"/>
    <w:rsid w:val="00A15B24"/>
    <w:pPr>
      <w:ind w:left="5760"/>
    </w:pPr>
  </w:style>
  <w:style w:type="character" w:customStyle="1" w:styleId="PleadingsCont9Char">
    <w:name w:val="Pleadings Cont 9 Char"/>
    <w:basedOn w:val="Heading1Char"/>
    <w:link w:val="PleadingsCont9"/>
    <w:rsid w:val="00A15B24"/>
    <w:rPr>
      <w:rFonts w:ascii="Times New Roman" w:hAnsi="Times New Roman" w:cs="Times New Roman"/>
      <w:b w:val="0"/>
      <w:sz w:val="24"/>
      <w:szCs w:val="20"/>
      <w:lang w:val="en-US" w:eastAsia="zh-CN" w:bidi="ar-SA"/>
    </w:rPr>
  </w:style>
  <w:style w:type="paragraph" w:customStyle="1" w:styleId="PleadingsL1">
    <w:name w:val="Pleadings_L1"/>
    <w:basedOn w:val="Normal"/>
    <w:next w:val="BodyText"/>
    <w:link w:val="PleadingsL1Char"/>
    <w:rsid w:val="00A15B24"/>
    <w:pPr>
      <w:keepNext/>
      <w:keepLines/>
      <w:numPr>
        <w:numId w:val="30"/>
      </w:numPr>
      <w:spacing w:before="240" w:after="320" w:line="240" w:lineRule="auto"/>
      <w:ind w:right="720"/>
      <w:jc w:val="center"/>
      <w:outlineLvl w:val="0"/>
    </w:pPr>
    <w:rPr>
      <w:b/>
      <w:lang w:eastAsia="en-US"/>
    </w:rPr>
  </w:style>
  <w:style w:type="character" w:customStyle="1" w:styleId="PleadingsL1Char">
    <w:name w:val="Pleadings_L1 Char"/>
    <w:basedOn w:val="Heading1Char"/>
    <w:link w:val="PleadingsL1"/>
    <w:rsid w:val="00A15B24"/>
    <w:rPr>
      <w:rFonts w:ascii="Times New Roman" w:hAnsi="Times New Roman" w:cs="Times New Roman"/>
      <w:b/>
      <w:sz w:val="24"/>
      <w:szCs w:val="20"/>
      <w:lang w:val="en-US" w:eastAsia="zh-CN" w:bidi="ar-SA"/>
    </w:rPr>
  </w:style>
  <w:style w:type="paragraph" w:customStyle="1" w:styleId="PleadingsL2">
    <w:name w:val="Pleadings_L2"/>
    <w:basedOn w:val="PleadingsL1"/>
    <w:next w:val="BodyText"/>
    <w:link w:val="PleadingsL2Char"/>
    <w:rsid w:val="00A15B24"/>
    <w:pPr>
      <w:numPr>
        <w:ilvl w:val="1"/>
      </w:numPr>
      <w:jc w:val="left"/>
      <w:outlineLvl w:val="1"/>
    </w:pPr>
    <w:rPr>
      <w:u w:val="single"/>
    </w:rPr>
  </w:style>
  <w:style w:type="character" w:customStyle="1" w:styleId="PleadingsL2Char">
    <w:name w:val="Pleadings_L2 Char"/>
    <w:basedOn w:val="Heading1Char"/>
    <w:link w:val="PleadingsL2"/>
    <w:rsid w:val="00A15B24"/>
    <w:rPr>
      <w:rFonts w:ascii="Times New Roman" w:hAnsi="Times New Roman" w:cs="Times New Roman"/>
      <w:b/>
      <w:sz w:val="24"/>
      <w:szCs w:val="20"/>
      <w:u w:val="single"/>
      <w:lang w:val="en-US" w:eastAsia="zh-CN" w:bidi="ar-SA"/>
    </w:rPr>
  </w:style>
  <w:style w:type="paragraph" w:customStyle="1" w:styleId="PleadingsL3">
    <w:name w:val="Pleadings_L3"/>
    <w:basedOn w:val="PleadingsL2"/>
    <w:next w:val="BodyText"/>
    <w:link w:val="PleadingsL3Char"/>
    <w:rsid w:val="00A15B24"/>
    <w:pPr>
      <w:numPr>
        <w:ilvl w:val="2"/>
      </w:numPr>
      <w:outlineLvl w:val="2"/>
    </w:pPr>
  </w:style>
  <w:style w:type="character" w:customStyle="1" w:styleId="PleadingsL3Char">
    <w:name w:val="Pleadings_L3 Char"/>
    <w:basedOn w:val="Heading1Char"/>
    <w:link w:val="PleadingsL3"/>
    <w:rsid w:val="00A15B24"/>
    <w:rPr>
      <w:rFonts w:ascii="Times New Roman" w:hAnsi="Times New Roman" w:cs="Times New Roman"/>
      <w:b/>
      <w:sz w:val="24"/>
      <w:szCs w:val="20"/>
      <w:u w:val="single"/>
      <w:lang w:val="en-US" w:eastAsia="zh-CN" w:bidi="ar-SA"/>
    </w:rPr>
  </w:style>
  <w:style w:type="paragraph" w:customStyle="1" w:styleId="PleadingsL4">
    <w:name w:val="Pleadings_L4"/>
    <w:basedOn w:val="PleadingsL3"/>
    <w:next w:val="BodyText"/>
    <w:link w:val="PleadingsL4Char"/>
    <w:rsid w:val="00A15B24"/>
    <w:pPr>
      <w:numPr>
        <w:ilvl w:val="3"/>
      </w:numPr>
      <w:outlineLvl w:val="3"/>
    </w:pPr>
    <w:rPr>
      <w:u w:val="none"/>
    </w:rPr>
  </w:style>
  <w:style w:type="character" w:customStyle="1" w:styleId="PleadingsL4Char">
    <w:name w:val="Pleadings_L4 Char"/>
    <w:basedOn w:val="Heading1Char"/>
    <w:link w:val="PleadingsL4"/>
    <w:rsid w:val="00A15B24"/>
    <w:rPr>
      <w:rFonts w:ascii="Times New Roman" w:hAnsi="Times New Roman" w:cs="Times New Roman"/>
      <w:b/>
      <w:sz w:val="24"/>
      <w:szCs w:val="20"/>
      <w:lang w:val="en-US" w:eastAsia="zh-CN" w:bidi="ar-SA"/>
    </w:rPr>
  </w:style>
  <w:style w:type="paragraph" w:customStyle="1" w:styleId="PleadingsL5">
    <w:name w:val="Pleadings_L5"/>
    <w:basedOn w:val="PleadingsL4"/>
    <w:next w:val="BodyText"/>
    <w:link w:val="PleadingsL5Char"/>
    <w:rsid w:val="00A15B24"/>
    <w:pPr>
      <w:numPr>
        <w:ilvl w:val="4"/>
      </w:numPr>
      <w:outlineLvl w:val="4"/>
    </w:pPr>
  </w:style>
  <w:style w:type="character" w:customStyle="1" w:styleId="PleadingsL5Char">
    <w:name w:val="Pleadings_L5 Char"/>
    <w:basedOn w:val="Heading1Char"/>
    <w:link w:val="PleadingsL5"/>
    <w:rsid w:val="00A15B24"/>
    <w:rPr>
      <w:rFonts w:ascii="Times New Roman" w:hAnsi="Times New Roman" w:cs="Times New Roman"/>
      <w:b/>
      <w:sz w:val="24"/>
      <w:szCs w:val="20"/>
      <w:lang w:val="en-US" w:eastAsia="zh-CN" w:bidi="ar-SA"/>
    </w:rPr>
  </w:style>
  <w:style w:type="paragraph" w:customStyle="1" w:styleId="PleadingsL6">
    <w:name w:val="Pleadings_L6"/>
    <w:basedOn w:val="PleadingsL5"/>
    <w:next w:val="BodyText"/>
    <w:link w:val="PleadingsL6Char"/>
    <w:rsid w:val="00A15B24"/>
    <w:pPr>
      <w:numPr>
        <w:ilvl w:val="5"/>
      </w:numPr>
      <w:outlineLvl w:val="5"/>
    </w:pPr>
  </w:style>
  <w:style w:type="character" w:customStyle="1" w:styleId="PleadingsL6Char">
    <w:name w:val="Pleadings_L6 Char"/>
    <w:basedOn w:val="Heading1Char"/>
    <w:link w:val="PleadingsL6"/>
    <w:rsid w:val="00A15B24"/>
    <w:rPr>
      <w:rFonts w:ascii="Times New Roman" w:hAnsi="Times New Roman" w:cs="Times New Roman"/>
      <w:b/>
      <w:sz w:val="24"/>
      <w:szCs w:val="20"/>
      <w:lang w:val="en-US" w:eastAsia="zh-CN" w:bidi="ar-SA"/>
    </w:rPr>
  </w:style>
  <w:style w:type="paragraph" w:customStyle="1" w:styleId="PleadingsL7">
    <w:name w:val="Pleadings_L7"/>
    <w:basedOn w:val="PleadingsL6"/>
    <w:next w:val="BodyText"/>
    <w:link w:val="PleadingsL7Char"/>
    <w:rsid w:val="00A15B24"/>
    <w:pPr>
      <w:numPr>
        <w:ilvl w:val="6"/>
      </w:numPr>
      <w:outlineLvl w:val="6"/>
    </w:pPr>
  </w:style>
  <w:style w:type="character" w:customStyle="1" w:styleId="PleadingsL7Char">
    <w:name w:val="Pleadings_L7 Char"/>
    <w:basedOn w:val="Heading1Char"/>
    <w:link w:val="PleadingsL7"/>
    <w:rsid w:val="00A15B24"/>
    <w:rPr>
      <w:rFonts w:ascii="Times New Roman" w:hAnsi="Times New Roman" w:cs="Times New Roman"/>
      <w:b/>
      <w:sz w:val="24"/>
      <w:szCs w:val="20"/>
      <w:lang w:val="en-US" w:eastAsia="zh-CN" w:bidi="ar-SA"/>
    </w:rPr>
  </w:style>
  <w:style w:type="paragraph" w:customStyle="1" w:styleId="PleadingsL8">
    <w:name w:val="Pleadings_L8"/>
    <w:basedOn w:val="PleadingsL7"/>
    <w:next w:val="BodyText"/>
    <w:link w:val="PleadingsL8Char"/>
    <w:rsid w:val="00A15B24"/>
    <w:pPr>
      <w:numPr>
        <w:ilvl w:val="7"/>
      </w:numPr>
      <w:outlineLvl w:val="7"/>
    </w:pPr>
  </w:style>
  <w:style w:type="character" w:customStyle="1" w:styleId="PleadingsL8Char">
    <w:name w:val="Pleadings_L8 Char"/>
    <w:basedOn w:val="Heading1Char"/>
    <w:link w:val="PleadingsL8"/>
    <w:rsid w:val="00A15B24"/>
    <w:rPr>
      <w:rFonts w:ascii="Times New Roman" w:hAnsi="Times New Roman" w:cs="Times New Roman"/>
      <w:b/>
      <w:sz w:val="24"/>
      <w:szCs w:val="20"/>
      <w:lang w:val="en-US" w:eastAsia="zh-CN" w:bidi="ar-SA"/>
    </w:rPr>
  </w:style>
  <w:style w:type="paragraph" w:customStyle="1" w:styleId="PleadingsL9">
    <w:name w:val="Pleadings_L9"/>
    <w:basedOn w:val="PleadingsL8"/>
    <w:next w:val="BodyText"/>
    <w:link w:val="PleadingsL9Char"/>
    <w:rsid w:val="00A15B24"/>
    <w:pPr>
      <w:numPr>
        <w:ilvl w:val="8"/>
      </w:numPr>
      <w:outlineLvl w:val="8"/>
    </w:pPr>
  </w:style>
  <w:style w:type="character" w:customStyle="1" w:styleId="PleadingsL9Char">
    <w:name w:val="Pleadings_L9 Char"/>
    <w:basedOn w:val="Heading1Char"/>
    <w:link w:val="PleadingsL9"/>
    <w:rsid w:val="00A15B24"/>
    <w:rPr>
      <w:rFonts w:ascii="Times New Roman" w:hAnsi="Times New Roman" w:cs="Times New Roman"/>
      <w:b/>
      <w:sz w:val="24"/>
      <w:szCs w:val="20"/>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semiHidden="0" w:unhideWhenUsed="0"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C52CB"/>
    <w:pPr>
      <w:spacing w:line="480" w:lineRule="atLeast"/>
      <w:ind w:firstLine="720"/>
    </w:pPr>
    <w:rPr>
      <w:rFonts w:ascii="Times New Roman" w:hAnsi="Times New Roman"/>
      <w:sz w:val="24"/>
      <w:szCs w:val="20"/>
      <w:lang w:eastAsia="zh-CN"/>
    </w:rPr>
  </w:style>
  <w:style w:type="paragraph" w:styleId="Heading1">
    <w:name w:val="heading 1"/>
    <w:basedOn w:val="single"/>
    <w:next w:val="Normal"/>
    <w:link w:val="Heading1Char"/>
    <w:uiPriority w:val="99"/>
    <w:qFormat/>
    <w:rsid w:val="00A15B24"/>
    <w:pPr>
      <w:keepNext/>
      <w:keepLines/>
      <w:numPr>
        <w:numId w:val="27"/>
      </w:numPr>
      <w:spacing w:after="320"/>
      <w:ind w:right="720"/>
      <w:jc w:val="center"/>
      <w:outlineLvl w:val="0"/>
    </w:pPr>
    <w:rPr>
      <w:b/>
    </w:rPr>
  </w:style>
  <w:style w:type="paragraph" w:styleId="Heading2">
    <w:name w:val="heading 2"/>
    <w:basedOn w:val="Heading1"/>
    <w:next w:val="Normal"/>
    <w:link w:val="Heading2Char"/>
    <w:qFormat/>
    <w:rsid w:val="00A15B24"/>
    <w:pPr>
      <w:numPr>
        <w:numId w:val="28"/>
      </w:numPr>
      <w:spacing w:before="360" w:after="360" w:line="240" w:lineRule="auto"/>
      <w:ind w:left="720" w:hanging="720"/>
      <w:jc w:val="left"/>
      <w:outlineLvl w:val="1"/>
    </w:pPr>
    <w:rPr>
      <w:u w:val="single"/>
    </w:rPr>
  </w:style>
  <w:style w:type="paragraph" w:styleId="Heading3">
    <w:name w:val="heading 3"/>
    <w:basedOn w:val="Heading2"/>
    <w:next w:val="Normal"/>
    <w:link w:val="Heading3Char"/>
    <w:uiPriority w:val="99"/>
    <w:qFormat/>
    <w:rsid w:val="00A15B24"/>
    <w:pPr>
      <w:numPr>
        <w:numId w:val="29"/>
      </w:numPr>
      <w:spacing w:before="120"/>
      <w:ind w:left="1440" w:hanging="720"/>
      <w:outlineLvl w:val="2"/>
    </w:pPr>
  </w:style>
  <w:style w:type="paragraph" w:styleId="Heading4">
    <w:name w:val="heading 4"/>
    <w:aliases w:val="h4"/>
    <w:basedOn w:val="Heading3"/>
    <w:next w:val="Normal"/>
    <w:link w:val="Heading4Char"/>
    <w:uiPriority w:val="99"/>
    <w:qFormat/>
    <w:rsid w:val="00EC61B9"/>
    <w:pPr>
      <w:ind w:left="2160"/>
      <w:outlineLvl w:val="3"/>
    </w:pPr>
  </w:style>
  <w:style w:type="paragraph" w:styleId="Heading5">
    <w:name w:val="heading 5"/>
    <w:aliases w:val="h5"/>
    <w:basedOn w:val="Heading4"/>
    <w:next w:val="Normal"/>
    <w:link w:val="Heading5Char"/>
    <w:uiPriority w:val="99"/>
    <w:qFormat/>
    <w:rsid w:val="00EC61B9"/>
    <w:pPr>
      <w:ind w:left="2880"/>
      <w:outlineLvl w:val="4"/>
    </w:pPr>
  </w:style>
  <w:style w:type="paragraph" w:styleId="Heading6">
    <w:name w:val="heading 6"/>
    <w:aliases w:val="h6"/>
    <w:basedOn w:val="Heading5"/>
    <w:next w:val="Normal"/>
    <w:link w:val="Heading6Char"/>
    <w:uiPriority w:val="99"/>
    <w:qFormat/>
    <w:rsid w:val="00EC61B9"/>
    <w:pPr>
      <w:ind w:left="3600"/>
      <w:outlineLvl w:val="5"/>
    </w:pPr>
  </w:style>
  <w:style w:type="paragraph" w:styleId="Heading7">
    <w:name w:val="heading 7"/>
    <w:aliases w:val="h7"/>
    <w:basedOn w:val="Heading6"/>
    <w:next w:val="Normal"/>
    <w:link w:val="Heading7Char"/>
    <w:uiPriority w:val="99"/>
    <w:qFormat/>
    <w:rsid w:val="00EC61B9"/>
    <w:pPr>
      <w:ind w:left="4320"/>
      <w:outlineLvl w:val="6"/>
    </w:pPr>
  </w:style>
  <w:style w:type="paragraph" w:styleId="Heading8">
    <w:name w:val="heading 8"/>
    <w:aliases w:val="h8"/>
    <w:basedOn w:val="Heading6"/>
    <w:next w:val="Normal"/>
    <w:link w:val="Heading8Char"/>
    <w:uiPriority w:val="99"/>
    <w:qFormat/>
    <w:rsid w:val="00EC61B9"/>
    <w:pPr>
      <w:ind w:left="5040"/>
      <w:outlineLvl w:val="7"/>
    </w:pPr>
  </w:style>
  <w:style w:type="paragraph" w:styleId="Heading9">
    <w:name w:val="heading 9"/>
    <w:aliases w:val="h9"/>
    <w:basedOn w:val="Heading6"/>
    <w:next w:val="Normal"/>
    <w:link w:val="Heading9Char"/>
    <w:uiPriority w:val="99"/>
    <w:qFormat/>
    <w:rsid w:val="00EC61B9"/>
    <w:pPr>
      <w:ind w:left="5760"/>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singleChar"/>
    <w:link w:val="Heading1"/>
    <w:uiPriority w:val="99"/>
    <w:locked/>
    <w:rsid w:val="00A15B24"/>
    <w:rPr>
      <w:rFonts w:ascii="Times New Roman" w:hAnsi="Times New Roman" w:cs="Times New Roman"/>
      <w:b/>
      <w:sz w:val="24"/>
      <w:szCs w:val="20"/>
      <w:lang w:val="en-US" w:eastAsia="zh-CN" w:bidi="ar-SA"/>
    </w:rPr>
  </w:style>
  <w:style w:type="character" w:customStyle="1" w:styleId="Heading2Char">
    <w:name w:val="Heading 2 Char"/>
    <w:basedOn w:val="Heading1Char"/>
    <w:link w:val="Heading2"/>
    <w:locked/>
    <w:rsid w:val="00A15B24"/>
    <w:rPr>
      <w:rFonts w:ascii="Times New Roman" w:hAnsi="Times New Roman" w:cs="Times New Roman"/>
      <w:b/>
      <w:sz w:val="24"/>
      <w:szCs w:val="20"/>
      <w:u w:val="single"/>
      <w:lang w:val="en-US" w:eastAsia="zh-CN" w:bidi="ar-SA"/>
    </w:rPr>
  </w:style>
  <w:style w:type="character" w:customStyle="1" w:styleId="Heading3Char">
    <w:name w:val="Heading 3 Char"/>
    <w:basedOn w:val="DefaultParagraphFont"/>
    <w:link w:val="Heading3"/>
    <w:uiPriority w:val="99"/>
    <w:locked/>
    <w:rsid w:val="00A15B24"/>
    <w:rPr>
      <w:rFonts w:ascii="Times New Roman" w:hAnsi="Times New Roman"/>
      <w:b/>
      <w:sz w:val="24"/>
      <w:szCs w:val="20"/>
      <w:u w:val="single"/>
      <w:lang w:eastAsia="zh-CN"/>
    </w:rPr>
  </w:style>
  <w:style w:type="character" w:customStyle="1" w:styleId="Heading4Char">
    <w:name w:val="Heading 4 Char"/>
    <w:aliases w:val="h4 Char"/>
    <w:basedOn w:val="DefaultParagraphFont"/>
    <w:link w:val="Heading4"/>
    <w:uiPriority w:val="99"/>
    <w:locked/>
    <w:rsid w:val="007D422A"/>
    <w:rPr>
      <w:rFonts w:ascii="Times New Roman" w:hAnsi="Times New Roman"/>
      <w:b/>
      <w:sz w:val="24"/>
      <w:szCs w:val="20"/>
      <w:u w:val="single"/>
      <w:lang w:eastAsia="zh-CN"/>
    </w:rPr>
  </w:style>
  <w:style w:type="character" w:customStyle="1" w:styleId="Heading5Char">
    <w:name w:val="Heading 5 Char"/>
    <w:aliases w:val="h5 Char"/>
    <w:basedOn w:val="DefaultParagraphFont"/>
    <w:link w:val="Heading5"/>
    <w:uiPriority w:val="99"/>
    <w:locked/>
    <w:rsid w:val="007D422A"/>
    <w:rPr>
      <w:rFonts w:ascii="Times New Roman" w:hAnsi="Times New Roman"/>
      <w:b/>
      <w:sz w:val="24"/>
      <w:szCs w:val="20"/>
      <w:u w:val="single"/>
      <w:lang w:eastAsia="zh-CN"/>
    </w:rPr>
  </w:style>
  <w:style w:type="character" w:customStyle="1" w:styleId="Heading6Char">
    <w:name w:val="Heading 6 Char"/>
    <w:aliases w:val="h6 Char"/>
    <w:basedOn w:val="DefaultParagraphFont"/>
    <w:link w:val="Heading6"/>
    <w:uiPriority w:val="99"/>
    <w:locked/>
    <w:rsid w:val="007D422A"/>
    <w:rPr>
      <w:rFonts w:ascii="Times New Roman" w:hAnsi="Times New Roman"/>
      <w:b/>
      <w:sz w:val="24"/>
      <w:szCs w:val="20"/>
      <w:u w:val="single"/>
      <w:lang w:eastAsia="zh-CN"/>
    </w:rPr>
  </w:style>
  <w:style w:type="character" w:customStyle="1" w:styleId="Heading7Char">
    <w:name w:val="Heading 7 Char"/>
    <w:aliases w:val="h7 Char"/>
    <w:basedOn w:val="DefaultParagraphFont"/>
    <w:link w:val="Heading7"/>
    <w:uiPriority w:val="99"/>
    <w:locked/>
    <w:rsid w:val="007D422A"/>
    <w:rPr>
      <w:rFonts w:ascii="Times New Roman" w:hAnsi="Times New Roman"/>
      <w:b/>
      <w:sz w:val="24"/>
      <w:szCs w:val="20"/>
      <w:u w:val="single"/>
      <w:lang w:eastAsia="zh-CN"/>
    </w:rPr>
  </w:style>
  <w:style w:type="character" w:customStyle="1" w:styleId="Heading8Char">
    <w:name w:val="Heading 8 Char"/>
    <w:aliases w:val="h8 Char"/>
    <w:basedOn w:val="DefaultParagraphFont"/>
    <w:link w:val="Heading8"/>
    <w:uiPriority w:val="99"/>
    <w:locked/>
    <w:rsid w:val="007D422A"/>
    <w:rPr>
      <w:rFonts w:ascii="Times New Roman" w:hAnsi="Times New Roman"/>
      <w:b/>
      <w:sz w:val="24"/>
      <w:szCs w:val="20"/>
      <w:u w:val="single"/>
      <w:lang w:eastAsia="zh-CN"/>
    </w:rPr>
  </w:style>
  <w:style w:type="character" w:customStyle="1" w:styleId="Heading9Char">
    <w:name w:val="Heading 9 Char"/>
    <w:aliases w:val="h9 Char"/>
    <w:basedOn w:val="DefaultParagraphFont"/>
    <w:link w:val="Heading9"/>
    <w:uiPriority w:val="99"/>
    <w:locked/>
    <w:rsid w:val="007D422A"/>
    <w:rPr>
      <w:rFonts w:ascii="Times New Roman" w:hAnsi="Times New Roman"/>
      <w:b/>
      <w:sz w:val="24"/>
      <w:szCs w:val="20"/>
      <w:u w:val="single"/>
      <w:lang w:eastAsia="zh-CN"/>
    </w:rPr>
  </w:style>
  <w:style w:type="paragraph" w:customStyle="1" w:styleId="single">
    <w:name w:val="single"/>
    <w:basedOn w:val="Normal"/>
    <w:link w:val="singleChar1"/>
    <w:uiPriority w:val="99"/>
    <w:rsid w:val="00EC61B9"/>
    <w:pPr>
      <w:spacing w:before="240" w:line="240" w:lineRule="atLeast"/>
    </w:p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szCs w:val="20"/>
      <w:lang w:eastAsia="zh-CN"/>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ft Char"/>
    <w:basedOn w:val="single"/>
    <w:link w:val="FootnoteTextChar"/>
    <w:qFormat/>
    <w:rsid w:val="00EC61B9"/>
    <w:rPr>
      <w:sz w:val="22"/>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basedOn w:val="DefaultParagraphFont"/>
    <w:link w:val="FootnoteText"/>
    <w:semiHidden/>
    <w:locked/>
    <w:rsid w:val="007D422A"/>
    <w:rPr>
      <w:rFonts w:ascii="Times New Roman" w:hAnsi="Times New Roman" w:cs="Times New Roman"/>
      <w:sz w:val="20"/>
      <w:szCs w:val="20"/>
      <w:lang w:eastAsia="zh-CN"/>
    </w:rPr>
  </w:style>
  <w:style w:type="paragraph" w:styleId="TOC7">
    <w:name w:val="toc 7"/>
    <w:basedOn w:val="TOC4"/>
    <w:uiPriority w:val="99"/>
    <w:semiHidden/>
    <w:rsid w:val="00EC61B9"/>
    <w:pPr>
      <w:ind w:left="5040"/>
    </w:pPr>
  </w:style>
  <w:style w:type="paragraph" w:styleId="TOC4">
    <w:name w:val="toc 4"/>
    <w:basedOn w:val="TOC3"/>
    <w:uiPriority w:val="39"/>
    <w:rsid w:val="00EC61B9"/>
    <w:pPr>
      <w:ind w:left="2880"/>
    </w:pPr>
  </w:style>
  <w:style w:type="paragraph" w:styleId="TOC3">
    <w:name w:val="toc 3"/>
    <w:basedOn w:val="TOC2"/>
    <w:uiPriority w:val="39"/>
    <w:rsid w:val="00EC61B9"/>
    <w:pPr>
      <w:ind w:left="2160"/>
    </w:pPr>
  </w:style>
  <w:style w:type="paragraph" w:styleId="TOC2">
    <w:name w:val="toc 2"/>
    <w:basedOn w:val="TOC1"/>
    <w:uiPriority w:val="39"/>
    <w:rsid w:val="00EC61B9"/>
    <w:pPr>
      <w:ind w:left="1440"/>
    </w:pPr>
  </w:style>
  <w:style w:type="paragraph" w:styleId="TOC1">
    <w:name w:val="toc 1"/>
    <w:basedOn w:val="unjustifiedblock"/>
    <w:uiPriority w:val="3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color w:val="000000"/>
    </w:rPr>
  </w:style>
  <w:style w:type="character" w:customStyle="1" w:styleId="FooterChar">
    <w:name w:val="Footer Char"/>
    <w:basedOn w:val="DefaultParagraphFont"/>
    <w:link w:val="Footer"/>
    <w:uiPriority w:val="99"/>
    <w:semiHidden/>
    <w:locked/>
    <w:rsid w:val="007D422A"/>
    <w:rPr>
      <w:rFonts w:ascii="Times New Roman" w:hAnsi="Times New Roman" w:cs="Times New Roman"/>
      <w:sz w:val="20"/>
      <w:szCs w:val="20"/>
      <w:lang w:eastAsia="zh-CN"/>
    </w:rPr>
  </w:style>
  <w:style w:type="paragraph" w:customStyle="1" w:styleId="plain">
    <w:name w:val="plain"/>
    <w:basedOn w:val="unjustifiedblock"/>
    <w:link w:val="plainChar"/>
    <w:rsid w:val="00EC61B9"/>
    <w:pPr>
      <w:spacing w:before="0"/>
    </w:pPr>
  </w:style>
  <w:style w:type="paragraph" w:styleId="Header">
    <w:name w:val="header"/>
    <w:basedOn w:val="plain"/>
    <w:link w:val="HeaderChar"/>
    <w:uiPriority w:val="99"/>
    <w:rsid w:val="00EC61B9"/>
    <w:pPr>
      <w:tabs>
        <w:tab w:val="center" w:pos="4507"/>
        <w:tab w:val="right" w:pos="9000"/>
      </w:tabs>
    </w:pPr>
  </w:style>
  <w:style w:type="character" w:customStyle="1" w:styleId="HeaderChar">
    <w:name w:val="Header Char"/>
    <w:basedOn w:val="DefaultParagraphFont"/>
    <w:link w:val="Header"/>
    <w:uiPriority w:val="99"/>
    <w:semiHidden/>
    <w:locked/>
    <w:rsid w:val="007D422A"/>
    <w:rPr>
      <w:rFonts w:ascii="Times New Roman" w:hAnsi="Times New Roman" w:cs="Times New Roman"/>
      <w:sz w:val="20"/>
      <w:szCs w:val="20"/>
      <w:lang w:eastAsia="zh-CN"/>
    </w:rPr>
  </w:style>
  <w:style w:type="character" w:styleId="FootnoteReference">
    <w:name w:val="footnote reference"/>
    <w:aliases w:val="o,fr,Style 3,Style 13,Style 12,Style 15,Style 17,Style 9,o1,fr1,o2,fr2,o3,fr3,Style 18,(NECG) Footnote Reference,Style 20,Style 7,Style 8,Style 19,Style 28,Style 11,Style 16,Styl"/>
    <w:basedOn w:val="DefaultParagraphFont"/>
    <w:qFormat/>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rPr>
      <w:rFonts w:ascii="CG Times (WN)" w:hAnsi="CG Times (WN)"/>
    </w:r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rFonts w:ascii="Arial" w:hAnsi="Arial"/>
      <w:sz w:val="22"/>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szCs w:val="20"/>
      <w:lang w:eastAsia="zh-CN"/>
    </w:rPr>
  </w:style>
  <w:style w:type="paragraph" w:styleId="BodyText">
    <w:name w:val="Body Text"/>
    <w:aliases w:val="bt"/>
    <w:basedOn w:val="Normal"/>
    <w:link w:val="BodyTextChar"/>
    <w:uiPriority w:val="99"/>
    <w:rsid w:val="00EC61B9"/>
    <w:pPr>
      <w:spacing w:line="240" w:lineRule="auto"/>
      <w:ind w:firstLine="0"/>
      <w:jc w:val="both"/>
    </w:pPr>
    <w:rPr>
      <w:lang w:val="en-GB"/>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szCs w:val="20"/>
      <w:lang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734EBA"/>
    <w:pPr>
      <w:keepNext/>
      <w:keepLines/>
      <w:spacing w:after="120" w:line="480" w:lineRule="auto"/>
    </w:pPr>
    <w:rPr>
      <w:rFonts w:eastAsia="SimSun"/>
      <w:b/>
    </w:rPr>
  </w:style>
  <w:style w:type="paragraph" w:customStyle="1" w:styleId="answer">
    <w:name w:val="answer"/>
    <w:basedOn w:val="Normal"/>
    <w:link w:val="answerChar1"/>
    <w:rsid w:val="00EC61B9"/>
    <w:pPr>
      <w:spacing w:before="120" w:after="120" w:line="480" w:lineRule="auto"/>
      <w:ind w:left="720" w:hanging="720"/>
    </w:p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szCs w:val="20"/>
      <w:lang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2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1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1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1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1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rsid w:val="00EC61B9"/>
    <w:pPr>
      <w:numPr>
        <w:numId w:val="1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1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1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1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2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2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2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rFonts w:ascii="Times" w:hAnsi="Times"/>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szCs w:val="16"/>
      <w:lang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szCs w:val="20"/>
      <w:lang w:eastAsia="zh-CN"/>
    </w:rPr>
  </w:style>
  <w:style w:type="paragraph" w:styleId="BodyText3">
    <w:name w:val="Body Text 3"/>
    <w:basedOn w:val="Normal"/>
    <w:link w:val="BodyText3Char"/>
    <w:uiPriority w:val="99"/>
    <w:rsid w:val="00EC61B9"/>
    <w:pPr>
      <w:spacing w:line="360" w:lineRule="auto"/>
      <w:ind w:right="-720" w:firstLine="0"/>
    </w:pPr>
    <w:rPr>
      <w:lang w:eastAsia="en-US"/>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szCs w:val="16"/>
      <w:lang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rsid w:val="00EC61B9"/>
    <w:rPr>
      <w:rFonts w:ascii="Garamond" w:hAnsi="Garamond"/>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EC61B9"/>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7D422A"/>
    <w:rPr>
      <w:rFonts w:ascii="Times New Roman" w:hAnsi="Times New Roman" w:cs="Times New Roman"/>
      <w:sz w:val="2"/>
      <w:lang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24"/>
      </w:numPr>
      <w:spacing w:after="120" w:line="240" w:lineRule="auto"/>
      <w:ind w:right="1440"/>
    </w:pPr>
    <w:rPr>
      <w:szCs w:val="24"/>
      <w:lang w:eastAsia="en-US"/>
    </w:rPr>
  </w:style>
  <w:style w:type="character" w:styleId="Strong">
    <w:name w:val="Strong"/>
    <w:basedOn w:val="DefaultParagraphFont"/>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bCs/>
      <w:kern w:val="28"/>
      <w:sz w:val="32"/>
      <w:szCs w:val="32"/>
      <w:lang w:eastAsia="zh-CN"/>
    </w:rPr>
  </w:style>
  <w:style w:type="paragraph" w:styleId="Caption">
    <w:name w:val="caption"/>
    <w:basedOn w:val="Normal"/>
    <w:next w:val="Normal"/>
    <w:uiPriority w:val="99"/>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basedOn w:val="DefaultParagraphFont"/>
    <w:uiPriority w:val="99"/>
    <w:rsid w:val="00EC61B9"/>
    <w:rPr>
      <w:rFonts w:cs="Times New Roman"/>
      <w:sz w:val="24"/>
      <w:lang w:val="en-US" w:eastAsia="zh-CN" w:bidi="ar-SA"/>
    </w:rPr>
  </w:style>
  <w:style w:type="character" w:customStyle="1" w:styleId="h1CharChar">
    <w:name w:val="h1 Char Char"/>
    <w:basedOn w:val="singleChar"/>
    <w:uiPriority w:val="99"/>
    <w:rsid w:val="00EC61B9"/>
    <w:rPr>
      <w:rFonts w:cs="Times New Roman"/>
      <w:b/>
      <w:sz w:val="24"/>
      <w:lang w:val="en-US" w:eastAsia="zh-CN" w:bidi="ar-SA"/>
    </w:rPr>
  </w:style>
  <w:style w:type="character" w:customStyle="1" w:styleId="h2CharChar">
    <w:name w:val="h2 Char Char"/>
    <w:basedOn w:val="h1CharChar"/>
    <w:uiPriority w:val="99"/>
    <w:rsid w:val="00EC61B9"/>
    <w:rPr>
      <w:rFonts w:cs="Times New Roman"/>
      <w:b/>
      <w:sz w:val="24"/>
      <w:u w:val="single"/>
      <w:lang w:val="en-US" w:eastAsia="zh-CN" w:bidi="ar-SA"/>
    </w:rPr>
  </w:style>
  <w:style w:type="character" w:customStyle="1" w:styleId="h3CharChar">
    <w:name w:val="h3 Char Char"/>
    <w:basedOn w:val="h2CharChar"/>
    <w:uiPriority w:val="99"/>
    <w:rsid w:val="00EC61B9"/>
    <w:rPr>
      <w:rFonts w:cs="Times New Roman"/>
      <w:b/>
      <w:sz w:val="24"/>
      <w:u w:val="single"/>
      <w:lang w:val="en-US" w:eastAsia="zh-CN" w:bidi="ar-SA"/>
    </w:rPr>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7D422A"/>
    <w:rPr>
      <w:rFonts w:ascii="Times New Roman" w:hAnsi="Times New Roman" w:cs="Times New Roman"/>
      <w:sz w:val="20"/>
      <w:szCs w:val="20"/>
      <w:lang w:eastAsia="zh-CN"/>
    </w:rPr>
  </w:style>
  <w:style w:type="paragraph" w:styleId="BodyTextFirstIndent2">
    <w:name w:val="Body Text First Indent 2"/>
    <w:basedOn w:val="BodyTextIndent"/>
    <w:link w:val="BodyTextFirstIndent2Char"/>
    <w:uiPriority w:val="99"/>
    <w:rsid w:val="00EC61B9"/>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7D422A"/>
    <w:rPr>
      <w:rFonts w:ascii="Times New Roman" w:hAnsi="Times New Roman" w:cs="Times New Roman"/>
      <w:sz w:val="20"/>
      <w:szCs w:val="20"/>
      <w:lang w:eastAsia="zh-CN"/>
    </w:rPr>
  </w:style>
  <w:style w:type="paragraph" w:styleId="Closing">
    <w:name w:val="Closing"/>
    <w:basedOn w:val="Normal"/>
    <w:link w:val="ClosingChar"/>
    <w:uiPriority w:val="99"/>
    <w:rsid w:val="00EC61B9"/>
    <w:pPr>
      <w:ind w:left="4320"/>
    </w:p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7D422A"/>
    <w:rPr>
      <w:rFonts w:ascii="Times New Roman" w:hAnsi="Times New Roman" w:cs="Times New Roman"/>
      <w:b/>
      <w:bCs/>
      <w:sz w:val="20"/>
      <w:szCs w:val="20"/>
      <w:lang w:eastAsia="zh-CN"/>
    </w:rPr>
  </w:style>
  <w:style w:type="paragraph" w:styleId="Date">
    <w:name w:val="Date"/>
    <w:basedOn w:val="Normal"/>
    <w:next w:val="Normal"/>
    <w:link w:val="DateChar"/>
    <w:uiPriority w:val="99"/>
    <w:rsid w:val="00EC61B9"/>
  </w:style>
  <w:style w:type="character" w:customStyle="1" w:styleId="DateChar">
    <w:name w:val="Date Char"/>
    <w:basedOn w:val="DefaultParagraphFont"/>
    <w:link w:val="Date"/>
    <w:uiPriority w:val="99"/>
    <w:semiHidden/>
    <w:locked/>
    <w:rsid w:val="007D422A"/>
    <w:rPr>
      <w:rFonts w:ascii="Times New Roman" w:hAnsi="Times New Roman" w:cs="Times New Roman"/>
      <w:sz w:val="20"/>
      <w:szCs w:val="20"/>
      <w:lang w:eastAsia="zh-CN"/>
    </w:rPr>
  </w:style>
  <w:style w:type="paragraph" w:styleId="DocumentMap">
    <w:name w:val="Document Map"/>
    <w:basedOn w:val="Normal"/>
    <w:link w:val="DocumentMapChar"/>
    <w:uiPriority w:val="99"/>
    <w:semiHidden/>
    <w:rsid w:val="00EC61B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eastAsia="zh-CN"/>
    </w:rPr>
  </w:style>
  <w:style w:type="paragraph" w:styleId="E-mailSignature">
    <w:name w:val="E-mail Signature"/>
    <w:basedOn w:val="Normal"/>
    <w:link w:val="E-mailSignatureChar"/>
    <w:uiPriority w:val="99"/>
    <w:rsid w:val="00EC61B9"/>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szCs w:val="20"/>
      <w:lang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szCs w:val="20"/>
      <w:lang w:eastAsia="zh-CN"/>
    </w:rPr>
  </w:style>
  <w:style w:type="paragraph" w:styleId="HTMLAddress">
    <w:name w:val="HTML Address"/>
    <w:basedOn w:val="Normal"/>
    <w:link w:val="HTMLAddressChar"/>
    <w:uiPriority w:val="99"/>
    <w:rsid w:val="00EC61B9"/>
    <w:rPr>
      <w:i/>
      <w:iCs/>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iCs/>
      <w:sz w:val="20"/>
      <w:szCs w:val="20"/>
      <w:lang w:eastAsia="zh-CN"/>
    </w:rPr>
  </w:style>
  <w:style w:type="paragraph" w:styleId="HTMLPreformatted">
    <w:name w:val="HTML Preformatted"/>
    <w:basedOn w:val="Normal"/>
    <w:link w:val="HTMLPreformattedChar"/>
    <w:uiPriority w:val="99"/>
    <w:rsid w:val="00EC61B9"/>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Courier New"/>
      <w:sz w:val="20"/>
      <w:szCs w:val="20"/>
      <w:lang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numPr>
        <w:numId w:val="7"/>
      </w:numPr>
      <w:tabs>
        <w:tab w:val="clear" w:pos="720"/>
        <w:tab w:val="num" w:pos="360"/>
      </w:tabs>
      <w:ind w:left="360"/>
    </w:pPr>
  </w:style>
  <w:style w:type="paragraph" w:styleId="ListBullet2">
    <w:name w:val="List Bullet 2"/>
    <w:basedOn w:val="Normal"/>
    <w:autoRedefine/>
    <w:uiPriority w:val="99"/>
    <w:rsid w:val="00EC61B9"/>
    <w:pPr>
      <w:numPr>
        <w:numId w:val="8"/>
      </w:numPr>
      <w:tabs>
        <w:tab w:val="clear" w:pos="1080"/>
        <w:tab w:val="num" w:pos="720"/>
      </w:tabs>
      <w:ind w:left="720"/>
    </w:pPr>
  </w:style>
  <w:style w:type="paragraph" w:styleId="ListBullet3">
    <w:name w:val="List Bullet 3"/>
    <w:basedOn w:val="Normal"/>
    <w:autoRedefine/>
    <w:uiPriority w:val="99"/>
    <w:rsid w:val="00EC61B9"/>
    <w:pPr>
      <w:numPr>
        <w:numId w:val="9"/>
      </w:numPr>
      <w:tabs>
        <w:tab w:val="clear" w:pos="1440"/>
        <w:tab w:val="num" w:pos="1080"/>
      </w:tabs>
      <w:ind w:left="1080"/>
    </w:pPr>
  </w:style>
  <w:style w:type="paragraph" w:styleId="ListBullet4">
    <w:name w:val="List Bullet 4"/>
    <w:basedOn w:val="Normal"/>
    <w:autoRedefine/>
    <w:uiPriority w:val="99"/>
    <w:rsid w:val="00EC61B9"/>
    <w:pPr>
      <w:numPr>
        <w:numId w:val="10"/>
      </w:numPr>
      <w:tabs>
        <w:tab w:val="clear" w:pos="1800"/>
        <w:tab w:val="num" w:pos="1440"/>
      </w:tabs>
      <w:ind w:left="1440"/>
    </w:pPr>
  </w:style>
  <w:style w:type="paragraph" w:styleId="ListBullet5">
    <w:name w:val="List Bullet 5"/>
    <w:basedOn w:val="Normal"/>
    <w:autoRedefine/>
    <w:uiPriority w:val="99"/>
    <w:rsid w:val="00EC61B9"/>
    <w:pPr>
      <w:numPr>
        <w:numId w:val="1"/>
      </w:numPr>
      <w:tabs>
        <w:tab w:val="clear" w:pos="360"/>
        <w:tab w:val="num" w:pos="1800"/>
      </w:tabs>
      <w:ind w:left="180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numPr>
        <w:numId w:val="2"/>
      </w:numPr>
      <w:tabs>
        <w:tab w:val="clear" w:pos="720"/>
        <w:tab w:val="num" w:pos="360"/>
      </w:tabs>
      <w:ind w:left="360"/>
    </w:pPr>
  </w:style>
  <w:style w:type="paragraph" w:styleId="ListNumber2">
    <w:name w:val="List Number 2"/>
    <w:basedOn w:val="Normal"/>
    <w:uiPriority w:val="99"/>
    <w:rsid w:val="00EC61B9"/>
    <w:pPr>
      <w:numPr>
        <w:numId w:val="3"/>
      </w:numPr>
      <w:tabs>
        <w:tab w:val="clear" w:pos="1080"/>
        <w:tab w:val="num" w:pos="720"/>
      </w:tabs>
      <w:ind w:left="720"/>
    </w:pPr>
  </w:style>
  <w:style w:type="paragraph" w:styleId="ListNumber3">
    <w:name w:val="List Number 3"/>
    <w:basedOn w:val="Normal"/>
    <w:uiPriority w:val="99"/>
    <w:rsid w:val="00EC61B9"/>
    <w:pPr>
      <w:numPr>
        <w:numId w:val="4"/>
      </w:numPr>
      <w:tabs>
        <w:tab w:val="clear" w:pos="1440"/>
        <w:tab w:val="num" w:pos="1080"/>
      </w:tabs>
      <w:ind w:left="1080"/>
    </w:pPr>
  </w:style>
  <w:style w:type="paragraph" w:styleId="ListNumber4">
    <w:name w:val="List Number 4"/>
    <w:basedOn w:val="Normal"/>
    <w:uiPriority w:val="99"/>
    <w:rsid w:val="00EC61B9"/>
    <w:pPr>
      <w:numPr>
        <w:numId w:val="5"/>
      </w:numPr>
      <w:tabs>
        <w:tab w:val="clear" w:pos="1800"/>
        <w:tab w:val="num" w:pos="1440"/>
      </w:tabs>
      <w:ind w:left="1440"/>
    </w:pPr>
  </w:style>
  <w:style w:type="paragraph" w:styleId="ListNumber5">
    <w:name w:val="List Number 5"/>
    <w:basedOn w:val="Normal"/>
    <w:uiPriority w:val="99"/>
    <w:rsid w:val="00EC61B9"/>
    <w:pPr>
      <w:numPr>
        <w:numId w:val="6"/>
      </w:numPr>
      <w:tabs>
        <w:tab w:val="clear" w:pos="360"/>
        <w:tab w:val="num" w:pos="1800"/>
      </w:tabs>
      <w:ind w:left="180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zCs w:val="24"/>
      <w:shd w:val="pct20" w:color="auto" w:fill="auto"/>
      <w:lang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szCs w:val="20"/>
      <w:lang w:eastAsia="zh-CN"/>
    </w:rPr>
  </w:style>
  <w:style w:type="paragraph" w:styleId="PlainText">
    <w:name w:val="Plain Text"/>
    <w:basedOn w:val="Normal"/>
    <w:link w:val="PlainTextChar"/>
    <w:uiPriority w:val="99"/>
    <w:rsid w:val="00EC61B9"/>
    <w:rPr>
      <w:rFonts w:ascii="Courier New" w:hAnsi="Courier New" w:cs="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Courier New"/>
      <w:sz w:val="20"/>
      <w:szCs w:val="20"/>
      <w:lang w:eastAsia="zh-CN"/>
    </w:rPr>
  </w:style>
  <w:style w:type="paragraph" w:styleId="Salutation">
    <w:name w:val="Salutation"/>
    <w:basedOn w:val="Normal"/>
    <w:next w:val="Normal"/>
    <w:link w:val="SalutationChar"/>
    <w:uiPriority w:val="99"/>
    <w:rsid w:val="00EC61B9"/>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szCs w:val="20"/>
      <w:lang w:eastAsia="zh-CN"/>
    </w:rPr>
  </w:style>
  <w:style w:type="paragraph" w:styleId="Signature">
    <w:name w:val="Signature"/>
    <w:basedOn w:val="Normal"/>
    <w:link w:val="SignatureChar"/>
    <w:uiPriority w:val="99"/>
    <w:rsid w:val="00EC61B9"/>
    <w:pPr>
      <w:ind w:left="4320"/>
    </w:p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szCs w:val="20"/>
      <w:lang w:eastAsia="zh-CN"/>
    </w:rPr>
  </w:style>
  <w:style w:type="paragraph" w:styleId="Subtitle">
    <w:name w:val="Subtitle"/>
    <w:basedOn w:val="Normal"/>
    <w:link w:val="SubtitleChar"/>
    <w:uiPriority w:val="99"/>
    <w:qFormat/>
    <w:rsid w:val="00EC61B9"/>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99"/>
    <w:locked/>
    <w:rsid w:val="007D422A"/>
    <w:rPr>
      <w:rFonts w:ascii="Cambria" w:hAnsi="Cambria" w:cs="Times New Roman"/>
      <w:sz w:val="24"/>
      <w:szCs w:val="24"/>
      <w:lang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ahoma"/>
      <w:sz w:val="20"/>
      <w:szCs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rsid w:val="00B06438"/>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answerChar">
    <w:name w:val="answer Char"/>
    <w:basedOn w:val="DefaultParagraphFont"/>
    <w:rsid w:val="00EC61B9"/>
    <w:rPr>
      <w:rFonts w:cs="Times New Roman"/>
      <w:sz w:val="24"/>
      <w:lang w:val="en-US" w:eastAsia="zh-CN" w:bidi="ar-SA"/>
    </w:rPr>
  </w:style>
  <w:style w:type="character" w:customStyle="1" w:styleId="singleChar1">
    <w:name w:val="single Char1"/>
    <w:basedOn w:val="DefaultParagraphFont"/>
    <w:link w:val="single"/>
    <w:uiPriority w:val="99"/>
    <w:locked/>
    <w:rsid w:val="00082C18"/>
    <w:rPr>
      <w:rFonts w:cs="Times New Roman"/>
      <w:sz w:val="24"/>
      <w:lang w:val="en-US" w:eastAsia="zh-CN" w:bidi="ar-SA"/>
    </w:rPr>
  </w:style>
  <w:style w:type="character" w:customStyle="1" w:styleId="singleblockChar">
    <w:name w:val="single block Char"/>
    <w:basedOn w:val="singleChar1"/>
    <w:link w:val="singleblock"/>
    <w:uiPriority w:val="99"/>
    <w:locked/>
    <w:rsid w:val="00082C18"/>
    <w:rPr>
      <w:rFonts w:cs="Times New Roman"/>
      <w:sz w:val="24"/>
      <w:lang w:val="en-US" w:eastAsia="zh-CN" w:bidi="ar-SA"/>
    </w:rPr>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basedOn w:val="singlehangingChar"/>
    <w:link w:val="question"/>
    <w:uiPriority w:val="99"/>
    <w:locked/>
    <w:rsid w:val="00734EBA"/>
    <w:rPr>
      <w:rFonts w:eastAsia="SimSun"/>
      <w:b/>
      <w:sz w:val="24"/>
      <w:szCs w:val="20"/>
      <w:lang w:val="en-US" w:eastAsia="zh-CN"/>
    </w:rPr>
  </w:style>
  <w:style w:type="table" w:styleId="TableGrid">
    <w:name w:val="Table Grid"/>
    <w:basedOn w:val="TableNormal"/>
    <w:uiPriority w:val="99"/>
    <w:rsid w:val="00BE165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rsid w:val="00CC1BCD"/>
    <w:rPr>
      <w:rFonts w:cs="Times New Roman"/>
      <w:vertAlign w:val="superscript"/>
    </w:rPr>
  </w:style>
  <w:style w:type="paragraph" w:styleId="ListParagraph">
    <w:name w:val="List Paragraph"/>
    <w:basedOn w:val="Normal"/>
    <w:uiPriority w:val="34"/>
    <w:qFormat/>
    <w:rsid w:val="009D1F78"/>
    <w:pPr>
      <w:ind w:left="720"/>
      <w:contextualSpacing/>
    </w:pPr>
  </w:style>
  <w:style w:type="paragraph" w:customStyle="1" w:styleId="Answer0">
    <w:name w:val="Answer"/>
    <w:basedOn w:val="Normal"/>
    <w:uiPriority w:val="99"/>
    <w:rsid w:val="009973D1"/>
    <w:pPr>
      <w:spacing w:before="120" w:after="120" w:line="480" w:lineRule="auto"/>
      <w:ind w:left="720" w:hanging="720"/>
    </w:pPr>
  </w:style>
  <w:style w:type="character" w:customStyle="1" w:styleId="answerChar1">
    <w:name w:val="answer Char1"/>
    <w:basedOn w:val="DefaultParagraphFont"/>
    <w:link w:val="answer"/>
    <w:locked/>
    <w:rsid w:val="009973D1"/>
    <w:rPr>
      <w:rFonts w:ascii="Times New Roman" w:hAnsi="Times New Roman"/>
      <w:sz w:val="24"/>
      <w:szCs w:val="20"/>
      <w:lang w:eastAsia="zh-CN"/>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r Char,ft Cha Char"/>
    <w:uiPriority w:val="99"/>
    <w:locked/>
    <w:rsid w:val="00F57641"/>
    <w:rPr>
      <w:sz w:val="22"/>
      <w:szCs w:val="22"/>
    </w:rPr>
  </w:style>
  <w:style w:type="paragraph" w:styleId="Revision">
    <w:name w:val="Revision"/>
    <w:hidden/>
    <w:uiPriority w:val="99"/>
    <w:semiHidden/>
    <w:rsid w:val="00127342"/>
    <w:rPr>
      <w:rFonts w:ascii="Times New Roman" w:hAnsi="Times New Roman"/>
      <w:sz w:val="24"/>
      <w:szCs w:val="20"/>
      <w:lang w:eastAsia="zh-CN"/>
    </w:rPr>
  </w:style>
  <w:style w:type="paragraph" w:customStyle="1" w:styleId="sinerItalic">
    <w:name w:val="siner + Italic"/>
    <w:basedOn w:val="answer"/>
    <w:rsid w:val="00B31C09"/>
    <w:pPr>
      <w:ind w:left="1440" w:firstLine="0"/>
    </w:pPr>
    <w:rPr>
      <w:rFonts w:eastAsia="SimSun"/>
      <w:i/>
    </w:rPr>
  </w:style>
  <w:style w:type="paragraph" w:styleId="Quote">
    <w:name w:val="Quote"/>
    <w:basedOn w:val="Normal"/>
    <w:next w:val="Normal"/>
    <w:link w:val="QuoteChar"/>
    <w:uiPriority w:val="29"/>
    <w:qFormat/>
    <w:rsid w:val="00EC52CB"/>
    <w:pPr>
      <w:spacing w:after="280" w:line="240" w:lineRule="auto"/>
      <w:ind w:left="1440" w:right="1440" w:firstLine="0"/>
    </w:pPr>
    <w:rPr>
      <w:iCs/>
      <w:color w:val="000000" w:themeColor="text1"/>
    </w:rPr>
  </w:style>
  <w:style w:type="character" w:customStyle="1" w:styleId="QuoteChar">
    <w:name w:val="Quote Char"/>
    <w:basedOn w:val="DefaultParagraphFont"/>
    <w:link w:val="Quote"/>
    <w:uiPriority w:val="29"/>
    <w:rsid w:val="00EC52CB"/>
    <w:rPr>
      <w:rFonts w:ascii="Times New Roman" w:hAnsi="Times New Roman"/>
      <w:iCs/>
      <w:color w:val="000000" w:themeColor="text1"/>
      <w:sz w:val="24"/>
      <w:szCs w:val="20"/>
      <w:lang w:eastAsia="zh-CN"/>
    </w:rPr>
  </w:style>
  <w:style w:type="character" w:customStyle="1" w:styleId="plainChar">
    <w:name w:val="plain Char"/>
    <w:link w:val="plain"/>
    <w:locked/>
    <w:rsid w:val="007E4B2D"/>
    <w:rPr>
      <w:rFonts w:ascii="Times New Roman" w:hAnsi="Times New Roman"/>
      <w:sz w:val="24"/>
      <w:szCs w:val="20"/>
      <w:lang w:eastAsia="zh-CN"/>
    </w:rPr>
  </w:style>
  <w:style w:type="paragraph" w:customStyle="1" w:styleId="PleadingsCont1">
    <w:name w:val="Pleadings Cont 1"/>
    <w:basedOn w:val="Normal"/>
    <w:link w:val="PleadingsCont1Char"/>
    <w:rsid w:val="00A15B24"/>
    <w:pPr>
      <w:widowControl w:val="0"/>
      <w:spacing w:after="240" w:line="240" w:lineRule="auto"/>
      <w:ind w:firstLine="0"/>
    </w:pPr>
    <w:rPr>
      <w:lang w:eastAsia="en-US"/>
    </w:rPr>
  </w:style>
  <w:style w:type="character" w:customStyle="1" w:styleId="PleadingsCont1Char">
    <w:name w:val="Pleadings Cont 1 Char"/>
    <w:basedOn w:val="Heading1Char"/>
    <w:link w:val="PleadingsCont1"/>
    <w:rsid w:val="00A15B24"/>
    <w:rPr>
      <w:rFonts w:ascii="Times New Roman" w:hAnsi="Times New Roman" w:cs="Times New Roman"/>
      <w:b w:val="0"/>
      <w:sz w:val="24"/>
      <w:szCs w:val="20"/>
      <w:lang w:val="en-US" w:eastAsia="zh-CN" w:bidi="ar-SA"/>
    </w:rPr>
  </w:style>
  <w:style w:type="paragraph" w:customStyle="1" w:styleId="PleadingsCont2">
    <w:name w:val="Pleadings Cont 2"/>
    <w:basedOn w:val="PleadingsCont1"/>
    <w:link w:val="PleadingsCont2Char"/>
    <w:rsid w:val="00A15B24"/>
    <w:pPr>
      <w:widowControl/>
      <w:ind w:left="720"/>
    </w:pPr>
  </w:style>
  <w:style w:type="character" w:customStyle="1" w:styleId="PleadingsCont2Char">
    <w:name w:val="Pleadings Cont 2 Char"/>
    <w:basedOn w:val="Heading1Char"/>
    <w:link w:val="PleadingsCont2"/>
    <w:rsid w:val="00A15B24"/>
    <w:rPr>
      <w:rFonts w:ascii="Times New Roman" w:hAnsi="Times New Roman" w:cs="Times New Roman"/>
      <w:b w:val="0"/>
      <w:sz w:val="24"/>
      <w:szCs w:val="20"/>
      <w:lang w:val="en-US" w:eastAsia="zh-CN" w:bidi="ar-SA"/>
    </w:rPr>
  </w:style>
  <w:style w:type="paragraph" w:customStyle="1" w:styleId="PleadingsCont3">
    <w:name w:val="Pleadings Cont 3"/>
    <w:basedOn w:val="PleadingsCont2"/>
    <w:link w:val="PleadingsCont3Char"/>
    <w:rsid w:val="00A15B24"/>
    <w:pPr>
      <w:ind w:left="1440"/>
    </w:pPr>
  </w:style>
  <w:style w:type="character" w:customStyle="1" w:styleId="PleadingsCont3Char">
    <w:name w:val="Pleadings Cont 3 Char"/>
    <w:basedOn w:val="Heading1Char"/>
    <w:link w:val="PleadingsCont3"/>
    <w:rsid w:val="00A15B24"/>
    <w:rPr>
      <w:rFonts w:ascii="Times New Roman" w:hAnsi="Times New Roman" w:cs="Times New Roman"/>
      <w:b w:val="0"/>
      <w:sz w:val="24"/>
      <w:szCs w:val="20"/>
      <w:lang w:val="en-US" w:eastAsia="zh-CN" w:bidi="ar-SA"/>
    </w:rPr>
  </w:style>
  <w:style w:type="paragraph" w:customStyle="1" w:styleId="PleadingsCont4">
    <w:name w:val="Pleadings Cont 4"/>
    <w:basedOn w:val="PleadingsCont3"/>
    <w:link w:val="PleadingsCont4Char"/>
    <w:rsid w:val="00A15B24"/>
    <w:pPr>
      <w:ind w:left="2160"/>
    </w:pPr>
  </w:style>
  <w:style w:type="character" w:customStyle="1" w:styleId="PleadingsCont4Char">
    <w:name w:val="Pleadings Cont 4 Char"/>
    <w:basedOn w:val="Heading1Char"/>
    <w:link w:val="PleadingsCont4"/>
    <w:rsid w:val="00A15B24"/>
    <w:rPr>
      <w:rFonts w:ascii="Times New Roman" w:hAnsi="Times New Roman" w:cs="Times New Roman"/>
      <w:b w:val="0"/>
      <w:sz w:val="24"/>
      <w:szCs w:val="20"/>
      <w:lang w:val="en-US" w:eastAsia="zh-CN" w:bidi="ar-SA"/>
    </w:rPr>
  </w:style>
  <w:style w:type="paragraph" w:customStyle="1" w:styleId="PleadingsCont5">
    <w:name w:val="Pleadings Cont 5"/>
    <w:basedOn w:val="PleadingsCont4"/>
    <w:link w:val="PleadingsCont5Char"/>
    <w:rsid w:val="00A15B24"/>
    <w:pPr>
      <w:ind w:left="2880"/>
    </w:pPr>
  </w:style>
  <w:style w:type="character" w:customStyle="1" w:styleId="PleadingsCont5Char">
    <w:name w:val="Pleadings Cont 5 Char"/>
    <w:basedOn w:val="Heading1Char"/>
    <w:link w:val="PleadingsCont5"/>
    <w:rsid w:val="00A15B24"/>
    <w:rPr>
      <w:rFonts w:ascii="Times New Roman" w:hAnsi="Times New Roman" w:cs="Times New Roman"/>
      <w:b w:val="0"/>
      <w:sz w:val="24"/>
      <w:szCs w:val="20"/>
      <w:lang w:val="en-US" w:eastAsia="zh-CN" w:bidi="ar-SA"/>
    </w:rPr>
  </w:style>
  <w:style w:type="paragraph" w:customStyle="1" w:styleId="PleadingsCont6">
    <w:name w:val="Pleadings Cont 6"/>
    <w:basedOn w:val="PleadingsCont5"/>
    <w:link w:val="PleadingsCont6Char"/>
    <w:rsid w:val="00A15B24"/>
    <w:pPr>
      <w:ind w:left="3600"/>
    </w:pPr>
  </w:style>
  <w:style w:type="character" w:customStyle="1" w:styleId="PleadingsCont6Char">
    <w:name w:val="Pleadings Cont 6 Char"/>
    <w:basedOn w:val="Heading1Char"/>
    <w:link w:val="PleadingsCont6"/>
    <w:rsid w:val="00A15B24"/>
    <w:rPr>
      <w:rFonts w:ascii="Times New Roman" w:hAnsi="Times New Roman" w:cs="Times New Roman"/>
      <w:b w:val="0"/>
      <w:sz w:val="24"/>
      <w:szCs w:val="20"/>
      <w:lang w:val="en-US" w:eastAsia="zh-CN" w:bidi="ar-SA"/>
    </w:rPr>
  </w:style>
  <w:style w:type="paragraph" w:customStyle="1" w:styleId="PleadingsCont7">
    <w:name w:val="Pleadings Cont 7"/>
    <w:basedOn w:val="PleadingsCont6"/>
    <w:link w:val="PleadingsCont7Char"/>
    <w:rsid w:val="00A15B24"/>
    <w:pPr>
      <w:ind w:left="4320"/>
    </w:pPr>
  </w:style>
  <w:style w:type="character" w:customStyle="1" w:styleId="PleadingsCont7Char">
    <w:name w:val="Pleadings Cont 7 Char"/>
    <w:basedOn w:val="Heading1Char"/>
    <w:link w:val="PleadingsCont7"/>
    <w:rsid w:val="00A15B24"/>
    <w:rPr>
      <w:rFonts w:ascii="Times New Roman" w:hAnsi="Times New Roman" w:cs="Times New Roman"/>
      <w:b w:val="0"/>
      <w:sz w:val="24"/>
      <w:szCs w:val="20"/>
      <w:lang w:val="en-US" w:eastAsia="zh-CN" w:bidi="ar-SA"/>
    </w:rPr>
  </w:style>
  <w:style w:type="paragraph" w:customStyle="1" w:styleId="PleadingsCont8">
    <w:name w:val="Pleadings Cont 8"/>
    <w:basedOn w:val="PleadingsCont7"/>
    <w:link w:val="PleadingsCont8Char"/>
    <w:rsid w:val="00A15B24"/>
    <w:pPr>
      <w:ind w:left="5040"/>
    </w:pPr>
  </w:style>
  <w:style w:type="character" w:customStyle="1" w:styleId="PleadingsCont8Char">
    <w:name w:val="Pleadings Cont 8 Char"/>
    <w:basedOn w:val="Heading1Char"/>
    <w:link w:val="PleadingsCont8"/>
    <w:rsid w:val="00A15B24"/>
    <w:rPr>
      <w:rFonts w:ascii="Times New Roman" w:hAnsi="Times New Roman" w:cs="Times New Roman"/>
      <w:b w:val="0"/>
      <w:sz w:val="24"/>
      <w:szCs w:val="20"/>
      <w:lang w:val="en-US" w:eastAsia="zh-CN" w:bidi="ar-SA"/>
    </w:rPr>
  </w:style>
  <w:style w:type="paragraph" w:customStyle="1" w:styleId="PleadingsCont9">
    <w:name w:val="Pleadings Cont 9"/>
    <w:basedOn w:val="PleadingsCont8"/>
    <w:link w:val="PleadingsCont9Char"/>
    <w:rsid w:val="00A15B24"/>
    <w:pPr>
      <w:ind w:left="5760"/>
    </w:pPr>
  </w:style>
  <w:style w:type="character" w:customStyle="1" w:styleId="PleadingsCont9Char">
    <w:name w:val="Pleadings Cont 9 Char"/>
    <w:basedOn w:val="Heading1Char"/>
    <w:link w:val="PleadingsCont9"/>
    <w:rsid w:val="00A15B24"/>
    <w:rPr>
      <w:rFonts w:ascii="Times New Roman" w:hAnsi="Times New Roman" w:cs="Times New Roman"/>
      <w:b w:val="0"/>
      <w:sz w:val="24"/>
      <w:szCs w:val="20"/>
      <w:lang w:val="en-US" w:eastAsia="zh-CN" w:bidi="ar-SA"/>
    </w:rPr>
  </w:style>
  <w:style w:type="paragraph" w:customStyle="1" w:styleId="PleadingsL1">
    <w:name w:val="Pleadings_L1"/>
    <w:basedOn w:val="Normal"/>
    <w:next w:val="BodyText"/>
    <w:link w:val="PleadingsL1Char"/>
    <w:rsid w:val="00A15B24"/>
    <w:pPr>
      <w:keepNext/>
      <w:keepLines/>
      <w:numPr>
        <w:numId w:val="30"/>
      </w:numPr>
      <w:spacing w:before="240" w:after="320" w:line="240" w:lineRule="auto"/>
      <w:ind w:right="720"/>
      <w:jc w:val="center"/>
      <w:outlineLvl w:val="0"/>
    </w:pPr>
    <w:rPr>
      <w:b/>
      <w:lang w:eastAsia="en-US"/>
    </w:rPr>
  </w:style>
  <w:style w:type="character" w:customStyle="1" w:styleId="PleadingsL1Char">
    <w:name w:val="Pleadings_L1 Char"/>
    <w:basedOn w:val="Heading1Char"/>
    <w:link w:val="PleadingsL1"/>
    <w:rsid w:val="00A15B24"/>
    <w:rPr>
      <w:rFonts w:ascii="Times New Roman" w:hAnsi="Times New Roman" w:cs="Times New Roman"/>
      <w:b/>
      <w:sz w:val="24"/>
      <w:szCs w:val="20"/>
      <w:lang w:val="en-US" w:eastAsia="zh-CN" w:bidi="ar-SA"/>
    </w:rPr>
  </w:style>
  <w:style w:type="paragraph" w:customStyle="1" w:styleId="PleadingsL2">
    <w:name w:val="Pleadings_L2"/>
    <w:basedOn w:val="PleadingsL1"/>
    <w:next w:val="BodyText"/>
    <w:link w:val="PleadingsL2Char"/>
    <w:rsid w:val="00A15B24"/>
    <w:pPr>
      <w:numPr>
        <w:ilvl w:val="1"/>
      </w:numPr>
      <w:jc w:val="left"/>
      <w:outlineLvl w:val="1"/>
    </w:pPr>
    <w:rPr>
      <w:u w:val="single"/>
    </w:rPr>
  </w:style>
  <w:style w:type="character" w:customStyle="1" w:styleId="PleadingsL2Char">
    <w:name w:val="Pleadings_L2 Char"/>
    <w:basedOn w:val="Heading1Char"/>
    <w:link w:val="PleadingsL2"/>
    <w:rsid w:val="00A15B24"/>
    <w:rPr>
      <w:rFonts w:ascii="Times New Roman" w:hAnsi="Times New Roman" w:cs="Times New Roman"/>
      <w:b/>
      <w:sz w:val="24"/>
      <w:szCs w:val="20"/>
      <w:u w:val="single"/>
      <w:lang w:val="en-US" w:eastAsia="zh-CN" w:bidi="ar-SA"/>
    </w:rPr>
  </w:style>
  <w:style w:type="paragraph" w:customStyle="1" w:styleId="PleadingsL3">
    <w:name w:val="Pleadings_L3"/>
    <w:basedOn w:val="PleadingsL2"/>
    <w:next w:val="BodyText"/>
    <w:link w:val="PleadingsL3Char"/>
    <w:rsid w:val="00A15B24"/>
    <w:pPr>
      <w:numPr>
        <w:ilvl w:val="2"/>
      </w:numPr>
      <w:outlineLvl w:val="2"/>
    </w:pPr>
  </w:style>
  <w:style w:type="character" w:customStyle="1" w:styleId="PleadingsL3Char">
    <w:name w:val="Pleadings_L3 Char"/>
    <w:basedOn w:val="Heading1Char"/>
    <w:link w:val="PleadingsL3"/>
    <w:rsid w:val="00A15B24"/>
    <w:rPr>
      <w:rFonts w:ascii="Times New Roman" w:hAnsi="Times New Roman" w:cs="Times New Roman"/>
      <w:b/>
      <w:sz w:val="24"/>
      <w:szCs w:val="20"/>
      <w:u w:val="single"/>
      <w:lang w:val="en-US" w:eastAsia="zh-CN" w:bidi="ar-SA"/>
    </w:rPr>
  </w:style>
  <w:style w:type="paragraph" w:customStyle="1" w:styleId="PleadingsL4">
    <w:name w:val="Pleadings_L4"/>
    <w:basedOn w:val="PleadingsL3"/>
    <w:next w:val="BodyText"/>
    <w:link w:val="PleadingsL4Char"/>
    <w:rsid w:val="00A15B24"/>
    <w:pPr>
      <w:numPr>
        <w:ilvl w:val="3"/>
      </w:numPr>
      <w:outlineLvl w:val="3"/>
    </w:pPr>
    <w:rPr>
      <w:u w:val="none"/>
    </w:rPr>
  </w:style>
  <w:style w:type="character" w:customStyle="1" w:styleId="PleadingsL4Char">
    <w:name w:val="Pleadings_L4 Char"/>
    <w:basedOn w:val="Heading1Char"/>
    <w:link w:val="PleadingsL4"/>
    <w:rsid w:val="00A15B24"/>
    <w:rPr>
      <w:rFonts w:ascii="Times New Roman" w:hAnsi="Times New Roman" w:cs="Times New Roman"/>
      <w:b/>
      <w:sz w:val="24"/>
      <w:szCs w:val="20"/>
      <w:lang w:val="en-US" w:eastAsia="zh-CN" w:bidi="ar-SA"/>
    </w:rPr>
  </w:style>
  <w:style w:type="paragraph" w:customStyle="1" w:styleId="PleadingsL5">
    <w:name w:val="Pleadings_L5"/>
    <w:basedOn w:val="PleadingsL4"/>
    <w:next w:val="BodyText"/>
    <w:link w:val="PleadingsL5Char"/>
    <w:rsid w:val="00A15B24"/>
    <w:pPr>
      <w:numPr>
        <w:ilvl w:val="4"/>
      </w:numPr>
      <w:outlineLvl w:val="4"/>
    </w:pPr>
  </w:style>
  <w:style w:type="character" w:customStyle="1" w:styleId="PleadingsL5Char">
    <w:name w:val="Pleadings_L5 Char"/>
    <w:basedOn w:val="Heading1Char"/>
    <w:link w:val="PleadingsL5"/>
    <w:rsid w:val="00A15B24"/>
    <w:rPr>
      <w:rFonts w:ascii="Times New Roman" w:hAnsi="Times New Roman" w:cs="Times New Roman"/>
      <w:b/>
      <w:sz w:val="24"/>
      <w:szCs w:val="20"/>
      <w:lang w:val="en-US" w:eastAsia="zh-CN" w:bidi="ar-SA"/>
    </w:rPr>
  </w:style>
  <w:style w:type="paragraph" w:customStyle="1" w:styleId="PleadingsL6">
    <w:name w:val="Pleadings_L6"/>
    <w:basedOn w:val="PleadingsL5"/>
    <w:next w:val="BodyText"/>
    <w:link w:val="PleadingsL6Char"/>
    <w:rsid w:val="00A15B24"/>
    <w:pPr>
      <w:numPr>
        <w:ilvl w:val="5"/>
      </w:numPr>
      <w:outlineLvl w:val="5"/>
    </w:pPr>
  </w:style>
  <w:style w:type="character" w:customStyle="1" w:styleId="PleadingsL6Char">
    <w:name w:val="Pleadings_L6 Char"/>
    <w:basedOn w:val="Heading1Char"/>
    <w:link w:val="PleadingsL6"/>
    <w:rsid w:val="00A15B24"/>
    <w:rPr>
      <w:rFonts w:ascii="Times New Roman" w:hAnsi="Times New Roman" w:cs="Times New Roman"/>
      <w:b/>
      <w:sz w:val="24"/>
      <w:szCs w:val="20"/>
      <w:lang w:val="en-US" w:eastAsia="zh-CN" w:bidi="ar-SA"/>
    </w:rPr>
  </w:style>
  <w:style w:type="paragraph" w:customStyle="1" w:styleId="PleadingsL7">
    <w:name w:val="Pleadings_L7"/>
    <w:basedOn w:val="PleadingsL6"/>
    <w:next w:val="BodyText"/>
    <w:link w:val="PleadingsL7Char"/>
    <w:rsid w:val="00A15B24"/>
    <w:pPr>
      <w:numPr>
        <w:ilvl w:val="6"/>
      </w:numPr>
      <w:outlineLvl w:val="6"/>
    </w:pPr>
  </w:style>
  <w:style w:type="character" w:customStyle="1" w:styleId="PleadingsL7Char">
    <w:name w:val="Pleadings_L7 Char"/>
    <w:basedOn w:val="Heading1Char"/>
    <w:link w:val="PleadingsL7"/>
    <w:rsid w:val="00A15B24"/>
    <w:rPr>
      <w:rFonts w:ascii="Times New Roman" w:hAnsi="Times New Roman" w:cs="Times New Roman"/>
      <w:b/>
      <w:sz w:val="24"/>
      <w:szCs w:val="20"/>
      <w:lang w:val="en-US" w:eastAsia="zh-CN" w:bidi="ar-SA"/>
    </w:rPr>
  </w:style>
  <w:style w:type="paragraph" w:customStyle="1" w:styleId="PleadingsL8">
    <w:name w:val="Pleadings_L8"/>
    <w:basedOn w:val="PleadingsL7"/>
    <w:next w:val="BodyText"/>
    <w:link w:val="PleadingsL8Char"/>
    <w:rsid w:val="00A15B24"/>
    <w:pPr>
      <w:numPr>
        <w:ilvl w:val="7"/>
      </w:numPr>
      <w:outlineLvl w:val="7"/>
    </w:pPr>
  </w:style>
  <w:style w:type="character" w:customStyle="1" w:styleId="PleadingsL8Char">
    <w:name w:val="Pleadings_L8 Char"/>
    <w:basedOn w:val="Heading1Char"/>
    <w:link w:val="PleadingsL8"/>
    <w:rsid w:val="00A15B24"/>
    <w:rPr>
      <w:rFonts w:ascii="Times New Roman" w:hAnsi="Times New Roman" w:cs="Times New Roman"/>
      <w:b/>
      <w:sz w:val="24"/>
      <w:szCs w:val="20"/>
      <w:lang w:val="en-US" w:eastAsia="zh-CN" w:bidi="ar-SA"/>
    </w:rPr>
  </w:style>
  <w:style w:type="paragraph" w:customStyle="1" w:styleId="PleadingsL9">
    <w:name w:val="Pleadings_L9"/>
    <w:basedOn w:val="PleadingsL8"/>
    <w:next w:val="BodyText"/>
    <w:link w:val="PleadingsL9Char"/>
    <w:rsid w:val="00A15B24"/>
    <w:pPr>
      <w:numPr>
        <w:ilvl w:val="8"/>
      </w:numPr>
      <w:outlineLvl w:val="8"/>
    </w:pPr>
  </w:style>
  <w:style w:type="character" w:customStyle="1" w:styleId="PleadingsL9Char">
    <w:name w:val="Pleadings_L9 Char"/>
    <w:basedOn w:val="Heading1Char"/>
    <w:link w:val="PleadingsL9"/>
    <w:rsid w:val="00A15B24"/>
    <w:rPr>
      <w:rFonts w:ascii="Times New Roman" w:hAnsi="Times New Roman" w:cs="Times New Roman"/>
      <w:b/>
      <w:sz w:val="24"/>
      <w:szCs w:val="20"/>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82938">
      <w:bodyDiv w:val="1"/>
      <w:marLeft w:val="0"/>
      <w:marRight w:val="0"/>
      <w:marTop w:val="0"/>
      <w:marBottom w:val="0"/>
      <w:divBdr>
        <w:top w:val="none" w:sz="0" w:space="0" w:color="auto"/>
        <w:left w:val="none" w:sz="0" w:space="0" w:color="auto"/>
        <w:bottom w:val="none" w:sz="0" w:space="0" w:color="auto"/>
        <w:right w:val="none" w:sz="0" w:space="0" w:color="auto"/>
      </w:divBdr>
    </w:div>
    <w:div w:id="469858683">
      <w:bodyDiv w:val="1"/>
      <w:marLeft w:val="0"/>
      <w:marRight w:val="0"/>
      <w:marTop w:val="0"/>
      <w:marBottom w:val="0"/>
      <w:divBdr>
        <w:top w:val="none" w:sz="0" w:space="0" w:color="auto"/>
        <w:left w:val="none" w:sz="0" w:space="0" w:color="auto"/>
        <w:bottom w:val="none" w:sz="0" w:space="0" w:color="auto"/>
        <w:right w:val="none" w:sz="0" w:space="0" w:color="auto"/>
      </w:divBdr>
    </w:div>
    <w:div w:id="682978279">
      <w:bodyDiv w:val="1"/>
      <w:marLeft w:val="0"/>
      <w:marRight w:val="0"/>
      <w:marTop w:val="0"/>
      <w:marBottom w:val="0"/>
      <w:divBdr>
        <w:top w:val="none" w:sz="0" w:space="0" w:color="auto"/>
        <w:left w:val="none" w:sz="0" w:space="0" w:color="auto"/>
        <w:bottom w:val="none" w:sz="0" w:space="0" w:color="auto"/>
        <w:right w:val="none" w:sz="0" w:space="0" w:color="auto"/>
      </w:divBdr>
    </w:div>
    <w:div w:id="982733831">
      <w:bodyDiv w:val="1"/>
      <w:marLeft w:val="0"/>
      <w:marRight w:val="0"/>
      <w:marTop w:val="0"/>
      <w:marBottom w:val="0"/>
      <w:divBdr>
        <w:top w:val="none" w:sz="0" w:space="0" w:color="auto"/>
        <w:left w:val="none" w:sz="0" w:space="0" w:color="auto"/>
        <w:bottom w:val="none" w:sz="0" w:space="0" w:color="auto"/>
        <w:right w:val="none" w:sz="0" w:space="0" w:color="auto"/>
      </w:divBdr>
    </w:div>
    <w:div w:id="1286428687">
      <w:marLeft w:val="0"/>
      <w:marRight w:val="0"/>
      <w:marTop w:val="0"/>
      <w:marBottom w:val="0"/>
      <w:divBdr>
        <w:top w:val="none" w:sz="0" w:space="0" w:color="auto"/>
        <w:left w:val="none" w:sz="0" w:space="0" w:color="auto"/>
        <w:bottom w:val="none" w:sz="0" w:space="0" w:color="auto"/>
        <w:right w:val="none" w:sz="0" w:space="0" w:color="auto"/>
      </w:divBdr>
    </w:div>
    <w:div w:id="1286428688">
      <w:marLeft w:val="0"/>
      <w:marRight w:val="0"/>
      <w:marTop w:val="0"/>
      <w:marBottom w:val="0"/>
      <w:divBdr>
        <w:top w:val="none" w:sz="0" w:space="0" w:color="auto"/>
        <w:left w:val="none" w:sz="0" w:space="0" w:color="auto"/>
        <w:bottom w:val="none" w:sz="0" w:space="0" w:color="auto"/>
        <w:right w:val="none" w:sz="0" w:space="0" w:color="auto"/>
      </w:divBdr>
    </w:div>
    <w:div w:id="1286428689">
      <w:marLeft w:val="0"/>
      <w:marRight w:val="0"/>
      <w:marTop w:val="0"/>
      <w:marBottom w:val="0"/>
      <w:divBdr>
        <w:top w:val="none" w:sz="0" w:space="0" w:color="auto"/>
        <w:left w:val="none" w:sz="0" w:space="0" w:color="auto"/>
        <w:bottom w:val="none" w:sz="0" w:space="0" w:color="auto"/>
        <w:right w:val="none" w:sz="0" w:space="0" w:color="auto"/>
      </w:divBdr>
    </w:div>
    <w:div w:id="1286428690">
      <w:marLeft w:val="0"/>
      <w:marRight w:val="0"/>
      <w:marTop w:val="0"/>
      <w:marBottom w:val="0"/>
      <w:divBdr>
        <w:top w:val="none" w:sz="0" w:space="0" w:color="auto"/>
        <w:left w:val="none" w:sz="0" w:space="0" w:color="auto"/>
        <w:bottom w:val="none" w:sz="0" w:space="0" w:color="auto"/>
        <w:right w:val="none" w:sz="0" w:space="0" w:color="auto"/>
      </w:divBdr>
    </w:div>
    <w:div w:id="1286428691">
      <w:marLeft w:val="0"/>
      <w:marRight w:val="0"/>
      <w:marTop w:val="0"/>
      <w:marBottom w:val="0"/>
      <w:divBdr>
        <w:top w:val="none" w:sz="0" w:space="0" w:color="auto"/>
        <w:left w:val="none" w:sz="0" w:space="0" w:color="auto"/>
        <w:bottom w:val="none" w:sz="0" w:space="0" w:color="auto"/>
        <w:right w:val="none" w:sz="0" w:space="0" w:color="auto"/>
      </w:divBdr>
    </w:div>
    <w:div w:id="2055078301">
      <w:bodyDiv w:val="1"/>
      <w:marLeft w:val="0"/>
      <w:marRight w:val="0"/>
      <w:marTop w:val="0"/>
      <w:marBottom w:val="0"/>
      <w:divBdr>
        <w:top w:val="none" w:sz="0" w:space="0" w:color="auto"/>
        <w:left w:val="none" w:sz="0" w:space="0" w:color="auto"/>
        <w:bottom w:val="none" w:sz="0" w:space="0" w:color="auto"/>
        <w:right w:val="none" w:sz="0" w:space="0" w:color="auto"/>
      </w:divBdr>
    </w:div>
    <w:div w:id="209624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pse.com/aboutpse/Rates/Documents/summ_elec_prices_2017_05_01.pdf" TargetMode="External"/><Relationship Id="rId2" Type="http://schemas.openxmlformats.org/officeDocument/2006/relationships/hyperlink" Target="https://pse.com/accountsandservices/YourAccount/Pages/Understand-Your-Bill.aspx" TargetMode="External"/><Relationship Id="rId1" Type="http://schemas.openxmlformats.org/officeDocument/2006/relationships/hyperlink" Target="http://www.raponline.org/wp-content/uploads/2016/05/gracefulsystems-morgan-decouplingreport-2012-de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8D2FBB09848246B6FD4A5A815592E3" ma:contentTypeVersion="104" ma:contentTypeDescription="" ma:contentTypeScope="" ma:versionID="c5c772d1368efef941e1eb543e9ac6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2017-01-13T08:00:00+00:00</OpenedDate>
    <Date1 xmlns="dc463f71-b30c-4ab2-9473-d307f9d35888">2017-08-09T07:00:00+00:00</Date1>
    <IsDocumentOrder xmlns="dc463f71-b30c-4ab2-9473-d307f9d35888">false</IsDocumentOrder>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170033</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8AC68CBD-E93A-496D-9BD6-5AEB0CBC2982}">
  <ds:schemaRefs>
    <ds:schemaRef ds:uri="http://schemas.openxmlformats.org/officeDocument/2006/bibliography"/>
  </ds:schemaRefs>
</ds:datastoreItem>
</file>

<file path=customXml/itemProps2.xml><?xml version="1.0" encoding="utf-8"?>
<ds:datastoreItem xmlns:ds="http://schemas.openxmlformats.org/officeDocument/2006/customXml" ds:itemID="{704C6290-6E92-43DE-890A-DD9429519190}"/>
</file>

<file path=customXml/itemProps3.xml><?xml version="1.0" encoding="utf-8"?>
<ds:datastoreItem xmlns:ds="http://schemas.openxmlformats.org/officeDocument/2006/customXml" ds:itemID="{25DB2A1B-3C31-4A5D-A0DF-694CED11E549}"/>
</file>

<file path=customXml/itemProps4.xml><?xml version="1.0" encoding="utf-8"?>
<ds:datastoreItem xmlns:ds="http://schemas.openxmlformats.org/officeDocument/2006/customXml" ds:itemID="{32F82B21-81F4-439D-8437-7E017FFF84C4}"/>
</file>

<file path=customXml/itemProps5.xml><?xml version="1.0" encoding="utf-8"?>
<ds:datastoreItem xmlns:ds="http://schemas.openxmlformats.org/officeDocument/2006/customXml" ds:itemID="{E7CAA429-5F94-4DB4-ADF1-EB299CDEFDA8}"/>
</file>

<file path=docProps/app.xml><?xml version="1.0" encoding="utf-8"?>
<Properties xmlns="http://schemas.openxmlformats.org/officeDocument/2006/extended-properties" xmlns:vt="http://schemas.openxmlformats.org/officeDocument/2006/docPropsVTypes">
  <Template>Normal.dotm</Template>
  <TotalTime>8</TotalTime>
  <Pages>91</Pages>
  <Words>17721</Words>
  <Characters>101015</Characters>
  <Application>Microsoft Office Word</Application>
  <DocSecurity>0</DocSecurity>
  <Lines>841</Lines>
  <Paragraphs>236</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118500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Piliaris, Jon</dc:creator>
  <cp:lastModifiedBy>No Name</cp:lastModifiedBy>
  <cp:revision>4</cp:revision>
  <cp:lastPrinted>2017-08-07T22:01:00Z</cp:lastPrinted>
  <dcterms:created xsi:type="dcterms:W3CDTF">2017-08-07T22:02:00Z</dcterms:created>
  <dcterms:modified xsi:type="dcterms:W3CDTF">2017-08-08T21:45:00Z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gFAAvvm1OVlBaXFEhO49zjGAnhYIkmqhcfiDPeu9dCTwQKn6LE1FAPmnXvsVB5zasEW4BjCUOVtegNkkXGedJwDX9r5yuhDD5pmpBGrEhRCAnneX8Nh6liSKhE4WFmPT6FFX/hMxekj/EvIXrDgg8OAS/nyRo24nQjc9PHF21sSrXpPH4ITJticMM16KhtPl6tcJYzWHIu3ZDcDj7PZ9DHYyd3CayNhgm+kUM5wXP12PKtvunVk12dEti</vt:lpwstr>
  </property>
  <property fmtid="{D5CDD505-2E9C-101B-9397-08002B2CF9AE}" pid="3" name="MAIL_MSG_ID2">
    <vt:lpwstr>1CDQ9/6ASpByDxsPMLDGyJX5IvSimzlH+B6CILwsITtOWYGwmOdb+hkXB3be9c9P66kwjYFqz7aq68ib+bALrlGfQIcDKUpFg==</vt:lpwstr>
  </property>
  <property fmtid="{D5CDD505-2E9C-101B-9397-08002B2CF9AE}" pid="4" name="RESPONSE_SENDER_NAME">
    <vt:lpwstr>sAAA4E8dREqJqIre+Csh2KcHtNjV/ujN4iopw9MigEfSPQc=</vt:lpwstr>
  </property>
  <property fmtid="{D5CDD505-2E9C-101B-9397-08002B2CF9AE}" pid="5" name="EMAIL_OWNER_ADDRESS">
    <vt:lpwstr>4AAA6DouqOs9baE00g2yxD/LIbIUlPem8n7L0nUpm8pi8A2+Z2ihja9DxQ==</vt:lpwstr>
  </property>
  <property fmtid="{D5CDD505-2E9C-101B-9397-08002B2CF9AE}" pid="6" name="ContentTypeId">
    <vt:lpwstr>0x0101006E56B4D1795A2E4DB2F0B01679ED314A00718D2FBB09848246B6FD4A5A815592E3</vt:lpwstr>
  </property>
  <property fmtid="{D5CDD505-2E9C-101B-9397-08002B2CF9AE}" pid="7" name="_docset_NoMedatataSyncRequired">
    <vt:lpwstr>False</vt:lpwstr>
  </property>
  <property fmtid="{D5CDD505-2E9C-101B-9397-08002B2CF9AE}" pid="8" name="IsEFSEC">
    <vt:bool>false</vt:bool>
  </property>
</Properties>
</file>