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ABE78" w14:textId="77777777" w:rsidR="00643EA0" w:rsidRDefault="0005638E" w:rsidP="00D01EF4">
      <w:pPr>
        <w:pStyle w:val="single"/>
        <w:widowControl w:val="0"/>
        <w:spacing w:before="0" w:line="240" w:lineRule="auto"/>
        <w:ind w:left="4320" w:firstLine="0"/>
        <w:rPr>
          <w:rStyle w:val="Strong"/>
        </w:rPr>
      </w:pPr>
      <w:bookmarkStart w:id="0" w:name="_GoBack"/>
      <w:bookmarkEnd w:id="0"/>
      <w:r>
        <w:rPr>
          <w:rStyle w:val="Strong"/>
        </w:rPr>
        <w:t>EXHIBIT NO</w:t>
      </w:r>
      <w:r w:rsidR="004A514B">
        <w:rPr>
          <w:rStyle w:val="Strong"/>
        </w:rPr>
        <w:t>.</w:t>
      </w:r>
      <w:r w:rsidR="00D01EF4">
        <w:rPr>
          <w:rStyle w:val="Strong"/>
        </w:rPr>
        <w:t> </w:t>
      </w:r>
      <w:r w:rsidR="004A514B">
        <w:rPr>
          <w:rStyle w:val="Strong"/>
        </w:rPr>
        <w:t>___</w:t>
      </w:r>
      <w:r w:rsidR="00E73A3D">
        <w:rPr>
          <w:rStyle w:val="Strong"/>
        </w:rPr>
        <w:t>(JAP-</w:t>
      </w:r>
      <w:r w:rsidR="00651A7B">
        <w:rPr>
          <w:rStyle w:val="Strong"/>
        </w:rPr>
        <w:t>6</w:t>
      </w:r>
      <w:r w:rsidR="00E73A3D">
        <w:rPr>
          <w:rStyle w:val="Strong"/>
        </w:rPr>
        <w:t>T)</w:t>
      </w:r>
      <w:r>
        <w:rPr>
          <w:rStyle w:val="Strong"/>
        </w:rPr>
        <w:br/>
        <w:t>DOCKET NO. UE</w:t>
      </w:r>
      <w:r w:rsidR="006F4CE0">
        <w:rPr>
          <w:rStyle w:val="Strong"/>
        </w:rPr>
        <w:t>-</w:t>
      </w:r>
      <w:r w:rsidR="005D6FF8">
        <w:rPr>
          <w:rStyle w:val="Strong"/>
        </w:rPr>
        <w:t>1</w:t>
      </w:r>
      <w:r w:rsidR="00224B42">
        <w:rPr>
          <w:rStyle w:val="Strong"/>
        </w:rPr>
        <w:t>6</w:t>
      </w:r>
      <w:r w:rsidR="009B00E4">
        <w:rPr>
          <w:rStyle w:val="Strong"/>
        </w:rPr>
        <w:t>1123</w:t>
      </w:r>
      <w:r>
        <w:rPr>
          <w:rStyle w:val="Strong"/>
        </w:rPr>
        <w:br/>
      </w:r>
      <w:r w:rsidR="00643EA0">
        <w:rPr>
          <w:rStyle w:val="Strong"/>
        </w:rPr>
        <w:t>SCHEDULE 451 FILING</w:t>
      </w:r>
    </w:p>
    <w:p w14:paraId="5FA9EA0B" w14:textId="77777777" w:rsidR="0005638E" w:rsidRDefault="0005638E" w:rsidP="00D01EF4">
      <w:pPr>
        <w:pStyle w:val="single"/>
        <w:widowControl w:val="0"/>
        <w:spacing w:before="0" w:line="240" w:lineRule="auto"/>
        <w:ind w:left="4320" w:firstLine="0"/>
        <w:rPr>
          <w:rStyle w:val="Strong"/>
        </w:rPr>
      </w:pPr>
      <w:r>
        <w:rPr>
          <w:rStyle w:val="Strong"/>
        </w:rPr>
        <w:t>WITNESS:  </w:t>
      </w:r>
      <w:r w:rsidR="00AE4812">
        <w:rPr>
          <w:b/>
          <w:color w:val="000000"/>
        </w:rPr>
        <w:t>JON A. PILIARIS</w:t>
      </w:r>
    </w:p>
    <w:p w14:paraId="148489C8" w14:textId="77777777" w:rsidR="0005638E" w:rsidRDefault="0005638E">
      <w:pPr>
        <w:pStyle w:val="center"/>
        <w:keepLines w:val="0"/>
        <w:widowControl w:val="0"/>
        <w:spacing w:before="0" w:line="240" w:lineRule="auto"/>
        <w:rPr>
          <w:b/>
        </w:rPr>
      </w:pPr>
    </w:p>
    <w:p w14:paraId="3BA672B5" w14:textId="77777777" w:rsidR="0005638E" w:rsidRDefault="0005638E">
      <w:pPr>
        <w:pStyle w:val="center"/>
        <w:keepLines w:val="0"/>
        <w:widowControl w:val="0"/>
        <w:spacing w:before="0" w:line="240" w:lineRule="auto"/>
        <w:rPr>
          <w:b/>
        </w:rPr>
      </w:pPr>
    </w:p>
    <w:p w14:paraId="7B8B544E" w14:textId="77777777" w:rsidR="0005638E" w:rsidRDefault="0005638E">
      <w:pPr>
        <w:pStyle w:val="center"/>
        <w:keepLines w:val="0"/>
        <w:widowControl w:val="0"/>
        <w:spacing w:before="0" w:line="240" w:lineRule="auto"/>
        <w:rPr>
          <w:b/>
        </w:rPr>
      </w:pPr>
    </w:p>
    <w:p w14:paraId="2B2E2A46" w14:textId="77777777" w:rsidR="0005638E" w:rsidRDefault="0005638E">
      <w:pPr>
        <w:pStyle w:val="center"/>
        <w:keepLines w:val="0"/>
        <w:widowControl w:val="0"/>
        <w:spacing w:before="0" w:line="240" w:lineRule="auto"/>
        <w:rPr>
          <w:b/>
        </w:rPr>
      </w:pPr>
    </w:p>
    <w:p w14:paraId="25189586" w14:textId="77777777" w:rsidR="0005638E" w:rsidRDefault="0005638E">
      <w:pPr>
        <w:pStyle w:val="center"/>
        <w:keepLines w:val="0"/>
        <w:widowControl w:val="0"/>
        <w:spacing w:before="0" w:line="240" w:lineRule="auto"/>
        <w:rPr>
          <w:b/>
        </w:rPr>
      </w:pPr>
    </w:p>
    <w:p w14:paraId="3B2D0435" w14:textId="77777777" w:rsidR="0005638E" w:rsidRDefault="0005638E">
      <w:pPr>
        <w:pStyle w:val="center"/>
        <w:keepLines w:val="0"/>
        <w:widowControl w:val="0"/>
        <w:spacing w:before="0" w:line="240" w:lineRule="auto"/>
        <w:rPr>
          <w:b/>
        </w:rPr>
      </w:pPr>
      <w:r>
        <w:rPr>
          <w:b/>
        </w:rPr>
        <w:t>BEFORE THE</w:t>
      </w:r>
    </w:p>
    <w:p w14:paraId="49072684" w14:textId="77777777" w:rsidR="0005638E" w:rsidRDefault="0005638E">
      <w:pPr>
        <w:pStyle w:val="center"/>
        <w:keepLines w:val="0"/>
        <w:widowControl w:val="0"/>
        <w:spacing w:before="0" w:line="240" w:lineRule="auto"/>
        <w:rPr>
          <w:b/>
        </w:rPr>
      </w:pPr>
      <w:r>
        <w:rPr>
          <w:b/>
        </w:rPr>
        <w:t>WASHINGTON UTILITIES AND TRANSPORTATION COMMISSION</w:t>
      </w:r>
    </w:p>
    <w:p w14:paraId="325D77D0" w14:textId="77777777" w:rsidR="0005638E" w:rsidRDefault="0005638E">
      <w:pPr>
        <w:pStyle w:val="center"/>
        <w:keepLines w:val="0"/>
        <w:widowControl w:val="0"/>
        <w:spacing w:before="0" w:line="240" w:lineRule="auto"/>
        <w:rPr>
          <w:b/>
        </w:rPr>
      </w:pPr>
    </w:p>
    <w:p w14:paraId="46CA2294" w14:textId="77777777" w:rsidR="0005638E" w:rsidRDefault="0005638E">
      <w:pPr>
        <w:pStyle w:val="center"/>
        <w:keepLines w:val="0"/>
        <w:widowControl w:val="0"/>
        <w:spacing w:before="0" w:line="240" w:lineRule="auto"/>
        <w:rPr>
          <w:b/>
        </w:rPr>
      </w:pPr>
    </w:p>
    <w:p w14:paraId="539D7490" w14:textId="77777777" w:rsidR="0005638E" w:rsidRDefault="0005638E">
      <w:pPr>
        <w:pStyle w:val="center"/>
        <w:keepLines w:val="0"/>
        <w:widowControl w:val="0"/>
        <w:spacing w:before="0" w:line="240" w:lineRule="auto"/>
        <w:rPr>
          <w:b/>
        </w:rPr>
      </w:pPr>
    </w:p>
    <w:tbl>
      <w:tblPr>
        <w:tblW w:w="8791" w:type="dxa"/>
        <w:tblInd w:w="-8" w:type="dxa"/>
        <w:tblLayout w:type="fixed"/>
        <w:tblCellMar>
          <w:left w:w="0" w:type="dxa"/>
          <w:right w:w="0" w:type="dxa"/>
        </w:tblCellMar>
        <w:tblLook w:val="0000" w:firstRow="0" w:lastRow="0" w:firstColumn="0" w:lastColumn="0" w:noHBand="0" w:noVBand="0"/>
      </w:tblPr>
      <w:tblGrid>
        <w:gridCol w:w="4328"/>
        <w:gridCol w:w="40"/>
        <w:gridCol w:w="4423"/>
      </w:tblGrid>
      <w:tr w:rsidR="0005638E" w14:paraId="0A963802" w14:textId="77777777" w:rsidTr="00E71CB3">
        <w:trPr>
          <w:cantSplit/>
        </w:trPr>
        <w:tc>
          <w:tcPr>
            <w:tcW w:w="4328" w:type="dxa"/>
            <w:tcBorders>
              <w:bottom w:val="single" w:sz="4" w:space="0" w:color="auto"/>
              <w:right w:val="single" w:sz="4" w:space="0" w:color="auto"/>
            </w:tcBorders>
          </w:tcPr>
          <w:p w14:paraId="5A8D8842" w14:textId="77777777" w:rsidR="00224B42" w:rsidRDefault="00224B42" w:rsidP="00711823">
            <w:pPr>
              <w:pStyle w:val="SingleSpacing"/>
              <w:widowControl w:val="0"/>
              <w:spacing w:after="240" w:line="240" w:lineRule="auto"/>
              <w:rPr>
                <w:b/>
                <w:sz w:val="24"/>
              </w:rPr>
            </w:pPr>
            <w:r>
              <w:rPr>
                <w:b/>
                <w:sz w:val="24"/>
              </w:rPr>
              <w:t>WASHINGTON UTILITIES AND</w:t>
            </w:r>
            <w:r w:rsidR="00711823">
              <w:rPr>
                <w:b/>
                <w:sz w:val="24"/>
              </w:rPr>
              <w:br/>
            </w:r>
            <w:r>
              <w:rPr>
                <w:b/>
                <w:sz w:val="24"/>
              </w:rPr>
              <w:t>TRANSPORTATION COMMISSION,</w:t>
            </w:r>
          </w:p>
          <w:p w14:paraId="02B144EA" w14:textId="77777777" w:rsidR="00224B42" w:rsidRDefault="00224B42" w:rsidP="00711823">
            <w:pPr>
              <w:pStyle w:val="SingleSpacing"/>
              <w:widowControl w:val="0"/>
              <w:tabs>
                <w:tab w:val="left" w:pos="2168"/>
                <w:tab w:val="left" w:pos="4550"/>
              </w:tabs>
              <w:spacing w:after="240" w:line="240" w:lineRule="auto"/>
              <w:ind w:right="360"/>
              <w:jc w:val="right"/>
              <w:rPr>
                <w:b/>
                <w:sz w:val="24"/>
              </w:rPr>
            </w:pPr>
            <w:r>
              <w:rPr>
                <w:b/>
                <w:sz w:val="24"/>
              </w:rPr>
              <w:t>Complainant,</w:t>
            </w:r>
          </w:p>
          <w:p w14:paraId="65AD7EED" w14:textId="77777777" w:rsidR="00224B42" w:rsidRDefault="00224B42" w:rsidP="00711823">
            <w:pPr>
              <w:pStyle w:val="SingleSpacing"/>
              <w:widowControl w:val="0"/>
              <w:spacing w:after="240" w:line="240" w:lineRule="auto"/>
              <w:ind w:left="728"/>
              <w:rPr>
                <w:b/>
                <w:sz w:val="24"/>
              </w:rPr>
            </w:pPr>
            <w:r>
              <w:rPr>
                <w:b/>
                <w:sz w:val="24"/>
              </w:rPr>
              <w:t>v.</w:t>
            </w:r>
          </w:p>
          <w:p w14:paraId="4BEB3399" w14:textId="77777777" w:rsidR="00224B42" w:rsidRDefault="00224B42" w:rsidP="00711823">
            <w:pPr>
              <w:pStyle w:val="SingleSpacing"/>
              <w:widowControl w:val="0"/>
              <w:spacing w:after="240" w:line="240" w:lineRule="auto"/>
              <w:rPr>
                <w:b/>
                <w:sz w:val="24"/>
              </w:rPr>
            </w:pPr>
            <w:r>
              <w:rPr>
                <w:b/>
                <w:sz w:val="24"/>
              </w:rPr>
              <w:t>PUGET SOUND ENERGY,</w:t>
            </w:r>
          </w:p>
          <w:p w14:paraId="19275BD6" w14:textId="77777777" w:rsidR="008C433A" w:rsidRDefault="00224B42" w:rsidP="00711823">
            <w:pPr>
              <w:pStyle w:val="SingleSpacing"/>
              <w:widowControl w:val="0"/>
              <w:tabs>
                <w:tab w:val="left" w:pos="2168"/>
              </w:tabs>
              <w:spacing w:after="240" w:line="240" w:lineRule="auto"/>
              <w:ind w:right="360"/>
              <w:jc w:val="right"/>
              <w:rPr>
                <w:b/>
                <w:sz w:val="24"/>
              </w:rPr>
            </w:pPr>
            <w:r>
              <w:rPr>
                <w:b/>
                <w:sz w:val="24"/>
              </w:rPr>
              <w:t>Respondent.</w:t>
            </w:r>
          </w:p>
        </w:tc>
        <w:tc>
          <w:tcPr>
            <w:tcW w:w="40" w:type="dxa"/>
            <w:tcBorders>
              <w:left w:val="single" w:sz="4" w:space="0" w:color="auto"/>
            </w:tcBorders>
          </w:tcPr>
          <w:p w14:paraId="15FADFC3" w14:textId="77777777" w:rsidR="0005638E" w:rsidRDefault="0005638E">
            <w:pPr>
              <w:widowControl w:val="0"/>
              <w:rPr>
                <w:b/>
              </w:rPr>
            </w:pPr>
          </w:p>
        </w:tc>
        <w:tc>
          <w:tcPr>
            <w:tcW w:w="4423" w:type="dxa"/>
            <w:vAlign w:val="center"/>
          </w:tcPr>
          <w:p w14:paraId="5466E619" w14:textId="77777777" w:rsidR="0005638E" w:rsidRDefault="0005638E" w:rsidP="00651A7B">
            <w:pPr>
              <w:pStyle w:val="SingleSpacing"/>
              <w:widowControl w:val="0"/>
              <w:ind w:left="198"/>
              <w:rPr>
                <w:b/>
                <w:sz w:val="24"/>
              </w:rPr>
            </w:pPr>
            <w:r>
              <w:rPr>
                <w:b/>
                <w:sz w:val="24"/>
              </w:rPr>
              <w:t xml:space="preserve">Docket No. </w:t>
            </w:r>
            <w:r w:rsidR="005D6FF8">
              <w:rPr>
                <w:b/>
                <w:sz w:val="24"/>
              </w:rPr>
              <w:t>UE-</w:t>
            </w:r>
            <w:r w:rsidR="005D6FF8" w:rsidRPr="00651A7B">
              <w:rPr>
                <w:b/>
                <w:sz w:val="24"/>
              </w:rPr>
              <w:t>1</w:t>
            </w:r>
            <w:r w:rsidR="00224B42" w:rsidRPr="00651A7B">
              <w:rPr>
                <w:b/>
                <w:sz w:val="24"/>
              </w:rPr>
              <w:t>6</w:t>
            </w:r>
            <w:r w:rsidR="00651A7B" w:rsidRPr="00651A7B">
              <w:rPr>
                <w:b/>
                <w:sz w:val="24"/>
              </w:rPr>
              <w:t>1123</w:t>
            </w:r>
          </w:p>
        </w:tc>
      </w:tr>
    </w:tbl>
    <w:p w14:paraId="3FEF5FEC" w14:textId="77777777" w:rsidR="0005638E" w:rsidRDefault="0005638E">
      <w:pPr>
        <w:pStyle w:val="center"/>
        <w:keepLines w:val="0"/>
        <w:widowControl w:val="0"/>
        <w:spacing w:before="0" w:line="240" w:lineRule="auto"/>
        <w:rPr>
          <w:b/>
        </w:rPr>
      </w:pPr>
    </w:p>
    <w:p w14:paraId="5D3FA73E" w14:textId="77777777" w:rsidR="0005638E" w:rsidRDefault="0005638E">
      <w:pPr>
        <w:pStyle w:val="center"/>
        <w:keepLines w:val="0"/>
        <w:widowControl w:val="0"/>
        <w:spacing w:before="0" w:line="240" w:lineRule="auto"/>
        <w:rPr>
          <w:b/>
        </w:rPr>
      </w:pPr>
    </w:p>
    <w:p w14:paraId="6DFFCC70" w14:textId="77777777" w:rsidR="004A514B" w:rsidRDefault="004A514B">
      <w:pPr>
        <w:pStyle w:val="center"/>
        <w:keepLines w:val="0"/>
        <w:widowControl w:val="0"/>
        <w:spacing w:before="0" w:line="240" w:lineRule="auto"/>
        <w:rPr>
          <w:b/>
        </w:rPr>
      </w:pPr>
    </w:p>
    <w:p w14:paraId="0952D981" w14:textId="77777777" w:rsidR="004A514B" w:rsidRDefault="004A514B">
      <w:pPr>
        <w:pStyle w:val="center"/>
        <w:keepLines w:val="0"/>
        <w:widowControl w:val="0"/>
        <w:spacing w:before="0" w:line="240" w:lineRule="auto"/>
        <w:rPr>
          <w:b/>
        </w:rPr>
      </w:pPr>
    </w:p>
    <w:p w14:paraId="4A6EE43B" w14:textId="77777777" w:rsidR="0005638E" w:rsidRDefault="0005638E">
      <w:pPr>
        <w:pStyle w:val="center"/>
        <w:keepLines w:val="0"/>
        <w:widowControl w:val="0"/>
        <w:spacing w:before="0" w:line="240" w:lineRule="auto"/>
        <w:rPr>
          <w:b/>
        </w:rPr>
      </w:pPr>
    </w:p>
    <w:p w14:paraId="1B369862" w14:textId="77777777" w:rsidR="004A514B" w:rsidRPr="004A514B" w:rsidRDefault="00711823" w:rsidP="00711823">
      <w:pPr>
        <w:pStyle w:val="center"/>
        <w:widowControl w:val="0"/>
        <w:spacing w:before="0" w:line="240" w:lineRule="auto"/>
        <w:rPr>
          <w:b/>
        </w:rPr>
      </w:pPr>
      <w:r>
        <w:rPr>
          <w:b/>
        </w:rPr>
        <w:t xml:space="preserve">PREFILED </w:t>
      </w:r>
      <w:r w:rsidR="009B00E4">
        <w:rPr>
          <w:b/>
        </w:rPr>
        <w:t xml:space="preserve">SUPPLEMENTAL </w:t>
      </w:r>
      <w:r>
        <w:rPr>
          <w:b/>
        </w:rPr>
        <w:t>DIRECT TESTIMONY</w:t>
      </w:r>
      <w:r w:rsidR="009B00E4">
        <w:rPr>
          <w:b/>
        </w:rPr>
        <w:br/>
      </w:r>
      <w:r>
        <w:rPr>
          <w:b/>
        </w:rPr>
        <w:t>(</w:t>
      </w:r>
      <w:r w:rsidR="009B00E4">
        <w:rPr>
          <w:b/>
        </w:rPr>
        <w:t>NON-</w:t>
      </w:r>
      <w:r w:rsidR="004A514B" w:rsidRPr="004A514B">
        <w:rPr>
          <w:b/>
        </w:rPr>
        <w:t>CONFIDENTIAL) OF</w:t>
      </w:r>
      <w:r w:rsidR="004A514B">
        <w:rPr>
          <w:b/>
        </w:rPr>
        <w:br/>
        <w:t>JON A. PILIARIS</w:t>
      </w:r>
    </w:p>
    <w:p w14:paraId="18809F20" w14:textId="77777777" w:rsidR="0005638E" w:rsidRDefault="004A514B" w:rsidP="004A514B">
      <w:pPr>
        <w:pStyle w:val="center"/>
        <w:keepLines w:val="0"/>
        <w:widowControl w:val="0"/>
        <w:spacing w:before="0" w:line="240" w:lineRule="auto"/>
        <w:rPr>
          <w:b/>
        </w:rPr>
      </w:pPr>
      <w:r w:rsidRPr="004A514B">
        <w:rPr>
          <w:b/>
        </w:rPr>
        <w:t>ON BEHALF OF PUGET SOUND ENERGY</w:t>
      </w:r>
    </w:p>
    <w:p w14:paraId="196558F5" w14:textId="77777777" w:rsidR="0005638E" w:rsidRDefault="0005638E">
      <w:pPr>
        <w:pStyle w:val="center"/>
        <w:keepLines w:val="0"/>
        <w:widowControl w:val="0"/>
        <w:spacing w:before="0" w:line="240" w:lineRule="auto"/>
        <w:rPr>
          <w:b/>
        </w:rPr>
      </w:pPr>
    </w:p>
    <w:p w14:paraId="601269AC" w14:textId="77777777" w:rsidR="0005638E" w:rsidRDefault="0005638E">
      <w:pPr>
        <w:pStyle w:val="center"/>
        <w:keepLines w:val="0"/>
        <w:widowControl w:val="0"/>
        <w:spacing w:before="0" w:line="240" w:lineRule="auto"/>
        <w:rPr>
          <w:b/>
        </w:rPr>
      </w:pPr>
    </w:p>
    <w:p w14:paraId="3D6CCDF1" w14:textId="77777777" w:rsidR="0005638E" w:rsidRDefault="0005638E">
      <w:pPr>
        <w:pStyle w:val="center"/>
        <w:keepLines w:val="0"/>
        <w:widowControl w:val="0"/>
        <w:spacing w:before="0" w:line="240" w:lineRule="auto"/>
        <w:rPr>
          <w:b/>
        </w:rPr>
      </w:pPr>
    </w:p>
    <w:p w14:paraId="5351A516" w14:textId="77777777" w:rsidR="0005638E" w:rsidRDefault="0005638E">
      <w:pPr>
        <w:pStyle w:val="center"/>
        <w:keepLines w:val="0"/>
        <w:widowControl w:val="0"/>
        <w:spacing w:before="0" w:line="240" w:lineRule="auto"/>
        <w:rPr>
          <w:b/>
        </w:rPr>
      </w:pPr>
    </w:p>
    <w:p w14:paraId="4F433F73" w14:textId="77777777" w:rsidR="008E2451" w:rsidRDefault="008E2451">
      <w:pPr>
        <w:pStyle w:val="center"/>
        <w:keepLines w:val="0"/>
        <w:widowControl w:val="0"/>
        <w:spacing w:before="0" w:line="240" w:lineRule="auto"/>
        <w:rPr>
          <w:b/>
        </w:rPr>
      </w:pPr>
    </w:p>
    <w:p w14:paraId="2192CC67" w14:textId="77777777" w:rsidR="008E2451" w:rsidRDefault="008E2451">
      <w:pPr>
        <w:pStyle w:val="center"/>
        <w:keepLines w:val="0"/>
        <w:widowControl w:val="0"/>
        <w:spacing w:before="0" w:line="240" w:lineRule="auto"/>
        <w:rPr>
          <w:b/>
        </w:rPr>
      </w:pPr>
    </w:p>
    <w:p w14:paraId="7FE9F80F" w14:textId="77777777" w:rsidR="008E2451" w:rsidRDefault="008E2451">
      <w:pPr>
        <w:pStyle w:val="center"/>
        <w:keepLines w:val="0"/>
        <w:widowControl w:val="0"/>
        <w:spacing w:before="0" w:line="240" w:lineRule="auto"/>
        <w:rPr>
          <w:b/>
        </w:rPr>
      </w:pPr>
    </w:p>
    <w:p w14:paraId="5EE0CBEA" w14:textId="77777777" w:rsidR="008E2451" w:rsidRDefault="008E2451">
      <w:pPr>
        <w:pStyle w:val="center"/>
        <w:keepLines w:val="0"/>
        <w:widowControl w:val="0"/>
        <w:spacing w:before="0" w:line="240" w:lineRule="auto"/>
        <w:rPr>
          <w:b/>
        </w:rPr>
      </w:pPr>
    </w:p>
    <w:p w14:paraId="7E370F1C" w14:textId="77777777" w:rsidR="006F4CE0" w:rsidRDefault="006F4CE0">
      <w:pPr>
        <w:pStyle w:val="center"/>
        <w:keepLines w:val="0"/>
        <w:widowControl w:val="0"/>
        <w:spacing w:before="0" w:line="240" w:lineRule="auto"/>
        <w:rPr>
          <w:b/>
        </w:rPr>
      </w:pPr>
    </w:p>
    <w:p w14:paraId="214BA860" w14:textId="77777777" w:rsidR="00643EA0" w:rsidRDefault="00643EA0">
      <w:pPr>
        <w:pStyle w:val="center"/>
        <w:keepLines w:val="0"/>
        <w:widowControl w:val="0"/>
        <w:spacing w:before="0" w:line="240" w:lineRule="auto"/>
        <w:rPr>
          <w:b/>
        </w:rPr>
      </w:pPr>
    </w:p>
    <w:p w14:paraId="6E872072" w14:textId="77777777" w:rsidR="009B00E4" w:rsidRDefault="009B00E4">
      <w:pPr>
        <w:pStyle w:val="center"/>
        <w:keepLines w:val="0"/>
        <w:widowControl w:val="0"/>
        <w:spacing w:before="0" w:line="240" w:lineRule="auto"/>
        <w:rPr>
          <w:b/>
        </w:rPr>
      </w:pPr>
    </w:p>
    <w:p w14:paraId="50F4B0BF" w14:textId="77777777" w:rsidR="0005638E" w:rsidRDefault="009B00E4">
      <w:pPr>
        <w:pStyle w:val="center"/>
        <w:keepLines w:val="0"/>
        <w:widowControl w:val="0"/>
        <w:spacing w:before="0" w:line="240" w:lineRule="auto"/>
        <w:rPr>
          <w:b/>
        </w:rPr>
      </w:pPr>
      <w:r>
        <w:rPr>
          <w:b/>
        </w:rPr>
        <w:t>DECEMBER 15</w:t>
      </w:r>
      <w:r w:rsidR="00AE4812">
        <w:rPr>
          <w:b/>
        </w:rPr>
        <w:t xml:space="preserve">, </w:t>
      </w:r>
      <w:r w:rsidR="00B63923">
        <w:rPr>
          <w:b/>
        </w:rPr>
        <w:t>20</w:t>
      </w:r>
      <w:r w:rsidR="008C433A">
        <w:rPr>
          <w:b/>
        </w:rPr>
        <w:t>1</w:t>
      </w:r>
      <w:r w:rsidR="00D62FD6">
        <w:rPr>
          <w:b/>
        </w:rPr>
        <w:t>6</w:t>
      </w:r>
    </w:p>
    <w:p w14:paraId="562D687A" w14:textId="77777777" w:rsidR="0005638E" w:rsidRDefault="0005638E">
      <w:pPr>
        <w:pStyle w:val="center"/>
        <w:keepLines w:val="0"/>
        <w:widowControl w:val="0"/>
        <w:spacing w:before="0" w:line="240" w:lineRule="auto"/>
        <w:rPr>
          <w:b/>
        </w:rPr>
        <w:sectPr w:rsidR="0005638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20" w:footer="864" w:gutter="0"/>
          <w:pgNumType w:start="1"/>
          <w:cols w:space="720"/>
        </w:sectPr>
      </w:pPr>
    </w:p>
    <w:p w14:paraId="270DE90A" w14:textId="77777777" w:rsidR="00D01EF4" w:rsidRDefault="00D01EF4" w:rsidP="00D01EF4">
      <w:pPr>
        <w:pStyle w:val="Title1"/>
        <w:keepNext w:val="0"/>
        <w:keepLines w:val="0"/>
        <w:widowControl w:val="0"/>
        <w:spacing w:after="240" w:line="240" w:lineRule="auto"/>
        <w:rPr>
          <w:rStyle w:val="Strong"/>
          <w:b/>
        </w:rPr>
      </w:pPr>
      <w:r>
        <w:rPr>
          <w:rStyle w:val="Strong"/>
          <w:b/>
        </w:rPr>
        <w:lastRenderedPageBreak/>
        <w:t>PUGET SOUND ENERGY</w:t>
      </w:r>
    </w:p>
    <w:p w14:paraId="5BB1DA81" w14:textId="77777777" w:rsidR="00D01EF4" w:rsidRDefault="00D01EF4" w:rsidP="00D01EF4">
      <w:pPr>
        <w:pStyle w:val="Title1"/>
        <w:keepNext w:val="0"/>
        <w:keepLines w:val="0"/>
        <w:widowControl w:val="0"/>
        <w:spacing w:after="240" w:line="240" w:lineRule="auto"/>
      </w:pPr>
      <w:r>
        <w:t xml:space="preserve">PREFILED </w:t>
      </w:r>
      <w:r w:rsidR="009B00E4">
        <w:t xml:space="preserve">SUPPLEMENTAL </w:t>
      </w:r>
      <w:r>
        <w:t>DIRECT TESTIMONY</w:t>
      </w:r>
      <w:r w:rsidR="009B00E4">
        <w:br/>
      </w:r>
      <w:r>
        <w:t>(</w:t>
      </w:r>
      <w:r w:rsidR="009B00E4">
        <w:t>NON-</w:t>
      </w:r>
      <w:r>
        <w:t>CONFIDENTIAL) OF</w:t>
      </w:r>
    </w:p>
    <w:p w14:paraId="511877B4" w14:textId="77777777" w:rsidR="00D01EF4" w:rsidRDefault="00D01EF4" w:rsidP="00D01EF4">
      <w:pPr>
        <w:pStyle w:val="Title1"/>
        <w:keepNext w:val="0"/>
        <w:keepLines w:val="0"/>
        <w:widowControl w:val="0"/>
        <w:spacing w:after="720" w:line="240" w:lineRule="auto"/>
        <w:ind w:left="547" w:right="547"/>
      </w:pPr>
      <w:r>
        <w:t>JON A. PILIARIS</w:t>
      </w:r>
    </w:p>
    <w:p w14:paraId="32B5235C" w14:textId="77777777" w:rsidR="00713C77" w:rsidRDefault="00713C77" w:rsidP="00713C77">
      <w:pPr>
        <w:pStyle w:val="Title1"/>
        <w:keepNext w:val="0"/>
        <w:keepLines w:val="0"/>
        <w:widowControl w:val="0"/>
        <w:spacing w:after="480" w:line="240" w:lineRule="auto"/>
        <w:ind w:left="540" w:right="540"/>
      </w:pPr>
      <w:r>
        <w:t>CONTENTS</w:t>
      </w:r>
    </w:p>
    <w:p w14:paraId="6A1A5AA2" w14:textId="77777777" w:rsidR="00E71CB3" w:rsidRPr="00E71CB3" w:rsidRDefault="00713C77">
      <w:pPr>
        <w:pStyle w:val="TOC1"/>
        <w:rPr>
          <w:rFonts w:asciiTheme="minorHAnsi" w:eastAsiaTheme="minorEastAsia" w:hAnsiTheme="minorHAnsi" w:cstheme="minorBidi"/>
          <w:color w:val="auto"/>
          <w:sz w:val="22"/>
          <w:szCs w:val="22"/>
          <w:lang w:eastAsia="en-US"/>
        </w:rPr>
      </w:pPr>
      <w:r w:rsidRPr="00E71CB3">
        <w:rPr>
          <w:rStyle w:val="Strong"/>
          <w:b w:val="0"/>
          <w:color w:val="auto"/>
        </w:rPr>
        <w:fldChar w:fldCharType="begin"/>
      </w:r>
      <w:r w:rsidRPr="00E71CB3">
        <w:rPr>
          <w:rStyle w:val="Strong"/>
          <w:b w:val="0"/>
          <w:color w:val="auto"/>
        </w:rPr>
        <w:instrText xml:space="preserve"> TOC \o "1-2" \h \z \u </w:instrText>
      </w:r>
      <w:r w:rsidRPr="00E71CB3">
        <w:rPr>
          <w:rStyle w:val="Strong"/>
          <w:b w:val="0"/>
          <w:color w:val="auto"/>
        </w:rPr>
        <w:fldChar w:fldCharType="separate"/>
      </w:r>
      <w:hyperlink w:anchor="_Toc469420264" w:history="1">
        <w:r w:rsidR="00E71CB3" w:rsidRPr="00E71CB3">
          <w:rPr>
            <w:rStyle w:val="Hyperlink"/>
            <w:color w:val="auto"/>
          </w:rPr>
          <w:t>I.</w:t>
        </w:r>
        <w:r w:rsidR="00E71CB3" w:rsidRPr="00E71CB3">
          <w:rPr>
            <w:rFonts w:asciiTheme="minorHAnsi" w:eastAsiaTheme="minorEastAsia" w:hAnsiTheme="minorHAnsi" w:cstheme="minorBidi"/>
            <w:color w:val="auto"/>
            <w:sz w:val="22"/>
            <w:szCs w:val="22"/>
            <w:lang w:eastAsia="en-US"/>
          </w:rPr>
          <w:tab/>
        </w:r>
        <w:r w:rsidR="00E71CB3" w:rsidRPr="00E71CB3">
          <w:rPr>
            <w:rStyle w:val="Hyperlink"/>
            <w:color w:val="auto"/>
          </w:rPr>
          <w:t>INTRODUCTION</w:t>
        </w:r>
        <w:r w:rsidR="00E71CB3" w:rsidRPr="00E71CB3">
          <w:rPr>
            <w:webHidden/>
            <w:color w:val="auto"/>
          </w:rPr>
          <w:tab/>
        </w:r>
        <w:r w:rsidR="00E71CB3" w:rsidRPr="00E71CB3">
          <w:rPr>
            <w:webHidden/>
            <w:color w:val="auto"/>
          </w:rPr>
          <w:fldChar w:fldCharType="begin"/>
        </w:r>
        <w:r w:rsidR="00E71CB3" w:rsidRPr="00E71CB3">
          <w:rPr>
            <w:webHidden/>
            <w:color w:val="auto"/>
          </w:rPr>
          <w:instrText xml:space="preserve"> PAGEREF _Toc469420264 \h </w:instrText>
        </w:r>
        <w:r w:rsidR="00E71CB3" w:rsidRPr="00E71CB3">
          <w:rPr>
            <w:webHidden/>
            <w:color w:val="auto"/>
          </w:rPr>
        </w:r>
        <w:r w:rsidR="00E71CB3" w:rsidRPr="00E71CB3">
          <w:rPr>
            <w:webHidden/>
            <w:color w:val="auto"/>
          </w:rPr>
          <w:fldChar w:fldCharType="separate"/>
        </w:r>
        <w:r w:rsidR="00785D96">
          <w:rPr>
            <w:webHidden/>
            <w:color w:val="auto"/>
          </w:rPr>
          <w:t>1</w:t>
        </w:r>
        <w:r w:rsidR="00E71CB3" w:rsidRPr="00E71CB3">
          <w:rPr>
            <w:webHidden/>
            <w:color w:val="auto"/>
          </w:rPr>
          <w:fldChar w:fldCharType="end"/>
        </w:r>
      </w:hyperlink>
    </w:p>
    <w:p w14:paraId="1013ED5E" w14:textId="77777777" w:rsidR="00E71CB3" w:rsidRPr="00E71CB3" w:rsidRDefault="00F73220">
      <w:pPr>
        <w:pStyle w:val="TOC1"/>
        <w:rPr>
          <w:rFonts w:asciiTheme="minorHAnsi" w:eastAsiaTheme="minorEastAsia" w:hAnsiTheme="minorHAnsi" w:cstheme="minorBidi"/>
          <w:color w:val="auto"/>
          <w:sz w:val="22"/>
          <w:szCs w:val="22"/>
          <w:lang w:eastAsia="en-US"/>
        </w:rPr>
      </w:pPr>
      <w:hyperlink w:anchor="_Toc469420265" w:history="1">
        <w:r w:rsidR="00E71CB3" w:rsidRPr="00E71CB3">
          <w:rPr>
            <w:rStyle w:val="Hyperlink"/>
            <w:color w:val="auto"/>
          </w:rPr>
          <w:t>II.</w:t>
        </w:r>
        <w:r w:rsidR="00E71CB3" w:rsidRPr="00E71CB3">
          <w:rPr>
            <w:rFonts w:asciiTheme="minorHAnsi" w:eastAsiaTheme="minorEastAsia" w:hAnsiTheme="minorHAnsi" w:cstheme="minorBidi"/>
            <w:color w:val="auto"/>
            <w:sz w:val="22"/>
            <w:szCs w:val="22"/>
            <w:lang w:eastAsia="en-US"/>
          </w:rPr>
          <w:tab/>
        </w:r>
        <w:r w:rsidR="00E71CB3" w:rsidRPr="00E71CB3">
          <w:rPr>
            <w:rStyle w:val="Hyperlink"/>
            <w:color w:val="auto"/>
          </w:rPr>
          <w:t>CLARIFICATION OF ELIGIBILITY STANDARDS</w:t>
        </w:r>
        <w:r w:rsidR="00E71CB3" w:rsidRPr="00E71CB3">
          <w:rPr>
            <w:webHidden/>
            <w:color w:val="auto"/>
          </w:rPr>
          <w:tab/>
        </w:r>
        <w:r w:rsidR="00E71CB3" w:rsidRPr="00E71CB3">
          <w:rPr>
            <w:webHidden/>
            <w:color w:val="auto"/>
          </w:rPr>
          <w:fldChar w:fldCharType="begin"/>
        </w:r>
        <w:r w:rsidR="00E71CB3" w:rsidRPr="00E71CB3">
          <w:rPr>
            <w:webHidden/>
            <w:color w:val="auto"/>
          </w:rPr>
          <w:instrText xml:space="preserve"> PAGEREF _Toc469420265 \h </w:instrText>
        </w:r>
        <w:r w:rsidR="00E71CB3" w:rsidRPr="00E71CB3">
          <w:rPr>
            <w:webHidden/>
            <w:color w:val="auto"/>
          </w:rPr>
        </w:r>
        <w:r w:rsidR="00E71CB3" w:rsidRPr="00E71CB3">
          <w:rPr>
            <w:webHidden/>
            <w:color w:val="auto"/>
          </w:rPr>
          <w:fldChar w:fldCharType="separate"/>
        </w:r>
        <w:r w:rsidR="00785D96">
          <w:rPr>
            <w:webHidden/>
            <w:color w:val="auto"/>
          </w:rPr>
          <w:t>2</w:t>
        </w:r>
        <w:r w:rsidR="00E71CB3" w:rsidRPr="00E71CB3">
          <w:rPr>
            <w:webHidden/>
            <w:color w:val="auto"/>
          </w:rPr>
          <w:fldChar w:fldCharType="end"/>
        </w:r>
      </w:hyperlink>
    </w:p>
    <w:p w14:paraId="6785F3EE" w14:textId="77777777" w:rsidR="00E71CB3" w:rsidRPr="00E71CB3" w:rsidRDefault="00F73220">
      <w:pPr>
        <w:pStyle w:val="TOC1"/>
        <w:rPr>
          <w:rFonts w:asciiTheme="minorHAnsi" w:eastAsiaTheme="minorEastAsia" w:hAnsiTheme="minorHAnsi" w:cstheme="minorBidi"/>
          <w:color w:val="auto"/>
          <w:sz w:val="22"/>
          <w:szCs w:val="22"/>
          <w:lang w:eastAsia="en-US"/>
        </w:rPr>
      </w:pPr>
      <w:hyperlink w:anchor="_Toc469420266" w:history="1">
        <w:r w:rsidR="00E71CB3" w:rsidRPr="00E71CB3">
          <w:rPr>
            <w:rStyle w:val="Hyperlink"/>
            <w:color w:val="auto"/>
          </w:rPr>
          <w:t>III.</w:t>
        </w:r>
        <w:r w:rsidR="00E71CB3" w:rsidRPr="00E71CB3">
          <w:rPr>
            <w:rFonts w:asciiTheme="minorHAnsi" w:eastAsiaTheme="minorEastAsia" w:hAnsiTheme="minorHAnsi" w:cstheme="minorBidi"/>
            <w:color w:val="auto"/>
            <w:sz w:val="22"/>
            <w:szCs w:val="22"/>
            <w:lang w:eastAsia="en-US"/>
          </w:rPr>
          <w:tab/>
        </w:r>
        <w:r w:rsidR="00E71CB3" w:rsidRPr="00E71CB3">
          <w:rPr>
            <w:rStyle w:val="Hyperlink"/>
            <w:color w:val="auto"/>
          </w:rPr>
          <w:t>SCHEDULE 451 IMPACT ON LOW-INCOME AND CONSERVATION PROGRAMS</w:t>
        </w:r>
        <w:r w:rsidR="00E71CB3" w:rsidRPr="00E71CB3">
          <w:rPr>
            <w:webHidden/>
            <w:color w:val="auto"/>
          </w:rPr>
          <w:tab/>
        </w:r>
        <w:r w:rsidR="00E71CB3" w:rsidRPr="00E71CB3">
          <w:rPr>
            <w:webHidden/>
            <w:color w:val="auto"/>
          </w:rPr>
          <w:fldChar w:fldCharType="begin"/>
        </w:r>
        <w:r w:rsidR="00E71CB3" w:rsidRPr="00E71CB3">
          <w:rPr>
            <w:webHidden/>
            <w:color w:val="auto"/>
          </w:rPr>
          <w:instrText xml:space="preserve"> PAGEREF _Toc469420266 \h </w:instrText>
        </w:r>
        <w:r w:rsidR="00E71CB3" w:rsidRPr="00E71CB3">
          <w:rPr>
            <w:webHidden/>
            <w:color w:val="auto"/>
          </w:rPr>
        </w:r>
        <w:r w:rsidR="00E71CB3" w:rsidRPr="00E71CB3">
          <w:rPr>
            <w:webHidden/>
            <w:color w:val="auto"/>
          </w:rPr>
          <w:fldChar w:fldCharType="separate"/>
        </w:r>
        <w:r w:rsidR="00785D96">
          <w:rPr>
            <w:webHidden/>
            <w:color w:val="auto"/>
          </w:rPr>
          <w:t>11</w:t>
        </w:r>
        <w:r w:rsidR="00E71CB3" w:rsidRPr="00E71CB3">
          <w:rPr>
            <w:webHidden/>
            <w:color w:val="auto"/>
          </w:rPr>
          <w:fldChar w:fldCharType="end"/>
        </w:r>
      </w:hyperlink>
    </w:p>
    <w:p w14:paraId="18EBE7ED" w14:textId="77777777" w:rsidR="00E71CB3" w:rsidRPr="00E71CB3" w:rsidRDefault="00F73220">
      <w:pPr>
        <w:pStyle w:val="TOC1"/>
        <w:rPr>
          <w:rFonts w:asciiTheme="minorHAnsi" w:eastAsiaTheme="minorEastAsia" w:hAnsiTheme="minorHAnsi" w:cstheme="minorBidi"/>
          <w:color w:val="auto"/>
          <w:sz w:val="22"/>
          <w:szCs w:val="22"/>
          <w:lang w:eastAsia="en-US"/>
        </w:rPr>
      </w:pPr>
      <w:hyperlink w:anchor="_Toc469420267" w:history="1">
        <w:r w:rsidR="00E71CB3" w:rsidRPr="00E71CB3">
          <w:rPr>
            <w:rStyle w:val="Hyperlink"/>
            <w:color w:val="auto"/>
          </w:rPr>
          <w:t>IV.</w:t>
        </w:r>
        <w:r w:rsidR="00E71CB3" w:rsidRPr="00E71CB3">
          <w:rPr>
            <w:rFonts w:asciiTheme="minorHAnsi" w:eastAsiaTheme="minorEastAsia" w:hAnsiTheme="minorHAnsi" w:cstheme="minorBidi"/>
            <w:color w:val="auto"/>
            <w:sz w:val="22"/>
            <w:szCs w:val="22"/>
            <w:lang w:eastAsia="en-US"/>
          </w:rPr>
          <w:tab/>
        </w:r>
        <w:r w:rsidR="00E71CB3" w:rsidRPr="00E71CB3">
          <w:rPr>
            <w:rStyle w:val="Hyperlink"/>
            <w:color w:val="auto"/>
          </w:rPr>
          <w:t>CONCLUSION</w:t>
        </w:r>
        <w:r w:rsidR="00E71CB3" w:rsidRPr="00E71CB3">
          <w:rPr>
            <w:webHidden/>
            <w:color w:val="auto"/>
          </w:rPr>
          <w:tab/>
        </w:r>
        <w:r w:rsidR="00E71CB3" w:rsidRPr="00E71CB3">
          <w:rPr>
            <w:webHidden/>
            <w:color w:val="auto"/>
          </w:rPr>
          <w:fldChar w:fldCharType="begin"/>
        </w:r>
        <w:r w:rsidR="00E71CB3" w:rsidRPr="00E71CB3">
          <w:rPr>
            <w:webHidden/>
            <w:color w:val="auto"/>
          </w:rPr>
          <w:instrText xml:space="preserve"> PAGEREF _Toc469420267 \h </w:instrText>
        </w:r>
        <w:r w:rsidR="00E71CB3" w:rsidRPr="00E71CB3">
          <w:rPr>
            <w:webHidden/>
            <w:color w:val="auto"/>
          </w:rPr>
        </w:r>
        <w:r w:rsidR="00E71CB3" w:rsidRPr="00E71CB3">
          <w:rPr>
            <w:webHidden/>
            <w:color w:val="auto"/>
          </w:rPr>
          <w:fldChar w:fldCharType="separate"/>
        </w:r>
        <w:r w:rsidR="00785D96">
          <w:rPr>
            <w:webHidden/>
            <w:color w:val="auto"/>
          </w:rPr>
          <w:t>14</w:t>
        </w:r>
        <w:r w:rsidR="00E71CB3" w:rsidRPr="00E71CB3">
          <w:rPr>
            <w:webHidden/>
            <w:color w:val="auto"/>
          </w:rPr>
          <w:fldChar w:fldCharType="end"/>
        </w:r>
      </w:hyperlink>
    </w:p>
    <w:p w14:paraId="2D2D293E" w14:textId="77777777" w:rsidR="0045094D" w:rsidRDefault="00713C77">
      <w:pPr>
        <w:pStyle w:val="Title1"/>
        <w:keepNext w:val="0"/>
        <w:keepLines w:val="0"/>
        <w:widowControl w:val="0"/>
        <w:spacing w:after="240" w:line="240" w:lineRule="auto"/>
        <w:rPr>
          <w:rStyle w:val="Strong"/>
          <w:b/>
        </w:rPr>
        <w:sectPr w:rsidR="0045094D" w:rsidSect="00713C77">
          <w:footerReference w:type="default" r:id="rId15"/>
          <w:footerReference w:type="first" r:id="rId16"/>
          <w:pgSz w:w="12240" w:h="15840" w:code="1"/>
          <w:pgMar w:top="1440" w:right="1440" w:bottom="1440" w:left="2160" w:header="864" w:footer="576" w:gutter="0"/>
          <w:lnNumType w:countBy="1"/>
          <w:pgNumType w:fmt="lowerRoman" w:start="1"/>
          <w:cols w:space="720"/>
        </w:sectPr>
      </w:pPr>
      <w:r w:rsidRPr="00E71CB3">
        <w:rPr>
          <w:rStyle w:val="Strong"/>
          <w:b/>
        </w:rPr>
        <w:fldChar w:fldCharType="end"/>
      </w:r>
    </w:p>
    <w:p w14:paraId="38940791" w14:textId="77777777" w:rsidR="00DC180B" w:rsidRDefault="0005638E" w:rsidP="00DC180B">
      <w:pPr>
        <w:pStyle w:val="Title1"/>
        <w:keepNext w:val="0"/>
        <w:keepLines w:val="0"/>
        <w:widowControl w:val="0"/>
        <w:spacing w:after="240" w:line="240" w:lineRule="auto"/>
        <w:rPr>
          <w:rStyle w:val="Strong"/>
          <w:b/>
        </w:rPr>
      </w:pPr>
      <w:r>
        <w:rPr>
          <w:rStyle w:val="Strong"/>
          <w:b/>
        </w:rPr>
        <w:lastRenderedPageBreak/>
        <w:t>PUGET SOUND ENERGY</w:t>
      </w:r>
      <w:bookmarkStart w:id="3" w:name="TOCTitle"/>
    </w:p>
    <w:p w14:paraId="21F30990" w14:textId="77777777" w:rsidR="00DC180B" w:rsidRDefault="0005638E" w:rsidP="00DC180B">
      <w:pPr>
        <w:pStyle w:val="Title1"/>
        <w:keepNext w:val="0"/>
        <w:keepLines w:val="0"/>
        <w:widowControl w:val="0"/>
        <w:spacing w:after="240" w:line="240" w:lineRule="auto"/>
      </w:pPr>
      <w:r>
        <w:t xml:space="preserve">PREFILED </w:t>
      </w:r>
      <w:r w:rsidR="009B00E4">
        <w:t xml:space="preserve">SUPPLEMENTAL </w:t>
      </w:r>
      <w:r>
        <w:t>DIRECT TESTIMONY</w:t>
      </w:r>
      <w:r w:rsidR="009B00E4">
        <w:br/>
      </w:r>
      <w:r w:rsidR="00713C77">
        <w:t>(NON</w:t>
      </w:r>
      <w:r w:rsidR="009B00E4">
        <w:t>-</w:t>
      </w:r>
      <w:r w:rsidR="00713C77">
        <w:t xml:space="preserve">CONFIDENTIAL) </w:t>
      </w:r>
      <w:r w:rsidR="00DC180B">
        <w:t>OF</w:t>
      </w:r>
    </w:p>
    <w:p w14:paraId="03C2A285" w14:textId="77777777" w:rsidR="0005638E" w:rsidRDefault="005D6FF8" w:rsidP="00DC180B">
      <w:pPr>
        <w:pStyle w:val="Title1"/>
        <w:keepNext w:val="0"/>
        <w:keepLines w:val="0"/>
        <w:widowControl w:val="0"/>
        <w:spacing w:after="720" w:line="240" w:lineRule="auto"/>
        <w:ind w:left="547" w:right="547"/>
      </w:pPr>
      <w:r>
        <w:t>JON A. PILIARIS</w:t>
      </w:r>
    </w:p>
    <w:p w14:paraId="5CE18D8C" w14:textId="77777777" w:rsidR="003C59BF" w:rsidRDefault="003C59BF" w:rsidP="004A514B">
      <w:pPr>
        <w:pStyle w:val="Heading1"/>
      </w:pPr>
      <w:bookmarkStart w:id="4" w:name="_Toc469420264"/>
      <w:bookmarkEnd w:id="3"/>
      <w:r>
        <w:t>I</w:t>
      </w:r>
      <w:r w:rsidRPr="000954EA">
        <w:t>.</w:t>
      </w:r>
      <w:r w:rsidRPr="000954EA">
        <w:tab/>
      </w:r>
      <w:r>
        <w:t>INTRODUCTION</w:t>
      </w:r>
      <w:bookmarkEnd w:id="4"/>
    </w:p>
    <w:p w14:paraId="54002DC4" w14:textId="77777777" w:rsidR="009B00E4" w:rsidRDefault="009B00E4" w:rsidP="009B00E4">
      <w:pPr>
        <w:pStyle w:val="question"/>
      </w:pPr>
      <w:r>
        <w:t>Q.</w:t>
      </w:r>
      <w:r>
        <w:tab/>
        <w:t>Are you the same Jon A. Piliaris who provided prefiled testimony and supporting exhibits on behalf of Puget Sound Energy, Inc. (“PSE”) in these proceedings?</w:t>
      </w:r>
    </w:p>
    <w:p w14:paraId="25E8A65A" w14:textId="77777777" w:rsidR="009B00E4" w:rsidRDefault="009B00E4" w:rsidP="009B00E4">
      <w:pPr>
        <w:pStyle w:val="Answer1"/>
      </w:pPr>
      <w:r>
        <w:t>A.</w:t>
      </w:r>
      <w:r>
        <w:tab/>
        <w:t>Yes.</w:t>
      </w:r>
      <w:r w:rsidR="00622BBA">
        <w:t xml:space="preserve"> </w:t>
      </w:r>
      <w:r>
        <w:t xml:space="preserve">I filed prefiled direct testimony, Exhibit No. ___(JAP-1T), and supporting exhibits, Exhibit No. ___(JAP-2) through Exhibit No. ___(JAP-5C), on October 7, 2016. </w:t>
      </w:r>
    </w:p>
    <w:p w14:paraId="69427E9E" w14:textId="77777777" w:rsidR="009B00E4" w:rsidRDefault="009B00E4" w:rsidP="009B00E4">
      <w:pPr>
        <w:pStyle w:val="question"/>
      </w:pPr>
      <w:r>
        <w:t>Q.</w:t>
      </w:r>
      <w:r>
        <w:tab/>
        <w:t xml:space="preserve">Why are you filing this </w:t>
      </w:r>
      <w:r w:rsidR="009E61CC">
        <w:t xml:space="preserve">prefiled </w:t>
      </w:r>
      <w:r>
        <w:t xml:space="preserve">supplemental </w:t>
      </w:r>
      <w:r w:rsidR="009E61CC">
        <w:t xml:space="preserve">direct </w:t>
      </w:r>
      <w:r>
        <w:t>testimony?</w:t>
      </w:r>
    </w:p>
    <w:p w14:paraId="37006EE2" w14:textId="77777777" w:rsidR="009B00E4" w:rsidRDefault="009B00E4" w:rsidP="009B00E4">
      <w:pPr>
        <w:pStyle w:val="Answer1"/>
      </w:pPr>
      <w:r>
        <w:t>A.</w:t>
      </w:r>
      <w:r>
        <w:tab/>
        <w:t xml:space="preserve">This </w:t>
      </w:r>
      <w:r w:rsidR="009E61CC">
        <w:t xml:space="preserve">prefiled </w:t>
      </w:r>
      <w:r>
        <w:t xml:space="preserve">supplemental </w:t>
      </w:r>
      <w:r w:rsidR="009E61CC">
        <w:t xml:space="preserve">direct </w:t>
      </w:r>
      <w:r>
        <w:t>filing is being made in response to requests made by parties in this case to elaborate on certain issues related to PSE’s original filing in this proceeding. It reflects the discussions that occurred at the issues conference</w:t>
      </w:r>
      <w:r w:rsidR="009E61CC">
        <w:t xml:space="preserve"> </w:t>
      </w:r>
      <w:r>
        <w:t>held by the parties at the offices of the Washington Utilities and Transportation Commission (</w:t>
      </w:r>
      <w:r w:rsidR="009E61CC">
        <w:t xml:space="preserve">the </w:t>
      </w:r>
      <w:r>
        <w:t>“</w:t>
      </w:r>
      <w:r w:rsidR="009E61CC">
        <w:t>Commission</w:t>
      </w:r>
      <w:r>
        <w:t>”) in Olympia, Washington on December</w:t>
      </w:r>
      <w:r w:rsidR="009E61CC">
        <w:t> </w:t>
      </w:r>
      <w:r>
        <w:t>2, 2016.</w:t>
      </w:r>
    </w:p>
    <w:p w14:paraId="26AA94C4" w14:textId="77777777" w:rsidR="009B00E4" w:rsidRDefault="009B00E4" w:rsidP="009B00E4">
      <w:pPr>
        <w:pStyle w:val="question"/>
      </w:pPr>
      <w:r>
        <w:t>Q.</w:t>
      </w:r>
      <w:r>
        <w:tab/>
        <w:t xml:space="preserve">What issues will you address in your </w:t>
      </w:r>
      <w:r w:rsidR="00D92DE5">
        <w:t xml:space="preserve">prefiled </w:t>
      </w:r>
      <w:r>
        <w:t xml:space="preserve">supplemental </w:t>
      </w:r>
      <w:r w:rsidR="00D92DE5">
        <w:t xml:space="preserve">direct </w:t>
      </w:r>
      <w:r>
        <w:t>testimony?</w:t>
      </w:r>
    </w:p>
    <w:p w14:paraId="7919F3AC" w14:textId="08868354" w:rsidR="009B00E4" w:rsidRDefault="009B00E4" w:rsidP="009B00E4">
      <w:pPr>
        <w:pStyle w:val="Answer1"/>
      </w:pPr>
      <w:r>
        <w:t>A.</w:t>
      </w:r>
      <w:r>
        <w:tab/>
        <w:t xml:space="preserve">This prefiled supplemental </w:t>
      </w:r>
      <w:r w:rsidR="00D92DE5">
        <w:t xml:space="preserve">direct </w:t>
      </w:r>
      <w:r>
        <w:t>testimony provides additional clarification regarding: (1)</w:t>
      </w:r>
      <w:r w:rsidR="009E61CC">
        <w:t> </w:t>
      </w:r>
      <w:r>
        <w:t xml:space="preserve">PSE’s proposed eligibility standards for service under the proposed </w:t>
      </w:r>
      <w:r>
        <w:lastRenderedPageBreak/>
        <w:t>Schedule</w:t>
      </w:r>
      <w:r w:rsidR="009E61CC">
        <w:t> </w:t>
      </w:r>
      <w:r>
        <w:t>451</w:t>
      </w:r>
      <w:r w:rsidR="00BF27EB">
        <w:t xml:space="preserve"> and</w:t>
      </w:r>
      <w:r>
        <w:t xml:space="preserve"> (2)</w:t>
      </w:r>
      <w:r w:rsidR="009E61CC">
        <w:t> </w:t>
      </w:r>
      <w:r>
        <w:t>the impacts that propos</w:t>
      </w:r>
      <w:r w:rsidR="00D92DE5">
        <w:t>ed Schedule 451</w:t>
      </w:r>
      <w:r>
        <w:t xml:space="preserve"> may have on </w:t>
      </w:r>
      <w:r w:rsidR="000549B3">
        <w:t>PSE’s</w:t>
      </w:r>
      <w:r>
        <w:t xml:space="preserve"> low-income and conservation programs.</w:t>
      </w:r>
    </w:p>
    <w:p w14:paraId="73A610D5" w14:textId="77777777" w:rsidR="009B00E4" w:rsidRDefault="009B00E4" w:rsidP="003D6F2E">
      <w:pPr>
        <w:pStyle w:val="Heading1"/>
      </w:pPr>
      <w:bookmarkStart w:id="5" w:name="_Toc469420265"/>
      <w:r>
        <w:t>II.</w:t>
      </w:r>
      <w:r w:rsidR="003D6F2E">
        <w:tab/>
      </w:r>
      <w:r>
        <w:t>CLARIFICATION OF ELIGIBILITY STANDARDS</w:t>
      </w:r>
      <w:bookmarkEnd w:id="5"/>
    </w:p>
    <w:p w14:paraId="44E0A541" w14:textId="77777777" w:rsidR="009B00E4" w:rsidRDefault="009B00E4" w:rsidP="009B00E4">
      <w:pPr>
        <w:pStyle w:val="question"/>
      </w:pPr>
      <w:r>
        <w:t>Q.</w:t>
      </w:r>
      <w:r>
        <w:tab/>
        <w:t>Please summarize the eligibility requirements for initiating service under PSE’s proposed Schedule</w:t>
      </w:r>
      <w:r w:rsidR="009E61CC">
        <w:t> </w:t>
      </w:r>
      <w:r>
        <w:t>451.</w:t>
      </w:r>
    </w:p>
    <w:p w14:paraId="79307B69" w14:textId="1F8EF3E6" w:rsidR="009B00E4" w:rsidRDefault="009B00E4" w:rsidP="009B00E4">
      <w:pPr>
        <w:pStyle w:val="Answer1"/>
      </w:pPr>
      <w:r>
        <w:t>A.</w:t>
      </w:r>
      <w:r>
        <w:tab/>
        <w:t xml:space="preserve">As explained in the advice letter and proposed tariff sheets accompanying this filing, </w:t>
      </w:r>
      <w:r w:rsidR="009E61CC">
        <w:t xml:space="preserve">the proposed Schedule 451 </w:t>
      </w:r>
      <w:r>
        <w:t>is available to customers who have maintained a minimum of 10</w:t>
      </w:r>
      <w:r w:rsidR="009E61CC">
        <w:t> </w:t>
      </w:r>
      <w:r>
        <w:t>average megawatts (“aMW”) at one or more customer sites served under Schedule</w:t>
      </w:r>
      <w:r w:rsidR="009E61CC">
        <w:t> </w:t>
      </w:r>
      <w:r>
        <w:t>40 over the entire test year of the most recent general rate case. The total amount of electricity to be provided by power suppliers and delivered to all customers under Schedule</w:t>
      </w:r>
      <w:r w:rsidR="009E61CC">
        <w:t> </w:t>
      </w:r>
      <w:r>
        <w:t>451 may not exceed 100</w:t>
      </w:r>
      <w:r w:rsidR="009E61CC">
        <w:t> </w:t>
      </w:r>
      <w:r>
        <w:t>megawatts (“MW”) at any one time.</w:t>
      </w:r>
      <w:r w:rsidR="00622BBA">
        <w:t xml:space="preserve"> </w:t>
      </w:r>
      <w:r>
        <w:t>Schedule</w:t>
      </w:r>
      <w:r w:rsidR="00D92DE5">
        <w:t> </w:t>
      </w:r>
      <w:r>
        <w:t xml:space="preserve">451 </w:t>
      </w:r>
      <w:r w:rsidR="00D92DE5">
        <w:t xml:space="preserve">would </w:t>
      </w:r>
      <w:r>
        <w:t>only appl</w:t>
      </w:r>
      <w:r w:rsidR="00D92DE5">
        <w:t>y</w:t>
      </w:r>
      <w:r>
        <w:t xml:space="preserve"> to customers taking service on Schedule</w:t>
      </w:r>
      <w:r w:rsidR="00D92DE5">
        <w:t> </w:t>
      </w:r>
      <w:r>
        <w:t xml:space="preserve">40. </w:t>
      </w:r>
      <w:r w:rsidR="000549B3">
        <w:t>C</w:t>
      </w:r>
      <w:r w:rsidR="00D92DE5">
        <w:t xml:space="preserve">ustomer electing service under </w:t>
      </w:r>
      <w:r>
        <w:t>Schedule</w:t>
      </w:r>
      <w:r w:rsidR="00D92DE5">
        <w:t> </w:t>
      </w:r>
      <w:r>
        <w:t xml:space="preserve">451 must take </w:t>
      </w:r>
      <w:r w:rsidR="00D92DE5">
        <w:t xml:space="preserve">such </w:t>
      </w:r>
      <w:r>
        <w:t xml:space="preserve">service for all loads at </w:t>
      </w:r>
      <w:r w:rsidR="000549B3">
        <w:t xml:space="preserve">their </w:t>
      </w:r>
      <w:r>
        <w:t>locations served under Schedule</w:t>
      </w:r>
      <w:r w:rsidR="00D92DE5">
        <w:t> </w:t>
      </w:r>
      <w:r>
        <w:t>40. New or newly acquired facilities and new separately metered loads owned or operated by Schedule</w:t>
      </w:r>
      <w:r w:rsidR="00D92DE5">
        <w:t> </w:t>
      </w:r>
      <w:r>
        <w:t>451 customer</w:t>
      </w:r>
      <w:r w:rsidR="000549B3">
        <w:t>s</w:t>
      </w:r>
      <w:r>
        <w:t xml:space="preserve"> or </w:t>
      </w:r>
      <w:r w:rsidR="000549B3">
        <w:t xml:space="preserve">their </w:t>
      </w:r>
      <w:r>
        <w:t>affiliates may become locations at which the Schedule</w:t>
      </w:r>
      <w:r w:rsidR="00D92DE5">
        <w:t> </w:t>
      </w:r>
      <w:r>
        <w:t>451 customer</w:t>
      </w:r>
      <w:r w:rsidR="000549B3">
        <w:t>s</w:t>
      </w:r>
      <w:r>
        <w:t xml:space="preserve"> must take service under Schedule</w:t>
      </w:r>
      <w:r w:rsidR="00D92DE5">
        <w:t> </w:t>
      </w:r>
      <w:r>
        <w:t xml:space="preserve">451. </w:t>
      </w:r>
    </w:p>
    <w:p w14:paraId="53FB7250" w14:textId="77777777" w:rsidR="009B00E4" w:rsidRDefault="009B00E4" w:rsidP="009B00E4">
      <w:pPr>
        <w:pStyle w:val="question"/>
      </w:pPr>
      <w:r>
        <w:t>Q.</w:t>
      </w:r>
      <w:r>
        <w:tab/>
        <w:t>Please explain the basis for the 10</w:t>
      </w:r>
      <w:r w:rsidR="00D92DE5">
        <w:t> </w:t>
      </w:r>
      <w:r>
        <w:t>aMW requirement for service under Schedule</w:t>
      </w:r>
      <w:r w:rsidR="00D92DE5">
        <w:t> </w:t>
      </w:r>
      <w:r>
        <w:t>451.</w:t>
      </w:r>
    </w:p>
    <w:p w14:paraId="705D5AF9" w14:textId="77777777" w:rsidR="009B00E4" w:rsidRDefault="009B00E4" w:rsidP="009B00E4">
      <w:pPr>
        <w:pStyle w:val="Answer1"/>
      </w:pPr>
      <w:r>
        <w:t>A.</w:t>
      </w:r>
      <w:r>
        <w:tab/>
        <w:t>In the development of Schedule</w:t>
      </w:r>
      <w:r w:rsidR="00D92DE5">
        <w:t> </w:t>
      </w:r>
      <w:r>
        <w:t xml:space="preserve">451, the original basis for the </w:t>
      </w:r>
      <w:r w:rsidR="00D92DE5">
        <w:t>10</w:t>
      </w:r>
      <w:r w:rsidR="00E71CB3">
        <w:t> </w:t>
      </w:r>
      <w:r>
        <w:t xml:space="preserve">aMW requirement was the New Large Single Load definition provided in </w:t>
      </w:r>
      <w:r w:rsidR="00D92DE5">
        <w:t>s</w:t>
      </w:r>
      <w:r>
        <w:t>ection</w:t>
      </w:r>
      <w:r w:rsidR="00D92DE5">
        <w:t> </w:t>
      </w:r>
      <w:r>
        <w:t xml:space="preserve">3(13) of the Pacific Northwest Electric Power Planning and Conservation Act, </w:t>
      </w:r>
      <w:r w:rsidR="00D92DE5">
        <w:lastRenderedPageBreak/>
        <w:t>16 U.S.C. § </w:t>
      </w:r>
      <w:r w:rsidR="00D92DE5" w:rsidRPr="00D92DE5">
        <w:t>839a(13)</w:t>
      </w:r>
      <w:r w:rsidR="00D92DE5">
        <w:t>,</w:t>
      </w:r>
      <w:r>
        <w:t xml:space="preserve"> which is a long-standing indicator of what would be considered a “large load” in the region.</w:t>
      </w:r>
      <w:r w:rsidR="00622BBA">
        <w:t xml:space="preserve"> </w:t>
      </w:r>
      <w:r>
        <w:t>However, there are at least two additional supporting reasons for setting this t</w:t>
      </w:r>
      <w:r w:rsidR="00D92DE5">
        <w:t>hreshold at this level.</w:t>
      </w:r>
    </w:p>
    <w:p w14:paraId="48780296" w14:textId="77777777" w:rsidR="009B00E4" w:rsidRDefault="009B00E4" w:rsidP="003D6F2E">
      <w:pPr>
        <w:pStyle w:val="Answer1"/>
        <w:ind w:firstLine="0"/>
      </w:pPr>
      <w:r>
        <w:t>First, customers taking service under this schedule are committing to non-core status at these locations, relieving PSE of any obligation to supply (or any plan to supply) these locations with power from its power portfolio dedicated to serving its core customers.</w:t>
      </w:r>
      <w:r w:rsidR="00622BBA">
        <w:t xml:space="preserve"> </w:t>
      </w:r>
      <w:r>
        <w:t>These customers will also be required to plan for, obtain and fulfill the associated obligations for their own</w:t>
      </w:r>
      <w:r w:rsidR="000F405C">
        <w:t xml:space="preserve"> unbundled transmission service</w:t>
      </w:r>
      <w:r w:rsidR="000D4806">
        <w:t xml:space="preserve"> </w:t>
      </w:r>
      <w:r>
        <w:t>to supply energy to their locations, as well as the associated ancillary services.</w:t>
      </w:r>
      <w:r w:rsidR="00622BBA">
        <w:t xml:space="preserve"> </w:t>
      </w:r>
      <w:r w:rsidR="000F405C">
        <w:t xml:space="preserve">It is likely that potential participating Schedule 451 customers may experience challenges in obtaining transmission service to meet their loads and may be required to provide necessary upgrades associated with such transmission service. </w:t>
      </w:r>
      <w:r>
        <w:t>This is a substantial commitment from any potential customer served under Schedule</w:t>
      </w:r>
      <w:r w:rsidR="00D92DE5">
        <w:t> </w:t>
      </w:r>
      <w:r>
        <w:t>451 that requires a commensurate level of technical sophistication and financial wherewithal to take on these responsibilities.</w:t>
      </w:r>
      <w:r w:rsidR="00622BBA">
        <w:t xml:space="preserve"> </w:t>
      </w:r>
      <w:r>
        <w:t>While there is clearly no bright line, a 10</w:t>
      </w:r>
      <w:r w:rsidR="00D92DE5">
        <w:t> </w:t>
      </w:r>
      <w:r>
        <w:t>aMW load is more likely to fit this standard than loads much smaller in size.</w:t>
      </w:r>
    </w:p>
    <w:p w14:paraId="3F07FF32" w14:textId="3D80FC2A" w:rsidR="009B00E4" w:rsidRDefault="009B00E4" w:rsidP="003D6F2E">
      <w:pPr>
        <w:pStyle w:val="Answer1"/>
        <w:ind w:firstLine="0"/>
      </w:pPr>
      <w:r>
        <w:t>Second, and from a more practical perspective, this load will need to be of sufficient size to efficiently transact in what is primarily a bilateral power market and schedule power across the regional transmission systems at a scale designed primarily for wholesale power transactions.</w:t>
      </w:r>
      <w:r w:rsidR="00622BBA">
        <w:t xml:space="preserve"> </w:t>
      </w:r>
      <w:r>
        <w:t xml:space="preserve">For example, the minimum transmission schedule to a point of receipt on PSE’s transmission system is </w:t>
      </w:r>
      <w:r w:rsidR="00AC4BAA">
        <w:t>2 </w:t>
      </w:r>
      <w:r>
        <w:t>MW, with any deviations subject to imbalance charges.</w:t>
      </w:r>
      <w:r w:rsidR="00622BBA">
        <w:t xml:space="preserve"> </w:t>
      </w:r>
      <w:r>
        <w:t xml:space="preserve">The larger the load </w:t>
      </w:r>
      <w:r>
        <w:lastRenderedPageBreak/>
        <w:t xml:space="preserve">served at any point of receipt and the more sophisticated the customer, the more likely the potential customer would be to predict and align its schedules to its expected load and thereby </w:t>
      </w:r>
      <w:r w:rsidR="00AC4BAA">
        <w:t>minimizing ancillary service charges associated with the service</w:t>
      </w:r>
      <w:r w:rsidR="006D20E7">
        <w:t>.</w:t>
      </w:r>
    </w:p>
    <w:p w14:paraId="30D5FEAD" w14:textId="35A530B5" w:rsidR="009B00E4" w:rsidRDefault="009B00E4" w:rsidP="003D6F2E">
      <w:pPr>
        <w:pStyle w:val="Answer1"/>
        <w:ind w:firstLine="0"/>
      </w:pPr>
      <w:r>
        <w:t>Finally, it is worth noting that PSE’s existing Schedule</w:t>
      </w:r>
      <w:r w:rsidR="006D20E7">
        <w:t> </w:t>
      </w:r>
      <w:r>
        <w:t xml:space="preserve">449, under which several of its customers currently receive retail </w:t>
      </w:r>
      <w:r w:rsidR="005674A7">
        <w:t>wheeling services</w:t>
      </w:r>
      <w:r>
        <w:t>, has 5</w:t>
      </w:r>
      <w:r w:rsidR="00E71CB3">
        <w:t> </w:t>
      </w:r>
      <w:r>
        <w:t>aMW and 7.5</w:t>
      </w:r>
      <w:r w:rsidR="00E71CB3">
        <w:t> </w:t>
      </w:r>
      <w:r>
        <w:t xml:space="preserve">aMW requirements for additional load or transferred service under </w:t>
      </w:r>
      <w:r w:rsidR="006D20E7">
        <w:t>Schedule 449</w:t>
      </w:r>
      <w:r>
        <w:t>.</w:t>
      </w:r>
      <w:r w:rsidR="00622BBA">
        <w:t xml:space="preserve"> </w:t>
      </w:r>
      <w:r w:rsidR="006D20E7">
        <w:t xml:space="preserve">Although the average capacity requirements for Schedule 449 are </w:t>
      </w:r>
      <w:r>
        <w:t>somewhat lower</w:t>
      </w:r>
      <w:r w:rsidR="006D20E7">
        <w:t xml:space="preserve"> than 10 aMW</w:t>
      </w:r>
      <w:r>
        <w:t xml:space="preserve">, </w:t>
      </w:r>
      <w:r w:rsidR="006D20E7">
        <w:t xml:space="preserve">these average capacity requirements are </w:t>
      </w:r>
      <w:r>
        <w:t xml:space="preserve">supportive of the </w:t>
      </w:r>
      <w:r w:rsidR="006D20E7">
        <w:t xml:space="preserve">average capacity requirements </w:t>
      </w:r>
      <w:r>
        <w:t>proposed for Schedule</w:t>
      </w:r>
      <w:r w:rsidR="006D20E7">
        <w:t> </w:t>
      </w:r>
      <w:r>
        <w:t>451.</w:t>
      </w:r>
    </w:p>
    <w:p w14:paraId="1C9800B3" w14:textId="2E837409" w:rsidR="009B00E4" w:rsidRDefault="009B00E4" w:rsidP="009B00E4">
      <w:pPr>
        <w:pStyle w:val="question"/>
      </w:pPr>
      <w:r>
        <w:t>Q.</w:t>
      </w:r>
      <w:r>
        <w:tab/>
        <w:t xml:space="preserve">Please explain how </w:t>
      </w:r>
      <w:r w:rsidR="006D20E7">
        <w:t xml:space="preserve">PSE derived </w:t>
      </w:r>
      <w:r>
        <w:t>the 100</w:t>
      </w:r>
      <w:r w:rsidR="006D20E7">
        <w:t> </w:t>
      </w:r>
      <w:r>
        <w:t xml:space="preserve">MW </w:t>
      </w:r>
      <w:r w:rsidR="005674A7">
        <w:t xml:space="preserve">service </w:t>
      </w:r>
      <w:r>
        <w:t>limit.</w:t>
      </w:r>
    </w:p>
    <w:p w14:paraId="0E5FA24E" w14:textId="77777777" w:rsidR="009B00E4" w:rsidRDefault="009B00E4" w:rsidP="009B00E4">
      <w:pPr>
        <w:pStyle w:val="Answer1"/>
      </w:pPr>
      <w:r>
        <w:t>A.</w:t>
      </w:r>
      <w:r>
        <w:tab/>
        <w:t>As explained in PSE’s Response to Walmart Data Request No.</w:t>
      </w:r>
      <w:r w:rsidR="006D20E7">
        <w:t> 00</w:t>
      </w:r>
      <w:r>
        <w:t>4, the decision to limit availability of service under the proposed Schedule 451 to the first 100</w:t>
      </w:r>
      <w:r w:rsidR="006D20E7">
        <w:t> </w:t>
      </w:r>
      <w:r>
        <w:t>MW was a business decision of PSE’s senior management.</w:t>
      </w:r>
      <w:r w:rsidR="00622BBA">
        <w:t xml:space="preserve"> </w:t>
      </w:r>
      <w:r w:rsidR="006D20E7">
        <w:t>Please see the First Exhibit to the Pre</w:t>
      </w:r>
      <w:r w:rsidR="00651A7B">
        <w:t>filed Supplemental Direct Testi</w:t>
      </w:r>
      <w:r w:rsidR="006D20E7">
        <w:t>mony of Jon A. Piliaris, Exhibit No.</w:t>
      </w:r>
      <w:r w:rsidR="00E71CB3">
        <w:t> </w:t>
      </w:r>
      <w:r w:rsidR="006D20E7">
        <w:t xml:space="preserve"> ___(JAP-7), for a copy of PSE’s Response to Walmart Data Request No. 004.</w:t>
      </w:r>
      <w:r w:rsidR="00622BBA">
        <w:t xml:space="preserve"> </w:t>
      </w:r>
      <w:r w:rsidR="006D20E7">
        <w:t xml:space="preserve">The 100 MW limit </w:t>
      </w:r>
      <w:r>
        <w:t xml:space="preserve">is an amount sufficient to </w:t>
      </w:r>
      <w:r w:rsidR="006D20E7">
        <w:t>(i) </w:t>
      </w:r>
      <w:r>
        <w:t>allow all of Microsoft’s load currently served under Schedule</w:t>
      </w:r>
      <w:r w:rsidR="006D20E7">
        <w:t> </w:t>
      </w:r>
      <w:r>
        <w:t>40 to take service under the proposed Schedule</w:t>
      </w:r>
      <w:r w:rsidR="006D20E7">
        <w:t> </w:t>
      </w:r>
      <w:r>
        <w:t xml:space="preserve">451 and </w:t>
      </w:r>
      <w:r w:rsidR="006D20E7">
        <w:t>(ii) </w:t>
      </w:r>
      <w:r>
        <w:t xml:space="preserve">provide additional headroom for a limited number of </w:t>
      </w:r>
      <w:r w:rsidR="000F405C">
        <w:t xml:space="preserve">eligible </w:t>
      </w:r>
      <w:r>
        <w:t xml:space="preserve">customers to also take service under </w:t>
      </w:r>
      <w:r w:rsidR="006D20E7">
        <w:t>S</w:t>
      </w:r>
      <w:r>
        <w:t>chedule</w:t>
      </w:r>
      <w:r w:rsidR="006D20E7">
        <w:t> 451</w:t>
      </w:r>
      <w:r>
        <w:t>.</w:t>
      </w:r>
    </w:p>
    <w:p w14:paraId="05E2448F" w14:textId="1E5FCBDB" w:rsidR="009B00E4" w:rsidRDefault="009B00E4" w:rsidP="009B00E4">
      <w:pPr>
        <w:pStyle w:val="question"/>
      </w:pPr>
      <w:r>
        <w:lastRenderedPageBreak/>
        <w:t>Q.</w:t>
      </w:r>
      <w:r>
        <w:tab/>
        <w:t xml:space="preserve">Please explain why the </w:t>
      </w:r>
      <w:r w:rsidR="000F405C">
        <w:t xml:space="preserve">service </w:t>
      </w:r>
      <w:r>
        <w:t>should be limited to 100</w:t>
      </w:r>
      <w:r w:rsidR="006D20E7">
        <w:t> </w:t>
      </w:r>
      <w:r>
        <w:t>MW.</w:t>
      </w:r>
    </w:p>
    <w:p w14:paraId="546CDA98" w14:textId="07E8841B" w:rsidR="00DB3068" w:rsidRDefault="009B00E4" w:rsidP="009B00E4">
      <w:pPr>
        <w:pStyle w:val="Answer1"/>
      </w:pPr>
      <w:r>
        <w:t>A.</w:t>
      </w:r>
      <w:r>
        <w:tab/>
        <w:t xml:space="preserve">The reasons for </w:t>
      </w:r>
      <w:r w:rsidR="006D20E7">
        <w:t xml:space="preserve">the </w:t>
      </w:r>
      <w:r w:rsidR="000F405C">
        <w:t xml:space="preserve">service </w:t>
      </w:r>
      <w:r w:rsidR="006D20E7">
        <w:t xml:space="preserve">limit of 100 MW for Schedule 451 </w:t>
      </w:r>
      <w:r>
        <w:t>are three-fold.</w:t>
      </w:r>
      <w:r w:rsidR="00622BBA">
        <w:t xml:space="preserve"> </w:t>
      </w:r>
      <w:r w:rsidR="000F405C">
        <w:t xml:space="preserve">First, there is no existing statewide policy regarding retail wheeling service in Washington. Second, Schedule 449 is a voluntary and limited offering being made by PSE, and the PSE is unwilling to consider any higher amount. </w:t>
      </w:r>
      <w:r>
        <w:t xml:space="preserve">Finally, and related to the first two reasons, it is </w:t>
      </w:r>
      <w:r w:rsidR="000F405C">
        <w:t>un</w:t>
      </w:r>
      <w:r w:rsidR="00AC4BAA">
        <w:t xml:space="preserve">likely </w:t>
      </w:r>
      <w:r>
        <w:t xml:space="preserve">that </w:t>
      </w:r>
      <w:r w:rsidR="000F405C">
        <w:t xml:space="preserve">potential participating </w:t>
      </w:r>
      <w:r>
        <w:t xml:space="preserve">customers </w:t>
      </w:r>
      <w:r w:rsidR="000F405C">
        <w:t xml:space="preserve">would be able to obtain the needed transmission service </w:t>
      </w:r>
      <w:r>
        <w:t xml:space="preserve">to wheel power to their locations under this proposal where the serving utility is unwilling to provide this service and no </w:t>
      </w:r>
      <w:r w:rsidR="00DB3068">
        <w:t>state</w:t>
      </w:r>
      <w:r w:rsidR="000F405C">
        <w:t>wide</w:t>
      </w:r>
      <w:r w:rsidR="00DB3068">
        <w:t xml:space="preserve"> retail access </w:t>
      </w:r>
      <w:r w:rsidR="000F405C">
        <w:t xml:space="preserve">law </w:t>
      </w:r>
      <w:r>
        <w:t>exists.</w:t>
      </w:r>
    </w:p>
    <w:p w14:paraId="6F0ADF58" w14:textId="77777777" w:rsidR="00DB3068" w:rsidRDefault="00DB3068" w:rsidP="00DB3068">
      <w:pPr>
        <w:pStyle w:val="question"/>
      </w:pPr>
      <w:r>
        <w:t>Q.</w:t>
      </w:r>
      <w:r>
        <w:tab/>
      </w:r>
      <w:r w:rsidR="00E42BAB">
        <w:t>Why is the voluntary nature of Schedule 451 an important consideration?</w:t>
      </w:r>
    </w:p>
    <w:p w14:paraId="0F2722EA" w14:textId="77777777" w:rsidR="00622BBA" w:rsidRDefault="00DB3068" w:rsidP="007701B8">
      <w:pPr>
        <w:pStyle w:val="Answer1"/>
      </w:pPr>
      <w:r>
        <w:t>A.</w:t>
      </w:r>
      <w:r>
        <w:tab/>
      </w:r>
      <w:r w:rsidR="00E42BAB">
        <w:t>In 1996, the Federal Energy Regulatory Commission (“FERC”) issued its Order 888,</w:t>
      </w:r>
      <w:r w:rsidR="00E42BAB">
        <w:rPr>
          <w:rStyle w:val="FootnoteReference"/>
        </w:rPr>
        <w:footnoteReference w:id="2"/>
      </w:r>
      <w:r w:rsidR="00E42BAB">
        <w:t xml:space="preserve"> </w:t>
      </w:r>
      <w:r>
        <w:t>which</w:t>
      </w:r>
      <w:r w:rsidR="00E42BAB">
        <w:t xml:space="preserve">, in pertinent part, </w:t>
      </w:r>
      <w:r>
        <w:t xml:space="preserve">addressed FERC’s wheeling authority. </w:t>
      </w:r>
      <w:r w:rsidR="00E42BAB">
        <w:t xml:space="preserve">In Order 888, </w:t>
      </w:r>
      <w:r>
        <w:t>FERC claimed authority over the rates, terms, and conditions of unbundled transmission service</w:t>
      </w:r>
      <w:r w:rsidR="00E42BAB">
        <w:t xml:space="preserve"> </w:t>
      </w:r>
      <w:r>
        <w:t>in interstate commerce.</w:t>
      </w:r>
      <w:r w:rsidR="00E42BAB">
        <w:rPr>
          <w:rStyle w:val="FootnoteReference"/>
        </w:rPr>
        <w:footnoteReference w:id="3"/>
      </w:r>
      <w:r>
        <w:t xml:space="preserve"> FERC asserted jurisdiction over the transmission component of retail wheeling</w:t>
      </w:r>
      <w:r w:rsidR="00E42BAB">
        <w:t xml:space="preserve"> </w:t>
      </w:r>
      <w:r>
        <w:t xml:space="preserve">transactions </w:t>
      </w:r>
      <w:r w:rsidR="00E42BAB">
        <w:t xml:space="preserve">but recognized </w:t>
      </w:r>
      <w:r>
        <w:t>that it had no authority to order retail wheeling</w:t>
      </w:r>
      <w:r w:rsidR="00E42BAB">
        <w:t xml:space="preserve"> </w:t>
      </w:r>
      <w:r>
        <w:t xml:space="preserve">under the </w:t>
      </w:r>
      <w:r w:rsidR="007701B8" w:rsidRPr="007701B8">
        <w:t>Energy Policy Act of 1992</w:t>
      </w:r>
      <w:r>
        <w:t>.</w:t>
      </w:r>
      <w:r w:rsidR="007701B8">
        <w:rPr>
          <w:rStyle w:val="FootnoteReference"/>
        </w:rPr>
        <w:footnoteReference w:id="4"/>
      </w:r>
    </w:p>
    <w:p w14:paraId="6B732CB8" w14:textId="77777777" w:rsidR="00622BBA" w:rsidRDefault="00DB3068" w:rsidP="00622BBA">
      <w:pPr>
        <w:pStyle w:val="Answer1"/>
        <w:ind w:firstLine="0"/>
      </w:pPr>
      <w:r>
        <w:lastRenderedPageBreak/>
        <w:t xml:space="preserve">FERC did </w:t>
      </w:r>
      <w:r w:rsidR="007701B8">
        <w:t xml:space="preserve">state, however, </w:t>
      </w:r>
      <w:r>
        <w:t>that</w:t>
      </w:r>
      <w:r w:rsidR="007701B8">
        <w:t xml:space="preserve"> </w:t>
      </w:r>
      <w:r>
        <w:t>“if unbundled retail</w:t>
      </w:r>
      <w:r w:rsidR="007701B8">
        <w:t xml:space="preserve"> </w:t>
      </w:r>
      <w:r>
        <w:t>transmission in interstate commerce by a public utility occurs voluntarily or as</w:t>
      </w:r>
      <w:r w:rsidR="007701B8">
        <w:t xml:space="preserve"> </w:t>
      </w:r>
      <w:r>
        <w:t>a result of a state retail access program, [FERC] has exclusive jurisdiction.</w:t>
      </w:r>
      <w:r w:rsidR="007701B8">
        <w:t xml:space="preserve"> </w:t>
      </w:r>
      <w:r>
        <w:t>. . .”</w:t>
      </w:r>
      <w:r w:rsidR="007701B8">
        <w:rPr>
          <w:rStyle w:val="FootnoteReference"/>
        </w:rPr>
        <w:footnoteReference w:id="5"/>
      </w:r>
      <w:r w:rsidR="007701B8">
        <w:t xml:space="preserve"> Thus, FERC lacks the authority to order PSE to provide retail wheeling </w:t>
      </w:r>
      <w:r w:rsidR="005674A7">
        <w:t xml:space="preserve">service </w:t>
      </w:r>
      <w:r w:rsidR="007701B8">
        <w:t>to a direct customer absent a state retail access program or a</w:t>
      </w:r>
      <w:r w:rsidR="00622BBA">
        <w:t xml:space="preserve"> voluntary agreement by PSE</w:t>
      </w:r>
      <w:r w:rsidR="007701B8">
        <w:t xml:space="preserve"> </w:t>
      </w:r>
      <w:r w:rsidR="00622BBA">
        <w:t>to provide retail wheeling services.</w:t>
      </w:r>
    </w:p>
    <w:p w14:paraId="3C877426" w14:textId="77777777" w:rsidR="007701B8" w:rsidRDefault="00622BBA" w:rsidP="00622BBA">
      <w:pPr>
        <w:pStyle w:val="Answer1"/>
        <w:ind w:firstLine="0"/>
      </w:pPr>
      <w:r>
        <w:t>Washington does not have a state retail access program, so retail wheeling service is permissible only through a voluntary program. Schedule 451—like Schedule 449 before it—is a voluntary program of PSE to allow certain qualified customers to obtain retail wheeling service pursuant to FERC jurisdiction.</w:t>
      </w:r>
    </w:p>
    <w:p w14:paraId="337F9F76" w14:textId="767C39CB" w:rsidR="009B00E4" w:rsidRDefault="009B00E4" w:rsidP="009B00E4">
      <w:pPr>
        <w:pStyle w:val="question"/>
      </w:pPr>
      <w:r>
        <w:t>Q.</w:t>
      </w:r>
      <w:r>
        <w:tab/>
        <w:t xml:space="preserve">Is this </w:t>
      </w:r>
      <w:r w:rsidR="000F405C">
        <w:t xml:space="preserve">limited tariff schedule filing </w:t>
      </w:r>
      <w:r>
        <w:t xml:space="preserve">the place to have a discussion regarding </w:t>
      </w:r>
      <w:r w:rsidR="005674A7">
        <w:t xml:space="preserve">a </w:t>
      </w:r>
      <w:r>
        <w:t>state</w:t>
      </w:r>
      <w:r w:rsidR="005674A7">
        <w:t xml:space="preserve"> retail </w:t>
      </w:r>
      <w:r>
        <w:t>access</w:t>
      </w:r>
      <w:r w:rsidR="005674A7">
        <w:t xml:space="preserve"> program</w:t>
      </w:r>
      <w:r>
        <w:t>?</w:t>
      </w:r>
    </w:p>
    <w:p w14:paraId="42153A8C" w14:textId="77777777" w:rsidR="00942AE5" w:rsidRDefault="009B00E4" w:rsidP="009B00E4">
      <w:pPr>
        <w:pStyle w:val="Answer1"/>
      </w:pPr>
      <w:r>
        <w:t>A.</w:t>
      </w:r>
      <w:r>
        <w:tab/>
        <w:t>No.</w:t>
      </w:r>
      <w:r w:rsidR="00622BBA">
        <w:t xml:space="preserve"> </w:t>
      </w:r>
      <w:r>
        <w:t xml:space="preserve">First and foremost, </w:t>
      </w:r>
      <w:r w:rsidR="00942AE5">
        <w:t xml:space="preserve">Washington—unlike some states, such as Pennsylvania or Texas—does not have a state retail access </w:t>
      </w:r>
      <w:r w:rsidR="00F93019">
        <w:t xml:space="preserve">program </w:t>
      </w:r>
      <w:r w:rsidR="00942AE5">
        <w:t xml:space="preserve">established pursuant to legislation, and </w:t>
      </w:r>
      <w:r>
        <w:t>the Commission has a long-standing practice of n</w:t>
      </w:r>
      <w:r w:rsidR="00942AE5">
        <w:t>ot legislating from the bench.</w:t>
      </w:r>
      <w:r w:rsidR="00942AE5">
        <w:rPr>
          <w:rStyle w:val="FootnoteReference"/>
        </w:rPr>
        <w:footnoteReference w:id="6"/>
      </w:r>
      <w:r w:rsidR="00942AE5">
        <w:t xml:space="preserve"> </w:t>
      </w:r>
      <w:r>
        <w:t>Rather, the</w:t>
      </w:r>
      <w:r w:rsidR="00942AE5">
        <w:t xml:space="preserve"> Commission has </w:t>
      </w:r>
      <w:r>
        <w:t xml:space="preserve">thoughtfully and appropriately taken </w:t>
      </w:r>
      <w:r w:rsidR="00942AE5">
        <w:t xml:space="preserve">its </w:t>
      </w:r>
      <w:r>
        <w:t>cues from the executive or legislative branches of state government for general policy direction, particularly in matters as important, far-reaching and complica</w:t>
      </w:r>
      <w:r w:rsidR="00942AE5">
        <w:t xml:space="preserve">ted as </w:t>
      </w:r>
      <w:r w:rsidR="005674A7">
        <w:t xml:space="preserve">a state </w:t>
      </w:r>
      <w:r w:rsidR="00942AE5">
        <w:t xml:space="preserve">retail access </w:t>
      </w:r>
      <w:r w:rsidR="005674A7">
        <w:t xml:space="preserve">program </w:t>
      </w:r>
      <w:r w:rsidR="00942AE5">
        <w:t>would be.</w:t>
      </w:r>
    </w:p>
    <w:p w14:paraId="4373EE0B" w14:textId="60D4330E" w:rsidR="009B00E4" w:rsidRDefault="009B00E4" w:rsidP="00942AE5">
      <w:pPr>
        <w:pStyle w:val="Answer1"/>
        <w:ind w:firstLine="0"/>
      </w:pPr>
      <w:r>
        <w:lastRenderedPageBreak/>
        <w:t xml:space="preserve">Second, in states that have developed and implemented statewide policies around retail </w:t>
      </w:r>
      <w:r w:rsidR="005674A7">
        <w:t>wheeling services</w:t>
      </w:r>
      <w:r>
        <w:t>, these have often been the product of lengthy and contentious processes that have included a wide range of stakeholders with divergent interests.</w:t>
      </w:r>
      <w:r w:rsidR="00217A17">
        <w:t xml:space="preserve"> </w:t>
      </w:r>
      <w:r>
        <w:t xml:space="preserve">It is reasonable to assume that there are far more interested parties impacted by a statewide retail access </w:t>
      </w:r>
      <w:r w:rsidR="00217A17">
        <w:t xml:space="preserve">program </w:t>
      </w:r>
      <w:r>
        <w:t xml:space="preserve">than </w:t>
      </w:r>
      <w:r w:rsidR="00217A17">
        <w:t xml:space="preserve">the parties </w:t>
      </w:r>
      <w:r>
        <w:t>currently participating in this case.</w:t>
      </w:r>
      <w:r w:rsidR="00217A17">
        <w:t xml:space="preserve"> Therefore, it is PSE’s position that the Commission should act solely with respect to the tariff submitted for approval by PSE (i.e., Schedule 451) in this proceeding and not address</w:t>
      </w:r>
      <w:r w:rsidR="00B92257">
        <w:t xml:space="preserve"> the wide-ranging policy considerations that could affect investor-owned utilities other than PSE.</w:t>
      </w:r>
    </w:p>
    <w:p w14:paraId="517FE606" w14:textId="77777777" w:rsidR="009B00E4" w:rsidRDefault="009B00E4" w:rsidP="009B00E4">
      <w:pPr>
        <w:pStyle w:val="question"/>
      </w:pPr>
      <w:r>
        <w:t>Q.</w:t>
      </w:r>
      <w:r>
        <w:tab/>
        <w:t xml:space="preserve">Please explain why </w:t>
      </w:r>
      <w:r w:rsidR="00B92257">
        <w:t xml:space="preserve">Schedule 451 </w:t>
      </w:r>
      <w:r>
        <w:t>is limited to customers that would otherwise qualify for service under Schedule</w:t>
      </w:r>
      <w:r w:rsidR="00B92257">
        <w:t> </w:t>
      </w:r>
      <w:r>
        <w:t>40.</w:t>
      </w:r>
    </w:p>
    <w:p w14:paraId="32A85FB4" w14:textId="77777777" w:rsidR="00B92257" w:rsidRDefault="009B00E4" w:rsidP="009B00E4">
      <w:pPr>
        <w:pStyle w:val="Answer1"/>
      </w:pPr>
      <w:r>
        <w:t>A.</w:t>
      </w:r>
      <w:r>
        <w:tab/>
        <w:t xml:space="preserve">A necessary predicate to offering retail </w:t>
      </w:r>
      <w:r w:rsidR="00B92257">
        <w:t xml:space="preserve">wheeling service </w:t>
      </w:r>
      <w:r>
        <w:t xml:space="preserve">is the unbundling of retail rates </w:t>
      </w:r>
      <w:r w:rsidR="00B92257">
        <w:t xml:space="preserve">into three constituent parts (i.e., generation, transmission, and distribution) </w:t>
      </w:r>
      <w:r>
        <w:t>to allow for the transparent displacement of the embedded power costs of the serving utility by the cust</w:t>
      </w:r>
      <w:r w:rsidR="00B92257">
        <w:t xml:space="preserve">omer’s power supply of choice. </w:t>
      </w:r>
      <w:r>
        <w:t>Schedule</w:t>
      </w:r>
      <w:r w:rsidR="00B92257">
        <w:t> </w:t>
      </w:r>
      <w:r>
        <w:t xml:space="preserve">40 is </w:t>
      </w:r>
      <w:r w:rsidR="00B92257">
        <w:t xml:space="preserve">the only PSE </w:t>
      </w:r>
      <w:r>
        <w:t>rate schedule that currently has unbundled distribution service within its rate structure. As a result, Schedule</w:t>
      </w:r>
      <w:r w:rsidR="00B92257">
        <w:t> </w:t>
      </w:r>
      <w:r>
        <w:t xml:space="preserve">451 is far </w:t>
      </w:r>
      <w:r w:rsidR="00B92257">
        <w:t xml:space="preserve">simpler </w:t>
      </w:r>
      <w:r>
        <w:t>to implement for customers currently served under Schedule</w:t>
      </w:r>
      <w:r w:rsidR="00B92257">
        <w:t> </w:t>
      </w:r>
      <w:r>
        <w:t>40 than for those that are currently served under schedules with bundled rates</w:t>
      </w:r>
      <w:r w:rsidR="00B92257">
        <w:t xml:space="preserve"> (i.e., rates that include generation, transmission, and distribution services in a single rate)</w:t>
      </w:r>
      <w:r>
        <w:t>.</w:t>
      </w:r>
    </w:p>
    <w:p w14:paraId="006C48F9" w14:textId="77777777" w:rsidR="00B92257" w:rsidRDefault="00B92257" w:rsidP="00B92257">
      <w:pPr>
        <w:pStyle w:val="question"/>
      </w:pPr>
      <w:r>
        <w:lastRenderedPageBreak/>
        <w:t>Q.</w:t>
      </w:r>
      <w:r>
        <w:tab/>
        <w:t>Would it be impossible to provide Schedule 451 service to customers receiving under a bundled rate?</w:t>
      </w:r>
    </w:p>
    <w:p w14:paraId="55381DFF" w14:textId="77777777" w:rsidR="009B00E4" w:rsidRDefault="00B92257" w:rsidP="009B00E4">
      <w:pPr>
        <w:pStyle w:val="Answer1"/>
      </w:pPr>
      <w:r>
        <w:t>A.</w:t>
      </w:r>
      <w:r>
        <w:tab/>
        <w:t>No.</w:t>
      </w:r>
      <w:r w:rsidR="00EC2F01">
        <w:t xml:space="preserve"> </w:t>
      </w:r>
      <w:r>
        <w:t xml:space="preserve">It is </w:t>
      </w:r>
      <w:r w:rsidR="009B00E4">
        <w:t>possible to unbundle the rates of other bundled service customers</w:t>
      </w:r>
      <w:r>
        <w:t>. C</w:t>
      </w:r>
      <w:r w:rsidR="009B00E4">
        <w:t>ertainly</w:t>
      </w:r>
      <w:r>
        <w:t>,</w:t>
      </w:r>
      <w:r w:rsidR="009B00E4">
        <w:t xml:space="preserve"> other utilities and jurisdictions</w:t>
      </w:r>
      <w:r>
        <w:t xml:space="preserve"> have proven this is possible. </w:t>
      </w:r>
      <w:r w:rsidR="009B00E4">
        <w:t>Rather, extending the eligibility for Schedule</w:t>
      </w:r>
      <w:r>
        <w:t> </w:t>
      </w:r>
      <w:r w:rsidR="009B00E4">
        <w:t>451 to, for example, Schedule</w:t>
      </w:r>
      <w:r>
        <w:t> </w:t>
      </w:r>
      <w:r w:rsidR="009B00E4">
        <w:t>26 would require a far greater level of discussion around the proper way to implement this unbundling.</w:t>
      </w:r>
    </w:p>
    <w:p w14:paraId="64E3998D" w14:textId="77777777" w:rsidR="009B00E4" w:rsidRDefault="009B00E4" w:rsidP="009B00E4">
      <w:pPr>
        <w:pStyle w:val="question"/>
      </w:pPr>
      <w:r>
        <w:t>Q.</w:t>
      </w:r>
      <w:r>
        <w:tab/>
        <w:t>Why would it be so difficult to unbundle a rate schedule like Schedule</w:t>
      </w:r>
      <w:r w:rsidR="00B92257">
        <w:t> </w:t>
      </w:r>
      <w:r>
        <w:t>26?</w:t>
      </w:r>
    </w:p>
    <w:p w14:paraId="0A869A55" w14:textId="77777777" w:rsidR="00EC2F01" w:rsidRDefault="009B00E4" w:rsidP="009B00E4">
      <w:pPr>
        <w:pStyle w:val="Answer1"/>
      </w:pPr>
      <w:r>
        <w:t>A.</w:t>
      </w:r>
      <w:r>
        <w:tab/>
        <w:t>The Commission has consistently eschewed a mechanical application of PSE’s cost of service analysis to its rate design, where the unbundled cost of service results would otherwise be used to derive the cost-based unbundled rate design.</w:t>
      </w:r>
      <w:r w:rsidR="00B92257">
        <w:t xml:space="preserve"> </w:t>
      </w:r>
      <w:r>
        <w:t xml:space="preserve">Rather, the Commission has long employed its broad discretion to take the cost of service information into consideration, but not necessarily apply it directly to rate design. In so doing, </w:t>
      </w:r>
      <w:r w:rsidR="00EC2F01">
        <w:t xml:space="preserve">the Commission </w:t>
      </w:r>
      <w:r>
        <w:t xml:space="preserve">has consistently driven a wedge between the cost-based results presented by </w:t>
      </w:r>
      <w:r w:rsidR="00B92257">
        <w:t>PSE—</w:t>
      </w:r>
      <w:r>
        <w:t>or any other stakeholder for that matter</w:t>
      </w:r>
      <w:r w:rsidR="00B92257">
        <w:t>—</w:t>
      </w:r>
      <w:r>
        <w:t>and the rates charged to each rate class.</w:t>
      </w:r>
    </w:p>
    <w:p w14:paraId="68DB55C4" w14:textId="77777777" w:rsidR="009B00E4" w:rsidRDefault="009B00E4" w:rsidP="00EC2F01">
      <w:pPr>
        <w:pStyle w:val="Answer1"/>
        <w:ind w:firstLine="0"/>
      </w:pPr>
      <w:r>
        <w:t>The net effect is that, even in the aggregate, rate revenues have not aligned perfectly with the calculated costs.</w:t>
      </w:r>
      <w:r w:rsidR="00B92257">
        <w:t xml:space="preserve"> </w:t>
      </w:r>
      <w:r>
        <w:t>As a result, this lays bare the question of what to do with the difference between identified costs and revenues when attempting to subsequently unbundle rates</w:t>
      </w:r>
      <w:r w:rsidR="00B92257">
        <w:t xml:space="preserve">. </w:t>
      </w:r>
      <w:r>
        <w:t>Should they be attributed to the cost of providing power supply, transmission service, distribution service or customer service</w:t>
      </w:r>
      <w:r w:rsidR="00B92257">
        <w:t xml:space="preserve">, </w:t>
      </w:r>
      <w:r>
        <w:t>or some combination of these services?</w:t>
      </w:r>
      <w:r w:rsidR="00B92257">
        <w:t xml:space="preserve"> </w:t>
      </w:r>
      <w:r>
        <w:t xml:space="preserve">Does this necessitate a movement to strictly </w:t>
      </w:r>
      <w:r>
        <w:lastRenderedPageBreak/>
        <w:t>cost-based rates? While certainly worthy questions in and of themselves, attempting to answer these questions here would complicate this filing</w:t>
      </w:r>
      <w:r w:rsidR="00EC2F01">
        <w:t xml:space="preserve"> far beyond its current scope. </w:t>
      </w:r>
      <w:r>
        <w:t xml:space="preserve">This is one example of the type of discussion that is more appropriate for a broader policy discussion of </w:t>
      </w:r>
      <w:r w:rsidR="005674A7">
        <w:t xml:space="preserve">a state </w:t>
      </w:r>
      <w:r>
        <w:t xml:space="preserve">retail access </w:t>
      </w:r>
      <w:r w:rsidR="005674A7">
        <w:t xml:space="preserve">program </w:t>
      </w:r>
      <w:r>
        <w:t>than a proceeding such as this one with a much more narrow scope.</w:t>
      </w:r>
    </w:p>
    <w:p w14:paraId="41762475" w14:textId="32E4FE59" w:rsidR="009B00E4" w:rsidRDefault="009B00E4" w:rsidP="009B00E4">
      <w:pPr>
        <w:pStyle w:val="question"/>
      </w:pPr>
      <w:r>
        <w:t>Q.</w:t>
      </w:r>
      <w:r>
        <w:tab/>
        <w:t>Why must customers take service under Schedule</w:t>
      </w:r>
      <w:r w:rsidR="00EC2F01">
        <w:t> </w:t>
      </w:r>
      <w:r>
        <w:t xml:space="preserve">451 for all loads at </w:t>
      </w:r>
      <w:r w:rsidR="000549B3">
        <w:t>their</w:t>
      </w:r>
      <w:r>
        <w:t xml:space="preserve"> locations served under Schedule</w:t>
      </w:r>
      <w:r w:rsidR="00EC2F01">
        <w:t> 40?</w:t>
      </w:r>
    </w:p>
    <w:p w14:paraId="6C6177B0" w14:textId="1CF0C858" w:rsidR="009B00E4" w:rsidRDefault="009B00E4" w:rsidP="009B00E4">
      <w:pPr>
        <w:pStyle w:val="Answer1"/>
      </w:pPr>
      <w:r>
        <w:t>A.</w:t>
      </w:r>
      <w:r>
        <w:tab/>
        <w:t xml:space="preserve">There are conceptual and practical reasons for </w:t>
      </w:r>
      <w:r w:rsidR="00EC2F01">
        <w:t xml:space="preserve">requiring customers to take service under Schedule 451 for all loads at </w:t>
      </w:r>
      <w:r w:rsidR="000549B3">
        <w:t xml:space="preserve">their </w:t>
      </w:r>
      <w:r w:rsidR="00EC2F01">
        <w:t>locations served under Schedule 40.</w:t>
      </w:r>
      <w:r>
        <w:t xml:space="preserve"> Regarding the conceptual reasons, customers served under Schedule</w:t>
      </w:r>
      <w:r w:rsidR="00EC2F01">
        <w:t> </w:t>
      </w:r>
      <w:r>
        <w:t>40 are being provided what some may consider “virtual high-voltage” service</w:t>
      </w:r>
      <w:r w:rsidR="00EC2F01">
        <w:t xml:space="preserve">. This means that Schedule 40 customers </w:t>
      </w:r>
      <w:r>
        <w:t>are being treated like high-voltage customer</w:t>
      </w:r>
      <w:r w:rsidR="00EC2F01">
        <w:t>s</w:t>
      </w:r>
      <w:r>
        <w:t xml:space="preserve"> </w:t>
      </w:r>
      <w:r w:rsidR="00EC2F01">
        <w:t xml:space="preserve">for ratemaking purposes </w:t>
      </w:r>
      <w:r>
        <w:t>(including paying power and transmission rates that are tied to PSE’s high-voltage bundled service schedules) even though they are not actually</w:t>
      </w:r>
      <w:r w:rsidR="00EC2F01">
        <w:t xml:space="preserve"> being served at high-voltage. </w:t>
      </w:r>
      <w:r>
        <w:t>In essence, each Schedule</w:t>
      </w:r>
      <w:r w:rsidR="00EC2F01">
        <w:t> </w:t>
      </w:r>
      <w:r>
        <w:t>40 “campus”</w:t>
      </w:r>
      <w:r w:rsidR="00EC2F01">
        <w:t xml:space="preserve"> </w:t>
      </w:r>
      <w:r>
        <w:t>is being treated as if it were a single high-voltage load.</w:t>
      </w:r>
      <w:r w:rsidR="00EC2F01">
        <w:t xml:space="preserve"> </w:t>
      </w:r>
      <w:r>
        <w:t>So, to allow different locations of each campus to take different service under Schedule</w:t>
      </w:r>
      <w:r w:rsidR="00EC2F01">
        <w:t> </w:t>
      </w:r>
      <w:r>
        <w:t>451 would be antithetical to the underlying rationale for service under the pre-requisite Schedule</w:t>
      </w:r>
      <w:r w:rsidR="00EC2F01">
        <w:t> </w:t>
      </w:r>
      <w:r>
        <w:t>40 (i.e., that they should be treated as a single-load for ratemaking purposes).</w:t>
      </w:r>
    </w:p>
    <w:p w14:paraId="72399D4F" w14:textId="77777777" w:rsidR="009B00E4" w:rsidRDefault="009B00E4" w:rsidP="009E61CC">
      <w:pPr>
        <w:pStyle w:val="Answer1"/>
        <w:ind w:firstLine="0"/>
      </w:pPr>
      <w:r>
        <w:t>As for the practical reasons, service under the pre-requisite Schedule</w:t>
      </w:r>
      <w:r w:rsidR="00EC2F01">
        <w:t> </w:t>
      </w:r>
      <w:r>
        <w:t>40 requires all locations served on the same non-dedicated feeder to be served together.</w:t>
      </w:r>
      <w:r w:rsidR="00EC2F01">
        <w:t xml:space="preserve"> </w:t>
      </w:r>
      <w:r>
        <w:t xml:space="preserve">PSE does not propose to deviate from that standard for service that is moved from </w:t>
      </w:r>
      <w:r>
        <w:lastRenderedPageBreak/>
        <w:t>Schedule</w:t>
      </w:r>
      <w:r w:rsidR="00EC2F01">
        <w:t> </w:t>
      </w:r>
      <w:r>
        <w:t>40 to Schedule</w:t>
      </w:r>
      <w:r w:rsidR="00EC2F01">
        <w:t> </w:t>
      </w:r>
      <w:r>
        <w:t>451.</w:t>
      </w:r>
      <w:r w:rsidR="00EC2F01">
        <w:t xml:space="preserve"> </w:t>
      </w:r>
      <w:r>
        <w:t>Even if allowances were made to deviate from that practice for purposes of service under Schedule</w:t>
      </w:r>
      <w:r w:rsidR="00EC2F01">
        <w:t> </w:t>
      </w:r>
      <w:r>
        <w:t>451, it is administratively simple</w:t>
      </w:r>
      <w:r w:rsidR="00EC2F01">
        <w:t>r</w:t>
      </w:r>
      <w:r>
        <w:t xml:space="preserve"> and </w:t>
      </w:r>
      <w:r w:rsidR="00EC2F01">
        <w:t xml:space="preserve">more </w:t>
      </w:r>
      <w:r>
        <w:t>straight-forward to treat all loads within a campus (i.e., loads served off the same feeder) in the same manner, rather than having to manage their individua</w:t>
      </w:r>
      <w:r w:rsidR="00EC2F01">
        <w:t xml:space="preserve">l services distinctly. </w:t>
      </w:r>
      <w:r>
        <w:t>Specifically, it would be administratively more complicated to treat them as a single-load for delivery service, presumably under Schedule</w:t>
      </w:r>
      <w:r w:rsidR="00EC2F01">
        <w:t> </w:t>
      </w:r>
      <w:r>
        <w:t>40, but as disaggregated load for purposes of power supply and transmission service, presumably under some combination of Schedule</w:t>
      </w:r>
      <w:r w:rsidR="00EC2F01">
        <w:t> </w:t>
      </w:r>
      <w:r>
        <w:t>40 and Schedule</w:t>
      </w:r>
      <w:r w:rsidR="00EC2F01">
        <w:t> </w:t>
      </w:r>
      <w:r>
        <w:t>451. If approved, Schedule</w:t>
      </w:r>
      <w:r w:rsidR="00EC2F01">
        <w:t> </w:t>
      </w:r>
      <w:r>
        <w:t>451 would be challenging enough to administer as proposed.</w:t>
      </w:r>
      <w:r w:rsidR="00EC2F01">
        <w:t xml:space="preserve"> </w:t>
      </w:r>
      <w:r>
        <w:t>Allowing even more optionality within this existing framework would only add to PSE’s administrative burden associate</w:t>
      </w:r>
      <w:r w:rsidR="00EC2F01">
        <w:t>d with this new rate schedule.</w:t>
      </w:r>
    </w:p>
    <w:p w14:paraId="2754E200" w14:textId="77777777" w:rsidR="009B00E4" w:rsidRDefault="009B00E4" w:rsidP="009B00E4">
      <w:pPr>
        <w:pStyle w:val="question"/>
      </w:pPr>
      <w:r>
        <w:t>Q.</w:t>
      </w:r>
      <w:r>
        <w:tab/>
        <w:t>Why can new or newly acquired facilities and new separately metered loads owned or operated by the Schedule</w:t>
      </w:r>
      <w:r w:rsidR="00EC2F01">
        <w:t> </w:t>
      </w:r>
      <w:r>
        <w:t>451 customer or its affiliates become locations at which the Schedule</w:t>
      </w:r>
      <w:r w:rsidR="00EC2F01">
        <w:t> </w:t>
      </w:r>
      <w:r>
        <w:t>451 customer must take service under Schedule</w:t>
      </w:r>
      <w:r w:rsidR="00EC2F01">
        <w:t> </w:t>
      </w:r>
      <w:r>
        <w:t>451?</w:t>
      </w:r>
    </w:p>
    <w:p w14:paraId="7E6EEF0A" w14:textId="77777777" w:rsidR="009B00E4" w:rsidRDefault="009B00E4" w:rsidP="009B00E4">
      <w:pPr>
        <w:pStyle w:val="Answer1"/>
      </w:pPr>
      <w:r>
        <w:t>A.</w:t>
      </w:r>
      <w:r>
        <w:tab/>
        <w:t>This is simply an extension of the requirement that customers must take service under Schedule</w:t>
      </w:r>
      <w:r w:rsidR="00EC2F01">
        <w:t> </w:t>
      </w:r>
      <w:r>
        <w:t>451 for all loads at its locations served under Schedule</w:t>
      </w:r>
      <w:r w:rsidR="00EC2F01">
        <w:t> </w:t>
      </w:r>
      <w:r>
        <w:t>40.</w:t>
      </w:r>
      <w:r w:rsidR="00EC2F01">
        <w:t xml:space="preserve"> </w:t>
      </w:r>
      <w:r>
        <w:t>As new loads appear at the “campuses” being served under Schedule</w:t>
      </w:r>
      <w:r w:rsidR="00EC2F01">
        <w:t> </w:t>
      </w:r>
      <w:r>
        <w:t>451, they will automatically take se</w:t>
      </w:r>
      <w:r w:rsidR="00EC2F01">
        <w:t>rvice under the same schedule.</w:t>
      </w:r>
    </w:p>
    <w:p w14:paraId="00D5590F" w14:textId="77777777" w:rsidR="009B00E4" w:rsidRDefault="009B00E4" w:rsidP="009B00E4">
      <w:pPr>
        <w:pStyle w:val="question"/>
      </w:pPr>
      <w:r>
        <w:lastRenderedPageBreak/>
        <w:t>Q.</w:t>
      </w:r>
      <w:r>
        <w:tab/>
        <w:t>Please describe the process by which the new or newly acquired facilities and new separately metered loads owned or operated by the Schedule</w:t>
      </w:r>
      <w:r w:rsidR="00EC2F01">
        <w:t> </w:t>
      </w:r>
      <w:r>
        <w:t>451 customer or its affiliates become locations served under Schedule</w:t>
      </w:r>
      <w:r w:rsidR="00EC2F01">
        <w:t> </w:t>
      </w:r>
      <w:r>
        <w:t>451?</w:t>
      </w:r>
    </w:p>
    <w:p w14:paraId="13C642AF" w14:textId="77777777" w:rsidR="009B00E4" w:rsidRDefault="009B00E4" w:rsidP="009B00E4">
      <w:pPr>
        <w:pStyle w:val="Answer1"/>
      </w:pPr>
      <w:r>
        <w:t>A.</w:t>
      </w:r>
      <w:r>
        <w:tab/>
        <w:t>As is current practice under Schedule</w:t>
      </w:r>
      <w:r w:rsidR="00EC2F01">
        <w:t> </w:t>
      </w:r>
      <w:r>
        <w:t>40, when a new or newly acquired facility and new separately metered load owned or operated by the Schedule</w:t>
      </w:r>
      <w:r w:rsidR="00EC2F01">
        <w:t> </w:t>
      </w:r>
      <w:r>
        <w:t>40 customer or its affiliate begins to take service from PSE within the same “campus” under which it already receives Schedule</w:t>
      </w:r>
      <w:r w:rsidR="00EC2F01">
        <w:t> </w:t>
      </w:r>
      <w:r>
        <w:t>40 service, this new load automatically takes service under that schedule as part of its existing campus.</w:t>
      </w:r>
      <w:r w:rsidR="00EC2F01">
        <w:t xml:space="preserve"> </w:t>
      </w:r>
      <w:r>
        <w:t>PSE’s proposal would simply extend that existing practice under Schedule</w:t>
      </w:r>
      <w:r w:rsidR="00EC2F01">
        <w:t> </w:t>
      </w:r>
      <w:r>
        <w:t>40 to the load of customers that are served under Schedule</w:t>
      </w:r>
      <w:r w:rsidR="00EC2F01">
        <w:t> </w:t>
      </w:r>
      <w:r>
        <w:t>451.</w:t>
      </w:r>
    </w:p>
    <w:p w14:paraId="37F8E9D3" w14:textId="77777777" w:rsidR="009B00E4" w:rsidRDefault="009B00E4" w:rsidP="009E61CC">
      <w:pPr>
        <w:pStyle w:val="Heading1"/>
      </w:pPr>
      <w:bookmarkStart w:id="6" w:name="_Toc469420266"/>
      <w:r>
        <w:t>III.</w:t>
      </w:r>
      <w:r w:rsidR="009E61CC">
        <w:tab/>
      </w:r>
      <w:r>
        <w:t>SCHEDULE</w:t>
      </w:r>
      <w:r w:rsidR="00EC2F01">
        <w:t> </w:t>
      </w:r>
      <w:r>
        <w:t>451 IMPACT ON LOW-INCOME AND CONSERVATION PROGRAMS</w:t>
      </w:r>
      <w:bookmarkEnd w:id="6"/>
    </w:p>
    <w:p w14:paraId="632F161C" w14:textId="77777777" w:rsidR="009B00E4" w:rsidRDefault="009B00E4" w:rsidP="009B00E4">
      <w:pPr>
        <w:pStyle w:val="question"/>
      </w:pPr>
      <w:r>
        <w:t>Q.</w:t>
      </w:r>
      <w:r>
        <w:tab/>
        <w:t>Will customers served under Schedule</w:t>
      </w:r>
      <w:r w:rsidR="00EC2F01">
        <w:t> </w:t>
      </w:r>
      <w:r>
        <w:t>451 continue to contribute to PSE’s low-income and conservation programs?</w:t>
      </w:r>
    </w:p>
    <w:p w14:paraId="20701939" w14:textId="77777777" w:rsidR="009B00E4" w:rsidRDefault="00EC2F01" w:rsidP="009B00E4">
      <w:pPr>
        <w:pStyle w:val="Answer1"/>
      </w:pPr>
      <w:r>
        <w:t>A.</w:t>
      </w:r>
      <w:r>
        <w:tab/>
        <w:t xml:space="preserve">Yes. </w:t>
      </w:r>
      <w:r w:rsidR="009B00E4">
        <w:t xml:space="preserve">As stated in </w:t>
      </w:r>
      <w:r>
        <w:t>the Prefiled D</w:t>
      </w:r>
      <w:r w:rsidR="009B00E4">
        <w:t xml:space="preserve">irect </w:t>
      </w:r>
      <w:r>
        <w:t>T</w:t>
      </w:r>
      <w:r w:rsidR="009B00E4">
        <w:t>estimony</w:t>
      </w:r>
      <w:r>
        <w:t xml:space="preserve"> of Jon A. Piliaris</w:t>
      </w:r>
      <w:r w:rsidR="009B00E4">
        <w:t>, Exhibit No.</w:t>
      </w:r>
      <w:r>
        <w:t> </w:t>
      </w:r>
      <w:r w:rsidR="009B00E4">
        <w:t>___(JAP-1CT), customers served under Schedule</w:t>
      </w:r>
      <w:r>
        <w:t> </w:t>
      </w:r>
      <w:r w:rsidR="009B00E4">
        <w:t xml:space="preserve">451 will continue to contribute to </w:t>
      </w:r>
      <w:r>
        <w:t xml:space="preserve">(i) PSE’s </w:t>
      </w:r>
      <w:r w:rsidR="009B00E4">
        <w:t>conservation program</w:t>
      </w:r>
      <w:r>
        <w:t xml:space="preserve"> </w:t>
      </w:r>
      <w:r w:rsidR="00F93019">
        <w:t xml:space="preserve">for electric customers </w:t>
      </w:r>
      <w:r w:rsidR="009B00E4">
        <w:t>through rates charged under Schedule</w:t>
      </w:r>
      <w:r>
        <w:t> </w:t>
      </w:r>
      <w:r w:rsidR="009B00E4">
        <w:t>120</w:t>
      </w:r>
      <w:r>
        <w:t xml:space="preserve"> </w:t>
      </w:r>
      <w:r w:rsidR="009B00E4">
        <w:t xml:space="preserve">and </w:t>
      </w:r>
      <w:r>
        <w:t xml:space="preserve">(ii) PSE’s </w:t>
      </w:r>
      <w:r w:rsidR="009B00E4">
        <w:t>low-income program</w:t>
      </w:r>
      <w:r>
        <w:t xml:space="preserve"> </w:t>
      </w:r>
      <w:r w:rsidR="00F93019">
        <w:t xml:space="preserve">for electric customers </w:t>
      </w:r>
      <w:r w:rsidR="009B00E4">
        <w:t>through rat</w:t>
      </w:r>
      <w:r>
        <w:t>es charged under Schedule 129.</w:t>
      </w:r>
    </w:p>
    <w:p w14:paraId="07846C83" w14:textId="77777777" w:rsidR="009B00E4" w:rsidRDefault="009B00E4" w:rsidP="009B00E4">
      <w:pPr>
        <w:pStyle w:val="question"/>
      </w:pPr>
      <w:r>
        <w:lastRenderedPageBreak/>
        <w:t>Q.</w:t>
      </w:r>
      <w:r>
        <w:tab/>
        <w:t>Will customers served under Schedule</w:t>
      </w:r>
      <w:r w:rsidR="00390438">
        <w:t> </w:t>
      </w:r>
      <w:r>
        <w:t>451 contribute the same amount into these programs as they would have under Schedule</w:t>
      </w:r>
      <w:r w:rsidR="00390438">
        <w:t> </w:t>
      </w:r>
      <w:r>
        <w:t>40?</w:t>
      </w:r>
    </w:p>
    <w:p w14:paraId="7E439808" w14:textId="77777777" w:rsidR="009B00E4" w:rsidRDefault="009B00E4" w:rsidP="009B00E4">
      <w:pPr>
        <w:pStyle w:val="Answer1"/>
      </w:pPr>
      <w:r>
        <w:t>A.</w:t>
      </w:r>
      <w:r>
        <w:tab/>
        <w:t xml:space="preserve">No. </w:t>
      </w:r>
      <w:r w:rsidR="00390438">
        <w:t>A</w:t>
      </w:r>
      <w:r>
        <w:t xml:space="preserve">s stated in </w:t>
      </w:r>
      <w:r w:rsidR="00390438">
        <w:t xml:space="preserve">the </w:t>
      </w:r>
      <w:r>
        <w:t xml:space="preserve">prefiled direct testimony, PSE’s proposal in this proceeding is that </w:t>
      </w:r>
      <w:r w:rsidR="00390438">
        <w:t xml:space="preserve">Schedule 451 </w:t>
      </w:r>
      <w:r>
        <w:t>customers will pay a rate within Schedule</w:t>
      </w:r>
      <w:r w:rsidR="00390438">
        <w:t> </w:t>
      </w:r>
      <w:r>
        <w:t>120 tied to the rate paid by customers currently served under Schedule</w:t>
      </w:r>
      <w:r w:rsidR="00390438">
        <w:t xml:space="preserve"> 449 (Retail Wheeling Service). </w:t>
      </w:r>
      <w:r>
        <w:t>The rate currently paid by Schedule</w:t>
      </w:r>
      <w:r w:rsidR="00390438">
        <w:t> </w:t>
      </w:r>
      <w:r>
        <w:t>449 customers under Schedule</w:t>
      </w:r>
      <w:r w:rsidR="00390438">
        <w:t> </w:t>
      </w:r>
      <w:r>
        <w:t>120 is $0.001082 per kWh, versus the $0.004220 per kWh paid by customers served at distribution voltage under Schedule</w:t>
      </w:r>
      <w:r w:rsidR="00390438">
        <w:t> 40.</w:t>
      </w:r>
    </w:p>
    <w:p w14:paraId="022C5ED3" w14:textId="77777777" w:rsidR="009B00E4" w:rsidRDefault="009B00E4" w:rsidP="009E61CC">
      <w:pPr>
        <w:pStyle w:val="Answer1"/>
        <w:ind w:firstLine="0"/>
      </w:pPr>
      <w:r>
        <w:t>Also, as stated in earlier testimony, PSE’s proposal in this proceeding is that the rate paid under Schedule</w:t>
      </w:r>
      <w:r w:rsidR="00390438">
        <w:t> </w:t>
      </w:r>
      <w:r>
        <w:t xml:space="preserve">129 by </w:t>
      </w:r>
      <w:r w:rsidR="00390438">
        <w:t xml:space="preserve">Schedule 451 </w:t>
      </w:r>
      <w:r>
        <w:t>customers will ultimately flow directly from the current methodology approved for this schedule</w:t>
      </w:r>
      <w:r w:rsidR="00390438">
        <w:t xml:space="preserve">. Thus, </w:t>
      </w:r>
      <w:r>
        <w:t>the overall program costs allocated to PSE’s electric customers will be allocated to Schedule</w:t>
      </w:r>
      <w:r w:rsidR="00390438">
        <w:t> </w:t>
      </w:r>
      <w:r>
        <w:t xml:space="preserve">451 </w:t>
      </w:r>
      <w:r w:rsidR="00390438">
        <w:t xml:space="preserve">customers </w:t>
      </w:r>
      <w:r>
        <w:t xml:space="preserve">on the basis of their relative contribution </w:t>
      </w:r>
      <w:r w:rsidR="00390438">
        <w:t>to total base electric revenue.</w:t>
      </w:r>
      <w:r>
        <w:t xml:space="preserve"> In the interim, Schedule</w:t>
      </w:r>
      <w:r w:rsidR="00390438">
        <w:t> </w:t>
      </w:r>
      <w:r>
        <w:t xml:space="preserve">451 </w:t>
      </w:r>
      <w:r w:rsidR="00390438">
        <w:t xml:space="preserve">customers would </w:t>
      </w:r>
      <w:r>
        <w:t>continue to pay a rate under Schedule</w:t>
      </w:r>
      <w:r w:rsidR="00390438">
        <w:t> </w:t>
      </w:r>
      <w:r>
        <w:t>129 that is tied to service under Schedule</w:t>
      </w:r>
      <w:r w:rsidR="00390438">
        <w:t xml:space="preserve"> 40. PSE </w:t>
      </w:r>
      <w:r>
        <w:t>expect</w:t>
      </w:r>
      <w:r w:rsidR="00390438">
        <w:t>s</w:t>
      </w:r>
      <w:r>
        <w:t xml:space="preserve"> that the Schedule</w:t>
      </w:r>
      <w:r w:rsidR="00390438">
        <w:t> </w:t>
      </w:r>
      <w:r>
        <w:t>129 rate paid by Schedule</w:t>
      </w:r>
      <w:r w:rsidR="00390438">
        <w:t> </w:t>
      </w:r>
      <w:r>
        <w:t xml:space="preserve">451 </w:t>
      </w:r>
      <w:r w:rsidR="00390438">
        <w:t xml:space="preserve">customers </w:t>
      </w:r>
      <w:r>
        <w:t xml:space="preserve">will subsequently decline once their rate reflects the removal of </w:t>
      </w:r>
      <w:r w:rsidR="00390438">
        <w:t xml:space="preserve">the </w:t>
      </w:r>
      <w:r>
        <w:t>power cost revenue embedded in the Schedule</w:t>
      </w:r>
      <w:r w:rsidR="00390438">
        <w:t> </w:t>
      </w:r>
      <w:r>
        <w:t>40</w:t>
      </w:r>
      <w:r w:rsidR="00390438" w:rsidRPr="00390438">
        <w:t xml:space="preserve"> </w:t>
      </w:r>
      <w:r w:rsidR="00390438">
        <w:t xml:space="preserve">rates. At this time, it </w:t>
      </w:r>
      <w:r>
        <w:t xml:space="preserve">is too early to tell </w:t>
      </w:r>
      <w:r w:rsidR="00390438">
        <w:t xml:space="preserve">the magnitude of the resulting </w:t>
      </w:r>
      <w:r>
        <w:t xml:space="preserve">rate reduction to </w:t>
      </w:r>
      <w:r w:rsidR="00390438">
        <w:t xml:space="preserve">Schedule 451 </w:t>
      </w:r>
      <w:r>
        <w:t xml:space="preserve">customers, but </w:t>
      </w:r>
      <w:r w:rsidR="00390438">
        <w:t xml:space="preserve">PSE expects the </w:t>
      </w:r>
      <w:r>
        <w:t xml:space="preserve">rate </w:t>
      </w:r>
      <w:r w:rsidR="00390438">
        <w:t xml:space="preserve">to </w:t>
      </w:r>
      <w:r>
        <w:t>be lower.</w:t>
      </w:r>
    </w:p>
    <w:p w14:paraId="7B3E7820" w14:textId="77777777" w:rsidR="009B00E4" w:rsidRDefault="009B00E4" w:rsidP="009B00E4">
      <w:pPr>
        <w:pStyle w:val="question"/>
      </w:pPr>
      <w:r>
        <w:lastRenderedPageBreak/>
        <w:t>Q.</w:t>
      </w:r>
      <w:r>
        <w:tab/>
        <w:t xml:space="preserve">Will the overall funding for these programs be </w:t>
      </w:r>
      <w:r w:rsidR="00390438">
        <w:t xml:space="preserve">affected </w:t>
      </w:r>
      <w:r>
        <w:t>due to the smaller amount of funding from customers switching their service to Schedule</w:t>
      </w:r>
      <w:r w:rsidR="00390438">
        <w:t> </w:t>
      </w:r>
      <w:r>
        <w:t>451?</w:t>
      </w:r>
    </w:p>
    <w:p w14:paraId="26935BAA" w14:textId="5918ECFE" w:rsidR="009B00E4" w:rsidRDefault="009B00E4" w:rsidP="009B00E4">
      <w:pPr>
        <w:pStyle w:val="Answer1"/>
      </w:pPr>
      <w:r>
        <w:t>A.</w:t>
      </w:r>
      <w:r>
        <w:tab/>
        <w:t xml:space="preserve">No, </w:t>
      </w:r>
      <w:r w:rsidR="00390438">
        <w:t xml:space="preserve">the overall funding for these programs should not be directly affected due to the smaller amount of funding from customers switching their service to Schedule 451. </w:t>
      </w:r>
      <w:r>
        <w:t xml:space="preserve">PSE is still required to acquire </w:t>
      </w:r>
      <w:r w:rsidR="00F93019" w:rsidRPr="00F93019">
        <w:t>the amount of conservation that the Commission approves as the Biennial Conservation Target</w:t>
      </w:r>
      <w:r w:rsidR="00F93019">
        <w:t xml:space="preserve"> </w:t>
      </w:r>
      <w:r>
        <w:t>and will continue to be bound by its existing commitments t</w:t>
      </w:r>
      <w:r w:rsidR="00390438">
        <w:t xml:space="preserve">o fund its low-income program. </w:t>
      </w:r>
      <w:r>
        <w:t xml:space="preserve">Less funding from </w:t>
      </w:r>
      <w:r w:rsidR="00390438">
        <w:t xml:space="preserve">Schedule 451 </w:t>
      </w:r>
      <w:r>
        <w:t xml:space="preserve">customers simply means that other customers will pay slightly more </w:t>
      </w:r>
      <w:r w:rsidR="0045180C">
        <w:t>of these program costs as a result.</w:t>
      </w:r>
    </w:p>
    <w:p w14:paraId="7E3052B5" w14:textId="7BB361F6" w:rsidR="009B00E4" w:rsidRDefault="009B00E4" w:rsidP="003D6F2E">
      <w:pPr>
        <w:pStyle w:val="question"/>
      </w:pPr>
      <w:r>
        <w:t>Q.</w:t>
      </w:r>
      <w:r>
        <w:tab/>
        <w:t xml:space="preserve">Will customers </w:t>
      </w:r>
      <w:r w:rsidR="0045180C">
        <w:t xml:space="preserve">other than Schedule 451 customers </w:t>
      </w:r>
      <w:r>
        <w:t>then be paying more for service?</w:t>
      </w:r>
    </w:p>
    <w:p w14:paraId="1EE1F4AC" w14:textId="77777777" w:rsidR="009B00E4" w:rsidRDefault="009B00E4" w:rsidP="009B00E4">
      <w:pPr>
        <w:pStyle w:val="Answer1"/>
      </w:pPr>
      <w:r>
        <w:t>A.</w:t>
      </w:r>
      <w:r>
        <w:tab/>
      </w:r>
      <w:r w:rsidR="0045180C">
        <w:t xml:space="preserve">Not necessarily. </w:t>
      </w:r>
      <w:r>
        <w:t xml:space="preserve">In the context of conservation, lower funding by </w:t>
      </w:r>
      <w:r w:rsidR="0045180C">
        <w:t xml:space="preserve">Schedule 451 </w:t>
      </w:r>
      <w:r>
        <w:t>customers may also be accompanied by lower program participation by these customers</w:t>
      </w:r>
      <w:r w:rsidR="0045180C">
        <w:t xml:space="preserve">. In other words, </w:t>
      </w:r>
      <w:r>
        <w:t xml:space="preserve">other customers would </w:t>
      </w:r>
      <w:r w:rsidR="0045180C">
        <w:t>likely be participating more. It is not unreasonable</w:t>
      </w:r>
      <w:r>
        <w:t xml:space="preserve"> to expect that customers that participate more heavily in these programs should pay more for that participation.</w:t>
      </w:r>
    </w:p>
    <w:p w14:paraId="5D743B2E" w14:textId="543DEB78" w:rsidR="009B00E4" w:rsidRDefault="009B00E4" w:rsidP="009E61CC">
      <w:pPr>
        <w:pStyle w:val="Answer1"/>
        <w:ind w:firstLine="0"/>
      </w:pPr>
      <w:r>
        <w:t>Insofar as the low-income program is concerned, the appropriate level of relative funding contribution</w:t>
      </w:r>
      <w:r w:rsidR="0045180C">
        <w:t xml:space="preserve"> is primarily a policy choice. By definition, Schedule 451 customers are large and sophisticated </w:t>
      </w:r>
      <w:r>
        <w:t xml:space="preserve">customers </w:t>
      </w:r>
      <w:r w:rsidR="0045180C">
        <w:t xml:space="preserve">and do not and </w:t>
      </w:r>
      <w:r>
        <w:t>will not directly participate in</w:t>
      </w:r>
      <w:r w:rsidR="0045180C">
        <w:t xml:space="preserve"> PSE’s low-income program. </w:t>
      </w:r>
      <w:r>
        <w:t xml:space="preserve">Moreover, </w:t>
      </w:r>
      <w:r w:rsidR="0045180C">
        <w:t xml:space="preserve">PSE’s proposal does not treat Schedule 451 </w:t>
      </w:r>
      <w:r>
        <w:t xml:space="preserve">customers </w:t>
      </w:r>
      <w:r w:rsidR="0045180C">
        <w:t xml:space="preserve">any different than the similarly situated </w:t>
      </w:r>
      <w:r>
        <w:t>Schedule</w:t>
      </w:r>
      <w:r w:rsidR="0045180C">
        <w:t> </w:t>
      </w:r>
      <w:r>
        <w:t xml:space="preserve">449 </w:t>
      </w:r>
      <w:r w:rsidR="0045180C">
        <w:t xml:space="preserve">customers with respect to the low-income program. Future </w:t>
      </w:r>
      <w:r w:rsidR="0045180C">
        <w:lastRenderedPageBreak/>
        <w:t xml:space="preserve">Schedule 451 customers, like current Schedule 449 customers, will </w:t>
      </w:r>
      <w:r>
        <w:t xml:space="preserve">contribute into the </w:t>
      </w:r>
      <w:r w:rsidR="0045180C">
        <w:t xml:space="preserve">low-income </w:t>
      </w:r>
      <w:r>
        <w:t>program on the basis of their revenue paid to PSE, which excludes power</w:t>
      </w:r>
      <w:r w:rsidR="0045180C">
        <w:t xml:space="preserve"> supply. </w:t>
      </w:r>
      <w:r>
        <w:t xml:space="preserve">It would seem reasonable to assume that if it is appropriate for </w:t>
      </w:r>
      <w:r w:rsidR="0045180C">
        <w:t xml:space="preserve">Schedule 449 </w:t>
      </w:r>
      <w:r>
        <w:t>customers to contribute to the low-income program in proportion to their non-power related revenue, it would be appropriate for customers served under Schedule</w:t>
      </w:r>
      <w:r w:rsidR="000549B3">
        <w:t> 451 to do the same.</w:t>
      </w:r>
    </w:p>
    <w:p w14:paraId="4F0F459A" w14:textId="77777777" w:rsidR="009B00E4" w:rsidRDefault="00E71CB3" w:rsidP="009E61CC">
      <w:pPr>
        <w:pStyle w:val="Heading1"/>
      </w:pPr>
      <w:bookmarkStart w:id="7" w:name="_Toc469420267"/>
      <w:r>
        <w:t>I</w:t>
      </w:r>
      <w:r w:rsidR="009B00E4">
        <w:t>V.</w:t>
      </w:r>
      <w:r w:rsidR="009E61CC">
        <w:tab/>
      </w:r>
      <w:r w:rsidR="009B00E4">
        <w:t>CONCLUSION</w:t>
      </w:r>
      <w:bookmarkEnd w:id="7"/>
    </w:p>
    <w:p w14:paraId="17EE0262" w14:textId="77777777" w:rsidR="009B00E4" w:rsidRDefault="009B00E4" w:rsidP="003D6F2E">
      <w:pPr>
        <w:pStyle w:val="question"/>
      </w:pPr>
      <w:r>
        <w:t>Q.</w:t>
      </w:r>
      <w:r>
        <w:tab/>
        <w:t xml:space="preserve">Does this conclude your </w:t>
      </w:r>
      <w:r w:rsidR="009E61CC">
        <w:t xml:space="preserve">prefiled </w:t>
      </w:r>
      <w:r>
        <w:t xml:space="preserve">supplemental </w:t>
      </w:r>
      <w:r w:rsidR="009E61CC">
        <w:t xml:space="preserve">direct </w:t>
      </w:r>
      <w:r>
        <w:t>testimony?</w:t>
      </w:r>
    </w:p>
    <w:p w14:paraId="20DE307C" w14:textId="77777777" w:rsidR="009B00E4" w:rsidRDefault="003D6F2E" w:rsidP="00DC180B">
      <w:pPr>
        <w:pStyle w:val="Answer1"/>
      </w:pPr>
      <w:r>
        <w:t>A.</w:t>
      </w:r>
      <w:r>
        <w:tab/>
        <w:t>Yes it does.</w:t>
      </w:r>
    </w:p>
    <w:sectPr w:rsidR="009B00E4" w:rsidSect="003915B2">
      <w:footerReference w:type="default" r:id="rId17"/>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865DF" w14:textId="77777777" w:rsidR="00F73220" w:rsidRDefault="00F73220">
      <w:r>
        <w:separator/>
      </w:r>
    </w:p>
  </w:endnote>
  <w:endnote w:type="continuationSeparator" w:id="0">
    <w:p w14:paraId="0970C253" w14:textId="77777777" w:rsidR="00F73220" w:rsidRDefault="00F73220">
      <w:r>
        <w:continuationSeparator/>
      </w:r>
    </w:p>
  </w:endnote>
  <w:endnote w:type="continuationNotice" w:id="1">
    <w:p w14:paraId="15D9140D" w14:textId="77777777" w:rsidR="00F73220" w:rsidRDefault="00F732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40A1" w14:textId="77777777" w:rsidR="00E71CB3" w:rsidRDefault="00E71C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FE4869" w14:textId="77777777" w:rsidR="00E71CB3" w:rsidRDefault="00E71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22046" w14:textId="77777777" w:rsidR="00E71CB3" w:rsidRDefault="00E71CB3" w:rsidP="002C2AAC">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DDFD7" w14:textId="77777777" w:rsidR="00E71CB3" w:rsidRDefault="00E71CB3">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14:paraId="03911540" w14:textId="77777777" w:rsidR="00E71CB3" w:rsidRDefault="00E71CB3">
    <w:pPr>
      <w:pStyle w:val="Footer"/>
      <w:tabs>
        <w:tab w:val="clear" w:pos="4507"/>
        <w:tab w:val="clear" w:pos="9000"/>
        <w:tab w:val="right" w:pos="8640"/>
      </w:tabs>
      <w:spacing w:line="240" w:lineRule="auto"/>
      <w:ind w:left="-630" w:right="0" w:hanging="4"/>
      <w:rPr>
        <w:sz w:val="10"/>
      </w:rPr>
    </w:pPr>
  </w:p>
  <w:p w14:paraId="6FE8D911" w14:textId="77777777" w:rsidR="00E71CB3" w:rsidRDefault="00E71CB3">
    <w:pPr>
      <w:pStyle w:val="Footer"/>
      <w:tabs>
        <w:tab w:val="clear" w:pos="4507"/>
        <w:tab w:val="clear" w:pos="9000"/>
        <w:tab w:val="right" w:pos="8640"/>
      </w:tabs>
      <w:ind w:left="-630" w:hanging="4"/>
    </w:pPr>
    <w:r>
      <w:t>Prefiled Direct Testimony of</w:t>
    </w:r>
    <w:r>
      <w:tab/>
      <w:t>Exhibit No. ___()</w:t>
    </w:r>
  </w:p>
  <w:p w14:paraId="52DC5072" w14:textId="77777777" w:rsidR="00E71CB3" w:rsidRDefault="00E71CB3">
    <w:pPr>
      <w:pStyle w:val="Footer"/>
      <w:tabs>
        <w:tab w:val="clear" w:pos="4507"/>
        <w:tab w:val="clear" w:pos="9000"/>
        <w:tab w:val="right" w:pos="8640"/>
      </w:tabs>
      <w:ind w:left="-630" w:hanging="4"/>
    </w:pP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A039D" w14:textId="77777777" w:rsidR="00E71CB3" w:rsidRDefault="00E71CB3">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7469868F" w14:textId="77777777" w:rsidR="00E71CB3" w:rsidRDefault="00E71CB3">
    <w:pPr>
      <w:pStyle w:val="Footer"/>
      <w:tabs>
        <w:tab w:val="clear" w:pos="4507"/>
        <w:tab w:val="clear" w:pos="9000"/>
        <w:tab w:val="right" w:pos="8640"/>
      </w:tabs>
      <w:spacing w:line="240" w:lineRule="auto"/>
      <w:ind w:right="0" w:hanging="4"/>
      <w:rPr>
        <w:sz w:val="10"/>
      </w:rPr>
    </w:pPr>
  </w:p>
  <w:p w14:paraId="0F5C04B4" w14:textId="77777777" w:rsidR="00E71CB3" w:rsidRDefault="00E71CB3">
    <w:pPr>
      <w:pStyle w:val="Footer"/>
      <w:tabs>
        <w:tab w:val="clear" w:pos="4507"/>
        <w:tab w:val="clear" w:pos="9000"/>
        <w:tab w:val="right" w:pos="8640"/>
      </w:tabs>
      <w:ind w:hanging="4"/>
    </w:pPr>
    <w:r>
      <w:t>Prefiled Supplemental Direct Testimony</w:t>
    </w:r>
    <w:r>
      <w:tab/>
      <w:t>Exhibit No. ___(JAP-6T)</w:t>
    </w:r>
  </w:p>
  <w:p w14:paraId="582D1E51" w14:textId="77777777" w:rsidR="00E71CB3" w:rsidRDefault="00E71CB3" w:rsidP="00D01EF4">
    <w:pPr>
      <w:pStyle w:val="Footer"/>
      <w:tabs>
        <w:tab w:val="clear" w:pos="4507"/>
        <w:tab w:val="clear" w:pos="9000"/>
        <w:tab w:val="right" w:pos="8640"/>
      </w:tabs>
      <w:ind w:hanging="4"/>
      <w:rPr>
        <w:rStyle w:val="PageNumber"/>
      </w:rPr>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sidR="00AF6091">
      <w:rPr>
        <w:rStyle w:val="PageNumber"/>
        <w:noProof/>
      </w:rPr>
      <w:t>i</w:t>
    </w:r>
    <w:r>
      <w:rPr>
        <w:rStyle w:val="PageNumber"/>
      </w:rPr>
      <w:fldChar w:fldCharType="end"/>
    </w:r>
    <w:r>
      <w:rPr>
        <w:rStyle w:val="PageNumber"/>
      </w:rPr>
      <w:t xml:space="preserve"> of </w:t>
    </w:r>
    <w: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F30E6" w14:textId="77777777" w:rsidR="00E71CB3" w:rsidRDefault="00E71CB3">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14:paraId="5F93A90A" w14:textId="77777777" w:rsidR="00E71CB3" w:rsidRDefault="00E71CB3">
    <w:pPr>
      <w:pStyle w:val="Footer"/>
      <w:tabs>
        <w:tab w:val="clear" w:pos="4507"/>
        <w:tab w:val="clear" w:pos="9000"/>
        <w:tab w:val="right" w:pos="8640"/>
      </w:tabs>
      <w:spacing w:line="240" w:lineRule="auto"/>
      <w:ind w:left="-630" w:right="0" w:hanging="4"/>
      <w:rPr>
        <w:sz w:val="10"/>
      </w:rPr>
    </w:pPr>
  </w:p>
  <w:p w14:paraId="3EC8DB65" w14:textId="77777777" w:rsidR="00E71CB3" w:rsidRDefault="00E71CB3">
    <w:pPr>
      <w:pStyle w:val="Footer"/>
      <w:tabs>
        <w:tab w:val="clear" w:pos="4507"/>
        <w:tab w:val="clear" w:pos="9000"/>
        <w:tab w:val="right" w:pos="8640"/>
      </w:tabs>
      <w:ind w:left="-630" w:hanging="4"/>
    </w:pPr>
    <w:r>
      <w:t>Prefiled Direct Testimony of</w:t>
    </w:r>
    <w:r>
      <w:tab/>
      <w:t>Exhibit No. ___(JD-1CT)</w:t>
    </w:r>
  </w:p>
  <w:p w14:paraId="3A9587B6" w14:textId="77777777" w:rsidR="00E71CB3" w:rsidRDefault="00E71CB3">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36A3C" w14:textId="77777777" w:rsidR="00E71CB3" w:rsidRDefault="00E71CB3">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08FF3AEB" w14:textId="77777777" w:rsidR="00E71CB3" w:rsidRDefault="00E71CB3">
    <w:pPr>
      <w:pStyle w:val="Footer"/>
      <w:tabs>
        <w:tab w:val="clear" w:pos="4507"/>
        <w:tab w:val="clear" w:pos="9000"/>
        <w:tab w:val="right" w:pos="8640"/>
      </w:tabs>
      <w:spacing w:line="240" w:lineRule="auto"/>
      <w:ind w:right="0" w:hanging="4"/>
      <w:rPr>
        <w:sz w:val="10"/>
      </w:rPr>
    </w:pPr>
  </w:p>
  <w:p w14:paraId="428408E9" w14:textId="77777777" w:rsidR="00E71CB3" w:rsidRDefault="00E71CB3">
    <w:pPr>
      <w:pStyle w:val="Footer"/>
      <w:tabs>
        <w:tab w:val="clear" w:pos="4507"/>
        <w:tab w:val="clear" w:pos="9000"/>
        <w:tab w:val="right" w:pos="8640"/>
      </w:tabs>
      <w:ind w:hanging="4"/>
    </w:pPr>
    <w:r>
      <w:t>Prefiled Supplemental Direct Testimony</w:t>
    </w:r>
    <w:r>
      <w:tab/>
      <w:t>Exhibit No. ___(JAP-6T)</w:t>
    </w:r>
  </w:p>
  <w:p w14:paraId="5E56ADAE" w14:textId="77777777" w:rsidR="00E71CB3" w:rsidRDefault="00E71CB3" w:rsidP="00536047">
    <w:pPr>
      <w:pStyle w:val="Footer"/>
      <w:tabs>
        <w:tab w:val="clear" w:pos="4507"/>
        <w:tab w:val="clear" w:pos="9000"/>
        <w:tab w:val="right" w:pos="8640"/>
      </w:tabs>
      <w:ind w:hanging="4"/>
      <w:rPr>
        <w:rStyle w:val="PageNumber"/>
      </w:rPr>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sidR="00AF609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SECTIONPAGEs</w:instrText>
    </w:r>
    <w:r>
      <w:rPr>
        <w:rStyle w:val="PageNumber"/>
      </w:rPr>
      <w:fldChar w:fldCharType="separate"/>
    </w:r>
    <w:r w:rsidR="00AF6091">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9445F" w14:textId="77777777" w:rsidR="00F73220" w:rsidRDefault="00F73220" w:rsidP="00536047">
      <w:pPr>
        <w:spacing w:line="240" w:lineRule="auto"/>
        <w:ind w:firstLine="0"/>
      </w:pPr>
      <w:r>
        <w:separator/>
      </w:r>
    </w:p>
  </w:footnote>
  <w:footnote w:type="continuationSeparator" w:id="0">
    <w:p w14:paraId="506AEF89" w14:textId="77777777" w:rsidR="00F73220" w:rsidRDefault="00F73220" w:rsidP="00536047">
      <w:pPr>
        <w:spacing w:line="240" w:lineRule="auto"/>
        <w:ind w:firstLine="0"/>
      </w:pPr>
      <w:r>
        <w:continuationSeparator/>
      </w:r>
    </w:p>
  </w:footnote>
  <w:footnote w:type="continuationNotice" w:id="1">
    <w:p w14:paraId="515DFE7E" w14:textId="77777777" w:rsidR="00F73220" w:rsidRDefault="00F73220" w:rsidP="00536047">
      <w:pPr>
        <w:spacing w:line="240" w:lineRule="auto"/>
        <w:ind w:firstLine="0"/>
      </w:pPr>
    </w:p>
  </w:footnote>
  <w:footnote w:id="2">
    <w:p w14:paraId="06F6D872" w14:textId="77777777" w:rsidR="00E71CB3" w:rsidRDefault="00E71CB3" w:rsidP="00E42BAB">
      <w:pPr>
        <w:pStyle w:val="FootnoteText"/>
        <w:spacing w:before="0" w:line="240" w:lineRule="auto"/>
        <w:ind w:firstLine="360"/>
      </w:pPr>
      <w:r>
        <w:rPr>
          <w:rStyle w:val="FootnoteReference"/>
        </w:rPr>
        <w:footnoteRef/>
      </w:r>
      <w:r>
        <w:tab/>
      </w:r>
      <w:r w:rsidRPr="00E71CB3">
        <w:rPr>
          <w:i/>
          <w:sz w:val="20"/>
        </w:rPr>
        <w:t>Promoting Wholesale Competition Through Open Access Non-Discriminatory Transmission Services by Public Utilities; Recovery of Stranded Costs by Public Utilities and Transmitting Utilities</w:t>
      </w:r>
      <w:r w:rsidRPr="00E71CB3">
        <w:rPr>
          <w:sz w:val="20"/>
        </w:rPr>
        <w:t>, Order No. 888, FERC Stats. &amp; Regs. (CCH) ¶31,036 at 31,770, 61 Fed. Reg. 21,540 (1996) (codified at 18 C.F.R. §§ 35, 38) (“Order 888”)</w:t>
      </w:r>
    </w:p>
  </w:footnote>
  <w:footnote w:id="3">
    <w:p w14:paraId="46DA4742" w14:textId="77777777" w:rsidR="00E71CB3" w:rsidRDefault="00E71CB3" w:rsidP="00E42BAB">
      <w:pPr>
        <w:pStyle w:val="FootnoteText"/>
        <w:spacing w:before="0" w:line="240" w:lineRule="auto"/>
        <w:ind w:firstLine="360"/>
      </w:pPr>
      <w:r>
        <w:rPr>
          <w:rStyle w:val="FootnoteReference"/>
        </w:rPr>
        <w:footnoteRef/>
      </w:r>
      <w:r>
        <w:tab/>
      </w:r>
      <w:r w:rsidRPr="00E71CB3">
        <w:rPr>
          <w:i/>
          <w:sz w:val="20"/>
        </w:rPr>
        <w:t>See generally id</w:t>
      </w:r>
      <w:r w:rsidRPr="00E71CB3">
        <w:rPr>
          <w:sz w:val="20"/>
        </w:rPr>
        <w:t>. Unbundled transmission service means transmission service that is separated from the supply of electricity and the distribution of electricity. Thus, the transmission charge only includes charges for the transmission function, not the electric generation or distribution functions.</w:t>
      </w:r>
    </w:p>
  </w:footnote>
  <w:footnote w:id="4">
    <w:p w14:paraId="3EEC9182" w14:textId="77777777" w:rsidR="00E71CB3" w:rsidRDefault="00E71CB3" w:rsidP="007701B8">
      <w:pPr>
        <w:pStyle w:val="FootnoteText"/>
        <w:spacing w:before="0" w:line="240" w:lineRule="auto"/>
        <w:ind w:firstLine="360"/>
      </w:pPr>
      <w:r>
        <w:rPr>
          <w:rStyle w:val="FootnoteReference"/>
        </w:rPr>
        <w:footnoteRef/>
      </w:r>
      <w:r>
        <w:tab/>
      </w:r>
      <w:r w:rsidRPr="00E71CB3">
        <w:rPr>
          <w:i/>
          <w:sz w:val="20"/>
        </w:rPr>
        <w:t>See id.</w:t>
      </w:r>
      <w:r w:rsidRPr="00E71CB3">
        <w:rPr>
          <w:sz w:val="20"/>
        </w:rPr>
        <w:t xml:space="preserve"> at 31,780-81.</w:t>
      </w:r>
    </w:p>
  </w:footnote>
  <w:footnote w:id="5">
    <w:p w14:paraId="1496FC99" w14:textId="77777777" w:rsidR="00E71CB3" w:rsidRPr="00E71CB3" w:rsidRDefault="00E71CB3" w:rsidP="007701B8">
      <w:pPr>
        <w:pStyle w:val="FootnoteText"/>
        <w:spacing w:before="0" w:line="240" w:lineRule="auto"/>
        <w:ind w:firstLine="360"/>
        <w:rPr>
          <w:sz w:val="20"/>
        </w:rPr>
      </w:pPr>
      <w:r>
        <w:rPr>
          <w:rStyle w:val="FootnoteReference"/>
        </w:rPr>
        <w:footnoteRef/>
      </w:r>
      <w:r>
        <w:tab/>
      </w:r>
      <w:r w:rsidRPr="00E71CB3">
        <w:rPr>
          <w:i/>
          <w:sz w:val="20"/>
        </w:rPr>
        <w:t>Id.</w:t>
      </w:r>
      <w:r w:rsidRPr="00E71CB3">
        <w:rPr>
          <w:sz w:val="20"/>
        </w:rPr>
        <w:t xml:space="preserve"> at 31,781.</w:t>
      </w:r>
    </w:p>
  </w:footnote>
  <w:footnote w:id="6">
    <w:p w14:paraId="7F654149" w14:textId="77777777" w:rsidR="00E71CB3" w:rsidRPr="00E71CB3" w:rsidRDefault="00E71CB3" w:rsidP="00942AE5">
      <w:pPr>
        <w:pStyle w:val="FootnoteText"/>
        <w:spacing w:before="0" w:line="240" w:lineRule="auto"/>
        <w:ind w:firstLine="360"/>
        <w:rPr>
          <w:sz w:val="20"/>
        </w:rPr>
      </w:pPr>
      <w:r>
        <w:rPr>
          <w:rStyle w:val="FootnoteReference"/>
        </w:rPr>
        <w:footnoteRef/>
      </w:r>
      <w:r>
        <w:tab/>
      </w:r>
      <w:r w:rsidRPr="00E71CB3">
        <w:rPr>
          <w:i/>
          <w:sz w:val="20"/>
        </w:rPr>
        <w:t>See, e.g., WUTC v. Northwest Natural Gas Co.,</w:t>
      </w:r>
      <w:r w:rsidRPr="00E71CB3">
        <w:rPr>
          <w:sz w:val="20"/>
        </w:rPr>
        <w:t xml:space="preserve"> Dockets UG-080519 &amp; UG-080530 (consolidated), Order 04 (Initial Order Rejecting Tariff and Accounting Petition) at ¶ 17 (Oct. 14, 2008) (recognizing that “the Commission’s power in this regard, as in any other, is defined by and limited to the authority and responsibility delegated to it by law. When, as here, the Commission is asked to place its legal imprimatur upon a program by authorizing it as a tariff service of an investor-owned utility, it may do so only if the Legislature has empowered it to do so.”)</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68733" w14:textId="079E4E0D" w:rsidR="00E71CB3" w:rsidRDefault="00E71CB3">
    <w:pPr>
      <w:pStyle w:val="Header"/>
    </w:pPr>
    <w:r>
      <w:rPr>
        <w:rStyle w:val="PageNumber"/>
      </w:rPr>
      <w:fldChar w:fldCharType="begin"/>
    </w:r>
    <w:r>
      <w:rPr>
        <w:rStyle w:val="PageNumber"/>
      </w:rPr>
      <w:instrText xml:space="preserve"> NUMPAGES </w:instrText>
    </w:r>
    <w:r>
      <w:rPr>
        <w:rStyle w:val="PageNumber"/>
      </w:rPr>
      <w:fldChar w:fldCharType="separate"/>
    </w:r>
    <w:r w:rsidR="00785D96">
      <w:rPr>
        <w:rStyle w:val="PageNumber"/>
        <w:noProof/>
      </w:rPr>
      <w:t>16</w:t>
    </w:r>
    <w:r>
      <w:rPr>
        <w:rStyle w:val="PageNumber"/>
      </w:rPr>
      <w:fldChar w:fldCharType="end"/>
    </w: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46BA4" w14:textId="77777777" w:rsidR="00E71CB3" w:rsidRPr="00A7797F" w:rsidRDefault="00E71CB3" w:rsidP="00554008">
    <w:pPr>
      <w:pStyle w:val="Header"/>
      <w:jc w:val="right"/>
    </w:pPr>
    <w:r>
      <w:rPr>
        <w:noProof/>
        <w:lang w:eastAsia="en-US"/>
      </w:rPr>
      <mc:AlternateContent>
        <mc:Choice Requires="wps">
          <w:drawing>
            <wp:anchor distT="0" distB="0" distL="114298" distR="114298" simplePos="0" relativeHeight="251657728" behindDoc="0" locked="0" layoutInCell="1" allowOverlap="1" wp14:anchorId="27E208DA" wp14:editId="257A65D8">
              <wp:simplePos x="0" y="0"/>
              <wp:positionH relativeFrom="column">
                <wp:posOffset>-177166</wp:posOffset>
              </wp:positionH>
              <wp:positionV relativeFrom="paragraph">
                <wp:posOffset>93980</wp:posOffset>
              </wp:positionV>
              <wp:extent cx="0" cy="9296400"/>
              <wp:effectExtent l="19050" t="0" r="190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96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7.4pt" to="-13.95pt,7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JLGgIAADQEAAAOAAAAZHJzL2Uyb0RvYy54bWysU02P2jAQvVfqf7B8hyRsSi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7E2A5" w14:textId="77777777" w:rsidR="00E71CB3" w:rsidRDefault="00E71CB3">
    <w:pPr>
      <w:pStyle w:val="Header"/>
      <w:jc w:val="right"/>
      <w:rPr>
        <w:b/>
        <w:i/>
      </w:rPr>
    </w:pPr>
    <w:r>
      <w:rPr>
        <w:b/>
        <w:i/>
        <w:color w:val="FF0000"/>
        <w:sz w:val="20"/>
      </w:rPr>
      <w:t>CONFIDENTIAL ATTORNEY-CLIENT PRIVILEGED/ATTORNEY WORK PRODUCT</w:t>
    </w:r>
  </w:p>
  <w:p w14:paraId="58BEC72E" w14:textId="77777777" w:rsidR="00E71CB3" w:rsidRDefault="00E71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24141"/>
    <w:multiLevelType w:val="multilevel"/>
    <w:tmpl w:val="4CFCBF54"/>
    <w:lvl w:ilvl="0">
      <w:start w:val="4"/>
      <w:numFmt w:val="decimal"/>
      <w:lvlText w:val="%1"/>
      <w:lvlJc w:val="left"/>
      <w:pPr>
        <w:tabs>
          <w:tab w:val="num" w:pos="720"/>
        </w:tabs>
        <w:ind w:left="720" w:hanging="720"/>
      </w:pPr>
      <w:rPr>
        <w:rFonts w:hint="default"/>
        <w:u w:val="none"/>
      </w:rPr>
    </w:lvl>
    <w:lvl w:ilvl="1">
      <w:start w:val="1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nsid w:val="049163BC"/>
    <w:multiLevelType w:val="hybridMultilevel"/>
    <w:tmpl w:val="E592B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6E76A27"/>
    <w:multiLevelType w:val="hybridMultilevel"/>
    <w:tmpl w:val="52C6E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7EF0C27"/>
    <w:multiLevelType w:val="hybridMultilevel"/>
    <w:tmpl w:val="53069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BD7728E"/>
    <w:multiLevelType w:val="multilevel"/>
    <w:tmpl w:val="59D0E8CA"/>
    <w:lvl w:ilvl="0">
      <w:start w:val="4"/>
      <w:numFmt w:val="decimal"/>
      <w:lvlText w:val="%1"/>
      <w:lvlJc w:val="left"/>
      <w:pPr>
        <w:tabs>
          <w:tab w:val="num" w:pos="720"/>
        </w:tabs>
        <w:ind w:left="720" w:hanging="720"/>
      </w:pPr>
      <w:rPr>
        <w:rFonts w:hint="default"/>
        <w:u w:val="none"/>
      </w:rPr>
    </w:lvl>
    <w:lvl w:ilvl="1">
      <w:start w:val="6"/>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8">
    <w:nsid w:val="1F496CF8"/>
    <w:multiLevelType w:val="hybridMultilevel"/>
    <w:tmpl w:val="FA984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F5B1731"/>
    <w:multiLevelType w:val="hybridMultilevel"/>
    <w:tmpl w:val="DF66E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EA28C1"/>
    <w:multiLevelType w:val="hybridMultilevel"/>
    <w:tmpl w:val="C434AA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E25F73"/>
    <w:multiLevelType w:val="hybridMultilevel"/>
    <w:tmpl w:val="EE083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A50B1B"/>
    <w:multiLevelType w:val="hybridMultilevel"/>
    <w:tmpl w:val="EC96FDB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0FD6E32"/>
    <w:multiLevelType w:val="multilevel"/>
    <w:tmpl w:val="8CE6C4D0"/>
    <w:lvl w:ilvl="0">
      <w:start w:val="4"/>
      <w:numFmt w:val="decimal"/>
      <w:lvlText w:val="%1"/>
      <w:lvlJc w:val="left"/>
      <w:pPr>
        <w:tabs>
          <w:tab w:val="num" w:pos="720"/>
        </w:tabs>
        <w:ind w:left="720" w:hanging="720"/>
      </w:pPr>
      <w:rPr>
        <w:rFonts w:hint="default"/>
        <w:u w:val="none"/>
      </w:rPr>
    </w:lvl>
    <w:lvl w:ilvl="1">
      <w:start w:val="2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nsid w:val="51AE591C"/>
    <w:multiLevelType w:val="hybridMultilevel"/>
    <w:tmpl w:val="B8E82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6204E45"/>
    <w:multiLevelType w:val="hybridMultilevel"/>
    <w:tmpl w:val="694E5A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2">
    <w:nsid w:val="5EE96479"/>
    <w:multiLevelType w:val="hybridMultilevel"/>
    <w:tmpl w:val="6142B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4">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6">
    <w:nsid w:val="68A72F23"/>
    <w:multiLevelType w:val="hybridMultilevel"/>
    <w:tmpl w:val="503EB63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8">
    <w:nsid w:val="6F6A0B77"/>
    <w:multiLevelType w:val="hybridMultilevel"/>
    <w:tmpl w:val="781C3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1C3278A"/>
    <w:multiLevelType w:val="hybridMultilevel"/>
    <w:tmpl w:val="41E418A8"/>
    <w:lvl w:ilvl="0" w:tplc="C06A561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7703EA"/>
    <w:multiLevelType w:val="hybridMultilevel"/>
    <w:tmpl w:val="15B4041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1">
    <w:nsid w:val="794C2E53"/>
    <w:multiLevelType w:val="hybridMultilevel"/>
    <w:tmpl w:val="C51C4ECE"/>
    <w:lvl w:ilvl="0" w:tplc="4268EB14">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4"/>
  </w:num>
  <w:num w:numId="2">
    <w:abstractNumId w:val="12"/>
  </w:num>
  <w:num w:numId="3">
    <w:abstractNumId w:val="35"/>
  </w:num>
  <w:num w:numId="4">
    <w:abstractNumId w:val="25"/>
  </w:num>
  <w:num w:numId="5">
    <w:abstractNumId w:val="31"/>
  </w:num>
  <w:num w:numId="6">
    <w:abstractNumId w:val="33"/>
  </w:num>
  <w:num w:numId="7">
    <w:abstractNumId w:val="37"/>
  </w:num>
  <w:num w:numId="8">
    <w:abstractNumId w:val="26"/>
  </w:num>
  <w:num w:numId="9">
    <w:abstractNumId w:val="42"/>
  </w:num>
  <w:num w:numId="10">
    <w:abstractNumId w:val="27"/>
  </w:num>
  <w:num w:numId="11">
    <w:abstractNumId w:val="30"/>
  </w:num>
  <w:num w:numId="12">
    <w:abstractNumId w:val="17"/>
  </w:num>
  <w:num w:numId="13">
    <w:abstractNumId w:val="16"/>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0"/>
  </w:num>
  <w:num w:numId="27">
    <w:abstractNumId w:val="24"/>
  </w:num>
  <w:num w:numId="28">
    <w:abstractNumId w:val="39"/>
  </w:num>
  <w:num w:numId="29">
    <w:abstractNumId w:val="20"/>
  </w:num>
  <w:num w:numId="30">
    <w:abstractNumId w:val="22"/>
  </w:num>
  <w:num w:numId="31">
    <w:abstractNumId w:val="36"/>
  </w:num>
  <w:num w:numId="32">
    <w:abstractNumId w:val="41"/>
  </w:num>
  <w:num w:numId="33">
    <w:abstractNumId w:val="32"/>
  </w:num>
  <w:num w:numId="34">
    <w:abstractNumId w:val="21"/>
  </w:num>
  <w:num w:numId="35">
    <w:abstractNumId w:val="19"/>
  </w:num>
  <w:num w:numId="36">
    <w:abstractNumId w:val="11"/>
  </w:num>
  <w:num w:numId="37">
    <w:abstractNumId w:val="29"/>
  </w:num>
  <w:num w:numId="38">
    <w:abstractNumId w:val="38"/>
  </w:num>
  <w:num w:numId="39">
    <w:abstractNumId w:val="40"/>
  </w:num>
  <w:num w:numId="40">
    <w:abstractNumId w:val="13"/>
  </w:num>
  <w:num w:numId="41">
    <w:abstractNumId w:val="18"/>
  </w:num>
  <w:num w:numId="42">
    <w:abstractNumId w:val="14"/>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99"/>
    <w:rsid w:val="00003553"/>
    <w:rsid w:val="00011916"/>
    <w:rsid w:val="00014150"/>
    <w:rsid w:val="0001594E"/>
    <w:rsid w:val="00020DF1"/>
    <w:rsid w:val="000213E1"/>
    <w:rsid w:val="0002198E"/>
    <w:rsid w:val="00023F76"/>
    <w:rsid w:val="000246A1"/>
    <w:rsid w:val="0002605B"/>
    <w:rsid w:val="000270D8"/>
    <w:rsid w:val="00027726"/>
    <w:rsid w:val="00032205"/>
    <w:rsid w:val="00033D44"/>
    <w:rsid w:val="0003506A"/>
    <w:rsid w:val="00035A0A"/>
    <w:rsid w:val="00042485"/>
    <w:rsid w:val="00045FFB"/>
    <w:rsid w:val="0005055F"/>
    <w:rsid w:val="00051AFA"/>
    <w:rsid w:val="0005318A"/>
    <w:rsid w:val="000541E5"/>
    <w:rsid w:val="000549B3"/>
    <w:rsid w:val="00054C22"/>
    <w:rsid w:val="0005638E"/>
    <w:rsid w:val="00057760"/>
    <w:rsid w:val="000610EC"/>
    <w:rsid w:val="00062490"/>
    <w:rsid w:val="00062E5A"/>
    <w:rsid w:val="00062F3A"/>
    <w:rsid w:val="000631A5"/>
    <w:rsid w:val="000639A1"/>
    <w:rsid w:val="00064E0B"/>
    <w:rsid w:val="000664DB"/>
    <w:rsid w:val="0006731B"/>
    <w:rsid w:val="000700BC"/>
    <w:rsid w:val="0007379C"/>
    <w:rsid w:val="00074309"/>
    <w:rsid w:val="00074C85"/>
    <w:rsid w:val="00084B40"/>
    <w:rsid w:val="000954EA"/>
    <w:rsid w:val="000955F6"/>
    <w:rsid w:val="00097183"/>
    <w:rsid w:val="000A17FD"/>
    <w:rsid w:val="000A4B21"/>
    <w:rsid w:val="000B3CAC"/>
    <w:rsid w:val="000B63D4"/>
    <w:rsid w:val="000B7E8D"/>
    <w:rsid w:val="000B7EE4"/>
    <w:rsid w:val="000C11D9"/>
    <w:rsid w:val="000C2B5B"/>
    <w:rsid w:val="000C3B14"/>
    <w:rsid w:val="000C3EA9"/>
    <w:rsid w:val="000C5739"/>
    <w:rsid w:val="000C63FC"/>
    <w:rsid w:val="000D29CE"/>
    <w:rsid w:val="000D33E9"/>
    <w:rsid w:val="000D43A2"/>
    <w:rsid w:val="000D4806"/>
    <w:rsid w:val="000D51AA"/>
    <w:rsid w:val="000D5308"/>
    <w:rsid w:val="000D6DB6"/>
    <w:rsid w:val="000D7090"/>
    <w:rsid w:val="000E1438"/>
    <w:rsid w:val="000F405C"/>
    <w:rsid w:val="000F4BC5"/>
    <w:rsid w:val="0010102F"/>
    <w:rsid w:val="00101ED1"/>
    <w:rsid w:val="00104B8B"/>
    <w:rsid w:val="00105335"/>
    <w:rsid w:val="00105542"/>
    <w:rsid w:val="00105B4D"/>
    <w:rsid w:val="001068A9"/>
    <w:rsid w:val="0011133F"/>
    <w:rsid w:val="0011454B"/>
    <w:rsid w:val="0011740A"/>
    <w:rsid w:val="00117BA3"/>
    <w:rsid w:val="001223A5"/>
    <w:rsid w:val="001226B4"/>
    <w:rsid w:val="00133063"/>
    <w:rsid w:val="00137259"/>
    <w:rsid w:val="0014010E"/>
    <w:rsid w:val="001408EC"/>
    <w:rsid w:val="00153324"/>
    <w:rsid w:val="00153E3D"/>
    <w:rsid w:val="001633AB"/>
    <w:rsid w:val="001659EE"/>
    <w:rsid w:val="00167B5B"/>
    <w:rsid w:val="0017138D"/>
    <w:rsid w:val="00181590"/>
    <w:rsid w:val="00190279"/>
    <w:rsid w:val="001924C8"/>
    <w:rsid w:val="00193411"/>
    <w:rsid w:val="00194743"/>
    <w:rsid w:val="001948AE"/>
    <w:rsid w:val="001A3A93"/>
    <w:rsid w:val="001A3C41"/>
    <w:rsid w:val="001B0302"/>
    <w:rsid w:val="001B128F"/>
    <w:rsid w:val="001B5401"/>
    <w:rsid w:val="001C17AF"/>
    <w:rsid w:val="001C239C"/>
    <w:rsid w:val="001C28D8"/>
    <w:rsid w:val="001C386D"/>
    <w:rsid w:val="001C4BB5"/>
    <w:rsid w:val="001C513D"/>
    <w:rsid w:val="001C6F73"/>
    <w:rsid w:val="001C7699"/>
    <w:rsid w:val="001D2668"/>
    <w:rsid w:val="001D31F8"/>
    <w:rsid w:val="001D3D88"/>
    <w:rsid w:val="001D408B"/>
    <w:rsid w:val="001D7BBA"/>
    <w:rsid w:val="001E0930"/>
    <w:rsid w:val="001E49CA"/>
    <w:rsid w:val="001E71F5"/>
    <w:rsid w:val="001F072A"/>
    <w:rsid w:val="001F1207"/>
    <w:rsid w:val="002032DD"/>
    <w:rsid w:val="00215D21"/>
    <w:rsid w:val="00217A17"/>
    <w:rsid w:val="00221842"/>
    <w:rsid w:val="00221C03"/>
    <w:rsid w:val="00223543"/>
    <w:rsid w:val="002246F6"/>
    <w:rsid w:val="00224B42"/>
    <w:rsid w:val="0022642D"/>
    <w:rsid w:val="00230601"/>
    <w:rsid w:val="00230697"/>
    <w:rsid w:val="0023677D"/>
    <w:rsid w:val="002374B1"/>
    <w:rsid w:val="00237A7D"/>
    <w:rsid w:val="002430A9"/>
    <w:rsid w:val="002441DC"/>
    <w:rsid w:val="0024470B"/>
    <w:rsid w:val="00244D48"/>
    <w:rsid w:val="00251887"/>
    <w:rsid w:val="00251AFE"/>
    <w:rsid w:val="00252141"/>
    <w:rsid w:val="00253AB5"/>
    <w:rsid w:val="00256231"/>
    <w:rsid w:val="00256B53"/>
    <w:rsid w:val="00257BD5"/>
    <w:rsid w:val="0026071A"/>
    <w:rsid w:val="00262870"/>
    <w:rsid w:val="002644FB"/>
    <w:rsid w:val="00265D7F"/>
    <w:rsid w:val="00266AC4"/>
    <w:rsid w:val="00270559"/>
    <w:rsid w:val="00273447"/>
    <w:rsid w:val="00276250"/>
    <w:rsid w:val="00277294"/>
    <w:rsid w:val="00284C81"/>
    <w:rsid w:val="00286281"/>
    <w:rsid w:val="00292184"/>
    <w:rsid w:val="00292E53"/>
    <w:rsid w:val="0029410D"/>
    <w:rsid w:val="00294B37"/>
    <w:rsid w:val="0029640B"/>
    <w:rsid w:val="00297E83"/>
    <w:rsid w:val="002A1FC1"/>
    <w:rsid w:val="002A530D"/>
    <w:rsid w:val="002B05C3"/>
    <w:rsid w:val="002B13C0"/>
    <w:rsid w:val="002B19E0"/>
    <w:rsid w:val="002B1E81"/>
    <w:rsid w:val="002B3028"/>
    <w:rsid w:val="002B5C8F"/>
    <w:rsid w:val="002B7B26"/>
    <w:rsid w:val="002C28B2"/>
    <w:rsid w:val="002C2AAC"/>
    <w:rsid w:val="002C473F"/>
    <w:rsid w:val="002C4A3A"/>
    <w:rsid w:val="002C75AF"/>
    <w:rsid w:val="002D1D24"/>
    <w:rsid w:val="002D4747"/>
    <w:rsid w:val="002D5294"/>
    <w:rsid w:val="002D6A77"/>
    <w:rsid w:val="002D6F1A"/>
    <w:rsid w:val="002E08AF"/>
    <w:rsid w:val="002E3708"/>
    <w:rsid w:val="002E3AE7"/>
    <w:rsid w:val="002E3E4C"/>
    <w:rsid w:val="002E5799"/>
    <w:rsid w:val="002E6E1E"/>
    <w:rsid w:val="002F0722"/>
    <w:rsid w:val="002F1505"/>
    <w:rsid w:val="002F3D5B"/>
    <w:rsid w:val="002F4ECD"/>
    <w:rsid w:val="002F648B"/>
    <w:rsid w:val="002F6A28"/>
    <w:rsid w:val="003001FA"/>
    <w:rsid w:val="003006E3"/>
    <w:rsid w:val="0030115F"/>
    <w:rsid w:val="00302422"/>
    <w:rsid w:val="003032B4"/>
    <w:rsid w:val="0030414B"/>
    <w:rsid w:val="00304FCB"/>
    <w:rsid w:val="0030619A"/>
    <w:rsid w:val="00323A11"/>
    <w:rsid w:val="00325E93"/>
    <w:rsid w:val="00330488"/>
    <w:rsid w:val="00333654"/>
    <w:rsid w:val="0033383E"/>
    <w:rsid w:val="003378A5"/>
    <w:rsid w:val="00342995"/>
    <w:rsid w:val="00346026"/>
    <w:rsid w:val="00352BCF"/>
    <w:rsid w:val="003530CD"/>
    <w:rsid w:val="00353E1D"/>
    <w:rsid w:val="00354FE9"/>
    <w:rsid w:val="00356441"/>
    <w:rsid w:val="00357315"/>
    <w:rsid w:val="003578BC"/>
    <w:rsid w:val="00357F3A"/>
    <w:rsid w:val="003608C4"/>
    <w:rsid w:val="00360E42"/>
    <w:rsid w:val="00361F32"/>
    <w:rsid w:val="0036208A"/>
    <w:rsid w:val="00364132"/>
    <w:rsid w:val="00365FA6"/>
    <w:rsid w:val="003672C4"/>
    <w:rsid w:val="00367EA6"/>
    <w:rsid w:val="003718C5"/>
    <w:rsid w:val="003738E9"/>
    <w:rsid w:val="003743B3"/>
    <w:rsid w:val="00376BFC"/>
    <w:rsid w:val="00381557"/>
    <w:rsid w:val="00386CDF"/>
    <w:rsid w:val="003878E1"/>
    <w:rsid w:val="00390438"/>
    <w:rsid w:val="003915B2"/>
    <w:rsid w:val="003A13CB"/>
    <w:rsid w:val="003A3A29"/>
    <w:rsid w:val="003A3A80"/>
    <w:rsid w:val="003A51DD"/>
    <w:rsid w:val="003B21C9"/>
    <w:rsid w:val="003B28DB"/>
    <w:rsid w:val="003B4565"/>
    <w:rsid w:val="003B505D"/>
    <w:rsid w:val="003C0D7B"/>
    <w:rsid w:val="003C4C91"/>
    <w:rsid w:val="003C4DC4"/>
    <w:rsid w:val="003C59BF"/>
    <w:rsid w:val="003C6321"/>
    <w:rsid w:val="003C6DE4"/>
    <w:rsid w:val="003D2C09"/>
    <w:rsid w:val="003D2CB0"/>
    <w:rsid w:val="003D2ED0"/>
    <w:rsid w:val="003D6F2E"/>
    <w:rsid w:val="003D7DD9"/>
    <w:rsid w:val="003D7F06"/>
    <w:rsid w:val="003E06E4"/>
    <w:rsid w:val="003E4B4A"/>
    <w:rsid w:val="003E4C15"/>
    <w:rsid w:val="003E7829"/>
    <w:rsid w:val="003E7B8B"/>
    <w:rsid w:val="003F323A"/>
    <w:rsid w:val="003F4AB0"/>
    <w:rsid w:val="003F5224"/>
    <w:rsid w:val="00400C32"/>
    <w:rsid w:val="004020DE"/>
    <w:rsid w:val="004023F6"/>
    <w:rsid w:val="00404BD2"/>
    <w:rsid w:val="004066EF"/>
    <w:rsid w:val="00411755"/>
    <w:rsid w:val="00413025"/>
    <w:rsid w:val="00413EB3"/>
    <w:rsid w:val="00414909"/>
    <w:rsid w:val="004165A9"/>
    <w:rsid w:val="004210AD"/>
    <w:rsid w:val="00421536"/>
    <w:rsid w:val="004253D1"/>
    <w:rsid w:val="00426824"/>
    <w:rsid w:val="00430328"/>
    <w:rsid w:val="00430472"/>
    <w:rsid w:val="00430935"/>
    <w:rsid w:val="00433F6B"/>
    <w:rsid w:val="00435894"/>
    <w:rsid w:val="00440AB0"/>
    <w:rsid w:val="0044113E"/>
    <w:rsid w:val="00446C9D"/>
    <w:rsid w:val="00446D6B"/>
    <w:rsid w:val="004476E0"/>
    <w:rsid w:val="0045094D"/>
    <w:rsid w:val="0045180C"/>
    <w:rsid w:val="00453424"/>
    <w:rsid w:val="00463BB1"/>
    <w:rsid w:val="004750C6"/>
    <w:rsid w:val="00482C48"/>
    <w:rsid w:val="00485569"/>
    <w:rsid w:val="004876C7"/>
    <w:rsid w:val="00487ACE"/>
    <w:rsid w:val="00493183"/>
    <w:rsid w:val="004959FF"/>
    <w:rsid w:val="00496DEB"/>
    <w:rsid w:val="004A0ED2"/>
    <w:rsid w:val="004A43CF"/>
    <w:rsid w:val="004A483E"/>
    <w:rsid w:val="004A503C"/>
    <w:rsid w:val="004A514B"/>
    <w:rsid w:val="004A5989"/>
    <w:rsid w:val="004B1DA2"/>
    <w:rsid w:val="004B1FE1"/>
    <w:rsid w:val="004B33D8"/>
    <w:rsid w:val="004B34F1"/>
    <w:rsid w:val="004B3CBA"/>
    <w:rsid w:val="004C006B"/>
    <w:rsid w:val="004C18B5"/>
    <w:rsid w:val="004C4A55"/>
    <w:rsid w:val="004C51CD"/>
    <w:rsid w:val="004C6B75"/>
    <w:rsid w:val="004D036D"/>
    <w:rsid w:val="004D0A94"/>
    <w:rsid w:val="004D0BF2"/>
    <w:rsid w:val="004D0DA3"/>
    <w:rsid w:val="004D1357"/>
    <w:rsid w:val="004D3416"/>
    <w:rsid w:val="004D5BDB"/>
    <w:rsid w:val="004E5BA7"/>
    <w:rsid w:val="004F1438"/>
    <w:rsid w:val="004F2B0F"/>
    <w:rsid w:val="004F73B4"/>
    <w:rsid w:val="005024FA"/>
    <w:rsid w:val="00504E3E"/>
    <w:rsid w:val="00505ADB"/>
    <w:rsid w:val="00506A4D"/>
    <w:rsid w:val="00510E30"/>
    <w:rsid w:val="00510EAA"/>
    <w:rsid w:val="00511BD4"/>
    <w:rsid w:val="00514028"/>
    <w:rsid w:val="00516EE4"/>
    <w:rsid w:val="00523D81"/>
    <w:rsid w:val="0052514D"/>
    <w:rsid w:val="00525B05"/>
    <w:rsid w:val="0052649D"/>
    <w:rsid w:val="005271FF"/>
    <w:rsid w:val="00530DDD"/>
    <w:rsid w:val="00531E42"/>
    <w:rsid w:val="00532A36"/>
    <w:rsid w:val="00535284"/>
    <w:rsid w:val="00535D8F"/>
    <w:rsid w:val="00536047"/>
    <w:rsid w:val="00536BC8"/>
    <w:rsid w:val="005414F5"/>
    <w:rsid w:val="00541FA6"/>
    <w:rsid w:val="005428C2"/>
    <w:rsid w:val="005445AF"/>
    <w:rsid w:val="00546B07"/>
    <w:rsid w:val="0055251B"/>
    <w:rsid w:val="0055395B"/>
    <w:rsid w:val="00553F59"/>
    <w:rsid w:val="00554008"/>
    <w:rsid w:val="005601FB"/>
    <w:rsid w:val="00563779"/>
    <w:rsid w:val="005674A7"/>
    <w:rsid w:val="0057296E"/>
    <w:rsid w:val="00572B9D"/>
    <w:rsid w:val="00575062"/>
    <w:rsid w:val="00575931"/>
    <w:rsid w:val="00577BCD"/>
    <w:rsid w:val="00581CE8"/>
    <w:rsid w:val="0058559D"/>
    <w:rsid w:val="00590584"/>
    <w:rsid w:val="00590AA7"/>
    <w:rsid w:val="005944B6"/>
    <w:rsid w:val="00594C0D"/>
    <w:rsid w:val="00596CBD"/>
    <w:rsid w:val="005A0609"/>
    <w:rsid w:val="005A27FA"/>
    <w:rsid w:val="005A2ACB"/>
    <w:rsid w:val="005A5134"/>
    <w:rsid w:val="005A5744"/>
    <w:rsid w:val="005A6F38"/>
    <w:rsid w:val="005A7B8C"/>
    <w:rsid w:val="005B0B1B"/>
    <w:rsid w:val="005B1055"/>
    <w:rsid w:val="005B4EA7"/>
    <w:rsid w:val="005B4EBF"/>
    <w:rsid w:val="005C4D19"/>
    <w:rsid w:val="005D288A"/>
    <w:rsid w:val="005D3DD9"/>
    <w:rsid w:val="005D60C5"/>
    <w:rsid w:val="005D6B37"/>
    <w:rsid w:val="005D6FF8"/>
    <w:rsid w:val="005D7E07"/>
    <w:rsid w:val="005E203C"/>
    <w:rsid w:val="005E261C"/>
    <w:rsid w:val="005E2929"/>
    <w:rsid w:val="005E498F"/>
    <w:rsid w:val="005E75E0"/>
    <w:rsid w:val="005F1B2F"/>
    <w:rsid w:val="005F2C1F"/>
    <w:rsid w:val="005F3560"/>
    <w:rsid w:val="005F5DB3"/>
    <w:rsid w:val="00600914"/>
    <w:rsid w:val="00600F21"/>
    <w:rsid w:val="00602266"/>
    <w:rsid w:val="006044E1"/>
    <w:rsid w:val="006051EF"/>
    <w:rsid w:val="00605871"/>
    <w:rsid w:val="006075D3"/>
    <w:rsid w:val="006144CC"/>
    <w:rsid w:val="00622BBA"/>
    <w:rsid w:val="00622E83"/>
    <w:rsid w:val="006233AE"/>
    <w:rsid w:val="00623AD4"/>
    <w:rsid w:val="00623F8B"/>
    <w:rsid w:val="0062436A"/>
    <w:rsid w:val="006253D1"/>
    <w:rsid w:val="00625498"/>
    <w:rsid w:val="006269EE"/>
    <w:rsid w:val="0062703A"/>
    <w:rsid w:val="00631E17"/>
    <w:rsid w:val="00632464"/>
    <w:rsid w:val="00632879"/>
    <w:rsid w:val="00633E15"/>
    <w:rsid w:val="00635152"/>
    <w:rsid w:val="00635297"/>
    <w:rsid w:val="00636EB3"/>
    <w:rsid w:val="006378AF"/>
    <w:rsid w:val="00640992"/>
    <w:rsid w:val="0064182C"/>
    <w:rsid w:val="00643EA0"/>
    <w:rsid w:val="006451DE"/>
    <w:rsid w:val="006469B4"/>
    <w:rsid w:val="0065154D"/>
    <w:rsid w:val="00651A7B"/>
    <w:rsid w:val="00652F57"/>
    <w:rsid w:val="00653431"/>
    <w:rsid w:val="00660A41"/>
    <w:rsid w:val="00662366"/>
    <w:rsid w:val="006668C8"/>
    <w:rsid w:val="00666A77"/>
    <w:rsid w:val="00667B6D"/>
    <w:rsid w:val="0067059E"/>
    <w:rsid w:val="006712A5"/>
    <w:rsid w:val="00672DB2"/>
    <w:rsid w:val="00674325"/>
    <w:rsid w:val="00675F56"/>
    <w:rsid w:val="00677D43"/>
    <w:rsid w:val="006847CD"/>
    <w:rsid w:val="00690DCB"/>
    <w:rsid w:val="00693F8C"/>
    <w:rsid w:val="00695125"/>
    <w:rsid w:val="00696E0C"/>
    <w:rsid w:val="006978B2"/>
    <w:rsid w:val="006979DD"/>
    <w:rsid w:val="006A3714"/>
    <w:rsid w:val="006A5F51"/>
    <w:rsid w:val="006A6FAC"/>
    <w:rsid w:val="006A72A6"/>
    <w:rsid w:val="006B00AC"/>
    <w:rsid w:val="006B0458"/>
    <w:rsid w:val="006B08C9"/>
    <w:rsid w:val="006B6E32"/>
    <w:rsid w:val="006B7508"/>
    <w:rsid w:val="006B7AFF"/>
    <w:rsid w:val="006C4356"/>
    <w:rsid w:val="006C62E3"/>
    <w:rsid w:val="006C6C12"/>
    <w:rsid w:val="006C746E"/>
    <w:rsid w:val="006D1B2C"/>
    <w:rsid w:val="006D20E7"/>
    <w:rsid w:val="006D29D7"/>
    <w:rsid w:val="006D5365"/>
    <w:rsid w:val="006D68C1"/>
    <w:rsid w:val="006D788B"/>
    <w:rsid w:val="006E1EF9"/>
    <w:rsid w:val="006E45BB"/>
    <w:rsid w:val="006E77F5"/>
    <w:rsid w:val="006E782A"/>
    <w:rsid w:val="006F0FF9"/>
    <w:rsid w:val="006F4CE0"/>
    <w:rsid w:val="006F730C"/>
    <w:rsid w:val="00700AD3"/>
    <w:rsid w:val="007029CC"/>
    <w:rsid w:val="00704FDB"/>
    <w:rsid w:val="00710048"/>
    <w:rsid w:val="00710987"/>
    <w:rsid w:val="00711823"/>
    <w:rsid w:val="00713C77"/>
    <w:rsid w:val="007153C9"/>
    <w:rsid w:val="00720299"/>
    <w:rsid w:val="00721558"/>
    <w:rsid w:val="00721F05"/>
    <w:rsid w:val="00724F5E"/>
    <w:rsid w:val="00725699"/>
    <w:rsid w:val="0073653D"/>
    <w:rsid w:val="00737BE0"/>
    <w:rsid w:val="007406BC"/>
    <w:rsid w:val="00740D18"/>
    <w:rsid w:val="007411B9"/>
    <w:rsid w:val="007446A9"/>
    <w:rsid w:val="0074713D"/>
    <w:rsid w:val="0075471B"/>
    <w:rsid w:val="0075602C"/>
    <w:rsid w:val="00760513"/>
    <w:rsid w:val="007609A0"/>
    <w:rsid w:val="00761B99"/>
    <w:rsid w:val="00763A4C"/>
    <w:rsid w:val="00765BF0"/>
    <w:rsid w:val="00767A92"/>
    <w:rsid w:val="007701B8"/>
    <w:rsid w:val="00771D1C"/>
    <w:rsid w:val="00774041"/>
    <w:rsid w:val="0077675D"/>
    <w:rsid w:val="007827A8"/>
    <w:rsid w:val="00782F3F"/>
    <w:rsid w:val="00785189"/>
    <w:rsid w:val="00785D96"/>
    <w:rsid w:val="00785F20"/>
    <w:rsid w:val="00792B56"/>
    <w:rsid w:val="007948C6"/>
    <w:rsid w:val="00794C59"/>
    <w:rsid w:val="007969EF"/>
    <w:rsid w:val="007A0751"/>
    <w:rsid w:val="007A29CA"/>
    <w:rsid w:val="007A33B9"/>
    <w:rsid w:val="007A39D7"/>
    <w:rsid w:val="007A5C81"/>
    <w:rsid w:val="007B2645"/>
    <w:rsid w:val="007B5289"/>
    <w:rsid w:val="007C0377"/>
    <w:rsid w:val="007C0FAB"/>
    <w:rsid w:val="007C151C"/>
    <w:rsid w:val="007C1F81"/>
    <w:rsid w:val="007C5849"/>
    <w:rsid w:val="007C7096"/>
    <w:rsid w:val="007D0934"/>
    <w:rsid w:val="007D262D"/>
    <w:rsid w:val="007D4312"/>
    <w:rsid w:val="007D7FC7"/>
    <w:rsid w:val="007E1CA2"/>
    <w:rsid w:val="007E23CF"/>
    <w:rsid w:val="007E42ED"/>
    <w:rsid w:val="007E72E4"/>
    <w:rsid w:val="007F345F"/>
    <w:rsid w:val="007F433D"/>
    <w:rsid w:val="007F450B"/>
    <w:rsid w:val="007F779D"/>
    <w:rsid w:val="0080248D"/>
    <w:rsid w:val="008033BB"/>
    <w:rsid w:val="00805318"/>
    <w:rsid w:val="00805CD1"/>
    <w:rsid w:val="0081229C"/>
    <w:rsid w:val="00812B70"/>
    <w:rsid w:val="00812E2F"/>
    <w:rsid w:val="00813371"/>
    <w:rsid w:val="0082041A"/>
    <w:rsid w:val="008220DD"/>
    <w:rsid w:val="00824744"/>
    <w:rsid w:val="00835A0A"/>
    <w:rsid w:val="0083612B"/>
    <w:rsid w:val="00841C18"/>
    <w:rsid w:val="008430C6"/>
    <w:rsid w:val="00844C77"/>
    <w:rsid w:val="00854F69"/>
    <w:rsid w:val="00856809"/>
    <w:rsid w:val="00857121"/>
    <w:rsid w:val="00857408"/>
    <w:rsid w:val="008733FE"/>
    <w:rsid w:val="008758D1"/>
    <w:rsid w:val="00876394"/>
    <w:rsid w:val="00876B7A"/>
    <w:rsid w:val="008770E7"/>
    <w:rsid w:val="008804B4"/>
    <w:rsid w:val="008805F6"/>
    <w:rsid w:val="00883344"/>
    <w:rsid w:val="00884DFA"/>
    <w:rsid w:val="00885EE5"/>
    <w:rsid w:val="00887674"/>
    <w:rsid w:val="008912B6"/>
    <w:rsid w:val="00893174"/>
    <w:rsid w:val="00893D98"/>
    <w:rsid w:val="008942A7"/>
    <w:rsid w:val="00896FFD"/>
    <w:rsid w:val="008972C2"/>
    <w:rsid w:val="008A00F4"/>
    <w:rsid w:val="008A0916"/>
    <w:rsid w:val="008A171C"/>
    <w:rsid w:val="008A2401"/>
    <w:rsid w:val="008A3789"/>
    <w:rsid w:val="008A5BE4"/>
    <w:rsid w:val="008A6533"/>
    <w:rsid w:val="008B0F1F"/>
    <w:rsid w:val="008B1B61"/>
    <w:rsid w:val="008B5130"/>
    <w:rsid w:val="008B750A"/>
    <w:rsid w:val="008C1031"/>
    <w:rsid w:val="008C3A69"/>
    <w:rsid w:val="008C3C5D"/>
    <w:rsid w:val="008C433A"/>
    <w:rsid w:val="008C4F68"/>
    <w:rsid w:val="008C5845"/>
    <w:rsid w:val="008C6D4D"/>
    <w:rsid w:val="008C794E"/>
    <w:rsid w:val="008D0F73"/>
    <w:rsid w:val="008D1A59"/>
    <w:rsid w:val="008D43BA"/>
    <w:rsid w:val="008D6694"/>
    <w:rsid w:val="008D7316"/>
    <w:rsid w:val="008E1C95"/>
    <w:rsid w:val="008E2451"/>
    <w:rsid w:val="008E3BA9"/>
    <w:rsid w:val="008F0E9D"/>
    <w:rsid w:val="008F14DE"/>
    <w:rsid w:val="008F19E0"/>
    <w:rsid w:val="008F31AF"/>
    <w:rsid w:val="008F4C63"/>
    <w:rsid w:val="008F7320"/>
    <w:rsid w:val="00901D2D"/>
    <w:rsid w:val="00903461"/>
    <w:rsid w:val="00904B0C"/>
    <w:rsid w:val="009126AD"/>
    <w:rsid w:val="009128E9"/>
    <w:rsid w:val="00912B9D"/>
    <w:rsid w:val="009136AF"/>
    <w:rsid w:val="00914DA1"/>
    <w:rsid w:val="009160F7"/>
    <w:rsid w:val="0091752B"/>
    <w:rsid w:val="00920C86"/>
    <w:rsid w:val="00923F0E"/>
    <w:rsid w:val="00926633"/>
    <w:rsid w:val="009276E3"/>
    <w:rsid w:val="00930145"/>
    <w:rsid w:val="0093567F"/>
    <w:rsid w:val="00936F63"/>
    <w:rsid w:val="00942AE5"/>
    <w:rsid w:val="00947E0D"/>
    <w:rsid w:val="00951A1A"/>
    <w:rsid w:val="00951DDF"/>
    <w:rsid w:val="00952532"/>
    <w:rsid w:val="00954571"/>
    <w:rsid w:val="00954E6C"/>
    <w:rsid w:val="009564AC"/>
    <w:rsid w:val="00957438"/>
    <w:rsid w:val="0096472B"/>
    <w:rsid w:val="0096731F"/>
    <w:rsid w:val="0097321B"/>
    <w:rsid w:val="0097441B"/>
    <w:rsid w:val="00976C2F"/>
    <w:rsid w:val="00977DBA"/>
    <w:rsid w:val="009829FA"/>
    <w:rsid w:val="00986FEF"/>
    <w:rsid w:val="009946AE"/>
    <w:rsid w:val="00995544"/>
    <w:rsid w:val="0099598D"/>
    <w:rsid w:val="009966B1"/>
    <w:rsid w:val="009967A9"/>
    <w:rsid w:val="00996932"/>
    <w:rsid w:val="00996C2C"/>
    <w:rsid w:val="00996DD4"/>
    <w:rsid w:val="009A1F15"/>
    <w:rsid w:val="009A2AED"/>
    <w:rsid w:val="009A5082"/>
    <w:rsid w:val="009B00E4"/>
    <w:rsid w:val="009B6141"/>
    <w:rsid w:val="009C0528"/>
    <w:rsid w:val="009C14D8"/>
    <w:rsid w:val="009C14E1"/>
    <w:rsid w:val="009C1F4C"/>
    <w:rsid w:val="009D012A"/>
    <w:rsid w:val="009D0C0B"/>
    <w:rsid w:val="009D4B11"/>
    <w:rsid w:val="009D75F4"/>
    <w:rsid w:val="009E024E"/>
    <w:rsid w:val="009E0621"/>
    <w:rsid w:val="009E07FC"/>
    <w:rsid w:val="009E3BF1"/>
    <w:rsid w:val="009E4FEF"/>
    <w:rsid w:val="009E61CC"/>
    <w:rsid w:val="009E7CB2"/>
    <w:rsid w:val="009F2CAE"/>
    <w:rsid w:val="009F541F"/>
    <w:rsid w:val="009F73AA"/>
    <w:rsid w:val="00A0063B"/>
    <w:rsid w:val="00A054B4"/>
    <w:rsid w:val="00A10EED"/>
    <w:rsid w:val="00A14408"/>
    <w:rsid w:val="00A16406"/>
    <w:rsid w:val="00A169A7"/>
    <w:rsid w:val="00A17FD6"/>
    <w:rsid w:val="00A246BF"/>
    <w:rsid w:val="00A25488"/>
    <w:rsid w:val="00A30DE0"/>
    <w:rsid w:val="00A310D8"/>
    <w:rsid w:val="00A312DA"/>
    <w:rsid w:val="00A324E8"/>
    <w:rsid w:val="00A33539"/>
    <w:rsid w:val="00A37B9F"/>
    <w:rsid w:val="00A41326"/>
    <w:rsid w:val="00A41972"/>
    <w:rsid w:val="00A50477"/>
    <w:rsid w:val="00A50ACB"/>
    <w:rsid w:val="00A5158D"/>
    <w:rsid w:val="00A5221F"/>
    <w:rsid w:val="00A55E67"/>
    <w:rsid w:val="00A609BB"/>
    <w:rsid w:val="00A60C20"/>
    <w:rsid w:val="00A60FE5"/>
    <w:rsid w:val="00A61193"/>
    <w:rsid w:val="00A61EB7"/>
    <w:rsid w:val="00A651D0"/>
    <w:rsid w:val="00A671A2"/>
    <w:rsid w:val="00A70785"/>
    <w:rsid w:val="00A75450"/>
    <w:rsid w:val="00A7729A"/>
    <w:rsid w:val="00A776AC"/>
    <w:rsid w:val="00A7797F"/>
    <w:rsid w:val="00A80041"/>
    <w:rsid w:val="00A85083"/>
    <w:rsid w:val="00A87779"/>
    <w:rsid w:val="00A94E2A"/>
    <w:rsid w:val="00A94F08"/>
    <w:rsid w:val="00A9688A"/>
    <w:rsid w:val="00AA0F30"/>
    <w:rsid w:val="00AA4E90"/>
    <w:rsid w:val="00AA57BF"/>
    <w:rsid w:val="00AA66DF"/>
    <w:rsid w:val="00AB26F6"/>
    <w:rsid w:val="00AB55A4"/>
    <w:rsid w:val="00AC237A"/>
    <w:rsid w:val="00AC2D43"/>
    <w:rsid w:val="00AC4BAA"/>
    <w:rsid w:val="00AC5053"/>
    <w:rsid w:val="00AC5744"/>
    <w:rsid w:val="00AD432F"/>
    <w:rsid w:val="00AE0094"/>
    <w:rsid w:val="00AE17E9"/>
    <w:rsid w:val="00AE2D4C"/>
    <w:rsid w:val="00AE3481"/>
    <w:rsid w:val="00AE4812"/>
    <w:rsid w:val="00AE594A"/>
    <w:rsid w:val="00AF4CF8"/>
    <w:rsid w:val="00AF6091"/>
    <w:rsid w:val="00AF6839"/>
    <w:rsid w:val="00AF727E"/>
    <w:rsid w:val="00B0179C"/>
    <w:rsid w:val="00B05E42"/>
    <w:rsid w:val="00B060B4"/>
    <w:rsid w:val="00B102B5"/>
    <w:rsid w:val="00B10720"/>
    <w:rsid w:val="00B10A97"/>
    <w:rsid w:val="00B1730C"/>
    <w:rsid w:val="00B22AA2"/>
    <w:rsid w:val="00B4059D"/>
    <w:rsid w:val="00B4310C"/>
    <w:rsid w:val="00B4343E"/>
    <w:rsid w:val="00B4493B"/>
    <w:rsid w:val="00B5026B"/>
    <w:rsid w:val="00B50A7B"/>
    <w:rsid w:val="00B52A8D"/>
    <w:rsid w:val="00B549E3"/>
    <w:rsid w:val="00B55982"/>
    <w:rsid w:val="00B61EC8"/>
    <w:rsid w:val="00B6330C"/>
    <w:rsid w:val="00B63923"/>
    <w:rsid w:val="00B6442A"/>
    <w:rsid w:val="00B6671A"/>
    <w:rsid w:val="00B7046E"/>
    <w:rsid w:val="00B727AC"/>
    <w:rsid w:val="00B7482A"/>
    <w:rsid w:val="00B766C8"/>
    <w:rsid w:val="00B800CE"/>
    <w:rsid w:val="00B81105"/>
    <w:rsid w:val="00B812E7"/>
    <w:rsid w:val="00B82597"/>
    <w:rsid w:val="00B86415"/>
    <w:rsid w:val="00B8768E"/>
    <w:rsid w:val="00B90526"/>
    <w:rsid w:val="00B91B1D"/>
    <w:rsid w:val="00B92257"/>
    <w:rsid w:val="00B924FB"/>
    <w:rsid w:val="00B93385"/>
    <w:rsid w:val="00BA18DE"/>
    <w:rsid w:val="00BA526F"/>
    <w:rsid w:val="00BA5CD7"/>
    <w:rsid w:val="00BA6265"/>
    <w:rsid w:val="00BA665E"/>
    <w:rsid w:val="00BB2940"/>
    <w:rsid w:val="00BC5997"/>
    <w:rsid w:val="00BD00FD"/>
    <w:rsid w:val="00BD103C"/>
    <w:rsid w:val="00BD1AD8"/>
    <w:rsid w:val="00BD4A14"/>
    <w:rsid w:val="00BD5B55"/>
    <w:rsid w:val="00BD690B"/>
    <w:rsid w:val="00BE1405"/>
    <w:rsid w:val="00BE1FB4"/>
    <w:rsid w:val="00BE577B"/>
    <w:rsid w:val="00BE624B"/>
    <w:rsid w:val="00BE63A6"/>
    <w:rsid w:val="00BF0167"/>
    <w:rsid w:val="00BF2686"/>
    <w:rsid w:val="00BF27EB"/>
    <w:rsid w:val="00BF47AF"/>
    <w:rsid w:val="00BF6D48"/>
    <w:rsid w:val="00BF73C0"/>
    <w:rsid w:val="00BF7798"/>
    <w:rsid w:val="00C00CC5"/>
    <w:rsid w:val="00C02CF8"/>
    <w:rsid w:val="00C04824"/>
    <w:rsid w:val="00C17462"/>
    <w:rsid w:val="00C17B84"/>
    <w:rsid w:val="00C21EB6"/>
    <w:rsid w:val="00C24F88"/>
    <w:rsid w:val="00C32072"/>
    <w:rsid w:val="00C34213"/>
    <w:rsid w:val="00C34BF9"/>
    <w:rsid w:val="00C35A17"/>
    <w:rsid w:val="00C3784F"/>
    <w:rsid w:val="00C4322E"/>
    <w:rsid w:val="00C43FEC"/>
    <w:rsid w:val="00C466A3"/>
    <w:rsid w:val="00C54843"/>
    <w:rsid w:val="00C54E6A"/>
    <w:rsid w:val="00C55479"/>
    <w:rsid w:val="00C577A7"/>
    <w:rsid w:val="00C62EE0"/>
    <w:rsid w:val="00C639AD"/>
    <w:rsid w:val="00C7387C"/>
    <w:rsid w:val="00C756FC"/>
    <w:rsid w:val="00C757DD"/>
    <w:rsid w:val="00C8704C"/>
    <w:rsid w:val="00C917DB"/>
    <w:rsid w:val="00C926CB"/>
    <w:rsid w:val="00C92EEE"/>
    <w:rsid w:val="00C97DEF"/>
    <w:rsid w:val="00CA0E14"/>
    <w:rsid w:val="00CA1385"/>
    <w:rsid w:val="00CA182D"/>
    <w:rsid w:val="00CA267B"/>
    <w:rsid w:val="00CB1B99"/>
    <w:rsid w:val="00CB2107"/>
    <w:rsid w:val="00CB219E"/>
    <w:rsid w:val="00CB270E"/>
    <w:rsid w:val="00CB346B"/>
    <w:rsid w:val="00CC1B87"/>
    <w:rsid w:val="00CC27DB"/>
    <w:rsid w:val="00CC2935"/>
    <w:rsid w:val="00CC6ECF"/>
    <w:rsid w:val="00CD1733"/>
    <w:rsid w:val="00CD4FF8"/>
    <w:rsid w:val="00CD6F03"/>
    <w:rsid w:val="00CE34BE"/>
    <w:rsid w:val="00CE3D56"/>
    <w:rsid w:val="00CE502D"/>
    <w:rsid w:val="00CE6F60"/>
    <w:rsid w:val="00CF4B35"/>
    <w:rsid w:val="00CF6464"/>
    <w:rsid w:val="00D01CE7"/>
    <w:rsid w:val="00D01EF4"/>
    <w:rsid w:val="00D0222C"/>
    <w:rsid w:val="00D0315F"/>
    <w:rsid w:val="00D13263"/>
    <w:rsid w:val="00D14C69"/>
    <w:rsid w:val="00D166BF"/>
    <w:rsid w:val="00D168D8"/>
    <w:rsid w:val="00D20B02"/>
    <w:rsid w:val="00D226A2"/>
    <w:rsid w:val="00D26CD5"/>
    <w:rsid w:val="00D30099"/>
    <w:rsid w:val="00D30496"/>
    <w:rsid w:val="00D31542"/>
    <w:rsid w:val="00D33248"/>
    <w:rsid w:val="00D3407F"/>
    <w:rsid w:val="00D34547"/>
    <w:rsid w:val="00D34F75"/>
    <w:rsid w:val="00D350E2"/>
    <w:rsid w:val="00D40169"/>
    <w:rsid w:val="00D41225"/>
    <w:rsid w:val="00D42EA8"/>
    <w:rsid w:val="00D434F5"/>
    <w:rsid w:val="00D44162"/>
    <w:rsid w:val="00D4780E"/>
    <w:rsid w:val="00D516EF"/>
    <w:rsid w:val="00D55AD0"/>
    <w:rsid w:val="00D562C0"/>
    <w:rsid w:val="00D62FD6"/>
    <w:rsid w:val="00D6474B"/>
    <w:rsid w:val="00D65069"/>
    <w:rsid w:val="00D6699F"/>
    <w:rsid w:val="00D671DE"/>
    <w:rsid w:val="00D70B6C"/>
    <w:rsid w:val="00D750B1"/>
    <w:rsid w:val="00D7520A"/>
    <w:rsid w:val="00D75F86"/>
    <w:rsid w:val="00D75FAC"/>
    <w:rsid w:val="00D800FA"/>
    <w:rsid w:val="00D82AFA"/>
    <w:rsid w:val="00D83CB7"/>
    <w:rsid w:val="00D83E19"/>
    <w:rsid w:val="00D87841"/>
    <w:rsid w:val="00D90E38"/>
    <w:rsid w:val="00D90F85"/>
    <w:rsid w:val="00D92831"/>
    <w:rsid w:val="00D92DE5"/>
    <w:rsid w:val="00D93064"/>
    <w:rsid w:val="00D938D5"/>
    <w:rsid w:val="00D94125"/>
    <w:rsid w:val="00D9439A"/>
    <w:rsid w:val="00D95768"/>
    <w:rsid w:val="00D95BE8"/>
    <w:rsid w:val="00D96C05"/>
    <w:rsid w:val="00D96CCF"/>
    <w:rsid w:val="00D971F5"/>
    <w:rsid w:val="00DA14B3"/>
    <w:rsid w:val="00DA2315"/>
    <w:rsid w:val="00DA23B0"/>
    <w:rsid w:val="00DA293D"/>
    <w:rsid w:val="00DA7005"/>
    <w:rsid w:val="00DA769B"/>
    <w:rsid w:val="00DB3068"/>
    <w:rsid w:val="00DB359B"/>
    <w:rsid w:val="00DB6837"/>
    <w:rsid w:val="00DC0B4A"/>
    <w:rsid w:val="00DC180B"/>
    <w:rsid w:val="00DC2CBA"/>
    <w:rsid w:val="00DC3275"/>
    <w:rsid w:val="00DC4C2C"/>
    <w:rsid w:val="00DC5BEC"/>
    <w:rsid w:val="00DD214B"/>
    <w:rsid w:val="00DD3527"/>
    <w:rsid w:val="00DD3DBE"/>
    <w:rsid w:val="00DD7BB6"/>
    <w:rsid w:val="00DE052B"/>
    <w:rsid w:val="00DE4485"/>
    <w:rsid w:val="00DE6E15"/>
    <w:rsid w:val="00DF0A2D"/>
    <w:rsid w:val="00DF4338"/>
    <w:rsid w:val="00DF7C23"/>
    <w:rsid w:val="00E02437"/>
    <w:rsid w:val="00E17497"/>
    <w:rsid w:val="00E22555"/>
    <w:rsid w:val="00E23C9E"/>
    <w:rsid w:val="00E352BD"/>
    <w:rsid w:val="00E35413"/>
    <w:rsid w:val="00E37555"/>
    <w:rsid w:val="00E4004E"/>
    <w:rsid w:val="00E427B3"/>
    <w:rsid w:val="00E42BAB"/>
    <w:rsid w:val="00E43B6D"/>
    <w:rsid w:val="00E44147"/>
    <w:rsid w:val="00E44ACE"/>
    <w:rsid w:val="00E44C50"/>
    <w:rsid w:val="00E46138"/>
    <w:rsid w:val="00E54362"/>
    <w:rsid w:val="00E55D7D"/>
    <w:rsid w:val="00E55FA8"/>
    <w:rsid w:val="00E63D64"/>
    <w:rsid w:val="00E645E7"/>
    <w:rsid w:val="00E647E3"/>
    <w:rsid w:val="00E676CB"/>
    <w:rsid w:val="00E71CB3"/>
    <w:rsid w:val="00E7269D"/>
    <w:rsid w:val="00E7282F"/>
    <w:rsid w:val="00E73A3D"/>
    <w:rsid w:val="00E74A7A"/>
    <w:rsid w:val="00E80250"/>
    <w:rsid w:val="00E82814"/>
    <w:rsid w:val="00E84656"/>
    <w:rsid w:val="00E848AA"/>
    <w:rsid w:val="00E90772"/>
    <w:rsid w:val="00E90E8A"/>
    <w:rsid w:val="00E9119C"/>
    <w:rsid w:val="00E92E1E"/>
    <w:rsid w:val="00E93EB9"/>
    <w:rsid w:val="00E97515"/>
    <w:rsid w:val="00E97BB5"/>
    <w:rsid w:val="00EA18BD"/>
    <w:rsid w:val="00EA1ECB"/>
    <w:rsid w:val="00EA2463"/>
    <w:rsid w:val="00EA640C"/>
    <w:rsid w:val="00EA6E0B"/>
    <w:rsid w:val="00EA71CC"/>
    <w:rsid w:val="00EB355A"/>
    <w:rsid w:val="00EB4E7B"/>
    <w:rsid w:val="00EB4FA4"/>
    <w:rsid w:val="00EB79EB"/>
    <w:rsid w:val="00EC1F1A"/>
    <w:rsid w:val="00EC2F01"/>
    <w:rsid w:val="00EC398D"/>
    <w:rsid w:val="00EC49A8"/>
    <w:rsid w:val="00ED36ED"/>
    <w:rsid w:val="00ED708E"/>
    <w:rsid w:val="00ED7CA2"/>
    <w:rsid w:val="00EE13F9"/>
    <w:rsid w:val="00EE185D"/>
    <w:rsid w:val="00EE2D5F"/>
    <w:rsid w:val="00EE5DCF"/>
    <w:rsid w:val="00EF0522"/>
    <w:rsid w:val="00EF0999"/>
    <w:rsid w:val="00EF20DB"/>
    <w:rsid w:val="00F1375B"/>
    <w:rsid w:val="00F15176"/>
    <w:rsid w:val="00F178C7"/>
    <w:rsid w:val="00F22122"/>
    <w:rsid w:val="00F24866"/>
    <w:rsid w:val="00F25EEE"/>
    <w:rsid w:val="00F26F4B"/>
    <w:rsid w:val="00F31740"/>
    <w:rsid w:val="00F3254A"/>
    <w:rsid w:val="00F36EFC"/>
    <w:rsid w:val="00F3728D"/>
    <w:rsid w:val="00F461D4"/>
    <w:rsid w:val="00F51BA4"/>
    <w:rsid w:val="00F56119"/>
    <w:rsid w:val="00F56667"/>
    <w:rsid w:val="00F57AD7"/>
    <w:rsid w:val="00F57C64"/>
    <w:rsid w:val="00F72DA1"/>
    <w:rsid w:val="00F72F18"/>
    <w:rsid w:val="00F73220"/>
    <w:rsid w:val="00F74DF6"/>
    <w:rsid w:val="00F77F27"/>
    <w:rsid w:val="00F81825"/>
    <w:rsid w:val="00F823AD"/>
    <w:rsid w:val="00F86754"/>
    <w:rsid w:val="00F86AB1"/>
    <w:rsid w:val="00F90562"/>
    <w:rsid w:val="00F91CEF"/>
    <w:rsid w:val="00F93019"/>
    <w:rsid w:val="00F9758C"/>
    <w:rsid w:val="00FA0FCB"/>
    <w:rsid w:val="00FA333D"/>
    <w:rsid w:val="00FB18B1"/>
    <w:rsid w:val="00FB2DE0"/>
    <w:rsid w:val="00FB3377"/>
    <w:rsid w:val="00FB6597"/>
    <w:rsid w:val="00FC1A02"/>
    <w:rsid w:val="00FC1CFC"/>
    <w:rsid w:val="00FD421C"/>
    <w:rsid w:val="00FE104A"/>
    <w:rsid w:val="00FE3B6F"/>
    <w:rsid w:val="00FE6420"/>
    <w:rsid w:val="00FF052E"/>
    <w:rsid w:val="00FF0C1C"/>
    <w:rsid w:val="00FF1A33"/>
    <w:rsid w:val="00FF4E8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lang w:eastAsia="zh-CN"/>
    </w:rPr>
  </w:style>
  <w:style w:type="paragraph" w:styleId="Heading1">
    <w:name w:val="heading 1"/>
    <w:aliases w:val="h1"/>
    <w:basedOn w:val="single"/>
    <w:next w:val="Normal"/>
    <w:qFormat/>
    <w:pPr>
      <w:keepNext/>
      <w:keepLines/>
      <w:spacing w:after="320"/>
      <w:ind w:left="720" w:right="720" w:firstLine="0"/>
      <w:jc w:val="center"/>
      <w:outlineLvl w:val="0"/>
    </w:pPr>
    <w:rPr>
      <w:b/>
    </w:rPr>
  </w:style>
  <w:style w:type="paragraph" w:styleId="Heading2">
    <w:name w:val="heading 2"/>
    <w:aliases w:val="h2"/>
    <w:basedOn w:val="Heading1"/>
    <w:next w:val="Normal"/>
    <w:qFormat/>
    <w:pPr>
      <w:spacing w:before="360" w:after="360" w:line="240" w:lineRule="auto"/>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uiPriority w:val="3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link w:val="plainChar"/>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uiPriority w:val="99"/>
    <w:rsid w:val="00DC180B"/>
    <w:pPr>
      <w:keepNext/>
      <w:keepLines/>
      <w:spacing w:after="120" w:line="480" w:lineRule="auto"/>
    </w:pPr>
    <w:rPr>
      <w:b/>
    </w:rPr>
  </w:style>
  <w:style w:type="paragraph" w:customStyle="1" w:styleId="answer">
    <w:name w:val="answer"/>
    <w:basedOn w:val="Normal"/>
    <w:uiPriority w:val="99"/>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pPr>
      <w:spacing w:after="120" w:line="480" w:lineRule="atLeast"/>
      <w:ind w:firstLine="210"/>
      <w:jc w:val="left"/>
    </w:pPr>
    <w:rPr>
      <w:lang w:val="en-US"/>
    </w:rPr>
  </w:style>
  <w:style w:type="paragraph" w:styleId="BodyTextFirstIndent2">
    <w:name w:val="Body Text First Indent 2"/>
    <w:basedOn w:val="BodyTextIndent"/>
    <w:pPr>
      <w:spacing w:after="120" w:line="480" w:lineRule="atLeast"/>
      <w:ind w:left="360" w:firstLine="210"/>
    </w:pPr>
    <w:rPr>
      <w:rFonts w:ascii="Times New Roman" w:hAnsi="Times New Roman"/>
      <w:sz w:val="24"/>
    </w:rPr>
  </w:style>
  <w:style w:type="paragraph" w:styleId="Closing">
    <w:name w:val="Closing"/>
    <w:basedOn w:val="Normal"/>
    <w:pPr>
      <w:ind w:left="4320"/>
    </w:pPr>
  </w:style>
  <w:style w:type="paragraph" w:styleId="CommentSubject">
    <w:name w:val="annotation subject"/>
    <w:basedOn w:val="CommentText"/>
    <w:next w:val="CommentText"/>
    <w:semiHidden/>
    <w:pPr>
      <w:spacing w:before="0" w:line="480" w:lineRule="atLeast"/>
    </w:pPr>
    <w:rPr>
      <w:b/>
      <w:bCs/>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pPr>
      <w:ind w:left="480" w:hanging="480"/>
    </w:pPr>
  </w:style>
  <w:style w:type="character" w:styleId="HTMLCode">
    <w:name w:val="HTML Code"/>
    <w:basedOn w:val="DefaultParagraphFont"/>
    <w:rPr>
      <w:rFonts w:ascii="Courier New" w:hAnsi="Courier New" w:cs="Tahoma"/>
      <w:sz w:val="20"/>
      <w:szCs w:val="20"/>
    </w:rPr>
  </w:style>
  <w:style w:type="character" w:customStyle="1" w:styleId="h1Char">
    <w:name w:val="h1 Char"/>
    <w:basedOn w:val="singleChar"/>
    <w:rPr>
      <w:b/>
      <w:noProof w:val="0"/>
      <w:sz w:val="24"/>
      <w:lang w:val="en-US" w:eastAsia="zh-CN" w:bidi="ar-SA"/>
    </w:rPr>
  </w:style>
  <w:style w:type="character" w:customStyle="1" w:styleId="h2Char">
    <w:name w:val="h2 Char"/>
    <w:basedOn w:val="h1Char"/>
    <w:rPr>
      <w:b/>
      <w:noProof w:val="0"/>
      <w:sz w:val="24"/>
      <w:u w:val="single"/>
      <w:lang w:val="en-US" w:eastAsia="zh-CN" w:bidi="ar-SA"/>
    </w:rPr>
  </w:style>
  <w:style w:type="paragraph" w:customStyle="1" w:styleId="Notes">
    <w:name w:val="Notes"/>
    <w:basedOn w:val="Normal"/>
    <w:pPr>
      <w:spacing w:line="240" w:lineRule="auto"/>
      <w:ind w:left="2160" w:hanging="2160"/>
    </w:pPr>
    <w:rPr>
      <w:szCs w:val="24"/>
      <w:lang w:eastAsia="en-US"/>
    </w:rPr>
  </w:style>
  <w:style w:type="paragraph" w:customStyle="1" w:styleId="double">
    <w:name w:val="double"/>
    <w:basedOn w:val="Normal"/>
    <w:pPr>
      <w:spacing w:line="360" w:lineRule="auto"/>
      <w:jc w:val="both"/>
    </w:pPr>
    <w:rPr>
      <w:rFonts w:ascii="Arial" w:hAnsi="Arial"/>
      <w:snapToGrid w:val="0"/>
      <w:sz w:val="22"/>
      <w:lang w:eastAsia="en-US"/>
    </w:rPr>
  </w:style>
  <w:style w:type="paragraph" w:customStyle="1" w:styleId="Question0">
    <w:name w:val="$Question"/>
    <w:basedOn w:val="Normal"/>
    <w:next w:val="NormalIndent"/>
    <w:pPr>
      <w:widowControl w:val="0"/>
      <w:spacing w:line="480" w:lineRule="exact"/>
      <w:ind w:left="576" w:hanging="576"/>
    </w:pPr>
    <w:rPr>
      <w:lang w:eastAsia="en-US"/>
    </w:rPr>
  </w:style>
  <w:style w:type="paragraph" w:customStyle="1" w:styleId="Answer0">
    <w:name w:val="$Answer"/>
    <w:basedOn w:val="Normal"/>
    <w:next w:val="NormalIndent"/>
    <w:pPr>
      <w:widowControl w:val="0"/>
      <w:spacing w:line="480" w:lineRule="exact"/>
      <w:ind w:left="576" w:hanging="576"/>
    </w:pPr>
    <w:rPr>
      <w:lang w:eastAsia="en-US"/>
    </w:rPr>
  </w:style>
  <w:style w:type="paragraph" w:customStyle="1" w:styleId="Header2QA">
    <w:name w:val="Header 2 Q&amp;A"/>
    <w:basedOn w:val="Normal"/>
    <w:pPr>
      <w:widowControl w:val="0"/>
      <w:spacing w:line="240" w:lineRule="auto"/>
      <w:ind w:left="6048" w:firstLine="0"/>
    </w:pPr>
    <w:rPr>
      <w:lang w:eastAsia="en-US"/>
    </w:rPr>
  </w:style>
  <w:style w:type="paragraph" w:customStyle="1" w:styleId="HeaderCover">
    <w:name w:val="HeaderCover"/>
    <w:basedOn w:val="Header2QA"/>
  </w:style>
  <w:style w:type="paragraph" w:customStyle="1" w:styleId="CenterUnderline">
    <w:name w:val="$CenterUnderline"/>
    <w:basedOn w:val="Normal"/>
    <w:pPr>
      <w:widowControl w:val="0"/>
      <w:spacing w:line="480" w:lineRule="exact"/>
      <w:ind w:firstLine="0"/>
      <w:jc w:val="center"/>
    </w:pPr>
    <w:rPr>
      <w:u w:val="single"/>
      <w:lang w:eastAsia="en-US"/>
    </w:rPr>
  </w:style>
  <w:style w:type="paragraph" w:customStyle="1" w:styleId="CenterNormal">
    <w:name w:val="$CenterNormal"/>
    <w:basedOn w:val="CenterUnderline"/>
    <w:pPr>
      <w:tabs>
        <w:tab w:val="left" w:pos="1296"/>
      </w:tabs>
      <w:spacing w:line="280" w:lineRule="exact"/>
    </w:pPr>
    <w:rPr>
      <w:u w:val="none"/>
    </w:rPr>
  </w:style>
  <w:style w:type="paragraph" w:customStyle="1" w:styleId="BulletNormal">
    <w:name w:val="$BulletNormal"/>
    <w:basedOn w:val="Normal"/>
    <w:pPr>
      <w:widowControl w:val="0"/>
      <w:spacing w:line="480" w:lineRule="exact"/>
      <w:ind w:left="1152" w:hanging="576"/>
    </w:pPr>
    <w:rPr>
      <w:lang w:eastAsia="en-US"/>
    </w:rPr>
  </w:style>
  <w:style w:type="paragraph" w:customStyle="1" w:styleId="BulletIndent">
    <w:name w:val="$BulletIndent"/>
    <w:basedOn w:val="BulletNormal"/>
    <w:pPr>
      <w:ind w:left="1728"/>
    </w:pPr>
  </w:style>
  <w:style w:type="paragraph" w:customStyle="1" w:styleId="Heading3Text">
    <w:name w:val="Heading 3 Text"/>
    <w:basedOn w:val="Normal"/>
    <w:pPr>
      <w:widowControl w:val="0"/>
      <w:overflowPunct w:val="0"/>
      <w:autoSpaceDE w:val="0"/>
      <w:autoSpaceDN w:val="0"/>
      <w:adjustRightInd w:val="0"/>
      <w:ind w:left="720"/>
      <w:textAlignment w:val="baseline"/>
    </w:pPr>
    <w:rPr>
      <w:rFonts w:ascii="NewCenturySchlbk" w:hAnsi="NewCenturySchlbk"/>
      <w:lang w:eastAsia="en-US"/>
    </w:rPr>
  </w:style>
  <w:style w:type="paragraph" w:customStyle="1" w:styleId="Quote3">
    <w:name w:val="Quote 3"/>
    <w:basedOn w:val="Normal"/>
    <w:pPr>
      <w:widowControl w:val="0"/>
      <w:overflowPunct w:val="0"/>
      <w:autoSpaceDE w:val="0"/>
      <w:autoSpaceDN w:val="0"/>
      <w:adjustRightInd w:val="0"/>
      <w:spacing w:before="240" w:line="240" w:lineRule="auto"/>
      <w:ind w:left="2880" w:right="2880" w:firstLine="0"/>
      <w:textAlignment w:val="baseline"/>
    </w:pPr>
    <w:rPr>
      <w:rFonts w:ascii="NewCenturySchlbk" w:hAnsi="NewCenturySchlbk"/>
      <w:lang w:eastAsia="en-US"/>
    </w:rPr>
  </w:style>
  <w:style w:type="character" w:customStyle="1" w:styleId="ccbntxt">
    <w:name w:val="ccbntxt"/>
    <w:basedOn w:val="DefaultParagraphFont"/>
  </w:style>
  <w:style w:type="character" w:customStyle="1" w:styleId="questionChar">
    <w:name w:val="question Char"/>
    <w:basedOn w:val="DefaultParagraphFont"/>
    <w:uiPriority w:val="99"/>
    <w:rPr>
      <w:b/>
      <w:noProof w:val="0"/>
      <w:sz w:val="24"/>
      <w:lang w:val="en-US" w:eastAsia="zh-CN" w:bidi="ar-SA"/>
    </w:rPr>
  </w:style>
  <w:style w:type="paragraph" w:customStyle="1" w:styleId="Question1">
    <w:name w:val="Question"/>
    <w:basedOn w:val="Normal"/>
    <w:autoRedefine/>
    <w:rsid w:val="003E06E4"/>
    <w:pPr>
      <w:keepNext/>
      <w:spacing w:before="360" w:after="120" w:line="480" w:lineRule="auto"/>
      <w:ind w:left="720" w:hanging="720"/>
    </w:pPr>
    <w:rPr>
      <w:b/>
    </w:rPr>
  </w:style>
  <w:style w:type="character" w:customStyle="1" w:styleId="answerChar">
    <w:name w:val="answer Char"/>
    <w:basedOn w:val="DefaultParagraphFont"/>
    <w:rPr>
      <w:noProof w:val="0"/>
      <w:sz w:val="24"/>
      <w:lang w:val="en-US" w:eastAsia="zh-CN" w:bidi="ar-SA"/>
    </w:rPr>
  </w:style>
  <w:style w:type="paragraph" w:customStyle="1" w:styleId="qcaps">
    <w:name w:val="qcaps"/>
    <w:basedOn w:val="question"/>
    <w:pPr>
      <w:widowControl w:val="0"/>
      <w:spacing w:before="0"/>
      <w:jc w:val="both"/>
    </w:pPr>
    <w:rPr>
      <w:lang w:eastAsia="en-US"/>
    </w:rPr>
  </w:style>
  <w:style w:type="paragraph" w:customStyle="1" w:styleId="text">
    <w:name w:val="text"/>
    <w:basedOn w:val="Normal"/>
    <w:pPr>
      <w:widowControl w:val="0"/>
      <w:spacing w:line="480" w:lineRule="auto"/>
      <w:ind w:left="720" w:hanging="720"/>
      <w:jc w:val="both"/>
    </w:pPr>
    <w:rPr>
      <w:rFonts w:ascii="Arial" w:hAnsi="Arial"/>
      <w:lang w:eastAsia="en-US"/>
    </w:rPr>
  </w:style>
  <w:style w:type="paragraph" w:customStyle="1" w:styleId="questin">
    <w:name w:val="questin"/>
    <w:basedOn w:val="Normal"/>
    <w:pPr>
      <w:spacing w:line="480" w:lineRule="auto"/>
      <w:ind w:left="720" w:hanging="720"/>
    </w:pPr>
    <w:rPr>
      <w:b/>
      <w:lang w:eastAsia="en-US"/>
    </w:rPr>
  </w:style>
  <w:style w:type="paragraph" w:customStyle="1" w:styleId="questino">
    <w:name w:val="questino"/>
    <w:basedOn w:val="Normal"/>
    <w:pPr>
      <w:spacing w:line="480" w:lineRule="auto"/>
      <w:ind w:left="720" w:hanging="720"/>
    </w:pPr>
    <w:rPr>
      <w:b/>
      <w:lang w:eastAsia="en-US"/>
    </w:rPr>
  </w:style>
  <w:style w:type="paragraph" w:customStyle="1" w:styleId="answser">
    <w:name w:val="answser"/>
    <w:basedOn w:val="Normal"/>
    <w:pPr>
      <w:spacing w:line="480" w:lineRule="auto"/>
      <w:ind w:left="720" w:hanging="720"/>
    </w:pPr>
    <w:rPr>
      <w:lang w:eastAsia="en-US"/>
    </w:rPr>
  </w:style>
  <w:style w:type="paragraph" w:customStyle="1" w:styleId="Answer1">
    <w:name w:val="Answer"/>
    <w:basedOn w:val="Normal"/>
    <w:pPr>
      <w:spacing w:before="120" w:after="120" w:line="480" w:lineRule="auto"/>
      <w:ind w:left="720" w:hanging="720"/>
    </w:pPr>
  </w:style>
  <w:style w:type="character" w:customStyle="1" w:styleId="zzmpTrailerItem">
    <w:name w:val="zzmpTrailerItem"/>
    <w:basedOn w:val="DefaultParagraphFont"/>
    <w:rsid w:val="001C239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ainChar">
    <w:name w:val="plain Char"/>
    <w:basedOn w:val="DefaultParagraphFont"/>
    <w:link w:val="plain"/>
    <w:rsid w:val="006E1EF9"/>
    <w:rPr>
      <w:sz w:val="24"/>
      <w:lang w:val="en-US" w:eastAsia="zh-CN" w:bidi="ar-SA"/>
    </w:rPr>
  </w:style>
  <w:style w:type="table" w:styleId="TableGrid">
    <w:name w:val="Table Grid"/>
    <w:basedOn w:val="TableNormal"/>
    <w:rsid w:val="00FB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047"/>
    <w:rPr>
      <w:rFonts w:ascii="Times New Roman"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lang w:eastAsia="zh-CN"/>
    </w:rPr>
  </w:style>
  <w:style w:type="paragraph" w:styleId="Heading1">
    <w:name w:val="heading 1"/>
    <w:aliases w:val="h1"/>
    <w:basedOn w:val="single"/>
    <w:next w:val="Normal"/>
    <w:qFormat/>
    <w:pPr>
      <w:keepNext/>
      <w:keepLines/>
      <w:spacing w:after="320"/>
      <w:ind w:left="720" w:right="720" w:firstLine="0"/>
      <w:jc w:val="center"/>
      <w:outlineLvl w:val="0"/>
    </w:pPr>
    <w:rPr>
      <w:b/>
    </w:rPr>
  </w:style>
  <w:style w:type="paragraph" w:styleId="Heading2">
    <w:name w:val="heading 2"/>
    <w:aliases w:val="h2"/>
    <w:basedOn w:val="Heading1"/>
    <w:next w:val="Normal"/>
    <w:qFormat/>
    <w:pPr>
      <w:spacing w:before="360" w:after="360" w:line="240" w:lineRule="auto"/>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uiPriority w:val="3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link w:val="plainChar"/>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uiPriority w:val="99"/>
    <w:rsid w:val="00DC180B"/>
    <w:pPr>
      <w:keepNext/>
      <w:keepLines/>
      <w:spacing w:after="120" w:line="480" w:lineRule="auto"/>
    </w:pPr>
    <w:rPr>
      <w:b/>
    </w:rPr>
  </w:style>
  <w:style w:type="paragraph" w:customStyle="1" w:styleId="answer">
    <w:name w:val="answer"/>
    <w:basedOn w:val="Normal"/>
    <w:uiPriority w:val="99"/>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pPr>
      <w:spacing w:after="120" w:line="480" w:lineRule="atLeast"/>
      <w:ind w:firstLine="210"/>
      <w:jc w:val="left"/>
    </w:pPr>
    <w:rPr>
      <w:lang w:val="en-US"/>
    </w:rPr>
  </w:style>
  <w:style w:type="paragraph" w:styleId="BodyTextFirstIndent2">
    <w:name w:val="Body Text First Indent 2"/>
    <w:basedOn w:val="BodyTextIndent"/>
    <w:pPr>
      <w:spacing w:after="120" w:line="480" w:lineRule="atLeast"/>
      <w:ind w:left="360" w:firstLine="210"/>
    </w:pPr>
    <w:rPr>
      <w:rFonts w:ascii="Times New Roman" w:hAnsi="Times New Roman"/>
      <w:sz w:val="24"/>
    </w:rPr>
  </w:style>
  <w:style w:type="paragraph" w:styleId="Closing">
    <w:name w:val="Closing"/>
    <w:basedOn w:val="Normal"/>
    <w:pPr>
      <w:ind w:left="4320"/>
    </w:pPr>
  </w:style>
  <w:style w:type="paragraph" w:styleId="CommentSubject">
    <w:name w:val="annotation subject"/>
    <w:basedOn w:val="CommentText"/>
    <w:next w:val="CommentText"/>
    <w:semiHidden/>
    <w:pPr>
      <w:spacing w:before="0" w:line="480" w:lineRule="atLeast"/>
    </w:pPr>
    <w:rPr>
      <w:b/>
      <w:bCs/>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pPr>
      <w:ind w:left="480" w:hanging="480"/>
    </w:pPr>
  </w:style>
  <w:style w:type="character" w:styleId="HTMLCode">
    <w:name w:val="HTML Code"/>
    <w:basedOn w:val="DefaultParagraphFont"/>
    <w:rPr>
      <w:rFonts w:ascii="Courier New" w:hAnsi="Courier New" w:cs="Tahoma"/>
      <w:sz w:val="20"/>
      <w:szCs w:val="20"/>
    </w:rPr>
  </w:style>
  <w:style w:type="character" w:customStyle="1" w:styleId="h1Char">
    <w:name w:val="h1 Char"/>
    <w:basedOn w:val="singleChar"/>
    <w:rPr>
      <w:b/>
      <w:noProof w:val="0"/>
      <w:sz w:val="24"/>
      <w:lang w:val="en-US" w:eastAsia="zh-CN" w:bidi="ar-SA"/>
    </w:rPr>
  </w:style>
  <w:style w:type="character" w:customStyle="1" w:styleId="h2Char">
    <w:name w:val="h2 Char"/>
    <w:basedOn w:val="h1Char"/>
    <w:rPr>
      <w:b/>
      <w:noProof w:val="0"/>
      <w:sz w:val="24"/>
      <w:u w:val="single"/>
      <w:lang w:val="en-US" w:eastAsia="zh-CN" w:bidi="ar-SA"/>
    </w:rPr>
  </w:style>
  <w:style w:type="paragraph" w:customStyle="1" w:styleId="Notes">
    <w:name w:val="Notes"/>
    <w:basedOn w:val="Normal"/>
    <w:pPr>
      <w:spacing w:line="240" w:lineRule="auto"/>
      <w:ind w:left="2160" w:hanging="2160"/>
    </w:pPr>
    <w:rPr>
      <w:szCs w:val="24"/>
      <w:lang w:eastAsia="en-US"/>
    </w:rPr>
  </w:style>
  <w:style w:type="paragraph" w:customStyle="1" w:styleId="double">
    <w:name w:val="double"/>
    <w:basedOn w:val="Normal"/>
    <w:pPr>
      <w:spacing w:line="360" w:lineRule="auto"/>
      <w:jc w:val="both"/>
    </w:pPr>
    <w:rPr>
      <w:rFonts w:ascii="Arial" w:hAnsi="Arial"/>
      <w:snapToGrid w:val="0"/>
      <w:sz w:val="22"/>
      <w:lang w:eastAsia="en-US"/>
    </w:rPr>
  </w:style>
  <w:style w:type="paragraph" w:customStyle="1" w:styleId="Question0">
    <w:name w:val="$Question"/>
    <w:basedOn w:val="Normal"/>
    <w:next w:val="NormalIndent"/>
    <w:pPr>
      <w:widowControl w:val="0"/>
      <w:spacing w:line="480" w:lineRule="exact"/>
      <w:ind w:left="576" w:hanging="576"/>
    </w:pPr>
    <w:rPr>
      <w:lang w:eastAsia="en-US"/>
    </w:rPr>
  </w:style>
  <w:style w:type="paragraph" w:customStyle="1" w:styleId="Answer0">
    <w:name w:val="$Answer"/>
    <w:basedOn w:val="Normal"/>
    <w:next w:val="NormalIndent"/>
    <w:pPr>
      <w:widowControl w:val="0"/>
      <w:spacing w:line="480" w:lineRule="exact"/>
      <w:ind w:left="576" w:hanging="576"/>
    </w:pPr>
    <w:rPr>
      <w:lang w:eastAsia="en-US"/>
    </w:rPr>
  </w:style>
  <w:style w:type="paragraph" w:customStyle="1" w:styleId="Header2QA">
    <w:name w:val="Header 2 Q&amp;A"/>
    <w:basedOn w:val="Normal"/>
    <w:pPr>
      <w:widowControl w:val="0"/>
      <w:spacing w:line="240" w:lineRule="auto"/>
      <w:ind w:left="6048" w:firstLine="0"/>
    </w:pPr>
    <w:rPr>
      <w:lang w:eastAsia="en-US"/>
    </w:rPr>
  </w:style>
  <w:style w:type="paragraph" w:customStyle="1" w:styleId="HeaderCover">
    <w:name w:val="HeaderCover"/>
    <w:basedOn w:val="Header2QA"/>
  </w:style>
  <w:style w:type="paragraph" w:customStyle="1" w:styleId="CenterUnderline">
    <w:name w:val="$CenterUnderline"/>
    <w:basedOn w:val="Normal"/>
    <w:pPr>
      <w:widowControl w:val="0"/>
      <w:spacing w:line="480" w:lineRule="exact"/>
      <w:ind w:firstLine="0"/>
      <w:jc w:val="center"/>
    </w:pPr>
    <w:rPr>
      <w:u w:val="single"/>
      <w:lang w:eastAsia="en-US"/>
    </w:rPr>
  </w:style>
  <w:style w:type="paragraph" w:customStyle="1" w:styleId="CenterNormal">
    <w:name w:val="$CenterNormal"/>
    <w:basedOn w:val="CenterUnderline"/>
    <w:pPr>
      <w:tabs>
        <w:tab w:val="left" w:pos="1296"/>
      </w:tabs>
      <w:spacing w:line="280" w:lineRule="exact"/>
    </w:pPr>
    <w:rPr>
      <w:u w:val="none"/>
    </w:rPr>
  </w:style>
  <w:style w:type="paragraph" w:customStyle="1" w:styleId="BulletNormal">
    <w:name w:val="$BulletNormal"/>
    <w:basedOn w:val="Normal"/>
    <w:pPr>
      <w:widowControl w:val="0"/>
      <w:spacing w:line="480" w:lineRule="exact"/>
      <w:ind w:left="1152" w:hanging="576"/>
    </w:pPr>
    <w:rPr>
      <w:lang w:eastAsia="en-US"/>
    </w:rPr>
  </w:style>
  <w:style w:type="paragraph" w:customStyle="1" w:styleId="BulletIndent">
    <w:name w:val="$BulletIndent"/>
    <w:basedOn w:val="BulletNormal"/>
    <w:pPr>
      <w:ind w:left="1728"/>
    </w:pPr>
  </w:style>
  <w:style w:type="paragraph" w:customStyle="1" w:styleId="Heading3Text">
    <w:name w:val="Heading 3 Text"/>
    <w:basedOn w:val="Normal"/>
    <w:pPr>
      <w:widowControl w:val="0"/>
      <w:overflowPunct w:val="0"/>
      <w:autoSpaceDE w:val="0"/>
      <w:autoSpaceDN w:val="0"/>
      <w:adjustRightInd w:val="0"/>
      <w:ind w:left="720"/>
      <w:textAlignment w:val="baseline"/>
    </w:pPr>
    <w:rPr>
      <w:rFonts w:ascii="NewCenturySchlbk" w:hAnsi="NewCenturySchlbk"/>
      <w:lang w:eastAsia="en-US"/>
    </w:rPr>
  </w:style>
  <w:style w:type="paragraph" w:customStyle="1" w:styleId="Quote3">
    <w:name w:val="Quote 3"/>
    <w:basedOn w:val="Normal"/>
    <w:pPr>
      <w:widowControl w:val="0"/>
      <w:overflowPunct w:val="0"/>
      <w:autoSpaceDE w:val="0"/>
      <w:autoSpaceDN w:val="0"/>
      <w:adjustRightInd w:val="0"/>
      <w:spacing w:before="240" w:line="240" w:lineRule="auto"/>
      <w:ind w:left="2880" w:right="2880" w:firstLine="0"/>
      <w:textAlignment w:val="baseline"/>
    </w:pPr>
    <w:rPr>
      <w:rFonts w:ascii="NewCenturySchlbk" w:hAnsi="NewCenturySchlbk"/>
      <w:lang w:eastAsia="en-US"/>
    </w:rPr>
  </w:style>
  <w:style w:type="character" w:customStyle="1" w:styleId="ccbntxt">
    <w:name w:val="ccbntxt"/>
    <w:basedOn w:val="DefaultParagraphFont"/>
  </w:style>
  <w:style w:type="character" w:customStyle="1" w:styleId="questionChar">
    <w:name w:val="question Char"/>
    <w:basedOn w:val="DefaultParagraphFont"/>
    <w:uiPriority w:val="99"/>
    <w:rPr>
      <w:b/>
      <w:noProof w:val="0"/>
      <w:sz w:val="24"/>
      <w:lang w:val="en-US" w:eastAsia="zh-CN" w:bidi="ar-SA"/>
    </w:rPr>
  </w:style>
  <w:style w:type="paragraph" w:customStyle="1" w:styleId="Question1">
    <w:name w:val="Question"/>
    <w:basedOn w:val="Normal"/>
    <w:autoRedefine/>
    <w:rsid w:val="003E06E4"/>
    <w:pPr>
      <w:keepNext/>
      <w:spacing w:before="360" w:after="120" w:line="480" w:lineRule="auto"/>
      <w:ind w:left="720" w:hanging="720"/>
    </w:pPr>
    <w:rPr>
      <w:b/>
    </w:rPr>
  </w:style>
  <w:style w:type="character" w:customStyle="1" w:styleId="answerChar">
    <w:name w:val="answer Char"/>
    <w:basedOn w:val="DefaultParagraphFont"/>
    <w:rPr>
      <w:noProof w:val="0"/>
      <w:sz w:val="24"/>
      <w:lang w:val="en-US" w:eastAsia="zh-CN" w:bidi="ar-SA"/>
    </w:rPr>
  </w:style>
  <w:style w:type="paragraph" w:customStyle="1" w:styleId="qcaps">
    <w:name w:val="qcaps"/>
    <w:basedOn w:val="question"/>
    <w:pPr>
      <w:widowControl w:val="0"/>
      <w:spacing w:before="0"/>
      <w:jc w:val="both"/>
    </w:pPr>
    <w:rPr>
      <w:lang w:eastAsia="en-US"/>
    </w:rPr>
  </w:style>
  <w:style w:type="paragraph" w:customStyle="1" w:styleId="text">
    <w:name w:val="text"/>
    <w:basedOn w:val="Normal"/>
    <w:pPr>
      <w:widowControl w:val="0"/>
      <w:spacing w:line="480" w:lineRule="auto"/>
      <w:ind w:left="720" w:hanging="720"/>
      <w:jc w:val="both"/>
    </w:pPr>
    <w:rPr>
      <w:rFonts w:ascii="Arial" w:hAnsi="Arial"/>
      <w:lang w:eastAsia="en-US"/>
    </w:rPr>
  </w:style>
  <w:style w:type="paragraph" w:customStyle="1" w:styleId="questin">
    <w:name w:val="questin"/>
    <w:basedOn w:val="Normal"/>
    <w:pPr>
      <w:spacing w:line="480" w:lineRule="auto"/>
      <w:ind w:left="720" w:hanging="720"/>
    </w:pPr>
    <w:rPr>
      <w:b/>
      <w:lang w:eastAsia="en-US"/>
    </w:rPr>
  </w:style>
  <w:style w:type="paragraph" w:customStyle="1" w:styleId="questino">
    <w:name w:val="questino"/>
    <w:basedOn w:val="Normal"/>
    <w:pPr>
      <w:spacing w:line="480" w:lineRule="auto"/>
      <w:ind w:left="720" w:hanging="720"/>
    </w:pPr>
    <w:rPr>
      <w:b/>
      <w:lang w:eastAsia="en-US"/>
    </w:rPr>
  </w:style>
  <w:style w:type="paragraph" w:customStyle="1" w:styleId="answser">
    <w:name w:val="answser"/>
    <w:basedOn w:val="Normal"/>
    <w:pPr>
      <w:spacing w:line="480" w:lineRule="auto"/>
      <w:ind w:left="720" w:hanging="720"/>
    </w:pPr>
    <w:rPr>
      <w:lang w:eastAsia="en-US"/>
    </w:rPr>
  </w:style>
  <w:style w:type="paragraph" w:customStyle="1" w:styleId="Answer1">
    <w:name w:val="Answer"/>
    <w:basedOn w:val="Normal"/>
    <w:pPr>
      <w:spacing w:before="120" w:after="120" w:line="480" w:lineRule="auto"/>
      <w:ind w:left="720" w:hanging="720"/>
    </w:pPr>
  </w:style>
  <w:style w:type="character" w:customStyle="1" w:styleId="zzmpTrailerItem">
    <w:name w:val="zzmpTrailerItem"/>
    <w:basedOn w:val="DefaultParagraphFont"/>
    <w:rsid w:val="001C239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ainChar">
    <w:name w:val="plain Char"/>
    <w:basedOn w:val="DefaultParagraphFont"/>
    <w:link w:val="plain"/>
    <w:rsid w:val="006E1EF9"/>
    <w:rPr>
      <w:sz w:val="24"/>
      <w:lang w:val="en-US" w:eastAsia="zh-CN" w:bidi="ar-SA"/>
    </w:rPr>
  </w:style>
  <w:style w:type="table" w:styleId="TableGrid">
    <w:name w:val="Table Grid"/>
    <w:basedOn w:val="TableNormal"/>
    <w:rsid w:val="00FB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047"/>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274">
      <w:bodyDiv w:val="1"/>
      <w:marLeft w:val="0"/>
      <w:marRight w:val="0"/>
      <w:marTop w:val="0"/>
      <w:marBottom w:val="0"/>
      <w:divBdr>
        <w:top w:val="none" w:sz="0" w:space="0" w:color="auto"/>
        <w:left w:val="none" w:sz="0" w:space="0" w:color="auto"/>
        <w:bottom w:val="none" w:sz="0" w:space="0" w:color="auto"/>
        <w:right w:val="none" w:sz="0" w:space="0" w:color="auto"/>
      </w:divBdr>
    </w:div>
    <w:div w:id="200359531">
      <w:bodyDiv w:val="1"/>
      <w:marLeft w:val="0"/>
      <w:marRight w:val="0"/>
      <w:marTop w:val="0"/>
      <w:marBottom w:val="0"/>
      <w:divBdr>
        <w:top w:val="none" w:sz="0" w:space="0" w:color="auto"/>
        <w:left w:val="none" w:sz="0" w:space="0" w:color="auto"/>
        <w:bottom w:val="none" w:sz="0" w:space="0" w:color="auto"/>
        <w:right w:val="none" w:sz="0" w:space="0" w:color="auto"/>
      </w:divBdr>
    </w:div>
    <w:div w:id="278530483">
      <w:bodyDiv w:val="1"/>
      <w:marLeft w:val="0"/>
      <w:marRight w:val="0"/>
      <w:marTop w:val="0"/>
      <w:marBottom w:val="0"/>
      <w:divBdr>
        <w:top w:val="none" w:sz="0" w:space="0" w:color="auto"/>
        <w:left w:val="none" w:sz="0" w:space="0" w:color="auto"/>
        <w:bottom w:val="none" w:sz="0" w:space="0" w:color="auto"/>
        <w:right w:val="none" w:sz="0" w:space="0" w:color="auto"/>
      </w:divBdr>
    </w:div>
    <w:div w:id="360588597">
      <w:bodyDiv w:val="1"/>
      <w:marLeft w:val="0"/>
      <w:marRight w:val="0"/>
      <w:marTop w:val="0"/>
      <w:marBottom w:val="0"/>
      <w:divBdr>
        <w:top w:val="none" w:sz="0" w:space="0" w:color="auto"/>
        <w:left w:val="none" w:sz="0" w:space="0" w:color="auto"/>
        <w:bottom w:val="none" w:sz="0" w:space="0" w:color="auto"/>
        <w:right w:val="none" w:sz="0" w:space="0" w:color="auto"/>
      </w:divBdr>
    </w:div>
    <w:div w:id="492796531">
      <w:bodyDiv w:val="1"/>
      <w:marLeft w:val="0"/>
      <w:marRight w:val="0"/>
      <w:marTop w:val="0"/>
      <w:marBottom w:val="0"/>
      <w:divBdr>
        <w:top w:val="none" w:sz="0" w:space="0" w:color="auto"/>
        <w:left w:val="none" w:sz="0" w:space="0" w:color="auto"/>
        <w:bottom w:val="none" w:sz="0" w:space="0" w:color="auto"/>
        <w:right w:val="none" w:sz="0" w:space="0" w:color="auto"/>
      </w:divBdr>
    </w:div>
    <w:div w:id="540282801">
      <w:bodyDiv w:val="1"/>
      <w:marLeft w:val="0"/>
      <w:marRight w:val="0"/>
      <w:marTop w:val="0"/>
      <w:marBottom w:val="0"/>
      <w:divBdr>
        <w:top w:val="none" w:sz="0" w:space="0" w:color="auto"/>
        <w:left w:val="none" w:sz="0" w:space="0" w:color="auto"/>
        <w:bottom w:val="none" w:sz="0" w:space="0" w:color="auto"/>
        <w:right w:val="none" w:sz="0" w:space="0" w:color="auto"/>
      </w:divBdr>
      <w:divsChild>
        <w:div w:id="1039742330">
          <w:marLeft w:val="0"/>
          <w:marRight w:val="0"/>
          <w:marTop w:val="0"/>
          <w:marBottom w:val="0"/>
          <w:divBdr>
            <w:top w:val="none" w:sz="0" w:space="0" w:color="auto"/>
            <w:left w:val="none" w:sz="0" w:space="0" w:color="auto"/>
            <w:bottom w:val="none" w:sz="0" w:space="0" w:color="auto"/>
            <w:right w:val="none" w:sz="0" w:space="0" w:color="auto"/>
          </w:divBdr>
          <w:divsChild>
            <w:div w:id="1123572801">
              <w:marLeft w:val="0"/>
              <w:marRight w:val="0"/>
              <w:marTop w:val="0"/>
              <w:marBottom w:val="0"/>
              <w:divBdr>
                <w:top w:val="none" w:sz="0" w:space="0" w:color="auto"/>
                <w:left w:val="none" w:sz="0" w:space="0" w:color="auto"/>
                <w:bottom w:val="none" w:sz="0" w:space="0" w:color="auto"/>
                <w:right w:val="none" w:sz="0" w:space="0" w:color="auto"/>
              </w:divBdr>
              <w:divsChild>
                <w:div w:id="9573773">
                  <w:marLeft w:val="0"/>
                  <w:marRight w:val="0"/>
                  <w:marTop w:val="0"/>
                  <w:marBottom w:val="0"/>
                  <w:divBdr>
                    <w:top w:val="none" w:sz="0" w:space="0" w:color="auto"/>
                    <w:left w:val="none" w:sz="0" w:space="0" w:color="auto"/>
                    <w:bottom w:val="none" w:sz="0" w:space="0" w:color="auto"/>
                    <w:right w:val="none" w:sz="0" w:space="0" w:color="auto"/>
                  </w:divBdr>
                  <w:divsChild>
                    <w:div w:id="1184829928">
                      <w:marLeft w:val="0"/>
                      <w:marRight w:val="0"/>
                      <w:marTop w:val="0"/>
                      <w:marBottom w:val="0"/>
                      <w:divBdr>
                        <w:top w:val="none" w:sz="0" w:space="0" w:color="auto"/>
                        <w:left w:val="none" w:sz="0" w:space="0" w:color="auto"/>
                        <w:bottom w:val="none" w:sz="0" w:space="0" w:color="auto"/>
                        <w:right w:val="none" w:sz="0" w:space="0" w:color="auto"/>
                      </w:divBdr>
                      <w:divsChild>
                        <w:div w:id="68119805">
                          <w:marLeft w:val="0"/>
                          <w:marRight w:val="0"/>
                          <w:marTop w:val="0"/>
                          <w:marBottom w:val="0"/>
                          <w:divBdr>
                            <w:top w:val="none" w:sz="0" w:space="0" w:color="auto"/>
                            <w:left w:val="none" w:sz="0" w:space="0" w:color="auto"/>
                            <w:bottom w:val="none" w:sz="0" w:space="0" w:color="auto"/>
                            <w:right w:val="none" w:sz="0" w:space="0" w:color="auto"/>
                          </w:divBdr>
                        </w:div>
                        <w:div w:id="1143694622">
                          <w:marLeft w:val="0"/>
                          <w:marRight w:val="0"/>
                          <w:marTop w:val="0"/>
                          <w:marBottom w:val="0"/>
                          <w:divBdr>
                            <w:top w:val="none" w:sz="0" w:space="0" w:color="auto"/>
                            <w:left w:val="none" w:sz="0" w:space="0" w:color="auto"/>
                            <w:bottom w:val="none" w:sz="0" w:space="0" w:color="auto"/>
                            <w:right w:val="none" w:sz="0" w:space="0" w:color="auto"/>
                          </w:divBdr>
                        </w:div>
                        <w:div w:id="501894217">
                          <w:marLeft w:val="0"/>
                          <w:marRight w:val="0"/>
                          <w:marTop w:val="0"/>
                          <w:marBottom w:val="0"/>
                          <w:divBdr>
                            <w:top w:val="none" w:sz="0" w:space="0" w:color="auto"/>
                            <w:left w:val="none" w:sz="0" w:space="0" w:color="auto"/>
                            <w:bottom w:val="none" w:sz="0" w:space="0" w:color="auto"/>
                            <w:right w:val="none" w:sz="0" w:space="0" w:color="auto"/>
                          </w:divBdr>
                          <w:divsChild>
                            <w:div w:id="832793328">
                              <w:marLeft w:val="0"/>
                              <w:marRight w:val="0"/>
                              <w:marTop w:val="0"/>
                              <w:marBottom w:val="0"/>
                              <w:divBdr>
                                <w:top w:val="none" w:sz="0" w:space="0" w:color="auto"/>
                                <w:left w:val="none" w:sz="0" w:space="0" w:color="auto"/>
                                <w:bottom w:val="none" w:sz="0" w:space="0" w:color="auto"/>
                                <w:right w:val="none" w:sz="0" w:space="0" w:color="auto"/>
                              </w:divBdr>
                              <w:divsChild>
                                <w:div w:id="1213225671">
                                  <w:marLeft w:val="0"/>
                                  <w:marRight w:val="0"/>
                                  <w:marTop w:val="0"/>
                                  <w:marBottom w:val="0"/>
                                  <w:divBdr>
                                    <w:top w:val="none" w:sz="0" w:space="0" w:color="auto"/>
                                    <w:left w:val="none" w:sz="0" w:space="0" w:color="auto"/>
                                    <w:bottom w:val="none" w:sz="0" w:space="0" w:color="auto"/>
                                    <w:right w:val="none" w:sz="0" w:space="0" w:color="auto"/>
                                  </w:divBdr>
                                </w:div>
                                <w:div w:id="1654748191">
                                  <w:marLeft w:val="0"/>
                                  <w:marRight w:val="0"/>
                                  <w:marTop w:val="0"/>
                                  <w:marBottom w:val="0"/>
                                  <w:divBdr>
                                    <w:top w:val="none" w:sz="0" w:space="0" w:color="auto"/>
                                    <w:left w:val="none" w:sz="0" w:space="0" w:color="auto"/>
                                    <w:bottom w:val="none" w:sz="0" w:space="0" w:color="auto"/>
                                    <w:right w:val="none" w:sz="0" w:space="0" w:color="auto"/>
                                  </w:divBdr>
                                  <w:divsChild>
                                    <w:div w:id="726882416">
                                      <w:marLeft w:val="0"/>
                                      <w:marRight w:val="0"/>
                                      <w:marTop w:val="0"/>
                                      <w:marBottom w:val="0"/>
                                      <w:divBdr>
                                        <w:top w:val="none" w:sz="0" w:space="0" w:color="auto"/>
                                        <w:left w:val="none" w:sz="0" w:space="0" w:color="auto"/>
                                        <w:bottom w:val="none" w:sz="0" w:space="0" w:color="auto"/>
                                        <w:right w:val="none" w:sz="0" w:space="0" w:color="auto"/>
                                      </w:divBdr>
                                      <w:divsChild>
                                        <w:div w:id="1071074887">
                                          <w:marLeft w:val="0"/>
                                          <w:marRight w:val="0"/>
                                          <w:marTop w:val="0"/>
                                          <w:marBottom w:val="0"/>
                                          <w:divBdr>
                                            <w:top w:val="none" w:sz="0" w:space="0" w:color="auto"/>
                                            <w:left w:val="none" w:sz="0" w:space="0" w:color="auto"/>
                                            <w:bottom w:val="none" w:sz="0" w:space="0" w:color="auto"/>
                                            <w:right w:val="none" w:sz="0" w:space="0" w:color="auto"/>
                                          </w:divBdr>
                                          <w:divsChild>
                                            <w:div w:id="1437017689">
                                              <w:marLeft w:val="0"/>
                                              <w:marRight w:val="0"/>
                                              <w:marTop w:val="0"/>
                                              <w:marBottom w:val="0"/>
                                              <w:divBdr>
                                                <w:top w:val="none" w:sz="0" w:space="0" w:color="auto"/>
                                                <w:left w:val="none" w:sz="0" w:space="0" w:color="auto"/>
                                                <w:bottom w:val="none" w:sz="0" w:space="0" w:color="auto"/>
                                                <w:right w:val="none" w:sz="0" w:space="0" w:color="auto"/>
                                              </w:divBdr>
                                              <w:divsChild>
                                                <w:div w:id="9023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6626">
                                  <w:marLeft w:val="-2190"/>
                                  <w:marRight w:val="0"/>
                                  <w:marTop w:val="0"/>
                                  <w:marBottom w:val="0"/>
                                  <w:divBdr>
                                    <w:top w:val="none" w:sz="0" w:space="0" w:color="auto"/>
                                    <w:left w:val="none" w:sz="0" w:space="0" w:color="auto"/>
                                    <w:bottom w:val="none" w:sz="0" w:space="0" w:color="auto"/>
                                    <w:right w:val="none" w:sz="0" w:space="0" w:color="auto"/>
                                  </w:divBdr>
                                  <w:divsChild>
                                    <w:div w:id="17351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5641">
                          <w:marLeft w:val="0"/>
                          <w:marRight w:val="0"/>
                          <w:marTop w:val="0"/>
                          <w:marBottom w:val="0"/>
                          <w:divBdr>
                            <w:top w:val="none" w:sz="0" w:space="0" w:color="auto"/>
                            <w:left w:val="none" w:sz="0" w:space="0" w:color="auto"/>
                            <w:bottom w:val="none" w:sz="0" w:space="0" w:color="auto"/>
                            <w:right w:val="none" w:sz="0" w:space="0" w:color="auto"/>
                          </w:divBdr>
                          <w:divsChild>
                            <w:div w:id="7619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498398">
          <w:marLeft w:val="0"/>
          <w:marRight w:val="0"/>
          <w:marTop w:val="75"/>
          <w:marBottom w:val="0"/>
          <w:divBdr>
            <w:top w:val="none" w:sz="0" w:space="0" w:color="auto"/>
            <w:left w:val="none" w:sz="0" w:space="0" w:color="auto"/>
            <w:bottom w:val="none" w:sz="0" w:space="0" w:color="auto"/>
            <w:right w:val="none" w:sz="0" w:space="0" w:color="auto"/>
          </w:divBdr>
          <w:divsChild>
            <w:div w:id="1866670164">
              <w:marLeft w:val="0"/>
              <w:marRight w:val="0"/>
              <w:marTop w:val="0"/>
              <w:marBottom w:val="0"/>
              <w:divBdr>
                <w:top w:val="none" w:sz="0" w:space="0" w:color="auto"/>
                <w:left w:val="none" w:sz="0" w:space="0" w:color="auto"/>
                <w:bottom w:val="none" w:sz="0" w:space="0" w:color="auto"/>
                <w:right w:val="none" w:sz="0" w:space="0" w:color="auto"/>
              </w:divBdr>
              <w:divsChild>
                <w:div w:id="57561817">
                  <w:marLeft w:val="0"/>
                  <w:marRight w:val="3930"/>
                  <w:marTop w:val="0"/>
                  <w:marBottom w:val="0"/>
                  <w:divBdr>
                    <w:top w:val="none" w:sz="0" w:space="0" w:color="auto"/>
                    <w:left w:val="none" w:sz="0" w:space="0" w:color="auto"/>
                    <w:bottom w:val="none" w:sz="0" w:space="0" w:color="auto"/>
                    <w:right w:val="none" w:sz="0" w:space="0" w:color="auto"/>
                  </w:divBdr>
                  <w:divsChild>
                    <w:div w:id="1526792269">
                      <w:marLeft w:val="0"/>
                      <w:marRight w:val="0"/>
                      <w:marTop w:val="0"/>
                      <w:marBottom w:val="0"/>
                      <w:divBdr>
                        <w:top w:val="none" w:sz="0" w:space="0" w:color="auto"/>
                        <w:left w:val="none" w:sz="0" w:space="0" w:color="auto"/>
                        <w:bottom w:val="none" w:sz="0" w:space="0" w:color="auto"/>
                        <w:right w:val="none" w:sz="0" w:space="0" w:color="auto"/>
                      </w:divBdr>
                      <w:divsChild>
                        <w:div w:id="21899633">
                          <w:marLeft w:val="0"/>
                          <w:marRight w:val="0"/>
                          <w:marTop w:val="0"/>
                          <w:marBottom w:val="0"/>
                          <w:divBdr>
                            <w:top w:val="none" w:sz="0" w:space="0" w:color="auto"/>
                            <w:left w:val="none" w:sz="0" w:space="0" w:color="auto"/>
                            <w:bottom w:val="none" w:sz="0" w:space="0" w:color="auto"/>
                            <w:right w:val="none" w:sz="0" w:space="0" w:color="auto"/>
                          </w:divBdr>
                          <w:divsChild>
                            <w:div w:id="1654065436">
                              <w:marLeft w:val="0"/>
                              <w:marRight w:val="0"/>
                              <w:marTop w:val="135"/>
                              <w:marBottom w:val="0"/>
                              <w:divBdr>
                                <w:top w:val="none" w:sz="0" w:space="0" w:color="auto"/>
                                <w:left w:val="none" w:sz="0" w:space="0" w:color="auto"/>
                                <w:bottom w:val="none" w:sz="0" w:space="0" w:color="auto"/>
                                <w:right w:val="none" w:sz="0" w:space="0" w:color="auto"/>
                              </w:divBdr>
                              <w:divsChild>
                                <w:div w:id="1184052229">
                                  <w:marLeft w:val="450"/>
                                  <w:marRight w:val="0"/>
                                  <w:marTop w:val="0"/>
                                  <w:marBottom w:val="0"/>
                                  <w:divBdr>
                                    <w:top w:val="none" w:sz="0" w:space="0" w:color="auto"/>
                                    <w:left w:val="none" w:sz="0" w:space="0" w:color="auto"/>
                                    <w:bottom w:val="none" w:sz="0" w:space="0" w:color="auto"/>
                                    <w:right w:val="none" w:sz="0" w:space="0" w:color="auto"/>
                                  </w:divBdr>
                                  <w:divsChild>
                                    <w:div w:id="15932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244210">
      <w:bodyDiv w:val="1"/>
      <w:marLeft w:val="0"/>
      <w:marRight w:val="0"/>
      <w:marTop w:val="0"/>
      <w:marBottom w:val="0"/>
      <w:divBdr>
        <w:top w:val="none" w:sz="0" w:space="0" w:color="auto"/>
        <w:left w:val="none" w:sz="0" w:space="0" w:color="auto"/>
        <w:bottom w:val="none" w:sz="0" w:space="0" w:color="auto"/>
        <w:right w:val="none" w:sz="0" w:space="0" w:color="auto"/>
      </w:divBdr>
    </w:div>
    <w:div w:id="1120496356">
      <w:bodyDiv w:val="1"/>
      <w:marLeft w:val="0"/>
      <w:marRight w:val="0"/>
      <w:marTop w:val="0"/>
      <w:marBottom w:val="0"/>
      <w:divBdr>
        <w:top w:val="none" w:sz="0" w:space="0" w:color="auto"/>
        <w:left w:val="none" w:sz="0" w:space="0" w:color="auto"/>
        <w:bottom w:val="none" w:sz="0" w:space="0" w:color="auto"/>
        <w:right w:val="none" w:sz="0" w:space="0" w:color="auto"/>
      </w:divBdr>
    </w:div>
    <w:div w:id="1154830715">
      <w:bodyDiv w:val="1"/>
      <w:marLeft w:val="0"/>
      <w:marRight w:val="0"/>
      <w:marTop w:val="0"/>
      <w:marBottom w:val="0"/>
      <w:divBdr>
        <w:top w:val="none" w:sz="0" w:space="0" w:color="auto"/>
        <w:left w:val="none" w:sz="0" w:space="0" w:color="auto"/>
        <w:bottom w:val="none" w:sz="0" w:space="0" w:color="auto"/>
        <w:right w:val="none" w:sz="0" w:space="0" w:color="auto"/>
      </w:divBdr>
    </w:div>
    <w:div w:id="1372917512">
      <w:bodyDiv w:val="1"/>
      <w:marLeft w:val="0"/>
      <w:marRight w:val="0"/>
      <w:marTop w:val="0"/>
      <w:marBottom w:val="0"/>
      <w:divBdr>
        <w:top w:val="none" w:sz="0" w:space="0" w:color="auto"/>
        <w:left w:val="none" w:sz="0" w:space="0" w:color="auto"/>
        <w:bottom w:val="none" w:sz="0" w:space="0" w:color="auto"/>
        <w:right w:val="none" w:sz="0" w:space="0" w:color="auto"/>
      </w:divBdr>
    </w:div>
    <w:div w:id="1640719232">
      <w:bodyDiv w:val="1"/>
      <w:marLeft w:val="0"/>
      <w:marRight w:val="0"/>
      <w:marTop w:val="0"/>
      <w:marBottom w:val="0"/>
      <w:divBdr>
        <w:top w:val="none" w:sz="0" w:space="0" w:color="auto"/>
        <w:left w:val="none" w:sz="0" w:space="0" w:color="auto"/>
        <w:bottom w:val="none" w:sz="0" w:space="0" w:color="auto"/>
        <w:right w:val="none" w:sz="0" w:space="0" w:color="auto"/>
      </w:divBdr>
    </w:div>
    <w:div w:id="1666736334">
      <w:bodyDiv w:val="1"/>
      <w:marLeft w:val="0"/>
      <w:marRight w:val="0"/>
      <w:marTop w:val="0"/>
      <w:marBottom w:val="0"/>
      <w:divBdr>
        <w:top w:val="none" w:sz="0" w:space="0" w:color="auto"/>
        <w:left w:val="none" w:sz="0" w:space="0" w:color="auto"/>
        <w:bottom w:val="none" w:sz="0" w:space="0" w:color="auto"/>
        <w:right w:val="none" w:sz="0" w:space="0" w:color="auto"/>
      </w:divBdr>
    </w:div>
    <w:div w:id="1674213041">
      <w:bodyDiv w:val="1"/>
      <w:marLeft w:val="0"/>
      <w:marRight w:val="0"/>
      <w:marTop w:val="0"/>
      <w:marBottom w:val="0"/>
      <w:divBdr>
        <w:top w:val="none" w:sz="0" w:space="0" w:color="auto"/>
        <w:left w:val="none" w:sz="0" w:space="0" w:color="auto"/>
        <w:bottom w:val="none" w:sz="0" w:space="0" w:color="auto"/>
        <w:right w:val="none" w:sz="0" w:space="0" w:color="auto"/>
      </w:divBdr>
    </w:div>
    <w:div w:id="1940216747">
      <w:bodyDiv w:val="1"/>
      <w:marLeft w:val="0"/>
      <w:marRight w:val="0"/>
      <w:marTop w:val="0"/>
      <w:marBottom w:val="0"/>
      <w:divBdr>
        <w:top w:val="none" w:sz="0" w:space="0" w:color="auto"/>
        <w:left w:val="none" w:sz="0" w:space="0" w:color="auto"/>
        <w:bottom w:val="none" w:sz="0" w:space="0" w:color="auto"/>
        <w:right w:val="none" w:sz="0" w:space="0" w:color="auto"/>
      </w:divBdr>
    </w:div>
    <w:div w:id="20908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6\TEMPLATE\PC-OR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2016-12-15T08:00:00+00:00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289F2B-1E8A-4B57-ADF3-F61FEF943D2E}">
  <ds:schemaRefs>
    <ds:schemaRef ds:uri="http://schemas.openxmlformats.org/officeDocument/2006/bibliography"/>
  </ds:schemaRefs>
</ds:datastoreItem>
</file>

<file path=customXml/itemProps2.xml><?xml version="1.0" encoding="utf-8"?>
<ds:datastoreItem xmlns:ds="http://schemas.openxmlformats.org/officeDocument/2006/customXml" ds:itemID="{2E35FC5E-4637-4270-BF8B-AF21E672AE5D}"/>
</file>

<file path=customXml/itemProps3.xml><?xml version="1.0" encoding="utf-8"?>
<ds:datastoreItem xmlns:ds="http://schemas.openxmlformats.org/officeDocument/2006/customXml" ds:itemID="{6E7A6635-AD5F-4EAE-A7E9-2FD16D6055FA}"/>
</file>

<file path=customXml/itemProps4.xml><?xml version="1.0" encoding="utf-8"?>
<ds:datastoreItem xmlns:ds="http://schemas.openxmlformats.org/officeDocument/2006/customXml" ds:itemID="{F92308F5-8ADB-4A2B-AE87-518E3DBF6A7F}"/>
</file>

<file path=customXml/itemProps5.xml><?xml version="1.0" encoding="utf-8"?>
<ds:datastoreItem xmlns:ds="http://schemas.openxmlformats.org/officeDocument/2006/customXml" ds:itemID="{ADB08BF8-3E3C-44F6-8526-0712D6F1C3B3}"/>
</file>

<file path=docProps/app.xml><?xml version="1.0" encoding="utf-8"?>
<Properties xmlns="http://schemas.openxmlformats.org/officeDocument/2006/extended-properties" xmlns:vt="http://schemas.openxmlformats.org/officeDocument/2006/docPropsVTypes">
  <Template>PC-OR_T.DOT</Template>
  <TotalTime>44</TotalTime>
  <Pages>16</Pages>
  <Words>3058</Words>
  <Characters>17434</Characters>
  <Application>Microsoft Office Word</Application>
  <DocSecurity>0</DocSecurity>
  <PresentationFormat/>
  <Lines>145</Lines>
  <Paragraphs>40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20452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7</cp:revision>
  <cp:lastPrinted>2016-12-14T21:26:00Z</cp:lastPrinted>
  <dcterms:created xsi:type="dcterms:W3CDTF">2016-12-14T21:49:00Z</dcterms:created>
  <dcterms:modified xsi:type="dcterms:W3CDTF">2016-12-15T22:50:00Z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GEAAO+/T9t20xwlr9Al3uzV//ImCw8VJqOZSK+U7HU0i9CiZW3tY8YrMg5KCiiI1TutDGnZmT22ZWg2m
vJRkoIqGvOrnt/noNNZKConfPU8GR3fB7XSNg60KJHO5Q/iOy27PTzvG8kIF/wdiFajBhURb00H9
5JZyFtNWICY/56qNMkqHn9OI34eWtTwoH2aRgiC2WJjl+UmOo/sLUqzJkkTWwRYUHJPY/Q6B31XG
RyXkHdXGH0muEH7Nd</vt:lpwstr>
  </property>
  <property fmtid="{D5CDD505-2E9C-101B-9397-08002B2CF9AE}" pid="3" name="MAIL_MSG_ID2">
    <vt:lpwstr>dKNaXmAJgGy</vt:lpwstr>
  </property>
  <property fmtid="{D5CDD505-2E9C-101B-9397-08002B2CF9AE}" pid="4" name="RESPONSE_SENDER_NAME">
    <vt:lpwstr>ABAAv4tRYjpfjUvZbI4OT6KLQXJ2WYRZ1/5zd2kGNho67IJV6fQYPypVeR0NSydkmZ+s</vt:lpwstr>
  </property>
  <property fmtid="{D5CDD505-2E9C-101B-9397-08002B2CF9AE}" pid="5" name="EMAIL_OWNER_ADDRESS">
    <vt:lpwstr>4AAAUmLmXdMZevSoixPTPtXFkVwZozOSC7OzjZcjl+iZcxSAC+1k9ztNSg==</vt:lpwstr>
  </property>
  <property fmtid="{D5CDD505-2E9C-101B-9397-08002B2CF9AE}" pid="6" name="ContentTypeId">
    <vt:lpwstr>0x0101006E56B4D1795A2E4DB2F0B01679ED314A00DBE2A0141768AF4E89439EBF38DDE370</vt:lpwstr>
  </property>
  <property fmtid="{D5CDD505-2E9C-101B-9397-08002B2CF9AE}" pid="7" name="_docset_NoMedatataSyncRequired">
    <vt:lpwstr>False</vt:lpwstr>
  </property>
</Properties>
</file>