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A05B" w14:textId="77777777" w:rsidR="00B7218D" w:rsidRPr="00B7218D" w:rsidRDefault="00B7218D" w:rsidP="001564E7">
      <w:pPr>
        <w:spacing w:line="240" w:lineRule="auto"/>
        <w:ind w:left="4320" w:firstLine="0"/>
        <w:rPr>
          <w:b/>
        </w:rPr>
      </w:pPr>
      <w:proofErr w:type="spellStart"/>
      <w:r w:rsidRPr="00B7218D">
        <w:rPr>
          <w:b/>
        </w:rPr>
        <w:t>EXH</w:t>
      </w:r>
      <w:proofErr w:type="spellEnd"/>
      <w:r w:rsidRPr="00B7218D">
        <w:rPr>
          <w:b/>
        </w:rPr>
        <w:t>. DAD-7T</w:t>
      </w:r>
      <w:r w:rsidRPr="00B7218D">
        <w:rPr>
          <w:b/>
        </w:rPr>
        <w:br/>
        <w:t>DOCKETS UE-170033/UG-170034</w:t>
      </w:r>
      <w:r w:rsidRPr="00B7218D">
        <w:rPr>
          <w:b/>
        </w:rPr>
        <w:br/>
        <w:t>2017 PSE GENERAL RATE CASE</w:t>
      </w:r>
      <w:r w:rsidRPr="00B7218D">
        <w:rPr>
          <w:b/>
        </w:rPr>
        <w:br/>
        <w:t>WITNESS: DANIEL A. DOYLE</w:t>
      </w:r>
    </w:p>
    <w:p w14:paraId="213F6C45" w14:textId="77777777" w:rsidR="00B7218D" w:rsidRPr="00B7218D" w:rsidRDefault="00B7218D" w:rsidP="001564E7">
      <w:pPr>
        <w:spacing w:before="1200" w:line="240" w:lineRule="auto"/>
        <w:ind w:firstLine="0"/>
        <w:jc w:val="center"/>
        <w:rPr>
          <w:b/>
        </w:rPr>
      </w:pPr>
      <w:r w:rsidRPr="00B7218D">
        <w:rPr>
          <w:b/>
        </w:rPr>
        <w:t>BEFORE THE</w:t>
      </w:r>
    </w:p>
    <w:p w14:paraId="19296929" w14:textId="77777777" w:rsidR="00B7218D" w:rsidRPr="00B7218D" w:rsidRDefault="00B7218D" w:rsidP="001564E7">
      <w:pPr>
        <w:spacing w:after="720" w:line="240" w:lineRule="auto"/>
        <w:ind w:firstLine="0"/>
        <w:jc w:val="center"/>
        <w:rPr>
          <w:b/>
        </w:rPr>
      </w:pPr>
      <w:r w:rsidRPr="00B7218D">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B7218D" w:rsidRPr="00B7218D" w14:paraId="5AB9CBAF" w14:textId="77777777" w:rsidTr="00190924">
        <w:trPr>
          <w:cantSplit/>
        </w:trPr>
        <w:tc>
          <w:tcPr>
            <w:tcW w:w="4418" w:type="dxa"/>
            <w:tcBorders>
              <w:bottom w:val="single" w:sz="4" w:space="0" w:color="auto"/>
              <w:right w:val="single" w:sz="4" w:space="0" w:color="auto"/>
            </w:tcBorders>
          </w:tcPr>
          <w:p w14:paraId="64B4186B" w14:textId="77777777" w:rsidR="00B7218D" w:rsidRPr="00B7218D" w:rsidRDefault="00B7218D" w:rsidP="001564E7">
            <w:pPr>
              <w:spacing w:line="240" w:lineRule="auto"/>
              <w:ind w:firstLine="0"/>
              <w:rPr>
                <w:b/>
              </w:rPr>
            </w:pPr>
            <w:r w:rsidRPr="00B7218D">
              <w:rPr>
                <w:b/>
              </w:rPr>
              <w:t>WASHINGTON UTILITIES AND</w:t>
            </w:r>
          </w:p>
          <w:p w14:paraId="6C19A87F" w14:textId="77777777" w:rsidR="00B7218D" w:rsidRPr="00B7218D" w:rsidRDefault="00B7218D" w:rsidP="001564E7">
            <w:pPr>
              <w:spacing w:after="240" w:line="240" w:lineRule="auto"/>
              <w:ind w:firstLine="0"/>
              <w:rPr>
                <w:b/>
              </w:rPr>
            </w:pPr>
            <w:r w:rsidRPr="00B7218D">
              <w:rPr>
                <w:b/>
              </w:rPr>
              <w:t>TRANSPORTATION COMMISSION,</w:t>
            </w:r>
          </w:p>
          <w:p w14:paraId="2F61F1FF" w14:textId="77777777" w:rsidR="00B7218D" w:rsidRPr="00B7218D" w:rsidRDefault="00B7218D" w:rsidP="001564E7">
            <w:pPr>
              <w:spacing w:after="240" w:line="240" w:lineRule="auto"/>
              <w:ind w:left="2438" w:firstLine="0"/>
              <w:rPr>
                <w:b/>
              </w:rPr>
            </w:pPr>
            <w:r w:rsidRPr="00B7218D">
              <w:rPr>
                <w:b/>
              </w:rPr>
              <w:t>Complainant,</w:t>
            </w:r>
          </w:p>
          <w:p w14:paraId="5B8D7FA7" w14:textId="77777777" w:rsidR="00B7218D" w:rsidRPr="00B7218D" w:rsidRDefault="00B7218D" w:rsidP="001564E7">
            <w:pPr>
              <w:spacing w:after="240" w:line="240" w:lineRule="auto"/>
              <w:ind w:left="728" w:firstLine="0"/>
              <w:rPr>
                <w:b/>
              </w:rPr>
            </w:pPr>
            <w:r w:rsidRPr="00B7218D">
              <w:rPr>
                <w:b/>
              </w:rPr>
              <w:t>v.</w:t>
            </w:r>
          </w:p>
          <w:p w14:paraId="5E671676" w14:textId="77777777" w:rsidR="00B7218D" w:rsidRPr="00B7218D" w:rsidRDefault="00B7218D" w:rsidP="001564E7">
            <w:pPr>
              <w:spacing w:after="240" w:line="240" w:lineRule="auto"/>
              <w:ind w:left="8" w:firstLine="0"/>
              <w:rPr>
                <w:b/>
              </w:rPr>
            </w:pPr>
            <w:r w:rsidRPr="00B7218D">
              <w:rPr>
                <w:b/>
              </w:rPr>
              <w:t>PUGET SOUND ENERGY,</w:t>
            </w:r>
          </w:p>
          <w:p w14:paraId="33D5A32E" w14:textId="77777777" w:rsidR="00B7218D" w:rsidRPr="00B7218D" w:rsidRDefault="00B7218D" w:rsidP="001564E7">
            <w:pPr>
              <w:spacing w:after="240" w:line="240" w:lineRule="auto"/>
              <w:ind w:left="2438" w:firstLine="0"/>
              <w:rPr>
                <w:b/>
              </w:rPr>
            </w:pPr>
            <w:r w:rsidRPr="00B7218D">
              <w:rPr>
                <w:b/>
              </w:rPr>
              <w:t>Respondent.</w:t>
            </w:r>
          </w:p>
        </w:tc>
        <w:tc>
          <w:tcPr>
            <w:tcW w:w="360" w:type="dxa"/>
            <w:tcBorders>
              <w:left w:val="single" w:sz="4" w:space="0" w:color="auto"/>
            </w:tcBorders>
          </w:tcPr>
          <w:p w14:paraId="25E1EE49" w14:textId="77777777" w:rsidR="00B7218D" w:rsidRPr="00B7218D" w:rsidRDefault="00B7218D" w:rsidP="001564E7">
            <w:pPr>
              <w:spacing w:line="240" w:lineRule="auto"/>
              <w:rPr>
                <w:b/>
              </w:rPr>
            </w:pPr>
          </w:p>
        </w:tc>
        <w:tc>
          <w:tcPr>
            <w:tcW w:w="4423" w:type="dxa"/>
            <w:vAlign w:val="center"/>
          </w:tcPr>
          <w:p w14:paraId="677F2070" w14:textId="77777777" w:rsidR="00B7218D" w:rsidRPr="00B7218D" w:rsidRDefault="00B7218D" w:rsidP="001564E7">
            <w:pPr>
              <w:spacing w:line="240" w:lineRule="auto"/>
              <w:ind w:left="198" w:firstLine="0"/>
              <w:rPr>
                <w:b/>
              </w:rPr>
            </w:pPr>
            <w:r w:rsidRPr="00B7218D">
              <w:rPr>
                <w:b/>
              </w:rPr>
              <w:t>Docket UE-170033</w:t>
            </w:r>
          </w:p>
          <w:p w14:paraId="130C5231" w14:textId="77777777" w:rsidR="00B7218D" w:rsidRPr="00B7218D" w:rsidRDefault="00B7218D" w:rsidP="001564E7">
            <w:pPr>
              <w:spacing w:line="240" w:lineRule="auto"/>
              <w:ind w:left="198" w:firstLine="0"/>
              <w:rPr>
                <w:b/>
              </w:rPr>
            </w:pPr>
            <w:r w:rsidRPr="00B7218D">
              <w:rPr>
                <w:b/>
              </w:rPr>
              <w:t>Docket UG-170034</w:t>
            </w:r>
          </w:p>
        </w:tc>
      </w:tr>
    </w:tbl>
    <w:p w14:paraId="24C7E705" w14:textId="62D0600B" w:rsidR="00B7218D" w:rsidRPr="00B7218D" w:rsidRDefault="00B7218D" w:rsidP="001564E7">
      <w:pPr>
        <w:spacing w:before="720" w:line="240" w:lineRule="auto"/>
        <w:ind w:firstLine="0"/>
        <w:jc w:val="center"/>
        <w:rPr>
          <w:b/>
        </w:rPr>
      </w:pPr>
      <w:proofErr w:type="spellStart"/>
      <w:r w:rsidRPr="00B7218D">
        <w:rPr>
          <w:b/>
        </w:rPr>
        <w:t>PREFILED</w:t>
      </w:r>
      <w:proofErr w:type="spellEnd"/>
      <w:r w:rsidRPr="00B7218D">
        <w:rPr>
          <w:b/>
        </w:rPr>
        <w:t xml:space="preserve"> REBUTTAL TESTIMONY</w:t>
      </w:r>
      <w:r w:rsidR="008D0D1C">
        <w:rPr>
          <w:b/>
        </w:rPr>
        <w:br/>
      </w:r>
      <w:r w:rsidRPr="00B7218D">
        <w:rPr>
          <w:b/>
        </w:rPr>
        <w:t>(</w:t>
      </w:r>
      <w:proofErr w:type="spellStart"/>
      <w:r w:rsidRPr="00B7218D">
        <w:rPr>
          <w:b/>
        </w:rPr>
        <w:t>NONCONFIDENTIAL</w:t>
      </w:r>
      <w:proofErr w:type="spellEnd"/>
      <w:r w:rsidRPr="00B7218D">
        <w:rPr>
          <w:b/>
        </w:rPr>
        <w:t>) OF</w:t>
      </w:r>
    </w:p>
    <w:p w14:paraId="23F67A9E" w14:textId="77777777" w:rsidR="00B7218D" w:rsidRPr="00B7218D" w:rsidRDefault="00B7218D" w:rsidP="001564E7">
      <w:pPr>
        <w:spacing w:before="240" w:after="240" w:line="240" w:lineRule="auto"/>
        <w:ind w:firstLine="0"/>
        <w:jc w:val="center"/>
        <w:rPr>
          <w:b/>
        </w:rPr>
      </w:pPr>
      <w:r w:rsidRPr="00B7218D">
        <w:rPr>
          <w:b/>
        </w:rPr>
        <w:t>DANIEL A. DOYLE</w:t>
      </w:r>
    </w:p>
    <w:p w14:paraId="41CAC408" w14:textId="77777777" w:rsidR="00B7218D" w:rsidRPr="00B7218D" w:rsidRDefault="00B7218D" w:rsidP="001564E7">
      <w:pPr>
        <w:spacing w:after="3840" w:line="240" w:lineRule="auto"/>
        <w:ind w:firstLine="0"/>
        <w:jc w:val="center"/>
        <w:rPr>
          <w:b/>
        </w:rPr>
      </w:pPr>
      <w:r w:rsidRPr="00B7218D">
        <w:rPr>
          <w:b/>
        </w:rPr>
        <w:t>ON BEHALF OF PUGET SOUND ENERGY</w:t>
      </w:r>
    </w:p>
    <w:p w14:paraId="1ACF4F6F" w14:textId="77777777" w:rsidR="00B7218D" w:rsidRPr="00B7218D" w:rsidRDefault="00B7218D" w:rsidP="001564E7">
      <w:pPr>
        <w:spacing w:line="240" w:lineRule="auto"/>
        <w:ind w:firstLine="0"/>
        <w:jc w:val="center"/>
        <w:rPr>
          <w:b/>
          <w:bCs/>
          <w:szCs w:val="24"/>
        </w:rPr>
      </w:pPr>
      <w:r w:rsidRPr="00B7218D">
        <w:rPr>
          <w:b/>
        </w:rPr>
        <w:t>AUGUST 9, 2017</w:t>
      </w:r>
    </w:p>
    <w:p w14:paraId="1E2717B7" w14:textId="77777777" w:rsidR="00B7218D" w:rsidRPr="00B7218D" w:rsidRDefault="00B7218D" w:rsidP="001564E7">
      <w:pPr>
        <w:spacing w:line="240" w:lineRule="auto"/>
        <w:ind w:firstLine="0"/>
        <w:jc w:val="center"/>
        <w:rPr>
          <w:b/>
          <w:bCs/>
          <w:szCs w:val="24"/>
        </w:rPr>
        <w:sectPr w:rsidR="00B7218D" w:rsidRPr="00B7218D">
          <w:headerReference w:type="default" r:id="rId9"/>
          <w:pgSz w:w="12240" w:h="15840" w:code="1"/>
          <w:pgMar w:top="1440" w:right="1440" w:bottom="1440" w:left="2160" w:header="720" w:footer="864" w:gutter="0"/>
          <w:pgNumType w:start="1"/>
          <w:cols w:space="720"/>
          <w:rtlGutter/>
        </w:sectPr>
      </w:pPr>
    </w:p>
    <w:p w14:paraId="6B9C9006" w14:textId="77777777" w:rsidR="008D0D1C" w:rsidRDefault="00B7218D" w:rsidP="001564E7">
      <w:pPr>
        <w:spacing w:after="480" w:line="240" w:lineRule="auto"/>
        <w:ind w:left="720" w:right="720" w:firstLine="0"/>
        <w:jc w:val="center"/>
        <w:rPr>
          <w:b/>
          <w:bCs/>
          <w:szCs w:val="24"/>
        </w:rPr>
      </w:pPr>
      <w:r w:rsidRPr="00B7218D">
        <w:rPr>
          <w:b/>
          <w:bCs/>
          <w:szCs w:val="24"/>
        </w:rPr>
        <w:lastRenderedPageBreak/>
        <w:t>PUGET SOUND ENERGY</w:t>
      </w:r>
      <w:bookmarkStart w:id="0" w:name="TOCTitle"/>
    </w:p>
    <w:p w14:paraId="1EA91F13" w14:textId="704E1782" w:rsidR="00B7218D" w:rsidRPr="00B7218D" w:rsidRDefault="00B7218D" w:rsidP="001564E7">
      <w:pPr>
        <w:spacing w:after="480" w:line="240" w:lineRule="auto"/>
        <w:ind w:left="720" w:right="720" w:firstLine="0"/>
        <w:jc w:val="center"/>
        <w:rPr>
          <w:b/>
          <w:bCs/>
          <w:szCs w:val="24"/>
        </w:rPr>
      </w:pPr>
      <w:proofErr w:type="spellStart"/>
      <w:r w:rsidRPr="00B7218D">
        <w:rPr>
          <w:b/>
        </w:rPr>
        <w:t>PREFILED</w:t>
      </w:r>
      <w:proofErr w:type="spellEnd"/>
      <w:r w:rsidRPr="00B7218D">
        <w:rPr>
          <w:b/>
        </w:rPr>
        <w:t xml:space="preserve"> REBUTTAL TESTIMONY</w:t>
      </w:r>
      <w:r w:rsidR="008D0D1C">
        <w:rPr>
          <w:b/>
        </w:rPr>
        <w:br/>
      </w:r>
      <w:r w:rsidRPr="00B7218D">
        <w:rPr>
          <w:b/>
        </w:rPr>
        <w:t>(</w:t>
      </w:r>
      <w:proofErr w:type="spellStart"/>
      <w:r w:rsidRPr="00B7218D">
        <w:rPr>
          <w:b/>
        </w:rPr>
        <w:t>NONCONFIDENTIAL</w:t>
      </w:r>
      <w:proofErr w:type="spellEnd"/>
      <w:r w:rsidRPr="00B7218D">
        <w:rPr>
          <w:b/>
        </w:rPr>
        <w:t>) OF</w:t>
      </w:r>
      <w:r w:rsidR="008D0D1C">
        <w:rPr>
          <w:b/>
        </w:rPr>
        <w:br/>
      </w:r>
      <w:r w:rsidRPr="00B7218D">
        <w:rPr>
          <w:b/>
        </w:rPr>
        <w:t>DANIEL A. DOYLE</w:t>
      </w:r>
    </w:p>
    <w:p w14:paraId="5919E7F4" w14:textId="77777777" w:rsidR="00B7218D" w:rsidRPr="00B7218D" w:rsidRDefault="00B7218D" w:rsidP="001564E7">
      <w:pPr>
        <w:spacing w:after="480" w:line="240" w:lineRule="auto"/>
        <w:ind w:left="720" w:right="720" w:firstLine="0"/>
        <w:jc w:val="center"/>
        <w:rPr>
          <w:b/>
          <w:bCs/>
          <w:szCs w:val="24"/>
        </w:rPr>
      </w:pPr>
      <w:r w:rsidRPr="00B7218D">
        <w:rPr>
          <w:b/>
          <w:bCs/>
        </w:rPr>
        <w:t>CONTENTS</w:t>
      </w:r>
      <w:bookmarkEnd w:id="0"/>
    </w:p>
    <w:p w14:paraId="3796F156" w14:textId="77777777" w:rsidR="00850336" w:rsidRPr="00850336" w:rsidRDefault="00B7218D">
      <w:pPr>
        <w:pStyle w:val="TOC1"/>
        <w:rPr>
          <w:rFonts w:asciiTheme="minorHAnsi" w:eastAsiaTheme="minorEastAsia" w:hAnsiTheme="minorHAnsi" w:cstheme="minorBidi"/>
          <w:color w:val="auto"/>
          <w:sz w:val="22"/>
          <w:szCs w:val="22"/>
          <w:lang w:eastAsia="en-US"/>
        </w:rPr>
      </w:pPr>
      <w:r w:rsidRPr="00850336">
        <w:rPr>
          <w:bCs/>
          <w:color w:val="auto"/>
        </w:rPr>
        <w:fldChar w:fldCharType="begin"/>
      </w:r>
      <w:r w:rsidRPr="00850336">
        <w:rPr>
          <w:bCs/>
          <w:color w:val="auto"/>
        </w:rPr>
        <w:instrText xml:space="preserve"> TOC \o "1-5" \h \z \u </w:instrText>
      </w:r>
      <w:r w:rsidRPr="00850336">
        <w:rPr>
          <w:bCs/>
          <w:color w:val="auto"/>
        </w:rPr>
        <w:fldChar w:fldCharType="separate"/>
      </w:r>
      <w:hyperlink w:anchor="_Toc489949666" w:history="1">
        <w:r w:rsidR="00850336" w:rsidRPr="00850336">
          <w:rPr>
            <w:rStyle w:val="Hyperlink"/>
            <w:color w:val="auto"/>
          </w:rPr>
          <w:t>I.</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INTRODUCTION</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_Toc489949666 \h </w:instrText>
        </w:r>
        <w:r w:rsidR="00850336" w:rsidRPr="00850336">
          <w:rPr>
            <w:webHidden/>
            <w:color w:val="auto"/>
          </w:rPr>
        </w:r>
        <w:r w:rsidR="00850336" w:rsidRPr="00850336">
          <w:rPr>
            <w:webHidden/>
            <w:color w:val="auto"/>
          </w:rPr>
          <w:fldChar w:fldCharType="separate"/>
        </w:r>
        <w:r w:rsidR="00933EE1">
          <w:rPr>
            <w:webHidden/>
            <w:color w:val="auto"/>
          </w:rPr>
          <w:t>1</w:t>
        </w:r>
        <w:r w:rsidR="00850336" w:rsidRPr="00850336">
          <w:rPr>
            <w:webHidden/>
            <w:color w:val="auto"/>
          </w:rPr>
          <w:fldChar w:fldCharType="end"/>
        </w:r>
      </w:hyperlink>
    </w:p>
    <w:p w14:paraId="34B5431D" w14:textId="77777777" w:rsidR="00850336" w:rsidRPr="00850336" w:rsidRDefault="002628D7">
      <w:pPr>
        <w:pStyle w:val="TOC1"/>
        <w:rPr>
          <w:rFonts w:asciiTheme="minorHAnsi" w:eastAsiaTheme="minorEastAsia" w:hAnsiTheme="minorHAnsi" w:cstheme="minorBidi"/>
          <w:color w:val="auto"/>
          <w:sz w:val="22"/>
          <w:szCs w:val="22"/>
          <w:lang w:eastAsia="en-US"/>
        </w:rPr>
      </w:pPr>
      <w:hyperlink w:anchor="_Toc489949667" w:history="1">
        <w:r w:rsidR="00850336" w:rsidRPr="00850336">
          <w:rPr>
            <w:rStyle w:val="Hyperlink"/>
            <w:color w:val="auto"/>
          </w:rPr>
          <w:t>II.</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PSE’S RATE PLAN WAS A SUCCESS FOR PSE AND ITS CUSTOMERS</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_Toc489949667 \h </w:instrText>
        </w:r>
        <w:r w:rsidR="00850336" w:rsidRPr="00850336">
          <w:rPr>
            <w:webHidden/>
            <w:color w:val="auto"/>
          </w:rPr>
        </w:r>
        <w:r w:rsidR="00850336" w:rsidRPr="00850336">
          <w:rPr>
            <w:webHidden/>
            <w:color w:val="auto"/>
          </w:rPr>
          <w:fldChar w:fldCharType="separate"/>
        </w:r>
        <w:r w:rsidR="00933EE1">
          <w:rPr>
            <w:webHidden/>
            <w:color w:val="auto"/>
          </w:rPr>
          <w:t>2</w:t>
        </w:r>
        <w:r w:rsidR="00850336" w:rsidRPr="00850336">
          <w:rPr>
            <w:webHidden/>
            <w:color w:val="auto"/>
          </w:rPr>
          <w:fldChar w:fldCharType="end"/>
        </w:r>
      </w:hyperlink>
    </w:p>
    <w:p w14:paraId="28DC8554"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68" w:history="1">
        <w:r w:rsidR="00850336" w:rsidRPr="00850336">
          <w:rPr>
            <w:rStyle w:val="Hyperlink"/>
            <w:color w:val="auto"/>
          </w:rPr>
          <w:t>A.</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Rate Plan Approved by the Commission in June 2013 Created an Appropriate Balance</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_Toc489949668 \h </w:instrText>
        </w:r>
        <w:r w:rsidR="00850336" w:rsidRPr="00850336">
          <w:rPr>
            <w:webHidden/>
            <w:color w:val="auto"/>
          </w:rPr>
        </w:r>
        <w:r w:rsidR="00850336" w:rsidRPr="00850336">
          <w:rPr>
            <w:webHidden/>
            <w:color w:val="auto"/>
          </w:rPr>
          <w:fldChar w:fldCharType="separate"/>
        </w:r>
        <w:r w:rsidR="00933EE1">
          <w:rPr>
            <w:webHidden/>
            <w:color w:val="auto"/>
          </w:rPr>
          <w:t>2</w:t>
        </w:r>
        <w:r w:rsidR="00850336" w:rsidRPr="00850336">
          <w:rPr>
            <w:webHidden/>
            <w:color w:val="auto"/>
          </w:rPr>
          <w:fldChar w:fldCharType="end"/>
        </w:r>
      </w:hyperlink>
    </w:p>
    <w:p w14:paraId="2EF3C088"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69" w:history="1">
        <w:r w:rsidR="00850336" w:rsidRPr="00850336">
          <w:rPr>
            <w:rStyle w:val="Hyperlink"/>
            <w:color w:val="auto"/>
          </w:rPr>
          <w:t>B.</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 Has Achieved a Cost Per Customer That is Below Increases in PSE’s Historical Growth Rate and the Consumer Price Index</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_Toc489949669 \h </w:instrText>
        </w:r>
        <w:r w:rsidR="00850336" w:rsidRPr="00850336">
          <w:rPr>
            <w:webHidden/>
            <w:color w:val="auto"/>
          </w:rPr>
        </w:r>
        <w:r w:rsidR="00850336" w:rsidRPr="00850336">
          <w:rPr>
            <w:webHidden/>
            <w:color w:val="auto"/>
          </w:rPr>
          <w:fldChar w:fldCharType="separate"/>
        </w:r>
        <w:r w:rsidR="00933EE1">
          <w:rPr>
            <w:webHidden/>
            <w:color w:val="auto"/>
          </w:rPr>
          <w:t>7</w:t>
        </w:r>
        <w:r w:rsidR="00850336" w:rsidRPr="00850336">
          <w:rPr>
            <w:webHidden/>
            <w:color w:val="auto"/>
          </w:rPr>
          <w:fldChar w:fldCharType="end"/>
        </w:r>
      </w:hyperlink>
    </w:p>
    <w:p w14:paraId="582DF327"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0" w:history="1">
        <w:r w:rsidR="00850336" w:rsidRPr="00850336">
          <w:rPr>
            <w:rStyle w:val="Hyperlink"/>
            <w:color w:val="auto"/>
          </w:rPr>
          <w:t>C.</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PSE’s Revenue Decoupling Mechanism Has Worked Well</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_Toc489949670 \h </w:instrText>
        </w:r>
        <w:r w:rsidR="00850336" w:rsidRPr="00850336">
          <w:rPr>
            <w:webHidden/>
            <w:color w:val="auto"/>
          </w:rPr>
        </w:r>
        <w:r w:rsidR="00850336" w:rsidRPr="00850336">
          <w:rPr>
            <w:webHidden/>
            <w:color w:val="auto"/>
          </w:rPr>
          <w:fldChar w:fldCharType="separate"/>
        </w:r>
        <w:r w:rsidR="00933EE1">
          <w:rPr>
            <w:webHidden/>
            <w:color w:val="auto"/>
          </w:rPr>
          <w:t>8</w:t>
        </w:r>
        <w:r w:rsidR="00850336" w:rsidRPr="00850336">
          <w:rPr>
            <w:webHidden/>
            <w:color w:val="auto"/>
          </w:rPr>
          <w:fldChar w:fldCharType="end"/>
        </w:r>
      </w:hyperlink>
    </w:p>
    <w:p w14:paraId="75D5FF86"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1" w:history="1">
        <w:r w:rsidR="00850336" w:rsidRPr="00850336">
          <w:rPr>
            <w:rStyle w:val="Hyperlink"/>
            <w:color w:val="auto"/>
          </w:rPr>
          <w:t>D.</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 Would Not Have Earned Its Authorized Rate of Return Without the Expedited Rate Filing and K-Factor</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_Toc489949671 \h </w:instrText>
        </w:r>
        <w:r w:rsidR="00850336" w:rsidRPr="00850336">
          <w:rPr>
            <w:webHidden/>
            <w:color w:val="auto"/>
          </w:rPr>
        </w:r>
        <w:r w:rsidR="00850336" w:rsidRPr="00850336">
          <w:rPr>
            <w:webHidden/>
            <w:color w:val="auto"/>
          </w:rPr>
          <w:fldChar w:fldCharType="separate"/>
        </w:r>
        <w:r w:rsidR="00933EE1">
          <w:rPr>
            <w:webHidden/>
            <w:color w:val="auto"/>
          </w:rPr>
          <w:t>9</w:t>
        </w:r>
        <w:r w:rsidR="00850336" w:rsidRPr="00850336">
          <w:rPr>
            <w:webHidden/>
            <w:color w:val="auto"/>
          </w:rPr>
          <w:fldChar w:fldCharType="end"/>
        </w:r>
      </w:hyperlink>
    </w:p>
    <w:p w14:paraId="2DB8A826" w14:textId="77777777" w:rsidR="00850336" w:rsidRPr="00850336" w:rsidRDefault="002628D7">
      <w:pPr>
        <w:pStyle w:val="TOC1"/>
        <w:rPr>
          <w:rFonts w:asciiTheme="minorHAnsi" w:eastAsiaTheme="minorEastAsia" w:hAnsiTheme="minorHAnsi" w:cstheme="minorBidi"/>
          <w:color w:val="auto"/>
          <w:sz w:val="22"/>
          <w:szCs w:val="22"/>
          <w:lang w:eastAsia="en-US"/>
        </w:rPr>
      </w:pPr>
      <w:hyperlink w:anchor="_Toc489949672" w:history="1">
        <w:r w:rsidR="00850336" w:rsidRPr="00850336">
          <w:rPr>
            <w:rStyle w:val="Hyperlink"/>
            <w:color w:val="auto"/>
          </w:rPr>
          <w:t>III.</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REJECT COMMISSION STAFF’S PRESUMPTION THAT A RATE REDUCTION IS REASONABLE SIMPLY BECAUSE PSE WAS ABLE TO EARN ITS ALLOWED RATE OF RETURN DURING THE RATE PLAN PERIOD</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_Toc489949672 \h </w:instrText>
        </w:r>
        <w:r w:rsidR="00850336" w:rsidRPr="00850336">
          <w:rPr>
            <w:webHidden/>
            <w:color w:val="auto"/>
          </w:rPr>
        </w:r>
        <w:r w:rsidR="00850336" w:rsidRPr="00850336">
          <w:rPr>
            <w:webHidden/>
            <w:color w:val="auto"/>
          </w:rPr>
          <w:fldChar w:fldCharType="separate"/>
        </w:r>
        <w:r w:rsidR="00933EE1">
          <w:rPr>
            <w:webHidden/>
            <w:color w:val="auto"/>
          </w:rPr>
          <w:t>11</w:t>
        </w:r>
        <w:r w:rsidR="00850336" w:rsidRPr="00850336">
          <w:rPr>
            <w:webHidden/>
            <w:color w:val="auto"/>
          </w:rPr>
          <w:fldChar w:fldCharType="end"/>
        </w:r>
      </w:hyperlink>
    </w:p>
    <w:p w14:paraId="20178602" w14:textId="77777777" w:rsidR="00850336" w:rsidRPr="00850336" w:rsidRDefault="002628D7">
      <w:pPr>
        <w:pStyle w:val="TOC1"/>
        <w:rPr>
          <w:rFonts w:asciiTheme="minorHAnsi" w:eastAsiaTheme="minorEastAsia" w:hAnsiTheme="minorHAnsi" w:cstheme="minorBidi"/>
          <w:color w:val="auto"/>
          <w:sz w:val="22"/>
          <w:szCs w:val="22"/>
          <w:lang w:eastAsia="en-US"/>
        </w:rPr>
      </w:pPr>
      <w:hyperlink w:anchor="_Toc489949673" w:history="1">
        <w:r w:rsidR="00850336" w:rsidRPr="00850336">
          <w:rPr>
            <w:rStyle w:val="Hyperlink"/>
            <w:color w:val="auto"/>
          </w:rPr>
          <w:t>IV.</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PSE’S CASE FAIRLY BALANCES CUSTOMERS’ INTERESTS IN REASONABLE COSTS AND RELIABLE SERVICE AND PSE’S FINANCIAL NEEDS</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_Toc489949673 \h </w:instrText>
        </w:r>
        <w:r w:rsidR="00850336" w:rsidRPr="00850336">
          <w:rPr>
            <w:webHidden/>
            <w:color w:val="auto"/>
          </w:rPr>
        </w:r>
        <w:r w:rsidR="00850336" w:rsidRPr="00850336">
          <w:rPr>
            <w:webHidden/>
            <w:color w:val="auto"/>
          </w:rPr>
          <w:fldChar w:fldCharType="separate"/>
        </w:r>
        <w:r w:rsidR="00933EE1">
          <w:rPr>
            <w:webHidden/>
            <w:color w:val="auto"/>
          </w:rPr>
          <w:t>22</w:t>
        </w:r>
        <w:r w:rsidR="00850336" w:rsidRPr="00850336">
          <w:rPr>
            <w:webHidden/>
            <w:color w:val="auto"/>
          </w:rPr>
          <w:fldChar w:fldCharType="end"/>
        </w:r>
      </w:hyperlink>
    </w:p>
    <w:p w14:paraId="417CCA27"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4" w:history="1">
        <w:r w:rsidR="00850336" w:rsidRPr="00850336">
          <w:rPr>
            <w:rStyle w:val="Hyperlink"/>
            <w:color w:val="auto"/>
          </w:rPr>
          <w:t>A.</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Adopt PSE’s Proposed Electric Cost Recovery Mechanism</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_Toc489949674 \h </w:instrText>
        </w:r>
        <w:r w:rsidR="00850336" w:rsidRPr="00850336">
          <w:rPr>
            <w:webHidden/>
            <w:color w:val="auto"/>
          </w:rPr>
        </w:r>
        <w:r w:rsidR="00850336" w:rsidRPr="00850336">
          <w:rPr>
            <w:webHidden/>
            <w:color w:val="auto"/>
          </w:rPr>
          <w:fldChar w:fldCharType="separate"/>
        </w:r>
        <w:r w:rsidR="00933EE1">
          <w:rPr>
            <w:webHidden/>
            <w:color w:val="auto"/>
          </w:rPr>
          <w:t>22</w:t>
        </w:r>
        <w:r w:rsidR="00850336" w:rsidRPr="00850336">
          <w:rPr>
            <w:webHidden/>
            <w:color w:val="auto"/>
          </w:rPr>
          <w:fldChar w:fldCharType="end"/>
        </w:r>
      </w:hyperlink>
    </w:p>
    <w:p w14:paraId="6B640252"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5" w:history="1">
        <w:r w:rsidR="00850336" w:rsidRPr="00850336">
          <w:rPr>
            <w:rStyle w:val="Hyperlink"/>
            <w:color w:val="auto"/>
          </w:rPr>
          <w:t>B.</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Establish a Formal Process for PSE’s Expedited Rate Filings</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_Toc489949675 \h </w:instrText>
        </w:r>
        <w:r w:rsidR="00850336" w:rsidRPr="00850336">
          <w:rPr>
            <w:webHidden/>
            <w:color w:val="auto"/>
          </w:rPr>
        </w:r>
        <w:r w:rsidR="00850336" w:rsidRPr="00850336">
          <w:rPr>
            <w:webHidden/>
            <w:color w:val="auto"/>
          </w:rPr>
          <w:fldChar w:fldCharType="separate"/>
        </w:r>
        <w:r w:rsidR="00933EE1">
          <w:rPr>
            <w:webHidden/>
            <w:color w:val="auto"/>
          </w:rPr>
          <w:t>27</w:t>
        </w:r>
        <w:r w:rsidR="00850336" w:rsidRPr="00850336">
          <w:rPr>
            <w:webHidden/>
            <w:color w:val="auto"/>
          </w:rPr>
          <w:fldChar w:fldCharType="end"/>
        </w:r>
      </w:hyperlink>
    </w:p>
    <w:p w14:paraId="76BA00EB"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6" w:history="1">
        <w:r w:rsidR="00850336" w:rsidRPr="00850336">
          <w:rPr>
            <w:rStyle w:val="Hyperlink"/>
            <w:color w:val="auto"/>
          </w:rPr>
          <w:t>C.</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Maintain the Current Storm Deferral Methodology, Which Has Worked Well Over the Past Decade</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_Toc489949676 \h </w:instrText>
        </w:r>
        <w:r w:rsidR="00850336" w:rsidRPr="00850336">
          <w:rPr>
            <w:webHidden/>
            <w:color w:val="auto"/>
          </w:rPr>
        </w:r>
        <w:r w:rsidR="00850336" w:rsidRPr="00850336">
          <w:rPr>
            <w:webHidden/>
            <w:color w:val="auto"/>
          </w:rPr>
          <w:fldChar w:fldCharType="separate"/>
        </w:r>
        <w:r w:rsidR="00933EE1">
          <w:rPr>
            <w:webHidden/>
            <w:color w:val="auto"/>
          </w:rPr>
          <w:t>28</w:t>
        </w:r>
        <w:r w:rsidR="00850336" w:rsidRPr="00850336">
          <w:rPr>
            <w:webHidden/>
            <w:color w:val="auto"/>
          </w:rPr>
          <w:fldChar w:fldCharType="end"/>
        </w:r>
      </w:hyperlink>
    </w:p>
    <w:p w14:paraId="58C21E3F"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7" w:history="1">
        <w:r w:rsidR="00850336" w:rsidRPr="00850336">
          <w:rPr>
            <w:rStyle w:val="Hyperlink"/>
            <w:color w:val="auto"/>
          </w:rPr>
          <w:t>D.</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 Proposed Capital Structure Reflects the Regulatory Capital Structure Supporting PSE During the Test Year and the Regulatory Capital Structure Expected to Support PSE During the Rate Year</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_Toc489949677 \h </w:instrText>
        </w:r>
        <w:r w:rsidR="00850336" w:rsidRPr="00850336">
          <w:rPr>
            <w:webHidden/>
            <w:color w:val="auto"/>
          </w:rPr>
        </w:r>
        <w:r w:rsidR="00850336" w:rsidRPr="00850336">
          <w:rPr>
            <w:webHidden/>
            <w:color w:val="auto"/>
          </w:rPr>
          <w:fldChar w:fldCharType="separate"/>
        </w:r>
        <w:r w:rsidR="00933EE1">
          <w:rPr>
            <w:webHidden/>
            <w:color w:val="auto"/>
          </w:rPr>
          <w:t>30</w:t>
        </w:r>
        <w:r w:rsidR="00850336" w:rsidRPr="00850336">
          <w:rPr>
            <w:webHidden/>
            <w:color w:val="auto"/>
          </w:rPr>
          <w:fldChar w:fldCharType="end"/>
        </w:r>
      </w:hyperlink>
    </w:p>
    <w:p w14:paraId="2A0F3FDD"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78" w:history="1">
        <w:r w:rsidR="00850336" w:rsidRPr="00850336">
          <w:rPr>
            <w:rStyle w:val="Hyperlink"/>
            <w:color w:val="auto"/>
          </w:rPr>
          <w:t>E.</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 Proposed Rate of Return of 7.74 Percent is Reasonable and Should be Accepted by the Commission</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_Toc489949678 \h </w:instrText>
        </w:r>
        <w:r w:rsidR="00850336" w:rsidRPr="00850336">
          <w:rPr>
            <w:webHidden/>
            <w:color w:val="auto"/>
          </w:rPr>
        </w:r>
        <w:r w:rsidR="00850336" w:rsidRPr="00850336">
          <w:rPr>
            <w:webHidden/>
            <w:color w:val="auto"/>
          </w:rPr>
          <w:fldChar w:fldCharType="separate"/>
        </w:r>
        <w:r w:rsidR="00933EE1">
          <w:rPr>
            <w:webHidden/>
            <w:color w:val="auto"/>
          </w:rPr>
          <w:t>40</w:t>
        </w:r>
        <w:r w:rsidR="00850336" w:rsidRPr="00850336">
          <w:rPr>
            <w:webHidden/>
            <w:color w:val="auto"/>
          </w:rPr>
          <w:fldChar w:fldCharType="end"/>
        </w:r>
      </w:hyperlink>
    </w:p>
    <w:p w14:paraId="2611C71F" w14:textId="77777777" w:rsidR="00850336" w:rsidRPr="00850336" w:rsidRDefault="002628D7">
      <w:pPr>
        <w:pStyle w:val="TOC3"/>
        <w:rPr>
          <w:rFonts w:asciiTheme="minorHAnsi" w:eastAsiaTheme="minorEastAsia" w:hAnsiTheme="minorHAnsi" w:cstheme="minorBidi"/>
          <w:color w:val="auto"/>
          <w:sz w:val="22"/>
          <w:szCs w:val="22"/>
          <w:lang w:eastAsia="en-US"/>
        </w:rPr>
      </w:pPr>
      <w:hyperlink w:anchor="_Toc489949679" w:history="1">
        <w:r w:rsidR="00850336" w:rsidRPr="00850336">
          <w:rPr>
            <w:rStyle w:val="Hyperlink"/>
            <w:color w:val="auto"/>
          </w:rPr>
          <w:t>1.</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 Proposed Return on Equity of 9.8 Percent is Reasonable and Should be Accepted by the Commission</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_Toc489949679 \h </w:instrText>
        </w:r>
        <w:r w:rsidR="00850336" w:rsidRPr="00850336">
          <w:rPr>
            <w:webHidden/>
            <w:color w:val="auto"/>
          </w:rPr>
        </w:r>
        <w:r w:rsidR="00850336" w:rsidRPr="00850336">
          <w:rPr>
            <w:webHidden/>
            <w:color w:val="auto"/>
          </w:rPr>
          <w:fldChar w:fldCharType="separate"/>
        </w:r>
        <w:r w:rsidR="00933EE1">
          <w:rPr>
            <w:webHidden/>
            <w:color w:val="auto"/>
          </w:rPr>
          <w:t>40</w:t>
        </w:r>
        <w:r w:rsidR="00850336" w:rsidRPr="00850336">
          <w:rPr>
            <w:webHidden/>
            <w:color w:val="auto"/>
          </w:rPr>
          <w:fldChar w:fldCharType="end"/>
        </w:r>
      </w:hyperlink>
    </w:p>
    <w:p w14:paraId="1310AED4" w14:textId="77777777" w:rsidR="00850336" w:rsidRPr="00850336" w:rsidRDefault="002628D7">
      <w:pPr>
        <w:pStyle w:val="TOC3"/>
        <w:rPr>
          <w:rFonts w:asciiTheme="minorHAnsi" w:eastAsiaTheme="minorEastAsia" w:hAnsiTheme="minorHAnsi" w:cstheme="minorBidi"/>
          <w:color w:val="auto"/>
          <w:sz w:val="22"/>
          <w:szCs w:val="22"/>
          <w:lang w:eastAsia="en-US"/>
        </w:rPr>
      </w:pPr>
      <w:hyperlink w:anchor="_Toc489949680" w:history="1">
        <w:r w:rsidR="00850336" w:rsidRPr="00850336">
          <w:rPr>
            <w:rStyle w:val="Hyperlink"/>
            <w:color w:val="auto"/>
          </w:rPr>
          <w:t>2.</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 Proposed Costs of Debt are Reasonable and Should be Accepted by the Commission</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_Toc489949680 \h </w:instrText>
        </w:r>
        <w:r w:rsidR="00850336" w:rsidRPr="00850336">
          <w:rPr>
            <w:webHidden/>
            <w:color w:val="auto"/>
          </w:rPr>
        </w:r>
        <w:r w:rsidR="00850336" w:rsidRPr="00850336">
          <w:rPr>
            <w:webHidden/>
            <w:color w:val="auto"/>
          </w:rPr>
          <w:fldChar w:fldCharType="separate"/>
        </w:r>
        <w:r w:rsidR="00933EE1">
          <w:rPr>
            <w:webHidden/>
            <w:color w:val="auto"/>
          </w:rPr>
          <w:t>43</w:t>
        </w:r>
        <w:r w:rsidR="00850336" w:rsidRPr="00850336">
          <w:rPr>
            <w:webHidden/>
            <w:color w:val="auto"/>
          </w:rPr>
          <w:fldChar w:fldCharType="end"/>
        </w:r>
      </w:hyperlink>
    </w:p>
    <w:p w14:paraId="020FC832" w14:textId="77777777" w:rsidR="00850336" w:rsidRPr="00850336" w:rsidRDefault="002628D7">
      <w:pPr>
        <w:pStyle w:val="TOC1"/>
        <w:rPr>
          <w:rFonts w:asciiTheme="minorHAnsi" w:eastAsiaTheme="minorEastAsia" w:hAnsiTheme="minorHAnsi" w:cstheme="minorBidi"/>
          <w:color w:val="auto"/>
          <w:sz w:val="22"/>
          <w:szCs w:val="22"/>
          <w:lang w:eastAsia="en-US"/>
        </w:rPr>
      </w:pPr>
      <w:hyperlink w:anchor="_Toc489949681" w:history="1">
        <w:r w:rsidR="00850336" w:rsidRPr="00850336">
          <w:rPr>
            <w:rStyle w:val="Hyperlink"/>
            <w:color w:val="auto"/>
          </w:rPr>
          <w:t>V.</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REJECT ICNU’S AND COMMISSION STAFF’S PROPOSALS REGARDING DEPRECIATION/AMORTIZATION, DECOMMISSIONING AND REMEDIATION COSTS OF COLSTRIP UNITS 1 AND 2</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_Toc489949681 \h </w:instrText>
        </w:r>
        <w:r w:rsidR="00850336" w:rsidRPr="00850336">
          <w:rPr>
            <w:webHidden/>
            <w:color w:val="auto"/>
          </w:rPr>
        </w:r>
        <w:r w:rsidR="00850336" w:rsidRPr="00850336">
          <w:rPr>
            <w:webHidden/>
            <w:color w:val="auto"/>
          </w:rPr>
          <w:fldChar w:fldCharType="separate"/>
        </w:r>
        <w:r w:rsidR="00933EE1">
          <w:rPr>
            <w:webHidden/>
            <w:color w:val="auto"/>
          </w:rPr>
          <w:t>46</w:t>
        </w:r>
        <w:r w:rsidR="00850336" w:rsidRPr="00850336">
          <w:rPr>
            <w:webHidden/>
            <w:color w:val="auto"/>
          </w:rPr>
          <w:fldChar w:fldCharType="end"/>
        </w:r>
      </w:hyperlink>
    </w:p>
    <w:p w14:paraId="327FDD16" w14:textId="77777777" w:rsidR="00850336" w:rsidRPr="00850336" w:rsidRDefault="002628D7">
      <w:pPr>
        <w:pStyle w:val="TOC1"/>
        <w:rPr>
          <w:rFonts w:asciiTheme="minorHAnsi" w:eastAsiaTheme="minorEastAsia" w:hAnsiTheme="minorHAnsi" w:cstheme="minorBidi"/>
          <w:color w:val="auto"/>
          <w:sz w:val="22"/>
          <w:szCs w:val="22"/>
          <w:lang w:eastAsia="en-US"/>
        </w:rPr>
      </w:pPr>
      <w:hyperlink w:anchor="_Toc489949682" w:history="1">
        <w:r w:rsidR="00850336" w:rsidRPr="00850336">
          <w:rPr>
            <w:rStyle w:val="Hyperlink"/>
            <w:color w:val="auto"/>
          </w:rPr>
          <w:t>VI.</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PSE’S REVENUE DECOUPLING MECHANISM HAS WORKED WELL AND SHOULD CONTINUE TO WORK WELL WITH THE MINOR ADJUSTMENTS PROPOSED BY PSE</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_Toc489949682 \h </w:instrText>
        </w:r>
        <w:r w:rsidR="00850336" w:rsidRPr="00850336">
          <w:rPr>
            <w:webHidden/>
            <w:color w:val="auto"/>
          </w:rPr>
        </w:r>
        <w:r w:rsidR="00850336" w:rsidRPr="00850336">
          <w:rPr>
            <w:webHidden/>
            <w:color w:val="auto"/>
          </w:rPr>
          <w:fldChar w:fldCharType="separate"/>
        </w:r>
        <w:r w:rsidR="00933EE1">
          <w:rPr>
            <w:webHidden/>
            <w:color w:val="auto"/>
          </w:rPr>
          <w:t>48</w:t>
        </w:r>
        <w:r w:rsidR="00850336" w:rsidRPr="00850336">
          <w:rPr>
            <w:webHidden/>
            <w:color w:val="auto"/>
          </w:rPr>
          <w:fldChar w:fldCharType="end"/>
        </w:r>
      </w:hyperlink>
    </w:p>
    <w:p w14:paraId="6E51744D"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83" w:history="1">
        <w:r w:rsidR="00850336" w:rsidRPr="00850336">
          <w:rPr>
            <w:rStyle w:val="Hyperlink"/>
            <w:color w:val="auto"/>
          </w:rPr>
          <w:t>A.</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Adopt PSE’s Modest Proposals to the Earnings Sharing Mechanism and Adopt PSE’s Recommendations Concerning the Dead Band</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_Toc489949683 \h </w:instrText>
        </w:r>
        <w:r w:rsidR="00850336" w:rsidRPr="00850336">
          <w:rPr>
            <w:webHidden/>
            <w:color w:val="auto"/>
          </w:rPr>
        </w:r>
        <w:r w:rsidR="00850336" w:rsidRPr="00850336">
          <w:rPr>
            <w:webHidden/>
            <w:color w:val="auto"/>
          </w:rPr>
          <w:fldChar w:fldCharType="separate"/>
        </w:r>
        <w:r w:rsidR="00933EE1">
          <w:rPr>
            <w:webHidden/>
            <w:color w:val="auto"/>
          </w:rPr>
          <w:t>48</w:t>
        </w:r>
        <w:r w:rsidR="00850336" w:rsidRPr="00850336">
          <w:rPr>
            <w:webHidden/>
            <w:color w:val="auto"/>
          </w:rPr>
          <w:fldChar w:fldCharType="end"/>
        </w:r>
      </w:hyperlink>
    </w:p>
    <w:p w14:paraId="45E7A09D" w14:textId="77777777" w:rsidR="00850336" w:rsidRPr="00850336" w:rsidRDefault="002628D7">
      <w:pPr>
        <w:pStyle w:val="TOC3"/>
        <w:rPr>
          <w:rFonts w:asciiTheme="minorHAnsi" w:eastAsiaTheme="minorEastAsia" w:hAnsiTheme="minorHAnsi" w:cstheme="minorBidi"/>
          <w:color w:val="auto"/>
          <w:sz w:val="22"/>
          <w:szCs w:val="22"/>
          <w:lang w:eastAsia="en-US"/>
        </w:rPr>
      </w:pPr>
      <w:hyperlink w:anchor="_Toc489949684" w:history="1">
        <w:r w:rsidR="00850336" w:rsidRPr="00850336">
          <w:rPr>
            <w:rStyle w:val="Hyperlink"/>
            <w:color w:val="auto"/>
          </w:rPr>
          <w:t>1.</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Adopt PSE’s Recommendation to Exclude Normalizing Adjustments from the Earnings Sharing Calculation of the Earnings Sharing Mechanism</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_Toc489949684 \h </w:instrText>
        </w:r>
        <w:r w:rsidR="00850336" w:rsidRPr="00850336">
          <w:rPr>
            <w:webHidden/>
            <w:color w:val="auto"/>
          </w:rPr>
        </w:r>
        <w:r w:rsidR="00850336" w:rsidRPr="00850336">
          <w:rPr>
            <w:webHidden/>
            <w:color w:val="auto"/>
          </w:rPr>
          <w:fldChar w:fldCharType="separate"/>
        </w:r>
        <w:r w:rsidR="00933EE1">
          <w:rPr>
            <w:webHidden/>
            <w:color w:val="auto"/>
          </w:rPr>
          <w:t>48</w:t>
        </w:r>
        <w:r w:rsidR="00850336" w:rsidRPr="00850336">
          <w:rPr>
            <w:webHidden/>
            <w:color w:val="auto"/>
          </w:rPr>
          <w:fldChar w:fldCharType="end"/>
        </w:r>
      </w:hyperlink>
    </w:p>
    <w:p w14:paraId="62097D6D" w14:textId="77777777" w:rsidR="00850336" w:rsidRPr="00850336" w:rsidRDefault="002628D7">
      <w:pPr>
        <w:pStyle w:val="TOC3"/>
        <w:rPr>
          <w:rFonts w:asciiTheme="minorHAnsi" w:eastAsiaTheme="minorEastAsia" w:hAnsiTheme="minorHAnsi" w:cstheme="minorBidi"/>
          <w:color w:val="auto"/>
          <w:sz w:val="22"/>
          <w:szCs w:val="22"/>
          <w:lang w:eastAsia="en-US"/>
        </w:rPr>
      </w:pPr>
      <w:hyperlink w:anchor="_Toc489949685" w:history="1">
        <w:r w:rsidR="00850336" w:rsidRPr="00850336">
          <w:rPr>
            <w:rStyle w:val="Hyperlink"/>
            <w:color w:val="auto"/>
          </w:rPr>
          <w:t>2.</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Adopt PSE’s Proposal to Reintroduce the 25 Basis Point Dead Band into the Earnings Sharing Mechanism</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_Toc489949685 \h </w:instrText>
        </w:r>
        <w:r w:rsidR="00850336" w:rsidRPr="00850336">
          <w:rPr>
            <w:webHidden/>
            <w:color w:val="auto"/>
          </w:rPr>
        </w:r>
        <w:r w:rsidR="00850336" w:rsidRPr="00850336">
          <w:rPr>
            <w:webHidden/>
            <w:color w:val="auto"/>
          </w:rPr>
          <w:fldChar w:fldCharType="separate"/>
        </w:r>
        <w:r w:rsidR="00933EE1">
          <w:rPr>
            <w:webHidden/>
            <w:color w:val="auto"/>
          </w:rPr>
          <w:t>53</w:t>
        </w:r>
        <w:r w:rsidR="00850336" w:rsidRPr="00850336">
          <w:rPr>
            <w:webHidden/>
            <w:color w:val="auto"/>
          </w:rPr>
          <w:fldChar w:fldCharType="end"/>
        </w:r>
      </w:hyperlink>
    </w:p>
    <w:p w14:paraId="211DA8FF"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86" w:history="1">
        <w:r w:rsidR="00850336" w:rsidRPr="00850336">
          <w:rPr>
            <w:rStyle w:val="Hyperlink"/>
            <w:color w:val="auto"/>
          </w:rPr>
          <w:t>B.</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Adopt PSE’s Proposal to Increase the Cap from 3 Percent to 5 Percent</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_Toc489949686 \h </w:instrText>
        </w:r>
        <w:r w:rsidR="00850336" w:rsidRPr="00850336">
          <w:rPr>
            <w:webHidden/>
            <w:color w:val="auto"/>
          </w:rPr>
        </w:r>
        <w:r w:rsidR="00850336" w:rsidRPr="00850336">
          <w:rPr>
            <w:webHidden/>
            <w:color w:val="auto"/>
          </w:rPr>
          <w:fldChar w:fldCharType="separate"/>
        </w:r>
        <w:r w:rsidR="00933EE1">
          <w:rPr>
            <w:webHidden/>
            <w:color w:val="auto"/>
          </w:rPr>
          <w:t>61</w:t>
        </w:r>
        <w:r w:rsidR="00850336" w:rsidRPr="00850336">
          <w:rPr>
            <w:webHidden/>
            <w:color w:val="auto"/>
          </w:rPr>
          <w:fldChar w:fldCharType="end"/>
        </w:r>
      </w:hyperlink>
    </w:p>
    <w:p w14:paraId="09E915C8" w14:textId="77777777" w:rsidR="00850336" w:rsidRPr="00850336" w:rsidRDefault="002628D7">
      <w:pPr>
        <w:pStyle w:val="TOC2"/>
        <w:rPr>
          <w:rFonts w:asciiTheme="minorHAnsi" w:eastAsiaTheme="minorEastAsia" w:hAnsiTheme="minorHAnsi" w:cstheme="minorBidi"/>
          <w:color w:val="auto"/>
          <w:sz w:val="22"/>
          <w:szCs w:val="22"/>
          <w:lang w:eastAsia="en-US"/>
        </w:rPr>
      </w:pPr>
      <w:hyperlink w:anchor="_Toc489949687" w:history="1">
        <w:r w:rsidR="00850336" w:rsidRPr="00850336">
          <w:rPr>
            <w:rStyle w:val="Hyperlink"/>
            <w:color w:val="auto"/>
          </w:rPr>
          <w:t>C.</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The Commission Should Adopt PSE’s Proposal to Recover Fixed Production Costs in the Decoupling Mechanism</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_Toc489949687 \h </w:instrText>
        </w:r>
        <w:r w:rsidR="00850336" w:rsidRPr="00850336">
          <w:rPr>
            <w:webHidden/>
            <w:color w:val="auto"/>
          </w:rPr>
        </w:r>
        <w:r w:rsidR="00850336" w:rsidRPr="00850336">
          <w:rPr>
            <w:webHidden/>
            <w:color w:val="auto"/>
          </w:rPr>
          <w:fldChar w:fldCharType="separate"/>
        </w:r>
        <w:r w:rsidR="00933EE1">
          <w:rPr>
            <w:webHidden/>
            <w:color w:val="auto"/>
          </w:rPr>
          <w:t>62</w:t>
        </w:r>
        <w:r w:rsidR="00850336" w:rsidRPr="00850336">
          <w:rPr>
            <w:webHidden/>
            <w:color w:val="auto"/>
          </w:rPr>
          <w:fldChar w:fldCharType="end"/>
        </w:r>
      </w:hyperlink>
    </w:p>
    <w:p w14:paraId="4DF556A6" w14:textId="77777777" w:rsidR="00850336" w:rsidRPr="00850336" w:rsidRDefault="002628D7">
      <w:pPr>
        <w:pStyle w:val="TOC1"/>
        <w:rPr>
          <w:rFonts w:asciiTheme="minorHAnsi" w:eastAsiaTheme="minorEastAsia" w:hAnsiTheme="minorHAnsi" w:cstheme="minorBidi"/>
          <w:color w:val="auto"/>
          <w:sz w:val="22"/>
          <w:szCs w:val="22"/>
          <w:lang w:eastAsia="en-US"/>
        </w:rPr>
      </w:pPr>
      <w:hyperlink w:anchor="_Toc489949688" w:history="1">
        <w:r w:rsidR="00850336" w:rsidRPr="00850336">
          <w:rPr>
            <w:rStyle w:val="Hyperlink"/>
            <w:color w:val="auto"/>
          </w:rPr>
          <w:t>VII.</w:t>
        </w:r>
        <w:r w:rsidR="00850336" w:rsidRPr="00850336">
          <w:rPr>
            <w:rFonts w:asciiTheme="minorHAnsi" w:eastAsiaTheme="minorEastAsia" w:hAnsiTheme="minorHAnsi" w:cstheme="minorBidi"/>
            <w:color w:val="auto"/>
            <w:sz w:val="22"/>
            <w:szCs w:val="22"/>
            <w:lang w:eastAsia="en-US"/>
          </w:rPr>
          <w:tab/>
        </w:r>
        <w:r w:rsidR="00850336" w:rsidRPr="00850336">
          <w:rPr>
            <w:rStyle w:val="Hyperlink"/>
            <w:color w:val="auto"/>
          </w:rPr>
          <w:t>CONCLUSION</w:t>
        </w:r>
        <w:r w:rsidR="00850336" w:rsidRPr="00850336">
          <w:rPr>
            <w:webHidden/>
            <w:color w:val="auto"/>
          </w:rPr>
          <w:tab/>
        </w:r>
        <w:r w:rsidR="00850336" w:rsidRPr="00850336">
          <w:rPr>
            <w:webHidden/>
            <w:color w:val="auto"/>
          </w:rPr>
          <w:fldChar w:fldCharType="begin"/>
        </w:r>
        <w:r w:rsidR="00850336" w:rsidRPr="00850336">
          <w:rPr>
            <w:webHidden/>
            <w:color w:val="auto"/>
          </w:rPr>
          <w:instrText xml:space="preserve"> PAGEREF _Toc489949688 \h </w:instrText>
        </w:r>
        <w:r w:rsidR="00850336" w:rsidRPr="00850336">
          <w:rPr>
            <w:webHidden/>
            <w:color w:val="auto"/>
          </w:rPr>
        </w:r>
        <w:r w:rsidR="00850336" w:rsidRPr="00850336">
          <w:rPr>
            <w:webHidden/>
            <w:color w:val="auto"/>
          </w:rPr>
          <w:fldChar w:fldCharType="separate"/>
        </w:r>
        <w:r w:rsidR="00933EE1">
          <w:rPr>
            <w:webHidden/>
            <w:color w:val="auto"/>
          </w:rPr>
          <w:t>64</w:t>
        </w:r>
        <w:r w:rsidR="00850336" w:rsidRPr="00850336">
          <w:rPr>
            <w:webHidden/>
            <w:color w:val="auto"/>
          </w:rPr>
          <w:fldChar w:fldCharType="end"/>
        </w:r>
      </w:hyperlink>
    </w:p>
    <w:p w14:paraId="1F64AD01" w14:textId="013D9B96" w:rsidR="007869D9" w:rsidRDefault="00B7218D" w:rsidP="001564E7">
      <w:pPr>
        <w:keepLines/>
        <w:tabs>
          <w:tab w:val="left" w:leader="dot" w:pos="8640"/>
          <w:tab w:val="right" w:pos="9000"/>
        </w:tabs>
        <w:spacing w:before="240" w:line="240" w:lineRule="atLeast"/>
        <w:ind w:left="720" w:right="720" w:hanging="720"/>
        <w:rPr>
          <w:rFonts w:eastAsia="SimSun"/>
          <w:bCs/>
          <w:noProof/>
          <w:szCs w:val="24"/>
        </w:rPr>
      </w:pPr>
      <w:r w:rsidRPr="00850336">
        <w:rPr>
          <w:rFonts w:eastAsia="SimSun"/>
          <w:bCs/>
          <w:noProof/>
          <w:szCs w:val="24"/>
        </w:rPr>
        <w:fldChar w:fldCharType="end"/>
      </w:r>
      <w:r w:rsidR="007869D9">
        <w:rPr>
          <w:rFonts w:eastAsia="SimSun"/>
          <w:bCs/>
          <w:noProof/>
          <w:szCs w:val="24"/>
        </w:rPr>
        <w:br w:type="page"/>
      </w:r>
    </w:p>
    <w:p w14:paraId="606BF198" w14:textId="77777777" w:rsidR="007869D9" w:rsidRPr="007869D9" w:rsidRDefault="007869D9" w:rsidP="001564E7">
      <w:pPr>
        <w:keepLines/>
        <w:tabs>
          <w:tab w:val="left" w:pos="1800"/>
          <w:tab w:val="right" w:pos="8640"/>
        </w:tabs>
        <w:spacing w:after="360" w:line="240" w:lineRule="auto"/>
        <w:ind w:left="720" w:hanging="720"/>
        <w:jc w:val="center"/>
        <w:rPr>
          <w:rFonts w:eastAsia="SimSun"/>
          <w:b/>
          <w:bCs/>
          <w:noProof/>
          <w:szCs w:val="24"/>
        </w:rPr>
      </w:pPr>
      <w:r w:rsidRPr="007869D9">
        <w:rPr>
          <w:rFonts w:eastAsia="SimSun"/>
          <w:b/>
          <w:bCs/>
          <w:noProof/>
          <w:szCs w:val="24"/>
        </w:rPr>
        <w:lastRenderedPageBreak/>
        <w:t>LIST OF EXHIBITS</w:t>
      </w:r>
    </w:p>
    <w:p w14:paraId="7517688E" w14:textId="11503876" w:rsidR="00B7218D" w:rsidRDefault="007869D9" w:rsidP="001564E7">
      <w:pPr>
        <w:keepLines/>
        <w:spacing w:before="240" w:line="240" w:lineRule="atLeast"/>
        <w:ind w:left="1800" w:hanging="1800"/>
        <w:rPr>
          <w:rFonts w:eastAsia="SimSun"/>
          <w:bCs/>
          <w:noProof/>
          <w:szCs w:val="24"/>
        </w:rPr>
      </w:pPr>
      <w:r w:rsidRPr="007869D9">
        <w:rPr>
          <w:rFonts w:eastAsia="SimSun"/>
          <w:bCs/>
          <w:noProof/>
          <w:szCs w:val="24"/>
        </w:rPr>
        <w:t xml:space="preserve">Exh. </w:t>
      </w:r>
      <w:r>
        <w:rPr>
          <w:rFonts w:eastAsia="SimSun"/>
          <w:bCs/>
          <w:noProof/>
          <w:szCs w:val="24"/>
        </w:rPr>
        <w:t>DAD-</w:t>
      </w:r>
      <w:r w:rsidR="00852D6E">
        <w:rPr>
          <w:rFonts w:eastAsia="SimSun"/>
          <w:bCs/>
          <w:noProof/>
          <w:szCs w:val="24"/>
        </w:rPr>
        <w:t>8</w:t>
      </w:r>
      <w:r w:rsidRPr="007869D9">
        <w:rPr>
          <w:rFonts w:eastAsia="SimSun"/>
          <w:bCs/>
          <w:noProof/>
          <w:szCs w:val="24"/>
        </w:rPr>
        <w:tab/>
        <w:t xml:space="preserve">Range of States with Decoupling Policies for Electric </w:t>
      </w:r>
      <w:r>
        <w:rPr>
          <w:rFonts w:eastAsia="SimSun"/>
          <w:bCs/>
          <w:noProof/>
          <w:szCs w:val="24"/>
        </w:rPr>
        <w:t>and Gas </w:t>
      </w:r>
      <w:r w:rsidRPr="007869D9">
        <w:rPr>
          <w:rFonts w:eastAsia="SimSun"/>
          <w:bCs/>
          <w:noProof/>
          <w:szCs w:val="24"/>
        </w:rPr>
        <w:t>Industr</w:t>
      </w:r>
      <w:r>
        <w:rPr>
          <w:rFonts w:eastAsia="SimSun"/>
          <w:bCs/>
          <w:noProof/>
          <w:szCs w:val="24"/>
        </w:rPr>
        <w:t>ies</w:t>
      </w:r>
    </w:p>
    <w:p w14:paraId="60040DA8" w14:textId="77777777" w:rsidR="007869D9" w:rsidRPr="00B7218D" w:rsidRDefault="007869D9" w:rsidP="001564E7">
      <w:pPr>
        <w:keepLines/>
        <w:tabs>
          <w:tab w:val="left" w:leader="dot" w:pos="8640"/>
          <w:tab w:val="right" w:pos="9000"/>
        </w:tabs>
        <w:spacing w:before="240" w:line="240" w:lineRule="atLeast"/>
        <w:ind w:left="720" w:right="720" w:hanging="720"/>
        <w:rPr>
          <w:rFonts w:eastAsia="SimSun"/>
          <w:b/>
          <w:bCs/>
          <w:noProof/>
          <w:szCs w:val="24"/>
        </w:rPr>
        <w:sectPr w:rsidR="007869D9" w:rsidRPr="00B7218D">
          <w:headerReference w:type="default" r:id="rId10"/>
          <w:footerReference w:type="default" r:id="rId11"/>
          <w:pgSz w:w="12240" w:h="15840" w:code="1"/>
          <w:pgMar w:top="1440" w:right="1440" w:bottom="1440" w:left="2160" w:header="864" w:footer="576" w:gutter="0"/>
          <w:pgNumType w:fmt="lowerRoman" w:start="1"/>
          <w:cols w:space="720"/>
        </w:sectPr>
      </w:pPr>
    </w:p>
    <w:p w14:paraId="1E12F857" w14:textId="77777777" w:rsidR="00B7218D" w:rsidRPr="00B7218D" w:rsidRDefault="00B7218D" w:rsidP="001564E7">
      <w:pPr>
        <w:spacing w:after="480" w:line="240" w:lineRule="auto"/>
        <w:ind w:left="720" w:right="720" w:firstLine="0"/>
        <w:jc w:val="center"/>
        <w:rPr>
          <w:b/>
          <w:bCs/>
          <w:szCs w:val="24"/>
        </w:rPr>
      </w:pPr>
      <w:r w:rsidRPr="00B7218D">
        <w:rPr>
          <w:b/>
          <w:bCs/>
          <w:szCs w:val="24"/>
        </w:rPr>
        <w:lastRenderedPageBreak/>
        <w:t>PUGET SOUND ENERGY</w:t>
      </w:r>
    </w:p>
    <w:p w14:paraId="7329A1F5" w14:textId="02C4EE52" w:rsidR="008D0D1C" w:rsidRPr="00B7218D" w:rsidRDefault="008D0D1C" w:rsidP="001564E7">
      <w:pPr>
        <w:spacing w:after="480" w:line="240" w:lineRule="auto"/>
        <w:ind w:left="720" w:right="720" w:firstLine="0"/>
        <w:jc w:val="center"/>
        <w:rPr>
          <w:b/>
          <w:bCs/>
          <w:szCs w:val="24"/>
        </w:rPr>
      </w:pPr>
      <w:bookmarkStart w:id="1" w:name="_Toc125167531"/>
      <w:bookmarkStart w:id="2" w:name="_Toc127023381"/>
      <w:bookmarkStart w:id="3" w:name="_Toc489790207"/>
      <w:proofErr w:type="spellStart"/>
      <w:r w:rsidRPr="00B7218D">
        <w:rPr>
          <w:b/>
        </w:rPr>
        <w:t>PREFILED</w:t>
      </w:r>
      <w:proofErr w:type="spellEnd"/>
      <w:r w:rsidRPr="00B7218D">
        <w:rPr>
          <w:b/>
        </w:rPr>
        <w:t xml:space="preserve"> REBUTTAL TESTIMONY</w:t>
      </w:r>
      <w:r>
        <w:rPr>
          <w:b/>
        </w:rPr>
        <w:br/>
      </w:r>
      <w:r w:rsidRPr="00B7218D">
        <w:rPr>
          <w:b/>
        </w:rPr>
        <w:t>(</w:t>
      </w:r>
      <w:proofErr w:type="spellStart"/>
      <w:r w:rsidRPr="00B7218D">
        <w:rPr>
          <w:b/>
        </w:rPr>
        <w:t>NONCONFIDENTIAL</w:t>
      </w:r>
      <w:proofErr w:type="spellEnd"/>
      <w:r w:rsidRPr="00B7218D">
        <w:rPr>
          <w:b/>
        </w:rPr>
        <w:t>) OF</w:t>
      </w:r>
      <w:r>
        <w:rPr>
          <w:b/>
          <w:bCs/>
          <w:szCs w:val="24"/>
        </w:rPr>
        <w:br/>
      </w:r>
      <w:r w:rsidRPr="00B7218D">
        <w:rPr>
          <w:b/>
        </w:rPr>
        <w:t>DANIEL A. DOYLE</w:t>
      </w:r>
    </w:p>
    <w:p w14:paraId="6B129CB2" w14:textId="77777777" w:rsidR="00B7218D" w:rsidRPr="00B7218D" w:rsidRDefault="00B7218D" w:rsidP="001564E7">
      <w:pPr>
        <w:pStyle w:val="Heading1"/>
      </w:pPr>
      <w:bookmarkStart w:id="4" w:name="_Toc489949666"/>
      <w:r w:rsidRPr="00B7218D">
        <w:t>I.</w:t>
      </w:r>
      <w:r w:rsidRPr="00B7218D">
        <w:tab/>
        <w:t>INTRODUCTION</w:t>
      </w:r>
      <w:bookmarkEnd w:id="1"/>
      <w:bookmarkEnd w:id="2"/>
      <w:bookmarkEnd w:id="3"/>
      <w:bookmarkEnd w:id="4"/>
    </w:p>
    <w:p w14:paraId="44124B14"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 xml:space="preserve">Are you the same Daniel A. Doyle who submitted </w:t>
      </w:r>
      <w:proofErr w:type="spellStart"/>
      <w:r w:rsidRPr="00B7218D">
        <w:rPr>
          <w:rFonts w:eastAsia="SimSun"/>
          <w:b/>
        </w:rPr>
        <w:t>prefiled</w:t>
      </w:r>
      <w:proofErr w:type="spellEnd"/>
      <w:r w:rsidRPr="00B7218D">
        <w:rPr>
          <w:rFonts w:eastAsia="SimSun"/>
          <w:b/>
        </w:rPr>
        <w:t xml:space="preserve"> direct testimony on January 13, 2017, on behalf of Puget Sound Energy (“PSE”) in this proceeding?</w:t>
      </w:r>
    </w:p>
    <w:p w14:paraId="0CD72632" w14:textId="77777777" w:rsidR="00B7218D" w:rsidRPr="00B7218D" w:rsidRDefault="00B7218D" w:rsidP="001564E7">
      <w:pPr>
        <w:spacing w:before="120" w:after="120" w:line="480" w:lineRule="auto"/>
        <w:ind w:left="720" w:hanging="720"/>
        <w:rPr>
          <w:rFonts w:eastAsia="SimSun"/>
        </w:rPr>
      </w:pPr>
      <w:r w:rsidRPr="00B7218D">
        <w:rPr>
          <w:rFonts w:eastAsia="SimSun"/>
        </w:rPr>
        <w:t>A.</w:t>
      </w:r>
      <w:r w:rsidRPr="00B7218D">
        <w:rPr>
          <w:rFonts w:eastAsia="SimSun"/>
        </w:rPr>
        <w:tab/>
        <w:t xml:space="preserve">Yes. I filed </w:t>
      </w:r>
      <w:proofErr w:type="spellStart"/>
      <w:r w:rsidRPr="00B7218D">
        <w:rPr>
          <w:rFonts w:eastAsia="SimSun"/>
        </w:rPr>
        <w:t>prefiled</w:t>
      </w:r>
      <w:proofErr w:type="spellEnd"/>
      <w:r w:rsidRPr="00B7218D">
        <w:rPr>
          <w:rFonts w:eastAsia="SimSun"/>
        </w:rPr>
        <w:t xml:space="preserve"> direct testimony, </w:t>
      </w:r>
      <w:proofErr w:type="spellStart"/>
      <w:r w:rsidRPr="00B7218D">
        <w:rPr>
          <w:rFonts w:eastAsia="SimSun"/>
        </w:rPr>
        <w:t>Exh</w:t>
      </w:r>
      <w:proofErr w:type="spellEnd"/>
      <w:r w:rsidRPr="00B7218D">
        <w:rPr>
          <w:rFonts w:eastAsia="SimSun"/>
        </w:rPr>
        <w:t xml:space="preserve">. DAD-1T, and five exhibits, </w:t>
      </w:r>
      <w:proofErr w:type="spellStart"/>
      <w:r w:rsidRPr="00B7218D">
        <w:rPr>
          <w:rFonts w:eastAsia="SimSun"/>
        </w:rPr>
        <w:t>Exh</w:t>
      </w:r>
      <w:proofErr w:type="spellEnd"/>
      <w:r w:rsidRPr="00B7218D">
        <w:rPr>
          <w:rFonts w:eastAsia="SimSun"/>
        </w:rPr>
        <w:t xml:space="preserve">. DAD-2 through </w:t>
      </w:r>
      <w:proofErr w:type="spellStart"/>
      <w:r w:rsidRPr="00B7218D">
        <w:rPr>
          <w:rFonts w:eastAsia="SimSun"/>
        </w:rPr>
        <w:t>Exh</w:t>
      </w:r>
      <w:proofErr w:type="spellEnd"/>
      <w:r w:rsidRPr="00B7218D">
        <w:rPr>
          <w:rFonts w:eastAsia="SimSun"/>
        </w:rPr>
        <w:t>. DAD-6, on January 13, 2017.</w:t>
      </w:r>
    </w:p>
    <w:p w14:paraId="34E0FD2B"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What is the purpose of your rebuttal testimony?</w:t>
      </w:r>
    </w:p>
    <w:p w14:paraId="365D2C85" w14:textId="77777777" w:rsidR="00B7218D" w:rsidRPr="00B7218D" w:rsidRDefault="00B7218D" w:rsidP="001564E7">
      <w:pPr>
        <w:spacing w:before="120" w:after="120" w:line="480" w:lineRule="auto"/>
        <w:ind w:left="720" w:hanging="720"/>
        <w:rPr>
          <w:rFonts w:eastAsia="SimSun"/>
        </w:rPr>
      </w:pPr>
      <w:r w:rsidRPr="00B7218D">
        <w:rPr>
          <w:rFonts w:eastAsia="SimSun"/>
        </w:rPr>
        <w:t>A.</w:t>
      </w:r>
      <w:r w:rsidRPr="00B7218D">
        <w:rPr>
          <w:rFonts w:eastAsia="SimSun"/>
        </w:rPr>
        <w:tab/>
        <w:t>My rebuttal testimony presents the following:</w:t>
      </w:r>
    </w:p>
    <w:p w14:paraId="2F81B240" w14:textId="77777777" w:rsidR="00A24663" w:rsidRDefault="00A24663" w:rsidP="001564E7">
      <w:pPr>
        <w:spacing w:after="280" w:line="240" w:lineRule="auto"/>
        <w:ind w:left="2160" w:right="720" w:hanging="720"/>
      </w:pPr>
      <w:r>
        <w:t>(i)</w:t>
      </w:r>
      <w:r>
        <w:tab/>
        <w:t>a discussion regarding the success of the rate plan approved by the Commission in June of 2013;</w:t>
      </w:r>
    </w:p>
    <w:p w14:paraId="1DA0031D" w14:textId="77777777" w:rsidR="00A24663" w:rsidRDefault="00A24663" w:rsidP="001564E7">
      <w:pPr>
        <w:spacing w:after="280" w:line="240" w:lineRule="auto"/>
        <w:ind w:left="2160" w:right="720" w:hanging="720"/>
      </w:pPr>
      <w:r>
        <w:t>(ii)</w:t>
      </w:r>
      <w:r>
        <w:tab/>
        <w:t>a refutation of Commission Staff’s presumption that a rate reduction is reasonable simply because PSE was able to earn its allowed rate of return during the rate plan period;</w:t>
      </w:r>
    </w:p>
    <w:p w14:paraId="1EA43C6A" w14:textId="77777777" w:rsidR="00A24663" w:rsidRDefault="00A24663" w:rsidP="001564E7">
      <w:pPr>
        <w:spacing w:after="280" w:line="240" w:lineRule="auto"/>
        <w:ind w:left="2160" w:right="720" w:hanging="720"/>
      </w:pPr>
      <w:r>
        <w:t>(iii)</w:t>
      </w:r>
      <w:r>
        <w:tab/>
        <w:t>reasons why the Commission should adopt PSE’s proposed Electric Cost Recovery Mechanism;</w:t>
      </w:r>
    </w:p>
    <w:p w14:paraId="1DAE6FEC" w14:textId="1309FAB6" w:rsidR="00A24663" w:rsidRDefault="00A24663" w:rsidP="001564E7">
      <w:pPr>
        <w:spacing w:after="280" w:line="240" w:lineRule="auto"/>
        <w:ind w:left="2160" w:right="720" w:hanging="720"/>
      </w:pPr>
      <w:r>
        <w:t>(iv)</w:t>
      </w:r>
      <w:r>
        <w:tab/>
        <w:t xml:space="preserve">a discussion why the Commission should establish a formal process for </w:t>
      </w:r>
      <w:r w:rsidR="00DA4C7B">
        <w:t>PSE</w:t>
      </w:r>
      <w:r>
        <w:t>’s Expedited Rate Filings;</w:t>
      </w:r>
    </w:p>
    <w:p w14:paraId="48087A2A" w14:textId="77777777" w:rsidR="00A24663" w:rsidRDefault="00A24663" w:rsidP="001564E7">
      <w:pPr>
        <w:spacing w:after="280" w:line="240" w:lineRule="auto"/>
        <w:ind w:left="2160" w:right="720" w:hanging="720"/>
      </w:pPr>
      <w:r>
        <w:t>(v)</w:t>
      </w:r>
      <w:r>
        <w:tab/>
        <w:t>reasons why the Commission should maintain the current storm deferral methodology, which has worked well over the past decade;</w:t>
      </w:r>
    </w:p>
    <w:p w14:paraId="08437766" w14:textId="77777777" w:rsidR="00A24663" w:rsidRDefault="00A24663" w:rsidP="001564E7">
      <w:pPr>
        <w:spacing w:after="280" w:line="240" w:lineRule="auto"/>
        <w:ind w:left="2160" w:right="720" w:hanging="720"/>
      </w:pPr>
      <w:r>
        <w:t>(vi)</w:t>
      </w:r>
      <w:r>
        <w:tab/>
        <w:t xml:space="preserve">support for PSE’s proposed capital structure, which reflects the regulatory capital structure supporting PSE during the </w:t>
      </w:r>
      <w:r>
        <w:lastRenderedPageBreak/>
        <w:t>test year and the regulatory capital structure expected to support PSE during the rate year;</w:t>
      </w:r>
    </w:p>
    <w:p w14:paraId="1F484B3D" w14:textId="77777777" w:rsidR="0015197F" w:rsidRDefault="0015197F" w:rsidP="001564E7">
      <w:pPr>
        <w:spacing w:after="280" w:line="240" w:lineRule="auto"/>
        <w:ind w:left="2160" w:right="720" w:hanging="720"/>
      </w:pPr>
      <w:r>
        <w:t>(vii)</w:t>
      </w:r>
      <w:r>
        <w:tab/>
      </w:r>
      <w:r w:rsidR="00A24663">
        <w:t>support for PSE the reasonableness of PSE’s proposed rate of return of 7.74 percent;</w:t>
      </w:r>
    </w:p>
    <w:p w14:paraId="337B2C11" w14:textId="36351B79" w:rsidR="0015197F" w:rsidRDefault="0015197F" w:rsidP="001564E7">
      <w:pPr>
        <w:spacing w:after="280" w:line="240" w:lineRule="auto"/>
        <w:ind w:left="2160" w:right="720" w:hanging="720"/>
      </w:pPr>
      <w:r>
        <w:t>(viii)</w:t>
      </w:r>
      <w:r w:rsidR="00A24663">
        <w:tab/>
      </w:r>
      <w:r>
        <w:t>arguments why Commission should reject proposals of Commission Staff and the Industrial Customers of Northwest Utilities (“ICNU”) regarding depreciation/amortization, decommissioning and remediation costs of Colstrip Units </w:t>
      </w:r>
      <w:r w:rsidR="00A24663">
        <w:t>1</w:t>
      </w:r>
      <w:r>
        <w:t> </w:t>
      </w:r>
      <w:r w:rsidR="009865F1">
        <w:t>and</w:t>
      </w:r>
      <w:r>
        <w:t> </w:t>
      </w:r>
      <w:r w:rsidR="00A24663">
        <w:t>2</w:t>
      </w:r>
      <w:r>
        <w:t>; and</w:t>
      </w:r>
    </w:p>
    <w:p w14:paraId="175657E7" w14:textId="77777777" w:rsidR="00A24663" w:rsidRDefault="0015197F" w:rsidP="001564E7">
      <w:pPr>
        <w:spacing w:after="280" w:line="240" w:lineRule="auto"/>
        <w:ind w:left="2160" w:right="720" w:hanging="720"/>
      </w:pPr>
      <w:r>
        <w:t>(ix)</w:t>
      </w:r>
      <w:r>
        <w:tab/>
        <w:t xml:space="preserve">a discussion of how PSE’s revenue decoupling mechanism has worked well and should continue to work well with the minor adjustments proposed by </w:t>
      </w:r>
      <w:r w:rsidR="00A24663">
        <w:t>PSE</w:t>
      </w:r>
      <w:r>
        <w:t>.</w:t>
      </w:r>
    </w:p>
    <w:p w14:paraId="6676F695" w14:textId="3BB7165D" w:rsidR="00B7218D" w:rsidRPr="003A68D9" w:rsidRDefault="00B7218D" w:rsidP="001564E7">
      <w:pPr>
        <w:pStyle w:val="Heading1"/>
      </w:pPr>
      <w:bookmarkStart w:id="5" w:name="_Toc488216544"/>
      <w:bookmarkStart w:id="6" w:name="_Toc489790208"/>
      <w:bookmarkStart w:id="7" w:name="_Toc489949667"/>
      <w:r w:rsidRPr="003A68D9">
        <w:t>II.</w:t>
      </w:r>
      <w:r w:rsidRPr="003A68D9">
        <w:tab/>
        <w:t>PSE’S RATE PLAN WAS A SUCCESS FOR PSE</w:t>
      </w:r>
      <w:r w:rsidRPr="003A68D9">
        <w:br/>
        <w:t>AND ITS CUSTOMER</w:t>
      </w:r>
      <w:bookmarkEnd w:id="5"/>
      <w:bookmarkEnd w:id="6"/>
      <w:r w:rsidR="008111CE">
        <w:t>S</w:t>
      </w:r>
      <w:bookmarkEnd w:id="7"/>
    </w:p>
    <w:p w14:paraId="7CDE9EC6" w14:textId="77777777" w:rsidR="00B7218D" w:rsidRPr="00B7218D" w:rsidRDefault="00B7218D" w:rsidP="001564E7">
      <w:pPr>
        <w:pStyle w:val="Heading2"/>
      </w:pPr>
      <w:bookmarkStart w:id="8" w:name="_Toc488216545"/>
      <w:bookmarkStart w:id="9" w:name="_Toc489790209"/>
      <w:bookmarkStart w:id="10" w:name="_Toc489949668"/>
      <w:r w:rsidRPr="00B7218D">
        <w:t>A.</w:t>
      </w:r>
      <w:r w:rsidRPr="00B7218D">
        <w:tab/>
        <w:t>The Rate Plan Approved by the Commission in June 2013 Created an Appropriate Balance</w:t>
      </w:r>
      <w:bookmarkEnd w:id="8"/>
      <w:bookmarkEnd w:id="9"/>
      <w:bookmarkEnd w:id="10"/>
      <w:r w:rsidRPr="00B7218D">
        <w:t xml:space="preserve"> </w:t>
      </w:r>
    </w:p>
    <w:p w14:paraId="037DFA4F"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would PSE describe the outcome of PSE’s rate plan first approved by the Commission in June 2013?</w:t>
      </w:r>
    </w:p>
    <w:p w14:paraId="12F85D3A" w14:textId="77777777" w:rsidR="00B7218D" w:rsidRPr="00B7218D" w:rsidRDefault="00B7218D" w:rsidP="001564E7">
      <w:pPr>
        <w:spacing w:before="120" w:after="120" w:line="480" w:lineRule="auto"/>
        <w:ind w:left="720" w:hanging="720"/>
      </w:pPr>
      <w:r w:rsidRPr="00B7218D">
        <w:t>A.</w:t>
      </w:r>
      <w:r w:rsidRPr="00B7218D">
        <w:tab/>
        <w:t>PSE would agree with Commission Staff’s assessment that the rate plan first approved by the Commission in June 2013 has allowed PSE to improve its earnings.</w:t>
      </w:r>
      <w:r w:rsidRPr="00B7218D">
        <w:rPr>
          <w:position w:val="6"/>
          <w:sz w:val="16"/>
        </w:rPr>
        <w:footnoteReference w:id="2"/>
      </w:r>
      <w:r w:rsidRPr="00B7218D">
        <w:t xml:space="preserve"> The key difference between PSE and Commission Staff appears to be that PSE would recommend that the mechanisms approved by the Commission in June 2013 continue (with some adjustments), whereas Commission Staff appears to believe that it is “now time to reset the program.”</w:t>
      </w:r>
      <w:r w:rsidRPr="00B7218D">
        <w:rPr>
          <w:position w:val="6"/>
          <w:sz w:val="16"/>
        </w:rPr>
        <w:footnoteReference w:id="3"/>
      </w:r>
    </w:p>
    <w:p w14:paraId="5D1D3A35"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How does PSE respond to Commission Staff’s suggestion that PSE appears dissatisfied with the mechanisms approved by the Commission in the rate plan?</w:t>
      </w:r>
    </w:p>
    <w:p w14:paraId="454EEFAD" w14:textId="3B8BCAC0" w:rsidR="00B7218D" w:rsidRPr="00B7218D" w:rsidRDefault="00B7218D" w:rsidP="001564E7">
      <w:pPr>
        <w:spacing w:before="120" w:after="120" w:line="480" w:lineRule="auto"/>
        <w:ind w:left="720" w:hanging="720"/>
      </w:pPr>
      <w:r w:rsidRPr="00B7218D">
        <w:t>A.</w:t>
      </w:r>
      <w:r w:rsidRPr="00B7218D">
        <w:tab/>
        <w:t>Commission Staff</w:t>
      </w:r>
      <w:r w:rsidR="00446617">
        <w:t xml:space="preserve"> </w:t>
      </w:r>
      <w:r w:rsidR="00E05B39">
        <w:t>believes PSE</w:t>
      </w:r>
      <w:r w:rsidRPr="00B7218D">
        <w:t xml:space="preserve"> “seems to be dissatisfied with the numerous risk-mitigation measures granted by the Commission in recent years.”</w:t>
      </w:r>
      <w:r w:rsidRPr="00B7218D">
        <w:rPr>
          <w:position w:val="6"/>
          <w:sz w:val="16"/>
        </w:rPr>
        <w:footnoteReference w:id="4"/>
      </w:r>
      <w:r w:rsidRPr="00B7218D">
        <w:t xml:space="preserve"> It </w:t>
      </w:r>
      <w:r w:rsidR="008111CE">
        <w:t xml:space="preserve">is </w:t>
      </w:r>
      <w:r w:rsidRPr="00B7218D">
        <w:t xml:space="preserve">unfortunate </w:t>
      </w:r>
      <w:r w:rsidR="008111CE">
        <w:t xml:space="preserve">that Commission Staff interprets </w:t>
      </w:r>
      <w:r w:rsidRPr="00B7218D">
        <w:t xml:space="preserve">PSE’s direct testimony in this </w:t>
      </w:r>
      <w:r w:rsidR="008111CE">
        <w:t>way</w:t>
      </w:r>
      <w:r w:rsidRPr="00B7218D">
        <w:t>. Recommendations by PSE to adjust mechanisms were never intended to criticize or suggest their elimination. Rather, PSE now has over four years of intimate experience with the mechanisms and has had the opportunity to learn how they work in practice. During the course of those four years, PSE has developed suggestions to refine some of the mechanisms and improve upon them. PSE’s recommendations for refinements of the mechanisms were never intended to express dissatisfaction with the mechanisms.</w:t>
      </w:r>
    </w:p>
    <w:p w14:paraId="004D9352"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Please summarize the series of orders issued by the Commission in 2013 that created PSE’s rate plan.</w:t>
      </w:r>
    </w:p>
    <w:p w14:paraId="3B19719A" w14:textId="77777777" w:rsidR="00B7218D" w:rsidRPr="00B7218D" w:rsidRDefault="00B7218D" w:rsidP="001564E7">
      <w:pPr>
        <w:spacing w:before="120" w:after="120" w:line="480" w:lineRule="auto"/>
        <w:ind w:left="720" w:hanging="720"/>
      </w:pPr>
      <w:r w:rsidRPr="00B7218D">
        <w:t>A.</w:t>
      </w:r>
      <w:r w:rsidRPr="00B7218D">
        <w:tab/>
        <w:t xml:space="preserve">In 2013, the Commission approved a series of orders that provided and approved the following new and innovative mechanisms for PSE that constituted the rate plan: (i) a revenue decoupling mechanism; (ii) a net rate increase resulting from an expedited rate filing; (iii) annual K-factor increases of 3 percent and </w:t>
      </w:r>
      <w:r w:rsidRPr="00B7218D">
        <w:lastRenderedPageBreak/>
        <w:t>2.2 percent for electric and gas delivery, respectively; and (iv) an earnings sharing mechanism.</w:t>
      </w:r>
    </w:p>
    <w:p w14:paraId="5A27FF5B"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have components of the rate plan operated in practice, both individually and collectively?</w:t>
      </w:r>
    </w:p>
    <w:p w14:paraId="4B7C2930" w14:textId="77777777" w:rsidR="00B7218D" w:rsidRPr="00B7218D" w:rsidRDefault="00B7218D" w:rsidP="001564E7">
      <w:pPr>
        <w:spacing w:before="120" w:after="120" w:line="480" w:lineRule="auto"/>
        <w:ind w:left="720" w:hanging="720"/>
      </w:pPr>
      <w:r w:rsidRPr="00B7218D">
        <w:t>A.</w:t>
      </w:r>
      <w:r w:rsidRPr="00B7218D">
        <w:tab/>
        <w:t>The series of orders issued by the Commission that constitute PSE’s rate plan resulted in each of the following financial results over the past years:</w:t>
      </w:r>
    </w:p>
    <w:p w14:paraId="7544FC30" w14:textId="77777777" w:rsidR="00B7218D" w:rsidRPr="00B7218D" w:rsidRDefault="00B7218D" w:rsidP="001564E7">
      <w:pPr>
        <w:spacing w:after="280" w:line="240" w:lineRule="auto"/>
        <w:ind w:left="2160" w:right="720" w:hanging="720"/>
        <w:rPr>
          <w:rFonts w:eastAsiaTheme="minorHAnsi"/>
        </w:rPr>
      </w:pPr>
      <w:r w:rsidRPr="00B7218D">
        <w:rPr>
          <w:rFonts w:eastAsiaTheme="minorHAnsi"/>
        </w:rPr>
        <w:t>(i)</w:t>
      </w:r>
      <w:r w:rsidRPr="00B7218D">
        <w:rPr>
          <w:rFonts w:eastAsiaTheme="minorHAnsi"/>
        </w:rPr>
        <w:tab/>
        <w:t>an approximate $30 million net electric and gas rate increase from the expedited rate filing in July 2013;</w:t>
      </w:r>
    </w:p>
    <w:p w14:paraId="728BB0E6" w14:textId="77777777" w:rsidR="00B7218D" w:rsidRPr="00B7218D" w:rsidRDefault="00B7218D" w:rsidP="001564E7">
      <w:pPr>
        <w:spacing w:after="280" w:line="240" w:lineRule="auto"/>
        <w:ind w:left="2160" w:right="720" w:hanging="720"/>
        <w:rPr>
          <w:rFonts w:eastAsiaTheme="minorHAnsi"/>
        </w:rPr>
      </w:pPr>
      <w:r w:rsidRPr="00B7218D">
        <w:rPr>
          <w:rFonts w:eastAsiaTheme="minorHAnsi"/>
        </w:rPr>
        <w:t>(ii)</w:t>
      </w:r>
      <w:r w:rsidRPr="00B7218D">
        <w:rPr>
          <w:rFonts w:eastAsiaTheme="minorHAnsi"/>
        </w:rPr>
        <w:tab/>
        <w:t>annual K-factor increases to delivery revenues of 3.0 percent for electric and 2.2 percent for gas in July 2013, January 2014, January 2015, January 2016, and January 2017; and</w:t>
      </w:r>
    </w:p>
    <w:p w14:paraId="740E644F" w14:textId="77777777" w:rsidR="00B7218D" w:rsidRPr="00B7218D" w:rsidRDefault="00B7218D" w:rsidP="001564E7">
      <w:pPr>
        <w:spacing w:after="280" w:line="240" w:lineRule="auto"/>
        <w:ind w:left="2160" w:right="720" w:hanging="720"/>
        <w:rPr>
          <w:rFonts w:eastAsiaTheme="minorHAnsi"/>
        </w:rPr>
      </w:pPr>
      <w:r w:rsidRPr="00B7218D">
        <w:rPr>
          <w:rFonts w:eastAsiaTheme="minorHAnsi"/>
        </w:rPr>
        <w:t>(iii)</w:t>
      </w:r>
      <w:r w:rsidRPr="00B7218D">
        <w:rPr>
          <w:rFonts w:eastAsiaTheme="minorHAnsi"/>
        </w:rPr>
        <w:tab/>
        <w:t>the recognition of net electric decoupling revenue of approximately $6</w:t>
      </w:r>
      <w:r w:rsidR="00E02D4F">
        <w:rPr>
          <w:rFonts w:eastAsiaTheme="minorHAnsi"/>
        </w:rPr>
        <w:t>6 </w:t>
      </w:r>
      <w:r w:rsidRPr="00B7218D">
        <w:rPr>
          <w:rFonts w:eastAsiaTheme="minorHAnsi"/>
        </w:rPr>
        <w:t>million and net gas decoupling revenue of approximately $12</w:t>
      </w:r>
      <w:r w:rsidR="00E02D4F">
        <w:rPr>
          <w:rFonts w:eastAsiaTheme="minorHAnsi"/>
        </w:rPr>
        <w:t>5</w:t>
      </w:r>
      <w:r w:rsidRPr="00B7218D">
        <w:rPr>
          <w:rFonts w:eastAsiaTheme="minorHAnsi"/>
        </w:rPr>
        <w:t> million from July 1, 2013, through June</w:t>
      </w:r>
      <w:r w:rsidR="00E02D4F">
        <w:rPr>
          <w:rFonts w:eastAsiaTheme="minorHAnsi"/>
        </w:rPr>
        <w:t> </w:t>
      </w:r>
      <w:r w:rsidRPr="00B7218D">
        <w:rPr>
          <w:rFonts w:eastAsiaTheme="minorHAnsi"/>
        </w:rPr>
        <w:t>30, 2017.</w:t>
      </w:r>
    </w:p>
    <w:p w14:paraId="672B152C" w14:textId="77777777" w:rsidR="00B7218D" w:rsidRPr="00B7218D" w:rsidRDefault="00B7218D" w:rsidP="001564E7">
      <w:pPr>
        <w:spacing w:before="120" w:after="120" w:line="480" w:lineRule="auto"/>
        <w:ind w:left="720" w:firstLine="0"/>
      </w:pPr>
      <w:r w:rsidRPr="00B7218D">
        <w:rPr>
          <w:rFonts w:eastAsiaTheme="minorHAnsi"/>
        </w:rPr>
        <w:t xml:space="preserve">Coupled with PSE’s efforts to pursue cost savings and efficiencies, these financial results have allowed PSE to begin to consistently earn rates of return and returns on equity slightly below its authorized rate of return and return on equity on an adjusted </w:t>
      </w:r>
      <w:r w:rsidRPr="00B7218D">
        <w:rPr>
          <w:rFonts w:eastAsiaTheme="minorHAnsi"/>
          <w:i/>
        </w:rPr>
        <w:t>actual</w:t>
      </w:r>
      <w:r w:rsidRPr="00B7218D">
        <w:rPr>
          <w:rFonts w:eastAsiaTheme="minorHAnsi"/>
        </w:rPr>
        <w:t xml:space="preserve"> basis across all time periods. These results indicate that the effects of regulatory lag and attrition were mitigated under the rate plan.</w:t>
      </w:r>
    </w:p>
    <w:p w14:paraId="7AD8172A" w14:textId="77777777" w:rsidR="00B7218D" w:rsidRPr="00B7218D" w:rsidRDefault="00B7218D" w:rsidP="001564E7">
      <w:pPr>
        <w:spacing w:before="120" w:after="120" w:line="480" w:lineRule="auto"/>
        <w:ind w:left="720" w:firstLine="0"/>
      </w:pPr>
      <w:r w:rsidRPr="00B7218D">
        <w:rPr>
          <w:rFonts w:eastAsiaTheme="minorHAnsi"/>
        </w:rPr>
        <w:t xml:space="preserve">Generally speaking, the same is true of </w:t>
      </w:r>
      <w:r w:rsidRPr="00B7218D">
        <w:rPr>
          <w:rFonts w:eastAsiaTheme="minorHAnsi"/>
          <w:i/>
        </w:rPr>
        <w:t>normalized</w:t>
      </w:r>
      <w:r w:rsidRPr="00B7218D">
        <w:rPr>
          <w:rFonts w:eastAsiaTheme="minorHAnsi"/>
        </w:rPr>
        <w:t xml:space="preserve"> results in Commission Basis </w:t>
      </w:r>
      <w:r w:rsidRPr="00B7218D">
        <w:t xml:space="preserve">Reports filed for periods subsequent to the implementation of the rate plan, although </w:t>
      </w:r>
      <w:r w:rsidRPr="00B7218D">
        <w:rPr>
          <w:i/>
        </w:rPr>
        <w:t>normalized</w:t>
      </w:r>
      <w:r w:rsidRPr="00B7218D">
        <w:t xml:space="preserve"> returns tend to trend higher than actual </w:t>
      </w:r>
      <w:r w:rsidRPr="00B7218D">
        <w:rPr>
          <w:i/>
        </w:rPr>
        <w:t>adjusted</w:t>
      </w:r>
      <w:r w:rsidRPr="00B7218D">
        <w:t xml:space="preserve"> returns, as discussed later </w:t>
      </w:r>
      <w:r w:rsidRPr="00B7218D">
        <w:rPr>
          <w:rFonts w:eastAsiaTheme="minorHAnsi"/>
        </w:rPr>
        <w:t>as it relates to excess earnings sharing calculations.</w:t>
      </w:r>
    </w:p>
    <w:p w14:paraId="4EFDB2D3"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Has PSE prepared an updated comparison of adjusted actual and normalized rates of return and returns on equity?</w:t>
      </w:r>
    </w:p>
    <w:p w14:paraId="75C21933" w14:textId="77777777" w:rsidR="00B7218D" w:rsidRPr="00B7218D" w:rsidRDefault="00B7218D" w:rsidP="001564E7">
      <w:pPr>
        <w:spacing w:before="120" w:after="120" w:line="480" w:lineRule="auto"/>
        <w:ind w:left="720" w:hanging="720"/>
      </w:pPr>
      <w:r w:rsidRPr="00B7218D">
        <w:t>A.</w:t>
      </w:r>
      <w:r w:rsidRPr="00B7218D">
        <w:tab/>
        <w:t>Yes. PSE has updated the comparison of adjusted actual and normalized rates of return and returns on equity to reflect actual results for calendar year 2016. Please see Table 1 below for a comparison of PSE’s adjusted actual and normalized rates of return and returns on equity (as reflected in PSE’s filed Commission Basis Reports) to the authorized rates of return and returns on equity in place during the respective calendar year for electric operations.</w:t>
      </w:r>
    </w:p>
    <w:p w14:paraId="324D9D7C" w14:textId="77777777" w:rsidR="00B7218D" w:rsidRPr="00B7218D" w:rsidRDefault="00B7218D" w:rsidP="001564E7">
      <w:pPr>
        <w:keepNext/>
        <w:keepLines/>
        <w:spacing w:after="60" w:line="240" w:lineRule="auto"/>
        <w:ind w:firstLine="0"/>
        <w:jc w:val="center"/>
        <w:rPr>
          <w:b/>
        </w:rPr>
      </w:pPr>
      <w:r w:rsidRPr="00B7218D">
        <w:rPr>
          <w:b/>
        </w:rPr>
        <w:t>Table 1. Comparison of PSE’s Adjusted Actual and</w:t>
      </w:r>
      <w:r w:rsidRPr="00B7218D">
        <w:rPr>
          <w:b/>
        </w:rPr>
        <w:br/>
        <w:t>Normalized Rates of Return and Returns on Equity for Electric Operations</w:t>
      </w:r>
    </w:p>
    <w:tbl>
      <w:tblPr>
        <w:tblStyle w:val="TableGrid1"/>
        <w:tblW w:w="0" w:type="auto"/>
        <w:jc w:val="center"/>
        <w:tblLook w:val="04A0" w:firstRow="1" w:lastRow="0" w:firstColumn="1" w:lastColumn="0" w:noHBand="0" w:noVBand="1"/>
      </w:tblPr>
      <w:tblGrid>
        <w:gridCol w:w="416"/>
        <w:gridCol w:w="1107"/>
        <w:gridCol w:w="1107"/>
        <w:gridCol w:w="1345"/>
        <w:gridCol w:w="1116"/>
        <w:gridCol w:w="1107"/>
        <w:gridCol w:w="1345"/>
        <w:gridCol w:w="1116"/>
      </w:tblGrid>
      <w:tr w:rsidR="00B7218D" w:rsidRPr="00B7218D" w14:paraId="7FF4CD9F" w14:textId="77777777" w:rsidTr="00190924">
        <w:trPr>
          <w:jc w:val="center"/>
        </w:trPr>
        <w:tc>
          <w:tcPr>
            <w:tcW w:w="416" w:type="dxa"/>
            <w:tcBorders>
              <w:top w:val="nil"/>
              <w:left w:val="nil"/>
              <w:bottom w:val="nil"/>
              <w:right w:val="nil"/>
            </w:tcBorders>
            <w:vAlign w:val="bottom"/>
          </w:tcPr>
          <w:p w14:paraId="669F5D5C"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nil"/>
              <w:right w:val="nil"/>
            </w:tcBorders>
            <w:vAlign w:val="bottom"/>
            <w:hideMark/>
          </w:tcPr>
          <w:p w14:paraId="0ACD7EE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w:t>
            </w:r>
          </w:p>
        </w:tc>
        <w:tc>
          <w:tcPr>
            <w:tcW w:w="1107" w:type="dxa"/>
            <w:tcBorders>
              <w:top w:val="nil"/>
              <w:left w:val="nil"/>
              <w:bottom w:val="single" w:sz="4" w:space="0" w:color="auto"/>
              <w:right w:val="nil"/>
            </w:tcBorders>
            <w:vAlign w:val="bottom"/>
            <w:hideMark/>
          </w:tcPr>
          <w:p w14:paraId="088AD7D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(B)</w:t>
            </w:r>
          </w:p>
        </w:tc>
        <w:tc>
          <w:tcPr>
            <w:tcW w:w="1345" w:type="dxa"/>
            <w:tcBorders>
              <w:top w:val="nil"/>
              <w:left w:val="nil"/>
              <w:bottom w:val="single" w:sz="4" w:space="0" w:color="auto"/>
              <w:right w:val="nil"/>
            </w:tcBorders>
            <w:vAlign w:val="bottom"/>
            <w:hideMark/>
          </w:tcPr>
          <w:p w14:paraId="5186034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(C)</w:t>
            </w:r>
          </w:p>
        </w:tc>
        <w:tc>
          <w:tcPr>
            <w:tcW w:w="1116" w:type="dxa"/>
            <w:tcBorders>
              <w:top w:val="nil"/>
              <w:left w:val="nil"/>
              <w:bottom w:val="single" w:sz="4" w:space="0" w:color="auto"/>
              <w:right w:val="nil"/>
            </w:tcBorders>
            <w:vAlign w:val="bottom"/>
            <w:hideMark/>
          </w:tcPr>
          <w:p w14:paraId="1D37B36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(D)</w:t>
            </w:r>
          </w:p>
        </w:tc>
        <w:tc>
          <w:tcPr>
            <w:tcW w:w="1107" w:type="dxa"/>
            <w:tcBorders>
              <w:top w:val="nil"/>
              <w:left w:val="nil"/>
              <w:bottom w:val="single" w:sz="4" w:space="0" w:color="auto"/>
              <w:right w:val="nil"/>
            </w:tcBorders>
            <w:vAlign w:val="bottom"/>
            <w:hideMark/>
          </w:tcPr>
          <w:p w14:paraId="7CEA214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(E)</w:t>
            </w:r>
          </w:p>
        </w:tc>
        <w:tc>
          <w:tcPr>
            <w:tcW w:w="1345" w:type="dxa"/>
            <w:tcBorders>
              <w:top w:val="nil"/>
              <w:left w:val="nil"/>
              <w:bottom w:val="single" w:sz="4" w:space="0" w:color="auto"/>
              <w:right w:val="nil"/>
            </w:tcBorders>
            <w:vAlign w:val="bottom"/>
            <w:hideMark/>
          </w:tcPr>
          <w:p w14:paraId="3D0B76B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(F)</w:t>
            </w:r>
          </w:p>
        </w:tc>
        <w:tc>
          <w:tcPr>
            <w:tcW w:w="1116" w:type="dxa"/>
            <w:tcBorders>
              <w:top w:val="nil"/>
              <w:left w:val="nil"/>
              <w:bottom w:val="single" w:sz="4" w:space="0" w:color="auto"/>
              <w:right w:val="nil"/>
            </w:tcBorders>
            <w:vAlign w:val="bottom"/>
            <w:hideMark/>
          </w:tcPr>
          <w:p w14:paraId="7BD6F15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(G)</w:t>
            </w:r>
          </w:p>
        </w:tc>
      </w:tr>
      <w:tr w:rsidR="00B7218D" w:rsidRPr="00B7218D" w14:paraId="573194F1" w14:textId="77777777" w:rsidTr="00190924">
        <w:trPr>
          <w:jc w:val="center"/>
        </w:trPr>
        <w:tc>
          <w:tcPr>
            <w:tcW w:w="416" w:type="dxa"/>
            <w:tcBorders>
              <w:top w:val="nil"/>
              <w:left w:val="nil"/>
              <w:bottom w:val="nil"/>
              <w:right w:val="nil"/>
            </w:tcBorders>
            <w:vAlign w:val="bottom"/>
          </w:tcPr>
          <w:p w14:paraId="6D81501C"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single" w:sz="4" w:space="0" w:color="auto"/>
              <w:right w:val="single" w:sz="4" w:space="0" w:color="auto"/>
            </w:tcBorders>
            <w:vAlign w:val="bottom"/>
          </w:tcPr>
          <w:p w14:paraId="14EB2C0C" w14:textId="77777777" w:rsidR="00B7218D" w:rsidRPr="00B7218D" w:rsidRDefault="00B7218D" w:rsidP="001564E7">
            <w:pPr>
              <w:keepNext/>
              <w:keepLines/>
              <w:spacing w:before="40" w:after="40" w:line="240" w:lineRule="auto"/>
              <w:ind w:firstLine="0"/>
              <w:jc w:val="center"/>
              <w:rPr>
                <w:rFonts w:eastAsia="PMingLiU"/>
                <w:sz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D05952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Rate of Return</w:t>
            </w: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3826B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Return on Equity</w:t>
            </w:r>
          </w:p>
        </w:tc>
      </w:tr>
      <w:tr w:rsidR="00B7218D" w:rsidRPr="00B7218D" w14:paraId="556BFE50" w14:textId="77777777" w:rsidTr="00190924">
        <w:trPr>
          <w:jc w:val="center"/>
        </w:trPr>
        <w:tc>
          <w:tcPr>
            <w:tcW w:w="416" w:type="dxa"/>
            <w:tcBorders>
              <w:top w:val="nil"/>
              <w:left w:val="nil"/>
              <w:bottom w:val="nil"/>
              <w:right w:val="single" w:sz="4" w:space="0" w:color="auto"/>
            </w:tcBorders>
            <w:vAlign w:val="bottom"/>
          </w:tcPr>
          <w:p w14:paraId="242BBB64"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C0BD0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Year</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1F826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DA048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(2)</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EED875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6DE09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4D950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(2)</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65A689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r>
      <w:tr w:rsidR="00B7218D" w:rsidRPr="00B7218D" w14:paraId="56259C05" w14:textId="77777777" w:rsidTr="00190924">
        <w:trPr>
          <w:jc w:val="center"/>
        </w:trPr>
        <w:tc>
          <w:tcPr>
            <w:tcW w:w="416" w:type="dxa"/>
            <w:tcBorders>
              <w:top w:val="nil"/>
              <w:left w:val="nil"/>
              <w:bottom w:val="nil"/>
              <w:right w:val="single" w:sz="4" w:space="0" w:color="auto"/>
            </w:tcBorders>
            <w:vAlign w:val="bottom"/>
            <w:hideMark/>
          </w:tcPr>
          <w:p w14:paraId="2B08348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4D312D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08714C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7.90%</w:t>
            </w:r>
          </w:p>
        </w:tc>
        <w:tc>
          <w:tcPr>
            <w:tcW w:w="1345" w:type="dxa"/>
            <w:tcBorders>
              <w:top w:val="single" w:sz="4" w:space="0" w:color="auto"/>
              <w:left w:val="single" w:sz="4" w:space="0" w:color="auto"/>
              <w:bottom w:val="single" w:sz="4" w:space="0" w:color="auto"/>
              <w:right w:val="single" w:sz="4" w:space="0" w:color="auto"/>
            </w:tcBorders>
            <w:vAlign w:val="bottom"/>
            <w:hideMark/>
          </w:tcPr>
          <w:p w14:paraId="3935F3F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8.06%</w:t>
            </w:r>
          </w:p>
        </w:tc>
        <w:tc>
          <w:tcPr>
            <w:tcW w:w="1116" w:type="dxa"/>
            <w:tcBorders>
              <w:top w:val="single" w:sz="4" w:space="0" w:color="auto"/>
              <w:left w:val="single" w:sz="4" w:space="0" w:color="auto"/>
              <w:bottom w:val="single" w:sz="4" w:space="0" w:color="auto"/>
              <w:right w:val="single" w:sz="4" w:space="0" w:color="auto"/>
            </w:tcBorders>
            <w:vAlign w:val="bottom"/>
            <w:hideMark/>
          </w:tcPr>
          <w:p w14:paraId="65DDD98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AEEAE6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9.96%</w:t>
            </w:r>
          </w:p>
        </w:tc>
        <w:tc>
          <w:tcPr>
            <w:tcW w:w="1345" w:type="dxa"/>
            <w:tcBorders>
              <w:top w:val="single" w:sz="4" w:space="0" w:color="auto"/>
              <w:left w:val="single" w:sz="4" w:space="0" w:color="auto"/>
              <w:bottom w:val="single" w:sz="4" w:space="0" w:color="auto"/>
              <w:right w:val="single" w:sz="4" w:space="0" w:color="auto"/>
            </w:tcBorders>
            <w:vAlign w:val="bottom"/>
            <w:hideMark/>
          </w:tcPr>
          <w:p w14:paraId="01A4FB7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10.28%</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14F9C2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5F9A213E" w14:textId="77777777" w:rsidTr="00190924">
        <w:trPr>
          <w:jc w:val="center"/>
        </w:trPr>
        <w:tc>
          <w:tcPr>
            <w:tcW w:w="416" w:type="dxa"/>
            <w:tcBorders>
              <w:top w:val="nil"/>
              <w:left w:val="nil"/>
              <w:bottom w:val="nil"/>
              <w:right w:val="single" w:sz="4" w:space="0" w:color="auto"/>
            </w:tcBorders>
            <w:vAlign w:val="bottom"/>
            <w:hideMark/>
          </w:tcPr>
          <w:p w14:paraId="7BDF3EB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E762BB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2015</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67772D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7.52%</w:t>
            </w:r>
          </w:p>
        </w:tc>
        <w:tc>
          <w:tcPr>
            <w:tcW w:w="1345" w:type="dxa"/>
            <w:tcBorders>
              <w:top w:val="single" w:sz="4" w:space="0" w:color="auto"/>
              <w:left w:val="single" w:sz="4" w:space="0" w:color="auto"/>
              <w:bottom w:val="single" w:sz="4" w:space="0" w:color="auto"/>
              <w:right w:val="single" w:sz="4" w:space="0" w:color="auto"/>
            </w:tcBorders>
            <w:vAlign w:val="bottom"/>
            <w:hideMark/>
          </w:tcPr>
          <w:p w14:paraId="3F7D121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8.05%</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C2B1B5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CC4106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9.13%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68B508D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10.25%</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42020E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25084A4E" w14:textId="77777777" w:rsidTr="00190924">
        <w:trPr>
          <w:jc w:val="center"/>
        </w:trPr>
        <w:tc>
          <w:tcPr>
            <w:tcW w:w="416" w:type="dxa"/>
            <w:tcBorders>
              <w:top w:val="nil"/>
              <w:left w:val="nil"/>
              <w:bottom w:val="nil"/>
              <w:right w:val="single" w:sz="4" w:space="0" w:color="auto"/>
            </w:tcBorders>
            <w:vAlign w:val="bottom"/>
            <w:hideMark/>
          </w:tcPr>
          <w:p w14:paraId="36FA28A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5F591E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8EB874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7.53%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6EB1EE1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B07916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C627E0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9.01%</w:t>
            </w:r>
          </w:p>
        </w:tc>
        <w:tc>
          <w:tcPr>
            <w:tcW w:w="1345" w:type="dxa"/>
            <w:tcBorders>
              <w:top w:val="single" w:sz="4" w:space="0" w:color="auto"/>
              <w:left w:val="single" w:sz="4" w:space="0" w:color="auto"/>
              <w:bottom w:val="single" w:sz="4" w:space="0" w:color="auto"/>
              <w:right w:val="single" w:sz="4" w:space="0" w:color="auto"/>
            </w:tcBorders>
            <w:vAlign w:val="bottom"/>
            <w:hideMark/>
          </w:tcPr>
          <w:p w14:paraId="5989A94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9.44%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131229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5E73E07D" w14:textId="77777777" w:rsidTr="00190924">
        <w:trPr>
          <w:jc w:val="center"/>
        </w:trPr>
        <w:tc>
          <w:tcPr>
            <w:tcW w:w="416" w:type="dxa"/>
            <w:tcBorders>
              <w:top w:val="nil"/>
              <w:left w:val="nil"/>
              <w:bottom w:val="nil"/>
              <w:right w:val="single" w:sz="4" w:space="0" w:color="auto"/>
            </w:tcBorders>
            <w:vAlign w:val="bottom"/>
            <w:hideMark/>
          </w:tcPr>
          <w:p w14:paraId="4A17513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B92FA9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0A3CC9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7.50%</w:t>
            </w:r>
          </w:p>
        </w:tc>
        <w:tc>
          <w:tcPr>
            <w:tcW w:w="1345" w:type="dxa"/>
            <w:tcBorders>
              <w:top w:val="single" w:sz="4" w:space="0" w:color="auto"/>
              <w:left w:val="single" w:sz="4" w:space="0" w:color="auto"/>
              <w:bottom w:val="single" w:sz="4" w:space="0" w:color="auto"/>
              <w:right w:val="single" w:sz="4" w:space="0" w:color="auto"/>
            </w:tcBorders>
            <w:vAlign w:val="bottom"/>
            <w:hideMark/>
          </w:tcPr>
          <w:p w14:paraId="36EBB78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7.56%</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BEDBD7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A8A7A3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8.95%</w:t>
            </w:r>
          </w:p>
        </w:tc>
        <w:tc>
          <w:tcPr>
            <w:tcW w:w="1345" w:type="dxa"/>
            <w:tcBorders>
              <w:top w:val="single" w:sz="4" w:space="0" w:color="auto"/>
              <w:left w:val="single" w:sz="4" w:space="0" w:color="auto"/>
              <w:bottom w:val="single" w:sz="4" w:space="0" w:color="auto"/>
              <w:right w:val="single" w:sz="4" w:space="0" w:color="auto"/>
            </w:tcBorders>
            <w:vAlign w:val="bottom"/>
            <w:hideMark/>
          </w:tcPr>
          <w:p w14:paraId="6D80413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9.06%</w:t>
            </w:r>
          </w:p>
        </w:tc>
        <w:tc>
          <w:tcPr>
            <w:tcW w:w="1116" w:type="dxa"/>
            <w:tcBorders>
              <w:top w:val="single" w:sz="4" w:space="0" w:color="auto"/>
              <w:left w:val="single" w:sz="4" w:space="0" w:color="auto"/>
              <w:bottom w:val="single" w:sz="4" w:space="0" w:color="auto"/>
              <w:right w:val="single" w:sz="4" w:space="0" w:color="auto"/>
            </w:tcBorders>
            <w:vAlign w:val="bottom"/>
            <w:hideMark/>
          </w:tcPr>
          <w:p w14:paraId="6C539B2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6A29CE4C" w14:textId="77777777" w:rsidTr="00190924">
        <w:trPr>
          <w:jc w:val="center"/>
        </w:trPr>
        <w:tc>
          <w:tcPr>
            <w:tcW w:w="416" w:type="dxa"/>
            <w:tcBorders>
              <w:top w:val="nil"/>
              <w:left w:val="nil"/>
              <w:bottom w:val="nil"/>
              <w:right w:val="single" w:sz="4" w:space="0" w:color="auto"/>
            </w:tcBorders>
            <w:vAlign w:val="bottom"/>
            <w:hideMark/>
          </w:tcPr>
          <w:p w14:paraId="1E77F39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5</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AC92CC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2012</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2C7428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7.46%</w:t>
            </w:r>
          </w:p>
        </w:tc>
        <w:tc>
          <w:tcPr>
            <w:tcW w:w="1345" w:type="dxa"/>
            <w:tcBorders>
              <w:top w:val="single" w:sz="4" w:space="0" w:color="auto"/>
              <w:left w:val="single" w:sz="4" w:space="0" w:color="auto"/>
              <w:bottom w:val="single" w:sz="4" w:space="0" w:color="auto"/>
              <w:right w:val="single" w:sz="4" w:space="0" w:color="auto"/>
            </w:tcBorders>
            <w:vAlign w:val="bottom"/>
            <w:hideMark/>
          </w:tcPr>
          <w:p w14:paraId="0150217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7.14%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A20A5B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7.80%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181AB3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8.78%</w:t>
            </w:r>
          </w:p>
        </w:tc>
        <w:tc>
          <w:tcPr>
            <w:tcW w:w="1345" w:type="dxa"/>
            <w:tcBorders>
              <w:top w:val="single" w:sz="4" w:space="0" w:color="auto"/>
              <w:left w:val="single" w:sz="4" w:space="0" w:color="auto"/>
              <w:bottom w:val="single" w:sz="4" w:space="0" w:color="auto"/>
              <w:right w:val="single" w:sz="4" w:space="0" w:color="auto"/>
            </w:tcBorders>
            <w:vAlign w:val="bottom"/>
            <w:hideMark/>
          </w:tcPr>
          <w:p w14:paraId="7691D3C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8.11%</w:t>
            </w:r>
          </w:p>
        </w:tc>
        <w:tc>
          <w:tcPr>
            <w:tcW w:w="1116" w:type="dxa"/>
            <w:tcBorders>
              <w:top w:val="single" w:sz="4" w:space="0" w:color="auto"/>
              <w:left w:val="single" w:sz="4" w:space="0" w:color="auto"/>
              <w:bottom w:val="single" w:sz="4" w:space="0" w:color="auto"/>
              <w:right w:val="single" w:sz="4" w:space="0" w:color="auto"/>
            </w:tcBorders>
            <w:vAlign w:val="bottom"/>
            <w:hideMark/>
          </w:tcPr>
          <w:p w14:paraId="5375D2E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1314C85A" w14:textId="77777777" w:rsidTr="00190924">
        <w:trPr>
          <w:jc w:val="center"/>
        </w:trPr>
        <w:tc>
          <w:tcPr>
            <w:tcW w:w="416" w:type="dxa"/>
            <w:tcBorders>
              <w:top w:val="nil"/>
              <w:left w:val="nil"/>
              <w:bottom w:val="nil"/>
              <w:right w:val="single" w:sz="4" w:space="0" w:color="auto"/>
            </w:tcBorders>
            <w:vAlign w:val="bottom"/>
            <w:hideMark/>
          </w:tcPr>
          <w:p w14:paraId="60DC31A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A69605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7A16B1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7.75%</w:t>
            </w:r>
          </w:p>
        </w:tc>
        <w:tc>
          <w:tcPr>
            <w:tcW w:w="1345" w:type="dxa"/>
            <w:tcBorders>
              <w:top w:val="single" w:sz="4" w:space="0" w:color="auto"/>
              <w:left w:val="single" w:sz="4" w:space="0" w:color="auto"/>
              <w:bottom w:val="single" w:sz="4" w:space="0" w:color="auto"/>
              <w:right w:val="single" w:sz="4" w:space="0" w:color="auto"/>
            </w:tcBorders>
            <w:vAlign w:val="bottom"/>
            <w:hideMark/>
          </w:tcPr>
          <w:p w14:paraId="4696B69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6.62%</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EE67E4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8.10%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B87BDC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9.31%</w:t>
            </w:r>
          </w:p>
        </w:tc>
        <w:tc>
          <w:tcPr>
            <w:tcW w:w="1345" w:type="dxa"/>
            <w:tcBorders>
              <w:top w:val="single" w:sz="4" w:space="0" w:color="auto"/>
              <w:left w:val="single" w:sz="4" w:space="0" w:color="auto"/>
              <w:bottom w:val="single" w:sz="4" w:space="0" w:color="auto"/>
              <w:right w:val="single" w:sz="4" w:space="0" w:color="auto"/>
            </w:tcBorders>
            <w:vAlign w:val="bottom"/>
            <w:hideMark/>
          </w:tcPr>
          <w:p w14:paraId="7187DCB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6.98%</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42B7AD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10.10%</w:t>
            </w:r>
          </w:p>
        </w:tc>
      </w:tr>
      <w:tr w:rsidR="00B7218D" w:rsidRPr="00B7218D" w14:paraId="1F920F09" w14:textId="77777777" w:rsidTr="00190924">
        <w:trPr>
          <w:jc w:val="center"/>
        </w:trPr>
        <w:tc>
          <w:tcPr>
            <w:tcW w:w="416" w:type="dxa"/>
            <w:tcBorders>
              <w:top w:val="nil"/>
              <w:left w:val="nil"/>
              <w:bottom w:val="nil"/>
              <w:right w:val="nil"/>
            </w:tcBorders>
            <w:vAlign w:val="bottom"/>
          </w:tcPr>
          <w:p w14:paraId="1F56DF4B" w14:textId="77777777" w:rsidR="00B7218D" w:rsidRPr="00B7218D" w:rsidRDefault="00B7218D" w:rsidP="001564E7">
            <w:pPr>
              <w:keepNext/>
              <w:keepLines/>
              <w:spacing w:before="40" w:line="240" w:lineRule="auto"/>
              <w:ind w:firstLine="0"/>
              <w:jc w:val="center"/>
              <w:rPr>
                <w:rFonts w:eastAsia="PMingLiU"/>
                <w:sz w:val="20"/>
              </w:rPr>
            </w:pPr>
          </w:p>
        </w:tc>
        <w:tc>
          <w:tcPr>
            <w:tcW w:w="8243" w:type="dxa"/>
            <w:gridSpan w:val="7"/>
            <w:tcBorders>
              <w:top w:val="single" w:sz="4" w:space="0" w:color="auto"/>
              <w:left w:val="nil"/>
              <w:bottom w:val="nil"/>
              <w:right w:val="nil"/>
            </w:tcBorders>
            <w:vAlign w:val="bottom"/>
            <w:hideMark/>
          </w:tcPr>
          <w:p w14:paraId="62C0F55E"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Notes:</w:t>
            </w:r>
          </w:p>
        </w:tc>
      </w:tr>
      <w:tr w:rsidR="00B7218D" w:rsidRPr="00B7218D" w14:paraId="1F5D39DA" w14:textId="77777777" w:rsidTr="00190924">
        <w:trPr>
          <w:jc w:val="center"/>
        </w:trPr>
        <w:tc>
          <w:tcPr>
            <w:tcW w:w="416" w:type="dxa"/>
            <w:tcBorders>
              <w:top w:val="nil"/>
              <w:left w:val="nil"/>
              <w:bottom w:val="nil"/>
              <w:right w:val="nil"/>
            </w:tcBorders>
            <w:vAlign w:val="bottom"/>
          </w:tcPr>
          <w:p w14:paraId="415797B9" w14:textId="77777777" w:rsidR="00B7218D" w:rsidRPr="00B7218D" w:rsidRDefault="00B7218D" w:rsidP="001564E7">
            <w:pPr>
              <w:keepNext/>
              <w:keepLines/>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58646AAC"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(1)</w:t>
            </w:r>
            <w:r w:rsidRPr="00B7218D">
              <w:rPr>
                <w:rFonts w:eastAsia="PMingLiU"/>
                <w:sz w:val="20"/>
              </w:rPr>
              <w:tab/>
              <w:t>Adjusted actual returns: Exclude ASC 815 (formerly FAS 133) gains or losses and include tax benefits of interest</w:t>
            </w:r>
          </w:p>
        </w:tc>
      </w:tr>
      <w:tr w:rsidR="00B7218D" w:rsidRPr="00B7218D" w14:paraId="6FD31EE3" w14:textId="77777777" w:rsidTr="00190924">
        <w:trPr>
          <w:jc w:val="center"/>
        </w:trPr>
        <w:tc>
          <w:tcPr>
            <w:tcW w:w="416" w:type="dxa"/>
            <w:tcBorders>
              <w:top w:val="nil"/>
              <w:left w:val="nil"/>
              <w:bottom w:val="nil"/>
              <w:right w:val="nil"/>
            </w:tcBorders>
            <w:vAlign w:val="bottom"/>
          </w:tcPr>
          <w:p w14:paraId="56813337" w14:textId="77777777" w:rsidR="00B7218D" w:rsidRPr="00B7218D" w:rsidRDefault="00B7218D" w:rsidP="001564E7">
            <w:pPr>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3596A8B6" w14:textId="77777777" w:rsidR="00B7218D" w:rsidRPr="00B7218D" w:rsidRDefault="00B7218D" w:rsidP="001564E7">
            <w:pPr>
              <w:spacing w:before="40" w:after="480" w:line="240" w:lineRule="auto"/>
              <w:ind w:left="475" w:hanging="475"/>
              <w:rPr>
                <w:rFonts w:eastAsia="PMingLiU"/>
                <w:sz w:val="20"/>
              </w:rPr>
            </w:pPr>
            <w:r w:rsidRPr="00B7218D">
              <w:rPr>
                <w:rFonts w:eastAsia="PMingLiU"/>
                <w:sz w:val="20"/>
              </w:rPr>
              <w:t>(2)</w:t>
            </w:r>
            <w:r w:rsidRPr="00B7218D">
              <w:rPr>
                <w:rFonts w:eastAsia="PMingLiU"/>
                <w:sz w:val="20"/>
              </w:rPr>
              <w:tab/>
              <w:t xml:space="preserve">Normalized returns: 2013 - 2016 </w:t>
            </w:r>
            <w:proofErr w:type="spellStart"/>
            <w:r w:rsidRPr="00B7218D">
              <w:rPr>
                <w:rFonts w:eastAsia="PMingLiU"/>
                <w:sz w:val="20"/>
              </w:rPr>
              <w:t>CBR</w:t>
            </w:r>
            <w:proofErr w:type="spellEnd"/>
            <w:r w:rsidRPr="00B7218D">
              <w:rPr>
                <w:rFonts w:eastAsia="PMingLiU"/>
                <w:sz w:val="20"/>
              </w:rPr>
              <w:t xml:space="preserve"> filed with the Commission</w:t>
            </w:r>
          </w:p>
        </w:tc>
      </w:tr>
    </w:tbl>
    <w:p w14:paraId="1154E354" w14:textId="77777777" w:rsidR="00B7218D" w:rsidRPr="00B7218D" w:rsidRDefault="00B7218D" w:rsidP="001564E7">
      <w:pPr>
        <w:spacing w:before="120" w:after="120" w:line="480" w:lineRule="auto"/>
        <w:ind w:left="720" w:firstLine="0"/>
      </w:pPr>
      <w:r w:rsidRPr="00B7218D">
        <w:t>Likewise, Table 2 below represents an updated comparison of PSE’s adjusted actual and normalized rates of return and returns on equity (as reflected in PSE’s filed Commission Basis Reports) to the authorized rates of return and returns on equity in place during the respective calendar year for gas operations.</w:t>
      </w:r>
    </w:p>
    <w:p w14:paraId="00A1C08C" w14:textId="77777777" w:rsidR="00B7218D" w:rsidRPr="00B7218D" w:rsidRDefault="00B7218D" w:rsidP="001564E7">
      <w:pPr>
        <w:keepNext/>
        <w:keepLines/>
        <w:spacing w:after="60" w:line="240" w:lineRule="auto"/>
        <w:ind w:firstLine="0"/>
        <w:jc w:val="center"/>
        <w:rPr>
          <w:b/>
        </w:rPr>
      </w:pPr>
      <w:r w:rsidRPr="00B7218D">
        <w:rPr>
          <w:b/>
        </w:rPr>
        <w:lastRenderedPageBreak/>
        <w:t>Table 2. Comparison of PSE’s Adjusted Actual and</w:t>
      </w:r>
      <w:r w:rsidRPr="00B7218D">
        <w:rPr>
          <w:b/>
        </w:rPr>
        <w:br/>
        <w:t>Normalized Rates of Return and Returns on Equity for Gas Operations</w:t>
      </w:r>
    </w:p>
    <w:tbl>
      <w:tblPr>
        <w:tblStyle w:val="TableGrid1"/>
        <w:tblW w:w="0" w:type="auto"/>
        <w:jc w:val="center"/>
        <w:tblLook w:val="04A0" w:firstRow="1" w:lastRow="0" w:firstColumn="1" w:lastColumn="0" w:noHBand="0" w:noVBand="1"/>
      </w:tblPr>
      <w:tblGrid>
        <w:gridCol w:w="416"/>
        <w:gridCol w:w="1107"/>
        <w:gridCol w:w="1107"/>
        <w:gridCol w:w="1345"/>
        <w:gridCol w:w="1116"/>
        <w:gridCol w:w="1107"/>
        <w:gridCol w:w="1345"/>
        <w:gridCol w:w="1116"/>
      </w:tblGrid>
      <w:tr w:rsidR="00B7218D" w:rsidRPr="00B7218D" w14:paraId="15CB69EA" w14:textId="77777777" w:rsidTr="00190924">
        <w:trPr>
          <w:jc w:val="center"/>
        </w:trPr>
        <w:tc>
          <w:tcPr>
            <w:tcW w:w="416" w:type="dxa"/>
            <w:tcBorders>
              <w:top w:val="nil"/>
              <w:left w:val="nil"/>
              <w:bottom w:val="nil"/>
              <w:right w:val="nil"/>
            </w:tcBorders>
            <w:vAlign w:val="bottom"/>
          </w:tcPr>
          <w:p w14:paraId="586462B8"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nil"/>
              <w:right w:val="nil"/>
            </w:tcBorders>
            <w:vAlign w:val="bottom"/>
            <w:hideMark/>
          </w:tcPr>
          <w:p w14:paraId="1E2C1EF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w:t>
            </w:r>
          </w:p>
        </w:tc>
        <w:tc>
          <w:tcPr>
            <w:tcW w:w="1107" w:type="dxa"/>
            <w:tcBorders>
              <w:top w:val="nil"/>
              <w:left w:val="nil"/>
              <w:bottom w:val="single" w:sz="4" w:space="0" w:color="auto"/>
              <w:right w:val="nil"/>
            </w:tcBorders>
            <w:vAlign w:val="bottom"/>
            <w:hideMark/>
          </w:tcPr>
          <w:p w14:paraId="1DAC9AD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(B)</w:t>
            </w:r>
          </w:p>
        </w:tc>
        <w:tc>
          <w:tcPr>
            <w:tcW w:w="1345" w:type="dxa"/>
            <w:tcBorders>
              <w:top w:val="nil"/>
              <w:left w:val="nil"/>
              <w:bottom w:val="single" w:sz="4" w:space="0" w:color="auto"/>
              <w:right w:val="nil"/>
            </w:tcBorders>
            <w:vAlign w:val="bottom"/>
            <w:hideMark/>
          </w:tcPr>
          <w:p w14:paraId="01BBD01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(C)</w:t>
            </w:r>
          </w:p>
        </w:tc>
        <w:tc>
          <w:tcPr>
            <w:tcW w:w="1116" w:type="dxa"/>
            <w:tcBorders>
              <w:top w:val="nil"/>
              <w:left w:val="nil"/>
              <w:bottom w:val="single" w:sz="4" w:space="0" w:color="auto"/>
              <w:right w:val="nil"/>
            </w:tcBorders>
            <w:vAlign w:val="bottom"/>
            <w:hideMark/>
          </w:tcPr>
          <w:p w14:paraId="1D29DFF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(D)</w:t>
            </w:r>
          </w:p>
        </w:tc>
        <w:tc>
          <w:tcPr>
            <w:tcW w:w="1107" w:type="dxa"/>
            <w:tcBorders>
              <w:top w:val="nil"/>
              <w:left w:val="nil"/>
              <w:bottom w:val="single" w:sz="4" w:space="0" w:color="auto"/>
              <w:right w:val="nil"/>
            </w:tcBorders>
            <w:vAlign w:val="bottom"/>
            <w:hideMark/>
          </w:tcPr>
          <w:p w14:paraId="6A82AF2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(E)</w:t>
            </w:r>
          </w:p>
        </w:tc>
        <w:tc>
          <w:tcPr>
            <w:tcW w:w="1345" w:type="dxa"/>
            <w:tcBorders>
              <w:top w:val="nil"/>
              <w:left w:val="nil"/>
              <w:bottom w:val="single" w:sz="4" w:space="0" w:color="auto"/>
              <w:right w:val="nil"/>
            </w:tcBorders>
            <w:vAlign w:val="bottom"/>
            <w:hideMark/>
          </w:tcPr>
          <w:p w14:paraId="3286252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(F)</w:t>
            </w:r>
          </w:p>
        </w:tc>
        <w:tc>
          <w:tcPr>
            <w:tcW w:w="1116" w:type="dxa"/>
            <w:tcBorders>
              <w:top w:val="nil"/>
              <w:left w:val="nil"/>
              <w:bottom w:val="single" w:sz="4" w:space="0" w:color="auto"/>
              <w:right w:val="nil"/>
            </w:tcBorders>
            <w:vAlign w:val="bottom"/>
            <w:hideMark/>
          </w:tcPr>
          <w:p w14:paraId="5F4C865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(G)</w:t>
            </w:r>
          </w:p>
        </w:tc>
      </w:tr>
      <w:tr w:rsidR="00B7218D" w:rsidRPr="00B7218D" w14:paraId="24396041" w14:textId="77777777" w:rsidTr="00190924">
        <w:trPr>
          <w:jc w:val="center"/>
        </w:trPr>
        <w:tc>
          <w:tcPr>
            <w:tcW w:w="416" w:type="dxa"/>
            <w:tcBorders>
              <w:top w:val="nil"/>
              <w:left w:val="nil"/>
              <w:bottom w:val="nil"/>
              <w:right w:val="nil"/>
            </w:tcBorders>
            <w:vAlign w:val="bottom"/>
          </w:tcPr>
          <w:p w14:paraId="37AAFE77"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single" w:sz="4" w:space="0" w:color="auto"/>
              <w:right w:val="single" w:sz="4" w:space="0" w:color="auto"/>
            </w:tcBorders>
            <w:vAlign w:val="bottom"/>
          </w:tcPr>
          <w:p w14:paraId="35F0E782" w14:textId="77777777" w:rsidR="00B7218D" w:rsidRPr="00B7218D" w:rsidRDefault="00B7218D" w:rsidP="001564E7">
            <w:pPr>
              <w:keepNext/>
              <w:keepLines/>
              <w:spacing w:before="40" w:after="40" w:line="240" w:lineRule="auto"/>
              <w:ind w:firstLine="0"/>
              <w:jc w:val="center"/>
              <w:rPr>
                <w:rFonts w:eastAsia="PMingLiU"/>
                <w:sz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EE3C9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Rate of Return</w:t>
            </w: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9863C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Return on Equity</w:t>
            </w:r>
          </w:p>
        </w:tc>
      </w:tr>
      <w:tr w:rsidR="00B7218D" w:rsidRPr="00B7218D" w14:paraId="77AC2C36" w14:textId="77777777" w:rsidTr="00190924">
        <w:trPr>
          <w:jc w:val="center"/>
        </w:trPr>
        <w:tc>
          <w:tcPr>
            <w:tcW w:w="416" w:type="dxa"/>
            <w:tcBorders>
              <w:top w:val="nil"/>
              <w:left w:val="nil"/>
              <w:bottom w:val="nil"/>
              <w:right w:val="single" w:sz="4" w:space="0" w:color="auto"/>
            </w:tcBorders>
            <w:vAlign w:val="bottom"/>
          </w:tcPr>
          <w:p w14:paraId="482E5A9B"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556C09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Year</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27BB0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3F92C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(2)</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EF9B5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271C6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E79F71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(2)</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809B68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r>
      <w:tr w:rsidR="00B7218D" w:rsidRPr="00B7218D" w14:paraId="488B5D88" w14:textId="77777777" w:rsidTr="00190924">
        <w:trPr>
          <w:jc w:val="center"/>
        </w:trPr>
        <w:tc>
          <w:tcPr>
            <w:tcW w:w="416" w:type="dxa"/>
            <w:tcBorders>
              <w:top w:val="nil"/>
              <w:left w:val="nil"/>
              <w:bottom w:val="nil"/>
              <w:right w:val="single" w:sz="4" w:space="0" w:color="auto"/>
            </w:tcBorders>
            <w:vAlign w:val="bottom"/>
            <w:hideMark/>
          </w:tcPr>
          <w:p w14:paraId="2329054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7BC8A1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70BC7D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7.80%</w:t>
            </w:r>
          </w:p>
        </w:tc>
        <w:tc>
          <w:tcPr>
            <w:tcW w:w="1345" w:type="dxa"/>
            <w:tcBorders>
              <w:top w:val="single" w:sz="4" w:space="0" w:color="auto"/>
              <w:left w:val="single" w:sz="4" w:space="0" w:color="auto"/>
              <w:bottom w:val="single" w:sz="4" w:space="0" w:color="auto"/>
              <w:right w:val="single" w:sz="4" w:space="0" w:color="auto"/>
            </w:tcBorders>
            <w:vAlign w:val="bottom"/>
            <w:hideMark/>
          </w:tcPr>
          <w:p w14:paraId="39FE514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7.93%</w:t>
            </w:r>
          </w:p>
        </w:tc>
        <w:tc>
          <w:tcPr>
            <w:tcW w:w="1116" w:type="dxa"/>
            <w:tcBorders>
              <w:top w:val="single" w:sz="4" w:space="0" w:color="auto"/>
              <w:left w:val="single" w:sz="4" w:space="0" w:color="auto"/>
              <w:bottom w:val="single" w:sz="4" w:space="0" w:color="auto"/>
              <w:right w:val="single" w:sz="4" w:space="0" w:color="auto"/>
            </w:tcBorders>
            <w:vAlign w:val="bottom"/>
            <w:hideMark/>
          </w:tcPr>
          <w:p w14:paraId="6C8015C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8CFA9F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9.75%</w:t>
            </w:r>
          </w:p>
        </w:tc>
        <w:tc>
          <w:tcPr>
            <w:tcW w:w="1345" w:type="dxa"/>
            <w:tcBorders>
              <w:top w:val="single" w:sz="4" w:space="0" w:color="auto"/>
              <w:left w:val="single" w:sz="4" w:space="0" w:color="auto"/>
              <w:bottom w:val="single" w:sz="4" w:space="0" w:color="auto"/>
              <w:right w:val="single" w:sz="4" w:space="0" w:color="auto"/>
            </w:tcBorders>
            <w:vAlign w:val="bottom"/>
            <w:hideMark/>
          </w:tcPr>
          <w:p w14:paraId="21B73CC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10.01%</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DA3309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055ACDFF" w14:textId="77777777" w:rsidTr="00190924">
        <w:trPr>
          <w:jc w:val="center"/>
        </w:trPr>
        <w:tc>
          <w:tcPr>
            <w:tcW w:w="416" w:type="dxa"/>
            <w:tcBorders>
              <w:top w:val="nil"/>
              <w:left w:val="nil"/>
              <w:bottom w:val="nil"/>
              <w:right w:val="single" w:sz="4" w:space="0" w:color="auto"/>
            </w:tcBorders>
            <w:vAlign w:val="bottom"/>
            <w:hideMark/>
          </w:tcPr>
          <w:p w14:paraId="258FF3F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E8FF2A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2015</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35BA31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7.62%</w:t>
            </w:r>
          </w:p>
        </w:tc>
        <w:tc>
          <w:tcPr>
            <w:tcW w:w="1345" w:type="dxa"/>
            <w:tcBorders>
              <w:top w:val="single" w:sz="4" w:space="0" w:color="auto"/>
              <w:left w:val="single" w:sz="4" w:space="0" w:color="auto"/>
              <w:bottom w:val="single" w:sz="4" w:space="0" w:color="auto"/>
              <w:right w:val="single" w:sz="4" w:space="0" w:color="auto"/>
            </w:tcBorders>
            <w:vAlign w:val="bottom"/>
            <w:hideMark/>
          </w:tcPr>
          <w:p w14:paraId="3D8B8CD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8.17%</w:t>
            </w:r>
          </w:p>
        </w:tc>
        <w:tc>
          <w:tcPr>
            <w:tcW w:w="1116" w:type="dxa"/>
            <w:tcBorders>
              <w:top w:val="single" w:sz="4" w:space="0" w:color="auto"/>
              <w:left w:val="single" w:sz="4" w:space="0" w:color="auto"/>
              <w:bottom w:val="single" w:sz="4" w:space="0" w:color="auto"/>
              <w:right w:val="single" w:sz="4" w:space="0" w:color="auto"/>
            </w:tcBorders>
            <w:vAlign w:val="bottom"/>
            <w:hideMark/>
          </w:tcPr>
          <w:p w14:paraId="2DA6901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9F170A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9.34%</w:t>
            </w:r>
          </w:p>
        </w:tc>
        <w:tc>
          <w:tcPr>
            <w:tcW w:w="1345" w:type="dxa"/>
            <w:tcBorders>
              <w:top w:val="single" w:sz="4" w:space="0" w:color="auto"/>
              <w:left w:val="single" w:sz="4" w:space="0" w:color="auto"/>
              <w:bottom w:val="single" w:sz="4" w:space="0" w:color="auto"/>
              <w:right w:val="single" w:sz="4" w:space="0" w:color="auto"/>
            </w:tcBorders>
            <w:vAlign w:val="bottom"/>
            <w:hideMark/>
          </w:tcPr>
          <w:p w14:paraId="6E7AC0E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10.49%</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646634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3A58FC43" w14:textId="77777777" w:rsidTr="00190924">
        <w:trPr>
          <w:jc w:val="center"/>
        </w:trPr>
        <w:tc>
          <w:tcPr>
            <w:tcW w:w="416" w:type="dxa"/>
            <w:tcBorders>
              <w:top w:val="nil"/>
              <w:left w:val="nil"/>
              <w:bottom w:val="nil"/>
              <w:right w:val="single" w:sz="4" w:space="0" w:color="auto"/>
            </w:tcBorders>
            <w:vAlign w:val="bottom"/>
            <w:hideMark/>
          </w:tcPr>
          <w:p w14:paraId="079D5C3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AE7AD1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4E8B9B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7.80%</w:t>
            </w:r>
          </w:p>
        </w:tc>
        <w:tc>
          <w:tcPr>
            <w:tcW w:w="1345" w:type="dxa"/>
            <w:tcBorders>
              <w:top w:val="single" w:sz="4" w:space="0" w:color="auto"/>
              <w:left w:val="single" w:sz="4" w:space="0" w:color="auto"/>
              <w:bottom w:val="single" w:sz="4" w:space="0" w:color="auto"/>
              <w:right w:val="single" w:sz="4" w:space="0" w:color="auto"/>
            </w:tcBorders>
            <w:vAlign w:val="bottom"/>
            <w:hideMark/>
          </w:tcPr>
          <w:p w14:paraId="4F29008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7.87%</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3057E6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4CFF77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9.56%</w:t>
            </w:r>
          </w:p>
        </w:tc>
        <w:tc>
          <w:tcPr>
            <w:tcW w:w="1345" w:type="dxa"/>
            <w:tcBorders>
              <w:top w:val="single" w:sz="4" w:space="0" w:color="auto"/>
              <w:left w:val="single" w:sz="4" w:space="0" w:color="auto"/>
              <w:bottom w:val="single" w:sz="4" w:space="0" w:color="auto"/>
              <w:right w:val="single" w:sz="4" w:space="0" w:color="auto"/>
            </w:tcBorders>
            <w:vAlign w:val="bottom"/>
            <w:hideMark/>
          </w:tcPr>
          <w:p w14:paraId="295537D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9.71%</w:t>
            </w:r>
          </w:p>
        </w:tc>
        <w:tc>
          <w:tcPr>
            <w:tcW w:w="1116" w:type="dxa"/>
            <w:tcBorders>
              <w:top w:val="single" w:sz="4" w:space="0" w:color="auto"/>
              <w:left w:val="single" w:sz="4" w:space="0" w:color="auto"/>
              <w:bottom w:val="single" w:sz="4" w:space="0" w:color="auto"/>
              <w:right w:val="single" w:sz="4" w:space="0" w:color="auto"/>
            </w:tcBorders>
            <w:vAlign w:val="bottom"/>
            <w:hideMark/>
          </w:tcPr>
          <w:p w14:paraId="454D1CD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2FA197DD" w14:textId="77777777" w:rsidTr="00190924">
        <w:trPr>
          <w:jc w:val="center"/>
        </w:trPr>
        <w:tc>
          <w:tcPr>
            <w:tcW w:w="416" w:type="dxa"/>
            <w:tcBorders>
              <w:top w:val="nil"/>
              <w:left w:val="nil"/>
              <w:bottom w:val="nil"/>
              <w:right w:val="single" w:sz="4" w:space="0" w:color="auto"/>
            </w:tcBorders>
            <w:vAlign w:val="bottom"/>
            <w:hideMark/>
          </w:tcPr>
          <w:p w14:paraId="02D2761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F097C2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9ED445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7.22%</w:t>
            </w:r>
          </w:p>
        </w:tc>
        <w:tc>
          <w:tcPr>
            <w:tcW w:w="1345" w:type="dxa"/>
            <w:tcBorders>
              <w:top w:val="single" w:sz="4" w:space="0" w:color="auto"/>
              <w:left w:val="single" w:sz="4" w:space="0" w:color="auto"/>
              <w:bottom w:val="single" w:sz="4" w:space="0" w:color="auto"/>
              <w:right w:val="single" w:sz="4" w:space="0" w:color="auto"/>
            </w:tcBorders>
            <w:vAlign w:val="bottom"/>
            <w:hideMark/>
          </w:tcPr>
          <w:p w14:paraId="6E64338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7.34%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51954B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7D339B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8.37%</w:t>
            </w:r>
          </w:p>
        </w:tc>
        <w:tc>
          <w:tcPr>
            <w:tcW w:w="1345" w:type="dxa"/>
            <w:tcBorders>
              <w:top w:val="single" w:sz="4" w:space="0" w:color="auto"/>
              <w:left w:val="single" w:sz="4" w:space="0" w:color="auto"/>
              <w:bottom w:val="single" w:sz="4" w:space="0" w:color="auto"/>
              <w:right w:val="single" w:sz="4" w:space="0" w:color="auto"/>
            </w:tcBorders>
            <w:vAlign w:val="bottom"/>
            <w:hideMark/>
          </w:tcPr>
          <w:p w14:paraId="4D59B70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8.62%</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5D0A04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2DF9FC2C" w14:textId="77777777" w:rsidTr="00190924">
        <w:trPr>
          <w:jc w:val="center"/>
        </w:trPr>
        <w:tc>
          <w:tcPr>
            <w:tcW w:w="416" w:type="dxa"/>
            <w:tcBorders>
              <w:top w:val="nil"/>
              <w:left w:val="nil"/>
              <w:bottom w:val="nil"/>
              <w:right w:val="single" w:sz="4" w:space="0" w:color="auto"/>
            </w:tcBorders>
            <w:vAlign w:val="bottom"/>
            <w:hideMark/>
          </w:tcPr>
          <w:p w14:paraId="654BCB7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5</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7CA117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2012</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E0DC02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7.99%</w:t>
            </w:r>
          </w:p>
        </w:tc>
        <w:tc>
          <w:tcPr>
            <w:tcW w:w="1345" w:type="dxa"/>
            <w:tcBorders>
              <w:top w:val="single" w:sz="4" w:space="0" w:color="auto"/>
              <w:left w:val="single" w:sz="4" w:space="0" w:color="auto"/>
              <w:bottom w:val="single" w:sz="4" w:space="0" w:color="auto"/>
              <w:right w:val="single" w:sz="4" w:space="0" w:color="auto"/>
            </w:tcBorders>
            <w:vAlign w:val="bottom"/>
            <w:hideMark/>
          </w:tcPr>
          <w:p w14:paraId="4091668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7.46%</w:t>
            </w:r>
          </w:p>
        </w:tc>
        <w:tc>
          <w:tcPr>
            <w:tcW w:w="1116" w:type="dxa"/>
            <w:tcBorders>
              <w:top w:val="single" w:sz="4" w:space="0" w:color="auto"/>
              <w:left w:val="single" w:sz="4" w:space="0" w:color="auto"/>
              <w:bottom w:val="single" w:sz="4" w:space="0" w:color="auto"/>
              <w:right w:val="single" w:sz="4" w:space="0" w:color="auto"/>
            </w:tcBorders>
            <w:vAlign w:val="bottom"/>
            <w:hideMark/>
          </w:tcPr>
          <w:p w14:paraId="2517BC3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7.80%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A9B412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9.87%</w:t>
            </w:r>
          </w:p>
        </w:tc>
        <w:tc>
          <w:tcPr>
            <w:tcW w:w="1345" w:type="dxa"/>
            <w:tcBorders>
              <w:top w:val="single" w:sz="4" w:space="0" w:color="auto"/>
              <w:left w:val="single" w:sz="4" w:space="0" w:color="auto"/>
              <w:bottom w:val="single" w:sz="4" w:space="0" w:color="auto"/>
              <w:right w:val="single" w:sz="4" w:space="0" w:color="auto"/>
            </w:tcBorders>
            <w:vAlign w:val="bottom"/>
            <w:hideMark/>
          </w:tcPr>
          <w:p w14:paraId="5120169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8.78%</w:t>
            </w:r>
          </w:p>
        </w:tc>
        <w:tc>
          <w:tcPr>
            <w:tcW w:w="1116" w:type="dxa"/>
            <w:tcBorders>
              <w:top w:val="single" w:sz="4" w:space="0" w:color="auto"/>
              <w:left w:val="single" w:sz="4" w:space="0" w:color="auto"/>
              <w:bottom w:val="single" w:sz="4" w:space="0" w:color="auto"/>
              <w:right w:val="single" w:sz="4" w:space="0" w:color="auto"/>
            </w:tcBorders>
            <w:vAlign w:val="bottom"/>
            <w:hideMark/>
          </w:tcPr>
          <w:p w14:paraId="571078E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340279D8" w14:textId="77777777" w:rsidTr="00190924">
        <w:trPr>
          <w:jc w:val="center"/>
        </w:trPr>
        <w:tc>
          <w:tcPr>
            <w:tcW w:w="416" w:type="dxa"/>
            <w:tcBorders>
              <w:top w:val="nil"/>
              <w:left w:val="nil"/>
              <w:bottom w:val="nil"/>
              <w:right w:val="single" w:sz="4" w:space="0" w:color="auto"/>
            </w:tcBorders>
            <w:vAlign w:val="bottom"/>
            <w:hideMark/>
          </w:tcPr>
          <w:p w14:paraId="6A4BF2C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EAECC5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2E1D09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9.19%</w:t>
            </w:r>
          </w:p>
        </w:tc>
        <w:tc>
          <w:tcPr>
            <w:tcW w:w="1345" w:type="dxa"/>
            <w:tcBorders>
              <w:top w:val="single" w:sz="4" w:space="0" w:color="auto"/>
              <w:left w:val="single" w:sz="4" w:space="0" w:color="auto"/>
              <w:bottom w:val="single" w:sz="4" w:space="0" w:color="auto"/>
              <w:right w:val="single" w:sz="4" w:space="0" w:color="auto"/>
            </w:tcBorders>
            <w:vAlign w:val="bottom"/>
            <w:hideMark/>
          </w:tcPr>
          <w:p w14:paraId="7C0CFAE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6.78%</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902C1B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8.10%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9CE7A1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12.25%</w:t>
            </w:r>
          </w:p>
        </w:tc>
        <w:tc>
          <w:tcPr>
            <w:tcW w:w="1345" w:type="dxa"/>
            <w:tcBorders>
              <w:top w:val="single" w:sz="4" w:space="0" w:color="auto"/>
              <w:left w:val="single" w:sz="4" w:space="0" w:color="auto"/>
              <w:bottom w:val="single" w:sz="4" w:space="0" w:color="auto"/>
              <w:right w:val="single" w:sz="4" w:space="0" w:color="auto"/>
            </w:tcBorders>
            <w:vAlign w:val="bottom"/>
            <w:hideMark/>
          </w:tcPr>
          <w:p w14:paraId="212EEB2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7.30%</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FFFD10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10.10%</w:t>
            </w:r>
          </w:p>
        </w:tc>
      </w:tr>
      <w:tr w:rsidR="00B7218D" w:rsidRPr="00B7218D" w14:paraId="7BEB8A34" w14:textId="77777777" w:rsidTr="00190924">
        <w:trPr>
          <w:jc w:val="center"/>
        </w:trPr>
        <w:tc>
          <w:tcPr>
            <w:tcW w:w="416" w:type="dxa"/>
            <w:tcBorders>
              <w:top w:val="nil"/>
              <w:left w:val="nil"/>
              <w:bottom w:val="nil"/>
              <w:right w:val="nil"/>
            </w:tcBorders>
            <w:vAlign w:val="bottom"/>
          </w:tcPr>
          <w:p w14:paraId="5E0922D1" w14:textId="77777777" w:rsidR="00B7218D" w:rsidRPr="00B7218D" w:rsidRDefault="00B7218D" w:rsidP="001564E7">
            <w:pPr>
              <w:keepNext/>
              <w:keepLines/>
              <w:spacing w:before="40" w:line="240" w:lineRule="auto"/>
              <w:ind w:firstLine="0"/>
              <w:jc w:val="center"/>
              <w:rPr>
                <w:rFonts w:eastAsia="PMingLiU"/>
                <w:sz w:val="20"/>
              </w:rPr>
            </w:pPr>
          </w:p>
        </w:tc>
        <w:tc>
          <w:tcPr>
            <w:tcW w:w="8243" w:type="dxa"/>
            <w:gridSpan w:val="7"/>
            <w:tcBorders>
              <w:top w:val="single" w:sz="4" w:space="0" w:color="auto"/>
              <w:left w:val="nil"/>
              <w:bottom w:val="nil"/>
              <w:right w:val="nil"/>
            </w:tcBorders>
            <w:vAlign w:val="bottom"/>
            <w:hideMark/>
          </w:tcPr>
          <w:p w14:paraId="1F89937B"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Notes:</w:t>
            </w:r>
          </w:p>
        </w:tc>
      </w:tr>
      <w:tr w:rsidR="00B7218D" w:rsidRPr="00B7218D" w14:paraId="6BE6543D" w14:textId="77777777" w:rsidTr="00190924">
        <w:trPr>
          <w:jc w:val="center"/>
        </w:trPr>
        <w:tc>
          <w:tcPr>
            <w:tcW w:w="416" w:type="dxa"/>
            <w:tcBorders>
              <w:top w:val="nil"/>
              <w:left w:val="nil"/>
              <w:bottom w:val="nil"/>
              <w:right w:val="nil"/>
            </w:tcBorders>
            <w:vAlign w:val="bottom"/>
          </w:tcPr>
          <w:p w14:paraId="1621F9C2" w14:textId="77777777" w:rsidR="00B7218D" w:rsidRPr="00B7218D" w:rsidRDefault="00B7218D" w:rsidP="001564E7">
            <w:pPr>
              <w:keepNext/>
              <w:keepLines/>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30774D89"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(1)</w:t>
            </w:r>
            <w:r w:rsidRPr="00B7218D">
              <w:rPr>
                <w:rFonts w:eastAsia="PMingLiU"/>
                <w:sz w:val="20"/>
              </w:rPr>
              <w:tab/>
              <w:t>Adjusted actual returns: Exclude ASC 815 (formerly FAS 133) gains or losses and include tax benefits of interest</w:t>
            </w:r>
          </w:p>
        </w:tc>
      </w:tr>
      <w:tr w:rsidR="00B7218D" w:rsidRPr="00B7218D" w14:paraId="4EB71F5B" w14:textId="77777777" w:rsidTr="00190924">
        <w:trPr>
          <w:jc w:val="center"/>
        </w:trPr>
        <w:tc>
          <w:tcPr>
            <w:tcW w:w="416" w:type="dxa"/>
            <w:tcBorders>
              <w:top w:val="nil"/>
              <w:left w:val="nil"/>
              <w:bottom w:val="nil"/>
              <w:right w:val="nil"/>
            </w:tcBorders>
            <w:vAlign w:val="bottom"/>
          </w:tcPr>
          <w:p w14:paraId="7E3A8F55" w14:textId="77777777" w:rsidR="00B7218D" w:rsidRPr="00B7218D" w:rsidRDefault="00B7218D" w:rsidP="001564E7">
            <w:pPr>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2799B4BB" w14:textId="77777777" w:rsidR="00B7218D" w:rsidRPr="00B7218D" w:rsidRDefault="00B7218D" w:rsidP="001564E7">
            <w:pPr>
              <w:spacing w:before="40" w:after="480" w:line="240" w:lineRule="auto"/>
              <w:ind w:left="475" w:hanging="475"/>
              <w:rPr>
                <w:rFonts w:eastAsia="PMingLiU"/>
                <w:sz w:val="20"/>
              </w:rPr>
            </w:pPr>
            <w:r w:rsidRPr="00B7218D">
              <w:rPr>
                <w:rFonts w:eastAsia="PMingLiU"/>
                <w:sz w:val="20"/>
              </w:rPr>
              <w:t>(2)</w:t>
            </w:r>
            <w:r w:rsidRPr="00B7218D">
              <w:rPr>
                <w:rFonts w:eastAsia="PMingLiU"/>
                <w:sz w:val="20"/>
              </w:rPr>
              <w:tab/>
              <w:t xml:space="preserve">Normalized returns: 2013 - 2016 </w:t>
            </w:r>
            <w:proofErr w:type="spellStart"/>
            <w:r w:rsidRPr="00B7218D">
              <w:rPr>
                <w:rFonts w:eastAsia="PMingLiU"/>
                <w:sz w:val="20"/>
              </w:rPr>
              <w:t>CBR</w:t>
            </w:r>
            <w:proofErr w:type="spellEnd"/>
            <w:r w:rsidRPr="00B7218D">
              <w:rPr>
                <w:rFonts w:eastAsia="PMingLiU"/>
                <w:sz w:val="20"/>
              </w:rPr>
              <w:t xml:space="preserve"> filed with the Commission</w:t>
            </w:r>
          </w:p>
        </w:tc>
      </w:tr>
    </w:tbl>
    <w:p w14:paraId="623AD374"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With respect to the rate plan, do these updated results alter any of the observations and conclusions that appear in your direct testimony?</w:t>
      </w:r>
    </w:p>
    <w:p w14:paraId="05CEEA7A" w14:textId="115616DA" w:rsidR="00B7218D" w:rsidRPr="00B7218D" w:rsidRDefault="00B7218D" w:rsidP="001564E7">
      <w:pPr>
        <w:spacing w:before="120" w:after="120" w:line="480" w:lineRule="auto"/>
        <w:ind w:left="720" w:hanging="720"/>
      </w:pPr>
      <w:r w:rsidRPr="00B7218D">
        <w:t>A.</w:t>
      </w:r>
      <w:r w:rsidRPr="00B7218D">
        <w:tab/>
        <w:t xml:space="preserve">No. The rate plan continues to mitigate the ongoing effects of attrition and regulatory lag. The combined effects of the </w:t>
      </w:r>
      <w:r w:rsidR="00CF79F6">
        <w:t xml:space="preserve">expedited rate filing </w:t>
      </w:r>
      <w:r w:rsidR="009A003B">
        <w:t xml:space="preserve">and </w:t>
      </w:r>
      <w:r w:rsidRPr="00B7218D">
        <w:t>K-factor annual increases have allowed PSE to avoid filing at least one, and possibly two, general rate cases during the rate plan period. From PSE’s perspective, this achieved the Commission’s objective of reducing the burden of frequent general rate cases. Additionally, the rate plan was instrumental to PSE’s agreement to delay this rate filing for an additional year.</w:t>
      </w:r>
    </w:p>
    <w:p w14:paraId="6E05FBEC"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Did the rate plan impart more predictable and gradual increase to PSE’s base rates as compared to traditional regulation?</w:t>
      </w:r>
    </w:p>
    <w:p w14:paraId="769E7003" w14:textId="77777777" w:rsidR="00B7218D" w:rsidRPr="00B7218D" w:rsidRDefault="00B7218D" w:rsidP="001564E7">
      <w:pPr>
        <w:spacing w:before="120" w:after="120" w:line="480" w:lineRule="auto"/>
        <w:ind w:left="720" w:hanging="720"/>
      </w:pPr>
      <w:r w:rsidRPr="00B7218D">
        <w:t>A.</w:t>
      </w:r>
      <w:r w:rsidRPr="00B7218D">
        <w:tab/>
        <w:t>Yes. The combination of the expedited rate filing increase and the annual K-factor increases from the rate plan imparted a more predictable and gradual increase to PSE’s base rates as compared to increases resulting from general rate cases, which tend to be larger and less predictable from a customer perspective. In fact, had PSE filed this general rate case request without the benefit of the aforementioned rate plan, the requested increase would be approximately $1</w:t>
      </w:r>
      <w:r w:rsidR="00DC1E56">
        <w:t>60</w:t>
      </w:r>
      <w:r w:rsidRPr="00B7218D">
        <w:t> million higher, as illustrated in Table 3 below.</w:t>
      </w:r>
    </w:p>
    <w:p w14:paraId="373C16DB" w14:textId="77777777" w:rsidR="00B7218D" w:rsidRDefault="00B7218D" w:rsidP="001564E7">
      <w:pPr>
        <w:keepNext/>
        <w:keepLines/>
        <w:spacing w:after="60" w:line="240" w:lineRule="auto"/>
        <w:ind w:firstLine="0"/>
        <w:jc w:val="center"/>
        <w:rPr>
          <w:b/>
        </w:rPr>
      </w:pPr>
      <w:r w:rsidRPr="00B7218D">
        <w:rPr>
          <w:b/>
        </w:rPr>
        <w:t>Table 3. Projected 2017 General Rate Case Request</w:t>
      </w:r>
      <w:r w:rsidRPr="00B7218D">
        <w:rPr>
          <w:b/>
        </w:rPr>
        <w:br/>
        <w:t>in the Absence of the Effects of the Rate Plan Benefits</w:t>
      </w:r>
    </w:p>
    <w:tbl>
      <w:tblPr>
        <w:tblStyle w:val="TableGrid1"/>
        <w:tblW w:w="7028" w:type="dxa"/>
        <w:jc w:val="center"/>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2040"/>
        <w:gridCol w:w="1401"/>
        <w:gridCol w:w="1561"/>
        <w:gridCol w:w="1710"/>
      </w:tblGrid>
      <w:tr w:rsidR="00B7218D" w:rsidRPr="00B7218D" w14:paraId="004813D7" w14:textId="77777777" w:rsidTr="00014A52">
        <w:trPr>
          <w:jc w:val="center"/>
        </w:trPr>
        <w:tc>
          <w:tcPr>
            <w:tcW w:w="316" w:type="dxa"/>
            <w:vAlign w:val="bottom"/>
          </w:tcPr>
          <w:p w14:paraId="17459B77" w14:textId="77777777" w:rsidR="00B7218D" w:rsidRPr="00B7218D" w:rsidRDefault="00B7218D" w:rsidP="001564E7">
            <w:pPr>
              <w:keepNext/>
              <w:keepLines/>
              <w:spacing w:before="40" w:after="40" w:line="240" w:lineRule="auto"/>
              <w:ind w:firstLine="0"/>
              <w:jc w:val="center"/>
              <w:rPr>
                <w:rFonts w:eastAsia="PMingLiU"/>
                <w:sz w:val="20"/>
              </w:rPr>
            </w:pPr>
          </w:p>
        </w:tc>
        <w:tc>
          <w:tcPr>
            <w:tcW w:w="2040" w:type="dxa"/>
            <w:vAlign w:val="bottom"/>
          </w:tcPr>
          <w:p w14:paraId="6469D7C7" w14:textId="77777777" w:rsidR="00B7218D" w:rsidRPr="00B7218D" w:rsidRDefault="00B7218D" w:rsidP="001564E7">
            <w:pPr>
              <w:keepNext/>
              <w:keepLines/>
              <w:spacing w:before="40" w:after="40" w:line="240" w:lineRule="auto"/>
              <w:ind w:firstLine="0"/>
              <w:jc w:val="center"/>
              <w:rPr>
                <w:rFonts w:eastAsia="PMingLiU"/>
                <w:sz w:val="20"/>
              </w:rPr>
            </w:pPr>
          </w:p>
        </w:tc>
        <w:tc>
          <w:tcPr>
            <w:tcW w:w="1401" w:type="dxa"/>
            <w:vAlign w:val="bottom"/>
          </w:tcPr>
          <w:p w14:paraId="4B87EC4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w:t>
            </w:r>
          </w:p>
        </w:tc>
        <w:tc>
          <w:tcPr>
            <w:tcW w:w="1561" w:type="dxa"/>
            <w:vAlign w:val="bottom"/>
          </w:tcPr>
          <w:p w14:paraId="3880F4E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(B)</w:t>
            </w:r>
          </w:p>
        </w:tc>
        <w:tc>
          <w:tcPr>
            <w:tcW w:w="1710" w:type="dxa"/>
            <w:vAlign w:val="bottom"/>
          </w:tcPr>
          <w:p w14:paraId="463F2A5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(C)</w:t>
            </w:r>
          </w:p>
        </w:tc>
      </w:tr>
      <w:tr w:rsidR="00B7218D" w:rsidRPr="00B7218D" w14:paraId="1AB51304" w14:textId="77777777" w:rsidTr="00014A52">
        <w:trPr>
          <w:jc w:val="center"/>
        </w:trPr>
        <w:tc>
          <w:tcPr>
            <w:tcW w:w="316" w:type="dxa"/>
            <w:vAlign w:val="bottom"/>
          </w:tcPr>
          <w:p w14:paraId="682DD67A" w14:textId="77777777" w:rsidR="00B7218D" w:rsidRPr="00B7218D" w:rsidRDefault="00B7218D" w:rsidP="001564E7">
            <w:pPr>
              <w:keepNext/>
              <w:keepLines/>
              <w:spacing w:before="40" w:after="40" w:line="240" w:lineRule="auto"/>
              <w:ind w:firstLine="0"/>
              <w:jc w:val="center"/>
              <w:rPr>
                <w:rFonts w:eastAsia="PMingLiU"/>
                <w:b/>
                <w:sz w:val="20"/>
              </w:rPr>
            </w:pPr>
          </w:p>
        </w:tc>
        <w:tc>
          <w:tcPr>
            <w:tcW w:w="2040" w:type="dxa"/>
            <w:vAlign w:val="bottom"/>
          </w:tcPr>
          <w:p w14:paraId="4189E914"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Summary</w:t>
            </w:r>
            <w:r w:rsidRPr="00B7218D">
              <w:rPr>
                <w:rFonts w:eastAsia="PMingLiU"/>
                <w:b/>
                <w:sz w:val="20"/>
              </w:rPr>
              <w:br/>
              <w:t>($ millions)</w:t>
            </w:r>
          </w:p>
        </w:tc>
        <w:tc>
          <w:tcPr>
            <w:tcW w:w="1401" w:type="dxa"/>
            <w:vAlign w:val="bottom"/>
          </w:tcPr>
          <w:p w14:paraId="62BF7590"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2013 ERF</w:t>
            </w:r>
            <w:r w:rsidRPr="00B7218D">
              <w:rPr>
                <w:rFonts w:eastAsia="PMingLiU"/>
                <w:b/>
                <w:sz w:val="20"/>
              </w:rPr>
              <w:br/>
              <w:t>Impact</w:t>
            </w:r>
          </w:p>
        </w:tc>
        <w:tc>
          <w:tcPr>
            <w:tcW w:w="1561" w:type="dxa"/>
            <w:vAlign w:val="bottom"/>
          </w:tcPr>
          <w:p w14:paraId="660DF239"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2014-2017 K-</w:t>
            </w:r>
            <w:r w:rsidRPr="00B7218D">
              <w:rPr>
                <w:rFonts w:eastAsia="PMingLiU"/>
                <w:b/>
                <w:sz w:val="20"/>
              </w:rPr>
              <w:br/>
              <w:t>factor Impact</w:t>
            </w:r>
          </w:p>
        </w:tc>
        <w:tc>
          <w:tcPr>
            <w:tcW w:w="1710" w:type="dxa"/>
            <w:vAlign w:val="bottom"/>
          </w:tcPr>
          <w:p w14:paraId="4012578A"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Total</w:t>
            </w:r>
            <w:r w:rsidRPr="00B7218D">
              <w:rPr>
                <w:rFonts w:eastAsia="PMingLiU"/>
                <w:b/>
                <w:sz w:val="20"/>
              </w:rPr>
              <w:br/>
              <w:t>Impact</w:t>
            </w:r>
          </w:p>
        </w:tc>
      </w:tr>
      <w:tr w:rsidR="00B7218D" w:rsidRPr="00B7218D" w14:paraId="2306E1BD" w14:textId="77777777" w:rsidTr="00014A52">
        <w:trPr>
          <w:jc w:val="center"/>
        </w:trPr>
        <w:tc>
          <w:tcPr>
            <w:tcW w:w="316" w:type="dxa"/>
            <w:vAlign w:val="bottom"/>
          </w:tcPr>
          <w:p w14:paraId="2FA737A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w:t>
            </w:r>
          </w:p>
        </w:tc>
        <w:tc>
          <w:tcPr>
            <w:tcW w:w="2040" w:type="dxa"/>
            <w:vAlign w:val="bottom"/>
          </w:tcPr>
          <w:p w14:paraId="3D0FBCAB" w14:textId="77777777" w:rsidR="00B7218D" w:rsidRPr="00B7218D" w:rsidRDefault="00B7218D" w:rsidP="001564E7">
            <w:pPr>
              <w:keepNext/>
              <w:keepLines/>
              <w:spacing w:before="40" w:after="40" w:line="240" w:lineRule="auto"/>
              <w:ind w:firstLine="0"/>
              <w:rPr>
                <w:rFonts w:eastAsia="PMingLiU"/>
                <w:b/>
                <w:sz w:val="20"/>
              </w:rPr>
            </w:pPr>
            <w:r w:rsidRPr="00B7218D">
              <w:rPr>
                <w:rFonts w:eastAsia="PMingLiU"/>
                <w:b/>
                <w:sz w:val="20"/>
              </w:rPr>
              <w:t>Electric</w:t>
            </w:r>
          </w:p>
        </w:tc>
        <w:tc>
          <w:tcPr>
            <w:tcW w:w="1401" w:type="dxa"/>
            <w:vAlign w:val="bottom"/>
          </w:tcPr>
          <w:p w14:paraId="1FC5B74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$30</w:t>
            </w:r>
          </w:p>
        </w:tc>
        <w:tc>
          <w:tcPr>
            <w:tcW w:w="1561" w:type="dxa"/>
            <w:vAlign w:val="bottom"/>
          </w:tcPr>
          <w:p w14:paraId="7F14D96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$89</w:t>
            </w:r>
          </w:p>
        </w:tc>
        <w:tc>
          <w:tcPr>
            <w:tcW w:w="1710" w:type="dxa"/>
            <w:vAlign w:val="bottom"/>
          </w:tcPr>
          <w:p w14:paraId="5DE4867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$119</w:t>
            </w:r>
          </w:p>
        </w:tc>
      </w:tr>
      <w:tr w:rsidR="00B7218D" w:rsidRPr="00B7218D" w14:paraId="661840C4" w14:textId="77777777" w:rsidTr="00014A52">
        <w:trPr>
          <w:jc w:val="center"/>
        </w:trPr>
        <w:tc>
          <w:tcPr>
            <w:tcW w:w="316" w:type="dxa"/>
            <w:vAlign w:val="bottom"/>
          </w:tcPr>
          <w:p w14:paraId="5A0EE21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w:t>
            </w:r>
          </w:p>
        </w:tc>
        <w:tc>
          <w:tcPr>
            <w:tcW w:w="2040" w:type="dxa"/>
            <w:vAlign w:val="bottom"/>
          </w:tcPr>
          <w:p w14:paraId="080411FB" w14:textId="77777777" w:rsidR="00B7218D" w:rsidRPr="00B7218D" w:rsidRDefault="00B7218D" w:rsidP="001564E7">
            <w:pPr>
              <w:keepNext/>
              <w:keepLines/>
              <w:spacing w:before="40" w:after="40" w:line="240" w:lineRule="auto"/>
              <w:ind w:firstLine="0"/>
              <w:rPr>
                <w:rFonts w:eastAsia="PMingLiU"/>
                <w:b/>
                <w:sz w:val="20"/>
              </w:rPr>
            </w:pPr>
            <w:r w:rsidRPr="00B7218D">
              <w:rPr>
                <w:rFonts w:eastAsia="PMingLiU"/>
                <w:b/>
                <w:sz w:val="20"/>
              </w:rPr>
              <w:t>Gas</w:t>
            </w:r>
          </w:p>
        </w:tc>
        <w:tc>
          <w:tcPr>
            <w:tcW w:w="1401" w:type="dxa"/>
            <w:tcBorders>
              <w:top w:val="nil"/>
              <w:left w:val="nil"/>
              <w:bottom w:val="single" w:sz="4" w:space="0" w:color="auto"/>
              <w:right w:val="nil"/>
            </w:tcBorders>
            <w:vAlign w:val="bottom"/>
          </w:tcPr>
          <w:p w14:paraId="1F326F3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color w:val="FF0000"/>
                <w:sz w:val="20"/>
              </w:rPr>
              <w:t>($2)</w:t>
            </w:r>
          </w:p>
        </w:tc>
        <w:tc>
          <w:tcPr>
            <w:tcW w:w="1561" w:type="dxa"/>
            <w:tcBorders>
              <w:top w:val="nil"/>
              <w:left w:val="nil"/>
              <w:bottom w:val="single" w:sz="4" w:space="0" w:color="auto"/>
              <w:right w:val="nil"/>
            </w:tcBorders>
            <w:vAlign w:val="bottom"/>
          </w:tcPr>
          <w:p w14:paraId="6CE0C70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w:t>
            </w:r>
            <w:r w:rsidR="00583F17">
              <w:rPr>
                <w:rFonts w:eastAsia="PMingLiU"/>
                <w:sz w:val="20"/>
              </w:rPr>
              <w:t>43</w:t>
            </w:r>
          </w:p>
        </w:tc>
        <w:tc>
          <w:tcPr>
            <w:tcW w:w="1710" w:type="dxa"/>
            <w:tcBorders>
              <w:top w:val="nil"/>
              <w:left w:val="nil"/>
              <w:bottom w:val="single" w:sz="4" w:space="0" w:color="auto"/>
              <w:right w:val="nil"/>
            </w:tcBorders>
            <w:vAlign w:val="bottom"/>
          </w:tcPr>
          <w:p w14:paraId="064026A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w:t>
            </w:r>
            <w:r w:rsidR="00583F17">
              <w:rPr>
                <w:rFonts w:eastAsia="PMingLiU"/>
                <w:sz w:val="20"/>
              </w:rPr>
              <w:t>41</w:t>
            </w:r>
          </w:p>
        </w:tc>
      </w:tr>
      <w:tr w:rsidR="00B7218D" w:rsidRPr="00B7218D" w14:paraId="21AFE071" w14:textId="77777777" w:rsidTr="00014A52">
        <w:trPr>
          <w:jc w:val="center"/>
        </w:trPr>
        <w:tc>
          <w:tcPr>
            <w:tcW w:w="316" w:type="dxa"/>
            <w:vAlign w:val="bottom"/>
          </w:tcPr>
          <w:p w14:paraId="4B79867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3</w:t>
            </w:r>
          </w:p>
        </w:tc>
        <w:tc>
          <w:tcPr>
            <w:tcW w:w="2040" w:type="dxa"/>
            <w:vAlign w:val="bottom"/>
          </w:tcPr>
          <w:p w14:paraId="1027F586" w14:textId="77777777" w:rsidR="00B7218D" w:rsidRPr="00B7218D" w:rsidRDefault="00B7218D" w:rsidP="001564E7">
            <w:pPr>
              <w:keepNext/>
              <w:keepLines/>
              <w:spacing w:before="40" w:after="40" w:line="240" w:lineRule="auto"/>
              <w:ind w:firstLine="0"/>
              <w:rPr>
                <w:rFonts w:eastAsia="PMingLiU"/>
                <w:b/>
                <w:sz w:val="20"/>
              </w:rPr>
            </w:pPr>
            <w:r w:rsidRPr="00B7218D">
              <w:rPr>
                <w:rFonts w:eastAsia="PMingLiU"/>
                <w:b/>
                <w:sz w:val="20"/>
              </w:rPr>
              <w:t>Total</w:t>
            </w:r>
          </w:p>
        </w:tc>
        <w:tc>
          <w:tcPr>
            <w:tcW w:w="1401" w:type="dxa"/>
            <w:tcBorders>
              <w:top w:val="single" w:sz="4" w:space="0" w:color="auto"/>
              <w:left w:val="nil"/>
              <w:bottom w:val="thinThickSmallGap" w:sz="24" w:space="0" w:color="auto"/>
              <w:right w:val="nil"/>
            </w:tcBorders>
            <w:vAlign w:val="bottom"/>
          </w:tcPr>
          <w:p w14:paraId="6802BFF0"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$28</w:t>
            </w:r>
          </w:p>
        </w:tc>
        <w:tc>
          <w:tcPr>
            <w:tcW w:w="1561" w:type="dxa"/>
            <w:tcBorders>
              <w:top w:val="single" w:sz="4" w:space="0" w:color="auto"/>
              <w:left w:val="nil"/>
              <w:bottom w:val="thinThickSmallGap" w:sz="24" w:space="0" w:color="auto"/>
              <w:right w:val="nil"/>
            </w:tcBorders>
            <w:vAlign w:val="bottom"/>
          </w:tcPr>
          <w:p w14:paraId="4C8A451C"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w:t>
            </w:r>
            <w:r w:rsidR="00583F17">
              <w:rPr>
                <w:rFonts w:eastAsia="PMingLiU"/>
                <w:b/>
                <w:sz w:val="20"/>
              </w:rPr>
              <w:t>132</w:t>
            </w:r>
          </w:p>
        </w:tc>
        <w:tc>
          <w:tcPr>
            <w:tcW w:w="1710" w:type="dxa"/>
            <w:tcBorders>
              <w:top w:val="single" w:sz="4" w:space="0" w:color="auto"/>
              <w:left w:val="nil"/>
              <w:bottom w:val="thinThickSmallGap" w:sz="24" w:space="0" w:color="auto"/>
              <w:right w:val="nil"/>
            </w:tcBorders>
            <w:vAlign w:val="bottom"/>
          </w:tcPr>
          <w:p w14:paraId="6F8A24BA" w14:textId="77777777" w:rsidR="00B7218D" w:rsidRPr="00B7218D" w:rsidRDefault="00B7218D" w:rsidP="001564E7">
            <w:pPr>
              <w:keepNext/>
              <w:keepLines/>
              <w:spacing w:before="40" w:after="40" w:line="240" w:lineRule="auto"/>
              <w:ind w:firstLine="0"/>
              <w:jc w:val="center"/>
              <w:rPr>
                <w:rFonts w:eastAsia="PMingLiU"/>
                <w:b/>
                <w:sz w:val="20"/>
              </w:rPr>
            </w:pPr>
            <w:r w:rsidRPr="00B7218D">
              <w:rPr>
                <w:rFonts w:eastAsia="PMingLiU"/>
                <w:b/>
                <w:sz w:val="20"/>
              </w:rPr>
              <w:t>$</w:t>
            </w:r>
            <w:r w:rsidR="00583F17">
              <w:rPr>
                <w:rFonts w:eastAsia="PMingLiU"/>
                <w:b/>
                <w:sz w:val="20"/>
              </w:rPr>
              <w:t>160</w:t>
            </w:r>
          </w:p>
        </w:tc>
      </w:tr>
    </w:tbl>
    <w:p w14:paraId="7342260A" w14:textId="77777777" w:rsidR="00B7218D" w:rsidRPr="003A68D9" w:rsidRDefault="00B7218D" w:rsidP="001564E7">
      <w:pPr>
        <w:pStyle w:val="Heading2"/>
      </w:pPr>
      <w:bookmarkStart w:id="11" w:name="_Toc488216546"/>
      <w:bookmarkStart w:id="12" w:name="_Toc489790210"/>
      <w:bookmarkStart w:id="13" w:name="_Toc489949669"/>
      <w:r w:rsidRPr="003A68D9">
        <w:t>B.</w:t>
      </w:r>
      <w:r w:rsidRPr="003A68D9">
        <w:tab/>
        <w:t>PSE Has Achieved a Cost Per Customer That is Below Increases in PSE’s Historical Growth Rate and the Consumer Price Index</w:t>
      </w:r>
      <w:bookmarkEnd w:id="11"/>
      <w:bookmarkEnd w:id="12"/>
      <w:bookmarkEnd w:id="13"/>
    </w:p>
    <w:p w14:paraId="4BBA496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Please describe the cost per customer that PSE has been able to achieve.</w:t>
      </w:r>
    </w:p>
    <w:p w14:paraId="449F440B" w14:textId="77777777" w:rsidR="00B7218D" w:rsidRPr="00B7218D" w:rsidRDefault="00B7218D" w:rsidP="001564E7">
      <w:pPr>
        <w:spacing w:before="120" w:after="120" w:line="480" w:lineRule="auto"/>
        <w:ind w:left="720" w:hanging="720"/>
      </w:pPr>
      <w:r w:rsidRPr="00B7218D">
        <w:t>A.</w:t>
      </w:r>
      <w:r w:rsidRPr="00B7218D">
        <w:tab/>
        <w:t>In</w:t>
      </w:r>
      <w:r w:rsidR="00583F17">
        <w:t xml:space="preserve"> </w:t>
      </w:r>
      <w:r w:rsidRPr="00B7218D">
        <w:t>its initial filing in this proceeding, PSE provided an analysis of PSE’s actual and historical cost per customer and also makes comparisons to various independently prepared measures of inflation.</w:t>
      </w:r>
      <w:r w:rsidRPr="00B7218D">
        <w:rPr>
          <w:position w:val="6"/>
          <w:sz w:val="16"/>
        </w:rPr>
        <w:footnoteReference w:id="5"/>
      </w:r>
      <w:r w:rsidRPr="00B7218D">
        <w:t xml:space="preserve"> PSE’s analysis shows that the actual cost per customer for combined electric and gas operations grew at a </w:t>
      </w:r>
      <w:r w:rsidRPr="00B7218D">
        <w:lastRenderedPageBreak/>
        <w:t>compound average rate of only 1.2 percent during the rate plan. This compares favorably to the historical compound average rate of 3.8 percent that was experienced during the period 2006–2011. PSE’s compound average rate of 1.2 percent also compares favorably to both national and regional inflation indices, which averaged 1.5 percent and 2.1 percent respectively, during the rate plan period. PSE’s analysis demonstrates that PSE’s cost containment performance contributed favorably to the success of the rate plan.</w:t>
      </w:r>
    </w:p>
    <w:p w14:paraId="2D02405A" w14:textId="77777777" w:rsidR="00B7218D" w:rsidRPr="003A68D9" w:rsidRDefault="00B7218D" w:rsidP="001564E7">
      <w:pPr>
        <w:pStyle w:val="Heading2"/>
      </w:pPr>
      <w:bookmarkStart w:id="14" w:name="_Toc489790211"/>
      <w:bookmarkStart w:id="15" w:name="_Toc489949670"/>
      <w:bookmarkStart w:id="16" w:name="_Toc488216547"/>
      <w:r w:rsidRPr="003A68D9">
        <w:t>C.</w:t>
      </w:r>
      <w:r w:rsidRPr="003A68D9">
        <w:tab/>
        <w:t>PSE’s Revenue Decoupling Mechanism Has Worked Well</w:t>
      </w:r>
      <w:bookmarkEnd w:id="14"/>
      <w:bookmarkEnd w:id="15"/>
      <w:r w:rsidRPr="003A68D9">
        <w:t xml:space="preserve"> </w:t>
      </w:r>
    </w:p>
    <w:p w14:paraId="4A6B74D1" w14:textId="77777777" w:rsidR="000472B2" w:rsidRPr="00B7218D" w:rsidRDefault="000472B2"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recommend continuing the revenue decoupling mechanism into the future?</w:t>
      </w:r>
    </w:p>
    <w:p w14:paraId="176D51A4" w14:textId="257406DF" w:rsidR="000472B2" w:rsidRPr="00B7218D" w:rsidRDefault="000472B2" w:rsidP="001564E7">
      <w:pPr>
        <w:spacing w:before="120" w:after="120" w:line="480" w:lineRule="auto"/>
        <w:ind w:left="720" w:hanging="720"/>
      </w:pPr>
      <w:r w:rsidRPr="00B7218D">
        <w:t>A.</w:t>
      </w:r>
      <w:r w:rsidRPr="00B7218D">
        <w:tab/>
        <w:t xml:space="preserve">Yes. From PSE’s perspective, the revenue decoupling mechanism continues to operate as intended and has achieved the Commission’s objectives of (i) mitigating the through-put incentive and (ii) normalizing the impacts of weather and other impacts on customer usage patterns. Further, the impacts of decoupling on electric and gas operations </w:t>
      </w:r>
      <w:r w:rsidR="00C01C50">
        <w:t>(</w:t>
      </w:r>
      <w:r w:rsidRPr="00B7218D">
        <w:t xml:space="preserve">as a </w:t>
      </w:r>
      <w:r w:rsidR="00C01C50">
        <w:t xml:space="preserve">percentage </w:t>
      </w:r>
      <w:r w:rsidRPr="00B7218D">
        <w:t>of total revenues</w:t>
      </w:r>
      <w:r w:rsidR="00C01C50">
        <w:t>)</w:t>
      </w:r>
      <w:r w:rsidRPr="00B7218D">
        <w:t xml:space="preserve"> were 0.76</w:t>
      </w:r>
      <w:r w:rsidR="00C01C50">
        <w:t xml:space="preserve"> percent </w:t>
      </w:r>
      <w:r w:rsidRPr="00B7218D">
        <w:t>and 3.20</w:t>
      </w:r>
      <w:r w:rsidR="00C01C50">
        <w:t> percent</w:t>
      </w:r>
      <w:r w:rsidRPr="00B7218D">
        <w:t xml:space="preserve">, which </w:t>
      </w:r>
      <w:r w:rsidR="00C01C50">
        <w:t xml:space="preserve">are </w:t>
      </w:r>
      <w:r w:rsidRPr="00B7218D">
        <w:t>not material</w:t>
      </w:r>
      <w:r w:rsidR="002E4E1B">
        <w:t xml:space="preserve"> over the rate plan period through June</w:t>
      </w:r>
      <w:r w:rsidR="006A1323">
        <w:t> </w:t>
      </w:r>
      <w:r w:rsidR="002E4E1B">
        <w:t xml:space="preserve">30, </w:t>
      </w:r>
      <w:r w:rsidR="00C01C50">
        <w:t>2</w:t>
      </w:r>
      <w:r w:rsidR="002E4E1B">
        <w:t>017</w:t>
      </w:r>
      <w:r w:rsidR="006A1323">
        <w:t>.</w:t>
      </w:r>
    </w:p>
    <w:p w14:paraId="57E1C0A4"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 you have any observations regarding how the revenue decoupling mechanism has operated in practice?</w:t>
      </w:r>
    </w:p>
    <w:p w14:paraId="0AA83909" w14:textId="5A0A3073" w:rsidR="00B7218D" w:rsidRPr="00B7218D" w:rsidRDefault="00B7218D" w:rsidP="001564E7">
      <w:pPr>
        <w:spacing w:before="120" w:after="120" w:line="480" w:lineRule="auto"/>
        <w:ind w:left="720" w:hanging="720"/>
      </w:pPr>
      <w:r w:rsidRPr="00B7218D">
        <w:t>A.</w:t>
      </w:r>
      <w:r w:rsidRPr="00B7218D">
        <w:tab/>
        <w:t xml:space="preserve">Yes. PSE continues to be satisfied that the revenue decoupling mechanism has operated well in practice. First, it properly captures under-recoveries of fixed </w:t>
      </w:r>
      <w:r w:rsidRPr="00B7218D">
        <w:lastRenderedPageBreak/>
        <w:t xml:space="preserve">revenues per customer for future collection as well as over-recoveries of fixed revenues per customer for future refund. Second, PSE believes that the soft cap is an appropriate component of the mechanism. PSE has identified minor adjustments to the soft cap percentages that may be appropriate for certain rate classes. Please see the </w:t>
      </w:r>
      <w:proofErr w:type="spellStart"/>
      <w:r w:rsidRPr="00B7218D">
        <w:t>Prefiled</w:t>
      </w:r>
      <w:proofErr w:type="spellEnd"/>
      <w:r w:rsidRPr="00B7218D">
        <w:t xml:space="preserve"> Direct Testimony of Jon A. Piliaris, </w:t>
      </w:r>
      <w:proofErr w:type="spellStart"/>
      <w:r w:rsidRPr="00B7218D">
        <w:t>Exh</w:t>
      </w:r>
      <w:proofErr w:type="spellEnd"/>
      <w:r w:rsidR="005304BC">
        <w:t>. </w:t>
      </w:r>
      <w:r w:rsidRPr="00B7218D">
        <w:t>JAP-1T.</w:t>
      </w:r>
    </w:p>
    <w:p w14:paraId="72A0BF7F" w14:textId="77777777" w:rsidR="00B7218D" w:rsidRPr="003A68D9" w:rsidRDefault="00B7218D" w:rsidP="001564E7">
      <w:pPr>
        <w:pStyle w:val="Heading2"/>
      </w:pPr>
      <w:bookmarkStart w:id="17" w:name="_Toc489790212"/>
      <w:bookmarkStart w:id="18" w:name="_Toc489949671"/>
      <w:r w:rsidRPr="003A68D9">
        <w:t>D.</w:t>
      </w:r>
      <w:r w:rsidRPr="003A68D9">
        <w:tab/>
        <w:t xml:space="preserve">PSE Would Not Have Earned Its Authorized Rate of Return Without the </w:t>
      </w:r>
      <w:r w:rsidR="00CF79F6">
        <w:t xml:space="preserve">Expedited Rate Filing and </w:t>
      </w:r>
      <w:r w:rsidRPr="003A68D9">
        <w:t>K-Factor</w:t>
      </w:r>
      <w:bookmarkEnd w:id="16"/>
      <w:bookmarkEnd w:id="17"/>
      <w:bookmarkEnd w:id="18"/>
    </w:p>
    <w:p w14:paraId="1BDF51F1"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Would PSE have earned its authorized rate of return without the K-factor?</w:t>
      </w:r>
    </w:p>
    <w:p w14:paraId="6157461E" w14:textId="68F3B13B" w:rsidR="00B7218D" w:rsidRPr="00B7218D" w:rsidRDefault="00B7218D" w:rsidP="001564E7">
      <w:pPr>
        <w:spacing w:before="120" w:after="120" w:line="480" w:lineRule="auto"/>
        <w:ind w:left="720" w:hanging="720"/>
      </w:pPr>
      <w:r w:rsidRPr="00B7218D">
        <w:t>A.</w:t>
      </w:r>
      <w:r w:rsidRPr="00B7218D">
        <w:tab/>
        <w:t>No. PSE would not have earned its authorized rate of return without the ERF and K-factor. The following tables adjust various return benchmarks and metrics during the rate plan period, by excluding the cumulative effects of the 2013 ERF and the K</w:t>
      </w:r>
      <w:r w:rsidR="008111CE">
        <w:t>-</w:t>
      </w:r>
      <w:r w:rsidRPr="00B7218D">
        <w:t xml:space="preserve">factors that increased revenues on January 1 of each of 2014, 2015, and 2016. </w:t>
      </w:r>
    </w:p>
    <w:p w14:paraId="6C29D63F" w14:textId="1232E7A5" w:rsidR="00B7218D" w:rsidRPr="00B7218D" w:rsidRDefault="00B7218D" w:rsidP="001564E7">
      <w:pPr>
        <w:keepNext/>
        <w:keepLines/>
        <w:spacing w:after="60" w:line="240" w:lineRule="auto"/>
        <w:ind w:firstLine="0"/>
        <w:jc w:val="center"/>
        <w:rPr>
          <w:b/>
        </w:rPr>
      </w:pPr>
      <w:r w:rsidRPr="00B7218D">
        <w:rPr>
          <w:b/>
        </w:rPr>
        <w:t>Table 4. PSE’s Adjusted Actual and</w:t>
      </w:r>
      <w:r w:rsidRPr="00B7218D">
        <w:rPr>
          <w:b/>
        </w:rPr>
        <w:br/>
        <w:t>Normalized Rates of Return and Returns on Equity for Electric Operations excluding the effects of 2013 ERF and K</w:t>
      </w:r>
      <w:r w:rsidR="008111CE">
        <w:t>-</w:t>
      </w:r>
      <w:r w:rsidRPr="00B7218D">
        <w:rPr>
          <w:b/>
        </w:rPr>
        <w:t xml:space="preserve">factors </w:t>
      </w:r>
    </w:p>
    <w:tbl>
      <w:tblPr>
        <w:tblStyle w:val="TableGrid1"/>
        <w:tblW w:w="0" w:type="auto"/>
        <w:jc w:val="center"/>
        <w:tblLook w:val="04A0" w:firstRow="1" w:lastRow="0" w:firstColumn="1" w:lastColumn="0" w:noHBand="0" w:noVBand="1"/>
      </w:tblPr>
      <w:tblGrid>
        <w:gridCol w:w="416"/>
        <w:gridCol w:w="1107"/>
        <w:gridCol w:w="1107"/>
        <w:gridCol w:w="1345"/>
        <w:gridCol w:w="1116"/>
        <w:gridCol w:w="1107"/>
        <w:gridCol w:w="1345"/>
        <w:gridCol w:w="1116"/>
      </w:tblGrid>
      <w:tr w:rsidR="00B7218D" w:rsidRPr="00B7218D" w14:paraId="432D9A4B" w14:textId="77777777" w:rsidTr="00190924">
        <w:trPr>
          <w:jc w:val="center"/>
        </w:trPr>
        <w:tc>
          <w:tcPr>
            <w:tcW w:w="416" w:type="dxa"/>
            <w:tcBorders>
              <w:top w:val="nil"/>
              <w:left w:val="nil"/>
              <w:bottom w:val="nil"/>
              <w:right w:val="nil"/>
            </w:tcBorders>
            <w:vAlign w:val="bottom"/>
          </w:tcPr>
          <w:p w14:paraId="1C0D1790"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nil"/>
              <w:right w:val="nil"/>
            </w:tcBorders>
            <w:vAlign w:val="bottom"/>
            <w:hideMark/>
          </w:tcPr>
          <w:p w14:paraId="3D4DBFB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w:t>
            </w:r>
          </w:p>
        </w:tc>
        <w:tc>
          <w:tcPr>
            <w:tcW w:w="1107" w:type="dxa"/>
            <w:tcBorders>
              <w:top w:val="nil"/>
              <w:left w:val="nil"/>
              <w:bottom w:val="single" w:sz="4" w:space="0" w:color="auto"/>
              <w:right w:val="nil"/>
            </w:tcBorders>
            <w:vAlign w:val="bottom"/>
            <w:hideMark/>
          </w:tcPr>
          <w:p w14:paraId="6AC07F2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(B)</w:t>
            </w:r>
          </w:p>
        </w:tc>
        <w:tc>
          <w:tcPr>
            <w:tcW w:w="1345" w:type="dxa"/>
            <w:tcBorders>
              <w:top w:val="nil"/>
              <w:left w:val="nil"/>
              <w:bottom w:val="single" w:sz="4" w:space="0" w:color="auto"/>
              <w:right w:val="nil"/>
            </w:tcBorders>
            <w:vAlign w:val="bottom"/>
            <w:hideMark/>
          </w:tcPr>
          <w:p w14:paraId="75DA294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(C)</w:t>
            </w:r>
          </w:p>
        </w:tc>
        <w:tc>
          <w:tcPr>
            <w:tcW w:w="1116" w:type="dxa"/>
            <w:tcBorders>
              <w:top w:val="nil"/>
              <w:left w:val="nil"/>
              <w:bottom w:val="single" w:sz="4" w:space="0" w:color="auto"/>
              <w:right w:val="nil"/>
            </w:tcBorders>
            <w:vAlign w:val="bottom"/>
            <w:hideMark/>
          </w:tcPr>
          <w:p w14:paraId="4D6E27D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(D)</w:t>
            </w:r>
          </w:p>
        </w:tc>
        <w:tc>
          <w:tcPr>
            <w:tcW w:w="1107" w:type="dxa"/>
            <w:tcBorders>
              <w:top w:val="nil"/>
              <w:left w:val="nil"/>
              <w:bottom w:val="single" w:sz="4" w:space="0" w:color="auto"/>
              <w:right w:val="nil"/>
            </w:tcBorders>
            <w:vAlign w:val="bottom"/>
            <w:hideMark/>
          </w:tcPr>
          <w:p w14:paraId="15FA380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(E)</w:t>
            </w:r>
          </w:p>
        </w:tc>
        <w:tc>
          <w:tcPr>
            <w:tcW w:w="1345" w:type="dxa"/>
            <w:tcBorders>
              <w:top w:val="nil"/>
              <w:left w:val="nil"/>
              <w:bottom w:val="single" w:sz="4" w:space="0" w:color="auto"/>
              <w:right w:val="nil"/>
            </w:tcBorders>
            <w:vAlign w:val="bottom"/>
            <w:hideMark/>
          </w:tcPr>
          <w:p w14:paraId="3B44E3E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(F)</w:t>
            </w:r>
          </w:p>
        </w:tc>
        <w:tc>
          <w:tcPr>
            <w:tcW w:w="1116" w:type="dxa"/>
            <w:tcBorders>
              <w:top w:val="nil"/>
              <w:left w:val="nil"/>
              <w:bottom w:val="single" w:sz="4" w:space="0" w:color="auto"/>
              <w:right w:val="nil"/>
            </w:tcBorders>
            <w:vAlign w:val="bottom"/>
            <w:hideMark/>
          </w:tcPr>
          <w:p w14:paraId="5CE7C99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(G)</w:t>
            </w:r>
          </w:p>
        </w:tc>
      </w:tr>
      <w:tr w:rsidR="00B7218D" w:rsidRPr="00B7218D" w14:paraId="5B0CAC94" w14:textId="77777777" w:rsidTr="00190924">
        <w:trPr>
          <w:jc w:val="center"/>
        </w:trPr>
        <w:tc>
          <w:tcPr>
            <w:tcW w:w="416" w:type="dxa"/>
            <w:tcBorders>
              <w:top w:val="nil"/>
              <w:left w:val="nil"/>
              <w:bottom w:val="nil"/>
              <w:right w:val="nil"/>
            </w:tcBorders>
            <w:vAlign w:val="bottom"/>
          </w:tcPr>
          <w:p w14:paraId="4785136D"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single" w:sz="4" w:space="0" w:color="auto"/>
              <w:right w:val="single" w:sz="4" w:space="0" w:color="auto"/>
            </w:tcBorders>
            <w:vAlign w:val="bottom"/>
          </w:tcPr>
          <w:p w14:paraId="574710D1" w14:textId="77777777" w:rsidR="00B7218D" w:rsidRPr="00B7218D" w:rsidRDefault="00B7218D" w:rsidP="001564E7">
            <w:pPr>
              <w:keepNext/>
              <w:keepLines/>
              <w:spacing w:before="40" w:after="40" w:line="240" w:lineRule="auto"/>
              <w:ind w:firstLine="0"/>
              <w:jc w:val="center"/>
              <w:rPr>
                <w:rFonts w:eastAsia="PMingLiU"/>
                <w:sz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5D020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Rate of Return</w:t>
            </w: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24D50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Return on Equity</w:t>
            </w:r>
          </w:p>
        </w:tc>
      </w:tr>
      <w:tr w:rsidR="00B7218D" w:rsidRPr="00B7218D" w14:paraId="27372E21" w14:textId="77777777" w:rsidTr="00190924">
        <w:trPr>
          <w:jc w:val="center"/>
        </w:trPr>
        <w:tc>
          <w:tcPr>
            <w:tcW w:w="416" w:type="dxa"/>
            <w:tcBorders>
              <w:top w:val="nil"/>
              <w:left w:val="nil"/>
              <w:bottom w:val="nil"/>
              <w:right w:val="single" w:sz="4" w:space="0" w:color="auto"/>
            </w:tcBorders>
            <w:vAlign w:val="bottom"/>
          </w:tcPr>
          <w:p w14:paraId="1045978A"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D3409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Year</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B61577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663B9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07E56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F8249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A17B7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0A7BA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r>
      <w:tr w:rsidR="00B7218D" w:rsidRPr="00B7218D" w14:paraId="10E059BC" w14:textId="77777777" w:rsidTr="00190924">
        <w:trPr>
          <w:jc w:val="center"/>
        </w:trPr>
        <w:tc>
          <w:tcPr>
            <w:tcW w:w="416" w:type="dxa"/>
            <w:tcBorders>
              <w:top w:val="nil"/>
              <w:left w:val="nil"/>
              <w:bottom w:val="nil"/>
              <w:right w:val="single" w:sz="4" w:space="0" w:color="auto"/>
            </w:tcBorders>
            <w:vAlign w:val="bottom"/>
            <w:hideMark/>
          </w:tcPr>
          <w:p w14:paraId="0AF1601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900EDE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3B2DD8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6.67%</w:t>
            </w:r>
          </w:p>
        </w:tc>
        <w:tc>
          <w:tcPr>
            <w:tcW w:w="1345" w:type="dxa"/>
            <w:tcBorders>
              <w:top w:val="single" w:sz="4" w:space="0" w:color="auto"/>
              <w:left w:val="single" w:sz="4" w:space="0" w:color="auto"/>
              <w:bottom w:val="single" w:sz="4" w:space="0" w:color="auto"/>
              <w:right w:val="single" w:sz="4" w:space="0" w:color="auto"/>
            </w:tcBorders>
            <w:vAlign w:val="bottom"/>
            <w:hideMark/>
          </w:tcPr>
          <w:p w14:paraId="5FE9697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6.82%</w:t>
            </w:r>
          </w:p>
        </w:tc>
        <w:tc>
          <w:tcPr>
            <w:tcW w:w="1116" w:type="dxa"/>
            <w:tcBorders>
              <w:top w:val="single" w:sz="4" w:space="0" w:color="auto"/>
              <w:left w:val="single" w:sz="4" w:space="0" w:color="auto"/>
              <w:bottom w:val="single" w:sz="4" w:space="0" w:color="auto"/>
              <w:right w:val="single" w:sz="4" w:space="0" w:color="auto"/>
            </w:tcBorders>
            <w:vAlign w:val="bottom"/>
            <w:hideMark/>
          </w:tcPr>
          <w:p w14:paraId="188104B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89F3A6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4.91%</w:t>
            </w:r>
          </w:p>
        </w:tc>
        <w:tc>
          <w:tcPr>
            <w:tcW w:w="1345" w:type="dxa"/>
            <w:tcBorders>
              <w:top w:val="single" w:sz="4" w:space="0" w:color="auto"/>
              <w:left w:val="single" w:sz="4" w:space="0" w:color="auto"/>
              <w:bottom w:val="single" w:sz="4" w:space="0" w:color="auto"/>
              <w:right w:val="single" w:sz="4" w:space="0" w:color="auto"/>
            </w:tcBorders>
            <w:vAlign w:val="bottom"/>
            <w:hideMark/>
          </w:tcPr>
          <w:p w14:paraId="7F8F307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7.75%</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342486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34B204A0" w14:textId="77777777" w:rsidTr="00190924">
        <w:trPr>
          <w:jc w:val="center"/>
        </w:trPr>
        <w:tc>
          <w:tcPr>
            <w:tcW w:w="416" w:type="dxa"/>
            <w:tcBorders>
              <w:top w:val="nil"/>
              <w:left w:val="nil"/>
              <w:bottom w:val="nil"/>
              <w:right w:val="single" w:sz="4" w:space="0" w:color="auto"/>
            </w:tcBorders>
            <w:vAlign w:val="bottom"/>
            <w:hideMark/>
          </w:tcPr>
          <w:p w14:paraId="09DF2B4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18B520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2015</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8D6A23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6.55%</w:t>
            </w:r>
          </w:p>
        </w:tc>
        <w:tc>
          <w:tcPr>
            <w:tcW w:w="1345" w:type="dxa"/>
            <w:tcBorders>
              <w:top w:val="single" w:sz="4" w:space="0" w:color="auto"/>
              <w:left w:val="single" w:sz="4" w:space="0" w:color="auto"/>
              <w:bottom w:val="single" w:sz="4" w:space="0" w:color="auto"/>
              <w:right w:val="single" w:sz="4" w:space="0" w:color="auto"/>
            </w:tcBorders>
            <w:vAlign w:val="bottom"/>
            <w:hideMark/>
          </w:tcPr>
          <w:p w14:paraId="0D1A29B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7.09%</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FBF367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59A073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5.12%</w:t>
            </w:r>
          </w:p>
        </w:tc>
        <w:tc>
          <w:tcPr>
            <w:tcW w:w="1345" w:type="dxa"/>
            <w:tcBorders>
              <w:top w:val="single" w:sz="4" w:space="0" w:color="auto"/>
              <w:left w:val="single" w:sz="4" w:space="0" w:color="auto"/>
              <w:bottom w:val="single" w:sz="4" w:space="0" w:color="auto"/>
              <w:right w:val="single" w:sz="4" w:space="0" w:color="auto"/>
            </w:tcBorders>
            <w:vAlign w:val="bottom"/>
            <w:hideMark/>
          </w:tcPr>
          <w:p w14:paraId="2112BBF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8.24%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66C1D26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40F03767" w14:textId="77777777" w:rsidTr="00190924">
        <w:trPr>
          <w:jc w:val="center"/>
        </w:trPr>
        <w:tc>
          <w:tcPr>
            <w:tcW w:w="416" w:type="dxa"/>
            <w:tcBorders>
              <w:top w:val="nil"/>
              <w:left w:val="nil"/>
              <w:bottom w:val="nil"/>
              <w:right w:val="single" w:sz="4" w:space="0" w:color="auto"/>
            </w:tcBorders>
            <w:vAlign w:val="bottom"/>
            <w:hideMark/>
          </w:tcPr>
          <w:p w14:paraId="2C6838F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55EBA4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E1CAEA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6.82%</w:t>
            </w:r>
          </w:p>
        </w:tc>
        <w:tc>
          <w:tcPr>
            <w:tcW w:w="1345" w:type="dxa"/>
            <w:tcBorders>
              <w:top w:val="single" w:sz="4" w:space="0" w:color="auto"/>
              <w:left w:val="single" w:sz="4" w:space="0" w:color="auto"/>
              <w:bottom w:val="single" w:sz="4" w:space="0" w:color="auto"/>
              <w:right w:val="single" w:sz="4" w:space="0" w:color="auto"/>
            </w:tcBorders>
            <w:vAlign w:val="bottom"/>
            <w:hideMark/>
          </w:tcPr>
          <w:p w14:paraId="7D65F2D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7.03%</w:t>
            </w:r>
          </w:p>
        </w:tc>
        <w:tc>
          <w:tcPr>
            <w:tcW w:w="1116" w:type="dxa"/>
            <w:tcBorders>
              <w:top w:val="single" w:sz="4" w:space="0" w:color="auto"/>
              <w:left w:val="single" w:sz="4" w:space="0" w:color="auto"/>
              <w:bottom w:val="single" w:sz="4" w:space="0" w:color="auto"/>
              <w:right w:val="single" w:sz="4" w:space="0" w:color="auto"/>
            </w:tcBorders>
            <w:vAlign w:val="bottom"/>
            <w:hideMark/>
          </w:tcPr>
          <w:p w14:paraId="4B232E8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FBDB37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6.07%</w:t>
            </w:r>
          </w:p>
        </w:tc>
        <w:tc>
          <w:tcPr>
            <w:tcW w:w="1345" w:type="dxa"/>
            <w:tcBorders>
              <w:top w:val="single" w:sz="4" w:space="0" w:color="auto"/>
              <w:left w:val="single" w:sz="4" w:space="0" w:color="auto"/>
              <w:bottom w:val="single" w:sz="4" w:space="0" w:color="auto"/>
              <w:right w:val="single" w:sz="4" w:space="0" w:color="auto"/>
            </w:tcBorders>
            <w:vAlign w:val="bottom"/>
            <w:hideMark/>
          </w:tcPr>
          <w:p w14:paraId="4B9A805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7.97%</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13A9EF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33921C99" w14:textId="77777777" w:rsidTr="00190924">
        <w:trPr>
          <w:jc w:val="center"/>
        </w:trPr>
        <w:tc>
          <w:tcPr>
            <w:tcW w:w="416" w:type="dxa"/>
            <w:tcBorders>
              <w:top w:val="nil"/>
              <w:left w:val="nil"/>
              <w:bottom w:val="nil"/>
              <w:right w:val="single" w:sz="4" w:space="0" w:color="auto"/>
            </w:tcBorders>
            <w:vAlign w:val="bottom"/>
            <w:hideMark/>
          </w:tcPr>
          <w:p w14:paraId="5A8A389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A9094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6D623F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7.03%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602E8A8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7.08%</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485480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829902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6.98%</w:t>
            </w:r>
          </w:p>
        </w:tc>
        <w:tc>
          <w:tcPr>
            <w:tcW w:w="1345" w:type="dxa"/>
            <w:tcBorders>
              <w:top w:val="single" w:sz="4" w:space="0" w:color="auto"/>
              <w:left w:val="single" w:sz="4" w:space="0" w:color="auto"/>
              <w:bottom w:val="single" w:sz="4" w:space="0" w:color="auto"/>
              <w:right w:val="single" w:sz="4" w:space="0" w:color="auto"/>
            </w:tcBorders>
            <w:vAlign w:val="bottom"/>
            <w:hideMark/>
          </w:tcPr>
          <w:p w14:paraId="2D8C375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8.08%</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7347C5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037FC823" w14:textId="77777777" w:rsidTr="00190924">
        <w:trPr>
          <w:jc w:val="center"/>
        </w:trPr>
        <w:tc>
          <w:tcPr>
            <w:tcW w:w="416" w:type="dxa"/>
            <w:tcBorders>
              <w:top w:val="nil"/>
              <w:left w:val="nil"/>
              <w:bottom w:val="nil"/>
              <w:right w:val="nil"/>
            </w:tcBorders>
            <w:vAlign w:val="bottom"/>
          </w:tcPr>
          <w:p w14:paraId="075FE616" w14:textId="77777777" w:rsidR="00B7218D" w:rsidRPr="00B7218D" w:rsidRDefault="00B7218D" w:rsidP="001564E7">
            <w:pPr>
              <w:keepNext/>
              <w:keepLines/>
              <w:spacing w:before="40" w:line="240" w:lineRule="auto"/>
              <w:ind w:firstLine="0"/>
              <w:jc w:val="center"/>
              <w:rPr>
                <w:rFonts w:eastAsia="PMingLiU"/>
                <w:sz w:val="20"/>
              </w:rPr>
            </w:pPr>
          </w:p>
        </w:tc>
        <w:tc>
          <w:tcPr>
            <w:tcW w:w="8243" w:type="dxa"/>
            <w:gridSpan w:val="7"/>
            <w:tcBorders>
              <w:top w:val="single" w:sz="4" w:space="0" w:color="auto"/>
              <w:left w:val="nil"/>
              <w:bottom w:val="nil"/>
              <w:right w:val="nil"/>
            </w:tcBorders>
            <w:vAlign w:val="bottom"/>
            <w:hideMark/>
          </w:tcPr>
          <w:p w14:paraId="050A9EEE"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Notes:</w:t>
            </w:r>
          </w:p>
        </w:tc>
      </w:tr>
      <w:tr w:rsidR="00B7218D" w:rsidRPr="00B7218D" w14:paraId="30411AA5" w14:textId="77777777" w:rsidTr="00190924">
        <w:trPr>
          <w:jc w:val="center"/>
        </w:trPr>
        <w:tc>
          <w:tcPr>
            <w:tcW w:w="416" w:type="dxa"/>
            <w:tcBorders>
              <w:top w:val="nil"/>
              <w:left w:val="nil"/>
              <w:bottom w:val="nil"/>
              <w:right w:val="nil"/>
            </w:tcBorders>
            <w:vAlign w:val="bottom"/>
          </w:tcPr>
          <w:p w14:paraId="582D989E" w14:textId="77777777" w:rsidR="00B7218D" w:rsidRPr="00B7218D" w:rsidRDefault="00B7218D" w:rsidP="001564E7">
            <w:pPr>
              <w:keepNext/>
              <w:keepLines/>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6844BE30"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(1)</w:t>
            </w:r>
            <w:r w:rsidRPr="00B7218D">
              <w:rPr>
                <w:rFonts w:eastAsia="PMingLiU"/>
                <w:sz w:val="20"/>
              </w:rPr>
              <w:tab/>
              <w:t>Adjusted actual returns: Exclude ASC 815 (formerly FAS 133) gains or losses and include tax benefits of interest</w:t>
            </w:r>
          </w:p>
        </w:tc>
      </w:tr>
      <w:tr w:rsidR="00B7218D" w:rsidRPr="00B7218D" w14:paraId="4ABA3355" w14:textId="77777777" w:rsidTr="00190924">
        <w:trPr>
          <w:jc w:val="center"/>
        </w:trPr>
        <w:tc>
          <w:tcPr>
            <w:tcW w:w="416" w:type="dxa"/>
            <w:tcBorders>
              <w:top w:val="nil"/>
              <w:left w:val="nil"/>
              <w:bottom w:val="nil"/>
              <w:right w:val="nil"/>
            </w:tcBorders>
            <w:vAlign w:val="bottom"/>
          </w:tcPr>
          <w:p w14:paraId="4CA7F24C" w14:textId="77777777" w:rsidR="00B7218D" w:rsidRPr="00B7218D" w:rsidRDefault="00B7218D" w:rsidP="001564E7">
            <w:pPr>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62073CF3" w14:textId="77777777" w:rsidR="00B7218D" w:rsidRPr="00B7218D" w:rsidRDefault="00B7218D" w:rsidP="001564E7">
            <w:pPr>
              <w:spacing w:before="40" w:after="480" w:line="240" w:lineRule="auto"/>
              <w:ind w:left="475" w:hanging="475"/>
              <w:rPr>
                <w:rFonts w:eastAsia="PMingLiU"/>
                <w:sz w:val="20"/>
              </w:rPr>
            </w:pPr>
          </w:p>
        </w:tc>
      </w:tr>
    </w:tbl>
    <w:p w14:paraId="645023C9" w14:textId="3F099A17" w:rsidR="00B7218D" w:rsidRPr="00B7218D" w:rsidRDefault="00B7218D" w:rsidP="001564E7">
      <w:pPr>
        <w:keepNext/>
        <w:keepLines/>
        <w:spacing w:after="60" w:line="240" w:lineRule="auto"/>
        <w:ind w:firstLine="0"/>
        <w:jc w:val="center"/>
        <w:rPr>
          <w:b/>
        </w:rPr>
      </w:pPr>
      <w:r w:rsidRPr="00B7218D">
        <w:rPr>
          <w:b/>
        </w:rPr>
        <w:lastRenderedPageBreak/>
        <w:t>Table 5. PSE’s Adjusted Actual and</w:t>
      </w:r>
      <w:r w:rsidRPr="00B7218D">
        <w:rPr>
          <w:b/>
        </w:rPr>
        <w:br/>
        <w:t>Normalized Rates of Return and Returns on Equity for Gas Operations</w:t>
      </w:r>
      <w:r w:rsidRPr="00B7218D">
        <w:rPr>
          <w:b/>
        </w:rPr>
        <w:br/>
        <w:t>excluding the effects of 2013 ERF and K</w:t>
      </w:r>
      <w:r w:rsidR="008111CE">
        <w:t>-</w:t>
      </w:r>
      <w:r w:rsidRPr="00B7218D">
        <w:rPr>
          <w:b/>
        </w:rPr>
        <w:t>factors</w:t>
      </w:r>
    </w:p>
    <w:tbl>
      <w:tblPr>
        <w:tblStyle w:val="TableGrid1"/>
        <w:tblW w:w="0" w:type="auto"/>
        <w:jc w:val="center"/>
        <w:tblLook w:val="04A0" w:firstRow="1" w:lastRow="0" w:firstColumn="1" w:lastColumn="0" w:noHBand="0" w:noVBand="1"/>
      </w:tblPr>
      <w:tblGrid>
        <w:gridCol w:w="416"/>
        <w:gridCol w:w="1107"/>
        <w:gridCol w:w="1107"/>
        <w:gridCol w:w="1345"/>
        <w:gridCol w:w="1116"/>
        <w:gridCol w:w="1107"/>
        <w:gridCol w:w="1345"/>
        <w:gridCol w:w="1116"/>
      </w:tblGrid>
      <w:tr w:rsidR="00B7218D" w:rsidRPr="00B7218D" w14:paraId="1C55CA08" w14:textId="77777777" w:rsidTr="00190924">
        <w:trPr>
          <w:jc w:val="center"/>
        </w:trPr>
        <w:tc>
          <w:tcPr>
            <w:tcW w:w="416" w:type="dxa"/>
            <w:tcBorders>
              <w:top w:val="nil"/>
              <w:left w:val="nil"/>
              <w:bottom w:val="nil"/>
              <w:right w:val="nil"/>
            </w:tcBorders>
            <w:vAlign w:val="bottom"/>
          </w:tcPr>
          <w:p w14:paraId="7179C30A"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nil"/>
              <w:right w:val="nil"/>
            </w:tcBorders>
            <w:vAlign w:val="bottom"/>
            <w:hideMark/>
          </w:tcPr>
          <w:p w14:paraId="673C3B7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w:t>
            </w:r>
          </w:p>
        </w:tc>
        <w:tc>
          <w:tcPr>
            <w:tcW w:w="1107" w:type="dxa"/>
            <w:tcBorders>
              <w:top w:val="nil"/>
              <w:left w:val="nil"/>
              <w:bottom w:val="single" w:sz="4" w:space="0" w:color="auto"/>
              <w:right w:val="nil"/>
            </w:tcBorders>
            <w:vAlign w:val="bottom"/>
            <w:hideMark/>
          </w:tcPr>
          <w:p w14:paraId="0CC2F09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(B)</w:t>
            </w:r>
          </w:p>
        </w:tc>
        <w:tc>
          <w:tcPr>
            <w:tcW w:w="1345" w:type="dxa"/>
            <w:tcBorders>
              <w:top w:val="nil"/>
              <w:left w:val="nil"/>
              <w:bottom w:val="single" w:sz="4" w:space="0" w:color="auto"/>
              <w:right w:val="nil"/>
            </w:tcBorders>
            <w:vAlign w:val="bottom"/>
            <w:hideMark/>
          </w:tcPr>
          <w:p w14:paraId="2D95BEC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(C)</w:t>
            </w:r>
          </w:p>
        </w:tc>
        <w:tc>
          <w:tcPr>
            <w:tcW w:w="1116" w:type="dxa"/>
            <w:tcBorders>
              <w:top w:val="nil"/>
              <w:left w:val="nil"/>
              <w:bottom w:val="single" w:sz="4" w:space="0" w:color="auto"/>
              <w:right w:val="nil"/>
            </w:tcBorders>
            <w:vAlign w:val="bottom"/>
            <w:hideMark/>
          </w:tcPr>
          <w:p w14:paraId="64C5C3C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(D)</w:t>
            </w:r>
          </w:p>
        </w:tc>
        <w:tc>
          <w:tcPr>
            <w:tcW w:w="1107" w:type="dxa"/>
            <w:tcBorders>
              <w:top w:val="nil"/>
              <w:left w:val="nil"/>
              <w:bottom w:val="single" w:sz="4" w:space="0" w:color="auto"/>
              <w:right w:val="nil"/>
            </w:tcBorders>
            <w:vAlign w:val="bottom"/>
            <w:hideMark/>
          </w:tcPr>
          <w:p w14:paraId="11F43BB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(E)</w:t>
            </w:r>
          </w:p>
        </w:tc>
        <w:tc>
          <w:tcPr>
            <w:tcW w:w="1345" w:type="dxa"/>
            <w:tcBorders>
              <w:top w:val="nil"/>
              <w:left w:val="nil"/>
              <w:bottom w:val="single" w:sz="4" w:space="0" w:color="auto"/>
              <w:right w:val="nil"/>
            </w:tcBorders>
            <w:vAlign w:val="bottom"/>
            <w:hideMark/>
          </w:tcPr>
          <w:p w14:paraId="61A41C4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(F)</w:t>
            </w:r>
          </w:p>
        </w:tc>
        <w:tc>
          <w:tcPr>
            <w:tcW w:w="1116" w:type="dxa"/>
            <w:tcBorders>
              <w:top w:val="nil"/>
              <w:left w:val="nil"/>
              <w:bottom w:val="single" w:sz="4" w:space="0" w:color="auto"/>
              <w:right w:val="nil"/>
            </w:tcBorders>
            <w:vAlign w:val="bottom"/>
            <w:hideMark/>
          </w:tcPr>
          <w:p w14:paraId="6FDD6AC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(G)</w:t>
            </w:r>
          </w:p>
        </w:tc>
      </w:tr>
      <w:tr w:rsidR="00B7218D" w:rsidRPr="00B7218D" w14:paraId="11154ED9" w14:textId="77777777" w:rsidTr="00190924">
        <w:trPr>
          <w:jc w:val="center"/>
        </w:trPr>
        <w:tc>
          <w:tcPr>
            <w:tcW w:w="416" w:type="dxa"/>
            <w:tcBorders>
              <w:top w:val="nil"/>
              <w:left w:val="nil"/>
              <w:bottom w:val="nil"/>
              <w:right w:val="nil"/>
            </w:tcBorders>
            <w:vAlign w:val="bottom"/>
          </w:tcPr>
          <w:p w14:paraId="22344CE1"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nil"/>
              <w:left w:val="nil"/>
              <w:bottom w:val="single" w:sz="4" w:space="0" w:color="auto"/>
              <w:right w:val="single" w:sz="4" w:space="0" w:color="auto"/>
            </w:tcBorders>
            <w:vAlign w:val="bottom"/>
          </w:tcPr>
          <w:p w14:paraId="4B762183" w14:textId="77777777" w:rsidR="00B7218D" w:rsidRPr="00B7218D" w:rsidRDefault="00B7218D" w:rsidP="001564E7">
            <w:pPr>
              <w:keepNext/>
              <w:keepLines/>
              <w:spacing w:before="40" w:after="40" w:line="240" w:lineRule="auto"/>
              <w:ind w:firstLine="0"/>
              <w:jc w:val="center"/>
              <w:rPr>
                <w:rFonts w:eastAsia="PMingLiU"/>
                <w:sz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F08D4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Rate of Return</w:t>
            </w:r>
          </w:p>
        </w:tc>
        <w:tc>
          <w:tcPr>
            <w:tcW w:w="35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06801A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Return on Equity</w:t>
            </w:r>
          </w:p>
        </w:tc>
      </w:tr>
      <w:tr w:rsidR="00B7218D" w:rsidRPr="00B7218D" w14:paraId="38D2139B" w14:textId="77777777" w:rsidTr="00190924">
        <w:trPr>
          <w:jc w:val="center"/>
        </w:trPr>
        <w:tc>
          <w:tcPr>
            <w:tcW w:w="416" w:type="dxa"/>
            <w:tcBorders>
              <w:top w:val="nil"/>
              <w:left w:val="nil"/>
              <w:bottom w:val="nil"/>
              <w:right w:val="single" w:sz="4" w:space="0" w:color="auto"/>
            </w:tcBorders>
            <w:vAlign w:val="bottom"/>
          </w:tcPr>
          <w:p w14:paraId="797E9E1D" w14:textId="77777777" w:rsidR="00B7218D" w:rsidRPr="00B7218D" w:rsidRDefault="00B7218D" w:rsidP="001564E7">
            <w:pPr>
              <w:keepNext/>
              <w:keepLines/>
              <w:spacing w:before="40" w:after="40" w:line="240" w:lineRule="auto"/>
              <w:ind w:firstLine="0"/>
              <w:jc w:val="center"/>
              <w:rPr>
                <w:rFonts w:eastAsia="PMingLiU"/>
                <w:sz w:val="20"/>
              </w:rPr>
            </w:pP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84C316"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Year</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53CE2E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D9B5C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2032F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04F2D9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Adjusted</w:t>
            </w:r>
            <w:r w:rsidRPr="00B7218D">
              <w:rPr>
                <w:rFonts w:eastAsia="PMingLiU"/>
                <w:sz w:val="20"/>
              </w:rPr>
              <w:br/>
              <w:t>Actual</w:t>
            </w:r>
            <w:r w:rsidRPr="00B7218D">
              <w:rPr>
                <w:rFonts w:eastAsia="PMingLiU"/>
                <w:sz w:val="20"/>
                <w:vertAlign w:val="superscript"/>
              </w:rPr>
              <w:t xml:space="preserve"> (1)</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9555E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Normalized</w:t>
            </w:r>
            <w:r w:rsidRPr="00B7218D">
              <w:rPr>
                <w:rFonts w:eastAsia="PMingLiU"/>
                <w:sz w:val="20"/>
                <w:vertAlign w:val="superscript"/>
              </w:rPr>
              <w:t> </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40E049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Authorized</w:t>
            </w:r>
          </w:p>
        </w:tc>
      </w:tr>
      <w:tr w:rsidR="00B7218D" w:rsidRPr="00B7218D" w14:paraId="7C8DD3A4" w14:textId="77777777" w:rsidTr="00190924">
        <w:trPr>
          <w:jc w:val="center"/>
        </w:trPr>
        <w:tc>
          <w:tcPr>
            <w:tcW w:w="416" w:type="dxa"/>
            <w:tcBorders>
              <w:top w:val="nil"/>
              <w:left w:val="nil"/>
              <w:bottom w:val="nil"/>
              <w:right w:val="single" w:sz="4" w:space="0" w:color="auto"/>
            </w:tcBorders>
            <w:vAlign w:val="bottom"/>
            <w:hideMark/>
          </w:tcPr>
          <w:p w14:paraId="6E46EE7B"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237E855"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5D8E44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6.63%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0CB9C0F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6.76%</w:t>
            </w:r>
          </w:p>
        </w:tc>
        <w:tc>
          <w:tcPr>
            <w:tcW w:w="1116" w:type="dxa"/>
            <w:tcBorders>
              <w:top w:val="single" w:sz="4" w:space="0" w:color="auto"/>
              <w:left w:val="single" w:sz="4" w:space="0" w:color="auto"/>
              <w:bottom w:val="single" w:sz="4" w:space="0" w:color="auto"/>
              <w:right w:val="single" w:sz="4" w:space="0" w:color="auto"/>
            </w:tcBorders>
            <w:vAlign w:val="bottom"/>
            <w:hideMark/>
          </w:tcPr>
          <w:p w14:paraId="4D2BDF4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720843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4.96%</w:t>
            </w:r>
          </w:p>
        </w:tc>
        <w:tc>
          <w:tcPr>
            <w:tcW w:w="1345" w:type="dxa"/>
            <w:tcBorders>
              <w:top w:val="single" w:sz="4" w:space="0" w:color="auto"/>
              <w:left w:val="single" w:sz="4" w:space="0" w:color="auto"/>
              <w:bottom w:val="single" w:sz="4" w:space="0" w:color="auto"/>
              <w:right w:val="single" w:sz="4" w:space="0" w:color="auto"/>
            </w:tcBorders>
            <w:vAlign w:val="bottom"/>
            <w:hideMark/>
          </w:tcPr>
          <w:p w14:paraId="257C6C39"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7.62%</w:t>
            </w:r>
          </w:p>
        </w:tc>
        <w:tc>
          <w:tcPr>
            <w:tcW w:w="1116" w:type="dxa"/>
            <w:tcBorders>
              <w:top w:val="single" w:sz="4" w:space="0" w:color="auto"/>
              <w:left w:val="single" w:sz="4" w:space="0" w:color="auto"/>
              <w:bottom w:val="single" w:sz="4" w:space="0" w:color="auto"/>
              <w:right w:val="single" w:sz="4" w:space="0" w:color="auto"/>
            </w:tcBorders>
            <w:vAlign w:val="bottom"/>
            <w:hideMark/>
          </w:tcPr>
          <w:p w14:paraId="31509C6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1A31E8ED" w14:textId="77777777" w:rsidTr="00190924">
        <w:trPr>
          <w:jc w:val="center"/>
        </w:trPr>
        <w:tc>
          <w:tcPr>
            <w:tcW w:w="416" w:type="dxa"/>
            <w:tcBorders>
              <w:top w:val="nil"/>
              <w:left w:val="nil"/>
              <w:bottom w:val="nil"/>
              <w:right w:val="single" w:sz="4" w:space="0" w:color="auto"/>
            </w:tcBorders>
            <w:vAlign w:val="bottom"/>
            <w:hideMark/>
          </w:tcPr>
          <w:p w14:paraId="67FD36CF"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82C832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2015</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EB16FB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6.80%</w:t>
            </w:r>
          </w:p>
        </w:tc>
        <w:tc>
          <w:tcPr>
            <w:tcW w:w="1345" w:type="dxa"/>
            <w:tcBorders>
              <w:top w:val="single" w:sz="4" w:space="0" w:color="auto"/>
              <w:left w:val="single" w:sz="4" w:space="0" w:color="auto"/>
              <w:bottom w:val="single" w:sz="4" w:space="0" w:color="auto"/>
              <w:right w:val="single" w:sz="4" w:space="0" w:color="auto"/>
            </w:tcBorders>
            <w:vAlign w:val="bottom"/>
            <w:hideMark/>
          </w:tcPr>
          <w:p w14:paraId="581706C2"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7.35%</w:t>
            </w:r>
          </w:p>
        </w:tc>
        <w:tc>
          <w:tcPr>
            <w:tcW w:w="1116" w:type="dxa"/>
            <w:tcBorders>
              <w:top w:val="single" w:sz="4" w:space="0" w:color="auto"/>
              <w:left w:val="single" w:sz="4" w:space="0" w:color="auto"/>
              <w:bottom w:val="single" w:sz="4" w:space="0" w:color="auto"/>
              <w:right w:val="single" w:sz="4" w:space="0" w:color="auto"/>
            </w:tcBorders>
            <w:vAlign w:val="bottom"/>
            <w:hideMark/>
          </w:tcPr>
          <w:p w14:paraId="066B2D6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8BA661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5.94%</w:t>
            </w:r>
          </w:p>
        </w:tc>
        <w:tc>
          <w:tcPr>
            <w:tcW w:w="1345" w:type="dxa"/>
            <w:tcBorders>
              <w:top w:val="single" w:sz="4" w:space="0" w:color="auto"/>
              <w:left w:val="single" w:sz="4" w:space="0" w:color="auto"/>
              <w:bottom w:val="single" w:sz="4" w:space="0" w:color="auto"/>
              <w:right w:val="single" w:sz="4" w:space="0" w:color="auto"/>
            </w:tcBorders>
            <w:vAlign w:val="bottom"/>
            <w:hideMark/>
          </w:tcPr>
          <w:p w14:paraId="01EC7D9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8.79%</w:t>
            </w:r>
          </w:p>
        </w:tc>
        <w:tc>
          <w:tcPr>
            <w:tcW w:w="1116" w:type="dxa"/>
            <w:tcBorders>
              <w:top w:val="single" w:sz="4" w:space="0" w:color="auto"/>
              <w:left w:val="single" w:sz="4" w:space="0" w:color="auto"/>
              <w:bottom w:val="single" w:sz="4" w:space="0" w:color="auto"/>
              <w:right w:val="single" w:sz="4" w:space="0" w:color="auto"/>
            </w:tcBorders>
            <w:vAlign w:val="bottom"/>
            <w:hideMark/>
          </w:tcPr>
          <w:p w14:paraId="689AEAE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12EC0343" w14:textId="77777777" w:rsidTr="00190924">
        <w:trPr>
          <w:jc w:val="center"/>
        </w:trPr>
        <w:tc>
          <w:tcPr>
            <w:tcW w:w="416" w:type="dxa"/>
            <w:tcBorders>
              <w:top w:val="nil"/>
              <w:left w:val="nil"/>
              <w:bottom w:val="nil"/>
              <w:right w:val="single" w:sz="4" w:space="0" w:color="auto"/>
            </w:tcBorders>
            <w:vAlign w:val="bottom"/>
            <w:hideMark/>
          </w:tcPr>
          <w:p w14:paraId="07C18A2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6DD49D7"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26690E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7.33%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03D0BE1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7.40%</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A1839BC"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E6BDDE8"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7.63%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5B2CC374"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8.74%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5F531F7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6B2FF14A" w14:textId="77777777" w:rsidTr="00190924">
        <w:trPr>
          <w:jc w:val="center"/>
        </w:trPr>
        <w:tc>
          <w:tcPr>
            <w:tcW w:w="416" w:type="dxa"/>
            <w:tcBorders>
              <w:top w:val="nil"/>
              <w:left w:val="nil"/>
              <w:bottom w:val="nil"/>
              <w:right w:val="single" w:sz="4" w:space="0" w:color="auto"/>
            </w:tcBorders>
            <w:vAlign w:val="bottom"/>
            <w:hideMark/>
          </w:tcPr>
          <w:p w14:paraId="0345D6B1"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94A045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2013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796493E"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7.12%</w:t>
            </w:r>
          </w:p>
        </w:tc>
        <w:tc>
          <w:tcPr>
            <w:tcW w:w="1345" w:type="dxa"/>
            <w:tcBorders>
              <w:top w:val="single" w:sz="4" w:space="0" w:color="auto"/>
              <w:left w:val="single" w:sz="4" w:space="0" w:color="auto"/>
              <w:bottom w:val="single" w:sz="4" w:space="0" w:color="auto"/>
              <w:right w:val="single" w:sz="4" w:space="0" w:color="auto"/>
            </w:tcBorders>
            <w:vAlign w:val="bottom"/>
            <w:hideMark/>
          </w:tcPr>
          <w:p w14:paraId="7B8497C0"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7.24%</w:t>
            </w:r>
          </w:p>
        </w:tc>
        <w:tc>
          <w:tcPr>
            <w:tcW w:w="1116" w:type="dxa"/>
            <w:tcBorders>
              <w:top w:val="single" w:sz="4" w:space="0" w:color="auto"/>
              <w:left w:val="single" w:sz="4" w:space="0" w:color="auto"/>
              <w:bottom w:val="single" w:sz="4" w:space="0" w:color="auto"/>
              <w:right w:val="single" w:sz="4" w:space="0" w:color="auto"/>
            </w:tcBorders>
            <w:vAlign w:val="bottom"/>
            <w:hideMark/>
          </w:tcPr>
          <w:p w14:paraId="28BEA4D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7.77%</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4C6FBAA"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7.93%</w:t>
            </w:r>
          </w:p>
        </w:tc>
        <w:tc>
          <w:tcPr>
            <w:tcW w:w="1345" w:type="dxa"/>
            <w:tcBorders>
              <w:top w:val="single" w:sz="4" w:space="0" w:color="auto"/>
              <w:left w:val="single" w:sz="4" w:space="0" w:color="auto"/>
              <w:bottom w:val="single" w:sz="4" w:space="0" w:color="auto"/>
              <w:right w:val="single" w:sz="4" w:space="0" w:color="auto"/>
            </w:tcBorders>
            <w:vAlign w:val="bottom"/>
            <w:hideMark/>
          </w:tcPr>
          <w:p w14:paraId="50B172A3"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8.40%</w:t>
            </w:r>
          </w:p>
        </w:tc>
        <w:tc>
          <w:tcPr>
            <w:tcW w:w="1116" w:type="dxa"/>
            <w:tcBorders>
              <w:top w:val="single" w:sz="4" w:space="0" w:color="auto"/>
              <w:left w:val="single" w:sz="4" w:space="0" w:color="auto"/>
              <w:bottom w:val="single" w:sz="4" w:space="0" w:color="auto"/>
              <w:right w:val="single" w:sz="4" w:space="0" w:color="auto"/>
            </w:tcBorders>
            <w:vAlign w:val="bottom"/>
            <w:hideMark/>
          </w:tcPr>
          <w:p w14:paraId="4287B4CD" w14:textId="77777777" w:rsidR="00B7218D" w:rsidRPr="00B7218D" w:rsidRDefault="00B7218D" w:rsidP="001564E7">
            <w:pPr>
              <w:keepNext/>
              <w:keepLines/>
              <w:spacing w:before="40" w:after="40" w:line="240" w:lineRule="auto"/>
              <w:ind w:firstLine="0"/>
              <w:jc w:val="center"/>
              <w:rPr>
                <w:rFonts w:eastAsia="PMingLiU"/>
                <w:sz w:val="20"/>
              </w:rPr>
            </w:pPr>
            <w:r w:rsidRPr="00B7218D">
              <w:rPr>
                <w:rFonts w:eastAsia="PMingLiU"/>
                <w:sz w:val="20"/>
              </w:rPr>
              <w:t>9.80%</w:t>
            </w:r>
          </w:p>
        </w:tc>
      </w:tr>
      <w:tr w:rsidR="00B7218D" w:rsidRPr="00B7218D" w14:paraId="4D856D73" w14:textId="77777777" w:rsidTr="00190924">
        <w:trPr>
          <w:jc w:val="center"/>
        </w:trPr>
        <w:tc>
          <w:tcPr>
            <w:tcW w:w="416" w:type="dxa"/>
            <w:tcBorders>
              <w:top w:val="nil"/>
              <w:left w:val="nil"/>
              <w:bottom w:val="nil"/>
              <w:right w:val="nil"/>
            </w:tcBorders>
            <w:vAlign w:val="bottom"/>
          </w:tcPr>
          <w:p w14:paraId="29489567" w14:textId="77777777" w:rsidR="00B7218D" w:rsidRPr="00B7218D" w:rsidRDefault="00B7218D" w:rsidP="001564E7">
            <w:pPr>
              <w:keepNext/>
              <w:keepLines/>
              <w:spacing w:before="40" w:line="240" w:lineRule="auto"/>
              <w:ind w:firstLine="0"/>
              <w:jc w:val="center"/>
              <w:rPr>
                <w:rFonts w:eastAsia="PMingLiU"/>
                <w:sz w:val="20"/>
              </w:rPr>
            </w:pPr>
          </w:p>
        </w:tc>
        <w:tc>
          <w:tcPr>
            <w:tcW w:w="8243" w:type="dxa"/>
            <w:gridSpan w:val="7"/>
            <w:tcBorders>
              <w:top w:val="single" w:sz="4" w:space="0" w:color="auto"/>
              <w:left w:val="nil"/>
              <w:bottom w:val="nil"/>
              <w:right w:val="nil"/>
            </w:tcBorders>
            <w:vAlign w:val="bottom"/>
            <w:hideMark/>
          </w:tcPr>
          <w:p w14:paraId="60984B16"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Notes:</w:t>
            </w:r>
          </w:p>
        </w:tc>
      </w:tr>
      <w:tr w:rsidR="00B7218D" w:rsidRPr="00B7218D" w14:paraId="2365A315" w14:textId="77777777" w:rsidTr="00190924">
        <w:trPr>
          <w:jc w:val="center"/>
        </w:trPr>
        <w:tc>
          <w:tcPr>
            <w:tcW w:w="416" w:type="dxa"/>
            <w:tcBorders>
              <w:top w:val="nil"/>
              <w:left w:val="nil"/>
              <w:bottom w:val="nil"/>
              <w:right w:val="nil"/>
            </w:tcBorders>
            <w:vAlign w:val="bottom"/>
          </w:tcPr>
          <w:p w14:paraId="12C4A22E" w14:textId="77777777" w:rsidR="00B7218D" w:rsidRPr="00B7218D" w:rsidRDefault="00B7218D" w:rsidP="001564E7">
            <w:pPr>
              <w:keepNext/>
              <w:keepLines/>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1C8E8A8A" w14:textId="77777777" w:rsidR="00B7218D" w:rsidRPr="00B7218D" w:rsidRDefault="00B7218D" w:rsidP="001564E7">
            <w:pPr>
              <w:keepNext/>
              <w:keepLines/>
              <w:spacing w:before="40" w:line="240" w:lineRule="auto"/>
              <w:ind w:left="475" w:hanging="475"/>
              <w:rPr>
                <w:rFonts w:eastAsia="PMingLiU"/>
                <w:sz w:val="20"/>
              </w:rPr>
            </w:pPr>
            <w:r w:rsidRPr="00B7218D">
              <w:rPr>
                <w:rFonts w:eastAsia="PMingLiU"/>
                <w:sz w:val="20"/>
              </w:rPr>
              <w:t>(1)</w:t>
            </w:r>
            <w:r w:rsidRPr="00B7218D">
              <w:rPr>
                <w:rFonts w:eastAsia="PMingLiU"/>
                <w:sz w:val="20"/>
              </w:rPr>
              <w:tab/>
              <w:t>Adjusted actual returns: Exclude ASC 815 (formerly FAS 133) gains or losses and include tax benefits of interest</w:t>
            </w:r>
          </w:p>
        </w:tc>
      </w:tr>
      <w:tr w:rsidR="00B7218D" w:rsidRPr="00B7218D" w14:paraId="08C242D0" w14:textId="77777777" w:rsidTr="00190924">
        <w:trPr>
          <w:jc w:val="center"/>
        </w:trPr>
        <w:tc>
          <w:tcPr>
            <w:tcW w:w="416" w:type="dxa"/>
            <w:tcBorders>
              <w:top w:val="nil"/>
              <w:left w:val="nil"/>
              <w:bottom w:val="nil"/>
              <w:right w:val="nil"/>
            </w:tcBorders>
            <w:vAlign w:val="bottom"/>
          </w:tcPr>
          <w:p w14:paraId="0D2E1308" w14:textId="77777777" w:rsidR="00B7218D" w:rsidRPr="00B7218D" w:rsidRDefault="00B7218D" w:rsidP="001564E7">
            <w:pPr>
              <w:spacing w:before="40" w:after="40" w:line="240" w:lineRule="auto"/>
              <w:ind w:firstLine="0"/>
              <w:jc w:val="center"/>
              <w:rPr>
                <w:rFonts w:eastAsia="PMingLiU"/>
                <w:sz w:val="20"/>
              </w:rPr>
            </w:pPr>
          </w:p>
        </w:tc>
        <w:tc>
          <w:tcPr>
            <w:tcW w:w="8243" w:type="dxa"/>
            <w:gridSpan w:val="7"/>
            <w:tcBorders>
              <w:top w:val="nil"/>
              <w:left w:val="nil"/>
              <w:bottom w:val="nil"/>
              <w:right w:val="nil"/>
            </w:tcBorders>
            <w:vAlign w:val="bottom"/>
            <w:hideMark/>
          </w:tcPr>
          <w:p w14:paraId="3B9CC870" w14:textId="77777777" w:rsidR="00B7218D" w:rsidRPr="00B7218D" w:rsidRDefault="00B7218D" w:rsidP="001564E7">
            <w:pPr>
              <w:spacing w:before="40" w:after="480" w:line="240" w:lineRule="auto"/>
              <w:ind w:left="475" w:hanging="475"/>
              <w:rPr>
                <w:rFonts w:eastAsia="PMingLiU"/>
                <w:sz w:val="20"/>
              </w:rPr>
            </w:pPr>
          </w:p>
        </w:tc>
      </w:tr>
    </w:tbl>
    <w:p w14:paraId="1F89DC0A" w14:textId="7AACE8A4" w:rsidR="00CF79F6" w:rsidRPr="00B7218D" w:rsidRDefault="00B7218D" w:rsidP="001564E7">
      <w:pPr>
        <w:spacing w:before="120" w:after="120" w:line="480" w:lineRule="auto"/>
        <w:ind w:left="720" w:firstLine="0"/>
      </w:pPr>
      <w:bookmarkStart w:id="19" w:name="_Toc488216548"/>
      <w:r w:rsidRPr="00B7218D">
        <w:t>The conclusions are obvious. Without the benefit of the 2013 ERF and the ensuing K</w:t>
      </w:r>
      <w:r w:rsidR="008111CE">
        <w:t>-</w:t>
      </w:r>
      <w:r w:rsidRPr="00B7218D">
        <w:t>factor increases, PSE would have substantially under-earned against its allowed rate of return and return on equity on both an actual and normalized basis for both electric and gas operations.</w:t>
      </w:r>
      <w:r w:rsidR="00CF79F6">
        <w:t xml:space="preserve"> It is important to note that neither the expedited rate filing nor the K-factor increases would have been sufficient </w:t>
      </w:r>
      <w:r w:rsidR="00CF79F6" w:rsidRPr="00CF79F6">
        <w:rPr>
          <w:i/>
        </w:rPr>
        <w:t>on their own</w:t>
      </w:r>
      <w:r w:rsidR="00CF79F6">
        <w:t xml:space="preserve"> to close the return gap created by regulatory lag and attrition.</w:t>
      </w:r>
    </w:p>
    <w:p w14:paraId="06CB2123" w14:textId="77777777" w:rsidR="00B7218D" w:rsidRPr="00B7218D" w:rsidRDefault="00B7218D" w:rsidP="001564E7">
      <w:pPr>
        <w:pStyle w:val="Heading1"/>
      </w:pPr>
      <w:bookmarkStart w:id="20" w:name="_Toc489790213"/>
      <w:bookmarkStart w:id="21" w:name="_Toc489949672"/>
      <w:r w:rsidRPr="00B7218D">
        <w:lastRenderedPageBreak/>
        <w:t>III.</w:t>
      </w:r>
      <w:r w:rsidRPr="00B7218D">
        <w:tab/>
        <w:t>THE COMMISSION SHOULD REJECT COMMISSION STAFF’S PRESUMPTION THAT A RATE REDUCTION IS REASONABLE SIMPLY BECAUSE PSE WAS ABLE TO EARN ITS ALLOWED RATE OF RETURN DURING THE RATE PLAN PERIOD</w:t>
      </w:r>
      <w:bookmarkEnd w:id="19"/>
      <w:bookmarkEnd w:id="20"/>
      <w:bookmarkEnd w:id="21"/>
    </w:p>
    <w:p w14:paraId="39C2E35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respond to the Commission Staff’s testimony regarding policy matters?</w:t>
      </w:r>
    </w:p>
    <w:p w14:paraId="0498D0E9" w14:textId="77777777" w:rsidR="00B7218D" w:rsidRPr="00B7218D" w:rsidRDefault="00B7218D" w:rsidP="001564E7">
      <w:pPr>
        <w:spacing w:before="120" w:after="120" w:line="480" w:lineRule="auto"/>
        <w:ind w:left="720" w:hanging="720"/>
      </w:pPr>
      <w:r w:rsidRPr="00B7218D">
        <w:t>A.</w:t>
      </w:r>
      <w:r w:rsidRPr="00B7218D">
        <w:tab/>
        <w:t>Commission Staff’s testimony begins with an accurate recollection of the events that led to PSE’s current filing.</w:t>
      </w:r>
      <w:r w:rsidRPr="00B7218D">
        <w:rPr>
          <w:position w:val="6"/>
          <w:sz w:val="16"/>
        </w:rPr>
        <w:footnoteReference w:id="6"/>
      </w:r>
      <w:r w:rsidRPr="00B7218D">
        <w:t xml:space="preserve"> Commission Staff then summarizes what it considers to be salient statements from the Commission’s determinations relative to the decoupling and rate plan and quotes as follows:</w:t>
      </w:r>
    </w:p>
    <w:p w14:paraId="75932C9E"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 xml:space="preserve">We approve the rate plan in part because it is an innovative approach that will provide incentives for PSE to cut costs in order to earn its authorized rate of return. It is important that the commission monitor how, and how well these incentives, operate to improve efficiency and reduce costs </w:t>
      </w:r>
      <w:r w:rsidRPr="00B7218D">
        <w:rPr>
          <w:iCs/>
          <w:color w:val="000000" w:themeColor="text1"/>
          <w:szCs w:val="24"/>
          <w:u w:val="single"/>
          <w:lang w:eastAsia="en-US"/>
        </w:rPr>
        <w:t>that ultimately will mean rates to customers that are lower than they would be absent these gains in efficiency</w:t>
      </w:r>
      <w:r w:rsidRPr="00B7218D">
        <w:rPr>
          <w:iCs/>
          <w:color w:val="000000" w:themeColor="text1"/>
          <w:szCs w:val="24"/>
          <w:lang w:eastAsia="en-US"/>
        </w:rPr>
        <w:t>. (Emphasis added.)</w:t>
      </w:r>
      <w:r w:rsidRPr="00B7218D">
        <w:rPr>
          <w:iCs/>
          <w:color w:val="000000" w:themeColor="text1"/>
          <w:position w:val="6"/>
          <w:sz w:val="16"/>
          <w:szCs w:val="24"/>
          <w:lang w:eastAsia="en-US"/>
        </w:rPr>
        <w:footnoteReference w:id="7"/>
      </w:r>
    </w:p>
    <w:p w14:paraId="2A23AF86" w14:textId="77777777" w:rsidR="00B7218D" w:rsidRPr="00B7218D" w:rsidRDefault="00B7218D" w:rsidP="001564E7">
      <w:pPr>
        <w:spacing w:before="120" w:after="120" w:line="480" w:lineRule="auto"/>
        <w:ind w:left="720" w:firstLine="0"/>
      </w:pPr>
      <w:r w:rsidRPr="00B7218D">
        <w:t xml:space="preserve">From this language, the Commission Staff draws the following conclusions: </w:t>
      </w:r>
    </w:p>
    <w:p w14:paraId="36116067"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Staff understands the commission was allowing PSE the opportunity to over earn for a period of time with the understanding that next general rate case will be based on a cost structure which may show a need for lower rates.</w:t>
      </w:r>
      <w:r w:rsidRPr="00B7218D">
        <w:rPr>
          <w:iCs/>
          <w:color w:val="000000" w:themeColor="text1"/>
          <w:position w:val="6"/>
          <w:sz w:val="16"/>
          <w:szCs w:val="24"/>
          <w:lang w:eastAsia="en-US"/>
        </w:rPr>
        <w:footnoteReference w:id="8"/>
      </w:r>
    </w:p>
    <w:p w14:paraId="53AC1626"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Does PSE agree with Commission Staff’s interpretation?</w:t>
      </w:r>
    </w:p>
    <w:p w14:paraId="0BDA9BA1" w14:textId="5A825C78" w:rsidR="00B7218D" w:rsidRPr="00B7218D" w:rsidRDefault="00B7218D" w:rsidP="001564E7">
      <w:pPr>
        <w:spacing w:before="120" w:after="120" w:line="480" w:lineRule="auto"/>
        <w:ind w:left="720" w:hanging="720"/>
      </w:pPr>
      <w:r w:rsidRPr="00B7218D">
        <w:t>A.</w:t>
      </w:r>
      <w:r w:rsidRPr="00B7218D">
        <w:tab/>
        <w:t>No. Nowhere in the language quoted by Commission Staff does the Commission even come close to suggesting that it was allowing PSE the opportunity to over-earn for any period of time. It is difficult to imagine that this Commission—or any other commission, for that matter—would fathom instituting such a policy. Furthermore, such an interpretation is puzzling when the Commission expressly stated in both the Decoupling Order</w:t>
      </w:r>
      <w:r w:rsidRPr="00B7218D">
        <w:rPr>
          <w:position w:val="6"/>
          <w:sz w:val="16"/>
        </w:rPr>
        <w:footnoteReference w:id="9"/>
      </w:r>
      <w:r w:rsidRPr="00B7218D">
        <w:t xml:space="preserve"> and the subsequent Decoupling Remand Order</w:t>
      </w:r>
      <w:r w:rsidRPr="00B7218D">
        <w:rPr>
          <w:position w:val="6"/>
          <w:sz w:val="16"/>
        </w:rPr>
        <w:footnoteReference w:id="10"/>
      </w:r>
      <w:r w:rsidRPr="00B7218D">
        <w:t xml:space="preserve"> that (i) the return on equity of 9.8 percent was within the range of reasonableness</w:t>
      </w:r>
      <w:r w:rsidRPr="00B7218D">
        <w:rPr>
          <w:position w:val="6"/>
          <w:sz w:val="16"/>
        </w:rPr>
        <w:footnoteReference w:id="11"/>
      </w:r>
      <w:r w:rsidRPr="00B7218D">
        <w:t xml:space="preserve"> and (ii) the decoupling mechanisms and rate plan would result in rates during the term of the rate plan that will be fair, just and reasonable and sufficient.</w:t>
      </w:r>
      <w:r w:rsidRPr="00B7218D">
        <w:rPr>
          <w:position w:val="6"/>
          <w:sz w:val="16"/>
        </w:rPr>
        <w:footnoteReference w:id="12"/>
      </w:r>
    </w:p>
    <w:p w14:paraId="5C913193"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interpret the Commission’s language quoted by Commission Staff?</w:t>
      </w:r>
    </w:p>
    <w:p w14:paraId="4927B62F" w14:textId="6E730026" w:rsidR="00B7218D" w:rsidRPr="00B7218D" w:rsidRDefault="00B7218D" w:rsidP="001564E7">
      <w:pPr>
        <w:spacing w:before="120" w:after="120" w:line="480" w:lineRule="auto"/>
        <w:ind w:left="720" w:hanging="720"/>
      </w:pPr>
      <w:r w:rsidRPr="00B7218D">
        <w:t>A.</w:t>
      </w:r>
      <w:r w:rsidRPr="00B7218D">
        <w:tab/>
        <w:t xml:space="preserve">PSE interprets the language from paragraph 214 of the Decoupling Order quoted by Commission Staff as representing the Commission’s recognition that the revenue decoupling mechanism and rate plan represented an innovative approach </w:t>
      </w:r>
      <w:r w:rsidRPr="00B7218D">
        <w:lastRenderedPageBreak/>
        <w:t>or an experiment of sorts. Further, PSE understood that, in the Decoupling Order, the Commissio</w:t>
      </w:r>
      <w:r w:rsidR="008111CE">
        <w:t>n afforded PSE an opportunity (</w:t>
      </w:r>
      <w:r w:rsidRPr="00B7218D">
        <w:t>but not a guarantee) to earn a return commensurate with returns that could be expected on investments of similar risk. Because the Commission understood that the revenue decoupling mechanism and rate plan were innovative and experimental (at least within the State of Washington), the Commission implemented an excess earnings sharing mechanism to protect consumers in the event that the combined effects of decoupling, the rate plan, or PSE’s cost savings and cost efficiency efforts, resulted in PSE over-earning.</w:t>
      </w:r>
    </w:p>
    <w:p w14:paraId="1385047D"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Commission Staff suggest that PSE has over-earned during the rate plan period?</w:t>
      </w:r>
    </w:p>
    <w:p w14:paraId="7109F9F6" w14:textId="0070E7A8" w:rsidR="00B7218D" w:rsidRPr="00B7218D" w:rsidRDefault="00B7218D" w:rsidP="001564E7">
      <w:pPr>
        <w:spacing w:before="120" w:after="120" w:line="480" w:lineRule="auto"/>
        <w:ind w:left="720" w:hanging="720"/>
      </w:pPr>
      <w:r w:rsidRPr="00B7218D">
        <w:t>A.</w:t>
      </w:r>
      <w:r w:rsidRPr="00B7218D">
        <w:tab/>
        <w:t xml:space="preserve">Yes. Commission Staff presents evidence that PSE has, </w:t>
      </w:r>
      <w:r w:rsidRPr="00B7218D">
        <w:rPr>
          <w:i/>
        </w:rPr>
        <w:t>on a normalized basis</w:t>
      </w:r>
      <w:r w:rsidRPr="00B7218D">
        <w:t>, over-earned its allowed rate of return during the rate plan period by up to 40 basis points for gas operations and 30 basis points for electric operations.</w:t>
      </w:r>
      <w:r w:rsidRPr="00B7218D">
        <w:rPr>
          <w:position w:val="6"/>
          <w:sz w:val="16"/>
        </w:rPr>
        <w:footnoteReference w:id="13"/>
      </w:r>
      <w:r w:rsidRPr="00B7218D">
        <w:t xml:space="preserve"> Commission Staff, however, continues with an ominous statement that “[i]t is now time to reset the program and a rate reduction is therefore reasonable.”</w:t>
      </w:r>
      <w:r w:rsidRPr="00B7218D">
        <w:rPr>
          <w:position w:val="6"/>
          <w:sz w:val="16"/>
        </w:rPr>
        <w:footnoteReference w:id="14"/>
      </w:r>
    </w:p>
    <w:p w14:paraId="26C7484E"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respond?</w:t>
      </w:r>
    </w:p>
    <w:p w14:paraId="462DAE6E" w14:textId="5C830D5F" w:rsidR="00B7218D" w:rsidRPr="00B7218D" w:rsidRDefault="00B7218D" w:rsidP="001564E7">
      <w:pPr>
        <w:spacing w:before="120" w:after="120" w:line="480" w:lineRule="auto"/>
        <w:ind w:left="720" w:hanging="720"/>
      </w:pPr>
      <w:r w:rsidRPr="00B7218D">
        <w:t>A.</w:t>
      </w:r>
      <w:r w:rsidRPr="00B7218D">
        <w:tab/>
      </w:r>
      <w:r w:rsidR="008111CE" w:rsidRPr="00B7218D">
        <w:t xml:space="preserve">On an </w:t>
      </w:r>
      <w:r w:rsidR="008111CE" w:rsidRPr="00B7218D">
        <w:rPr>
          <w:i/>
        </w:rPr>
        <w:t>actual</w:t>
      </w:r>
      <w:r w:rsidR="008111CE" w:rsidRPr="00B7218D">
        <w:t xml:space="preserve">, </w:t>
      </w:r>
      <w:r w:rsidR="008111CE" w:rsidRPr="00B7218D">
        <w:rPr>
          <w:i/>
        </w:rPr>
        <w:t>non-normalized basis</w:t>
      </w:r>
      <w:r w:rsidR="008111CE" w:rsidRPr="00B7218D">
        <w:t>, PSE did not over-earn during the rate plan period</w:t>
      </w:r>
      <w:r w:rsidR="008111CE">
        <w:t xml:space="preserve"> to the extent that </w:t>
      </w:r>
      <w:r w:rsidR="008111CE">
        <w:rPr>
          <w:i/>
        </w:rPr>
        <w:t xml:space="preserve">normalized </w:t>
      </w:r>
      <w:r w:rsidR="008111CE">
        <w:t>results would otherwise suggest</w:t>
      </w:r>
      <w:r w:rsidR="008111CE" w:rsidRPr="00B7218D">
        <w:t>.</w:t>
      </w:r>
      <w:r w:rsidR="008111CE" w:rsidRPr="00B7218D">
        <w:rPr>
          <w:position w:val="6"/>
          <w:sz w:val="16"/>
        </w:rPr>
        <w:footnoteReference w:id="15"/>
      </w:r>
      <w:r w:rsidR="008111CE">
        <w:t xml:space="preserve"> </w:t>
      </w:r>
      <w:r w:rsidRPr="00B7218D">
        <w:t xml:space="preserve">PSE has </w:t>
      </w:r>
      <w:r w:rsidRPr="00B7218D">
        <w:lastRenderedPageBreak/>
        <w:t xml:space="preserve">presented evidence elsewhere, which will not be repeated here, that explains why it is inappropriate to utilize </w:t>
      </w:r>
      <w:r w:rsidRPr="00B7218D">
        <w:rPr>
          <w:i/>
        </w:rPr>
        <w:t>normalized</w:t>
      </w:r>
      <w:r w:rsidRPr="00B7218D">
        <w:t xml:space="preserve"> earnings to calculate </w:t>
      </w:r>
      <w:r w:rsidRPr="00B7218D">
        <w:rPr>
          <w:i/>
        </w:rPr>
        <w:t>actual</w:t>
      </w:r>
      <w:r w:rsidRPr="00B7218D">
        <w:t xml:space="preserve"> excess earnings for purposes of the earnings sharing mechanism.</w:t>
      </w:r>
      <w:r w:rsidRPr="00B7218D">
        <w:rPr>
          <w:position w:val="6"/>
          <w:sz w:val="16"/>
        </w:rPr>
        <w:footnoteReference w:id="16"/>
      </w:r>
      <w:r w:rsidRPr="00B7218D">
        <w:t xml:space="preserve"> In short, Commission Staff ignores PSE’s argument that the normalized rate of return calculation included in the Commission Basis Report can be an inappropriate mechanism for calculating excess earnings with respect to earning sharing mechanisms because certain unforeseen dynamics, such as materially higher or lower power costs, can cause the earnings sharing mechanism, as currently implemented, to produce results that</w:t>
      </w:r>
      <w:r w:rsidR="008111CE">
        <w:t xml:space="preserve"> are unexpected and irrational.</w:t>
      </w:r>
    </w:p>
    <w:p w14:paraId="6189807C" w14:textId="613DD5CA"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w:t>
      </w:r>
      <w:r w:rsidR="00DA4C7B">
        <w:rPr>
          <w:rFonts w:eastAsia="SimSun"/>
          <w:b/>
        </w:rPr>
        <w:t>d</w:t>
      </w:r>
      <w:r w:rsidRPr="00B7218D">
        <w:rPr>
          <w:rFonts w:eastAsia="SimSun"/>
          <w:b/>
        </w:rPr>
        <w:t xml:space="preserve"> to Commission Staff’s assertion that “[w]e also reintroduce PSE to the concept of risk since it seems dissatisfied with the numerous risk mitigation measures granted by the commission in recent years”?</w:t>
      </w:r>
      <w:r w:rsidRPr="00B7218D">
        <w:rPr>
          <w:rFonts w:eastAsia="SimSun"/>
          <w:b/>
          <w:position w:val="6"/>
          <w:sz w:val="16"/>
        </w:rPr>
        <w:footnoteReference w:id="17"/>
      </w:r>
    </w:p>
    <w:p w14:paraId="7312FCAB" w14:textId="77777777" w:rsidR="00B7218D" w:rsidRPr="00B7218D" w:rsidRDefault="00B7218D" w:rsidP="001564E7">
      <w:pPr>
        <w:spacing w:before="120" w:after="120" w:line="480" w:lineRule="auto"/>
        <w:ind w:left="720" w:hanging="720"/>
      </w:pPr>
      <w:r w:rsidRPr="00B7218D">
        <w:t>A.</w:t>
      </w:r>
      <w:r w:rsidRPr="00B7218D">
        <w:tab/>
        <w:t>First, PSE’s direct testimony in this proceeding never stated that PSE is dissatisfied with the risk mitigation measures granted by the Commission in recent years.</w:t>
      </w:r>
    </w:p>
    <w:p w14:paraId="3A743457" w14:textId="56224720" w:rsidR="00B7218D" w:rsidRPr="00B7218D" w:rsidRDefault="00B7218D" w:rsidP="001564E7">
      <w:pPr>
        <w:spacing w:before="120" w:after="120" w:line="480" w:lineRule="auto"/>
        <w:ind w:left="720" w:firstLine="0"/>
      </w:pPr>
      <w:r w:rsidRPr="00B7218D">
        <w:t>Second, Commission Staff cites to various risk-mitigating measures in an attempt to convince the reader that PSE is a uniquely advantaged recipient of favored rate treatment.</w:t>
      </w:r>
      <w:r w:rsidRPr="00B7218D">
        <w:rPr>
          <w:position w:val="6"/>
          <w:sz w:val="16"/>
        </w:rPr>
        <w:footnoteReference w:id="18"/>
      </w:r>
      <w:r w:rsidRPr="00B7218D">
        <w:t xml:space="preserve"> That is simply not the case. As presented in the Second Exhibit to the </w:t>
      </w:r>
      <w:proofErr w:type="spellStart"/>
      <w:r w:rsidRPr="00B7218D">
        <w:lastRenderedPageBreak/>
        <w:t>Prefiled</w:t>
      </w:r>
      <w:proofErr w:type="spellEnd"/>
      <w:r w:rsidRPr="00B7218D">
        <w:t xml:space="preserve"> Rebuttal Testimony of Daniel A. Doyle, </w:t>
      </w:r>
      <w:proofErr w:type="spellStart"/>
      <w:r w:rsidRPr="00B7218D">
        <w:t>Exh</w:t>
      </w:r>
      <w:proofErr w:type="spellEnd"/>
      <w:r w:rsidRPr="00B7218D">
        <w:t>. DAD-</w:t>
      </w:r>
      <w:r w:rsidR="00446617">
        <w:t>8</w:t>
      </w:r>
      <w:r w:rsidRPr="00B7218D">
        <w:t>, commissions across the country have, over the past several decades, implemented various and similar mechanisms to accurately track material cost of service items and reduce the need for frequent general rate cases. In this context, there is an important omission in Commission Staff’s testimony—yes, riders and trackers do allow PSE to recover various costs on a dollar-for-dollar basis, but they also provide a significant and meaningful consumer protection goal of ensuring that customers will never over-pay those costs, a feature that Commission Staff’s testimony ignores.</w:t>
      </w:r>
    </w:p>
    <w:p w14:paraId="1708CFFD" w14:textId="7AC14FB7" w:rsidR="00B7218D" w:rsidRPr="00B7218D" w:rsidRDefault="00B7218D" w:rsidP="001564E7">
      <w:pPr>
        <w:spacing w:before="120" w:after="120" w:line="480" w:lineRule="auto"/>
        <w:ind w:left="720" w:firstLine="0"/>
      </w:pPr>
      <w:r w:rsidRPr="00B7218D">
        <w:t>Third, Commission Staff’s argument that regulatory mechanisms are beneficial to PSE from a financial standpoint</w:t>
      </w:r>
      <w:r w:rsidRPr="00B7218D">
        <w:rPr>
          <w:position w:val="6"/>
          <w:sz w:val="16"/>
        </w:rPr>
        <w:footnoteReference w:id="19"/>
      </w:r>
      <w:r w:rsidRPr="00B7218D">
        <w:t xml:space="preserve"> is irrelevant. The Commission establishes PSE allowed return on equity by reference to one or more proxy groups of comparable utilities, and utilities within those proxy groups employ the same or similar regulatory mechanisms. The Commission correctly recognized this fact in its Decoupling Remand Order:</w:t>
      </w:r>
    </w:p>
    <w:p w14:paraId="481FE358"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 xml:space="preserve">The Commission has never tried to account separately in its [return on equity] ROE determinations for specific risks or risk mitigating factors, nor should it. </w:t>
      </w:r>
      <w:r w:rsidRPr="00B7218D">
        <w:rPr>
          <w:i/>
          <w:iCs/>
          <w:color w:val="000000" w:themeColor="text1"/>
          <w:szCs w:val="24"/>
          <w:lang w:eastAsia="en-US"/>
        </w:rPr>
        <w:t>Circumstances in the industry today and modern regulatory practice that have led to a proliferation of risk reducing mechanisms being in place for utilities throughout the United States</w:t>
      </w:r>
      <w:r w:rsidRPr="00B7218D">
        <w:rPr>
          <w:iCs/>
          <w:color w:val="000000" w:themeColor="text1"/>
          <w:szCs w:val="24"/>
          <w:lang w:eastAsia="en-US"/>
        </w:rPr>
        <w:t xml:space="preserve"> make it particularly inappropriate and unnecessary to consider such an undertaking. The effects of these risk mitigating factors was by 2013, and is today, built into the data experts draw from the samples of companies they select as proxies.</w:t>
      </w:r>
      <w:r w:rsidRPr="00B7218D">
        <w:rPr>
          <w:iCs/>
          <w:color w:val="000000" w:themeColor="text1"/>
          <w:position w:val="6"/>
          <w:sz w:val="16"/>
          <w:szCs w:val="24"/>
          <w:lang w:eastAsia="en-US"/>
        </w:rPr>
        <w:footnoteReference w:id="20"/>
      </w:r>
    </w:p>
    <w:p w14:paraId="0A6176EC" w14:textId="77777777" w:rsidR="00B7218D" w:rsidRPr="00B7218D" w:rsidRDefault="00B7218D" w:rsidP="001564E7">
      <w:pPr>
        <w:spacing w:before="120" w:after="120" w:line="480" w:lineRule="auto"/>
        <w:ind w:left="720" w:firstLine="0"/>
      </w:pPr>
      <w:r w:rsidRPr="00B7218D">
        <w:lastRenderedPageBreak/>
        <w:t>Similarly, Commission Staff’s own testimony quotes a trade publication that recognizes the proliferation of these mechanisms within the industry: “Over the ensuing years, the use of adjustment clauses has expanded greatly. Adjustment clauses are generally reserved for expenses that are outside the control of the utility or are required by law or rule.”</w:t>
      </w:r>
      <w:r w:rsidRPr="00B7218D">
        <w:rPr>
          <w:position w:val="6"/>
          <w:sz w:val="16"/>
        </w:rPr>
        <w:footnoteReference w:id="21"/>
      </w:r>
      <w:r w:rsidRPr="00B7218D">
        <w:t xml:space="preserve"> Therefore, PSE receives no special advantage as Commission Staff’s testimony would have us believe.</w:t>
      </w:r>
    </w:p>
    <w:p w14:paraId="581BE7F1" w14:textId="3E894F19" w:rsidR="00B7218D" w:rsidRPr="00B7218D" w:rsidRDefault="00B7218D" w:rsidP="001564E7">
      <w:pPr>
        <w:spacing w:before="120" w:after="120" w:line="480" w:lineRule="auto"/>
        <w:ind w:left="720" w:firstLine="0"/>
      </w:pPr>
      <w:r w:rsidRPr="00B7218D">
        <w:t xml:space="preserve">Finally, Commission Staff’s testimony would suggest that PSE, as a beneficiary of recent regulatory mechanisms implemented during the rate plan period, now requires some abstract, unfounded risk adjustment. Nothing could be further from the truth. Power cost only rate cases, the power cost adjustment, the purchase gas adjustment, the gas cost recovery mechanism and </w:t>
      </w:r>
      <w:r w:rsidR="008111CE">
        <w:t xml:space="preserve">a </w:t>
      </w:r>
      <w:r w:rsidRPr="00B7218D">
        <w:t>few other riders and trackers have been part of the Commission’s regulatory construct for years. There is nothing new here.</w:t>
      </w:r>
    </w:p>
    <w:p w14:paraId="419DE8D5"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need a reintroduction to the concept of risk?</w:t>
      </w:r>
    </w:p>
    <w:p w14:paraId="61FA1CE0" w14:textId="77777777" w:rsidR="00B7218D" w:rsidRPr="00B7218D" w:rsidRDefault="00B7218D" w:rsidP="001564E7">
      <w:pPr>
        <w:spacing w:before="120" w:after="120" w:line="480" w:lineRule="auto"/>
        <w:ind w:left="720" w:hanging="720"/>
      </w:pPr>
      <w:r w:rsidRPr="00B7218D">
        <w:t>A.</w:t>
      </w:r>
      <w:r w:rsidRPr="00B7218D">
        <w:tab/>
        <w:t>No. As discussed earlier in this rebuttal testimony, in the absence of the K-factor increases, PSE would have substantially under-earned against the allowed rate of return and the allowed return on equity. This analysis demonstrates that regulatory lag and attrition appear to be alive and well within the existing regulatory regime. If left unaddressed, regulatory lag and attrition will remain alive and well in the rate year and beyond.</w:t>
      </w:r>
    </w:p>
    <w:p w14:paraId="5332B3FC"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Does Commission Staff address the risks related to the long-standing and continuing effects of regulatory lag and attrition?</w:t>
      </w:r>
    </w:p>
    <w:p w14:paraId="5B2FB8FD" w14:textId="2745609F" w:rsidR="00B7218D" w:rsidRPr="00B7218D" w:rsidRDefault="00B7218D" w:rsidP="001564E7">
      <w:pPr>
        <w:spacing w:before="120" w:after="120" w:line="480" w:lineRule="auto"/>
        <w:ind w:left="720" w:hanging="720"/>
      </w:pPr>
      <w:r w:rsidRPr="00B7218D">
        <w:t>A.</w:t>
      </w:r>
      <w:r w:rsidRPr="00B7218D">
        <w:tab/>
        <w:t>No. Commission Staff fails to address the risks related to the long-standing and continuing effects of regulatory lag and attrition that PSE will face with the elimination of the rate plan. Notwithstanding the existing risks related to the long-standing and continuing effects of regulatory lag and attrition, Commission Staff appears intent on introducing PSE</w:t>
      </w:r>
      <w:r w:rsidR="00446617">
        <w:t xml:space="preserve"> </w:t>
      </w:r>
      <w:r w:rsidRPr="00B7218D">
        <w:t>to several new, incremental risks.</w:t>
      </w:r>
    </w:p>
    <w:p w14:paraId="50D8B812" w14:textId="355AE7A9"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Please describe the incremental risks that Commission Staff seeks to introduce.</w:t>
      </w:r>
    </w:p>
    <w:p w14:paraId="251A758A" w14:textId="39E4D2E7" w:rsidR="00B7218D" w:rsidRPr="00B7218D" w:rsidRDefault="00B7218D" w:rsidP="001564E7">
      <w:pPr>
        <w:spacing w:before="120" w:after="120" w:line="480" w:lineRule="auto"/>
        <w:ind w:left="720" w:hanging="720"/>
      </w:pPr>
      <w:r w:rsidRPr="00B7218D">
        <w:t>A.</w:t>
      </w:r>
      <w:r w:rsidRPr="00B7218D">
        <w:tab/>
        <w:t>First, Commission Staff proposes to change PSE’s long-standing storm recovery mechanism. Commission Staff’s proposal would require PSE to experience a pretax write-off of over $</w:t>
      </w:r>
      <w:r w:rsidR="00884058">
        <w:t>60</w:t>
      </w:r>
      <w:r w:rsidR="00884058" w:rsidRPr="00B7218D">
        <w:t> </w:t>
      </w:r>
      <w:r w:rsidRPr="00B7218D">
        <w:t xml:space="preserve">million of storm damage costs that PSE currently defers in conformity with </w:t>
      </w:r>
      <w:r w:rsidR="00884058">
        <w:t>the mechanism</w:t>
      </w:r>
      <w:r w:rsidRPr="00B7218D">
        <w:t xml:space="preserve"> that has existed (and PSE has followed</w:t>
      </w:r>
      <w:r w:rsidR="008111CE">
        <w:t>)</w:t>
      </w:r>
      <w:r w:rsidRPr="00B7218D">
        <w:t xml:space="preserve"> for over a decade. Although Commission Staff’s testimony expresses dissatisfaction with the long-standing storm recovery mechanism, Commission Staff’s testimony fails to provide a clear, understandable rationale for the recommended change.</w:t>
      </w:r>
      <w:r w:rsidRPr="00B7218D">
        <w:rPr>
          <w:position w:val="6"/>
          <w:sz w:val="16"/>
        </w:rPr>
        <w:footnoteReference w:id="22"/>
      </w:r>
      <w:r w:rsidRPr="00B7218D">
        <w:t xml:space="preserve"> PSE and the investing public depend on the Commission to establish clear and consistent regulatory policy (i.e., clearly established policy</w:t>
      </w:r>
      <w:r w:rsidR="00446617">
        <w:t xml:space="preserve"> </w:t>
      </w:r>
      <w:r w:rsidRPr="00B7218D">
        <w:t xml:space="preserve">along with rules and procedures that are understood and implemented on a consistent basis). If that is not the case, uncertainty and risk (both perceived and </w:t>
      </w:r>
      <w:r w:rsidRPr="00B7218D">
        <w:lastRenderedPageBreak/>
        <w:t>real) will increase for all. In short, Commission Staff’s proposed change to PSE’s long-standing storm damage accounting and regulatory recovery mechanism represents punitive and ill-advised regulatory policy counsel that incrementally increases PSE’s risk well beyond the confines of regulatory storm accounting.</w:t>
      </w:r>
    </w:p>
    <w:p w14:paraId="031BF14C" w14:textId="77777777" w:rsidR="00B7218D" w:rsidRPr="00B7218D" w:rsidRDefault="00B7218D" w:rsidP="001564E7">
      <w:pPr>
        <w:spacing w:before="120" w:after="120" w:line="480" w:lineRule="auto"/>
        <w:ind w:left="720" w:firstLine="0"/>
      </w:pPr>
      <w:r w:rsidRPr="00B7218D">
        <w:t>Second, PSE’s deferred balance sheet accounts emanate directly from the accounting and regulatory prescriptions, rules, guidelines, and methodologies mandated by the Commission, the Federal Energy Regulatory Commission, and the various bodies that administer generally accepted accounting principles. PSE’s deferred accounting balance sheet accounts exist in full compliance with these mandates, and they fluctuate over time. Accordingly, it is not appropriate to evaluate the extent to which PSE utilizes deferred accounting based on dollar values at any given point in time.</w:t>
      </w:r>
    </w:p>
    <w:p w14:paraId="6204B2FE" w14:textId="77777777" w:rsidR="00B7218D" w:rsidRPr="00B7218D" w:rsidRDefault="00B7218D" w:rsidP="001564E7">
      <w:pPr>
        <w:spacing w:before="120" w:after="120" w:line="480" w:lineRule="auto"/>
        <w:ind w:left="720" w:firstLine="0"/>
      </w:pPr>
      <w:r w:rsidRPr="00B7218D">
        <w:t>Finally, Commission Staff collectively seeks to introduce the following incremental risks for PSE:</w:t>
      </w:r>
    </w:p>
    <w:p w14:paraId="6953B7EE" w14:textId="77777777" w:rsidR="00B7218D" w:rsidRPr="00B7218D" w:rsidRDefault="00B7218D" w:rsidP="001564E7">
      <w:pPr>
        <w:spacing w:after="280" w:line="240" w:lineRule="auto"/>
        <w:ind w:left="2160" w:right="720" w:hanging="720"/>
      </w:pPr>
      <w:r w:rsidRPr="00B7218D">
        <w:t>(i)</w:t>
      </w:r>
      <w:r w:rsidRPr="00B7218D">
        <w:tab/>
        <w:t>Commission Staff seeks to reduce PSE’s allowed return on equity by 60 basis points (from 9.8 percent to 9.2 percent);</w:t>
      </w:r>
      <w:r w:rsidRPr="00B7218D">
        <w:rPr>
          <w:position w:val="6"/>
          <w:sz w:val="16"/>
        </w:rPr>
        <w:footnoteReference w:id="23"/>
      </w:r>
    </w:p>
    <w:p w14:paraId="4BC40764" w14:textId="51F0EC68" w:rsidR="00B7218D" w:rsidRPr="00B7218D" w:rsidRDefault="00B7218D" w:rsidP="001564E7">
      <w:pPr>
        <w:spacing w:after="280" w:line="240" w:lineRule="auto"/>
        <w:ind w:left="2160" w:right="720" w:hanging="720"/>
      </w:pPr>
      <w:r w:rsidRPr="00B7218D">
        <w:t>(ii)</w:t>
      </w:r>
      <w:r w:rsidRPr="00B7218D">
        <w:tab/>
        <w:t>Commission Staff seeks to reject PSE</w:t>
      </w:r>
      <w:r w:rsidR="008111CE">
        <w:t>’s</w:t>
      </w:r>
      <w:r w:rsidRPr="00B7218D">
        <w:t xml:space="preserve"> request for a minor increase in its equity ratio (from 48.0 percent to 48.5 percent) to reflect the regulatory capital structure supporting PSE during the test year and the regulatory capital structure expected to support PSE during the rate year;</w:t>
      </w:r>
      <w:r w:rsidRPr="00B7218D">
        <w:rPr>
          <w:position w:val="6"/>
          <w:sz w:val="16"/>
        </w:rPr>
        <w:footnoteReference w:id="24"/>
      </w:r>
    </w:p>
    <w:p w14:paraId="3A5C70AE" w14:textId="77777777" w:rsidR="00B7218D" w:rsidRPr="00B7218D" w:rsidRDefault="00B7218D" w:rsidP="001564E7">
      <w:pPr>
        <w:spacing w:after="280" w:line="240" w:lineRule="auto"/>
        <w:ind w:left="2160" w:right="720" w:hanging="720"/>
      </w:pPr>
      <w:r w:rsidRPr="00B7218D">
        <w:lastRenderedPageBreak/>
        <w:t>(</w:t>
      </w:r>
      <w:r w:rsidR="00583F17">
        <w:t>iii</w:t>
      </w:r>
      <w:r w:rsidRPr="00B7218D">
        <w:t>)</w:t>
      </w:r>
      <w:r w:rsidRPr="00B7218D">
        <w:tab/>
        <w:t>Commission Staff seeks to reject PSE’s pro forma adjustment and its method for recovering costs related to PSE’s participation in the CAISO Energy Imbalance Market and proposes the recovery of all such costs as a line item adjustment to actual costs in the Power Cost Adjustment process;</w:t>
      </w:r>
      <w:r w:rsidRPr="00B7218D">
        <w:rPr>
          <w:position w:val="6"/>
          <w:sz w:val="16"/>
        </w:rPr>
        <w:footnoteReference w:id="25"/>
      </w:r>
    </w:p>
    <w:p w14:paraId="075B8587" w14:textId="77777777" w:rsidR="00B7218D" w:rsidRPr="00B7218D" w:rsidRDefault="00B7218D" w:rsidP="001564E7">
      <w:pPr>
        <w:spacing w:after="280" w:line="240" w:lineRule="auto"/>
        <w:ind w:left="2160" w:right="720" w:hanging="720"/>
      </w:pPr>
      <w:r w:rsidRPr="00B7218D">
        <w:t>(</w:t>
      </w:r>
      <w:r w:rsidR="00583F17">
        <w:t>i</w:t>
      </w:r>
      <w:r w:rsidRPr="00B7218D">
        <w:t>v)</w:t>
      </w:r>
      <w:r w:rsidRPr="00B7218D">
        <w:tab/>
        <w:t>Commission Staff seeks to summarily reject PSE’s costs to comply with the Washington State Department of Ecology’s Clean Air Rule;</w:t>
      </w:r>
      <w:r w:rsidRPr="00B7218D">
        <w:rPr>
          <w:position w:val="6"/>
          <w:sz w:val="16"/>
        </w:rPr>
        <w:footnoteReference w:id="26"/>
      </w:r>
    </w:p>
    <w:p w14:paraId="5D1E3600" w14:textId="4353F1EC" w:rsidR="00B7218D" w:rsidRPr="00B7218D" w:rsidRDefault="00B7218D" w:rsidP="001564E7">
      <w:pPr>
        <w:spacing w:after="280" w:line="240" w:lineRule="auto"/>
        <w:ind w:left="2160" w:right="720" w:hanging="720"/>
      </w:pPr>
      <w:r w:rsidRPr="00B7218D">
        <w:t>(v)</w:t>
      </w:r>
      <w:r w:rsidRPr="00B7218D">
        <w:tab/>
        <w:t>Commission Staff seeks to reject the placement of certain regulatory liabilities (i.e., Treasury Grants and wind-related Production Tax Credits) into retirement accounts to offset decommissioning and remediation costs for Colstrip Units 1 </w:t>
      </w:r>
      <w:r w:rsidR="009865F1">
        <w:t>and</w:t>
      </w:r>
      <w:r w:rsidRPr="00B7218D">
        <w:t> 2 as authorized by Chapter 80.84 RCW (Transition of Eligible Coal Units);</w:t>
      </w:r>
      <w:r w:rsidRPr="00B7218D">
        <w:rPr>
          <w:position w:val="6"/>
          <w:sz w:val="16"/>
        </w:rPr>
        <w:footnoteReference w:id="27"/>
      </w:r>
      <w:r w:rsidRPr="00B7218D">
        <w:t xml:space="preserve"> and</w:t>
      </w:r>
    </w:p>
    <w:p w14:paraId="6B0A9369" w14:textId="1A417E90" w:rsidR="00B7218D" w:rsidRPr="00B7218D" w:rsidRDefault="00B7218D" w:rsidP="001564E7">
      <w:pPr>
        <w:spacing w:after="280" w:line="240" w:lineRule="auto"/>
        <w:ind w:left="2160" w:right="720" w:hanging="720"/>
      </w:pPr>
      <w:r w:rsidRPr="00B7218D">
        <w:t>(vi)</w:t>
      </w:r>
      <w:r w:rsidRPr="00B7218D">
        <w:tab/>
        <w:t>Commission Staff seeks to (a) re-value the plant in service for Colstrip Units 1 </w:t>
      </w:r>
      <w:r w:rsidR="009865F1">
        <w:t>and</w:t>
      </w:r>
      <w:r w:rsidRPr="00B7218D">
        <w:t> 2 by ordering a $127.6 million increase to the reserve for accumulated depreciation and (b) amortize the $127.6 million adjustment to accumulated reserve over 18 years.</w:t>
      </w:r>
      <w:r w:rsidRPr="00B7218D">
        <w:rPr>
          <w:position w:val="6"/>
          <w:sz w:val="16"/>
        </w:rPr>
        <w:footnoteReference w:id="28"/>
      </w:r>
    </w:p>
    <w:p w14:paraId="0FC61530" w14:textId="77777777" w:rsidR="00B7218D" w:rsidRPr="00B7218D" w:rsidRDefault="00B7218D" w:rsidP="001564E7">
      <w:pPr>
        <w:spacing w:before="120" w:after="120" w:line="480" w:lineRule="auto"/>
        <w:ind w:left="720" w:firstLine="0"/>
        <w:rPr>
          <w:b/>
        </w:rPr>
      </w:pPr>
      <w:r w:rsidRPr="00B7218D">
        <w:t>These proposals, if adopted, would incrementally, substantially, and inordinately increase PSE’s risk profile.</w:t>
      </w:r>
    </w:p>
    <w:p w14:paraId="3D279772"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w:t>
      </w:r>
      <w:r w:rsidR="008F44B8">
        <w:rPr>
          <w:rFonts w:eastAsia="SimSun"/>
          <w:b/>
        </w:rPr>
        <w:t>d</w:t>
      </w:r>
      <w:r w:rsidRPr="00B7218D">
        <w:rPr>
          <w:rFonts w:eastAsia="SimSun"/>
          <w:b/>
        </w:rPr>
        <w:t xml:space="preserve"> to Commission Staff’s apparent frustration in PSE’s reference to the “traditional balance” in a utility’s opportunity to earn its return?</w:t>
      </w:r>
    </w:p>
    <w:p w14:paraId="32E9D56B" w14:textId="77777777" w:rsidR="00B7218D" w:rsidRPr="00B7218D" w:rsidRDefault="00B7218D" w:rsidP="001564E7">
      <w:pPr>
        <w:spacing w:before="120" w:after="120" w:line="480" w:lineRule="auto"/>
        <w:ind w:left="720" w:hanging="720"/>
      </w:pPr>
      <w:r w:rsidRPr="00B7218D">
        <w:t>A.</w:t>
      </w:r>
      <w:r w:rsidRPr="00B7218D">
        <w:tab/>
        <w:t xml:space="preserve">Commission Staff’s testimony discussing the direct testimony’s reference to “traditional balance” in a utility’s opportunity to earn its return appears to reveal </w:t>
      </w:r>
      <w:r w:rsidRPr="00B7218D">
        <w:lastRenderedPageBreak/>
        <w:t>some frustration on the part of Commission Staff. PSE did not intend to upset Commission Staff or intend that this phrase be interpreted as a criticism of the Commission or any stakeholder. Instead, the reference to a “traditional balance” in a utility’s opportunity to earn its return was simply a reference to the long-standing legal constructs that regulation should afford a utility an opportunity (and not a guarantee) to earn a return commensurate with returns that could be expect</w:t>
      </w:r>
      <w:r w:rsidR="008F44B8">
        <w:t>ed</w:t>
      </w:r>
      <w:r w:rsidRPr="00B7218D">
        <w:t xml:space="preserve"> on investments of similar risk.</w:t>
      </w:r>
      <w:r w:rsidRPr="00B7218D">
        <w:rPr>
          <w:position w:val="6"/>
          <w:sz w:val="16"/>
        </w:rPr>
        <w:footnoteReference w:id="29"/>
      </w:r>
      <w:r w:rsidRPr="00B7218D">
        <w:t xml:space="preserve"> PSE only meant to request that the Commission implement regulatory policies that would allow PSE the possibility to earn its allowed rate of return and allowed return on equity.</w:t>
      </w:r>
    </w:p>
    <w:p w14:paraId="4FAD3E04" w14:textId="494320E1"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Can PSE cite a real example of where it has not been easy</w:t>
      </w:r>
      <w:r w:rsidR="008111CE">
        <w:rPr>
          <w:rFonts w:eastAsia="SimSun"/>
          <w:b/>
        </w:rPr>
        <w:t>,</w:t>
      </w:r>
      <w:r w:rsidRPr="00B7218D">
        <w:rPr>
          <w:rFonts w:eastAsia="SimSun"/>
          <w:b/>
        </w:rPr>
        <w:t xml:space="preserve"> but possible</w:t>
      </w:r>
      <w:r w:rsidR="008111CE">
        <w:rPr>
          <w:rFonts w:eastAsia="SimSun"/>
          <w:b/>
        </w:rPr>
        <w:t>,</w:t>
      </w:r>
      <w:r w:rsidRPr="00B7218D">
        <w:rPr>
          <w:rFonts w:eastAsia="SimSun"/>
          <w:b/>
        </w:rPr>
        <w:t xml:space="preserve"> for PSE to earn the allowed rate of return and allowed return on equity?</w:t>
      </w:r>
    </w:p>
    <w:p w14:paraId="4430F89E" w14:textId="043B65F3" w:rsidR="00B7218D" w:rsidRPr="00B7218D" w:rsidRDefault="00B7218D" w:rsidP="001564E7">
      <w:pPr>
        <w:spacing w:before="120" w:after="120" w:line="480" w:lineRule="auto"/>
        <w:ind w:left="720" w:hanging="720"/>
      </w:pPr>
      <w:r w:rsidRPr="00B7218D">
        <w:t>A.</w:t>
      </w:r>
      <w:r w:rsidRPr="00B7218D">
        <w:tab/>
        <w:t>Yes. The years during the rate plan provide an excellent example of where it has not been easy</w:t>
      </w:r>
      <w:r w:rsidR="008111CE">
        <w:t>,</w:t>
      </w:r>
      <w:r w:rsidRPr="00B7218D">
        <w:t xml:space="preserve"> but possible</w:t>
      </w:r>
      <w:r w:rsidR="008111CE">
        <w:t>,</w:t>
      </w:r>
      <w:r w:rsidRPr="00B7218D">
        <w:t xml:space="preserve"> for PSE to earn the allowed rate of return and allowed return on equity. As part of the multi-year rate plan, the Commission embarked on its innovative experiment to approve the revenue decoupling mechanism, an expedited rate filing, and K-factor rate increases), and the Commission expected that PSE would vigorously pursue cost efficiencies to achieve its allowed rate of return and allowed return on equity. Table </w:t>
      </w:r>
      <w:r w:rsidR="00C01C50">
        <w:t xml:space="preserve">1 </w:t>
      </w:r>
      <w:r w:rsidRPr="00B7218D">
        <w:t xml:space="preserve">and </w:t>
      </w:r>
      <w:r w:rsidR="00C01C50" w:rsidRPr="00B7218D">
        <w:t>Table </w:t>
      </w:r>
      <w:r w:rsidR="00C01C50">
        <w:t xml:space="preserve">2 provided </w:t>
      </w:r>
      <w:r w:rsidRPr="00B7218D">
        <w:t>earlier in this rebuttal testimony</w:t>
      </w:r>
      <w:r w:rsidR="00C01C50">
        <w:t xml:space="preserve"> </w:t>
      </w:r>
      <w:r w:rsidRPr="00B7218D">
        <w:t xml:space="preserve">demonstrate the traditional balance achieved by the rate plan. </w:t>
      </w:r>
    </w:p>
    <w:p w14:paraId="25BEA515" w14:textId="3BFDE625" w:rsidR="00B7218D" w:rsidRPr="00B7218D" w:rsidRDefault="00B7218D" w:rsidP="001564E7">
      <w:pPr>
        <w:spacing w:before="120" w:after="120" w:line="480" w:lineRule="auto"/>
        <w:ind w:left="720" w:firstLine="0"/>
      </w:pPr>
      <w:r w:rsidRPr="00B7218D">
        <w:lastRenderedPageBreak/>
        <w:t>PSE’s adjusted actual returns for both electric and gas operations follow (sometimes exceeding, but mostly trailing) PSE’s allowed rate of return and allowed return on equity in a balanced manner. In other words, PSE neither over- nor</w:t>
      </w:r>
      <w:r w:rsidR="00446617">
        <w:t xml:space="preserve"> </w:t>
      </w:r>
      <w:r w:rsidRPr="00B7218D">
        <w:t>under-earns its allowed rate of return and allowed return in any material way. This is exactly what should happen when regulatory mechanisms (whether innovative, experimental, or traditional) combine with a utility’s cost-effectiveness and efficiency efforts to provide an opportunity (but not a guarantee) to earn the allowed rate of return and the allowed return on equity.</w:t>
      </w:r>
    </w:p>
    <w:p w14:paraId="1DCFEEBF"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 Commission Staff’s policies in this general rate case “thread the needle of reasonable outcomes both temporal and practical” and “carefully balance the risks for PSE and its customers”?</w:t>
      </w:r>
    </w:p>
    <w:p w14:paraId="4D06E03D" w14:textId="1C3FB99C" w:rsidR="00B7218D" w:rsidRPr="00B7218D" w:rsidRDefault="00B7218D" w:rsidP="001564E7">
      <w:pPr>
        <w:spacing w:before="120" w:after="120" w:line="480" w:lineRule="auto"/>
        <w:ind w:left="720" w:hanging="720"/>
      </w:pPr>
      <w:r w:rsidRPr="00B7218D">
        <w:t>A.</w:t>
      </w:r>
      <w:r w:rsidRPr="00B7218D">
        <w:tab/>
        <w:t>No. Commission Staff’s policies in this general rate case neither “thread the needle of reasonable outcomes both temporal and practical” nor “carefully balance the risks for PSE and its customers</w:t>
      </w:r>
      <w:r w:rsidR="008111CE">
        <w:t>.</w:t>
      </w:r>
      <w:r w:rsidRPr="00B7218D">
        <w:t xml:space="preserve">” Commission Staff’s policy testimony appears to show an unwavering support for the continuation of regulatory lag and attrition that the rate plan effectively mitigated. Commission Staff’s policies, if adopted, would introduce PSE to numerous incremental risks that substantially increase PSE’s risk profile, which Commission Staff purportedly justifies based on PSE’s successful financial performance during the rate plan. It would appear that Commission Staff not only wants to eliminate PSE’s opportunity to earn its allowed return benchmarks but </w:t>
      </w:r>
      <w:r w:rsidR="00A064C1">
        <w:t xml:space="preserve">Commission Staff </w:t>
      </w:r>
      <w:r w:rsidRPr="00B7218D">
        <w:t xml:space="preserve">will not be satisfied until it is impossible for PSE to do so. </w:t>
      </w:r>
    </w:p>
    <w:p w14:paraId="1BD56F9C" w14:textId="77777777" w:rsidR="00B7218D" w:rsidRPr="00B7218D" w:rsidRDefault="00B7218D" w:rsidP="001564E7">
      <w:pPr>
        <w:pStyle w:val="Heading1"/>
      </w:pPr>
      <w:bookmarkStart w:id="22" w:name="_Toc488216549"/>
      <w:bookmarkStart w:id="23" w:name="_Toc489790214"/>
      <w:bookmarkStart w:id="24" w:name="_Toc489949673"/>
      <w:r w:rsidRPr="00B7218D">
        <w:lastRenderedPageBreak/>
        <w:t>IV.</w:t>
      </w:r>
      <w:r w:rsidRPr="00B7218D">
        <w:tab/>
        <w:t>PSE’S CASE FAIRLY BALANCES CUSTOMERS’ INTERESTS IN REASONABLE COSTS AND RELIABLE SERVICE AND PSE’S FINANCIAL NEEDS</w:t>
      </w:r>
      <w:bookmarkEnd w:id="22"/>
      <w:bookmarkEnd w:id="23"/>
      <w:bookmarkEnd w:id="24"/>
    </w:p>
    <w:p w14:paraId="66277947" w14:textId="77777777" w:rsidR="00B7218D" w:rsidRPr="00B7218D" w:rsidRDefault="00B7218D" w:rsidP="001564E7">
      <w:pPr>
        <w:pStyle w:val="Heading2"/>
      </w:pPr>
      <w:bookmarkStart w:id="25" w:name="_Toc488216550"/>
      <w:bookmarkStart w:id="26" w:name="_Toc489790215"/>
      <w:bookmarkStart w:id="27" w:name="_Toc489949674"/>
      <w:r w:rsidRPr="00B7218D">
        <w:t>A.</w:t>
      </w:r>
      <w:r w:rsidRPr="00B7218D">
        <w:tab/>
        <w:t>The Commission Should Adopt PSE’s Proposed Electric Cost Recovery Mechanism</w:t>
      </w:r>
      <w:bookmarkEnd w:id="25"/>
      <w:bookmarkEnd w:id="26"/>
      <w:bookmarkEnd w:id="27"/>
    </w:p>
    <w:p w14:paraId="13648F2F"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Please describe PSE’s proposed Electric Cost Recovery Mechanism.</w:t>
      </w:r>
    </w:p>
    <w:p w14:paraId="13D5B141" w14:textId="019F7E16" w:rsidR="00B7218D" w:rsidRPr="00B7218D" w:rsidRDefault="00B7218D" w:rsidP="001564E7">
      <w:pPr>
        <w:spacing w:before="120" w:after="120" w:line="480" w:lineRule="auto"/>
        <w:ind w:left="720" w:hanging="720"/>
      </w:pPr>
      <w:r w:rsidRPr="00B7218D">
        <w:t>A.</w:t>
      </w:r>
      <w:r w:rsidRPr="00B7218D">
        <w:tab/>
        <w:t>PSE has proposed an Electric Cost Recovery Mechanism that is based, in part, on the framework set forth by the Commission in the natural gas Accelerated Replacement Policy. An Electric Reliability Plan and associated Cost Recovery Mechanism would allow PSE to improve electric reliability and resilience by investing in certain targeted work beyond historic levels of spending, in order to prevent outages that adversely affect PSE’s customers. This process would allow transparency and a predictable roadmap that drives construction and work efficiencies that minimize customer impacts (i.e., projects can be coordinated to address replacement of assets more holistically within an area in order to prevent multiple planned outages which occur when replacing failed sections incrementally). More importantly, it would allow PSE to proactively address deteriorating underground direct-bury high</w:t>
      </w:r>
      <w:r w:rsidR="00B60D3C">
        <w:t xml:space="preserve"> </w:t>
      </w:r>
      <w:r w:rsidRPr="00B7218D">
        <w:t>molecular</w:t>
      </w:r>
      <w:r w:rsidR="00B60D3C">
        <w:t xml:space="preserve"> </w:t>
      </w:r>
      <w:r w:rsidRPr="00B7218D">
        <w:t>weight cable before an outage impacts customers and to more aggressively address infrastructure failures or limitations of PSE’s worst performing distribution.</w:t>
      </w:r>
    </w:p>
    <w:p w14:paraId="07FDC06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Do other parties support PSE’s proposed Electric Cost Recovery Mechanism?</w:t>
      </w:r>
    </w:p>
    <w:p w14:paraId="2CCB6605" w14:textId="77777777" w:rsidR="00B7218D" w:rsidRPr="00B7218D" w:rsidRDefault="00B7218D" w:rsidP="001564E7">
      <w:pPr>
        <w:spacing w:before="120" w:after="120" w:line="480" w:lineRule="auto"/>
        <w:ind w:left="720" w:hanging="720"/>
      </w:pPr>
      <w:r w:rsidRPr="00B7218D">
        <w:t>A.</w:t>
      </w:r>
      <w:r w:rsidRPr="00B7218D">
        <w:tab/>
        <w:t>No. Each of Commission Staff, Public Counsel, ICNU, and Kroger has recommended that the Commission reject PSE’s proposed Electric Cost Recovery Mechanism. Commission Staff asserts that the traditional ratemaking processes address recovery of such costs okay.</w:t>
      </w:r>
      <w:r w:rsidRPr="00B7218D">
        <w:rPr>
          <w:position w:val="6"/>
          <w:sz w:val="16"/>
        </w:rPr>
        <w:footnoteReference w:id="30"/>
      </w:r>
      <w:r w:rsidRPr="00B7218D">
        <w:t xml:space="preserve"> Similarly, Public Counsel and Kroger assert that the proposed Electric Cost Recovery Mechanism would be a departure from traditional ratemaking.</w:t>
      </w:r>
      <w:r w:rsidRPr="00B7218D">
        <w:rPr>
          <w:position w:val="6"/>
          <w:sz w:val="16"/>
        </w:rPr>
        <w:footnoteReference w:id="31"/>
      </w:r>
      <w:r w:rsidRPr="00B7218D">
        <w:t xml:space="preserve"> Finally, ICNU asserts that the costs that the proposed Electric Recovery Mechanism would recover are not sufficiently large or volatile to justify the use of a rider.</w:t>
      </w:r>
      <w:r w:rsidRPr="00B7218D">
        <w:rPr>
          <w:position w:val="6"/>
          <w:sz w:val="16"/>
        </w:rPr>
        <w:footnoteReference w:id="32"/>
      </w:r>
    </w:p>
    <w:p w14:paraId="12159A8C" w14:textId="75E2D90D"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 xml:space="preserve">How does PSE respond to assertions that the traditional ratemaking </w:t>
      </w:r>
      <w:r w:rsidR="00E20D76">
        <w:rPr>
          <w:rFonts w:eastAsia="SimSun"/>
          <w:b/>
        </w:rPr>
        <w:t xml:space="preserve">model adequately </w:t>
      </w:r>
      <w:r w:rsidRPr="00B7218D">
        <w:rPr>
          <w:rFonts w:eastAsia="SimSun"/>
          <w:b/>
        </w:rPr>
        <w:t>address</w:t>
      </w:r>
      <w:r w:rsidR="00E20D76">
        <w:rPr>
          <w:rFonts w:eastAsia="SimSun"/>
          <w:b/>
        </w:rPr>
        <w:t>es</w:t>
      </w:r>
      <w:r w:rsidRPr="00B7218D">
        <w:rPr>
          <w:rFonts w:eastAsia="SimSun"/>
          <w:b/>
        </w:rPr>
        <w:t xml:space="preserve"> recovery of costs that PSE proposes to recover in the proposed Electric Cost Recovery Mechanism?</w:t>
      </w:r>
    </w:p>
    <w:p w14:paraId="61D6A055" w14:textId="07944C3B" w:rsidR="00B7218D" w:rsidRPr="00B7218D" w:rsidRDefault="00B7218D" w:rsidP="001564E7">
      <w:pPr>
        <w:spacing w:before="120" w:after="120" w:line="480" w:lineRule="auto"/>
        <w:ind w:left="720" w:hanging="720"/>
      </w:pPr>
      <w:r w:rsidRPr="00B7218D">
        <w:t>A.</w:t>
      </w:r>
      <w:r w:rsidRPr="00B7218D">
        <w:tab/>
        <w:t xml:space="preserve">PSE embarked on its program to address worst-performing circuits and failing underground cable during calendar year 2017. For the six months ended June 30, 2017, PSE has already </w:t>
      </w:r>
      <w:r w:rsidR="00E02D4F">
        <w:t xml:space="preserve">spent </w:t>
      </w:r>
      <w:r w:rsidR="00672793">
        <w:t xml:space="preserve">over </w:t>
      </w:r>
      <w:r w:rsidRPr="00B7218D">
        <w:t>$38</w:t>
      </w:r>
      <w:r w:rsidR="006A1323">
        <w:t> </w:t>
      </w:r>
      <w:r w:rsidR="00672793">
        <w:t>million</w:t>
      </w:r>
      <w:r w:rsidRPr="00B7218D">
        <w:t xml:space="preserve"> to address worst-performing circuits and failing underground cable, and PSE </w:t>
      </w:r>
      <w:r w:rsidR="00672793">
        <w:t xml:space="preserve">expects to </w:t>
      </w:r>
      <w:r w:rsidRPr="00B7218D">
        <w:t xml:space="preserve">spend </w:t>
      </w:r>
      <w:r w:rsidR="00672793">
        <w:t xml:space="preserve">approximately $78 million in total for </w:t>
      </w:r>
      <w:r w:rsidRPr="00B7218D">
        <w:t>2017. These substantial expenditures clearly are not and will not be included in rates from this proceeding.</w:t>
      </w:r>
    </w:p>
    <w:p w14:paraId="01D1D4EB" w14:textId="453B6B03" w:rsidR="00B7218D" w:rsidRPr="00B7218D" w:rsidRDefault="00B7218D" w:rsidP="001564E7">
      <w:pPr>
        <w:spacing w:before="120" w:after="120" w:line="480" w:lineRule="auto"/>
        <w:ind w:left="720" w:firstLine="0"/>
      </w:pPr>
      <w:r w:rsidRPr="00B7218D">
        <w:lastRenderedPageBreak/>
        <w:t>Without the proposed Electric Cost Recovery Mechanism, PSE will be subject to significant regulatory lag until its next general rate case or expedited rate filing. Absent an Electric Cost Recovery Mechanism, the regulatory lag that PSE would experience would require PSE to file for rate relief more frequently, through either</w:t>
      </w:r>
      <w:r w:rsidR="00446617">
        <w:t xml:space="preserve"> </w:t>
      </w:r>
      <w:r w:rsidRPr="00B7218D">
        <w:t>a general rate case or an expedited rate filing.</w:t>
      </w:r>
    </w:p>
    <w:p w14:paraId="69E1EE65" w14:textId="77777777" w:rsidR="00B7218D" w:rsidRPr="00B7218D" w:rsidRDefault="00B7218D" w:rsidP="001564E7">
      <w:pPr>
        <w:spacing w:before="120" w:after="120" w:line="480" w:lineRule="auto"/>
        <w:ind w:left="720" w:firstLine="0"/>
      </w:pPr>
      <w:r w:rsidRPr="00B7218D">
        <w:t>Finally, the Electric Cost Recovery Mechanism takes advantage of one of the significant benefits from the rate plan: it imparts smaller and more predictable annual rate increases on customers and eliminates the need to include much larger accumulated amounts of rate base and depreciation expense in a general rate case or expedited rate filing. For these reasons, the Electric Cost Recovery Mechanism is a more reasonable and effective cost recovery approach.</w:t>
      </w:r>
    </w:p>
    <w:p w14:paraId="1B838D49" w14:textId="2A62B690"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respond to assertions that the costs the proposed Electric Recovery Mechanism would recover are not sufficiently large or volatile to justify the use of a rider?</w:t>
      </w:r>
    </w:p>
    <w:p w14:paraId="20CFE5EA" w14:textId="5F3D2AF4" w:rsidR="00B7218D" w:rsidRPr="00B7218D" w:rsidRDefault="00B7218D" w:rsidP="001564E7">
      <w:pPr>
        <w:spacing w:before="120" w:after="120" w:line="480" w:lineRule="auto"/>
        <w:ind w:left="720" w:hanging="720"/>
      </w:pPr>
      <w:r w:rsidRPr="00B7218D">
        <w:t>A.</w:t>
      </w:r>
      <w:r w:rsidRPr="00B7218D">
        <w:tab/>
        <w:t xml:space="preserve">It is irrefutable that the Electric Reliability Plan is a material and substantial program in terms of dollars spending. As previously stated, PSE intends to spend </w:t>
      </w:r>
      <w:r w:rsidR="00E02D4F">
        <w:t xml:space="preserve">over </w:t>
      </w:r>
      <w:r w:rsidRPr="00B7218D">
        <w:t>$</w:t>
      </w:r>
      <w:r w:rsidR="00672793">
        <w:t>7</w:t>
      </w:r>
      <w:r w:rsidRPr="00B7218D">
        <w:t>8</w:t>
      </w:r>
      <w:r w:rsidR="00E02D4F">
        <w:t xml:space="preserve"> million </w:t>
      </w:r>
      <w:r w:rsidRPr="00B7218D">
        <w:t xml:space="preserve">on the Electric Reliability Plan in 2017. That amount exceeds what PSE will spend through the </w:t>
      </w:r>
      <w:r w:rsidRPr="00E02D4F">
        <w:t xml:space="preserve">Gas Cost Recovery Mechanism </w:t>
      </w:r>
      <w:r w:rsidR="00E02D4F">
        <w:t>in 2017.</w:t>
      </w:r>
    </w:p>
    <w:p w14:paraId="62B404EB" w14:textId="77777777" w:rsidR="00B7218D" w:rsidRPr="00B7218D" w:rsidRDefault="00B7218D" w:rsidP="001564E7">
      <w:pPr>
        <w:spacing w:before="120" w:after="120" w:line="480" w:lineRule="auto"/>
        <w:ind w:left="720" w:firstLine="0"/>
      </w:pPr>
      <w:r w:rsidRPr="00B7218D">
        <w:t xml:space="preserve">In some cases, volatility is a factor in determining whether it is appropriate to establish a tracking mechanism. PSE’s gas adjustment clause and property tax trackers are examples of where volatility matters. However, this is not always the case. For example, expenditures that are processed through PSE’s conservation </w:t>
      </w:r>
      <w:r w:rsidRPr="00B7218D">
        <w:lastRenderedPageBreak/>
        <w:t>tracker have been quite stable over the recent past. Nevertheless, PSE’s conservation tracker is a very significant program in terms of dollars spend, approximately $110 million per year. Recovering these significant costs through a tracking mechanism ensures dollar-for-dollar recovery, which protects customers by eliminating the risk that PSE would over-collect these costs.</w:t>
      </w:r>
    </w:p>
    <w:p w14:paraId="2F2D8D14" w14:textId="77777777" w:rsidR="00B7218D" w:rsidRPr="00B7218D" w:rsidRDefault="00B7218D" w:rsidP="001564E7">
      <w:pPr>
        <w:spacing w:before="120" w:after="120" w:line="480" w:lineRule="auto"/>
        <w:ind w:left="720" w:firstLine="0"/>
      </w:pPr>
      <w:r w:rsidRPr="00B7218D">
        <w:t>In summary, the Electric Reliability Plan is substantial in terms of dollars spend, and considerations of volatility are less relevant to whether or not the Electric Recovery Mechanism should be approved.</w:t>
      </w:r>
    </w:p>
    <w:p w14:paraId="018A0CB7"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respond to assertions that the proposed Electric Cost Recovery Mechanism would be a departure from traditional ratemaking?</w:t>
      </w:r>
    </w:p>
    <w:p w14:paraId="281670CB" w14:textId="77777777" w:rsidR="00B7218D" w:rsidRPr="00B7218D" w:rsidRDefault="00B7218D" w:rsidP="001564E7">
      <w:pPr>
        <w:spacing w:before="120" w:after="120" w:line="480" w:lineRule="auto"/>
        <w:ind w:left="720" w:hanging="720"/>
      </w:pPr>
      <w:r w:rsidRPr="00B7218D">
        <w:t>A.</w:t>
      </w:r>
      <w:r w:rsidRPr="00B7218D">
        <w:tab/>
        <w:t>As previously recognized by the Commission, “[c]</w:t>
      </w:r>
      <w:proofErr w:type="spellStart"/>
      <w:r w:rsidRPr="00B7218D">
        <w:t>ircumstances</w:t>
      </w:r>
      <w:proofErr w:type="spellEnd"/>
      <w:r w:rsidRPr="00B7218D">
        <w:t xml:space="preserve"> in the industry today and modern regulatory practice that have led to a proliferation of risk reducing mechanisms being in place for utilities throughout the United States”</w:t>
      </w:r>
      <w:r w:rsidRPr="00B7218D">
        <w:rPr>
          <w:position w:val="6"/>
          <w:sz w:val="16"/>
        </w:rPr>
        <w:footnoteReference w:id="33"/>
      </w:r>
      <w:r w:rsidRPr="00B7218D">
        <w:t xml:space="preserve"> Accordingly, what was traditional ratemaking in the 1970s or 1980s (when the existence of cost recovery mechanisms outside a general rate case were not prevalent) is not representative of how traditional ratemaking would be viewed today (when the existence of cost recovery mechanisms outside a general rate case is quite prevalent). Viewed in this context, the establishment of the Electric Cost Recovery Mechanism is not a departure from today’s ratemaking practices. </w:t>
      </w:r>
    </w:p>
    <w:p w14:paraId="7FF1EAF1" w14:textId="77777777" w:rsidR="00561D28" w:rsidRPr="00B7218D" w:rsidRDefault="00561D28" w:rsidP="001564E7">
      <w:pPr>
        <w:pStyle w:val="question"/>
      </w:pPr>
      <w:r w:rsidRPr="00B7218D">
        <w:lastRenderedPageBreak/>
        <w:t>Q.</w:t>
      </w:r>
      <w:r w:rsidRPr="00B7218D">
        <w:tab/>
      </w:r>
      <w:r w:rsidR="00583F17">
        <w:t xml:space="preserve">Public Counsel </w:t>
      </w:r>
      <w:r>
        <w:t>cites the reduction of $178 million in capital spending from 2012 to 2016 and suggests</w:t>
      </w:r>
      <w:r w:rsidR="0013782D">
        <w:t xml:space="preserve"> there is ample capability for PSE to fund the ERP through traditional ratemaking.</w:t>
      </w:r>
      <w:r w:rsidR="00583F17">
        <w:rPr>
          <w:rStyle w:val="FootnoteReference"/>
          <w:b w:val="0"/>
        </w:rPr>
        <w:footnoteReference w:id="34"/>
      </w:r>
      <w:r w:rsidR="0013782D">
        <w:t xml:space="preserve"> Do</w:t>
      </w:r>
      <w:r w:rsidR="00583F17">
        <w:t>es</w:t>
      </w:r>
      <w:r w:rsidR="0013782D">
        <w:t xml:space="preserve"> </w:t>
      </w:r>
      <w:r w:rsidR="00583F17">
        <w:t xml:space="preserve">PSE </w:t>
      </w:r>
      <w:r w:rsidR="0013782D">
        <w:t xml:space="preserve">agree? </w:t>
      </w:r>
    </w:p>
    <w:p w14:paraId="7ECF2B07" w14:textId="58A976B9" w:rsidR="00561D28" w:rsidRDefault="0013782D" w:rsidP="001564E7">
      <w:pPr>
        <w:pStyle w:val="Answer0"/>
        <w:rPr>
          <w:rFonts w:eastAsia="SimSun"/>
          <w:b/>
        </w:rPr>
      </w:pPr>
      <w:r>
        <w:t>A.</w:t>
      </w:r>
      <w:r>
        <w:tab/>
        <w:t xml:space="preserve">No. </w:t>
      </w:r>
      <w:r w:rsidR="00DF7A65">
        <w:t xml:space="preserve">Public Counsel </w:t>
      </w:r>
      <w:r>
        <w:t>inappropriately references only a portion of the PSE’s capital expenditures, which categorically will shift and fluctuate year-to-year. Accordingly</w:t>
      </w:r>
      <w:r w:rsidR="00DF7A65">
        <w:t>,</w:t>
      </w:r>
      <w:r>
        <w:t xml:space="preserve"> </w:t>
      </w:r>
      <w:r w:rsidR="00DF7A65">
        <w:t xml:space="preserve">Public Counsel’s </w:t>
      </w:r>
      <w:r w:rsidRPr="006464F2">
        <w:t>suggestion that there is ample cap</w:t>
      </w:r>
      <w:r w:rsidR="00870D38" w:rsidRPr="006464F2">
        <w:t>acity for PSE to fund the ERP is in</w:t>
      </w:r>
      <w:r w:rsidR="006464F2" w:rsidRPr="006464F2">
        <w:t>valid</w:t>
      </w:r>
      <w:r w:rsidR="00870D38" w:rsidRPr="006464F2">
        <w:t xml:space="preserve"> and based on</w:t>
      </w:r>
      <w:r w:rsidR="00870D38">
        <w:t xml:space="preserve"> incomplete analyses</w:t>
      </w:r>
      <w:r w:rsidR="00963498">
        <w:t xml:space="preserve">. In addition, </w:t>
      </w:r>
      <w:r w:rsidR="00DF7A65">
        <w:t>Public Counsel</w:t>
      </w:r>
      <w:r w:rsidR="00963498">
        <w:t xml:space="preserve"> refers</w:t>
      </w:r>
      <w:r w:rsidR="00DF7A65">
        <w:t xml:space="preserve"> to</w:t>
      </w:r>
      <w:r w:rsidR="00963498">
        <w:t xml:space="preserve"> PSE’</w:t>
      </w:r>
      <w:r w:rsidR="00870D38">
        <w:t xml:space="preserve">s April 2017 Bondholder Presentation to further support </w:t>
      </w:r>
      <w:r w:rsidR="00DF7A65">
        <w:t xml:space="preserve">the </w:t>
      </w:r>
      <w:r w:rsidR="00870D38">
        <w:t>suggestion by citing PSE’s “strong liquidity position, manageable debt profile and access to capital” and “access to more than $1.5 billion of liquidity</w:t>
      </w:r>
      <w:r w:rsidR="008111CE">
        <w:t>.</w:t>
      </w:r>
      <w:r w:rsidR="00870D38">
        <w:t>”</w:t>
      </w:r>
      <w:r w:rsidR="00DF7A65">
        <w:rPr>
          <w:rStyle w:val="FootnoteReference"/>
          <w:rFonts w:eastAsia="SimSun"/>
          <w:b/>
        </w:rPr>
        <w:footnoteReference w:id="35"/>
      </w:r>
      <w:r w:rsidR="00870D38">
        <w:t xml:space="preserve"> While all of this is true</w:t>
      </w:r>
      <w:r w:rsidR="00745058">
        <w:t>, it is simply not re</w:t>
      </w:r>
      <w:r w:rsidR="00AB4AF7">
        <w:t xml:space="preserve">levant or accurate support for </w:t>
      </w:r>
      <w:r w:rsidR="00DF7A65">
        <w:t xml:space="preserve">the </w:t>
      </w:r>
      <w:r w:rsidR="00745058">
        <w:t>contention that P</w:t>
      </w:r>
      <w:r w:rsidR="00AB4AF7">
        <w:t>SE</w:t>
      </w:r>
      <w:r w:rsidR="00745058">
        <w:t xml:space="preserve"> has ample capacity to fund the ERP </w:t>
      </w:r>
      <w:r w:rsidR="00745058" w:rsidRPr="00672793">
        <w:rPr>
          <w:i/>
        </w:rPr>
        <w:t>because it only refers to the debt side of the equation</w:t>
      </w:r>
      <w:r w:rsidR="00745058">
        <w:t xml:space="preserve">. </w:t>
      </w:r>
      <w:r w:rsidR="00E71FE6">
        <w:t xml:space="preserve">Public Counsel’s </w:t>
      </w:r>
      <w:r w:rsidR="00745058">
        <w:t>analysis does not address funding the equity component of the capital expenditure</w:t>
      </w:r>
      <w:r w:rsidR="00FD731B">
        <w:t>, and</w:t>
      </w:r>
      <w:r w:rsidR="00745058">
        <w:t xml:space="preserve"> </w:t>
      </w:r>
      <w:r w:rsidR="00E71FE6">
        <w:t>Public Counsel</w:t>
      </w:r>
      <w:r w:rsidR="00745058">
        <w:t xml:space="preserve"> </w:t>
      </w:r>
      <w:r w:rsidR="00E71FE6">
        <w:t>incorrectly</w:t>
      </w:r>
      <w:r w:rsidR="00745058">
        <w:t xml:space="preserve"> assumes that debt can be issued without </w:t>
      </w:r>
      <w:r w:rsidR="00AB4AF7">
        <w:t>constraint</w:t>
      </w:r>
      <w:r w:rsidR="00745058">
        <w:t>.</w:t>
      </w:r>
      <w:r w:rsidR="00AB4AF7">
        <w:t xml:space="preserve"> </w:t>
      </w:r>
      <w:r w:rsidR="00745058">
        <w:t xml:space="preserve">PSE </w:t>
      </w:r>
      <w:r w:rsidR="00E71FE6">
        <w:t>must</w:t>
      </w:r>
      <w:r w:rsidR="00745058">
        <w:t xml:space="preserve"> maintain the equity component of its capital structure</w:t>
      </w:r>
      <w:r w:rsidR="00FD731B">
        <w:t xml:space="preserve">, which does not allow </w:t>
      </w:r>
      <w:r w:rsidR="00672793">
        <w:t>PSE</w:t>
      </w:r>
      <w:r w:rsidR="00FD731B">
        <w:t xml:space="preserve"> to issue debt without constraint</w:t>
      </w:r>
      <w:r w:rsidR="00E71FE6">
        <w:t>.</w:t>
      </w:r>
      <w:r w:rsidR="00745058">
        <w:t xml:space="preserve"> </w:t>
      </w:r>
      <w:r w:rsidR="00E71FE6">
        <w:t>Finally</w:t>
      </w:r>
      <w:r w:rsidR="00745058">
        <w:t xml:space="preserve">, of the $1.5 billion of liquidity </w:t>
      </w:r>
      <w:r w:rsidR="00E71FE6">
        <w:t xml:space="preserve">to which Public Counsel </w:t>
      </w:r>
      <w:r w:rsidR="00745058">
        <w:t>refers, $800</w:t>
      </w:r>
      <w:r w:rsidR="00E71FE6">
        <w:t> </w:t>
      </w:r>
      <w:r w:rsidR="00745058">
        <w:t>million belon</w:t>
      </w:r>
      <w:r w:rsidR="00AB4AF7">
        <w:t>gs to Puget Energy and another $</w:t>
      </w:r>
      <w:r w:rsidR="00745058">
        <w:t>350</w:t>
      </w:r>
      <w:r w:rsidR="00E71FE6">
        <w:t> </w:t>
      </w:r>
      <w:r w:rsidR="00745058">
        <w:t>million is dedicated to P</w:t>
      </w:r>
      <w:r w:rsidR="00AB4AF7">
        <w:t>SE</w:t>
      </w:r>
      <w:r w:rsidR="00745058">
        <w:t xml:space="preserve"> hedging program. Accordingly, </w:t>
      </w:r>
      <w:r w:rsidR="00E71FE6">
        <w:t>Public Counsel</w:t>
      </w:r>
      <w:r w:rsidR="00745058">
        <w:t xml:space="preserve"> greatly overstates PSE’s liquidity position. </w:t>
      </w:r>
      <w:r w:rsidR="00FD731B">
        <w:t>For these reasons, Public Counsel’s arguments should be rejected.</w:t>
      </w:r>
    </w:p>
    <w:p w14:paraId="6CB29D5B"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What PSE witnesses provide testimony and exhibits that directly address arguments regarding PSE’s proposed Electric Recovery Mechanism?</w:t>
      </w:r>
    </w:p>
    <w:p w14:paraId="1B4BA8F7" w14:textId="77777777" w:rsidR="00B7218D" w:rsidRPr="00B7218D" w:rsidRDefault="00B7218D" w:rsidP="001564E7">
      <w:pPr>
        <w:spacing w:before="120" w:after="120" w:line="480" w:lineRule="auto"/>
        <w:ind w:left="720" w:hanging="720"/>
      </w:pPr>
      <w:r w:rsidRPr="00B7218D">
        <w:t>A.</w:t>
      </w:r>
      <w:r w:rsidRPr="00B7218D">
        <w:tab/>
        <w:t xml:space="preserve">Please see the </w:t>
      </w:r>
      <w:proofErr w:type="spellStart"/>
      <w:r w:rsidRPr="00B7218D">
        <w:t>Prefiled</w:t>
      </w:r>
      <w:proofErr w:type="spellEnd"/>
      <w:r w:rsidRPr="00B7218D">
        <w:t xml:space="preserve"> Rebuttal Testimony of Ms. Catherine A. Koch, </w:t>
      </w:r>
      <w:proofErr w:type="spellStart"/>
      <w:r w:rsidRPr="00B7218D">
        <w:t>Exh</w:t>
      </w:r>
      <w:proofErr w:type="spellEnd"/>
      <w:r w:rsidRPr="00B7218D">
        <w:t xml:space="preserve">. CAK-4T, for PSE’s response to </w:t>
      </w:r>
      <w:r w:rsidR="00E71FE6">
        <w:t>(i) </w:t>
      </w:r>
      <w:r w:rsidR="008B0F00" w:rsidRPr="008B0F00">
        <w:t>the need</w:t>
      </w:r>
      <w:r w:rsidR="00E71FE6">
        <w:t xml:space="preserve"> and </w:t>
      </w:r>
      <w:r w:rsidR="008B0F00" w:rsidRPr="008B0F00">
        <w:t>relevance of the Gas C</w:t>
      </w:r>
      <w:r w:rsidR="00E71FE6">
        <w:t>ost Recovery Mechanism</w:t>
      </w:r>
      <w:r w:rsidR="008B0F00" w:rsidRPr="008B0F00">
        <w:t xml:space="preserve"> and </w:t>
      </w:r>
      <w:r w:rsidR="00E71FE6">
        <w:t>(ii) </w:t>
      </w:r>
      <w:r w:rsidR="008B0F00" w:rsidRPr="008B0F00">
        <w:t>reliability performance and benefits</w:t>
      </w:r>
      <w:r w:rsidRPr="00B7218D">
        <w:t xml:space="preserve"> arguments regarding PSE’s proposed Electric Recovery Mechanism.</w:t>
      </w:r>
    </w:p>
    <w:p w14:paraId="409DDDC7" w14:textId="77777777" w:rsidR="00B7218D" w:rsidRPr="00B7218D" w:rsidRDefault="00B7218D" w:rsidP="001564E7">
      <w:pPr>
        <w:spacing w:before="120" w:after="120" w:line="480" w:lineRule="auto"/>
        <w:ind w:left="720" w:firstLine="0"/>
      </w:pPr>
      <w:r w:rsidRPr="00B7218D">
        <w:t xml:space="preserve">Please see the </w:t>
      </w:r>
      <w:proofErr w:type="spellStart"/>
      <w:r w:rsidRPr="00B7218D">
        <w:t>Prefiled</w:t>
      </w:r>
      <w:proofErr w:type="spellEnd"/>
      <w:r w:rsidRPr="00B7218D">
        <w:t xml:space="preserve"> Rebuttal Testimony of Ms. Katherine J. Barnard, </w:t>
      </w:r>
      <w:proofErr w:type="spellStart"/>
      <w:r w:rsidRPr="00B7218D">
        <w:t>Exh</w:t>
      </w:r>
      <w:proofErr w:type="spellEnd"/>
      <w:r w:rsidRPr="00B7218D">
        <w:t>. KJB-17T, for PSE’s response to accounting arguments regarding PSE’s proposed Electric Recovery Mechanism.</w:t>
      </w:r>
    </w:p>
    <w:p w14:paraId="0351F12A" w14:textId="77777777" w:rsidR="00B7218D" w:rsidRPr="003A68D9" w:rsidRDefault="00B7218D" w:rsidP="001564E7">
      <w:pPr>
        <w:pStyle w:val="Heading2"/>
      </w:pPr>
      <w:bookmarkStart w:id="28" w:name="_Toc488216551"/>
      <w:bookmarkStart w:id="29" w:name="_Toc489790216"/>
      <w:bookmarkStart w:id="30" w:name="_Toc489949675"/>
      <w:r w:rsidRPr="003A68D9">
        <w:t>B.</w:t>
      </w:r>
      <w:r w:rsidRPr="003A68D9">
        <w:tab/>
        <w:t>The Commission Should Establish a Formal Process for PSE’s Expedited Rate Filings</w:t>
      </w:r>
      <w:bookmarkEnd w:id="28"/>
      <w:bookmarkEnd w:id="29"/>
      <w:bookmarkEnd w:id="30"/>
    </w:p>
    <w:p w14:paraId="799D91E0" w14:textId="33C710D9"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 xml:space="preserve">Is an expedited rate filing a useful mechanism that the </w:t>
      </w:r>
      <w:r w:rsidR="00B60D3C">
        <w:rPr>
          <w:rFonts w:eastAsia="SimSun"/>
          <w:b/>
        </w:rPr>
        <w:t>C</w:t>
      </w:r>
      <w:r w:rsidRPr="00B7218D">
        <w:rPr>
          <w:rFonts w:eastAsia="SimSun"/>
          <w:b/>
        </w:rPr>
        <w:t>ommission should seriously consider?</w:t>
      </w:r>
    </w:p>
    <w:p w14:paraId="2CF2325E" w14:textId="5F9B541F" w:rsidR="00B7218D" w:rsidRPr="00B7218D" w:rsidRDefault="00B7218D" w:rsidP="001564E7">
      <w:pPr>
        <w:spacing w:before="120" w:after="120" w:line="480" w:lineRule="auto"/>
        <w:ind w:left="720" w:hanging="720"/>
      </w:pPr>
      <w:r w:rsidRPr="00B7218D">
        <w:t>A.</w:t>
      </w:r>
      <w:r w:rsidRPr="00B7218D">
        <w:tab/>
        <w:t xml:space="preserve">Yes. The expedited rate filing that was part of the rate plan was integral to mitigating the impacts of regulatory lag and attrition. As such, it contributed substantially to enhancing PSE’s ability to earn at or near its allowed benchmarks. As it operated in the rate plan, </w:t>
      </w:r>
      <w:proofErr w:type="spellStart"/>
      <w:r w:rsidRPr="00B7218D">
        <w:t>ERFs</w:t>
      </w:r>
      <w:proofErr w:type="spellEnd"/>
      <w:r w:rsidRPr="00B7218D">
        <w:t xml:space="preserve"> can be an efficient and useful mechanism to modestly update cost of service in a limited fashion in the future without the time cost and effort that accrues to all parties in a fully litigated </w:t>
      </w:r>
      <w:proofErr w:type="spellStart"/>
      <w:r w:rsidRPr="00B7218D">
        <w:t>GRC</w:t>
      </w:r>
      <w:proofErr w:type="spellEnd"/>
      <w:r w:rsidRPr="00B7218D">
        <w:t xml:space="preserve">. PSE encourages the </w:t>
      </w:r>
      <w:r w:rsidR="00B60D3C">
        <w:t>C</w:t>
      </w:r>
      <w:r w:rsidRPr="00B7218D">
        <w:t xml:space="preserve">ommission to establish an ERF mechanism with a clear set of rules and guidelines to eliminate the potential for additional regulatory burden like the </w:t>
      </w:r>
      <w:r w:rsidR="00B60D3C">
        <w:t xml:space="preserve">legal challenge </w:t>
      </w:r>
      <w:r w:rsidRPr="00B7218D">
        <w:t xml:space="preserve">that occurred after </w:t>
      </w:r>
      <w:r w:rsidR="00B60D3C">
        <w:t xml:space="preserve">approval of the ERF and </w:t>
      </w:r>
      <w:r w:rsidRPr="00B7218D">
        <w:t>rate plan.</w:t>
      </w:r>
    </w:p>
    <w:p w14:paraId="62831172"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What PSE witness provides testimony and exhibits that directly address arguments regarding PSE’s proposed Electric Recovery Mechanism?</w:t>
      </w:r>
    </w:p>
    <w:p w14:paraId="59411F53" w14:textId="77777777" w:rsidR="00B7218D" w:rsidRPr="00B7218D" w:rsidRDefault="00B7218D" w:rsidP="001564E7">
      <w:pPr>
        <w:spacing w:before="120" w:after="120" w:line="480" w:lineRule="auto"/>
        <w:ind w:left="720" w:hanging="720"/>
      </w:pPr>
      <w:r w:rsidRPr="00B7218D">
        <w:t>A.</w:t>
      </w:r>
      <w:r w:rsidRPr="00B7218D">
        <w:tab/>
        <w:t xml:space="preserve">Please see the </w:t>
      </w:r>
      <w:proofErr w:type="spellStart"/>
      <w:r w:rsidRPr="00B7218D">
        <w:t>Prefiled</w:t>
      </w:r>
      <w:proofErr w:type="spellEnd"/>
      <w:r w:rsidRPr="00B7218D">
        <w:t xml:space="preserve"> Rebuttal Testimony of Ms. Katherine J. Barnard, </w:t>
      </w:r>
      <w:proofErr w:type="spellStart"/>
      <w:r w:rsidRPr="00B7218D">
        <w:t>Exh</w:t>
      </w:r>
      <w:proofErr w:type="spellEnd"/>
      <w:r w:rsidRPr="00B7218D">
        <w:t>. KJB-17T, for PSE’s response to arguments regarding PSE’s expedited rate filing proposal.</w:t>
      </w:r>
    </w:p>
    <w:p w14:paraId="325B95FC" w14:textId="77777777" w:rsidR="00B7218D" w:rsidRPr="003A68D9" w:rsidRDefault="00B7218D" w:rsidP="001564E7">
      <w:pPr>
        <w:pStyle w:val="Heading2"/>
      </w:pPr>
      <w:bookmarkStart w:id="31" w:name="_Toc488216552"/>
      <w:bookmarkStart w:id="32" w:name="_Toc489790217"/>
      <w:bookmarkStart w:id="33" w:name="_Toc489949676"/>
      <w:r w:rsidRPr="003A68D9">
        <w:t>C.</w:t>
      </w:r>
      <w:r w:rsidRPr="003A68D9">
        <w:tab/>
        <w:t>The Commission Should Maintain the Current Storm Deferral Methodology, Which Has Worked Well Over the Past Decade</w:t>
      </w:r>
      <w:bookmarkEnd w:id="31"/>
      <w:bookmarkEnd w:id="32"/>
      <w:bookmarkEnd w:id="33"/>
    </w:p>
    <w:p w14:paraId="7E95AE6C"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Please summarize Commission Staff’s proposal regarding storm deferral accounting.</w:t>
      </w:r>
    </w:p>
    <w:p w14:paraId="4F51692F" w14:textId="58D0E02F" w:rsidR="00B7218D" w:rsidRPr="00B7218D" w:rsidRDefault="00B7218D" w:rsidP="001564E7">
      <w:pPr>
        <w:spacing w:before="120" w:after="120" w:line="480" w:lineRule="auto"/>
        <w:ind w:left="720" w:hanging="720"/>
      </w:pPr>
      <w:r w:rsidRPr="00B7218D">
        <w:t>A.</w:t>
      </w:r>
      <w:r w:rsidRPr="00B7218D">
        <w:tab/>
        <w:t xml:space="preserve">Commission Staff (i) accepts deferral of the January 2012 snowstorm and recommend that these costs be recovered over six years; (ii) rejects PSE’s proposed </w:t>
      </w:r>
      <w:r w:rsidR="00B60D3C">
        <w:t>amortization and recovery</w:t>
      </w:r>
      <w:r w:rsidRPr="00B7218D">
        <w:t xml:space="preserve"> of the storm damage deferrals “pending approval” in </w:t>
      </w:r>
      <w:proofErr w:type="spellStart"/>
      <w:r w:rsidRPr="00B7218D">
        <w:t>Exh</w:t>
      </w:r>
      <w:proofErr w:type="spellEnd"/>
      <w:r w:rsidRPr="00B7218D">
        <w:t>. KJB-14, Adj. 14.05, (iii) proposes to use an average of all the costs for storm damages in the past six years to establish a level of ongoing cost recovery</w:t>
      </w:r>
      <w:r w:rsidR="00B60D3C">
        <w:t>; and (iv) propose to discontinue the storm deferral mechanism that has been operating for more than a decade</w:t>
      </w:r>
      <w:r w:rsidRPr="00B7218D">
        <w:t>.</w:t>
      </w:r>
      <w:r w:rsidRPr="00B7218D">
        <w:rPr>
          <w:position w:val="6"/>
          <w:sz w:val="16"/>
        </w:rPr>
        <w:footnoteReference w:id="36"/>
      </w:r>
      <w:r w:rsidRPr="00B7218D">
        <w:t xml:space="preserve"> In effect, this proposal has the following effects:</w:t>
      </w:r>
    </w:p>
    <w:p w14:paraId="013D04F9" w14:textId="77777777" w:rsidR="00B7218D" w:rsidRPr="00B7218D" w:rsidRDefault="00B7218D" w:rsidP="001564E7">
      <w:pPr>
        <w:spacing w:after="280" w:line="240" w:lineRule="auto"/>
        <w:ind w:left="2160" w:right="720" w:hanging="720"/>
      </w:pPr>
      <w:r w:rsidRPr="00B7218D">
        <w:t>(i)</w:t>
      </w:r>
      <w:r w:rsidRPr="00B7218D">
        <w:tab/>
        <w:t>the proposal increases the average annual expense for normal storms to $18,769,050 (or $7,709,493 more than the test year level); and</w:t>
      </w:r>
    </w:p>
    <w:p w14:paraId="1CF47038" w14:textId="1B3A4DE5" w:rsidR="00B7218D" w:rsidRPr="00B7218D" w:rsidRDefault="00B7218D" w:rsidP="001564E7">
      <w:pPr>
        <w:spacing w:after="280" w:line="240" w:lineRule="auto"/>
        <w:ind w:left="2160" w:right="720" w:hanging="720"/>
      </w:pPr>
      <w:r w:rsidRPr="00B7218D">
        <w:t>(ii)</w:t>
      </w:r>
      <w:r w:rsidRPr="00B7218D">
        <w:tab/>
        <w:t xml:space="preserve">the proposal amortizes the remaining balance of the 2012 snowstorm (about $52.5 million) over six years, or </w:t>
      </w:r>
      <w:r w:rsidRPr="00B7218D">
        <w:lastRenderedPageBreak/>
        <w:t>$8,748,972 per year (or $6,728,425 less than the test year amortization expense)</w:t>
      </w:r>
      <w:r w:rsidR="00B60D3C">
        <w:t xml:space="preserve"> but does not allow PSE to amortize and recover several other storms that have been deferred under the mechanism</w:t>
      </w:r>
      <w:r w:rsidRPr="00B7218D">
        <w:t>.</w:t>
      </w:r>
    </w:p>
    <w:p w14:paraId="6881CAD1" w14:textId="77777777" w:rsidR="00B7218D" w:rsidRPr="00B7218D" w:rsidRDefault="00B7218D" w:rsidP="001564E7">
      <w:pPr>
        <w:spacing w:before="120" w:after="120" w:line="480" w:lineRule="auto"/>
        <w:ind w:left="720" w:firstLine="0"/>
      </w:pPr>
      <w:r w:rsidRPr="00B7218D">
        <w:t>The net effect of Commission Staff’s proposal in this proceeding is to reduce revenue requirement by about $2.7 million.</w:t>
      </w:r>
      <w:r w:rsidRPr="00B7218D">
        <w:rPr>
          <w:position w:val="6"/>
          <w:sz w:val="16"/>
        </w:rPr>
        <w:footnoteReference w:id="37"/>
      </w:r>
    </w:p>
    <w:p w14:paraId="564E9B4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Please describe Commission Staff’s proposal regarding storm deferral accounting.</w:t>
      </w:r>
    </w:p>
    <w:p w14:paraId="20A84292" w14:textId="77777777" w:rsidR="00B7218D" w:rsidRPr="00B7218D" w:rsidRDefault="00B7218D" w:rsidP="001564E7">
      <w:pPr>
        <w:spacing w:before="120" w:after="120" w:line="480" w:lineRule="auto"/>
        <w:ind w:left="720" w:hanging="720"/>
      </w:pPr>
      <w:r w:rsidRPr="00B7218D">
        <w:t>A.</w:t>
      </w:r>
      <w:r w:rsidRPr="00B7218D">
        <w:tab/>
        <w:t>Commission Staff’s proposal regarding storm deferral accounting is a fundamental change to current practice over the last decade without sufficient justification. Commission Staff acknowledges as much by stating that “[t]here may be consequences when methods are changed, but if the new method is fairer to all, then it is acceptable.”</w:t>
      </w:r>
      <w:r w:rsidRPr="00B7218D">
        <w:rPr>
          <w:position w:val="6"/>
          <w:sz w:val="16"/>
        </w:rPr>
        <w:footnoteReference w:id="38"/>
      </w:r>
    </w:p>
    <w:p w14:paraId="720EA8F6" w14:textId="77777777" w:rsidR="00B7218D" w:rsidRPr="00B7218D" w:rsidRDefault="00B7218D" w:rsidP="001564E7">
      <w:pPr>
        <w:spacing w:before="120" w:after="120" w:line="480" w:lineRule="auto"/>
        <w:ind w:left="720" w:firstLine="0"/>
      </w:pPr>
      <w:r w:rsidRPr="00B7218D">
        <w:t>As previously stated, PSE and the investing public depend on the Commission to establish clear and consistent regulatory policy (i.e., clearly established policy and rules that are understood and implemented on a consistent basis). If that is not the case, uncertainty and risk (both perceived and real) will increase for all. Policy changes with respect to material cost of service items like storms should only be implemented when the facts demonstrate that change is warranted. Commission Staff’s position with respect to storm deferral accounting does not meet this test.</w:t>
      </w:r>
    </w:p>
    <w:p w14:paraId="3774E1F9" w14:textId="77777777" w:rsidR="00B7218D" w:rsidRPr="00B7218D" w:rsidRDefault="00B7218D" w:rsidP="001564E7">
      <w:pPr>
        <w:spacing w:before="120" w:after="120" w:line="480" w:lineRule="auto"/>
        <w:ind w:left="720" w:firstLine="0"/>
      </w:pPr>
      <w:r w:rsidRPr="00B7218D">
        <w:lastRenderedPageBreak/>
        <w:t>The Commission should not rely on vague assertions that the current methodology “has shown to be biased in favor of” PSE.</w:t>
      </w:r>
      <w:r w:rsidRPr="00B7218D">
        <w:rPr>
          <w:position w:val="6"/>
          <w:sz w:val="16"/>
        </w:rPr>
        <w:footnoteReference w:id="39"/>
      </w:r>
      <w:r w:rsidRPr="00B7218D">
        <w:t xml:space="preserve"> PSE is unaware of—and Commission Staff has not presented in this proceeding—any evidence of any such bias. Indeed, the storm deferral methodology has worked well over the past decade, and there is no rationale to change this methodology.</w:t>
      </w:r>
    </w:p>
    <w:p w14:paraId="1A0DE9FF"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What PSE witness provides testimony and exhibits that directly address Commission Staff’s proposal regarding storm deferral accounting?</w:t>
      </w:r>
    </w:p>
    <w:p w14:paraId="22D69BA1" w14:textId="77777777" w:rsidR="00B7218D" w:rsidRPr="00B7218D" w:rsidRDefault="00B7218D" w:rsidP="001564E7">
      <w:pPr>
        <w:spacing w:before="120" w:after="120" w:line="480" w:lineRule="auto"/>
        <w:ind w:left="720" w:hanging="720"/>
      </w:pPr>
      <w:r w:rsidRPr="00B7218D">
        <w:t>A.</w:t>
      </w:r>
      <w:r w:rsidRPr="00B7218D">
        <w:tab/>
        <w:t xml:space="preserve">Please see the </w:t>
      </w:r>
      <w:proofErr w:type="spellStart"/>
      <w:r w:rsidRPr="00B7218D">
        <w:t>Prefiled</w:t>
      </w:r>
      <w:proofErr w:type="spellEnd"/>
      <w:r w:rsidRPr="00B7218D">
        <w:t xml:space="preserve"> Rebuttal Testimony of Ms. Katherine J. Barnard, </w:t>
      </w:r>
      <w:proofErr w:type="spellStart"/>
      <w:r w:rsidRPr="00B7218D">
        <w:t>Exh</w:t>
      </w:r>
      <w:proofErr w:type="spellEnd"/>
      <w:r w:rsidRPr="00B7218D">
        <w:t>. KJB-17T, for PSE’s response to Commission Staff’s proposal regarding storm deferral accounting.</w:t>
      </w:r>
    </w:p>
    <w:p w14:paraId="1E1D279D" w14:textId="77777777" w:rsidR="00B7218D" w:rsidRPr="003A68D9" w:rsidRDefault="00696419" w:rsidP="001564E7">
      <w:pPr>
        <w:pStyle w:val="Heading2"/>
      </w:pPr>
      <w:bookmarkStart w:id="34" w:name="_Toc488216555"/>
      <w:bookmarkStart w:id="35" w:name="_Toc489790218"/>
      <w:bookmarkStart w:id="36" w:name="_Toc489949677"/>
      <w:r w:rsidRPr="003A68D9">
        <w:t>D</w:t>
      </w:r>
      <w:r w:rsidR="00B7218D" w:rsidRPr="003A68D9">
        <w:t>.</w:t>
      </w:r>
      <w:r w:rsidR="00B7218D" w:rsidRPr="003A68D9">
        <w:tab/>
        <w:t>PSE Proposed Capital Structure Reflects the Regulatory Capital Structure Supporting PSE During the Test Year and the Regulatory Capital Structure Expected to Support PSE During the Rate Year</w:t>
      </w:r>
      <w:bookmarkEnd w:id="34"/>
      <w:bookmarkEnd w:id="35"/>
      <w:bookmarkEnd w:id="36"/>
    </w:p>
    <w:p w14:paraId="5F856762"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What capital structure is PSE requesting in this proceeding?</w:t>
      </w:r>
    </w:p>
    <w:p w14:paraId="1BDC0108" w14:textId="77777777" w:rsidR="00B7218D" w:rsidRPr="00B7218D" w:rsidRDefault="00B7218D" w:rsidP="001564E7">
      <w:pPr>
        <w:spacing w:before="120" w:after="120" w:line="480" w:lineRule="auto"/>
        <w:ind w:left="720" w:hanging="720"/>
      </w:pPr>
      <w:r w:rsidRPr="00B7218D">
        <w:t>A.</w:t>
      </w:r>
      <w:r w:rsidRPr="00B7218D">
        <w:tab/>
        <w:t>PSE’s is requesting a capital structure in this proceeding that contains a 48.5 percent equity ratio, as shown in Table 8 below:</w:t>
      </w:r>
    </w:p>
    <w:p w14:paraId="62204EFE" w14:textId="77777777" w:rsidR="00B7218D" w:rsidRPr="00B7218D" w:rsidRDefault="00B7218D" w:rsidP="001564E7">
      <w:pPr>
        <w:keepNext/>
        <w:keepLines/>
        <w:spacing w:after="60" w:line="240" w:lineRule="auto"/>
        <w:ind w:firstLine="0"/>
        <w:jc w:val="center"/>
        <w:rPr>
          <w:rFonts w:eastAsia="PMingLiU"/>
          <w:b/>
        </w:rPr>
      </w:pPr>
      <w:r w:rsidRPr="00B7218D">
        <w:rPr>
          <w:rFonts w:eastAsia="PMingLiU"/>
          <w:b/>
        </w:rPr>
        <w:t xml:space="preserve">Table 8. PSE’s Requested </w:t>
      </w:r>
      <w:r w:rsidRPr="00B7218D">
        <w:rPr>
          <w:b/>
        </w:rPr>
        <w:t>Capital Structure</w:t>
      </w:r>
    </w:p>
    <w:tbl>
      <w:tblPr>
        <w:tblStyle w:val="TableGrid1"/>
        <w:tblW w:w="5220" w:type="dxa"/>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1266"/>
      </w:tblGrid>
      <w:tr w:rsidR="00B7218D" w:rsidRPr="00B7218D" w14:paraId="166DABF2" w14:textId="77777777" w:rsidTr="00190924">
        <w:trPr>
          <w:jc w:val="center"/>
        </w:trPr>
        <w:tc>
          <w:tcPr>
            <w:tcW w:w="3954" w:type="dxa"/>
            <w:tcBorders>
              <w:top w:val="nil"/>
              <w:left w:val="nil"/>
              <w:bottom w:val="single" w:sz="4" w:space="0" w:color="auto"/>
              <w:right w:val="nil"/>
            </w:tcBorders>
            <w:vAlign w:val="bottom"/>
            <w:hideMark/>
          </w:tcPr>
          <w:p w14:paraId="0C83643B" w14:textId="77777777" w:rsidR="00B7218D" w:rsidRPr="00B7218D" w:rsidRDefault="00B7218D" w:rsidP="001564E7">
            <w:pPr>
              <w:keepNext/>
              <w:keepLines/>
              <w:spacing w:before="60" w:after="60" w:line="240" w:lineRule="auto"/>
              <w:ind w:firstLine="0"/>
              <w:jc w:val="center"/>
              <w:rPr>
                <w:b/>
              </w:rPr>
            </w:pPr>
            <w:r w:rsidRPr="00B7218D">
              <w:rPr>
                <w:b/>
              </w:rPr>
              <w:t xml:space="preserve">Components of </w:t>
            </w:r>
            <w:r w:rsidRPr="00B7218D">
              <w:rPr>
                <w:b/>
              </w:rPr>
              <w:br/>
              <w:t>Capital Structure</w:t>
            </w:r>
          </w:p>
        </w:tc>
        <w:tc>
          <w:tcPr>
            <w:tcW w:w="1266" w:type="dxa"/>
            <w:tcBorders>
              <w:top w:val="nil"/>
              <w:left w:val="nil"/>
              <w:bottom w:val="single" w:sz="4" w:space="0" w:color="auto"/>
              <w:right w:val="nil"/>
            </w:tcBorders>
            <w:vAlign w:val="bottom"/>
            <w:hideMark/>
          </w:tcPr>
          <w:p w14:paraId="27A8EBE0" w14:textId="77777777" w:rsidR="00B7218D" w:rsidRPr="00B7218D" w:rsidRDefault="00B7218D" w:rsidP="001564E7">
            <w:pPr>
              <w:keepNext/>
              <w:keepLines/>
              <w:spacing w:before="60" w:after="60" w:line="240" w:lineRule="auto"/>
              <w:ind w:firstLine="0"/>
              <w:jc w:val="center"/>
              <w:rPr>
                <w:b/>
              </w:rPr>
            </w:pPr>
            <w:r w:rsidRPr="00B7218D">
              <w:rPr>
                <w:b/>
              </w:rPr>
              <w:t>Ratio</w:t>
            </w:r>
          </w:p>
        </w:tc>
      </w:tr>
      <w:tr w:rsidR="00B7218D" w:rsidRPr="00B7218D" w14:paraId="173394C2" w14:textId="77777777" w:rsidTr="00190924">
        <w:trPr>
          <w:jc w:val="center"/>
        </w:trPr>
        <w:tc>
          <w:tcPr>
            <w:tcW w:w="3954" w:type="dxa"/>
            <w:tcBorders>
              <w:top w:val="single" w:sz="4" w:space="0" w:color="auto"/>
              <w:left w:val="nil"/>
              <w:bottom w:val="nil"/>
              <w:right w:val="nil"/>
            </w:tcBorders>
            <w:hideMark/>
          </w:tcPr>
          <w:p w14:paraId="086A25E7" w14:textId="77777777" w:rsidR="00B7218D" w:rsidRPr="00B7218D" w:rsidRDefault="00B7218D" w:rsidP="001564E7">
            <w:pPr>
              <w:keepNext/>
              <w:keepLines/>
              <w:spacing w:before="60" w:after="60" w:line="240" w:lineRule="auto"/>
              <w:ind w:firstLine="0"/>
            </w:pPr>
            <w:r w:rsidRPr="00B7218D">
              <w:t>Short-Term Debt</w:t>
            </w:r>
          </w:p>
        </w:tc>
        <w:tc>
          <w:tcPr>
            <w:tcW w:w="1266" w:type="dxa"/>
            <w:tcBorders>
              <w:top w:val="single" w:sz="4" w:space="0" w:color="auto"/>
              <w:left w:val="nil"/>
              <w:bottom w:val="nil"/>
              <w:right w:val="nil"/>
            </w:tcBorders>
            <w:hideMark/>
          </w:tcPr>
          <w:p w14:paraId="6B3CD13A" w14:textId="77777777" w:rsidR="00B7218D" w:rsidRPr="00B7218D" w:rsidRDefault="00B7218D" w:rsidP="001564E7">
            <w:pPr>
              <w:keepNext/>
              <w:keepLines/>
              <w:spacing w:before="60" w:after="60" w:line="240" w:lineRule="auto"/>
              <w:ind w:firstLine="0"/>
              <w:jc w:val="center"/>
            </w:pPr>
            <w:r w:rsidRPr="00B7218D">
              <w:t>1.0%</w:t>
            </w:r>
          </w:p>
        </w:tc>
      </w:tr>
      <w:tr w:rsidR="00B7218D" w:rsidRPr="00B7218D" w14:paraId="36AC3938" w14:textId="77777777" w:rsidTr="00190924">
        <w:trPr>
          <w:jc w:val="center"/>
        </w:trPr>
        <w:tc>
          <w:tcPr>
            <w:tcW w:w="3954" w:type="dxa"/>
            <w:hideMark/>
          </w:tcPr>
          <w:p w14:paraId="30DEA587" w14:textId="77777777" w:rsidR="00B7218D" w:rsidRPr="00B7218D" w:rsidRDefault="00B7218D" w:rsidP="001564E7">
            <w:pPr>
              <w:keepNext/>
              <w:keepLines/>
              <w:spacing w:before="60" w:after="60" w:line="240" w:lineRule="auto"/>
              <w:ind w:firstLine="0"/>
            </w:pPr>
            <w:r w:rsidRPr="00B7218D">
              <w:t>Long-Term Debt</w:t>
            </w:r>
          </w:p>
        </w:tc>
        <w:tc>
          <w:tcPr>
            <w:tcW w:w="1266" w:type="dxa"/>
            <w:hideMark/>
          </w:tcPr>
          <w:p w14:paraId="6880F7B8" w14:textId="77777777" w:rsidR="00B7218D" w:rsidRPr="00B7218D" w:rsidRDefault="00B7218D" w:rsidP="001564E7">
            <w:pPr>
              <w:keepNext/>
              <w:keepLines/>
              <w:spacing w:before="60" w:after="60" w:line="240" w:lineRule="auto"/>
              <w:ind w:firstLine="0"/>
              <w:jc w:val="center"/>
            </w:pPr>
            <w:r w:rsidRPr="00B7218D">
              <w:t>50.5%</w:t>
            </w:r>
          </w:p>
        </w:tc>
      </w:tr>
      <w:tr w:rsidR="00B7218D" w:rsidRPr="00B7218D" w14:paraId="53890977" w14:textId="77777777" w:rsidTr="00190924">
        <w:trPr>
          <w:jc w:val="center"/>
        </w:trPr>
        <w:tc>
          <w:tcPr>
            <w:tcW w:w="3954" w:type="dxa"/>
            <w:hideMark/>
          </w:tcPr>
          <w:p w14:paraId="081BD7FD" w14:textId="77777777" w:rsidR="00B7218D" w:rsidRPr="00B7218D" w:rsidRDefault="00B7218D" w:rsidP="001564E7">
            <w:pPr>
              <w:keepLines/>
              <w:spacing w:before="60" w:after="60" w:line="240" w:lineRule="auto"/>
              <w:ind w:firstLine="0"/>
            </w:pPr>
            <w:r w:rsidRPr="00B7218D">
              <w:t>Common Equity</w:t>
            </w:r>
          </w:p>
        </w:tc>
        <w:tc>
          <w:tcPr>
            <w:tcW w:w="1266" w:type="dxa"/>
            <w:hideMark/>
          </w:tcPr>
          <w:p w14:paraId="2F39B2B1" w14:textId="77777777" w:rsidR="00B7218D" w:rsidRPr="00B7218D" w:rsidRDefault="00B7218D" w:rsidP="001564E7">
            <w:pPr>
              <w:keepLines/>
              <w:spacing w:before="60" w:after="60" w:line="240" w:lineRule="auto"/>
              <w:ind w:firstLine="0"/>
              <w:jc w:val="center"/>
            </w:pPr>
            <w:r w:rsidRPr="00B7218D">
              <w:t>48.5%</w:t>
            </w:r>
          </w:p>
        </w:tc>
      </w:tr>
    </w:tbl>
    <w:p w14:paraId="4B3CF9E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Has any party to this proceeding expressly adopted PSE’s requested capital structure?</w:t>
      </w:r>
    </w:p>
    <w:p w14:paraId="7D4C5E1F" w14:textId="77777777" w:rsidR="00B7218D" w:rsidRPr="00B7218D" w:rsidRDefault="00B7218D" w:rsidP="001564E7">
      <w:pPr>
        <w:spacing w:before="120" w:after="120" w:line="480" w:lineRule="auto"/>
        <w:ind w:left="720" w:hanging="720"/>
        <w:rPr>
          <w:b/>
        </w:rPr>
      </w:pPr>
      <w:r w:rsidRPr="00B7218D">
        <w:t>A.</w:t>
      </w:r>
      <w:r w:rsidRPr="00B7218D">
        <w:tab/>
        <w:t>Yes. Public Counsel has “adopted this capital structure, as it is reflective of the capital structures of Professor Woolridge’s proxy groups of electric, combination electric and gas, and gas distribution companies.”</w:t>
      </w:r>
      <w:r w:rsidRPr="00B7218D">
        <w:rPr>
          <w:position w:val="6"/>
          <w:sz w:val="16"/>
        </w:rPr>
        <w:footnoteReference w:id="40"/>
      </w:r>
      <w:r w:rsidRPr="00B7218D">
        <w:t xml:space="preserve"> ICNU has also adopted a capital structure with an equity ratio of 48.5 percent.</w:t>
      </w:r>
      <w:r w:rsidRPr="00B7218D">
        <w:rPr>
          <w:position w:val="6"/>
          <w:sz w:val="16"/>
        </w:rPr>
        <w:footnoteReference w:id="41"/>
      </w:r>
    </w:p>
    <w:p w14:paraId="75C3BC7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Has any party to this proceeding recommended changes to PSE’s requested capital structure?</w:t>
      </w:r>
    </w:p>
    <w:p w14:paraId="71227FD7" w14:textId="77777777" w:rsidR="00B7218D" w:rsidRPr="00B7218D" w:rsidRDefault="00B7218D" w:rsidP="001564E7">
      <w:pPr>
        <w:spacing w:before="120" w:after="120" w:line="480" w:lineRule="auto"/>
        <w:ind w:left="720" w:hanging="720"/>
      </w:pPr>
      <w:r w:rsidRPr="00B7218D">
        <w:t>A.</w:t>
      </w:r>
      <w:r w:rsidRPr="00B7218D">
        <w:tab/>
        <w:t>Yes. Commission Staff proposes that “the 48.0 percent equity ratio adopted in PSE’s most recent cases be continued.”</w:t>
      </w:r>
      <w:r w:rsidRPr="00B7218D">
        <w:rPr>
          <w:position w:val="6"/>
          <w:sz w:val="16"/>
        </w:rPr>
        <w:footnoteReference w:id="42"/>
      </w:r>
      <w:r w:rsidRPr="00B7218D">
        <w:t xml:space="preserve"> Commission Staff presents at least eight separate arguments for a 50 basis point reduction to PSE’s proposed equity ratio of 48.5 percent. None of their arguments, individually or in the aggregate, justify such a reduction for the reasons set forth below.</w:t>
      </w:r>
    </w:p>
    <w:p w14:paraId="538F4E1F"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How does Commission Staff justify a reduction to PSE’s proposed equity ratio of 48.5 percent to Commission Staff’s proposed equity ratio of 48.0 percent?</w:t>
      </w:r>
    </w:p>
    <w:p w14:paraId="3BB4CE35" w14:textId="77777777" w:rsidR="00B7218D" w:rsidRPr="00B7218D" w:rsidRDefault="00B7218D" w:rsidP="001564E7">
      <w:pPr>
        <w:spacing w:before="120" w:after="120" w:line="480" w:lineRule="auto"/>
        <w:ind w:left="720" w:hanging="720"/>
      </w:pPr>
      <w:r w:rsidRPr="00B7218D">
        <w:t>A.</w:t>
      </w:r>
      <w:r w:rsidRPr="00B7218D">
        <w:tab/>
        <w:t>Commission Staff asserts that “PSE’s actual consolidated capital structure as of December 31, 2016 contained 46.6 percent common equity while its regulatory capital structure contained 47.9 percent equity on a year-end basis….”</w:t>
      </w:r>
      <w:r w:rsidRPr="00B7218D">
        <w:rPr>
          <w:position w:val="6"/>
          <w:sz w:val="16"/>
        </w:rPr>
        <w:footnoteReference w:id="43"/>
      </w:r>
    </w:p>
    <w:p w14:paraId="2257A404" w14:textId="0B763FDA" w:rsidR="00B7218D" w:rsidRPr="00B7218D" w:rsidRDefault="00B7218D" w:rsidP="001564E7">
      <w:pPr>
        <w:spacing w:before="120" w:after="120" w:line="480" w:lineRule="auto"/>
        <w:ind w:left="720" w:firstLine="0"/>
      </w:pPr>
      <w:r w:rsidRPr="00B7218D">
        <w:t>Although it is a fact that PSE’s actual consolidated capital structure as of December 31, 2016 contained 46.6 percent common equity, that fact is irrelevant for purposes of establishing electric and gas rates. The actual consolidated capital structure to which Commission Staff refers reflects balance sheet impacts of (i) common equity supporting Puget Western, Inc. (“Puget Western”), a non-regulated real estate subsidiary of PSE, and (ii) Other Comprehensive Income (“</w:t>
      </w:r>
      <w:proofErr w:type="spellStart"/>
      <w:r w:rsidRPr="00B7218D">
        <w:t>OCI</w:t>
      </w:r>
      <w:proofErr w:type="spellEnd"/>
      <w:r w:rsidRPr="00B7218D">
        <w:t>”) related to pension income and expense and derivative accounting. Neither is an appropriate consideration in establishing PSE’s electric and gas rates, and PSE has appropriately removed these items from its proposed capital structure to be used for establishing electric and gas rates. Further, PSE’s removal of these items from its actual consolidated capital structure in proposing a capital structure appropriate for ratemaking is consistent with past practice approved by this Commission.</w:t>
      </w:r>
      <w:r w:rsidRPr="00B7218D">
        <w:rPr>
          <w:position w:val="6"/>
          <w:sz w:val="16"/>
        </w:rPr>
        <w:footnoteReference w:id="44"/>
      </w:r>
    </w:p>
    <w:p w14:paraId="173C025A" w14:textId="77777777" w:rsidR="00B7218D" w:rsidRPr="00B7218D" w:rsidRDefault="00B7218D" w:rsidP="001564E7">
      <w:pPr>
        <w:spacing w:before="120" w:after="120" w:line="480" w:lineRule="auto"/>
        <w:ind w:left="720" w:firstLine="0"/>
      </w:pPr>
      <w:r w:rsidRPr="00B7218D">
        <w:lastRenderedPageBreak/>
        <w:t>PSE has historically removed equity balances supporting non-regulated subsidiaries, such as Puget Western, from PSE’s actual consolidated equity in proposing a common equity ratio for ratemaking. Similarly, the Commission has traditionally reflected cash pension contributions, averaged over a four-year period, in rates. This practice looks solely to cash pension contributions and does not look at the accounting pension income or expense. Since neither pension income nor expense is reflected in PSE’s rates, it is appropriate to remove the balance sheet impact of pension accounting from PSE’s common equity for rate making purposes.</w:t>
      </w:r>
    </w:p>
    <w:p w14:paraId="7432E273" w14:textId="77777777" w:rsidR="00B7218D" w:rsidRPr="00B7218D" w:rsidRDefault="00B7218D" w:rsidP="001564E7">
      <w:pPr>
        <w:spacing w:before="120" w:after="120" w:line="480" w:lineRule="auto"/>
        <w:ind w:left="720" w:firstLine="0"/>
      </w:pPr>
      <w:r w:rsidRPr="00B7218D">
        <w:t xml:space="preserve">Further, the Commission has reflected in rates the actual commodity costs that PSE has, or expects, to incur, exclusive of unrealized, non-cash gains and losses from derivatives. PSE recovers these costs through the PGA and </w:t>
      </w:r>
      <w:proofErr w:type="spellStart"/>
      <w:r w:rsidRPr="00B7218D">
        <w:t>PCA</w:t>
      </w:r>
      <w:proofErr w:type="spellEnd"/>
      <w:r w:rsidRPr="00B7218D">
        <w:t xml:space="preserve"> mechanisms, with general rates set to reflect the expected level of commodity costs in base rates. Unrealized non-cash gains or losses from marking derivatives to market—as required by Generally Accepted Accounting Principles—are not, and should not, be reflected in rates. Indeed, setting rates on PSE’s actual consolidated capital structure without adjustment could result in falsely over-inflated equity in the capital structure in years where the non-cash and unrealized marks of derivatives result in unrealized gains rather than losses. As a result, the impact of these non-cash unrealized mark-to-market accounting gains or losses on PSE’s capitalization, generally reflected in </w:t>
      </w:r>
      <w:proofErr w:type="spellStart"/>
      <w:r w:rsidRPr="00B7218D">
        <w:t>OCI</w:t>
      </w:r>
      <w:proofErr w:type="spellEnd"/>
      <w:r w:rsidRPr="00B7218D">
        <w:t>, must also be removed for ratemaking purposes.</w:t>
      </w:r>
    </w:p>
    <w:p w14:paraId="5F2658FA"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Does Commission Staff justify a reduction to PSE’s proposed equity ratio of 48.5 percent to Commission Staff’s proposed equity ratio of 48.0 percent in other ways?</w:t>
      </w:r>
    </w:p>
    <w:p w14:paraId="5D304AC2" w14:textId="77777777" w:rsidR="00B7218D" w:rsidRPr="00B7218D" w:rsidRDefault="00B7218D" w:rsidP="001564E7">
      <w:pPr>
        <w:spacing w:before="120" w:after="120" w:line="480" w:lineRule="auto"/>
        <w:ind w:left="720" w:hanging="720"/>
      </w:pPr>
      <w:r w:rsidRPr="00B7218D">
        <w:t>A.</w:t>
      </w:r>
      <w:r w:rsidRPr="00B7218D">
        <w:tab/>
        <w:t>Yes. Commission Staff asserts that PSE’s “regulatory capital structure contained 47.9 percent equity on a year-end basis ….”</w:t>
      </w:r>
      <w:r w:rsidRPr="00B7218D">
        <w:rPr>
          <w:position w:val="6"/>
          <w:sz w:val="16"/>
        </w:rPr>
        <w:footnoteReference w:id="45"/>
      </w:r>
    </w:p>
    <w:p w14:paraId="20B0C973" w14:textId="77777777" w:rsidR="00B7218D" w:rsidRPr="00B7218D" w:rsidRDefault="00B7218D" w:rsidP="001564E7">
      <w:pPr>
        <w:spacing w:before="120" w:after="120" w:line="480" w:lineRule="auto"/>
        <w:ind w:left="720" w:firstLine="0"/>
      </w:pPr>
      <w:r w:rsidRPr="00B7218D">
        <w:t>Reference to a regulatory capital structure as of December 31, 2016, is inappropriate for a number of reasons. First, the test year in this proceeding is the twelve months ending September 30, 2016, and the regulatory capital structure as of December 31, 2016, captures a point in time that is outside the test year.</w:t>
      </w:r>
    </w:p>
    <w:p w14:paraId="392CF381" w14:textId="21C9D381" w:rsidR="00B7218D" w:rsidRPr="00B7218D" w:rsidRDefault="00B7218D" w:rsidP="001564E7">
      <w:pPr>
        <w:spacing w:before="120" w:after="120" w:line="480" w:lineRule="auto"/>
        <w:ind w:left="720" w:firstLine="0"/>
      </w:pPr>
      <w:r w:rsidRPr="00B7218D">
        <w:t>Second, and more importantly, the use of an “end-of-period” or “point-in-time” capital structure rather than an average capital structure over a period of time (typically, the average of monthly averages over the course of the test year, as used by PSE in this proceeding) ignores the variability in equity ratio that can occur over a period of time. For example, the equity ratio in PSE’s regulatory capital structure varied from a low of 47.9 percent (December 2015) to a high of 49.7 percent (each of April and May 2016), with an average of 48.9 percent, which is higher than PSE’s proposed equity ratio of 48.5 percent.</w:t>
      </w:r>
      <w:r w:rsidRPr="00B7218D">
        <w:rPr>
          <w:position w:val="6"/>
          <w:sz w:val="16"/>
        </w:rPr>
        <w:footnoteReference w:id="46"/>
      </w:r>
      <w:r w:rsidRPr="00B7218D">
        <w:t xml:space="preserve"> Use of a capital structure that calculates an equity ratio based on the average of monthly averages more accurately reflects the equity ratio of the utility throughout the course of a test year than a capital structure calculation based on an equity ratio </w:t>
      </w:r>
      <w:r w:rsidRPr="00B7218D">
        <w:lastRenderedPageBreak/>
        <w:t>that is an “end-of-period” or “point-in-time,” which can be “cherry-picked” to obtain a desired result such as a low or high equity ratio.</w:t>
      </w:r>
      <w:r w:rsidR="00446617">
        <w:t xml:space="preserve"> </w:t>
      </w:r>
      <w:r w:rsidRPr="00B7218D">
        <w:t>And it happens to be long standing Commission policy to do so.</w:t>
      </w:r>
    </w:p>
    <w:p w14:paraId="0C867495" w14:textId="77777777" w:rsidR="00B7218D" w:rsidRPr="00B7218D" w:rsidRDefault="00B7218D" w:rsidP="001564E7">
      <w:pPr>
        <w:spacing w:before="120" w:after="120" w:line="480" w:lineRule="auto"/>
        <w:ind w:left="720" w:firstLine="0"/>
      </w:pPr>
      <w:r w:rsidRPr="00B7218D">
        <w:t>In sum, the Commission should reject any suggestion that the Commission rely on a capital structure calculation based on an equity ratio that is an “end-of-period” or “point-in-time” and should, instead, rely on a capital structure calculation based on an average of monthly average equity ratio over the course of the test year. In this proceeding, the average of monthly average equity ratio over the course of the test year results in an equity ratio of 48.9 percent, which is higher than PSE’s proposed equity ratio of 48.5 percent.</w:t>
      </w:r>
      <w:r w:rsidRPr="00B7218D">
        <w:rPr>
          <w:position w:val="6"/>
          <w:sz w:val="16"/>
        </w:rPr>
        <w:footnoteReference w:id="47"/>
      </w:r>
    </w:p>
    <w:p w14:paraId="1D332E01"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What other justifications does staff propose to support its position?</w:t>
      </w:r>
    </w:p>
    <w:p w14:paraId="4F78A6D7" w14:textId="77777777" w:rsidR="00B7218D" w:rsidRPr="00B7218D" w:rsidRDefault="00B7218D" w:rsidP="001564E7">
      <w:pPr>
        <w:spacing w:before="120" w:after="120" w:line="480" w:lineRule="auto"/>
        <w:ind w:left="720" w:hanging="720"/>
      </w:pPr>
      <w:r w:rsidRPr="00B7218D">
        <w:t>A.</w:t>
      </w:r>
      <w:r w:rsidRPr="00B7218D">
        <w:tab/>
        <w:t>Commission Staff further asserts that PSE’s “actual equity ratios have not materially increased from the time period of its last rate proceeding (i.e., 2012) when the 48.0 percent common equity ratios was established.”</w:t>
      </w:r>
      <w:r w:rsidRPr="00B7218D">
        <w:rPr>
          <w:position w:val="6"/>
          <w:sz w:val="16"/>
        </w:rPr>
        <w:footnoteReference w:id="48"/>
      </w:r>
    </w:p>
    <w:p w14:paraId="62A57513" w14:textId="57273C60" w:rsidR="00B7218D" w:rsidRPr="00B7218D" w:rsidRDefault="00B7218D" w:rsidP="001564E7">
      <w:pPr>
        <w:spacing w:before="120" w:after="120" w:line="480" w:lineRule="auto"/>
        <w:ind w:left="720" w:firstLine="0"/>
      </w:pPr>
      <w:r w:rsidRPr="00B7218D">
        <w:t xml:space="preserve">Although Commission Staff is correct that the equity ratios in PSE’s regulatory capital structure have not materially increased from the time period of its last rate proceeding, this argument ignores the fact that PSE is not requesting a </w:t>
      </w:r>
      <w:r w:rsidR="00E83214">
        <w:t>material</w:t>
      </w:r>
      <w:r w:rsidRPr="00B7218D">
        <w:t xml:space="preserve"> increase in equity ratio that violates the standards of safety and economy. Indeed, Commission Staff has not, and cannot, demonstrate that the requested equity ratio fails to balance safety and economy. Further, PSE proposed equity ratio of </w:t>
      </w:r>
      <w:r w:rsidRPr="00B7218D">
        <w:lastRenderedPageBreak/>
        <w:t>48.5 percent is the only proposed capital structure in this proceeding that reflects the regulatory capital structure supporting PSE during the test year and the regulatory capital structure expected to support PSE during the rate year.</w:t>
      </w:r>
    </w:p>
    <w:p w14:paraId="0089341F"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Commission Staff present additional arguments to justify a reduction to PSE’s proposed equity ratio of 48.5 ?</w:t>
      </w:r>
    </w:p>
    <w:p w14:paraId="2AA1310D" w14:textId="3B8A1031" w:rsidR="00B7218D" w:rsidRPr="00B7218D" w:rsidRDefault="00B7218D" w:rsidP="001564E7">
      <w:pPr>
        <w:spacing w:before="120" w:after="120" w:line="480" w:lineRule="auto"/>
        <w:ind w:left="720" w:hanging="720"/>
      </w:pPr>
      <w:r w:rsidRPr="00B7218D">
        <w:t>A.</w:t>
      </w:r>
      <w:r w:rsidRPr="00B7218D">
        <w:tab/>
        <w:t>Yes.</w:t>
      </w:r>
      <w:r w:rsidR="00446617">
        <w:t xml:space="preserve"> </w:t>
      </w:r>
      <w:r w:rsidRPr="00B7218D">
        <w:t>Commission Staff asserts that the equity ratios of Puget Energy, Inc. (“Puget Energy”) are below those of PSE.</w:t>
      </w:r>
      <w:r w:rsidRPr="00B7218D">
        <w:rPr>
          <w:position w:val="6"/>
          <w:sz w:val="16"/>
        </w:rPr>
        <w:footnoteReference w:id="49"/>
      </w:r>
      <w:r w:rsidRPr="00B7218D">
        <w:t xml:space="preserve"> The equity ratio in Puget Energy’s capital structure is irrelevant to the determination of what the equity ratio should be in PSE’s capital structure for ratemaking purposes. Further, PSE is the respondent in this proceeding not Puget Energy.</w:t>
      </w:r>
    </w:p>
    <w:p w14:paraId="04E38483"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the Commission Staff justify a reduction to PSE’s proposed equity ratio of 48.5 percent to Commission Staff’s proposed equity ratio of 48.0 percent?</w:t>
      </w:r>
    </w:p>
    <w:p w14:paraId="275F4AD4" w14:textId="2ADBC885" w:rsidR="00B7218D" w:rsidRPr="00B7218D" w:rsidRDefault="00B7218D" w:rsidP="001564E7">
      <w:pPr>
        <w:spacing w:before="120" w:after="120" w:line="480" w:lineRule="auto"/>
        <w:ind w:left="720" w:hanging="720"/>
      </w:pPr>
      <w:r w:rsidRPr="00B7218D">
        <w:t>A.</w:t>
      </w:r>
      <w:r w:rsidRPr="00B7218D">
        <w:tab/>
        <w:t>Commission Staff asserts that the equity ratio of 48.0 percent “matches the capital structure adopted by the Commission in PSE’s last rate proceeding.”</w:t>
      </w:r>
      <w:r w:rsidRPr="00B7218D">
        <w:rPr>
          <w:position w:val="6"/>
          <w:sz w:val="16"/>
        </w:rPr>
        <w:footnoteReference w:id="50"/>
      </w:r>
      <w:r w:rsidRPr="00B7218D">
        <w:t xml:space="preserve"> The fact that PSE requested—and the Commission accepted—an equity ratio of 48.0 percent for ratemaking purposes in Dockets UE-111048 and UG-111049 is irrelevant to this proceeding. That said, the </w:t>
      </w:r>
      <w:r w:rsidR="00B60D3C">
        <w:t>C</w:t>
      </w:r>
      <w:r w:rsidRPr="00B7218D">
        <w:t>ommission granted an equity ratio of 48</w:t>
      </w:r>
      <w:r w:rsidR="00B60D3C">
        <w:t> percent</w:t>
      </w:r>
      <w:r w:rsidRPr="00B7218D">
        <w:t xml:space="preserve"> with a firm expectation that PSE manage its equity balance to meet </w:t>
      </w:r>
      <w:r w:rsidRPr="00B7218D">
        <w:lastRenderedPageBreak/>
        <w:t xml:space="preserve">that target. In the final order in Dockets UE-111048 and UG-111049, the </w:t>
      </w:r>
      <w:r w:rsidR="00B60D3C">
        <w:t>C</w:t>
      </w:r>
      <w:r w:rsidRPr="00B7218D">
        <w:t>ommission stated:</w:t>
      </w:r>
    </w:p>
    <w:p w14:paraId="0DC66FD0" w14:textId="4CA86BF6"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Moreover, we have no reason to doubt at this juncture Mr. Gaines’s testimony that what the Company proposes here is the most likely actual capital structure during the rate year. Should this turn out not to be true, a contrary result may be taken into account when the Commission evaluates evidence presented in PSE‘s next general rate case.</w:t>
      </w:r>
      <w:r w:rsidRPr="00B7218D">
        <w:rPr>
          <w:iCs/>
          <w:color w:val="000000" w:themeColor="text1"/>
          <w:position w:val="6"/>
          <w:sz w:val="16"/>
          <w:szCs w:val="24"/>
          <w:lang w:eastAsia="en-US"/>
        </w:rPr>
        <w:footnoteReference w:id="51"/>
      </w:r>
    </w:p>
    <w:p w14:paraId="10BC30A8" w14:textId="2D82879D" w:rsidR="00B7218D" w:rsidRPr="00B7218D" w:rsidRDefault="00B7218D" w:rsidP="001564E7">
      <w:pPr>
        <w:spacing w:before="120" w:after="120" w:line="480" w:lineRule="auto"/>
        <w:ind w:left="720" w:firstLine="0"/>
      </w:pPr>
      <w:r w:rsidRPr="00B7218D">
        <w:t>As PSE’s testimony clearly shows, PSE has not only managed its equity balances to meet the commission approved 48</w:t>
      </w:r>
      <w:r w:rsidR="00B60D3C">
        <w:t> percent</w:t>
      </w:r>
      <w:r w:rsidRPr="00B7218D">
        <w:t xml:space="preserve"> equity ratio, it has exceeded it. The </w:t>
      </w:r>
      <w:r w:rsidR="00B60D3C">
        <w:t>C</w:t>
      </w:r>
      <w:r w:rsidRPr="00B7218D">
        <w:t xml:space="preserve">ommission can expect the same performance from </w:t>
      </w:r>
      <w:r w:rsidR="00B60D3C">
        <w:t xml:space="preserve">PSE </w:t>
      </w:r>
      <w:r w:rsidRPr="00B7218D">
        <w:t>if it approves our requested increase to an equity ratio of 48.5</w:t>
      </w:r>
      <w:r w:rsidR="00B60D3C">
        <w:t> percent</w:t>
      </w:r>
      <w:r w:rsidRPr="00B7218D">
        <w:t>.</w:t>
      </w:r>
    </w:p>
    <w:p w14:paraId="1EA34DB3"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the Commission Staff justify a reduction from PSE’s proposed equity ratio of 48.5 percent with additional arguments?</w:t>
      </w:r>
    </w:p>
    <w:p w14:paraId="79E891BF" w14:textId="17941FE1" w:rsidR="00B7218D" w:rsidRPr="00B7218D" w:rsidRDefault="00B7218D" w:rsidP="001564E7">
      <w:pPr>
        <w:spacing w:before="120" w:after="120" w:line="480" w:lineRule="auto"/>
        <w:ind w:left="720" w:hanging="720"/>
      </w:pPr>
      <w:r w:rsidRPr="00B7218D">
        <w:t>A.</w:t>
      </w:r>
      <w:r w:rsidRPr="00B7218D">
        <w:tab/>
        <w:t>Yes.</w:t>
      </w:r>
      <w:r w:rsidR="00446617">
        <w:t xml:space="preserve"> </w:t>
      </w:r>
      <w:r w:rsidR="00B60D3C">
        <w:t xml:space="preserve">Commission Staff </w:t>
      </w:r>
      <w:r w:rsidRPr="00B7218D">
        <w:t>present</w:t>
      </w:r>
      <w:r w:rsidR="00B60D3C">
        <w:t>s</w:t>
      </w:r>
      <w:r w:rsidRPr="00B7218D">
        <w:t xml:space="preserve"> three more arguments.</w:t>
      </w:r>
      <w:r w:rsidR="00446617">
        <w:t xml:space="preserve"> </w:t>
      </w:r>
      <w:r w:rsidRPr="00B7218D">
        <w:t>First, Commission Staff asserts that the equity ratio of 48.0 percent “is similar to that of other electric and combination electric utilities.”</w:t>
      </w:r>
      <w:r w:rsidRPr="00B7218D">
        <w:rPr>
          <w:position w:val="6"/>
          <w:sz w:val="16"/>
        </w:rPr>
        <w:footnoteReference w:id="52"/>
      </w:r>
      <w:r w:rsidR="00B60D3C">
        <w:t xml:space="preserve"> However, the evidence refutes this assertion.</w:t>
      </w:r>
    </w:p>
    <w:p w14:paraId="6A2C3A0B" w14:textId="77777777" w:rsidR="00B7218D" w:rsidRPr="00B7218D" w:rsidRDefault="00B7218D" w:rsidP="001564E7">
      <w:pPr>
        <w:keepNext/>
        <w:keepLines/>
        <w:spacing w:before="120" w:after="120" w:line="480" w:lineRule="auto"/>
        <w:ind w:left="720" w:firstLine="0"/>
      </w:pPr>
      <w:r w:rsidRPr="00B7218D">
        <w:t>Commission Staff’s own evidence demonstrates that</w:t>
      </w:r>
    </w:p>
    <w:p w14:paraId="3DBB9E93" w14:textId="77777777" w:rsidR="00B7218D" w:rsidRPr="00B7218D" w:rsidRDefault="00B7218D" w:rsidP="001564E7">
      <w:pPr>
        <w:spacing w:after="280" w:line="240" w:lineRule="auto"/>
        <w:ind w:left="2160" w:right="720" w:hanging="720"/>
      </w:pPr>
      <w:r w:rsidRPr="00B7218D">
        <w:t>(i)</w:t>
      </w:r>
      <w:r w:rsidRPr="00B7218D">
        <w:tab/>
        <w:t>the utilities in Mr. </w:t>
      </w:r>
      <w:proofErr w:type="spellStart"/>
      <w:r w:rsidRPr="00B7218D">
        <w:t>Parcell’s</w:t>
      </w:r>
      <w:proofErr w:type="spellEnd"/>
      <w:r w:rsidRPr="00B7218D">
        <w:t xml:space="preserve"> own proxy group have a median equity ratio of 50.4 percent and an average equity ratio of 51.2 percent over the 2012-2016 period; and</w:t>
      </w:r>
    </w:p>
    <w:p w14:paraId="61BF3A6D" w14:textId="77777777" w:rsidR="00B7218D" w:rsidRPr="00B7218D" w:rsidRDefault="00B7218D" w:rsidP="001564E7">
      <w:pPr>
        <w:spacing w:after="280" w:line="240" w:lineRule="auto"/>
        <w:ind w:left="2160" w:right="720" w:hanging="720"/>
      </w:pPr>
      <w:r w:rsidRPr="00B7218D">
        <w:lastRenderedPageBreak/>
        <w:t>(ii)</w:t>
      </w:r>
      <w:r w:rsidRPr="00B7218D">
        <w:tab/>
        <w:t>the utilities in Dr. Morin’s proxy group have a median equity ratio of 49.4 percent and an average equity ratio of 50.1 percent over the 2012-2016 period.</w:t>
      </w:r>
      <w:r w:rsidRPr="00B7218D">
        <w:rPr>
          <w:position w:val="6"/>
          <w:sz w:val="16"/>
        </w:rPr>
        <w:footnoteReference w:id="53"/>
      </w:r>
    </w:p>
    <w:p w14:paraId="00315D50" w14:textId="5CCE19FC" w:rsidR="00B7218D" w:rsidRPr="009A003B" w:rsidRDefault="00B7218D" w:rsidP="001564E7">
      <w:pPr>
        <w:spacing w:before="120" w:after="120" w:line="480" w:lineRule="auto"/>
        <w:ind w:left="720" w:firstLine="0"/>
      </w:pPr>
      <w:r w:rsidRPr="00B7218D">
        <w:t>Thus, Commission Staff’s own evidence demonstrates that both Commission Staff and PSE have proposed equity ratios that are below the median and average equity ratios of the utilities in their respective proxy groups. Further, unlike Commission Staff’s proposed equity ratio, PSE’s proposed equity ratio of 48.5 percent is fully supported by actual test year results and represents the equity ratio that PSE is committed to maintaining during the rate year and beyond</w:t>
      </w:r>
      <w:r w:rsidR="002D6641">
        <w:t xml:space="preserve">. </w:t>
      </w:r>
      <w:r w:rsidRPr="00B7218D">
        <w:t>Second, Commission Staff asserts that PSE’s “ratings have been upgraded by Moody’s and the Commission has approved revenue decoupling for both electric and gas operations.”</w:t>
      </w:r>
      <w:r w:rsidRPr="00B7218D">
        <w:rPr>
          <w:position w:val="6"/>
          <w:sz w:val="16"/>
        </w:rPr>
        <w:footnoteReference w:id="54"/>
      </w:r>
      <w:r w:rsidRPr="00B7218D">
        <w:t xml:space="preserve"> In 2013, both Moody’s</w:t>
      </w:r>
      <w:r w:rsidR="009865F1">
        <w:t xml:space="preserve"> and S&amp;P upgraded PSE</w:t>
      </w:r>
      <w:r w:rsidRPr="00B7218D">
        <w:t xml:space="preserve">’s ratings almost simultaneously. Those upgrades were not unique to PSE but rather they were reflective of a general across-the-board upgrade of the utility sector as a whole. These upgrades are wholly unrelated to and are irrelevant with respect to determining the reasonableness of PSE’s requested equity ratio. With respect to decoupling, </w:t>
      </w:r>
      <w:r w:rsidR="00B60D3C">
        <w:t>C</w:t>
      </w:r>
      <w:r w:rsidRPr="00B7218D">
        <w:t xml:space="preserve">ommission </w:t>
      </w:r>
      <w:r w:rsidR="00B60D3C">
        <w:t>S</w:t>
      </w:r>
      <w:r w:rsidRPr="00B7218D">
        <w:t xml:space="preserve">taff vaguely </w:t>
      </w:r>
      <w:r w:rsidR="001564E7">
        <w:t xml:space="preserve">implies </w:t>
      </w:r>
      <w:r w:rsidRPr="00B7218D">
        <w:t xml:space="preserve">that because of the perceived risk reducing nature of decoupling, the </w:t>
      </w:r>
      <w:r w:rsidR="00B60D3C">
        <w:t>C</w:t>
      </w:r>
      <w:r w:rsidRPr="00B7218D">
        <w:t xml:space="preserve">ommission should reject PSE’s request. However, </w:t>
      </w:r>
      <w:r w:rsidR="00B60D3C">
        <w:t>C</w:t>
      </w:r>
      <w:r w:rsidRPr="00B7218D">
        <w:t xml:space="preserve">ommission </w:t>
      </w:r>
      <w:r w:rsidR="00B60D3C">
        <w:t>S</w:t>
      </w:r>
      <w:r w:rsidRPr="00B7218D">
        <w:t xml:space="preserve">taff presented no evidence to justify its position and ignores the fact that the </w:t>
      </w:r>
      <w:r w:rsidR="00B60D3C">
        <w:t>C</w:t>
      </w:r>
      <w:r w:rsidRPr="00B7218D">
        <w:t>ommission rejected similar arguments in the remand proceedings related to the rate plan</w:t>
      </w:r>
      <w:r w:rsidRPr="00B7218D">
        <w:rPr>
          <w:b/>
        </w:rPr>
        <w:t xml:space="preserve">. </w:t>
      </w:r>
      <w:r w:rsidRPr="00B7218D">
        <w:t xml:space="preserve">. In the final order in the remand proceeding Dockets UE-121697 and UG-121705, the </w:t>
      </w:r>
      <w:r w:rsidR="00B60D3C">
        <w:t>C</w:t>
      </w:r>
      <w:r w:rsidRPr="00B7218D">
        <w:t xml:space="preserve">ommission stated: </w:t>
      </w:r>
    </w:p>
    <w:p w14:paraId="00D58741" w14:textId="45DE8BA9" w:rsidR="00B7218D" w:rsidRPr="00B7218D" w:rsidRDefault="00B7218D" w:rsidP="001564E7">
      <w:pPr>
        <w:spacing w:after="280" w:line="240" w:lineRule="auto"/>
        <w:ind w:left="1440" w:right="720" w:firstLine="0"/>
        <w:jc w:val="both"/>
        <w:rPr>
          <w:b/>
          <w:iCs/>
          <w:color w:val="000000" w:themeColor="text1"/>
          <w:szCs w:val="24"/>
          <w:lang w:eastAsia="en-US"/>
        </w:rPr>
      </w:pPr>
      <w:r w:rsidRPr="00B7218D">
        <w:rPr>
          <w:iCs/>
          <w:color w:val="000000" w:themeColor="text1"/>
          <w:szCs w:val="24"/>
          <w:lang w:eastAsia="en-US"/>
        </w:rPr>
        <w:lastRenderedPageBreak/>
        <w:t>The Commission has never tried to account separately in its ROE determinations for specific risks or risk mitigating factors, nor should it. Circumstances in the industry today and modern regulatory practice that have led to a proliferation of risk reducing mechanisms being in place for utilities throughout the United States make it particularly inappropriate and unnecessary to consider such an undertaking. The effects of these risk mitigating factors was by 2013, and is today, built into the data experts draw from the samples of companies they select as proxies.</w:t>
      </w:r>
      <w:r w:rsidRPr="00B7218D">
        <w:rPr>
          <w:iCs/>
          <w:color w:val="000000" w:themeColor="text1"/>
          <w:position w:val="6"/>
          <w:sz w:val="16"/>
          <w:szCs w:val="24"/>
          <w:lang w:eastAsia="en-US"/>
        </w:rPr>
        <w:footnoteReference w:id="55"/>
      </w:r>
      <w:r w:rsidRPr="00B7218D">
        <w:rPr>
          <w:iCs/>
          <w:color w:val="000000" w:themeColor="text1"/>
          <w:position w:val="6"/>
          <w:sz w:val="16"/>
          <w:szCs w:val="24"/>
          <w:lang w:eastAsia="en-US"/>
        </w:rPr>
        <w:t xml:space="preserve"> </w:t>
      </w:r>
    </w:p>
    <w:p w14:paraId="1AB27D24" w14:textId="7BF39D97" w:rsidR="00B7218D" w:rsidRPr="00B7218D" w:rsidRDefault="00B7218D" w:rsidP="001564E7">
      <w:pPr>
        <w:spacing w:before="120" w:after="120" w:line="480" w:lineRule="auto"/>
        <w:ind w:left="720" w:firstLine="0"/>
      </w:pPr>
      <w:r w:rsidRPr="00B7218D">
        <w:t>Finally, Commission Staff asserts that PSE’s “‘weighted cost of debt’ reflecting the continuation of a 48.0 percent equity ratio and a declining cost of long-term debt, has declined since the 48.0 percent equity ratio was accepted by the Commission.”</w:t>
      </w:r>
      <w:r w:rsidRPr="00B7218D">
        <w:rPr>
          <w:position w:val="6"/>
          <w:sz w:val="16"/>
        </w:rPr>
        <w:footnoteReference w:id="56"/>
      </w:r>
      <w:r w:rsidRPr="00B7218D">
        <w:t xml:space="preserve"> I understand this quote to mean that </w:t>
      </w:r>
      <w:r w:rsidR="00B60D3C">
        <w:t>C</w:t>
      </w:r>
      <w:r w:rsidRPr="00B7218D">
        <w:t xml:space="preserve">ommission </w:t>
      </w:r>
      <w:r w:rsidR="00B60D3C">
        <w:t>S</w:t>
      </w:r>
      <w:r w:rsidRPr="00B7218D">
        <w:t>taff argues that since cost of long-term debt has declined, more debt should be used. PSE’s weighted cost of debt is equal to the product of PSE’s debt ratio and PSE’s debt costs. If one of the two variable remains constant (i.e., PSE’s authorized debt ratio) and the other variable decreases (i.e., PSE’s cost of debt), then PSE’s weighted cost of debt decreases. This mathematical truth neither supports nor refutes PSE’s proposed equity ratio of 48.5 percent. Indeed, it is irrelevant to this proceeding and fails to address the fact that PSE’s proposed equity ratio of 48.5 percent reflects the regulatory capital structure supporting PSE during the test year and the regulatory capital structure expected to support PSE during the rate year.</w:t>
      </w:r>
    </w:p>
    <w:p w14:paraId="4C779C97" w14:textId="77777777" w:rsidR="00B7218D" w:rsidRPr="003A68D9" w:rsidRDefault="00696419" w:rsidP="001564E7">
      <w:pPr>
        <w:pStyle w:val="Heading2"/>
      </w:pPr>
      <w:bookmarkStart w:id="37" w:name="_Toc488216556"/>
      <w:bookmarkStart w:id="38" w:name="_Toc489790219"/>
      <w:bookmarkStart w:id="39" w:name="_Toc489949678"/>
      <w:r w:rsidRPr="003A68D9">
        <w:lastRenderedPageBreak/>
        <w:t>E</w:t>
      </w:r>
      <w:r w:rsidR="00B7218D" w:rsidRPr="003A68D9">
        <w:t>.</w:t>
      </w:r>
      <w:r w:rsidR="00B7218D" w:rsidRPr="003A68D9">
        <w:tab/>
        <w:t>PSE Proposed Rate of Return of 7.74 Percent is Reasonable and Should be Accepted by the Commission</w:t>
      </w:r>
      <w:bookmarkEnd w:id="37"/>
      <w:bookmarkEnd w:id="38"/>
      <w:bookmarkEnd w:id="39"/>
    </w:p>
    <w:p w14:paraId="23BF2918"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What rate of return is PSE requesting in this proceeding?</w:t>
      </w:r>
    </w:p>
    <w:p w14:paraId="77984832" w14:textId="77777777" w:rsidR="00B7218D" w:rsidRPr="00B7218D" w:rsidRDefault="00B7218D" w:rsidP="001564E7">
      <w:pPr>
        <w:spacing w:before="120" w:after="120" w:line="480" w:lineRule="auto"/>
        <w:ind w:left="720" w:hanging="720"/>
      </w:pPr>
      <w:r w:rsidRPr="00B7218D">
        <w:t>A.</w:t>
      </w:r>
      <w:r w:rsidRPr="00B7218D">
        <w:tab/>
        <w:t xml:space="preserve">PSE’s requested overall rate of return in this proceeding is 7.74 percent, as shown in Table 9 below and the calculations of which can be found in </w:t>
      </w:r>
      <w:proofErr w:type="spellStart"/>
      <w:r w:rsidRPr="00B7218D">
        <w:t>Exh</w:t>
      </w:r>
      <w:proofErr w:type="spellEnd"/>
      <w:r w:rsidRPr="00B7218D">
        <w:t>. BJL-4:</w:t>
      </w:r>
    </w:p>
    <w:p w14:paraId="28169522" w14:textId="77777777" w:rsidR="00B7218D" w:rsidRPr="00B7218D" w:rsidRDefault="00B7218D" w:rsidP="001564E7">
      <w:pPr>
        <w:keepNext/>
        <w:keepLines/>
        <w:spacing w:after="60" w:line="240" w:lineRule="auto"/>
        <w:ind w:firstLine="0"/>
        <w:jc w:val="center"/>
        <w:rPr>
          <w:rFonts w:eastAsia="PMingLiU"/>
          <w:b/>
        </w:rPr>
      </w:pPr>
      <w:r w:rsidRPr="00B7218D">
        <w:rPr>
          <w:rFonts w:eastAsia="PMingLiU"/>
          <w:b/>
        </w:rPr>
        <w:t xml:space="preserve">Table 9. </w:t>
      </w:r>
      <w:r w:rsidRPr="00B7218D">
        <w:rPr>
          <w:b/>
        </w:rPr>
        <w:t>Capital Structure and Rate of Return</w:t>
      </w:r>
    </w:p>
    <w:tbl>
      <w:tblPr>
        <w:tblStyle w:val="TableGrid1"/>
        <w:tblW w:w="868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1266"/>
        <w:gridCol w:w="1266"/>
        <w:gridCol w:w="1266"/>
      </w:tblGrid>
      <w:tr w:rsidR="00B7218D" w:rsidRPr="00B7218D" w14:paraId="09289CCA" w14:textId="77777777" w:rsidTr="00190924">
        <w:tc>
          <w:tcPr>
            <w:tcW w:w="4888" w:type="dxa"/>
            <w:tcBorders>
              <w:top w:val="nil"/>
              <w:left w:val="nil"/>
              <w:bottom w:val="single" w:sz="4" w:space="0" w:color="auto"/>
              <w:right w:val="nil"/>
            </w:tcBorders>
            <w:vAlign w:val="bottom"/>
            <w:hideMark/>
          </w:tcPr>
          <w:p w14:paraId="056413A5" w14:textId="77777777" w:rsidR="00B7218D" w:rsidRPr="00B7218D" w:rsidRDefault="00B7218D" w:rsidP="001564E7">
            <w:pPr>
              <w:keepNext/>
              <w:keepLines/>
              <w:spacing w:before="60" w:after="60" w:line="240" w:lineRule="auto"/>
              <w:ind w:firstLine="0"/>
              <w:jc w:val="center"/>
              <w:rPr>
                <w:b/>
              </w:rPr>
            </w:pPr>
            <w:r w:rsidRPr="00B7218D">
              <w:rPr>
                <w:b/>
              </w:rPr>
              <w:t>Components of Rate of Return</w:t>
            </w:r>
          </w:p>
        </w:tc>
        <w:tc>
          <w:tcPr>
            <w:tcW w:w="1266" w:type="dxa"/>
            <w:tcBorders>
              <w:top w:val="nil"/>
              <w:left w:val="nil"/>
              <w:bottom w:val="single" w:sz="4" w:space="0" w:color="auto"/>
              <w:right w:val="nil"/>
            </w:tcBorders>
            <w:vAlign w:val="bottom"/>
            <w:hideMark/>
          </w:tcPr>
          <w:p w14:paraId="6B524FB2" w14:textId="77777777" w:rsidR="00B7218D" w:rsidRPr="00B7218D" w:rsidRDefault="00B7218D" w:rsidP="001564E7">
            <w:pPr>
              <w:keepNext/>
              <w:keepLines/>
              <w:spacing w:before="60" w:after="60" w:line="240" w:lineRule="auto"/>
              <w:ind w:firstLine="0"/>
              <w:jc w:val="center"/>
              <w:rPr>
                <w:b/>
              </w:rPr>
            </w:pPr>
            <w:r w:rsidRPr="00B7218D">
              <w:rPr>
                <w:b/>
              </w:rPr>
              <w:t>Capital</w:t>
            </w:r>
            <w:r w:rsidRPr="00B7218D">
              <w:rPr>
                <w:b/>
              </w:rPr>
              <w:br/>
              <w:t>Structure</w:t>
            </w:r>
          </w:p>
        </w:tc>
        <w:tc>
          <w:tcPr>
            <w:tcW w:w="1266" w:type="dxa"/>
            <w:tcBorders>
              <w:top w:val="nil"/>
              <w:left w:val="nil"/>
              <w:bottom w:val="single" w:sz="4" w:space="0" w:color="auto"/>
              <w:right w:val="nil"/>
            </w:tcBorders>
            <w:vAlign w:val="bottom"/>
            <w:hideMark/>
          </w:tcPr>
          <w:p w14:paraId="4FC846B1" w14:textId="77777777" w:rsidR="00B7218D" w:rsidRPr="00B7218D" w:rsidRDefault="00B7218D" w:rsidP="001564E7">
            <w:pPr>
              <w:keepNext/>
              <w:keepLines/>
              <w:spacing w:before="60" w:after="60" w:line="240" w:lineRule="auto"/>
              <w:ind w:firstLine="0"/>
              <w:jc w:val="center"/>
              <w:rPr>
                <w:b/>
              </w:rPr>
            </w:pPr>
            <w:r w:rsidRPr="00B7218D">
              <w:rPr>
                <w:b/>
              </w:rPr>
              <w:t>Cost</w:t>
            </w:r>
            <w:r w:rsidRPr="00B7218D">
              <w:rPr>
                <w:b/>
              </w:rPr>
              <w:br/>
              <w:t>Rate</w:t>
            </w:r>
          </w:p>
        </w:tc>
        <w:tc>
          <w:tcPr>
            <w:tcW w:w="1266" w:type="dxa"/>
            <w:tcBorders>
              <w:top w:val="nil"/>
              <w:left w:val="nil"/>
              <w:bottom w:val="single" w:sz="4" w:space="0" w:color="auto"/>
              <w:right w:val="nil"/>
            </w:tcBorders>
            <w:vAlign w:val="bottom"/>
            <w:hideMark/>
          </w:tcPr>
          <w:p w14:paraId="514CC4D9" w14:textId="77777777" w:rsidR="00B7218D" w:rsidRPr="00B7218D" w:rsidRDefault="00B7218D" w:rsidP="001564E7">
            <w:pPr>
              <w:keepNext/>
              <w:keepLines/>
              <w:spacing w:before="60" w:after="60" w:line="240" w:lineRule="auto"/>
              <w:ind w:firstLine="0"/>
              <w:jc w:val="center"/>
              <w:rPr>
                <w:b/>
              </w:rPr>
            </w:pPr>
            <w:r w:rsidRPr="00B7218D">
              <w:rPr>
                <w:b/>
              </w:rPr>
              <w:t>Weighted</w:t>
            </w:r>
            <w:r w:rsidRPr="00B7218D">
              <w:rPr>
                <w:b/>
              </w:rPr>
              <w:br/>
              <w:t>Cost</w:t>
            </w:r>
          </w:p>
        </w:tc>
      </w:tr>
      <w:tr w:rsidR="00B7218D" w:rsidRPr="00B7218D" w14:paraId="2E7A367B" w14:textId="77777777" w:rsidTr="00190924">
        <w:tc>
          <w:tcPr>
            <w:tcW w:w="4888" w:type="dxa"/>
            <w:tcBorders>
              <w:top w:val="single" w:sz="4" w:space="0" w:color="auto"/>
              <w:left w:val="nil"/>
              <w:bottom w:val="nil"/>
              <w:right w:val="nil"/>
            </w:tcBorders>
            <w:hideMark/>
          </w:tcPr>
          <w:p w14:paraId="7613B0B2" w14:textId="77777777" w:rsidR="00B7218D" w:rsidRPr="00B7218D" w:rsidRDefault="00B7218D" w:rsidP="001564E7">
            <w:pPr>
              <w:keepNext/>
              <w:keepLines/>
              <w:spacing w:before="60" w:after="60" w:line="240" w:lineRule="auto"/>
              <w:ind w:left="252" w:firstLine="0"/>
            </w:pPr>
            <w:r w:rsidRPr="00B7218D">
              <w:t>Marginal Short-Term Debt Rate</w:t>
            </w:r>
          </w:p>
        </w:tc>
        <w:tc>
          <w:tcPr>
            <w:tcW w:w="1266" w:type="dxa"/>
            <w:tcBorders>
              <w:top w:val="single" w:sz="4" w:space="0" w:color="auto"/>
              <w:left w:val="nil"/>
              <w:bottom w:val="nil"/>
              <w:right w:val="nil"/>
            </w:tcBorders>
            <w:hideMark/>
          </w:tcPr>
          <w:p w14:paraId="6C6E8928" w14:textId="77777777" w:rsidR="00B7218D" w:rsidRPr="00B7218D" w:rsidRDefault="00B7218D" w:rsidP="001564E7">
            <w:pPr>
              <w:keepNext/>
              <w:keepLines/>
              <w:spacing w:before="60" w:after="60" w:line="240" w:lineRule="auto"/>
              <w:ind w:firstLine="0"/>
              <w:jc w:val="center"/>
            </w:pPr>
            <w:r w:rsidRPr="00B7218D">
              <w:t>1.0%</w:t>
            </w:r>
          </w:p>
        </w:tc>
        <w:tc>
          <w:tcPr>
            <w:tcW w:w="1266" w:type="dxa"/>
            <w:tcBorders>
              <w:top w:val="single" w:sz="4" w:space="0" w:color="auto"/>
              <w:left w:val="nil"/>
              <w:bottom w:val="nil"/>
              <w:right w:val="nil"/>
            </w:tcBorders>
            <w:hideMark/>
          </w:tcPr>
          <w:p w14:paraId="6790C455" w14:textId="77777777" w:rsidR="00B7218D" w:rsidRPr="00B7218D" w:rsidRDefault="00B7218D" w:rsidP="001564E7">
            <w:pPr>
              <w:keepNext/>
              <w:keepLines/>
              <w:spacing w:before="60" w:after="60" w:line="240" w:lineRule="auto"/>
              <w:ind w:firstLine="0"/>
              <w:jc w:val="center"/>
            </w:pPr>
            <w:r w:rsidRPr="00B7218D">
              <w:t>3.06%</w:t>
            </w:r>
          </w:p>
        </w:tc>
        <w:tc>
          <w:tcPr>
            <w:tcW w:w="1266" w:type="dxa"/>
            <w:tcBorders>
              <w:top w:val="single" w:sz="4" w:space="0" w:color="auto"/>
              <w:left w:val="nil"/>
              <w:bottom w:val="nil"/>
              <w:right w:val="nil"/>
            </w:tcBorders>
            <w:hideMark/>
          </w:tcPr>
          <w:p w14:paraId="37C8D403" w14:textId="77777777" w:rsidR="00B7218D" w:rsidRPr="00B7218D" w:rsidRDefault="00B7218D" w:rsidP="001564E7">
            <w:pPr>
              <w:keepNext/>
              <w:keepLines/>
              <w:spacing w:before="60" w:after="60" w:line="240" w:lineRule="auto"/>
              <w:ind w:firstLine="0"/>
              <w:jc w:val="center"/>
            </w:pPr>
            <w:r w:rsidRPr="00B7218D">
              <w:t>0.03%</w:t>
            </w:r>
          </w:p>
        </w:tc>
      </w:tr>
      <w:tr w:rsidR="00B7218D" w:rsidRPr="00B7218D" w14:paraId="52C9675E" w14:textId="77777777" w:rsidTr="00190924">
        <w:tc>
          <w:tcPr>
            <w:tcW w:w="4888" w:type="dxa"/>
            <w:hideMark/>
          </w:tcPr>
          <w:p w14:paraId="2188D9C9" w14:textId="77777777" w:rsidR="00B7218D" w:rsidRPr="00B7218D" w:rsidRDefault="00B7218D" w:rsidP="001564E7">
            <w:pPr>
              <w:keepNext/>
              <w:keepLines/>
              <w:spacing w:before="60" w:after="60" w:line="240" w:lineRule="auto"/>
              <w:ind w:left="252" w:firstLine="0"/>
            </w:pPr>
            <w:r w:rsidRPr="00B7218D">
              <w:t>Commitment Fees</w:t>
            </w:r>
          </w:p>
        </w:tc>
        <w:tc>
          <w:tcPr>
            <w:tcW w:w="1266" w:type="dxa"/>
          </w:tcPr>
          <w:p w14:paraId="1A17CA57" w14:textId="77777777" w:rsidR="00B7218D" w:rsidRPr="00B7218D" w:rsidRDefault="00B7218D" w:rsidP="001564E7">
            <w:pPr>
              <w:keepNext/>
              <w:keepLines/>
              <w:spacing w:before="60" w:after="60" w:line="240" w:lineRule="auto"/>
              <w:ind w:firstLine="0"/>
              <w:jc w:val="center"/>
            </w:pPr>
          </w:p>
        </w:tc>
        <w:tc>
          <w:tcPr>
            <w:tcW w:w="1266" w:type="dxa"/>
          </w:tcPr>
          <w:p w14:paraId="1DBA28AD" w14:textId="77777777" w:rsidR="00B7218D" w:rsidRPr="00B7218D" w:rsidRDefault="00B7218D" w:rsidP="001564E7">
            <w:pPr>
              <w:keepNext/>
              <w:keepLines/>
              <w:spacing w:before="60" w:after="60" w:line="240" w:lineRule="auto"/>
              <w:ind w:firstLine="0"/>
              <w:jc w:val="center"/>
            </w:pPr>
          </w:p>
        </w:tc>
        <w:tc>
          <w:tcPr>
            <w:tcW w:w="1266" w:type="dxa"/>
            <w:hideMark/>
          </w:tcPr>
          <w:p w14:paraId="09B729C0" w14:textId="77777777" w:rsidR="00B7218D" w:rsidRPr="00B7218D" w:rsidRDefault="00B7218D" w:rsidP="001564E7">
            <w:pPr>
              <w:keepNext/>
              <w:keepLines/>
              <w:spacing w:before="60" w:after="60" w:line="240" w:lineRule="auto"/>
              <w:ind w:firstLine="0"/>
              <w:jc w:val="center"/>
            </w:pPr>
            <w:r w:rsidRPr="00B7218D">
              <w:t>0.02%</w:t>
            </w:r>
          </w:p>
        </w:tc>
      </w:tr>
      <w:tr w:rsidR="00B7218D" w:rsidRPr="00B7218D" w14:paraId="2922AB4A" w14:textId="77777777" w:rsidTr="00190924">
        <w:tc>
          <w:tcPr>
            <w:tcW w:w="4888" w:type="dxa"/>
            <w:tcBorders>
              <w:top w:val="nil"/>
              <w:left w:val="nil"/>
              <w:bottom w:val="single" w:sz="4" w:space="0" w:color="auto"/>
              <w:right w:val="nil"/>
            </w:tcBorders>
            <w:hideMark/>
          </w:tcPr>
          <w:p w14:paraId="138F58F8" w14:textId="77777777" w:rsidR="00B7218D" w:rsidRPr="00B7218D" w:rsidRDefault="00B7218D" w:rsidP="001564E7">
            <w:pPr>
              <w:keepNext/>
              <w:keepLines/>
              <w:spacing w:before="60" w:after="60" w:line="240" w:lineRule="auto"/>
              <w:ind w:left="252" w:firstLine="0"/>
            </w:pPr>
            <w:r w:rsidRPr="00B7218D">
              <w:t>Amortization of Short-Term Debt Issue Cost</w:t>
            </w:r>
          </w:p>
        </w:tc>
        <w:tc>
          <w:tcPr>
            <w:tcW w:w="1266" w:type="dxa"/>
            <w:tcBorders>
              <w:top w:val="nil"/>
              <w:left w:val="nil"/>
              <w:bottom w:val="single" w:sz="4" w:space="0" w:color="auto"/>
              <w:right w:val="nil"/>
            </w:tcBorders>
          </w:tcPr>
          <w:p w14:paraId="7D54D112" w14:textId="77777777" w:rsidR="00B7218D" w:rsidRPr="00B7218D" w:rsidRDefault="00B7218D" w:rsidP="001564E7">
            <w:pPr>
              <w:keepNext/>
              <w:keepLines/>
              <w:spacing w:before="60" w:after="60" w:line="240" w:lineRule="auto"/>
              <w:ind w:firstLine="0"/>
              <w:jc w:val="center"/>
            </w:pPr>
          </w:p>
        </w:tc>
        <w:tc>
          <w:tcPr>
            <w:tcW w:w="1266" w:type="dxa"/>
            <w:tcBorders>
              <w:top w:val="nil"/>
              <w:left w:val="nil"/>
              <w:bottom w:val="single" w:sz="4" w:space="0" w:color="auto"/>
              <w:right w:val="nil"/>
            </w:tcBorders>
          </w:tcPr>
          <w:p w14:paraId="39E59B79" w14:textId="77777777" w:rsidR="00B7218D" w:rsidRPr="00B7218D" w:rsidRDefault="00B7218D" w:rsidP="001564E7">
            <w:pPr>
              <w:keepNext/>
              <w:keepLines/>
              <w:spacing w:before="60" w:after="60" w:line="240" w:lineRule="auto"/>
              <w:ind w:firstLine="0"/>
              <w:jc w:val="center"/>
            </w:pPr>
          </w:p>
        </w:tc>
        <w:tc>
          <w:tcPr>
            <w:tcW w:w="1266" w:type="dxa"/>
            <w:tcBorders>
              <w:top w:val="nil"/>
              <w:left w:val="nil"/>
              <w:bottom w:val="single" w:sz="4" w:space="0" w:color="auto"/>
              <w:right w:val="nil"/>
            </w:tcBorders>
            <w:hideMark/>
          </w:tcPr>
          <w:p w14:paraId="388A3511" w14:textId="77777777" w:rsidR="00B7218D" w:rsidRPr="00B7218D" w:rsidRDefault="00B7218D" w:rsidP="001564E7">
            <w:pPr>
              <w:keepNext/>
              <w:keepLines/>
              <w:spacing w:before="60" w:after="60" w:line="240" w:lineRule="auto"/>
              <w:ind w:firstLine="0"/>
              <w:jc w:val="center"/>
            </w:pPr>
            <w:r w:rsidRPr="00B7218D">
              <w:t>0.01%</w:t>
            </w:r>
          </w:p>
        </w:tc>
      </w:tr>
      <w:tr w:rsidR="00B7218D" w:rsidRPr="00B7218D" w14:paraId="0C974940" w14:textId="77777777" w:rsidTr="00190924">
        <w:tc>
          <w:tcPr>
            <w:tcW w:w="4888" w:type="dxa"/>
            <w:tcBorders>
              <w:top w:val="single" w:sz="4" w:space="0" w:color="auto"/>
              <w:left w:val="nil"/>
              <w:bottom w:val="nil"/>
              <w:right w:val="nil"/>
            </w:tcBorders>
            <w:hideMark/>
          </w:tcPr>
          <w:p w14:paraId="3211EEC1" w14:textId="77777777" w:rsidR="00B7218D" w:rsidRPr="00B7218D" w:rsidRDefault="00B7218D" w:rsidP="001564E7">
            <w:pPr>
              <w:keepNext/>
              <w:keepLines/>
              <w:spacing w:before="60" w:after="60" w:line="240" w:lineRule="auto"/>
              <w:ind w:left="252" w:firstLine="0"/>
              <w:rPr>
                <w:b/>
              </w:rPr>
            </w:pPr>
            <w:r w:rsidRPr="00B7218D">
              <w:rPr>
                <w:b/>
              </w:rPr>
              <w:t>Weighted Short-Term Debt Rate</w:t>
            </w:r>
          </w:p>
        </w:tc>
        <w:tc>
          <w:tcPr>
            <w:tcW w:w="1266" w:type="dxa"/>
            <w:tcBorders>
              <w:top w:val="single" w:sz="4" w:space="0" w:color="auto"/>
              <w:left w:val="nil"/>
              <w:bottom w:val="nil"/>
              <w:right w:val="nil"/>
            </w:tcBorders>
          </w:tcPr>
          <w:p w14:paraId="750136C8" w14:textId="77777777" w:rsidR="00B7218D" w:rsidRPr="00B7218D" w:rsidRDefault="00B7218D" w:rsidP="001564E7">
            <w:pPr>
              <w:keepNext/>
              <w:keepLines/>
              <w:spacing w:before="60" w:after="60" w:line="240" w:lineRule="auto"/>
              <w:ind w:firstLine="0"/>
              <w:jc w:val="center"/>
              <w:rPr>
                <w:b/>
              </w:rPr>
            </w:pPr>
          </w:p>
        </w:tc>
        <w:tc>
          <w:tcPr>
            <w:tcW w:w="1266" w:type="dxa"/>
            <w:tcBorders>
              <w:top w:val="single" w:sz="4" w:space="0" w:color="auto"/>
              <w:left w:val="nil"/>
              <w:bottom w:val="nil"/>
              <w:right w:val="nil"/>
            </w:tcBorders>
          </w:tcPr>
          <w:p w14:paraId="4A9F7A3C" w14:textId="77777777" w:rsidR="00B7218D" w:rsidRPr="00B7218D" w:rsidRDefault="00B7218D" w:rsidP="001564E7">
            <w:pPr>
              <w:keepNext/>
              <w:keepLines/>
              <w:spacing w:before="60" w:after="60" w:line="240" w:lineRule="auto"/>
              <w:ind w:firstLine="0"/>
              <w:jc w:val="center"/>
              <w:rPr>
                <w:b/>
              </w:rPr>
            </w:pPr>
          </w:p>
        </w:tc>
        <w:tc>
          <w:tcPr>
            <w:tcW w:w="1266" w:type="dxa"/>
            <w:tcBorders>
              <w:top w:val="single" w:sz="4" w:space="0" w:color="auto"/>
              <w:left w:val="nil"/>
              <w:bottom w:val="nil"/>
              <w:right w:val="nil"/>
            </w:tcBorders>
            <w:hideMark/>
          </w:tcPr>
          <w:p w14:paraId="63213912" w14:textId="77777777" w:rsidR="00B7218D" w:rsidRPr="00B7218D" w:rsidRDefault="00B7218D" w:rsidP="001564E7">
            <w:pPr>
              <w:keepNext/>
              <w:keepLines/>
              <w:spacing w:before="60" w:after="60" w:line="240" w:lineRule="auto"/>
              <w:ind w:firstLine="0"/>
              <w:jc w:val="center"/>
              <w:rPr>
                <w:b/>
              </w:rPr>
            </w:pPr>
            <w:r w:rsidRPr="00B7218D">
              <w:rPr>
                <w:b/>
              </w:rPr>
              <w:t>0.06%</w:t>
            </w:r>
          </w:p>
        </w:tc>
      </w:tr>
      <w:tr w:rsidR="00B7218D" w:rsidRPr="00B7218D" w14:paraId="5C4628FB" w14:textId="77777777" w:rsidTr="00190924">
        <w:tc>
          <w:tcPr>
            <w:tcW w:w="4888" w:type="dxa"/>
            <w:hideMark/>
          </w:tcPr>
          <w:p w14:paraId="22E1CA55" w14:textId="77777777" w:rsidR="00B7218D" w:rsidRPr="00B7218D" w:rsidRDefault="00B7218D" w:rsidP="001564E7">
            <w:pPr>
              <w:keepNext/>
              <w:keepLines/>
              <w:spacing w:before="60" w:after="60" w:line="240" w:lineRule="auto"/>
              <w:ind w:left="252" w:firstLine="0"/>
            </w:pPr>
            <w:r w:rsidRPr="00B7218D">
              <w:t>Marginal Long-Term Debt Rate</w:t>
            </w:r>
          </w:p>
        </w:tc>
        <w:tc>
          <w:tcPr>
            <w:tcW w:w="1266" w:type="dxa"/>
            <w:hideMark/>
          </w:tcPr>
          <w:p w14:paraId="4B1BED8E" w14:textId="77777777" w:rsidR="00B7218D" w:rsidRPr="00B7218D" w:rsidRDefault="00B7218D" w:rsidP="001564E7">
            <w:pPr>
              <w:keepNext/>
              <w:keepLines/>
              <w:spacing w:before="60" w:after="60" w:line="240" w:lineRule="auto"/>
              <w:ind w:firstLine="0"/>
              <w:jc w:val="center"/>
            </w:pPr>
            <w:r w:rsidRPr="00B7218D">
              <w:t>50.5%</w:t>
            </w:r>
          </w:p>
        </w:tc>
        <w:tc>
          <w:tcPr>
            <w:tcW w:w="1266" w:type="dxa"/>
            <w:hideMark/>
          </w:tcPr>
          <w:p w14:paraId="09752FCA" w14:textId="77777777" w:rsidR="00B7218D" w:rsidRPr="00B7218D" w:rsidRDefault="00B7218D" w:rsidP="001564E7">
            <w:pPr>
              <w:keepNext/>
              <w:keepLines/>
              <w:spacing w:before="60" w:after="60" w:line="240" w:lineRule="auto"/>
              <w:ind w:firstLine="0"/>
              <w:jc w:val="center"/>
            </w:pPr>
            <w:r w:rsidRPr="00B7218D">
              <w:t>5.74%</w:t>
            </w:r>
          </w:p>
        </w:tc>
        <w:tc>
          <w:tcPr>
            <w:tcW w:w="1266" w:type="dxa"/>
            <w:hideMark/>
          </w:tcPr>
          <w:p w14:paraId="6FB70BA2" w14:textId="77777777" w:rsidR="00B7218D" w:rsidRPr="00B7218D" w:rsidRDefault="00B7218D" w:rsidP="001564E7">
            <w:pPr>
              <w:keepNext/>
              <w:keepLines/>
              <w:spacing w:before="60" w:after="60" w:line="240" w:lineRule="auto"/>
              <w:ind w:firstLine="0"/>
              <w:jc w:val="center"/>
            </w:pPr>
            <w:r w:rsidRPr="00B7218D">
              <w:t>2.90%</w:t>
            </w:r>
          </w:p>
        </w:tc>
      </w:tr>
      <w:tr w:rsidR="00B7218D" w:rsidRPr="00B7218D" w14:paraId="5D0487A2" w14:textId="77777777" w:rsidTr="00190924">
        <w:tc>
          <w:tcPr>
            <w:tcW w:w="4888" w:type="dxa"/>
            <w:tcBorders>
              <w:top w:val="nil"/>
              <w:left w:val="nil"/>
              <w:bottom w:val="single" w:sz="4" w:space="0" w:color="auto"/>
              <w:right w:val="nil"/>
            </w:tcBorders>
            <w:hideMark/>
          </w:tcPr>
          <w:p w14:paraId="0A9F0B04" w14:textId="77777777" w:rsidR="00B7218D" w:rsidRPr="00B7218D" w:rsidRDefault="00B7218D" w:rsidP="001564E7">
            <w:pPr>
              <w:keepNext/>
              <w:keepLines/>
              <w:spacing w:before="60" w:after="60" w:line="240" w:lineRule="auto"/>
              <w:ind w:left="252" w:firstLine="0"/>
            </w:pPr>
            <w:r w:rsidRPr="00B7218D">
              <w:t>Amortization of Reacquired Debt</w:t>
            </w:r>
          </w:p>
        </w:tc>
        <w:tc>
          <w:tcPr>
            <w:tcW w:w="1266" w:type="dxa"/>
            <w:tcBorders>
              <w:top w:val="nil"/>
              <w:left w:val="nil"/>
              <w:bottom w:val="single" w:sz="4" w:space="0" w:color="auto"/>
              <w:right w:val="nil"/>
            </w:tcBorders>
          </w:tcPr>
          <w:p w14:paraId="1276462A" w14:textId="77777777" w:rsidR="00B7218D" w:rsidRPr="00B7218D" w:rsidRDefault="00B7218D" w:rsidP="001564E7">
            <w:pPr>
              <w:keepNext/>
              <w:keepLines/>
              <w:spacing w:before="60" w:after="60" w:line="240" w:lineRule="auto"/>
              <w:ind w:firstLine="0"/>
              <w:jc w:val="center"/>
            </w:pPr>
          </w:p>
        </w:tc>
        <w:tc>
          <w:tcPr>
            <w:tcW w:w="1266" w:type="dxa"/>
            <w:tcBorders>
              <w:top w:val="nil"/>
              <w:left w:val="nil"/>
              <w:bottom w:val="single" w:sz="4" w:space="0" w:color="auto"/>
              <w:right w:val="nil"/>
            </w:tcBorders>
          </w:tcPr>
          <w:p w14:paraId="5E6E6517" w14:textId="77777777" w:rsidR="00B7218D" w:rsidRPr="00B7218D" w:rsidRDefault="00B7218D" w:rsidP="001564E7">
            <w:pPr>
              <w:keepNext/>
              <w:keepLines/>
              <w:spacing w:before="60" w:after="60" w:line="240" w:lineRule="auto"/>
              <w:ind w:firstLine="0"/>
              <w:jc w:val="center"/>
            </w:pPr>
          </w:p>
        </w:tc>
        <w:tc>
          <w:tcPr>
            <w:tcW w:w="1266" w:type="dxa"/>
            <w:tcBorders>
              <w:top w:val="nil"/>
              <w:left w:val="nil"/>
              <w:bottom w:val="single" w:sz="4" w:space="0" w:color="auto"/>
              <w:right w:val="nil"/>
            </w:tcBorders>
            <w:hideMark/>
          </w:tcPr>
          <w:p w14:paraId="4C290729" w14:textId="77777777" w:rsidR="00B7218D" w:rsidRPr="00B7218D" w:rsidRDefault="00B7218D" w:rsidP="001564E7">
            <w:pPr>
              <w:keepNext/>
              <w:keepLines/>
              <w:spacing w:before="60" w:after="60" w:line="240" w:lineRule="auto"/>
              <w:ind w:firstLine="0"/>
              <w:jc w:val="center"/>
            </w:pPr>
            <w:r w:rsidRPr="00B7218D">
              <w:t>0.03%</w:t>
            </w:r>
          </w:p>
        </w:tc>
      </w:tr>
      <w:tr w:rsidR="00B7218D" w:rsidRPr="00B7218D" w14:paraId="3E4E36AC" w14:textId="77777777" w:rsidTr="00190924">
        <w:tc>
          <w:tcPr>
            <w:tcW w:w="4888" w:type="dxa"/>
            <w:tcBorders>
              <w:top w:val="single" w:sz="4" w:space="0" w:color="auto"/>
              <w:left w:val="nil"/>
              <w:bottom w:val="single" w:sz="4" w:space="0" w:color="auto"/>
              <w:right w:val="nil"/>
            </w:tcBorders>
            <w:hideMark/>
          </w:tcPr>
          <w:p w14:paraId="11D44698" w14:textId="77777777" w:rsidR="00B7218D" w:rsidRPr="00B7218D" w:rsidRDefault="00B7218D" w:rsidP="001564E7">
            <w:pPr>
              <w:keepNext/>
              <w:keepLines/>
              <w:spacing w:before="60" w:after="60" w:line="240" w:lineRule="auto"/>
              <w:ind w:left="252" w:firstLine="0"/>
              <w:rPr>
                <w:b/>
              </w:rPr>
            </w:pPr>
            <w:r w:rsidRPr="00B7218D">
              <w:rPr>
                <w:b/>
              </w:rPr>
              <w:t>Weighted Long-Term Debt Rate</w:t>
            </w:r>
          </w:p>
        </w:tc>
        <w:tc>
          <w:tcPr>
            <w:tcW w:w="1266" w:type="dxa"/>
            <w:tcBorders>
              <w:top w:val="single" w:sz="4" w:space="0" w:color="auto"/>
              <w:left w:val="nil"/>
              <w:bottom w:val="single" w:sz="4" w:space="0" w:color="auto"/>
              <w:right w:val="nil"/>
            </w:tcBorders>
          </w:tcPr>
          <w:p w14:paraId="17A4E88C" w14:textId="77777777" w:rsidR="00B7218D" w:rsidRPr="00B7218D" w:rsidRDefault="00B7218D" w:rsidP="001564E7">
            <w:pPr>
              <w:keepNext/>
              <w:keepLines/>
              <w:spacing w:before="60" w:after="60" w:line="240" w:lineRule="auto"/>
              <w:ind w:firstLine="0"/>
              <w:jc w:val="center"/>
            </w:pPr>
          </w:p>
        </w:tc>
        <w:tc>
          <w:tcPr>
            <w:tcW w:w="1266" w:type="dxa"/>
            <w:tcBorders>
              <w:top w:val="single" w:sz="4" w:space="0" w:color="auto"/>
              <w:left w:val="nil"/>
              <w:bottom w:val="single" w:sz="4" w:space="0" w:color="auto"/>
              <w:right w:val="nil"/>
            </w:tcBorders>
          </w:tcPr>
          <w:p w14:paraId="2C7A0699" w14:textId="77777777" w:rsidR="00B7218D" w:rsidRPr="00B7218D" w:rsidRDefault="00B7218D" w:rsidP="001564E7">
            <w:pPr>
              <w:keepNext/>
              <w:keepLines/>
              <w:spacing w:before="60" w:after="60" w:line="240" w:lineRule="auto"/>
              <w:ind w:firstLine="0"/>
              <w:jc w:val="center"/>
            </w:pPr>
          </w:p>
        </w:tc>
        <w:tc>
          <w:tcPr>
            <w:tcW w:w="1266" w:type="dxa"/>
            <w:tcBorders>
              <w:top w:val="single" w:sz="4" w:space="0" w:color="auto"/>
              <w:left w:val="nil"/>
              <w:bottom w:val="single" w:sz="4" w:space="0" w:color="auto"/>
              <w:right w:val="nil"/>
            </w:tcBorders>
            <w:hideMark/>
          </w:tcPr>
          <w:p w14:paraId="605BD6D9" w14:textId="77777777" w:rsidR="00B7218D" w:rsidRPr="00B7218D" w:rsidRDefault="00B7218D" w:rsidP="001564E7">
            <w:pPr>
              <w:keepNext/>
              <w:keepLines/>
              <w:spacing w:before="60" w:after="60" w:line="240" w:lineRule="auto"/>
              <w:ind w:firstLine="0"/>
              <w:jc w:val="center"/>
            </w:pPr>
            <w:r w:rsidRPr="00B7218D">
              <w:t>2.93%</w:t>
            </w:r>
          </w:p>
        </w:tc>
      </w:tr>
      <w:tr w:rsidR="00B7218D" w:rsidRPr="00B7218D" w14:paraId="343F80C6" w14:textId="77777777" w:rsidTr="00190924">
        <w:tc>
          <w:tcPr>
            <w:tcW w:w="4888" w:type="dxa"/>
            <w:tcBorders>
              <w:top w:val="single" w:sz="4" w:space="0" w:color="auto"/>
              <w:left w:val="nil"/>
              <w:bottom w:val="nil"/>
              <w:right w:val="nil"/>
            </w:tcBorders>
            <w:hideMark/>
          </w:tcPr>
          <w:p w14:paraId="59943747" w14:textId="77777777" w:rsidR="00B7218D" w:rsidRPr="00B7218D" w:rsidRDefault="00B7218D" w:rsidP="001564E7">
            <w:pPr>
              <w:keepNext/>
              <w:keepLines/>
              <w:spacing w:before="60" w:after="60" w:line="240" w:lineRule="auto"/>
              <w:ind w:firstLine="0"/>
              <w:rPr>
                <w:b/>
              </w:rPr>
            </w:pPr>
            <w:r w:rsidRPr="00B7218D">
              <w:rPr>
                <w:b/>
              </w:rPr>
              <w:t>Total Debt</w:t>
            </w:r>
          </w:p>
        </w:tc>
        <w:tc>
          <w:tcPr>
            <w:tcW w:w="1266" w:type="dxa"/>
            <w:tcBorders>
              <w:top w:val="single" w:sz="4" w:space="0" w:color="auto"/>
              <w:left w:val="nil"/>
              <w:bottom w:val="nil"/>
              <w:right w:val="nil"/>
            </w:tcBorders>
            <w:hideMark/>
          </w:tcPr>
          <w:p w14:paraId="261993FC" w14:textId="77777777" w:rsidR="00B7218D" w:rsidRPr="00B7218D" w:rsidRDefault="00B7218D" w:rsidP="001564E7">
            <w:pPr>
              <w:keepNext/>
              <w:keepLines/>
              <w:spacing w:before="60" w:after="60" w:line="240" w:lineRule="auto"/>
              <w:ind w:firstLine="0"/>
              <w:jc w:val="center"/>
              <w:rPr>
                <w:b/>
              </w:rPr>
            </w:pPr>
            <w:r w:rsidRPr="00B7218D">
              <w:rPr>
                <w:b/>
              </w:rPr>
              <w:t>51.5%</w:t>
            </w:r>
          </w:p>
        </w:tc>
        <w:tc>
          <w:tcPr>
            <w:tcW w:w="1266" w:type="dxa"/>
            <w:tcBorders>
              <w:top w:val="single" w:sz="4" w:space="0" w:color="auto"/>
              <w:left w:val="nil"/>
              <w:bottom w:val="nil"/>
              <w:right w:val="nil"/>
            </w:tcBorders>
          </w:tcPr>
          <w:p w14:paraId="3E4EE152" w14:textId="77777777" w:rsidR="00B7218D" w:rsidRPr="00B7218D" w:rsidRDefault="00B7218D" w:rsidP="001564E7">
            <w:pPr>
              <w:keepNext/>
              <w:keepLines/>
              <w:spacing w:before="60" w:after="60" w:line="240" w:lineRule="auto"/>
              <w:ind w:firstLine="0"/>
              <w:jc w:val="center"/>
              <w:rPr>
                <w:b/>
              </w:rPr>
            </w:pPr>
          </w:p>
        </w:tc>
        <w:tc>
          <w:tcPr>
            <w:tcW w:w="1266" w:type="dxa"/>
            <w:tcBorders>
              <w:top w:val="single" w:sz="4" w:space="0" w:color="auto"/>
              <w:left w:val="nil"/>
              <w:bottom w:val="nil"/>
              <w:right w:val="nil"/>
            </w:tcBorders>
            <w:hideMark/>
          </w:tcPr>
          <w:p w14:paraId="7326D829" w14:textId="77777777" w:rsidR="00B7218D" w:rsidRPr="00B7218D" w:rsidRDefault="00B7218D" w:rsidP="001564E7">
            <w:pPr>
              <w:keepNext/>
              <w:keepLines/>
              <w:spacing w:before="60" w:after="60" w:line="240" w:lineRule="auto"/>
              <w:ind w:firstLine="0"/>
              <w:jc w:val="center"/>
              <w:rPr>
                <w:b/>
              </w:rPr>
            </w:pPr>
            <w:r w:rsidRPr="00B7218D">
              <w:rPr>
                <w:b/>
              </w:rPr>
              <w:t>2.99%</w:t>
            </w:r>
          </w:p>
        </w:tc>
      </w:tr>
      <w:tr w:rsidR="00B7218D" w:rsidRPr="00B7218D" w14:paraId="36B1462E" w14:textId="77777777" w:rsidTr="00190924">
        <w:tc>
          <w:tcPr>
            <w:tcW w:w="4888" w:type="dxa"/>
            <w:hideMark/>
          </w:tcPr>
          <w:p w14:paraId="033C0AB8" w14:textId="77777777" w:rsidR="00B7218D" w:rsidRPr="00B7218D" w:rsidRDefault="00B7218D" w:rsidP="001564E7">
            <w:pPr>
              <w:keepNext/>
              <w:keepLines/>
              <w:spacing w:before="60" w:after="60" w:line="240" w:lineRule="auto"/>
              <w:ind w:firstLine="0"/>
              <w:rPr>
                <w:b/>
              </w:rPr>
            </w:pPr>
            <w:r w:rsidRPr="00B7218D">
              <w:rPr>
                <w:b/>
              </w:rPr>
              <w:t>Common Equity</w:t>
            </w:r>
          </w:p>
        </w:tc>
        <w:tc>
          <w:tcPr>
            <w:tcW w:w="1266" w:type="dxa"/>
            <w:hideMark/>
          </w:tcPr>
          <w:p w14:paraId="3173DFB4" w14:textId="77777777" w:rsidR="00B7218D" w:rsidRPr="00B7218D" w:rsidRDefault="00B7218D" w:rsidP="001564E7">
            <w:pPr>
              <w:keepNext/>
              <w:keepLines/>
              <w:spacing w:before="60" w:after="60" w:line="240" w:lineRule="auto"/>
              <w:ind w:firstLine="0"/>
              <w:jc w:val="center"/>
              <w:rPr>
                <w:b/>
                <w:u w:val="single"/>
              </w:rPr>
            </w:pPr>
            <w:r w:rsidRPr="00B7218D">
              <w:rPr>
                <w:b/>
                <w:u w:val="single"/>
              </w:rPr>
              <w:t>48.5%</w:t>
            </w:r>
          </w:p>
        </w:tc>
        <w:tc>
          <w:tcPr>
            <w:tcW w:w="1266" w:type="dxa"/>
            <w:hideMark/>
          </w:tcPr>
          <w:p w14:paraId="4559D256" w14:textId="77777777" w:rsidR="00B7218D" w:rsidRPr="00B7218D" w:rsidRDefault="00B7218D" w:rsidP="001564E7">
            <w:pPr>
              <w:keepNext/>
              <w:keepLines/>
              <w:spacing w:before="60" w:after="60" w:line="240" w:lineRule="auto"/>
              <w:ind w:firstLine="0"/>
              <w:jc w:val="center"/>
              <w:rPr>
                <w:b/>
                <w:u w:val="single"/>
              </w:rPr>
            </w:pPr>
            <w:r w:rsidRPr="00B7218D">
              <w:rPr>
                <w:b/>
                <w:u w:val="single"/>
              </w:rPr>
              <w:t>9.80%</w:t>
            </w:r>
          </w:p>
        </w:tc>
        <w:tc>
          <w:tcPr>
            <w:tcW w:w="1266" w:type="dxa"/>
            <w:hideMark/>
          </w:tcPr>
          <w:p w14:paraId="21E704D6" w14:textId="77777777" w:rsidR="00B7218D" w:rsidRPr="00B7218D" w:rsidRDefault="00B7218D" w:rsidP="001564E7">
            <w:pPr>
              <w:keepNext/>
              <w:keepLines/>
              <w:spacing w:before="60" w:after="60" w:line="240" w:lineRule="auto"/>
              <w:ind w:firstLine="0"/>
              <w:jc w:val="center"/>
              <w:rPr>
                <w:b/>
                <w:u w:val="single"/>
              </w:rPr>
            </w:pPr>
            <w:r w:rsidRPr="00B7218D">
              <w:rPr>
                <w:b/>
                <w:u w:val="single"/>
              </w:rPr>
              <w:t>4.75%</w:t>
            </w:r>
          </w:p>
        </w:tc>
      </w:tr>
      <w:tr w:rsidR="00B7218D" w:rsidRPr="00B7218D" w14:paraId="2EA12489" w14:textId="77777777" w:rsidTr="00190924">
        <w:tc>
          <w:tcPr>
            <w:tcW w:w="4888" w:type="dxa"/>
            <w:hideMark/>
          </w:tcPr>
          <w:p w14:paraId="49DE34A4" w14:textId="77777777" w:rsidR="00B7218D" w:rsidRPr="00B7218D" w:rsidRDefault="00B7218D" w:rsidP="001564E7">
            <w:pPr>
              <w:spacing w:before="60" w:after="60" w:line="240" w:lineRule="auto"/>
              <w:ind w:firstLine="0"/>
              <w:rPr>
                <w:b/>
              </w:rPr>
            </w:pPr>
            <w:r w:rsidRPr="00B7218D">
              <w:rPr>
                <w:b/>
              </w:rPr>
              <w:t>Overall Rate of Return</w:t>
            </w:r>
          </w:p>
        </w:tc>
        <w:tc>
          <w:tcPr>
            <w:tcW w:w="1266" w:type="dxa"/>
            <w:hideMark/>
          </w:tcPr>
          <w:p w14:paraId="6C9660ED" w14:textId="77777777" w:rsidR="00B7218D" w:rsidRPr="00B7218D" w:rsidRDefault="00B7218D" w:rsidP="001564E7">
            <w:pPr>
              <w:spacing w:before="60" w:after="60" w:line="240" w:lineRule="auto"/>
              <w:ind w:firstLine="0"/>
              <w:jc w:val="center"/>
              <w:rPr>
                <w:b/>
              </w:rPr>
            </w:pPr>
            <w:r w:rsidRPr="00B7218D">
              <w:rPr>
                <w:b/>
              </w:rPr>
              <w:t>100.0%</w:t>
            </w:r>
          </w:p>
        </w:tc>
        <w:tc>
          <w:tcPr>
            <w:tcW w:w="1266" w:type="dxa"/>
          </w:tcPr>
          <w:p w14:paraId="60114CC5" w14:textId="77777777" w:rsidR="00B7218D" w:rsidRPr="00B7218D" w:rsidRDefault="00B7218D" w:rsidP="001564E7">
            <w:pPr>
              <w:spacing w:before="60" w:after="60" w:line="240" w:lineRule="auto"/>
              <w:ind w:firstLine="0"/>
              <w:jc w:val="center"/>
              <w:rPr>
                <w:b/>
              </w:rPr>
            </w:pPr>
          </w:p>
        </w:tc>
        <w:tc>
          <w:tcPr>
            <w:tcW w:w="1266" w:type="dxa"/>
            <w:hideMark/>
          </w:tcPr>
          <w:p w14:paraId="12BB1855" w14:textId="77777777" w:rsidR="00B7218D" w:rsidRPr="00B7218D" w:rsidRDefault="00B7218D" w:rsidP="001564E7">
            <w:pPr>
              <w:spacing w:before="60" w:after="60" w:line="240" w:lineRule="auto"/>
              <w:ind w:firstLine="0"/>
              <w:jc w:val="center"/>
              <w:rPr>
                <w:b/>
              </w:rPr>
            </w:pPr>
            <w:r w:rsidRPr="00B7218D">
              <w:rPr>
                <w:b/>
              </w:rPr>
              <w:t>7.74%</w:t>
            </w:r>
          </w:p>
        </w:tc>
      </w:tr>
    </w:tbl>
    <w:p w14:paraId="77036353" w14:textId="77777777" w:rsidR="00B7218D" w:rsidRPr="00B7218D" w:rsidRDefault="00B7218D" w:rsidP="001564E7">
      <w:pPr>
        <w:pStyle w:val="Heading3"/>
        <w:spacing w:before="360"/>
      </w:pPr>
      <w:bookmarkStart w:id="40" w:name="_Toc488216557"/>
      <w:bookmarkStart w:id="41" w:name="_Toc489790220"/>
      <w:bookmarkStart w:id="42" w:name="_Toc489949679"/>
      <w:r w:rsidRPr="00B7218D">
        <w:t>1.</w:t>
      </w:r>
      <w:r w:rsidRPr="00B7218D">
        <w:tab/>
        <w:t>PSE Proposed Return on Equity of 9.8 Percent is Reasonable and Should be Accepted by the Commission</w:t>
      </w:r>
      <w:bookmarkEnd w:id="40"/>
      <w:bookmarkEnd w:id="41"/>
      <w:bookmarkEnd w:id="42"/>
    </w:p>
    <w:p w14:paraId="580652E6"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provide a response to proposed returns on equity methodologies and related assumptions presented by Commission Staff, Public Counsel, and ICNU?</w:t>
      </w:r>
    </w:p>
    <w:p w14:paraId="05A7230A" w14:textId="77777777" w:rsidR="00B7218D" w:rsidRPr="00B7218D" w:rsidRDefault="00B7218D" w:rsidP="001564E7">
      <w:pPr>
        <w:spacing w:before="120" w:after="120" w:line="480" w:lineRule="auto"/>
        <w:ind w:left="720" w:hanging="720"/>
      </w:pPr>
      <w:r w:rsidRPr="00B7218D">
        <w:t>A.</w:t>
      </w:r>
      <w:r w:rsidRPr="00B7218D">
        <w:tab/>
        <w:t xml:space="preserve">Yes. The </w:t>
      </w:r>
      <w:proofErr w:type="spellStart"/>
      <w:r w:rsidRPr="00B7218D">
        <w:t>Prefiled</w:t>
      </w:r>
      <w:proofErr w:type="spellEnd"/>
      <w:r w:rsidRPr="00B7218D">
        <w:t xml:space="preserve"> Rebuttal Testimony of Dr. Roger A. Morin, </w:t>
      </w:r>
      <w:proofErr w:type="spellStart"/>
      <w:r w:rsidRPr="00B7218D">
        <w:t>Exh</w:t>
      </w:r>
      <w:proofErr w:type="spellEnd"/>
      <w:r w:rsidRPr="00B7218D">
        <w:t xml:space="preserve">. RAM-12T, presents PSE’s response to the appropriate models, methodologies, and assumptions for determining return on equity for PSE. This rebuttal testimony </w:t>
      </w:r>
      <w:r w:rsidRPr="00B7218D">
        <w:lastRenderedPageBreak/>
        <w:t>does not offer any comment with respect to the proper use of discounted cash flow model, capital asset pricing model, risk premium models, etc., and what assumptions ought to be employed in these models and methodologies, based on current economic conditions.</w:t>
      </w:r>
    </w:p>
    <w:p w14:paraId="77F7F62B"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consider the allowed return on equity proposed by Public Counsel to be reasonable?</w:t>
      </w:r>
    </w:p>
    <w:p w14:paraId="7EABD105" w14:textId="24D4ECE4" w:rsidR="00B7218D" w:rsidRPr="00B7218D" w:rsidRDefault="00B7218D" w:rsidP="001564E7">
      <w:pPr>
        <w:spacing w:before="120" w:after="120" w:line="480" w:lineRule="auto"/>
        <w:ind w:left="720" w:hanging="720"/>
      </w:pPr>
      <w:r w:rsidRPr="00B7218D">
        <w:t>A.</w:t>
      </w:r>
      <w:r w:rsidRPr="00B7218D">
        <w:tab/>
        <w:t xml:space="preserve">No. Public Counsel’s proposed allowed return on equity of only 8.85 percent is not reasonable by any </w:t>
      </w:r>
      <w:r w:rsidR="00F0358F">
        <w:t xml:space="preserve">prudent </w:t>
      </w:r>
      <w:r w:rsidRPr="00B7218D">
        <w:t xml:space="preserve">standard. Dr. Morin provides a thorough review and dismantling of the various return on equity analyses </w:t>
      </w:r>
      <w:r w:rsidR="001564E7">
        <w:t xml:space="preserve">of </w:t>
      </w:r>
      <w:r w:rsidRPr="00B7218D">
        <w:t>Public Counsel and reaches the conclusion that the Commission should reject Public Counsel’s return on equity studies.</w:t>
      </w:r>
      <w:r w:rsidRPr="00B7218D">
        <w:rPr>
          <w:position w:val="6"/>
          <w:sz w:val="16"/>
        </w:rPr>
        <w:footnoteReference w:id="57"/>
      </w:r>
    </w:p>
    <w:p w14:paraId="207EA155" w14:textId="2459C96B" w:rsidR="00B7218D" w:rsidRPr="00B7218D" w:rsidRDefault="00B7218D" w:rsidP="001564E7">
      <w:pPr>
        <w:spacing w:before="120" w:after="120" w:line="480" w:lineRule="auto"/>
        <w:ind w:left="720" w:firstLine="0"/>
      </w:pPr>
      <w:r w:rsidRPr="00B7218D">
        <w:t>Further, Public Counsel’s proposed allowed return on equity of 8.85 percent is significantly below the allowed returns on equity authorized by state utility commissions across the country. As Dr. Morin points out in his rebuttal testimony, the averaged allowed return on equity authorized by state utility commissions for electric utilities for the first three months of calendar year 2017 was 9.9 percent. Additionally, the average allowed return on equity for the electric utilities in Public Counsel’s own peer group is 10.0 percent.</w:t>
      </w:r>
      <w:r w:rsidRPr="00B7218D">
        <w:rPr>
          <w:position w:val="6"/>
          <w:sz w:val="16"/>
        </w:rPr>
        <w:footnoteReference w:id="58"/>
      </w:r>
      <w:r w:rsidRPr="00B7218D">
        <w:t xml:space="preserve"> Curiously, the low end (7.7 percent) of Public Counsel’s purported “range of reasonableness” is closer to PSE’s embedded cost of long-term debt (5.73 percent) than it is to </w:t>
      </w:r>
      <w:r w:rsidRPr="00B7218D">
        <w:lastRenderedPageBreak/>
        <w:t>either PSE’s currently allowed return on equity (9.8 percent) or the average allowed return on equity of Public Counsel’s own peer group (10.0 percent).</w:t>
      </w:r>
    </w:p>
    <w:p w14:paraId="34FFFEBD"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have any comment on the allowed return on equity proposed by Commission Staff?</w:t>
      </w:r>
    </w:p>
    <w:p w14:paraId="5BDC6FBA" w14:textId="31D475C6" w:rsidR="00B7218D" w:rsidRPr="00B7218D" w:rsidRDefault="00B7218D" w:rsidP="001564E7">
      <w:pPr>
        <w:spacing w:before="120" w:after="120" w:line="480" w:lineRule="auto"/>
        <w:ind w:left="720" w:hanging="720"/>
      </w:pPr>
      <w:r w:rsidRPr="00B7218D">
        <w:t>A.</w:t>
      </w:r>
      <w:r w:rsidRPr="00B7218D">
        <w:tab/>
        <w:t>Commission Staff recommends an allowed return on equity for PSE in the range of 8.85 percent to 9.5 percent.</w:t>
      </w:r>
      <w:r w:rsidRPr="00B7218D">
        <w:rPr>
          <w:position w:val="6"/>
          <w:sz w:val="16"/>
        </w:rPr>
        <w:footnoteReference w:id="59"/>
      </w:r>
      <w:r w:rsidRPr="00B7218D">
        <w:t xml:space="preserve"> In his rebuttal testimony, Dr. Morin makes necessary adjustments to Commission Staff’s studies, and these adjustments result in an amended range of 9.0 percent to 10.5</w:t>
      </w:r>
      <w:r w:rsidR="00446617">
        <w:t> </w:t>
      </w:r>
      <w:r w:rsidRPr="00B7218D">
        <w:t>percent.</w:t>
      </w:r>
      <w:r w:rsidRPr="00B7218D">
        <w:rPr>
          <w:position w:val="6"/>
          <w:sz w:val="16"/>
        </w:rPr>
        <w:footnoteReference w:id="60"/>
      </w:r>
    </w:p>
    <w:p w14:paraId="32B70EF5"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have an comment on the allowed return on equity proposed by ICNU?</w:t>
      </w:r>
    </w:p>
    <w:p w14:paraId="33C5A56C" w14:textId="77777777" w:rsidR="00B7218D" w:rsidRPr="00B7218D" w:rsidRDefault="00B7218D" w:rsidP="001564E7">
      <w:pPr>
        <w:spacing w:before="120" w:after="120" w:line="480" w:lineRule="auto"/>
        <w:ind w:left="720" w:hanging="720"/>
      </w:pPr>
      <w:r w:rsidRPr="00B7218D">
        <w:t>A.</w:t>
      </w:r>
      <w:r w:rsidRPr="00B7218D">
        <w:tab/>
        <w:t>Although ICNU does not present its own independent return on equity analyses, ICNU appears to recommend an allowed return on equity for PSE in the range of 8.6 percent to 9.6 percent based on adjustments made to Dr. Morin’s return on equity analyses.</w:t>
      </w:r>
      <w:r w:rsidRPr="00B7218D">
        <w:rPr>
          <w:position w:val="6"/>
          <w:sz w:val="16"/>
        </w:rPr>
        <w:footnoteReference w:id="61"/>
      </w:r>
      <w:r w:rsidRPr="00B7218D">
        <w:t xml:space="preserve"> In his rebuttal testimony, Dr. Morin makes necessary adjustments to </w:t>
      </w:r>
      <w:proofErr w:type="spellStart"/>
      <w:r w:rsidRPr="00B7218D">
        <w:t>ICNU’s</w:t>
      </w:r>
      <w:proofErr w:type="spellEnd"/>
      <w:r w:rsidRPr="00B7218D">
        <w:t xml:space="preserve"> adjustments, and these adjustments result in an amended range of 9.3 percent to 10.7 percent.</w:t>
      </w:r>
      <w:r w:rsidRPr="00B7218D">
        <w:rPr>
          <w:position w:val="6"/>
          <w:sz w:val="16"/>
        </w:rPr>
        <w:footnoteReference w:id="62"/>
      </w:r>
    </w:p>
    <w:p w14:paraId="4067E099"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Is PSE’s proposed allowed return on equity of 9.8 percent reasonable?</w:t>
      </w:r>
    </w:p>
    <w:p w14:paraId="6C20288B" w14:textId="77777777" w:rsidR="00B7218D" w:rsidRPr="00B7218D" w:rsidRDefault="00B7218D" w:rsidP="001564E7">
      <w:pPr>
        <w:spacing w:before="120" w:after="120" w:line="480" w:lineRule="auto"/>
        <w:ind w:left="720" w:hanging="720"/>
      </w:pPr>
      <w:r w:rsidRPr="00B7218D">
        <w:t>A.</w:t>
      </w:r>
      <w:r w:rsidRPr="00B7218D">
        <w:tab/>
        <w:t xml:space="preserve">Yes. PSE’s proposed allowed return on equity of 9.8 percent is reasonable for several reasons. </w:t>
      </w:r>
    </w:p>
    <w:p w14:paraId="28C049F8" w14:textId="77777777" w:rsidR="00B7218D" w:rsidRPr="00B7218D" w:rsidRDefault="00B7218D" w:rsidP="001564E7">
      <w:pPr>
        <w:spacing w:before="120" w:after="120" w:line="480" w:lineRule="auto"/>
        <w:ind w:left="720" w:firstLine="0"/>
      </w:pPr>
      <w:r w:rsidRPr="00B7218D">
        <w:t xml:space="preserve">First, PSE’s proposed allowed return on equity of 9.8 percent is below the average allowed return on equity authorized by state utility commissions for electric utilities for the three months ended March 31, 2017. As stated in the </w:t>
      </w:r>
      <w:proofErr w:type="spellStart"/>
      <w:r w:rsidRPr="00B7218D">
        <w:t>Prefiled</w:t>
      </w:r>
      <w:proofErr w:type="spellEnd"/>
      <w:r w:rsidRPr="00B7218D">
        <w:t xml:space="preserve"> Rebuttal Testimony of Dr. Roger A. Morin, </w:t>
      </w:r>
      <w:proofErr w:type="spellStart"/>
      <w:r w:rsidRPr="00B7218D">
        <w:t>Exh</w:t>
      </w:r>
      <w:proofErr w:type="spellEnd"/>
      <w:r w:rsidRPr="00B7218D">
        <w:t>. RAM-12T, the average allowed return on equity authorized by state utility commissions for electric utilities for the three months ended March 31, 2017, was 9.9 percent.</w:t>
      </w:r>
    </w:p>
    <w:p w14:paraId="73E2711A" w14:textId="4F95D58B" w:rsidR="00B7218D" w:rsidRPr="00B7218D" w:rsidRDefault="00B7218D" w:rsidP="001564E7">
      <w:pPr>
        <w:spacing w:before="120" w:after="120" w:line="480" w:lineRule="auto"/>
        <w:ind w:left="720" w:firstLine="0"/>
      </w:pPr>
      <w:r w:rsidRPr="00B7218D">
        <w:t>Second, Dr. Morin’s return on equity analyses produced a recommended allowed return on equity for PSE in the range of 9.3 percent to 10.7 percent. The average estimate was 9.9 percent, the median result was 9.8</w:t>
      </w:r>
      <w:r w:rsidR="00446617">
        <w:t> </w:t>
      </w:r>
      <w:r w:rsidRPr="00B7218D">
        <w:t>percent, and</w:t>
      </w:r>
      <w:r w:rsidR="00446617">
        <w:t xml:space="preserve"> the truncated mean was 9.9</w:t>
      </w:r>
      <w:r w:rsidRPr="00B7218D">
        <w:t> percent.</w:t>
      </w:r>
      <w:r w:rsidRPr="00B7218D">
        <w:rPr>
          <w:position w:val="6"/>
          <w:sz w:val="16"/>
        </w:rPr>
        <w:footnoteReference w:id="63"/>
      </w:r>
      <w:r w:rsidRPr="00B7218D">
        <w:t xml:space="preserve"> In light of those central results, the allowed return on equity of 9.8 percent requested by PSE is reasonable.</w:t>
      </w:r>
    </w:p>
    <w:p w14:paraId="5119F39F" w14:textId="77777777" w:rsidR="00B7218D" w:rsidRPr="003A68D9" w:rsidRDefault="00B7218D" w:rsidP="001564E7">
      <w:pPr>
        <w:pStyle w:val="Heading3"/>
      </w:pPr>
      <w:bookmarkStart w:id="43" w:name="_Toc488216558"/>
      <w:bookmarkStart w:id="44" w:name="_Toc489790221"/>
      <w:bookmarkStart w:id="45" w:name="_Toc489949680"/>
      <w:r w:rsidRPr="003A68D9">
        <w:t>2.</w:t>
      </w:r>
      <w:r w:rsidRPr="003A68D9">
        <w:tab/>
        <w:t>PSE Proposed Costs of Debt are Reasonable and Should be Accepted by the Commission</w:t>
      </w:r>
      <w:bookmarkEnd w:id="43"/>
      <w:bookmarkEnd w:id="44"/>
      <w:bookmarkEnd w:id="45"/>
    </w:p>
    <w:p w14:paraId="6BA3FA4B"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any party to this proceeding question PSE’s proposed marginal short-term debt rate of 3.06 percent?</w:t>
      </w:r>
    </w:p>
    <w:p w14:paraId="0CC5FFCB" w14:textId="77777777" w:rsidR="00B7218D" w:rsidRPr="00B7218D" w:rsidRDefault="00B7218D" w:rsidP="001564E7">
      <w:pPr>
        <w:spacing w:before="120" w:after="120" w:line="480" w:lineRule="auto"/>
        <w:ind w:left="720" w:hanging="720"/>
      </w:pPr>
      <w:r w:rsidRPr="00B7218D">
        <w:t>A.</w:t>
      </w:r>
      <w:r w:rsidRPr="00B7218D">
        <w:tab/>
        <w:t xml:space="preserve">No party to this proceeding questions PSE’s proposed marginal short-term debt rate of 3.06 percent. Each of Commission Staff and Public Counsel expressly </w:t>
      </w:r>
      <w:r w:rsidRPr="00B7218D">
        <w:lastRenderedPageBreak/>
        <w:t>adopts PSE’s proposed marginal short-term debt rate of 3.06 percent.</w:t>
      </w:r>
      <w:r w:rsidRPr="00B7218D">
        <w:rPr>
          <w:position w:val="6"/>
          <w:sz w:val="16"/>
        </w:rPr>
        <w:footnoteReference w:id="64"/>
      </w:r>
      <w:r w:rsidRPr="00B7218D">
        <w:t xml:space="preserve"> </w:t>
      </w:r>
      <w:proofErr w:type="spellStart"/>
      <w:r w:rsidRPr="00B7218D">
        <w:t>ICNU’s</w:t>
      </w:r>
      <w:proofErr w:type="spellEnd"/>
      <w:r w:rsidRPr="00B7218D">
        <w:t xml:space="preserve"> cost of capital testimony does not address PSE’s cost of long-term debt.</w:t>
      </w:r>
      <w:r w:rsidRPr="00B7218D">
        <w:rPr>
          <w:position w:val="6"/>
          <w:sz w:val="16"/>
        </w:rPr>
        <w:footnoteReference w:id="65"/>
      </w:r>
    </w:p>
    <w:p w14:paraId="22F2BB7B"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any party to this proceeding question PSE’s proposed marginal long-term debt rate of 5.73 percent?</w:t>
      </w:r>
    </w:p>
    <w:p w14:paraId="550F2204" w14:textId="77777777" w:rsidR="00B7218D" w:rsidRPr="00B7218D" w:rsidRDefault="00B7218D" w:rsidP="001564E7">
      <w:pPr>
        <w:spacing w:before="120" w:after="120" w:line="480" w:lineRule="auto"/>
        <w:ind w:left="720" w:hanging="720"/>
      </w:pPr>
      <w:r w:rsidRPr="00B7218D">
        <w:t>A.</w:t>
      </w:r>
      <w:r w:rsidRPr="00B7218D">
        <w:tab/>
        <w:t>No party to this proceeding questions PSE’s proposed marginal long-term debt rate of 5.73 percent. Each of Commission Staff and Public Counsel expressly adopts PSE’s proposed marginal long-term debt rate of 5.73 percent.</w:t>
      </w:r>
      <w:r w:rsidRPr="00B7218D">
        <w:rPr>
          <w:position w:val="6"/>
          <w:sz w:val="16"/>
        </w:rPr>
        <w:footnoteReference w:id="66"/>
      </w:r>
      <w:r w:rsidRPr="00B7218D">
        <w:t xml:space="preserve"> </w:t>
      </w:r>
      <w:proofErr w:type="spellStart"/>
      <w:r w:rsidRPr="00B7218D">
        <w:t>ICNU’s</w:t>
      </w:r>
      <w:proofErr w:type="spellEnd"/>
      <w:r w:rsidRPr="00B7218D">
        <w:t xml:space="preserve"> cost of capital testimony does not address PSE’s cost of short-term debt.</w:t>
      </w:r>
      <w:r w:rsidRPr="00B7218D">
        <w:rPr>
          <w:position w:val="6"/>
          <w:sz w:val="16"/>
        </w:rPr>
        <w:footnoteReference w:id="67"/>
      </w:r>
    </w:p>
    <w:p w14:paraId="4098E678" w14:textId="54EBF0E4"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any party to this proceeding question PSE’</w:t>
      </w:r>
      <w:r w:rsidR="00E20D76">
        <w:rPr>
          <w:rFonts w:eastAsia="SimSun"/>
          <w:b/>
        </w:rPr>
        <w:t>s</w:t>
      </w:r>
      <w:bookmarkStart w:id="46" w:name="_GoBack"/>
      <w:bookmarkEnd w:id="46"/>
      <w:r w:rsidRPr="00B7218D">
        <w:rPr>
          <w:rFonts w:eastAsia="SimSun"/>
          <w:b/>
        </w:rPr>
        <w:t xml:space="preserve"> proposed adjustments to the short-term and long-term debt cost rate for commitment fees and amortization of term issuance costs and reacquired debt?</w:t>
      </w:r>
    </w:p>
    <w:p w14:paraId="44CE5C77" w14:textId="77777777" w:rsidR="00B7218D" w:rsidRPr="00B7218D" w:rsidRDefault="00B7218D" w:rsidP="001564E7">
      <w:pPr>
        <w:spacing w:before="120" w:after="120" w:line="480" w:lineRule="auto"/>
        <w:ind w:left="720" w:hanging="720"/>
      </w:pPr>
      <w:r w:rsidRPr="00B7218D">
        <w:t>A.</w:t>
      </w:r>
      <w:r w:rsidRPr="00B7218D">
        <w:tab/>
        <w:t xml:space="preserve">No party to this proceeding expressly questions either (i) PSE’s proposed adjustments to the weighted short-term debt of 0.02 percent for commitment fees and 0.01 percent for the amortization of short-term issue costs or (ii) PSE’s proposed adjustments to the weighted long-term debt of 0.03 percent for the amortization of reacquired debt. In fact, Public Counsel’s cost of capital testimony expressly adopts PSE’s proposed adjustments to the short-term and </w:t>
      </w:r>
      <w:r w:rsidRPr="00B7218D">
        <w:lastRenderedPageBreak/>
        <w:t>long-term debt cost rate for commitment fees and amortization of term issuance costs and reacquired debt.</w:t>
      </w:r>
      <w:r w:rsidRPr="00B7218D">
        <w:rPr>
          <w:position w:val="6"/>
          <w:sz w:val="16"/>
        </w:rPr>
        <w:footnoteReference w:id="68"/>
      </w:r>
    </w:p>
    <w:p w14:paraId="3BBE1706" w14:textId="77777777" w:rsidR="00B7218D" w:rsidRPr="00B7218D" w:rsidRDefault="00B7218D" w:rsidP="001564E7">
      <w:pPr>
        <w:spacing w:before="120" w:after="120" w:line="480" w:lineRule="auto"/>
        <w:ind w:left="720" w:firstLine="0"/>
      </w:pPr>
      <w:r w:rsidRPr="00B7218D">
        <w:t xml:space="preserve">Although Commission Staff’s cost of capital testimony does not question these adjustments proposed by PSE, it also fails to include the adjustments in the calculation of PSE’s proposed overall rate of return for PSE. Therefore, the Commission should adjust </w:t>
      </w:r>
    </w:p>
    <w:p w14:paraId="06861A33" w14:textId="77777777" w:rsidR="00B7218D" w:rsidRPr="00B7218D" w:rsidRDefault="00B7218D" w:rsidP="001564E7">
      <w:pPr>
        <w:spacing w:after="280" w:line="240" w:lineRule="auto"/>
        <w:ind w:left="2160" w:right="720" w:hanging="720"/>
      </w:pPr>
      <w:r w:rsidRPr="00B7218D">
        <w:t>(i)</w:t>
      </w:r>
      <w:r w:rsidRPr="00B7218D">
        <w:tab/>
        <w:t>Commission Staff’s weighted short-term debt rate from 0.03 percent to 0.06 percent to reflect commitment fees and the amortization of short-term issue costs and</w:t>
      </w:r>
    </w:p>
    <w:p w14:paraId="61A7C1E9" w14:textId="77777777" w:rsidR="00B7218D" w:rsidRPr="00B7218D" w:rsidRDefault="00B7218D" w:rsidP="001564E7">
      <w:pPr>
        <w:spacing w:after="280" w:line="240" w:lineRule="auto"/>
        <w:ind w:left="2160" w:right="720" w:hanging="720"/>
      </w:pPr>
      <w:r w:rsidRPr="00B7218D">
        <w:t>(ii)</w:t>
      </w:r>
      <w:r w:rsidRPr="00B7218D">
        <w:tab/>
        <w:t>Commission Staff’s weighted long-term debt rate from 2.92 percent to 2.95 percent to reflect the amortization of reacquired debt.</w:t>
      </w:r>
    </w:p>
    <w:p w14:paraId="7BC6E800" w14:textId="77777777" w:rsidR="00B7218D" w:rsidRPr="00B7218D" w:rsidRDefault="00B7218D" w:rsidP="001564E7">
      <w:pPr>
        <w:tabs>
          <w:tab w:val="left" w:pos="6480"/>
        </w:tabs>
        <w:spacing w:before="120" w:after="120" w:line="480" w:lineRule="auto"/>
        <w:ind w:left="720" w:firstLine="0"/>
      </w:pPr>
      <w:r w:rsidRPr="00B7218D">
        <w:t>These adjustments to the weighted short-term and long-term debt rates would similarly require adjustment of Commission Staff’s recommended rate of return by 0.06 percent. Assuming Commission Staff’s proposed return on equity of 9.20 percent on a capital structure with an equity ratio of 48.0 percent, this would increase Commission Staff’s recommended rate of return from 7.37 percent to 7.43 percent.</w:t>
      </w:r>
      <w:r w:rsidRPr="00B7218D">
        <w:rPr>
          <w:position w:val="6"/>
          <w:sz w:val="16"/>
        </w:rPr>
        <w:footnoteReference w:id="69"/>
      </w:r>
    </w:p>
    <w:p w14:paraId="18BF3878" w14:textId="450D0903" w:rsidR="00014A52" w:rsidRPr="003A68D9" w:rsidRDefault="00A24663" w:rsidP="001564E7">
      <w:pPr>
        <w:pStyle w:val="Heading1"/>
      </w:pPr>
      <w:bookmarkStart w:id="47" w:name="_Toc489790222"/>
      <w:bookmarkStart w:id="48" w:name="_Toc489949681"/>
      <w:r>
        <w:lastRenderedPageBreak/>
        <w:t>V</w:t>
      </w:r>
      <w:r w:rsidR="003A68D9" w:rsidRPr="003A68D9">
        <w:t>.</w:t>
      </w:r>
      <w:r w:rsidR="003A68D9" w:rsidRPr="003A68D9">
        <w:tab/>
        <w:t xml:space="preserve">THE COMMISSION SHOULD REJECT </w:t>
      </w:r>
      <w:proofErr w:type="spellStart"/>
      <w:r w:rsidR="003A68D9" w:rsidRPr="003A68D9">
        <w:t>ICNU’S</w:t>
      </w:r>
      <w:proofErr w:type="spellEnd"/>
      <w:r w:rsidR="003A68D9" w:rsidRPr="003A68D9">
        <w:t xml:space="preserve"> AND COMMISSION STAFF’S PROPOSALS REGARDING DEPRECIATION/AMORTIZATION, DECOMMISSIONING AND REMEDIATION COSTS OF COLSTRIP UNITS 1 </w:t>
      </w:r>
      <w:r w:rsidR="009865F1">
        <w:t>AND</w:t>
      </w:r>
      <w:r w:rsidR="003A68D9" w:rsidRPr="003A68D9">
        <w:t xml:space="preserve"> 2</w:t>
      </w:r>
      <w:bookmarkEnd w:id="47"/>
      <w:bookmarkEnd w:id="48"/>
    </w:p>
    <w:p w14:paraId="7AE61FCB" w14:textId="48AE399B" w:rsidR="00421B65" w:rsidRPr="00B7218D" w:rsidRDefault="00421B65" w:rsidP="001564E7">
      <w:pPr>
        <w:keepNext/>
        <w:keepLines/>
        <w:spacing w:before="240" w:after="120" w:line="480" w:lineRule="auto"/>
        <w:ind w:left="720" w:hanging="720"/>
        <w:rPr>
          <w:rFonts w:eastAsia="SimSun"/>
          <w:b/>
        </w:rPr>
      </w:pPr>
      <w:r>
        <w:rPr>
          <w:rFonts w:eastAsia="SimSun"/>
          <w:b/>
        </w:rPr>
        <w:t>Q.</w:t>
      </w:r>
      <w:r>
        <w:rPr>
          <w:rFonts w:eastAsia="SimSun"/>
          <w:b/>
        </w:rPr>
        <w:tab/>
      </w:r>
      <w:r w:rsidR="00CC56F7">
        <w:rPr>
          <w:rFonts w:eastAsia="SimSun"/>
          <w:b/>
        </w:rPr>
        <w:t xml:space="preserve">Why should the Commission reject </w:t>
      </w:r>
      <w:proofErr w:type="spellStart"/>
      <w:r w:rsidR="00CC56F7">
        <w:rPr>
          <w:rFonts w:eastAsia="SimSun"/>
          <w:b/>
        </w:rPr>
        <w:t>ICNU’s</w:t>
      </w:r>
      <w:proofErr w:type="spellEnd"/>
      <w:r w:rsidR="00CC56F7">
        <w:rPr>
          <w:rFonts w:eastAsia="SimSun"/>
          <w:b/>
        </w:rPr>
        <w:t xml:space="preserve"> and Commission Staff’s</w:t>
      </w:r>
      <w:r w:rsidR="00446617">
        <w:rPr>
          <w:rFonts w:eastAsia="SimSun"/>
          <w:b/>
        </w:rPr>
        <w:t xml:space="preserve"> </w:t>
      </w:r>
      <w:r w:rsidR="00CC56F7">
        <w:rPr>
          <w:rFonts w:eastAsia="SimSun"/>
          <w:b/>
        </w:rPr>
        <w:t>proposals?</w:t>
      </w:r>
    </w:p>
    <w:p w14:paraId="695EA488" w14:textId="3DBD727B" w:rsidR="00421B65" w:rsidRDefault="00421B65" w:rsidP="001564E7">
      <w:pPr>
        <w:spacing w:before="120" w:after="120" w:line="480" w:lineRule="auto"/>
        <w:ind w:left="720" w:hanging="720"/>
      </w:pPr>
      <w:r w:rsidRPr="00B7218D">
        <w:t>A.</w:t>
      </w:r>
      <w:r w:rsidRPr="00B7218D">
        <w:tab/>
      </w:r>
      <w:r w:rsidR="00CC56F7">
        <w:t xml:space="preserve">First, neither proposal is consistent with the intent of the legislation to use </w:t>
      </w:r>
      <w:r w:rsidR="001564E7">
        <w:t>regulatory liabilities</w:t>
      </w:r>
      <w:r w:rsidR="00CC56F7">
        <w:t xml:space="preserve"> to </w:t>
      </w:r>
      <w:r w:rsidR="00D86A6D">
        <w:t>re</w:t>
      </w:r>
      <w:r w:rsidR="00CC56F7">
        <w:t xml:space="preserve">cover decommissioning and remediation costs. Second, neither proposal provides for full recovery of decommissioning and remediation costs supported by PSE in its testimony. Last, neither proposal provides full cost recovery of the undepreciated balance of Colstrip </w:t>
      </w:r>
      <w:r w:rsidR="00A86687">
        <w:t>U</w:t>
      </w:r>
      <w:r w:rsidR="00CC56F7">
        <w:t>nits</w:t>
      </w:r>
      <w:r w:rsidR="00A86687">
        <w:t> </w:t>
      </w:r>
      <w:r w:rsidR="00CC56F7">
        <w:t>1</w:t>
      </w:r>
      <w:r w:rsidR="00A86687">
        <w:t> </w:t>
      </w:r>
      <w:r w:rsidR="009865F1">
        <w:t>and</w:t>
      </w:r>
      <w:r w:rsidR="00A86687">
        <w:t> </w:t>
      </w:r>
      <w:r w:rsidR="00CC56F7">
        <w:t xml:space="preserve">2 that </w:t>
      </w:r>
      <w:r w:rsidR="0001520E">
        <w:t xml:space="preserve">reliably </w:t>
      </w:r>
      <w:r w:rsidR="00CC56F7">
        <w:t xml:space="preserve">and cost effectively </w:t>
      </w:r>
      <w:r w:rsidR="00F042DD">
        <w:t xml:space="preserve">served </w:t>
      </w:r>
      <w:r w:rsidR="0001520E">
        <w:t xml:space="preserve">customers </w:t>
      </w:r>
      <w:r w:rsidR="00CC56F7">
        <w:t>for over 45 years.</w:t>
      </w:r>
    </w:p>
    <w:p w14:paraId="6EDAE3EC" w14:textId="1067F243" w:rsidR="00CC56F7" w:rsidRPr="00B7218D" w:rsidRDefault="00CC56F7" w:rsidP="001564E7">
      <w:pPr>
        <w:keepNext/>
        <w:keepLines/>
        <w:spacing w:before="240" w:after="120" w:line="480" w:lineRule="auto"/>
        <w:ind w:left="720" w:hanging="720"/>
        <w:rPr>
          <w:rFonts w:eastAsia="SimSun"/>
          <w:b/>
        </w:rPr>
      </w:pPr>
      <w:r>
        <w:rPr>
          <w:rFonts w:eastAsia="SimSun"/>
          <w:b/>
        </w:rPr>
        <w:t>Q.</w:t>
      </w:r>
      <w:r>
        <w:rPr>
          <w:rFonts w:eastAsia="SimSun"/>
          <w:b/>
        </w:rPr>
        <w:tab/>
        <w:t>Do</w:t>
      </w:r>
      <w:r w:rsidR="00A86687">
        <w:rPr>
          <w:rFonts w:eastAsia="SimSun"/>
          <w:b/>
        </w:rPr>
        <w:t xml:space="preserve">es PSE </w:t>
      </w:r>
      <w:r>
        <w:rPr>
          <w:rFonts w:eastAsia="SimSun"/>
          <w:b/>
        </w:rPr>
        <w:t xml:space="preserve">have </w:t>
      </w:r>
      <w:r w:rsidR="006464F2">
        <w:rPr>
          <w:rFonts w:eastAsia="SimSun"/>
          <w:b/>
        </w:rPr>
        <w:t xml:space="preserve">other </w:t>
      </w:r>
      <w:r w:rsidR="00A86687">
        <w:rPr>
          <w:rFonts w:eastAsia="SimSun"/>
          <w:b/>
        </w:rPr>
        <w:t xml:space="preserve">concerns with Commission Staff’s </w:t>
      </w:r>
      <w:r w:rsidR="00D91C75">
        <w:rPr>
          <w:rFonts w:eastAsia="SimSun"/>
          <w:b/>
        </w:rPr>
        <w:t>p</w:t>
      </w:r>
      <w:r w:rsidR="00A86687">
        <w:rPr>
          <w:rFonts w:eastAsia="SimSun"/>
          <w:b/>
        </w:rPr>
        <w:t>roposal</w:t>
      </w:r>
      <w:r>
        <w:rPr>
          <w:rFonts w:eastAsia="SimSun"/>
          <w:b/>
        </w:rPr>
        <w:t xml:space="preserve">? </w:t>
      </w:r>
    </w:p>
    <w:p w14:paraId="5E66D1DD" w14:textId="28E846F7" w:rsidR="00672793" w:rsidRDefault="00CC56F7" w:rsidP="001564E7">
      <w:pPr>
        <w:spacing w:before="120" w:after="120" w:line="480" w:lineRule="auto"/>
        <w:ind w:left="720" w:hanging="720"/>
      </w:pPr>
      <w:r w:rsidRPr="00B7218D">
        <w:t>A.</w:t>
      </w:r>
      <w:r w:rsidRPr="00B7218D">
        <w:tab/>
      </w:r>
      <w:r>
        <w:t xml:space="preserve">Yes. Commission Staff’s proposal to </w:t>
      </w:r>
      <w:r w:rsidR="00027113">
        <w:t>amortiz</w:t>
      </w:r>
      <w:r w:rsidR="00D91C75">
        <w:t>e</w:t>
      </w:r>
      <w:r w:rsidR="00027113">
        <w:t xml:space="preserve"> approximately $127</w:t>
      </w:r>
      <w:r w:rsidR="009A003B">
        <w:t> </w:t>
      </w:r>
      <w:r w:rsidR="00027113">
        <w:t>million of undepreciated plant costs over 18</w:t>
      </w:r>
      <w:r w:rsidR="009A003B">
        <w:t> </w:t>
      </w:r>
      <w:r w:rsidR="00027113">
        <w:t>years with no return will require PSE to incur an approximate $</w:t>
      </w:r>
      <w:r w:rsidR="009A003B">
        <w:t>33 </w:t>
      </w:r>
      <w:r w:rsidR="00027113">
        <w:t xml:space="preserve">million write-off under the </w:t>
      </w:r>
      <w:r w:rsidR="00F042DD">
        <w:t>P</w:t>
      </w:r>
      <w:r w:rsidR="00027113">
        <w:t xml:space="preserve">lant </w:t>
      </w:r>
      <w:r w:rsidR="00F042DD">
        <w:t>A</w:t>
      </w:r>
      <w:r w:rsidR="00027113">
        <w:t xml:space="preserve">bandonment </w:t>
      </w:r>
      <w:r w:rsidR="00F042DD">
        <w:t>A</w:t>
      </w:r>
      <w:r w:rsidR="00027113">
        <w:t xml:space="preserve">ccounting </w:t>
      </w:r>
      <w:r w:rsidR="00F042DD">
        <w:t xml:space="preserve">standards </w:t>
      </w:r>
      <w:r w:rsidR="008152D4">
        <w:t>prescribed by Generally Accepted Accounting</w:t>
      </w:r>
      <w:r w:rsidR="00672793">
        <w:t xml:space="preserve"> </w:t>
      </w:r>
      <w:r w:rsidR="00F042DD">
        <w:t>Principles (“GAAP”)</w:t>
      </w:r>
      <w:r w:rsidR="00027113">
        <w:t xml:space="preserve">. This result could potentially require PSE to </w:t>
      </w:r>
      <w:r w:rsidR="00F042DD">
        <w:t xml:space="preserve">make </w:t>
      </w:r>
      <w:r w:rsidR="00027113">
        <w:t>an equity infusion to maintain equity in its capital structure at 48.5</w:t>
      </w:r>
      <w:r w:rsidR="00696419">
        <w:t> percent</w:t>
      </w:r>
      <w:r w:rsidR="00027113">
        <w:t>.</w:t>
      </w:r>
      <w:r w:rsidR="00672793">
        <w:t xml:space="preserve"> It is not clear from Commission</w:t>
      </w:r>
      <w:r w:rsidR="00F042DD">
        <w:t xml:space="preserve"> Staff’s </w:t>
      </w:r>
      <w:r w:rsidR="00672793">
        <w:t>p</w:t>
      </w:r>
      <w:r w:rsidR="00F042DD">
        <w:t xml:space="preserve">roposal whether it contemplated the necessity for a write-off </w:t>
      </w:r>
      <w:r w:rsidR="001612E5">
        <w:t>as a result of its proposal</w:t>
      </w:r>
      <w:r w:rsidR="00672793">
        <w:t>. Regardless</w:t>
      </w:r>
      <w:r w:rsidR="001612E5">
        <w:t>, the write-off itself coupled with the resulting challenge to maintain equity in the capital structure at 48.5</w:t>
      </w:r>
      <w:r w:rsidR="00D91C75">
        <w:t xml:space="preserve"> percent </w:t>
      </w:r>
      <w:r w:rsidR="001612E5">
        <w:t xml:space="preserve">imposes double jeopardy on </w:t>
      </w:r>
      <w:r w:rsidR="00672793">
        <w:t>PSE</w:t>
      </w:r>
      <w:r w:rsidR="001612E5">
        <w:t>.</w:t>
      </w:r>
    </w:p>
    <w:p w14:paraId="298DF22A" w14:textId="77777777" w:rsidR="00672793" w:rsidRDefault="00C1118F" w:rsidP="001564E7">
      <w:pPr>
        <w:spacing w:before="120" w:after="120" w:line="480" w:lineRule="auto"/>
        <w:ind w:left="720" w:firstLine="0"/>
      </w:pPr>
      <w:r>
        <w:lastRenderedPageBreak/>
        <w:t>This impact is exacerbated by the approximate $60</w:t>
      </w:r>
      <w:r w:rsidR="00672793">
        <w:t> </w:t>
      </w:r>
      <w:r>
        <w:t xml:space="preserve">million write-off that would be required </w:t>
      </w:r>
      <w:r w:rsidR="00672793">
        <w:t xml:space="preserve">if the Commission were to adopt </w:t>
      </w:r>
      <w:r>
        <w:t>Commission Staff’s</w:t>
      </w:r>
      <w:r w:rsidR="003C7FA1">
        <w:t xml:space="preserve"> </w:t>
      </w:r>
      <w:r w:rsidR="00672793">
        <w:t>storm accounting and cost recovery proposal</w:t>
      </w:r>
      <w:r>
        <w:t xml:space="preserve">. </w:t>
      </w:r>
      <w:r w:rsidR="00672793">
        <w:t>A</w:t>
      </w:r>
      <w:r>
        <w:t>gain</w:t>
      </w:r>
      <w:r w:rsidR="00DC7A7B">
        <w:t>,</w:t>
      </w:r>
      <w:r>
        <w:t xml:space="preserve"> it is not clear whether Commission Staff contemplated write-offs of storm costs previously deferred in full accordance with lo</w:t>
      </w:r>
      <w:r w:rsidR="00672793">
        <w:t>ng standing Commission policy.</w:t>
      </w:r>
      <w:r w:rsidR="00672793" w:rsidRPr="00672793">
        <w:t xml:space="preserve"> </w:t>
      </w:r>
      <w:r w:rsidR="00672793">
        <w:t>In short, the double jeopardy is compounded.</w:t>
      </w:r>
    </w:p>
    <w:p w14:paraId="458FF7CB" w14:textId="2BFB17BF" w:rsidR="00CC56F7" w:rsidRPr="00B7218D" w:rsidRDefault="001612E5" w:rsidP="001564E7">
      <w:pPr>
        <w:spacing w:before="120" w:after="120" w:line="480" w:lineRule="auto"/>
        <w:ind w:left="720" w:firstLine="0"/>
      </w:pPr>
      <w:r>
        <w:t xml:space="preserve">In summary, the full impact </w:t>
      </w:r>
      <w:r w:rsidR="00D91C75">
        <w:t xml:space="preserve">of </w:t>
      </w:r>
      <w:r>
        <w:t xml:space="preserve">Commission Staff’s </w:t>
      </w:r>
      <w:r w:rsidR="00672793">
        <w:t>p</w:t>
      </w:r>
      <w:r>
        <w:t>roposal</w:t>
      </w:r>
      <w:r w:rsidR="00C1118F">
        <w:t xml:space="preserve">s that </w:t>
      </w:r>
      <w:r w:rsidR="00DC7A7B">
        <w:t xml:space="preserve">would </w:t>
      </w:r>
      <w:r w:rsidR="00C1118F">
        <w:t>result in accounting write-offs</w:t>
      </w:r>
      <w:r>
        <w:t xml:space="preserve">, whether intended or not, is punitive, inappropriate, unnecessary, </w:t>
      </w:r>
      <w:r w:rsidR="00DC7A7B">
        <w:t>and can only be proffered to deny recovery of otherwise prudently incurred costs</w:t>
      </w:r>
      <w:r w:rsidR="00030B1D">
        <w:t>.</w:t>
      </w:r>
    </w:p>
    <w:p w14:paraId="3F220BF9" w14:textId="77777777" w:rsidR="00421B65" w:rsidRPr="00B7218D" w:rsidRDefault="00421B65" w:rsidP="001564E7">
      <w:pPr>
        <w:keepNext/>
        <w:keepLines/>
        <w:spacing w:before="240" w:after="120" w:line="480" w:lineRule="auto"/>
        <w:ind w:left="720" w:hanging="720"/>
        <w:rPr>
          <w:rFonts w:eastAsia="SimSun"/>
          <w:b/>
        </w:rPr>
      </w:pPr>
      <w:r>
        <w:rPr>
          <w:rFonts w:eastAsia="SimSun"/>
          <w:b/>
        </w:rPr>
        <w:t>Q.</w:t>
      </w:r>
      <w:r>
        <w:rPr>
          <w:rFonts w:eastAsia="SimSun"/>
          <w:b/>
        </w:rPr>
        <w:tab/>
        <w:t>Do</w:t>
      </w:r>
      <w:r w:rsidR="00A86687">
        <w:rPr>
          <w:rFonts w:eastAsia="SimSun"/>
          <w:b/>
        </w:rPr>
        <w:t>es</w:t>
      </w:r>
      <w:r>
        <w:rPr>
          <w:rFonts w:eastAsia="SimSun"/>
          <w:b/>
        </w:rPr>
        <w:t xml:space="preserve"> </w:t>
      </w:r>
      <w:r w:rsidR="00A86687">
        <w:rPr>
          <w:rFonts w:eastAsia="SimSun"/>
          <w:b/>
        </w:rPr>
        <w:t xml:space="preserve">PSE </w:t>
      </w:r>
      <w:r>
        <w:rPr>
          <w:rFonts w:eastAsia="SimSun"/>
          <w:b/>
        </w:rPr>
        <w:t xml:space="preserve">have a similar </w:t>
      </w:r>
      <w:r w:rsidR="00A86687">
        <w:rPr>
          <w:rFonts w:eastAsia="SimSun"/>
          <w:b/>
        </w:rPr>
        <w:t>concern</w:t>
      </w:r>
      <w:r w:rsidR="00ED3AA0">
        <w:rPr>
          <w:rFonts w:eastAsia="SimSun"/>
          <w:b/>
        </w:rPr>
        <w:t xml:space="preserve"> with </w:t>
      </w:r>
      <w:proofErr w:type="spellStart"/>
      <w:r w:rsidR="00ED3AA0">
        <w:rPr>
          <w:rFonts w:eastAsia="SimSun"/>
          <w:b/>
        </w:rPr>
        <w:t>ICNU’s</w:t>
      </w:r>
      <w:proofErr w:type="spellEnd"/>
      <w:r w:rsidR="00ED3AA0">
        <w:rPr>
          <w:rFonts w:eastAsia="SimSun"/>
          <w:b/>
        </w:rPr>
        <w:t xml:space="preserve"> proposal?</w:t>
      </w:r>
    </w:p>
    <w:p w14:paraId="18323882" w14:textId="6BC21EC2" w:rsidR="00014A52" w:rsidRPr="00B7218D" w:rsidRDefault="00421B65" w:rsidP="001564E7">
      <w:pPr>
        <w:spacing w:before="120" w:after="120" w:line="480" w:lineRule="auto"/>
        <w:ind w:left="720" w:hanging="720"/>
      </w:pPr>
      <w:r w:rsidRPr="00B7218D">
        <w:t>A.</w:t>
      </w:r>
      <w:r w:rsidRPr="00B7218D">
        <w:tab/>
      </w:r>
      <w:r w:rsidR="00ED3AA0">
        <w:t xml:space="preserve">Yes. </w:t>
      </w:r>
      <w:proofErr w:type="spellStart"/>
      <w:r w:rsidR="00DC7A7B">
        <w:t>ICNU’s</w:t>
      </w:r>
      <w:proofErr w:type="spellEnd"/>
      <w:r w:rsidR="00DC7A7B">
        <w:t xml:space="preserve"> proposal would result in a </w:t>
      </w:r>
      <w:r w:rsidR="008152D4">
        <w:t xml:space="preserve">write-off </w:t>
      </w:r>
      <w:r w:rsidR="00C1118F">
        <w:t>under GAAP</w:t>
      </w:r>
      <w:r w:rsidR="00DC7A7B">
        <w:t xml:space="preserve"> for the Colstrip Units</w:t>
      </w:r>
      <w:r w:rsidR="00672793">
        <w:t> </w:t>
      </w:r>
      <w:r w:rsidR="00DC7A7B">
        <w:t>1</w:t>
      </w:r>
      <w:r w:rsidR="00672793">
        <w:t> </w:t>
      </w:r>
      <w:r w:rsidR="009865F1">
        <w:t>and</w:t>
      </w:r>
      <w:r w:rsidR="00672793">
        <w:t> </w:t>
      </w:r>
      <w:r w:rsidR="00DC7A7B">
        <w:t>2</w:t>
      </w:r>
      <w:r w:rsidR="00C1118F">
        <w:t xml:space="preserve">, </w:t>
      </w:r>
      <w:r w:rsidR="008152D4">
        <w:t>but the calculation would be more involved a</w:t>
      </w:r>
      <w:r w:rsidR="00ED3AA0">
        <w:t xml:space="preserve">nd complex because ICNU appears to provide at least a partial return in its approach. Accordingly, more </w:t>
      </w:r>
      <w:r w:rsidR="00C1118F">
        <w:t xml:space="preserve">through and </w:t>
      </w:r>
      <w:r w:rsidR="00ED3AA0">
        <w:t xml:space="preserve">detailed analysis </w:t>
      </w:r>
      <w:r w:rsidR="00C1118F">
        <w:t>w</w:t>
      </w:r>
      <w:r w:rsidR="00ED3AA0">
        <w:t>ould be required to develop a reliable estimate</w:t>
      </w:r>
      <w:r w:rsidR="00C1118F">
        <w:t xml:space="preserve"> of the write-off</w:t>
      </w:r>
      <w:r w:rsidR="00ED3AA0">
        <w:t>.</w:t>
      </w:r>
      <w:r w:rsidR="00DC7A7B">
        <w:t xml:space="preserve"> </w:t>
      </w:r>
    </w:p>
    <w:p w14:paraId="59AEA007" w14:textId="77777777" w:rsidR="003A68D9" w:rsidRPr="00B21D2A" w:rsidRDefault="003A68D9" w:rsidP="001564E7">
      <w:pPr>
        <w:pStyle w:val="Heading1"/>
      </w:pPr>
      <w:bookmarkStart w:id="49" w:name="_Toc489790223"/>
      <w:bookmarkStart w:id="50" w:name="_Toc489949682"/>
      <w:bookmarkStart w:id="51" w:name="_Toc488216563"/>
      <w:r w:rsidRPr="00B7218D">
        <w:lastRenderedPageBreak/>
        <w:t>V</w:t>
      </w:r>
      <w:r>
        <w:t>I</w:t>
      </w:r>
      <w:r w:rsidRPr="00B7218D">
        <w:t>.</w:t>
      </w:r>
      <w:r w:rsidRPr="00B7218D">
        <w:tab/>
        <w:t>PSE’S REVENUE DECOUPLING MECHANISM HAS WORKED WELL AND SHOULD CONTINUE TO WORK WELL WITH THE MINOR ADJUSTMENTS PROPOSED BY PSE</w:t>
      </w:r>
      <w:bookmarkEnd w:id="49"/>
      <w:bookmarkEnd w:id="50"/>
    </w:p>
    <w:p w14:paraId="1B3E0D5A" w14:textId="77777777" w:rsidR="00B7218D" w:rsidRPr="00B7218D" w:rsidRDefault="003A68D9" w:rsidP="001564E7">
      <w:pPr>
        <w:pStyle w:val="Heading2"/>
      </w:pPr>
      <w:bookmarkStart w:id="52" w:name="_Toc488216564"/>
      <w:bookmarkStart w:id="53" w:name="_Toc489790224"/>
      <w:bookmarkStart w:id="54" w:name="_Toc489949683"/>
      <w:bookmarkEnd w:id="51"/>
      <w:r>
        <w:t>A</w:t>
      </w:r>
      <w:r w:rsidR="00B7218D" w:rsidRPr="00B7218D">
        <w:t>.</w:t>
      </w:r>
      <w:r w:rsidR="00B7218D" w:rsidRPr="00B7218D">
        <w:tab/>
        <w:t>The Commission Should Adopt PSE’s Modest Proposals to the Earnings Sharing Mechanism and Adopt PSE’s Recommendations Concerning the Dead Band</w:t>
      </w:r>
      <w:bookmarkEnd w:id="52"/>
      <w:bookmarkEnd w:id="53"/>
      <w:bookmarkEnd w:id="54"/>
    </w:p>
    <w:p w14:paraId="3693033F" w14:textId="77777777" w:rsidR="00B7218D" w:rsidRPr="00B7218D" w:rsidRDefault="00FB3145" w:rsidP="001564E7">
      <w:pPr>
        <w:pStyle w:val="Heading3"/>
      </w:pPr>
      <w:bookmarkStart w:id="55" w:name="_Toc489790225"/>
      <w:bookmarkStart w:id="56" w:name="_Toc489949684"/>
      <w:r>
        <w:t>1</w:t>
      </w:r>
      <w:r w:rsidR="00B7218D" w:rsidRPr="00B7218D">
        <w:t>.</w:t>
      </w:r>
      <w:r w:rsidR="00B7218D" w:rsidRPr="00B7218D">
        <w:tab/>
        <w:t>The Commission Should Adopt PSE’s Recommendation to Exclude Normalizing Adjustments from the Earnings Sharing Calculation of the Earnings Sharing Mechanism</w:t>
      </w:r>
      <w:bookmarkEnd w:id="55"/>
      <w:bookmarkEnd w:id="56"/>
    </w:p>
    <w:p w14:paraId="40F061A7"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have any response to criticisms of PSE’s recommendation to exclude normalizing adjustments from the earnings sharing calculation of the earnings sharing mechanism?</w:t>
      </w:r>
    </w:p>
    <w:p w14:paraId="60DF0E5F" w14:textId="77777777" w:rsidR="00B7218D" w:rsidRPr="00B7218D" w:rsidRDefault="00B7218D" w:rsidP="001564E7">
      <w:pPr>
        <w:spacing w:before="120" w:after="120" w:line="480" w:lineRule="auto"/>
        <w:ind w:left="720" w:hanging="720"/>
      </w:pPr>
      <w:r w:rsidRPr="00B7218D">
        <w:t>A.</w:t>
      </w:r>
      <w:r w:rsidRPr="00B7218D">
        <w:tab/>
        <w:t>Yes. First, to clarify the record, Commission Staff mischaracterizes PSE’s direct testimony by suggesting that “the earnings sharing element in the 2013 rate plan is unfair.”</w:t>
      </w:r>
      <w:r w:rsidRPr="00B7218D">
        <w:rPr>
          <w:position w:val="6"/>
          <w:sz w:val="16"/>
        </w:rPr>
        <w:footnoteReference w:id="70"/>
      </w:r>
      <w:r w:rsidRPr="00B7218D">
        <w:t xml:space="preserve"> PSE’s direct testimony never claims that the earnings sharing mechanism in the 2013 rate plan was unfair. To the contrary, PSE’s direct testimony illustrates with two very simple hypothetical examples and an actual example (based off of the electric and gas commission basis reports filed for the twelve months ended December 31, 2015) the following point—normalization adjustments can skew, have skewed, and will likely continue to skew the measurement of financial performance for excess earnings sharing purposes.</w:t>
      </w:r>
      <w:r w:rsidRPr="00B7218D">
        <w:rPr>
          <w:position w:val="6"/>
          <w:sz w:val="16"/>
        </w:rPr>
        <w:footnoteReference w:id="71"/>
      </w:r>
    </w:p>
    <w:p w14:paraId="68373005" w14:textId="77777777" w:rsidR="00B7218D" w:rsidRPr="00B7218D" w:rsidRDefault="00B7218D" w:rsidP="001564E7">
      <w:pPr>
        <w:spacing w:before="120" w:after="120" w:line="480" w:lineRule="auto"/>
        <w:ind w:left="720" w:firstLine="0"/>
      </w:pPr>
      <w:r w:rsidRPr="00B7218D">
        <w:lastRenderedPageBreak/>
        <w:t>Second, both Commission Staff</w:t>
      </w:r>
      <w:r w:rsidRPr="00B7218D">
        <w:rPr>
          <w:position w:val="6"/>
          <w:sz w:val="16"/>
        </w:rPr>
        <w:footnoteReference w:id="72"/>
      </w:r>
      <w:r w:rsidRPr="00B7218D">
        <w:t xml:space="preserve"> and Public Counsel</w:t>
      </w:r>
      <w:r w:rsidRPr="00B7218D">
        <w:rPr>
          <w:position w:val="6"/>
          <w:sz w:val="16"/>
        </w:rPr>
        <w:footnoteReference w:id="73"/>
      </w:r>
      <w:r w:rsidRPr="00B7218D">
        <w:t xml:space="preserve"> (and ICNU, although to a more limited extent</w:t>
      </w:r>
      <w:r w:rsidRPr="00B7218D">
        <w:rPr>
          <w:position w:val="6"/>
          <w:sz w:val="16"/>
        </w:rPr>
        <w:footnoteReference w:id="74"/>
      </w:r>
      <w:r w:rsidRPr="00B7218D">
        <w:t>) engage in an inconclusive exploration of why normalization adjustments, as they have been traditionally used in the commission basis reports, are appropriate in the determination of excess earnings for sharing purposes. However, not one of these three witnesses directly addresses the economics illustrated in the examples— both hypothetical and real— presented in my direct testimony.</w:t>
      </w:r>
    </w:p>
    <w:p w14:paraId="283A2408" w14:textId="0AB08920" w:rsidR="00B7218D" w:rsidRPr="00B7218D" w:rsidRDefault="00B7218D" w:rsidP="001564E7">
      <w:pPr>
        <w:spacing w:before="120" w:after="120" w:line="480" w:lineRule="auto"/>
        <w:ind w:left="720" w:firstLine="0"/>
      </w:pPr>
      <w:r w:rsidRPr="00B7218D">
        <w:t xml:space="preserve">Third, not one witness addresses the recommendation that excess earnings for sharing purposes be calculated from PSE’s </w:t>
      </w:r>
      <w:r w:rsidRPr="00B7218D">
        <w:rPr>
          <w:i/>
        </w:rPr>
        <w:t>actual</w:t>
      </w:r>
      <w:r w:rsidRPr="00B7218D">
        <w:t xml:space="preserve"> financial results that are not altered or adjusted by normalizing adjustments. Indeed, each of Commission Staff, Public Counsel, and ICNU overlook the central ten</w:t>
      </w:r>
      <w:r w:rsidR="00D91C75">
        <w:t>e</w:t>
      </w:r>
      <w:r w:rsidRPr="00B7218D">
        <w:t>t of PSE’s concern and recommendation—i.e., actual, non-normalized financial results reconcile directly with and to PSE’s bank account and cash position, whereas hypothetical, normalized financial results do not.</w:t>
      </w:r>
    </w:p>
    <w:p w14:paraId="5985162E"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Why is this important?</w:t>
      </w:r>
    </w:p>
    <w:p w14:paraId="61B0C34B" w14:textId="77777777" w:rsidR="00B7218D" w:rsidRPr="00B7218D" w:rsidRDefault="00B7218D" w:rsidP="001564E7">
      <w:pPr>
        <w:spacing w:before="120" w:after="120" w:line="480" w:lineRule="auto"/>
        <w:ind w:left="720" w:hanging="720"/>
      </w:pPr>
      <w:r w:rsidRPr="00B7218D">
        <w:t>A.</w:t>
      </w:r>
      <w:r w:rsidRPr="00B7218D">
        <w:tab/>
        <w:t xml:space="preserve">Common sense dictates that whatever excess earnings calculation is utilized by the Commission in the future, it should have a strong tie to actual economic results. If an earnings sharing calculation determines that excess earnings exist and should be shared, PSE should actually see those excess earnings in its bank </w:t>
      </w:r>
      <w:r w:rsidRPr="00B7218D">
        <w:lastRenderedPageBreak/>
        <w:t xml:space="preserve">account. Conversely, if an earnings sharing calculation determines that no excess earnings exist and no sharing is required, PSE should be able to provide evidence of under-earning through incremental borrowings. This is simply not the case with normalized earnings, as demonstrated in my </w:t>
      </w:r>
      <w:proofErr w:type="spellStart"/>
      <w:r w:rsidRPr="00B7218D">
        <w:t>prefiled</w:t>
      </w:r>
      <w:proofErr w:type="spellEnd"/>
      <w:r w:rsidRPr="00B7218D">
        <w:t xml:space="preserve"> direct testimony.</w:t>
      </w:r>
    </w:p>
    <w:p w14:paraId="5540F341" w14:textId="77777777" w:rsidR="00B7218D" w:rsidRPr="00B7218D" w:rsidRDefault="00B7218D" w:rsidP="001564E7">
      <w:pPr>
        <w:spacing w:before="120" w:after="120" w:line="480" w:lineRule="auto"/>
        <w:ind w:left="720" w:firstLine="0"/>
      </w:pPr>
      <w:r w:rsidRPr="00B7218D">
        <w:t xml:space="preserve">PSE’s recommendation to modify the earnings sharing mechanism simply aligns the mechanism to economic realities. In other words, PSE should share </w:t>
      </w:r>
      <w:r w:rsidRPr="00B7218D">
        <w:rPr>
          <w:i/>
        </w:rPr>
        <w:t>actual</w:t>
      </w:r>
      <w:r w:rsidRPr="00B7218D">
        <w:t xml:space="preserve"> excess earnings only if excess earnings actually exist and should not share </w:t>
      </w:r>
      <w:r w:rsidRPr="00B7218D">
        <w:rPr>
          <w:i/>
        </w:rPr>
        <w:t>phantom</w:t>
      </w:r>
      <w:r w:rsidRPr="00B7218D">
        <w:t xml:space="preserve"> excess earnings that result solely from normalizing adjustments.</w:t>
      </w:r>
    </w:p>
    <w:p w14:paraId="37C0EABE"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this suggest that normalizing adjustments utilized in the commission basis report calculations do not represent economic reality?</w:t>
      </w:r>
    </w:p>
    <w:p w14:paraId="7EFA4499" w14:textId="77777777" w:rsidR="00B7218D" w:rsidRPr="00B7218D" w:rsidRDefault="00B7218D" w:rsidP="001564E7">
      <w:pPr>
        <w:spacing w:before="120" w:after="120" w:line="480" w:lineRule="auto"/>
        <w:ind w:left="720" w:hanging="720"/>
      </w:pPr>
      <w:r w:rsidRPr="00B7218D">
        <w:t>A.</w:t>
      </w:r>
      <w:r w:rsidRPr="00B7218D">
        <w:tab/>
        <w:t>No. PSE’s direct testimony in this proceeding never suggested that normalizing adjustments utilized in the commission basis report calculations do not represent economic reality. Rather, PSE’s direct testimony expressly stated as follows:</w:t>
      </w:r>
    </w:p>
    <w:p w14:paraId="6226B005" w14:textId="4B3D1F2F" w:rsidR="00B7218D" w:rsidRPr="00B7218D" w:rsidRDefault="00B7218D" w:rsidP="001564E7">
      <w:pPr>
        <w:spacing w:after="280" w:line="240" w:lineRule="auto"/>
        <w:ind w:left="1440" w:right="720" w:firstLine="0"/>
        <w:jc w:val="both"/>
        <w:rPr>
          <w:b/>
          <w:iCs/>
          <w:color w:val="000000" w:themeColor="text1"/>
          <w:szCs w:val="24"/>
          <w:lang w:eastAsia="en-US"/>
        </w:rPr>
      </w:pPr>
      <w:r w:rsidRPr="00B7218D">
        <w:rPr>
          <w:iCs/>
          <w:color w:val="000000" w:themeColor="text1"/>
          <w:szCs w:val="24"/>
          <w:lang w:eastAsia="en-US"/>
        </w:rPr>
        <w:t xml:space="preserve">The commission basis report is an important document for monitoring a utility’s earnings performance on a normalized test year basis between rate cases. It answers the question, “if the company filed a rate case for the test year/reporting period in question, would it be under or over earning its allowed rate of return after considering all appropriate conforming and normalizing adjustments?” In this regard, the commission basis report provides timely and useful information not only to the </w:t>
      </w:r>
      <w:r w:rsidR="00D91C75">
        <w:rPr>
          <w:iCs/>
          <w:color w:val="000000" w:themeColor="text1"/>
          <w:szCs w:val="24"/>
          <w:lang w:eastAsia="en-US"/>
        </w:rPr>
        <w:t>C</w:t>
      </w:r>
      <w:r w:rsidRPr="00B7218D">
        <w:rPr>
          <w:iCs/>
          <w:color w:val="000000" w:themeColor="text1"/>
          <w:szCs w:val="24"/>
          <w:lang w:eastAsia="en-US"/>
        </w:rPr>
        <w:t>ommission but to PSE and intervenors as well. That said the normalized rate of return calculation included in the commission basis report are not an inappropriate mechanism for calculating excess earnings with respect to earning sharing mechanisms.</w:t>
      </w:r>
      <w:r w:rsidRPr="00B7218D">
        <w:rPr>
          <w:iCs/>
          <w:color w:val="000000" w:themeColor="text1"/>
          <w:position w:val="6"/>
          <w:sz w:val="16"/>
          <w:szCs w:val="24"/>
          <w:lang w:eastAsia="en-US"/>
        </w:rPr>
        <w:footnoteReference w:id="75"/>
      </w:r>
    </w:p>
    <w:p w14:paraId="013B9533" w14:textId="1BAA62DA" w:rsidR="00B7218D" w:rsidRPr="00B7218D" w:rsidRDefault="00B7218D" w:rsidP="001564E7">
      <w:pPr>
        <w:spacing w:before="120" w:after="120" w:line="480" w:lineRule="auto"/>
        <w:ind w:left="720" w:firstLine="0"/>
      </w:pPr>
      <w:r w:rsidRPr="00B7218D">
        <w:lastRenderedPageBreak/>
        <w:t>Neither PSE’s analysis nor its recommendation regarding the earnings sharing mechanism applies to normalized earnings in the commission basis report itself, but rather each suggests an improvement to the earnings sharing calculation based on empirical data for purposes of the earnings sharing mechanism.</w:t>
      </w:r>
    </w:p>
    <w:p w14:paraId="65D76FC9" w14:textId="77777777" w:rsidR="000472B2" w:rsidRPr="000472B2" w:rsidRDefault="000472B2" w:rsidP="001564E7">
      <w:pPr>
        <w:keepNext/>
        <w:keepLines/>
        <w:spacing w:before="240" w:after="120" w:line="480" w:lineRule="auto"/>
        <w:ind w:left="720" w:hanging="720"/>
        <w:rPr>
          <w:rFonts w:eastAsia="SimSun"/>
          <w:b/>
        </w:rPr>
      </w:pPr>
      <w:r w:rsidRPr="000472B2">
        <w:rPr>
          <w:rFonts w:eastAsia="SimSun"/>
          <w:b/>
        </w:rPr>
        <w:t>Q.</w:t>
      </w:r>
      <w:r w:rsidRPr="000472B2">
        <w:rPr>
          <w:rFonts w:eastAsia="SimSun"/>
          <w:b/>
        </w:rPr>
        <w:tab/>
        <w:t>Has PSE analyzed the level of phantom excess earnings that result solely from normalizing adjustments that PSE has refunded to customers?</w:t>
      </w:r>
    </w:p>
    <w:p w14:paraId="14E85CF2" w14:textId="77777777" w:rsidR="000472B2" w:rsidRPr="000472B2" w:rsidRDefault="000472B2" w:rsidP="001564E7">
      <w:pPr>
        <w:spacing w:before="120" w:after="120" w:line="480" w:lineRule="auto"/>
        <w:ind w:left="720" w:hanging="720"/>
      </w:pPr>
      <w:r w:rsidRPr="000472B2">
        <w:rPr>
          <w:rFonts w:eastAsia="SimSun"/>
        </w:rPr>
        <w:t>A.</w:t>
      </w:r>
      <w:r w:rsidRPr="000472B2">
        <w:rPr>
          <w:rFonts w:eastAsia="SimSun"/>
        </w:rPr>
        <w:tab/>
        <w:t>Yes</w:t>
      </w:r>
      <w:r>
        <w:rPr>
          <w:rFonts w:eastAsia="SimSun"/>
        </w:rPr>
        <w:t>. A</w:t>
      </w:r>
      <w:r w:rsidRPr="000472B2">
        <w:rPr>
          <w:rFonts w:eastAsia="SimSun"/>
        </w:rPr>
        <w:t>s of December</w:t>
      </w:r>
      <w:r>
        <w:rPr>
          <w:rFonts w:eastAsia="SimSun"/>
        </w:rPr>
        <w:t> </w:t>
      </w:r>
      <w:r w:rsidRPr="000472B2">
        <w:rPr>
          <w:rFonts w:eastAsia="SimSun"/>
        </w:rPr>
        <w:t xml:space="preserve">31, 2016, PSE refunded excess earnings of $22,305,805 for electric operations and $8,660,023 for gas operations to customers. However, excess earnings PSE actually earned during the same time period was $5,142,532 for electric operations and $786,610 for gas operations. Therefore, PSE refunded excess phantom earnings of $17,163,273 for electric operations and $7,873,413 for gas operations to customers. </w:t>
      </w:r>
    </w:p>
    <w:p w14:paraId="31427693" w14:textId="77777777" w:rsidR="000472B2" w:rsidRPr="000472B2" w:rsidRDefault="000472B2" w:rsidP="001564E7">
      <w:pPr>
        <w:keepNext/>
        <w:keepLines/>
        <w:spacing w:before="240" w:after="120" w:line="480" w:lineRule="auto"/>
        <w:ind w:left="720" w:hanging="720"/>
        <w:rPr>
          <w:rFonts w:eastAsia="SimSun"/>
          <w:b/>
        </w:rPr>
      </w:pPr>
      <w:r w:rsidRPr="000472B2">
        <w:rPr>
          <w:rFonts w:eastAsia="SimSun"/>
          <w:b/>
        </w:rPr>
        <w:t>Q.</w:t>
      </w:r>
      <w:r w:rsidRPr="000472B2">
        <w:rPr>
          <w:rFonts w:eastAsia="SimSun"/>
          <w:b/>
        </w:rPr>
        <w:tab/>
        <w:t>Is PSE asking the Commission to accept PSE’s recommendation to exclude normalizing adjustments from the earnings sharing calculation of the earnings sharing mechanism and apply that mechanism retroactively for the period of the rate plan?</w:t>
      </w:r>
    </w:p>
    <w:p w14:paraId="5DCBA3E4" w14:textId="77777777" w:rsidR="000472B2" w:rsidRPr="000472B2" w:rsidRDefault="000472B2" w:rsidP="001564E7">
      <w:pPr>
        <w:spacing w:before="120" w:after="120" w:line="480" w:lineRule="auto"/>
        <w:ind w:left="720" w:hanging="720"/>
      </w:pPr>
      <w:r w:rsidRPr="000472B2">
        <w:rPr>
          <w:rFonts w:eastAsia="SimSun"/>
        </w:rPr>
        <w:t>A.</w:t>
      </w:r>
      <w:r w:rsidRPr="000472B2">
        <w:rPr>
          <w:rFonts w:eastAsia="SimSun"/>
        </w:rPr>
        <w:tab/>
        <w:t>No. Even though PSE has refunded phantom excess earnings of over $25</w:t>
      </w:r>
      <w:r>
        <w:rPr>
          <w:rFonts w:eastAsia="SimSun"/>
        </w:rPr>
        <w:t> </w:t>
      </w:r>
      <w:r w:rsidRPr="000472B2">
        <w:rPr>
          <w:rFonts w:eastAsia="SimSun"/>
        </w:rPr>
        <w:t>million to customers as of December</w:t>
      </w:r>
      <w:r>
        <w:rPr>
          <w:rFonts w:eastAsia="SimSun"/>
        </w:rPr>
        <w:t> </w:t>
      </w:r>
      <w:r w:rsidRPr="000472B2">
        <w:rPr>
          <w:rFonts w:eastAsia="SimSun"/>
        </w:rPr>
        <w:t>31, 2016, PSE seeks solely to improve the prospective application of the earnings sharing mechanism.</w:t>
      </w:r>
    </w:p>
    <w:p w14:paraId="685B4E66"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 xml:space="preserve">How does PSE recommend that the Commission proceed? </w:t>
      </w:r>
    </w:p>
    <w:p w14:paraId="11DB8077" w14:textId="798F951B" w:rsidR="00B7218D" w:rsidRPr="00B7218D" w:rsidRDefault="00B7218D" w:rsidP="001564E7">
      <w:pPr>
        <w:spacing w:before="120" w:after="120" w:line="480" w:lineRule="auto"/>
        <w:ind w:left="720" w:hanging="720"/>
      </w:pPr>
      <w:r w:rsidRPr="00B7218D">
        <w:t>A.</w:t>
      </w:r>
      <w:r w:rsidRPr="00B7218D">
        <w:tab/>
        <w:t>First, PSE recommends that the Commission specifically order that</w:t>
      </w:r>
      <w:r w:rsidR="00446617">
        <w:t xml:space="preserve"> </w:t>
      </w:r>
      <w:r w:rsidRPr="00B7218D">
        <w:t>normalizing adjustments be excluded from the</w:t>
      </w:r>
      <w:r w:rsidR="00446617">
        <w:t xml:space="preserve"> </w:t>
      </w:r>
      <w:r w:rsidRPr="00B7218D">
        <w:t>calculation of the excess earnings on a prospective basis. The exclusion of normalizing adjustments from the earnings sharing calculation ensures that future calculations of excess earnings more closely reconcile with PSE’s bank account and cash position. Further, a Commission directive to specifically exclude</w:t>
      </w:r>
      <w:r w:rsidR="00446617">
        <w:t xml:space="preserve"> </w:t>
      </w:r>
      <w:r w:rsidRPr="00B7218D">
        <w:t xml:space="preserve">normalizing adjustments from the earnings sharing calculation would provide PSE, Commission Staff, and other parties clear </w:t>
      </w:r>
      <w:r w:rsidR="00D91C75">
        <w:t xml:space="preserve">direction </w:t>
      </w:r>
      <w:r w:rsidRPr="00B7218D">
        <w:t>for the future:</w:t>
      </w:r>
      <w:r w:rsidR="00446617">
        <w:t xml:space="preserve"> </w:t>
      </w:r>
      <w:r w:rsidRPr="00B7218D">
        <w:t xml:space="preserve">normalizing adjusting entries should no longer be included in the calculation of </w:t>
      </w:r>
      <w:r w:rsidRPr="00B7218D">
        <w:rPr>
          <w:i/>
        </w:rPr>
        <w:t>actual</w:t>
      </w:r>
      <w:r w:rsidRPr="00B7218D">
        <w:t xml:space="preserve"> excess earnings.</w:t>
      </w:r>
    </w:p>
    <w:p w14:paraId="2CDC0DCE" w14:textId="77777777" w:rsidR="00B7218D" w:rsidRPr="00B7218D" w:rsidRDefault="00B7218D" w:rsidP="001564E7">
      <w:pPr>
        <w:spacing w:before="120" w:after="120" w:line="480" w:lineRule="auto"/>
        <w:ind w:left="720" w:firstLine="0"/>
      </w:pPr>
      <w:r w:rsidRPr="00B7218D">
        <w:t>Second, the Commission should allow PSE to file a revised earnings sharing mechanism that (i) excludes normalizing adjustments and (ii) addresses the intricacies and interactions of the earnings sharing mechanism with certain components of decoupling and the power cost adjustment mechanism. Mr. Schooley is correct that further analysis is warranted to gain clarity around the interaction of the various mechanisms that interface with and operate within PSE’s earnings sharing mechanism. This would give stakeholders an opportunity to address the complex issues inherent in the earning sharing mechanism in a transparent and collaborative manner. Further analysis of the earnings sharing mechanism could address potentially clear misunderstandings regarding the mechanism. For example, Commission Staff testimony asserts as follows:</w:t>
      </w:r>
    </w:p>
    <w:p w14:paraId="110A50A3" w14:textId="36BD2C45"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Temperature normalizing is a moot point for the decoupling delivery cost. PSE also proposes that fix</w:t>
      </w:r>
      <w:r w:rsidR="00D91C75">
        <w:rPr>
          <w:iCs/>
          <w:color w:val="000000" w:themeColor="text1"/>
          <w:szCs w:val="24"/>
          <w:lang w:eastAsia="en-US"/>
        </w:rPr>
        <w:t>ed</w:t>
      </w:r>
      <w:r w:rsidRPr="00B7218D">
        <w:rPr>
          <w:iCs/>
          <w:color w:val="000000" w:themeColor="text1"/>
          <w:szCs w:val="24"/>
          <w:lang w:eastAsia="en-US"/>
        </w:rPr>
        <w:t xml:space="preserve"> power cost be included </w:t>
      </w:r>
      <w:r w:rsidRPr="00B7218D">
        <w:rPr>
          <w:iCs/>
          <w:color w:val="000000" w:themeColor="text1"/>
          <w:szCs w:val="24"/>
          <w:lang w:eastAsia="en-US"/>
        </w:rPr>
        <w:lastRenderedPageBreak/>
        <w:t xml:space="preserve">in the per customer decoupling calculation. If so, temperature will no longer have an effect on the recovery of delivery costs </w:t>
      </w:r>
      <w:r w:rsidRPr="00D91C75">
        <w:rPr>
          <w:i/>
          <w:iCs/>
          <w:color w:val="000000" w:themeColor="text1"/>
          <w:szCs w:val="24"/>
          <w:lang w:eastAsia="en-US"/>
        </w:rPr>
        <w:t>or</w:t>
      </w:r>
      <w:r w:rsidRPr="00B7218D">
        <w:rPr>
          <w:iCs/>
          <w:color w:val="000000" w:themeColor="text1"/>
          <w:szCs w:val="24"/>
          <w:lang w:eastAsia="en-US"/>
        </w:rPr>
        <w:t xml:space="preserve"> fix</w:t>
      </w:r>
      <w:r w:rsidR="00D91C75">
        <w:rPr>
          <w:iCs/>
          <w:color w:val="000000" w:themeColor="text1"/>
          <w:szCs w:val="24"/>
          <w:lang w:eastAsia="en-US"/>
        </w:rPr>
        <w:t>ed</w:t>
      </w:r>
      <w:r w:rsidRPr="00B7218D">
        <w:rPr>
          <w:iCs/>
          <w:color w:val="000000" w:themeColor="text1"/>
          <w:szCs w:val="24"/>
          <w:lang w:eastAsia="en-US"/>
        </w:rPr>
        <w:t xml:space="preserve"> power costs.</w:t>
      </w:r>
      <w:r w:rsidR="00D91C75" w:rsidRPr="00B7218D">
        <w:rPr>
          <w:position w:val="6"/>
          <w:sz w:val="16"/>
        </w:rPr>
        <w:footnoteReference w:id="76"/>
      </w:r>
    </w:p>
    <w:p w14:paraId="53C4248D" w14:textId="77777777" w:rsidR="00B7218D" w:rsidRPr="00B7218D" w:rsidRDefault="00B7218D" w:rsidP="001564E7">
      <w:pPr>
        <w:spacing w:before="120" w:after="120" w:line="480" w:lineRule="auto"/>
        <w:ind w:left="720" w:firstLine="0"/>
      </w:pPr>
      <w:r w:rsidRPr="00B7218D">
        <w:t>This assertion is incorrect to the extent that (i) 24-month GAAP revenue recognition reserves are established, which reduce decoupled revenues in a given period, or (ii) 24-month GAAP revenue recognition reserves are reversed, which increase decoupled revenue in a given period. Continued analysis of the earnings sharing mechanism and discourse among stakeholders regarding the interplay of many factors in the earnings sharing calculation could serve to improve the mechanism and reflect PSE’s actual earnings, bank account balances and cash position.</w:t>
      </w:r>
    </w:p>
    <w:p w14:paraId="26BB1CED" w14:textId="77777777" w:rsidR="00B7218D" w:rsidRPr="00FB3145" w:rsidRDefault="00FB3145" w:rsidP="001564E7">
      <w:pPr>
        <w:pStyle w:val="Heading3"/>
      </w:pPr>
      <w:bookmarkStart w:id="57" w:name="_Toc489790226"/>
      <w:bookmarkStart w:id="58" w:name="_Toc489949685"/>
      <w:r w:rsidRPr="00FB3145">
        <w:t>2</w:t>
      </w:r>
      <w:r w:rsidR="00B7218D" w:rsidRPr="00FB3145">
        <w:t>.</w:t>
      </w:r>
      <w:r w:rsidR="00B7218D" w:rsidRPr="00FB3145">
        <w:tab/>
        <w:t>The Commission Should Adopt PSE’s Proposal to Reintroduce the 25 Basis Point Dead Band into the Earnings Sharing Mechanism</w:t>
      </w:r>
      <w:bookmarkEnd w:id="57"/>
      <w:bookmarkEnd w:id="58"/>
    </w:p>
    <w:p w14:paraId="7351728E"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Has any party addressed PSE’s proposal to reintroduce the 25 basis point dead band into the earnings sharing mechanism?</w:t>
      </w:r>
    </w:p>
    <w:p w14:paraId="16A4B636" w14:textId="77777777" w:rsidR="00B7218D" w:rsidRPr="00B7218D" w:rsidRDefault="00B7218D" w:rsidP="001564E7">
      <w:pPr>
        <w:spacing w:before="120" w:after="120" w:line="480" w:lineRule="auto"/>
        <w:ind w:left="720" w:hanging="720"/>
      </w:pPr>
      <w:r w:rsidRPr="00B7218D">
        <w:t>A.</w:t>
      </w:r>
      <w:r w:rsidRPr="00B7218D">
        <w:tab/>
        <w:t>Yes. Commission Staff summarily dismisses PSE’s proposal to reintroduce the 25 basis point dead band into the earnings sharing mechanism by asserting that “a dead band simply provides an avenue by which [PSE] avoids sharing in gained efficiencies.”</w:t>
      </w:r>
      <w:r w:rsidRPr="00B7218D">
        <w:rPr>
          <w:position w:val="6"/>
          <w:sz w:val="16"/>
        </w:rPr>
        <w:footnoteReference w:id="77"/>
      </w:r>
      <w:r w:rsidRPr="00B7218D">
        <w:t xml:space="preserve"> Public Counsel suggests that a dead band in the sharing mechanism “would weaken the consumer protection provided by the earnings </w:t>
      </w:r>
      <w:r w:rsidRPr="00B7218D">
        <w:lastRenderedPageBreak/>
        <w:t>test ….”</w:t>
      </w:r>
      <w:r w:rsidRPr="00B7218D">
        <w:rPr>
          <w:position w:val="6"/>
          <w:sz w:val="16"/>
        </w:rPr>
        <w:footnoteReference w:id="78"/>
      </w:r>
      <w:r w:rsidRPr="00B7218D">
        <w:t xml:space="preserve"> ICNU opposes PSE’s proposed dead band but suggests that the Commission could “require PSE to retain all earnings within the 25 basis points dead band but refund to customers 100% of all earnings above the 25 basis points dead band (excess earnings).”</w:t>
      </w:r>
      <w:r w:rsidRPr="00B7218D">
        <w:rPr>
          <w:position w:val="6"/>
          <w:sz w:val="16"/>
        </w:rPr>
        <w:footnoteReference w:id="79"/>
      </w:r>
      <w:r w:rsidRPr="00B7218D">
        <w:t xml:space="preserve"> Finally, Kroger acknowledges the asymmetrical nature of the earnings sharing mechanism but opposes the PSE proposal for a dead band.</w:t>
      </w:r>
      <w:r w:rsidRPr="00B7218D">
        <w:rPr>
          <w:position w:val="6"/>
          <w:sz w:val="16"/>
        </w:rPr>
        <w:footnoteReference w:id="80"/>
      </w:r>
    </w:p>
    <w:p w14:paraId="47EEFC6D"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Is Commission Staff correct that PSE’s proposal to reintroduce the 25 basis point dead band into the sharing mechanism would allow PSE to avoid sharing in gained efficiencies?</w:t>
      </w:r>
    </w:p>
    <w:p w14:paraId="3656AE07" w14:textId="77777777" w:rsidR="00B7218D" w:rsidRPr="00B7218D" w:rsidRDefault="00B7218D" w:rsidP="001564E7">
      <w:pPr>
        <w:spacing w:before="120" w:after="120" w:line="480" w:lineRule="auto"/>
        <w:ind w:left="720" w:hanging="720"/>
      </w:pPr>
      <w:r w:rsidRPr="00B7218D">
        <w:t>A.</w:t>
      </w:r>
      <w:r w:rsidRPr="00B7218D">
        <w:tab/>
        <w:t>No. Commission Staff is incorrect in asserting that PSE’s proposal to reintroduce the 25 basis point dead band into the sharing mechanism would allow PSE to avoid sharing in gained efficiencies.</w:t>
      </w:r>
    </w:p>
    <w:p w14:paraId="365F0082" w14:textId="77777777" w:rsidR="00B7218D" w:rsidRPr="00B7218D" w:rsidRDefault="00B7218D" w:rsidP="001564E7">
      <w:pPr>
        <w:spacing w:before="120" w:after="120" w:line="480" w:lineRule="auto"/>
        <w:ind w:left="720" w:firstLine="0"/>
      </w:pPr>
      <w:r w:rsidRPr="00B7218D">
        <w:t>First, Commission Staff relies on the Commission’s 2013 Decoupling Order,</w:t>
      </w:r>
      <w:r w:rsidRPr="00B7218D">
        <w:rPr>
          <w:position w:val="6"/>
          <w:sz w:val="16"/>
        </w:rPr>
        <w:footnoteReference w:id="81"/>
      </w:r>
      <w:r w:rsidRPr="00B7218D">
        <w:t xml:space="preserve"> in which the Commission suggested that a dead band was inappropriate because PSE’s return on equity, at that time, appeared to be in the higher end of the range of reasonableness. Commission Staff implies from this statement “PSE is already enjoying profits beyond what it would enjoy if the authorized return on equity </w:t>
      </w:r>
      <w:r w:rsidRPr="00B7218D">
        <w:lastRenderedPageBreak/>
        <w:t>were at the midpoint of reasonableness.”</w:t>
      </w:r>
      <w:r w:rsidRPr="00B7218D">
        <w:rPr>
          <w:position w:val="6"/>
          <w:sz w:val="16"/>
        </w:rPr>
        <w:footnoteReference w:id="82"/>
      </w:r>
      <w:r w:rsidRPr="00B7218D">
        <w:t xml:space="preserve"> This reasoning, however, is limited to the facts and circumstances in existence at the time of the 2013 Decoupling Order and has no bearing with respect to the prospective application of the earnings sharing mechanism.</w:t>
      </w:r>
    </w:p>
    <w:p w14:paraId="75A35D61" w14:textId="1B8ECB05" w:rsidR="00B7218D" w:rsidRPr="00B7218D" w:rsidRDefault="00B7218D" w:rsidP="001564E7">
      <w:pPr>
        <w:spacing w:before="120" w:after="120" w:line="480" w:lineRule="auto"/>
        <w:ind w:left="720" w:firstLine="0"/>
      </w:pPr>
      <w:r w:rsidRPr="00B7218D">
        <w:t>Second, Commission Staff asserts that PSE has proposed “a return on equity that is objectively high”</w:t>
      </w:r>
      <w:r w:rsidRPr="00B7218D">
        <w:rPr>
          <w:position w:val="6"/>
          <w:sz w:val="16"/>
        </w:rPr>
        <w:footnoteReference w:id="83"/>
      </w:r>
      <w:r w:rsidRPr="00B7218D">
        <w:t xml:space="preserve"> and that PSE’s “profits do not need to be expanded beyond what the Commission determines is appropriate.”</w:t>
      </w:r>
      <w:r w:rsidRPr="00B7218D">
        <w:rPr>
          <w:position w:val="6"/>
          <w:sz w:val="16"/>
        </w:rPr>
        <w:footnoteReference w:id="84"/>
      </w:r>
      <w:r w:rsidRPr="00B7218D">
        <w:t xml:space="preserve"> Simply put, Commission Staff’s argument is circular and fails to address the substance of PSE’s proposal. The Commission will determine PSE’s return on equity and revenue requirement in this proceeding. To assume an </w:t>
      </w:r>
      <w:r w:rsidRPr="00B7218D">
        <w:rPr>
          <w:i/>
        </w:rPr>
        <w:t>ex post</w:t>
      </w:r>
      <w:r w:rsidRPr="00B7218D">
        <w:t xml:space="preserve"> result (i.e., the Commission will</w:t>
      </w:r>
      <w:r w:rsidR="00446617">
        <w:t xml:space="preserve"> </w:t>
      </w:r>
      <w:r w:rsidRPr="00B7218D">
        <w:t xml:space="preserve">grant an increase in PSE’s revenue requirement in this proceeding based on PSE’s requested ROE of 9,8%, which Commission Staff views as “objectively high”) to take an </w:t>
      </w:r>
      <w:r w:rsidRPr="00B7218D">
        <w:rPr>
          <w:i/>
        </w:rPr>
        <w:t>ex ante</w:t>
      </w:r>
      <w:r w:rsidRPr="00B7218D">
        <w:t xml:space="preserve"> position (i.e., the Commission should not adopt PSE’s proposal to reintroduce the 25 basis point dead band into the sharing mechanism) is flawed logic.</w:t>
      </w:r>
    </w:p>
    <w:p w14:paraId="1742507F" w14:textId="77777777" w:rsidR="00B7218D" w:rsidRPr="00B7218D" w:rsidRDefault="00B7218D" w:rsidP="001564E7">
      <w:pPr>
        <w:spacing w:before="120" w:after="120" w:line="480" w:lineRule="auto"/>
        <w:ind w:left="720" w:firstLine="0"/>
      </w:pPr>
      <w:r w:rsidRPr="00B7218D">
        <w:t>In short, Commission Staff failed to provide a substantive response to the asymmetrical earnings profile presented by PSE.</w:t>
      </w:r>
    </w:p>
    <w:p w14:paraId="6616CE28"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How does PSE respond to arguments made by Public Counsel in opposition to PSE’s proposal to reintroduce the 25 basis point dead band into the sharing mechanism?</w:t>
      </w:r>
    </w:p>
    <w:p w14:paraId="13EFD350" w14:textId="77777777" w:rsidR="00B7218D" w:rsidRPr="00B7218D" w:rsidRDefault="00B7218D" w:rsidP="001564E7">
      <w:pPr>
        <w:spacing w:before="120" w:after="120" w:line="480" w:lineRule="auto"/>
        <w:ind w:left="720" w:hanging="720"/>
      </w:pPr>
      <w:r w:rsidRPr="00B7218D">
        <w:t>A.</w:t>
      </w:r>
      <w:r w:rsidRPr="00B7218D">
        <w:tab/>
        <w:t>Public Counsel presents a rather confusing exploration of several unrelated issues in apparent response to PSE’s proposal to reintroduce the 25 basis point dead band into the sharing mechanism. Public Counsel randomly discusses PSE’s control over cost management issues,</w:t>
      </w:r>
      <w:r w:rsidRPr="00B7218D">
        <w:rPr>
          <w:position w:val="6"/>
          <w:sz w:val="16"/>
        </w:rPr>
        <w:footnoteReference w:id="85"/>
      </w:r>
      <w:r w:rsidRPr="00B7218D">
        <w:t xml:space="preserve"> asserts that PSE has an information advantage in regulatory proceedings,</w:t>
      </w:r>
      <w:r w:rsidRPr="00B7218D">
        <w:rPr>
          <w:position w:val="6"/>
          <w:sz w:val="16"/>
        </w:rPr>
        <w:footnoteReference w:id="86"/>
      </w:r>
      <w:r w:rsidRPr="00B7218D">
        <w:t xml:space="preserve"> and confounds the presentation by referring to PSE’s revenue decoupling mechanism, formalized expedited rate filing proposal, and electric cost recovery mechanism proposal.</w:t>
      </w:r>
      <w:r w:rsidRPr="00B7218D">
        <w:rPr>
          <w:position w:val="6"/>
          <w:sz w:val="16"/>
        </w:rPr>
        <w:footnoteReference w:id="87"/>
      </w:r>
      <w:r w:rsidRPr="00B7218D">
        <w:t xml:space="preserve"> None of this is relevant. Public Counsel, like Commission Staff, simply fails to address the substance of PSE’s proposal to reintroduce the 25 basis point dead band into the sharing mechanism. </w:t>
      </w:r>
    </w:p>
    <w:p w14:paraId="728A646C" w14:textId="77777777" w:rsidR="00B7218D" w:rsidRPr="00B7218D" w:rsidRDefault="00B7218D" w:rsidP="001564E7">
      <w:pPr>
        <w:spacing w:before="120" w:after="120" w:line="480" w:lineRule="auto"/>
        <w:ind w:left="720" w:firstLine="0"/>
      </w:pPr>
      <w:r w:rsidRPr="00B7218D">
        <w:t xml:space="preserve">Like Commission Staff, Public Counsel failed to provide a substantive response to the asymmetrical earnings profile presented by PSE. </w:t>
      </w:r>
    </w:p>
    <w:p w14:paraId="423B8490"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lastRenderedPageBreak/>
        <w:t>Q.</w:t>
      </w:r>
      <w:r w:rsidRPr="00B7218D">
        <w:rPr>
          <w:rFonts w:eastAsia="SimSun"/>
          <w:b/>
        </w:rPr>
        <w:tab/>
        <w:t>How does PSE respond to arguments made by Kroger in opposition to PSE’s proposal to reintroduce the 25 basis point dead band into the sharing mechanism?</w:t>
      </w:r>
    </w:p>
    <w:p w14:paraId="00594F6C" w14:textId="29E801E8" w:rsidR="00B7218D" w:rsidRPr="00B7218D" w:rsidRDefault="00B7218D" w:rsidP="001564E7">
      <w:pPr>
        <w:spacing w:before="120" w:after="120" w:line="480" w:lineRule="auto"/>
        <w:ind w:left="720" w:hanging="720"/>
      </w:pPr>
      <w:r w:rsidRPr="00B7218D">
        <w:t>A.</w:t>
      </w:r>
      <w:r w:rsidRPr="00B7218D">
        <w:tab/>
        <w:t>Kroger attempts to argue that there is an inherent tradeoff between (i) the benefits of decoupling and (ii) the asymmetrical structure of the earnings sharing mechanism. Kroger fails to provide any evidence whatsoever of a connection between decoupling and the lack of a dead band in the earning sharing mechanism.</w:t>
      </w:r>
    </w:p>
    <w:p w14:paraId="7D48A42B" w14:textId="77777777" w:rsidR="00B7218D" w:rsidRPr="00B7218D" w:rsidRDefault="00B7218D" w:rsidP="001564E7">
      <w:pPr>
        <w:spacing w:before="120" w:after="120" w:line="480" w:lineRule="auto"/>
        <w:ind w:left="720" w:firstLine="0"/>
      </w:pPr>
      <w:r w:rsidRPr="00B7218D">
        <w:t xml:space="preserve">As previously mentioned, the sole basis provided by the Commission for rejection of the 25 basis dead band proposed by PSE and </w:t>
      </w:r>
      <w:proofErr w:type="spellStart"/>
      <w:r w:rsidRPr="00B7218D">
        <w:t>NWEC</w:t>
      </w:r>
      <w:proofErr w:type="spellEnd"/>
      <w:r w:rsidRPr="00B7218D">
        <w:t xml:space="preserve"> in the original earnings sharing mechanism was the Commission’s view that PSE’s return on equity was in the higher end of the range of reasonableness at the time of issuance of the 2013 Decoupling Order:</w:t>
      </w:r>
    </w:p>
    <w:p w14:paraId="66CEFFD4"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However, we do determine that the currently authorized 9.8 [percent return on equity], which we determined to be in the middle of the range of reasonableness in PSE’s last rate case, now at best is in the higher end of that range.</w:t>
      </w:r>
    </w:p>
    <w:p w14:paraId="2E3959FC"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Accordingly, we determine that to the extent PSE’s earnings exceed its currently authorized rate of return (</w:t>
      </w:r>
      <w:proofErr w:type="spellStart"/>
      <w:r w:rsidRPr="00B7218D">
        <w:rPr>
          <w:iCs/>
          <w:color w:val="000000" w:themeColor="text1"/>
          <w:szCs w:val="24"/>
          <w:lang w:eastAsia="en-US"/>
        </w:rPr>
        <w:t>ROR</w:t>
      </w:r>
      <w:proofErr w:type="spellEnd"/>
      <w:r w:rsidRPr="00B7218D">
        <w:rPr>
          <w:iCs/>
          <w:color w:val="000000" w:themeColor="text1"/>
          <w:szCs w:val="24"/>
          <w:lang w:eastAsia="en-US"/>
        </w:rPr>
        <w:t>) of 7.80 percent (which will be adjusted slightly downward on its compliance filing due to lower long-term debt costs), [PSE] and consumers should share 50 percent each of such potential over-earning.</w:t>
      </w:r>
      <w:r w:rsidRPr="00B7218D">
        <w:rPr>
          <w:iCs/>
          <w:color w:val="000000" w:themeColor="text1"/>
          <w:position w:val="6"/>
          <w:sz w:val="16"/>
          <w:szCs w:val="24"/>
          <w:lang w:eastAsia="en-US"/>
        </w:rPr>
        <w:footnoteReference w:id="88"/>
      </w:r>
    </w:p>
    <w:p w14:paraId="693DD696" w14:textId="77777777" w:rsidR="00B7218D" w:rsidRPr="00B7218D" w:rsidRDefault="00B7218D" w:rsidP="001564E7">
      <w:pPr>
        <w:spacing w:before="120" w:after="120" w:line="480" w:lineRule="auto"/>
        <w:ind w:left="720" w:firstLine="0"/>
      </w:pPr>
      <w:r w:rsidRPr="00B7218D">
        <w:lastRenderedPageBreak/>
        <w:t>Kroger fails to provide any evidence of any alleged trade-off between the revenue decoupling mechanism and the asymmetrical nature of the earnings sharing mechanism, presumably b</w:t>
      </w:r>
      <w:r w:rsidR="00E02D4F">
        <w:t>ecause no such tradeoff exists.</w:t>
      </w:r>
    </w:p>
    <w:p w14:paraId="045E219F" w14:textId="7260B6F5" w:rsidR="00B7218D" w:rsidRPr="00B7218D" w:rsidRDefault="00B7218D" w:rsidP="001564E7">
      <w:pPr>
        <w:spacing w:before="120" w:after="120" w:line="480" w:lineRule="auto"/>
        <w:ind w:left="720" w:firstLine="0"/>
      </w:pPr>
      <w:r w:rsidRPr="00B7218D">
        <w:t xml:space="preserve">Further, Kroger’s argument appears to suggest that the lack of a dead band in the earnings sharing mechanism could serve as a disguised reduction in PSE’s return on equity due to decoupling. For example, the Kroger testimony asserts that the lack of </w:t>
      </w:r>
      <w:r w:rsidR="00850336">
        <w:t xml:space="preserve">a </w:t>
      </w:r>
      <w:r w:rsidRPr="00B7218D">
        <w:t xml:space="preserve">dead band in the earning sharing mechanism reflected a tradeoff necessary due to a purported transfer in risk resulting from </w:t>
      </w:r>
      <w:r w:rsidRPr="00B7218D">
        <w:rPr>
          <w:szCs w:val="24"/>
        </w:rPr>
        <w:t>approval of PSE’s revenue decoupling mechanism:</w:t>
      </w:r>
    </w:p>
    <w:p w14:paraId="2A3C7E2C"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The approval of PSE’s current revenue decoupling mechanism transferred risk from [PSE] to customers. It was an asymmetrical transfer to the benefit of PSE. If, in partial mitigation of that transfer, an earnings test was adopted, it is not necessary for the earnings test itself to be symmetrical since it was adopted to partially mitigate the effects of a ratemaking change that itself was not symmetrical.</w:t>
      </w:r>
      <w:r w:rsidRPr="00B7218D">
        <w:rPr>
          <w:iCs/>
          <w:color w:val="000000" w:themeColor="text1"/>
          <w:position w:val="6"/>
          <w:sz w:val="16"/>
          <w:szCs w:val="24"/>
          <w:lang w:eastAsia="en-US"/>
        </w:rPr>
        <w:footnoteReference w:id="89"/>
      </w:r>
    </w:p>
    <w:p w14:paraId="6DC1144E" w14:textId="77777777" w:rsidR="00B7218D" w:rsidRPr="00B7218D" w:rsidRDefault="00B7218D" w:rsidP="001564E7">
      <w:pPr>
        <w:spacing w:before="120" w:after="120" w:line="480" w:lineRule="auto"/>
        <w:ind w:left="720" w:firstLine="0"/>
        <w:rPr>
          <w:szCs w:val="24"/>
        </w:rPr>
      </w:pPr>
      <w:r w:rsidRPr="00B7218D">
        <w:rPr>
          <w:szCs w:val="24"/>
        </w:rPr>
        <w:t>If, and to the extent, that Kroger suggests that the rejection of PSE’s proposal to reintroduce the dead band to the earnings sharing mechanism could substitute as a reduction in PSE’s return on equity due to the presence of the revenue recoupling mechanism, such a suggestion would be improper. The Commission has already expressly determined that the risk reducing effect of decoupling is reflected in the underlying data used to determine allowed returns on equity and that a separate adjustment is unnecessary:</w:t>
      </w:r>
    </w:p>
    <w:p w14:paraId="2334E8A0"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lastRenderedPageBreak/>
        <w:t>In sum, we find persuasive the expert opinions of Dr. Morin and Mr. Gorman and find that the risk reducing effect of decoupling is reflected adequately in the data derived from the companies in their respective proxy groups. We reject the idea of a separate decrement to ROE to account for the same risk reduction. We also find persuasive the point that cost of capital analysis cannot achieve the level of granularity necessary to support a discrete adjustment to ROE to account for particularized risks—up or down.</w:t>
      </w:r>
      <w:r w:rsidRPr="00B7218D">
        <w:rPr>
          <w:iCs/>
          <w:color w:val="000000" w:themeColor="text1"/>
          <w:position w:val="6"/>
          <w:sz w:val="16"/>
          <w:szCs w:val="24"/>
          <w:lang w:eastAsia="en-US"/>
        </w:rPr>
        <w:footnoteReference w:id="90"/>
      </w:r>
    </w:p>
    <w:p w14:paraId="3FCD185E"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How does PSE respond to arguments made by ICNU in opposition to PSE’s proposal to reintroduce the 25 basis point dead band into the sharing mechanism?</w:t>
      </w:r>
    </w:p>
    <w:p w14:paraId="3A2CAA9C" w14:textId="77777777" w:rsidR="00B7218D" w:rsidRPr="00B7218D" w:rsidRDefault="00B7218D" w:rsidP="001564E7">
      <w:pPr>
        <w:spacing w:before="120" w:after="120" w:line="480" w:lineRule="auto"/>
        <w:ind w:left="720" w:hanging="720"/>
      </w:pPr>
      <w:r w:rsidRPr="00B7218D">
        <w:t>A.</w:t>
      </w:r>
      <w:r w:rsidRPr="00B7218D">
        <w:tab/>
        <w:t>Although the ICNU testimony purports to reject PSE’s proposal to reintroduce the 25 basis point dead band into the sharing mechanism, it does appear to agree with PSE regarding the asymmetrical effects of the existing earnings sharing mechanism. To that end, ICNU offers an alternative modification to the earnings sharing mechanism that would (i) reintroduce the 25 basis point dead band into the sharing mechanism and (ii) institute a “hard cap” in which PSE would refund to customers 100% of all earnings above the 25 basis points dead band.</w:t>
      </w:r>
      <w:r w:rsidRPr="00B7218D">
        <w:rPr>
          <w:position w:val="6"/>
          <w:sz w:val="16"/>
        </w:rPr>
        <w:footnoteReference w:id="91"/>
      </w:r>
      <w:r w:rsidRPr="00B7218D">
        <w:t xml:space="preserve"> ICNU asserts that its alternative proposal would provide a middle ground that corrects the asymmetrical aspect of the current earnings sharing mechanism while mitigating rate impacts:</w:t>
      </w:r>
    </w:p>
    <w:p w14:paraId="5E9A020E" w14:textId="77777777" w:rsidR="00B7218D" w:rsidRPr="00B7218D" w:rsidRDefault="00B7218D" w:rsidP="001564E7">
      <w:pPr>
        <w:spacing w:after="280" w:line="240" w:lineRule="auto"/>
        <w:ind w:left="1440" w:right="720" w:firstLine="0"/>
        <w:jc w:val="both"/>
        <w:rPr>
          <w:iCs/>
          <w:color w:val="000000" w:themeColor="text1"/>
          <w:szCs w:val="24"/>
          <w:lang w:eastAsia="en-US"/>
        </w:rPr>
      </w:pPr>
      <w:r w:rsidRPr="00B7218D">
        <w:rPr>
          <w:iCs/>
          <w:color w:val="000000" w:themeColor="text1"/>
          <w:szCs w:val="24"/>
          <w:lang w:eastAsia="en-US"/>
        </w:rPr>
        <w:t xml:space="preserve">This will accomplish PSE’s objective of symmetrical earnings around the authorized equity return over time while also mitigating rate impacts on customers. In effect, PSE can earn less than its </w:t>
      </w:r>
      <w:r w:rsidRPr="00B7218D">
        <w:rPr>
          <w:iCs/>
          <w:color w:val="000000" w:themeColor="text1"/>
          <w:szCs w:val="24"/>
          <w:lang w:eastAsia="en-US"/>
        </w:rPr>
        <w:lastRenderedPageBreak/>
        <w:t>authorized returns in some years, and make up the under earnings in other years with the 25 basis point dead band. This corrects the asymmetrical aspect of the current earnings sharing mechanism that was a concern expressed by Mr. Doyle. However, requiring 100% of excess earnings to be refunded to customers will mitigate the rate impacts on PSE’s customers while still providing PSE with fair and reasonable compensation.</w:t>
      </w:r>
      <w:r w:rsidRPr="00B7218D">
        <w:rPr>
          <w:iCs/>
          <w:color w:val="000000" w:themeColor="text1"/>
          <w:position w:val="6"/>
          <w:sz w:val="16"/>
          <w:szCs w:val="24"/>
          <w:lang w:eastAsia="en-US"/>
        </w:rPr>
        <w:footnoteReference w:id="92"/>
      </w:r>
    </w:p>
    <w:p w14:paraId="554DB5B1" w14:textId="77777777" w:rsidR="00B7218D" w:rsidRPr="00B7218D" w:rsidRDefault="00B7218D" w:rsidP="001564E7">
      <w:pPr>
        <w:spacing w:before="120" w:after="120" w:line="480" w:lineRule="auto"/>
        <w:ind w:left="720" w:firstLine="0"/>
      </w:pPr>
      <w:r w:rsidRPr="00B7218D">
        <w:t>This proposal presents an interesting middle ground, and while it is not perfect, it is an alternative that PSE could accept.</w:t>
      </w:r>
    </w:p>
    <w:p w14:paraId="214022A4" w14:textId="77777777" w:rsidR="00B7218D" w:rsidRPr="00B7218D" w:rsidRDefault="00B7218D" w:rsidP="001564E7">
      <w:pPr>
        <w:keepNext/>
        <w:keepLines/>
        <w:spacing w:before="240" w:after="120" w:line="480" w:lineRule="auto"/>
        <w:ind w:left="720" w:hanging="720"/>
        <w:rPr>
          <w:rFonts w:eastAsia="SimSun"/>
          <w:b/>
        </w:rPr>
      </w:pPr>
      <w:r w:rsidRPr="00B7218D">
        <w:rPr>
          <w:rFonts w:eastAsia="SimSun"/>
          <w:b/>
        </w:rPr>
        <w:t>Q.</w:t>
      </w:r>
      <w:r w:rsidRPr="00B7218D">
        <w:rPr>
          <w:rFonts w:eastAsia="SimSun"/>
          <w:b/>
        </w:rPr>
        <w:tab/>
        <w:t>Does PSE still propose to reintroduce the 25 basis point dead band into the sharing mechanism?</w:t>
      </w:r>
    </w:p>
    <w:p w14:paraId="347DB12A" w14:textId="6486F335" w:rsidR="00B7218D" w:rsidRPr="00B7218D" w:rsidRDefault="00B7218D" w:rsidP="001564E7">
      <w:pPr>
        <w:spacing w:before="120" w:after="120" w:line="480" w:lineRule="auto"/>
        <w:ind w:left="720" w:hanging="720"/>
      </w:pPr>
      <w:r w:rsidRPr="00B7218D">
        <w:t>A.</w:t>
      </w:r>
      <w:r w:rsidRPr="00B7218D">
        <w:tab/>
        <w:t xml:space="preserve">Yes. PSE still proposes that the Commission allow PSE to reintroduce the 25 basis point dead band into the earnings sharing mechanism as originally proposed by PSE and </w:t>
      </w:r>
      <w:proofErr w:type="spellStart"/>
      <w:r w:rsidRPr="00B7218D">
        <w:t>NWEC</w:t>
      </w:r>
      <w:proofErr w:type="spellEnd"/>
      <w:r w:rsidRPr="00B7218D">
        <w:t xml:space="preserve">. Doing so will reestablish parity and balance in PSE’s earnings profile and eliminates the need for any adjustment to return on equity. To the extent the Commission opposes reintroducing the 25 basis point dead band, it should consider no less than a 14 basis point adder to Dr. Morin’s recommended return on equity, which is supported by the Third Exhibit to the </w:t>
      </w:r>
      <w:proofErr w:type="spellStart"/>
      <w:r w:rsidRPr="00B7218D">
        <w:t>Prefiled</w:t>
      </w:r>
      <w:proofErr w:type="spellEnd"/>
      <w:r w:rsidRPr="00B7218D">
        <w:t xml:space="preserve"> Direct Testimony of Daniel A. Doyle, </w:t>
      </w:r>
      <w:proofErr w:type="spellStart"/>
      <w:r w:rsidRPr="00B7218D">
        <w:t>Exh</w:t>
      </w:r>
      <w:proofErr w:type="spellEnd"/>
      <w:r w:rsidRPr="00B7218D">
        <w:t>. DAD-4.</w:t>
      </w:r>
      <w:r w:rsidR="00446617">
        <w:t xml:space="preserve"> </w:t>
      </w:r>
      <w:r w:rsidRPr="00B7218D">
        <w:t>Alternatively, PSE would accept the alternative proposed by ICNU as discussed above.</w:t>
      </w:r>
    </w:p>
    <w:p w14:paraId="55026BF4" w14:textId="77777777" w:rsidR="00B7218D" w:rsidRPr="00B7218D" w:rsidRDefault="00FB3145" w:rsidP="001564E7">
      <w:pPr>
        <w:pStyle w:val="Heading2"/>
      </w:pPr>
      <w:bookmarkStart w:id="59" w:name="_Toc488216565"/>
      <w:bookmarkStart w:id="60" w:name="_Toc489790227"/>
      <w:bookmarkStart w:id="61" w:name="_Toc489949686"/>
      <w:r>
        <w:lastRenderedPageBreak/>
        <w:t>B</w:t>
      </w:r>
      <w:r w:rsidR="00B7218D" w:rsidRPr="00B7218D">
        <w:t>.</w:t>
      </w:r>
      <w:r w:rsidR="00B7218D" w:rsidRPr="00B7218D">
        <w:tab/>
        <w:t>The Commission Should Adopt PSE’s Proposal to Increase the Cap from 3 Percent to 5 Percent</w:t>
      </w:r>
      <w:bookmarkEnd w:id="59"/>
      <w:bookmarkEnd w:id="60"/>
      <w:bookmarkEnd w:id="61"/>
    </w:p>
    <w:p w14:paraId="58F4455B" w14:textId="77777777" w:rsidR="000007F8" w:rsidRDefault="000007F8" w:rsidP="001564E7">
      <w:pPr>
        <w:keepNext/>
        <w:keepLines/>
        <w:spacing w:before="240" w:after="120" w:line="480" w:lineRule="auto"/>
        <w:ind w:left="720" w:hanging="720"/>
        <w:rPr>
          <w:rFonts w:ascii="CG Times (WN)" w:eastAsia="SimSun" w:hAnsi="CG Times (WN)"/>
          <w:b/>
        </w:rPr>
      </w:pPr>
      <w:r w:rsidRPr="000007F8">
        <w:rPr>
          <w:rFonts w:ascii="CG Times (WN)" w:eastAsia="SimSun" w:hAnsi="CG Times (WN)"/>
          <w:b/>
        </w:rPr>
        <w:t>Q.</w:t>
      </w:r>
      <w:r w:rsidRPr="000007F8">
        <w:rPr>
          <w:rFonts w:ascii="CG Times (WN)" w:eastAsia="SimSun" w:hAnsi="CG Times (WN)"/>
          <w:b/>
        </w:rPr>
        <w:tab/>
        <w:t xml:space="preserve">Please summarize the various parties’ responses to PSE’s </w:t>
      </w:r>
      <w:r>
        <w:rPr>
          <w:rFonts w:eastAsia="SimSun"/>
          <w:b/>
        </w:rPr>
        <w:t>p</w:t>
      </w:r>
      <w:r w:rsidRPr="00B7218D">
        <w:rPr>
          <w:rFonts w:eastAsia="SimSun"/>
          <w:b/>
        </w:rPr>
        <w:t xml:space="preserve">roposal to </w:t>
      </w:r>
      <w:r>
        <w:rPr>
          <w:rFonts w:eastAsia="SimSun"/>
          <w:b/>
        </w:rPr>
        <w:t>i</w:t>
      </w:r>
      <w:r w:rsidRPr="00B7218D">
        <w:rPr>
          <w:rFonts w:eastAsia="SimSun"/>
          <w:b/>
        </w:rPr>
        <w:t xml:space="preserve">ncrease the </w:t>
      </w:r>
      <w:r>
        <w:rPr>
          <w:rFonts w:eastAsia="SimSun"/>
          <w:b/>
        </w:rPr>
        <w:t>c</w:t>
      </w:r>
      <w:r w:rsidRPr="00B7218D">
        <w:rPr>
          <w:rFonts w:eastAsia="SimSun"/>
          <w:b/>
        </w:rPr>
        <w:t xml:space="preserve">ap </w:t>
      </w:r>
      <w:r w:rsidRPr="000007F8">
        <w:rPr>
          <w:rFonts w:ascii="CG Times (WN)" w:eastAsia="SimSun" w:hAnsi="CG Times (WN)"/>
          <w:b/>
        </w:rPr>
        <w:t>rate test in the decoupling mechanisms</w:t>
      </w:r>
      <w:r>
        <w:rPr>
          <w:rFonts w:ascii="CG Times (WN)" w:eastAsia="SimSun" w:hAnsi="CG Times (WN)"/>
          <w:b/>
        </w:rPr>
        <w:t xml:space="preserve"> </w:t>
      </w:r>
      <w:r w:rsidRPr="00B7218D">
        <w:rPr>
          <w:rFonts w:eastAsia="SimSun"/>
          <w:b/>
        </w:rPr>
        <w:t>from 3 </w:t>
      </w:r>
      <w:r>
        <w:rPr>
          <w:rFonts w:eastAsia="SimSun"/>
          <w:b/>
        </w:rPr>
        <w:t>p</w:t>
      </w:r>
      <w:r w:rsidRPr="00B7218D">
        <w:rPr>
          <w:rFonts w:eastAsia="SimSun"/>
          <w:b/>
        </w:rPr>
        <w:t>ercent to 5 </w:t>
      </w:r>
      <w:r>
        <w:rPr>
          <w:rFonts w:eastAsia="SimSun"/>
          <w:b/>
        </w:rPr>
        <w:t>p</w:t>
      </w:r>
      <w:r w:rsidRPr="00B7218D">
        <w:rPr>
          <w:rFonts w:eastAsia="SimSun"/>
          <w:b/>
        </w:rPr>
        <w:t>ercent</w:t>
      </w:r>
      <w:r>
        <w:rPr>
          <w:rFonts w:eastAsia="SimSun"/>
          <w:b/>
        </w:rPr>
        <w:t>.</w:t>
      </w:r>
    </w:p>
    <w:p w14:paraId="2E15AC78" w14:textId="77777777" w:rsidR="000007F8" w:rsidRPr="000007F8" w:rsidRDefault="000007F8" w:rsidP="001564E7">
      <w:pPr>
        <w:spacing w:before="120" w:after="120" w:line="480" w:lineRule="auto"/>
        <w:ind w:left="720" w:hanging="720"/>
      </w:pPr>
      <w:r w:rsidRPr="000007F8">
        <w:rPr>
          <w:rFonts w:eastAsia="SimSun"/>
        </w:rPr>
        <w:t>A.</w:t>
      </w:r>
      <w:r w:rsidRPr="000007F8">
        <w:rPr>
          <w:rFonts w:eastAsia="SimSun"/>
        </w:rPr>
        <w:tab/>
      </w:r>
      <w:r>
        <w:rPr>
          <w:rFonts w:eastAsia="SimSun"/>
        </w:rPr>
        <w:t xml:space="preserve">Commission </w:t>
      </w:r>
      <w:r w:rsidRPr="000007F8">
        <w:rPr>
          <w:rFonts w:eastAsia="SimSun"/>
        </w:rPr>
        <w:t xml:space="preserve">Staff supports increasing the rate cap to </w:t>
      </w:r>
      <w:r>
        <w:rPr>
          <w:rFonts w:eastAsia="SimSun"/>
        </w:rPr>
        <w:t>5 </w:t>
      </w:r>
      <w:r w:rsidRPr="000007F8">
        <w:rPr>
          <w:rFonts w:eastAsia="SimSun"/>
        </w:rPr>
        <w:t>percent for all customers subject to the decoupling mechanisms.</w:t>
      </w:r>
      <w:r w:rsidRPr="000007F8">
        <w:rPr>
          <w:rFonts w:eastAsia="SimSun"/>
          <w:position w:val="6"/>
          <w:sz w:val="16"/>
        </w:rPr>
        <w:footnoteReference w:id="93"/>
      </w:r>
      <w:r>
        <w:rPr>
          <w:rFonts w:eastAsia="SimSun"/>
        </w:rPr>
        <w:t xml:space="preserve"> </w:t>
      </w:r>
      <w:r w:rsidRPr="000007F8">
        <w:rPr>
          <w:rFonts w:eastAsia="SimSun"/>
        </w:rPr>
        <w:t>This includes non-residential gas customers for which PSE had recommended retaining the three percent cap.</w:t>
      </w:r>
      <w:r>
        <w:rPr>
          <w:rFonts w:eastAsia="SimSun"/>
        </w:rPr>
        <w:t xml:space="preserve"> </w:t>
      </w:r>
      <w:r w:rsidRPr="000007F8">
        <w:rPr>
          <w:rFonts w:eastAsia="SimSun"/>
        </w:rPr>
        <w:t>Public Counsel</w:t>
      </w:r>
      <w:r>
        <w:rPr>
          <w:rFonts w:eastAsia="SimSun"/>
        </w:rPr>
        <w:t>,</w:t>
      </w:r>
      <w:r w:rsidRPr="000007F8">
        <w:rPr>
          <w:rFonts w:eastAsia="SimSun"/>
        </w:rPr>
        <w:t xml:space="preserve"> </w:t>
      </w:r>
      <w:r>
        <w:rPr>
          <w:rFonts w:eastAsia="SimSun"/>
        </w:rPr>
        <w:t xml:space="preserve">Kroger, </w:t>
      </w:r>
      <w:r w:rsidRPr="000007F8">
        <w:rPr>
          <w:rFonts w:eastAsia="SimSun"/>
        </w:rPr>
        <w:t xml:space="preserve">and </w:t>
      </w:r>
      <w:proofErr w:type="spellStart"/>
      <w:r w:rsidRPr="000007F8">
        <w:rPr>
          <w:rFonts w:eastAsia="SimSun"/>
        </w:rPr>
        <w:t>FEA</w:t>
      </w:r>
      <w:proofErr w:type="spellEnd"/>
      <w:r w:rsidRPr="000007F8">
        <w:rPr>
          <w:rFonts w:eastAsia="SimSun"/>
        </w:rPr>
        <w:t xml:space="preserve"> recommend retaining the existing rate cap of </w:t>
      </w:r>
      <w:r>
        <w:rPr>
          <w:rFonts w:eastAsia="SimSun"/>
        </w:rPr>
        <w:t xml:space="preserve">3 </w:t>
      </w:r>
      <w:r w:rsidRPr="000007F8">
        <w:rPr>
          <w:rFonts w:eastAsia="SimSun"/>
        </w:rPr>
        <w:t>percent.</w:t>
      </w:r>
      <w:r w:rsidRPr="000007F8">
        <w:rPr>
          <w:rFonts w:eastAsia="SimSun"/>
          <w:position w:val="6"/>
          <w:sz w:val="16"/>
        </w:rPr>
        <w:footnoteReference w:id="94"/>
      </w:r>
      <w:r>
        <w:rPr>
          <w:rFonts w:eastAsia="SimSun"/>
        </w:rPr>
        <w:t xml:space="preserve"> </w:t>
      </w:r>
      <w:proofErr w:type="spellStart"/>
      <w:r w:rsidRPr="000007F8">
        <w:rPr>
          <w:rFonts w:eastAsia="SimSun"/>
        </w:rPr>
        <w:t>FEA</w:t>
      </w:r>
      <w:proofErr w:type="spellEnd"/>
      <w:r>
        <w:rPr>
          <w:rFonts w:eastAsia="SimSun"/>
        </w:rPr>
        <w:t xml:space="preserve"> would </w:t>
      </w:r>
      <w:r w:rsidRPr="000007F8">
        <w:rPr>
          <w:rFonts w:eastAsia="SimSun"/>
        </w:rPr>
        <w:t>witness goes one step further by recommending that the soft cap be replaced with a hard cap.</w:t>
      </w:r>
      <w:r w:rsidRPr="000007F8">
        <w:rPr>
          <w:rFonts w:eastAsia="SimSun"/>
          <w:position w:val="6"/>
          <w:sz w:val="16"/>
        </w:rPr>
        <w:footnoteReference w:id="95"/>
      </w:r>
      <w:r w:rsidRPr="000007F8">
        <w:rPr>
          <w:rFonts w:eastAsia="SimSun"/>
        </w:rPr>
        <w:t xml:space="preserve"> </w:t>
      </w:r>
      <w:r w:rsidR="00CC39CB" w:rsidRPr="00FB3145">
        <w:rPr>
          <w:rFonts w:eastAsia="SimSun"/>
        </w:rPr>
        <w:t xml:space="preserve">NW Energy Coalition, Renewable Northwest, </w:t>
      </w:r>
      <w:r w:rsidR="00CC39CB">
        <w:rPr>
          <w:rFonts w:eastAsia="SimSun"/>
        </w:rPr>
        <w:t xml:space="preserve">and </w:t>
      </w:r>
      <w:r w:rsidR="00CC39CB" w:rsidRPr="00FB3145">
        <w:rPr>
          <w:rFonts w:eastAsia="SimSun"/>
        </w:rPr>
        <w:t>Natural Resources Defense Council</w:t>
      </w:r>
      <w:r w:rsidR="00CC39CB">
        <w:rPr>
          <w:rFonts w:eastAsia="SimSun"/>
        </w:rPr>
        <w:t xml:space="preserve"> support</w:t>
      </w:r>
      <w:r w:rsidRPr="000007F8">
        <w:rPr>
          <w:rFonts w:eastAsia="SimSun"/>
        </w:rPr>
        <w:t xml:space="preserve"> a </w:t>
      </w:r>
      <w:r w:rsidR="00CC39CB">
        <w:rPr>
          <w:rFonts w:eastAsia="SimSun"/>
        </w:rPr>
        <w:t>5 </w:t>
      </w:r>
      <w:r w:rsidRPr="000007F8">
        <w:rPr>
          <w:rFonts w:eastAsia="SimSun"/>
        </w:rPr>
        <w:t>percent rate cap for gas residential customers until PSE’s next rate filing where improvement to weather forecasting can be implemented</w:t>
      </w:r>
      <w:r w:rsidRPr="000007F8">
        <w:rPr>
          <w:rFonts w:eastAsia="SimSun"/>
          <w:position w:val="6"/>
          <w:sz w:val="16"/>
        </w:rPr>
        <w:footnoteReference w:id="96"/>
      </w:r>
      <w:r w:rsidR="00CC39CB">
        <w:rPr>
          <w:rFonts w:eastAsia="SimSun"/>
        </w:rPr>
        <w:t xml:space="preserve"> but reject</w:t>
      </w:r>
      <w:r w:rsidRPr="000007F8">
        <w:rPr>
          <w:rFonts w:eastAsia="SimSun"/>
        </w:rPr>
        <w:t xml:space="preserve"> the increase for residential electric customers.</w:t>
      </w:r>
      <w:r w:rsidRPr="000007F8">
        <w:rPr>
          <w:rFonts w:eastAsia="SimSun"/>
          <w:position w:val="6"/>
          <w:sz w:val="16"/>
        </w:rPr>
        <w:footnoteReference w:id="97"/>
      </w:r>
      <w:r w:rsidR="00CC39CB">
        <w:rPr>
          <w:rFonts w:eastAsia="SimSun"/>
        </w:rPr>
        <w:t xml:space="preserve"> </w:t>
      </w:r>
      <w:r w:rsidRPr="000007F8">
        <w:rPr>
          <w:rFonts w:eastAsia="SimSun"/>
        </w:rPr>
        <w:t>T</w:t>
      </w:r>
      <w:r w:rsidR="00CC39CB">
        <w:rPr>
          <w:rFonts w:eastAsia="SimSun"/>
        </w:rPr>
        <w:t xml:space="preserve">he Energy Project </w:t>
      </w:r>
      <w:r w:rsidRPr="000007F8">
        <w:rPr>
          <w:rFonts w:eastAsia="SimSun"/>
        </w:rPr>
        <w:t>similarly expresses concerns about PSE’s proposed increases to the rate caps.</w:t>
      </w:r>
      <w:r w:rsidRPr="000007F8">
        <w:rPr>
          <w:rFonts w:eastAsia="SimSun"/>
          <w:position w:val="6"/>
          <w:sz w:val="16"/>
        </w:rPr>
        <w:footnoteReference w:id="98"/>
      </w:r>
    </w:p>
    <w:p w14:paraId="10864D77" w14:textId="77777777" w:rsidR="000007F8" w:rsidRPr="000007F8" w:rsidRDefault="000007F8" w:rsidP="001564E7">
      <w:pPr>
        <w:keepNext/>
        <w:keepLines/>
        <w:spacing w:before="240" w:after="120" w:line="480" w:lineRule="auto"/>
        <w:ind w:left="720" w:hanging="720"/>
        <w:rPr>
          <w:rFonts w:ascii="CG Times (WN)" w:eastAsia="SimSun" w:hAnsi="CG Times (WN)"/>
          <w:b/>
        </w:rPr>
      </w:pPr>
      <w:r w:rsidRPr="000007F8">
        <w:rPr>
          <w:rFonts w:ascii="CG Times (WN)" w:eastAsia="SimSun" w:hAnsi="CG Times (WN)"/>
          <w:b/>
        </w:rPr>
        <w:lastRenderedPageBreak/>
        <w:t>Q.</w:t>
      </w:r>
      <w:r w:rsidRPr="000007F8">
        <w:rPr>
          <w:rFonts w:ascii="CG Times (WN)" w:eastAsia="SimSun" w:hAnsi="CG Times (WN)"/>
          <w:b/>
        </w:rPr>
        <w:tab/>
        <w:t>How do</w:t>
      </w:r>
      <w:r w:rsidR="00CC39CB">
        <w:rPr>
          <w:rFonts w:ascii="CG Times (WN)" w:eastAsia="SimSun" w:hAnsi="CG Times (WN)"/>
          <w:b/>
        </w:rPr>
        <w:t>es</w:t>
      </w:r>
      <w:r w:rsidRPr="000007F8">
        <w:rPr>
          <w:rFonts w:ascii="CG Times (WN)" w:eastAsia="SimSun" w:hAnsi="CG Times (WN)"/>
          <w:b/>
        </w:rPr>
        <w:t xml:space="preserve"> </w:t>
      </w:r>
      <w:r w:rsidR="00CC39CB">
        <w:rPr>
          <w:rFonts w:ascii="CG Times (WN)" w:eastAsia="SimSun" w:hAnsi="CG Times (WN)"/>
          <w:b/>
        </w:rPr>
        <w:t xml:space="preserve">PSE respond to </w:t>
      </w:r>
      <w:r w:rsidRPr="000007F8">
        <w:rPr>
          <w:rFonts w:ascii="CG Times (WN)" w:eastAsia="SimSun" w:hAnsi="CG Times (WN)"/>
          <w:b/>
        </w:rPr>
        <w:t>calls for a change to PSE’s proposed rate cap levels?</w:t>
      </w:r>
    </w:p>
    <w:p w14:paraId="0B5687DB" w14:textId="77777777" w:rsidR="000007F8" w:rsidRDefault="000007F8" w:rsidP="001564E7">
      <w:pPr>
        <w:spacing w:before="120" w:after="120" w:line="480" w:lineRule="auto"/>
        <w:ind w:left="720" w:hanging="720"/>
        <w:rPr>
          <w:rFonts w:eastAsia="SimSun"/>
        </w:rPr>
      </w:pPr>
      <w:r w:rsidRPr="000007F8">
        <w:rPr>
          <w:rFonts w:eastAsia="SimSun"/>
        </w:rPr>
        <w:t>A.</w:t>
      </w:r>
      <w:r w:rsidRPr="000007F8">
        <w:rPr>
          <w:rFonts w:eastAsia="SimSun"/>
        </w:rPr>
        <w:tab/>
      </w:r>
      <w:r w:rsidR="00CC39CB">
        <w:t xml:space="preserve">As discussed in the </w:t>
      </w:r>
      <w:proofErr w:type="spellStart"/>
      <w:r w:rsidR="00CC39CB">
        <w:t>Prefiled</w:t>
      </w:r>
      <w:proofErr w:type="spellEnd"/>
      <w:r w:rsidR="00CC39CB">
        <w:t xml:space="preserve"> Rebuttal Testimony of Jon A. Piliaris, </w:t>
      </w:r>
      <w:proofErr w:type="spellStart"/>
      <w:r w:rsidR="00CC39CB">
        <w:t>Exh</w:t>
      </w:r>
      <w:proofErr w:type="spellEnd"/>
      <w:r w:rsidR="00CC39CB">
        <w:t xml:space="preserve">. JAP-46CT, </w:t>
      </w:r>
      <w:r w:rsidRPr="000007F8">
        <w:rPr>
          <w:rFonts w:eastAsia="SimSun"/>
        </w:rPr>
        <w:t>PSE recommends</w:t>
      </w:r>
      <w:r w:rsidR="00CC39CB">
        <w:rPr>
          <w:rFonts w:eastAsia="SimSun"/>
        </w:rPr>
        <w:t>, at a minimum,</w:t>
      </w:r>
      <w:r w:rsidRPr="000007F8">
        <w:rPr>
          <w:rFonts w:eastAsia="SimSun"/>
        </w:rPr>
        <w:t xml:space="preserve"> that the Commission adopt </w:t>
      </w:r>
      <w:r w:rsidR="00CC39CB">
        <w:rPr>
          <w:rFonts w:eastAsia="SimSun"/>
        </w:rPr>
        <w:t>5 </w:t>
      </w:r>
      <w:r w:rsidRPr="000007F8">
        <w:rPr>
          <w:rFonts w:eastAsia="SimSun"/>
        </w:rPr>
        <w:t>percent caps for both the gas and e</w:t>
      </w:r>
      <w:r w:rsidR="00CC39CB">
        <w:rPr>
          <w:rFonts w:eastAsia="SimSun"/>
        </w:rPr>
        <w:t xml:space="preserve">lectric residential customers. If and to </w:t>
      </w:r>
      <w:r w:rsidRPr="000007F8">
        <w:rPr>
          <w:rFonts w:eastAsia="SimSun"/>
        </w:rPr>
        <w:t xml:space="preserve">the extent that </w:t>
      </w:r>
      <w:r w:rsidR="00CC39CB">
        <w:rPr>
          <w:rFonts w:eastAsia="SimSun"/>
        </w:rPr>
        <w:t xml:space="preserve">the Commission </w:t>
      </w:r>
      <w:r w:rsidRPr="000007F8">
        <w:rPr>
          <w:rFonts w:eastAsia="SimSun"/>
        </w:rPr>
        <w:t xml:space="preserve">has any concerns about the potential for higher deferrals for the non-residential customers that may present cost shifting between current and future customers, the Commission may also want to raise the rate caps for these customers as well. This would be in line with the decoupling mechanism recently approved for PacifiCorp and, as </w:t>
      </w:r>
      <w:r w:rsidR="00CC39CB">
        <w:rPr>
          <w:rFonts w:eastAsia="SimSun"/>
        </w:rPr>
        <w:t xml:space="preserve">suggested by Commission </w:t>
      </w:r>
      <w:r w:rsidRPr="000007F8">
        <w:rPr>
          <w:rFonts w:eastAsia="SimSun"/>
        </w:rPr>
        <w:t>Staff, would simplify the tariff.</w:t>
      </w:r>
      <w:r w:rsidRPr="000007F8">
        <w:rPr>
          <w:rFonts w:eastAsia="SimSun"/>
          <w:position w:val="6"/>
          <w:sz w:val="16"/>
        </w:rPr>
        <w:footnoteReference w:id="99"/>
      </w:r>
    </w:p>
    <w:p w14:paraId="11A683D3" w14:textId="77777777" w:rsidR="00225175" w:rsidRPr="00225175" w:rsidRDefault="00225175" w:rsidP="001564E7">
      <w:pPr>
        <w:spacing w:before="120" w:after="120" w:line="480" w:lineRule="auto"/>
        <w:ind w:left="720" w:firstLine="0"/>
        <w:rPr>
          <w:rFonts w:eastAsia="SimSun"/>
        </w:rPr>
      </w:pPr>
      <w:r w:rsidRPr="00225175">
        <w:t xml:space="preserve">Please see </w:t>
      </w:r>
      <w:proofErr w:type="spellStart"/>
      <w:r w:rsidRPr="00225175">
        <w:t>Prefiled</w:t>
      </w:r>
      <w:proofErr w:type="spellEnd"/>
      <w:r w:rsidRPr="00225175">
        <w:t xml:space="preserve"> Rebuttal Testimony of Jon A. Piliaris, </w:t>
      </w:r>
      <w:proofErr w:type="spellStart"/>
      <w:r w:rsidRPr="00225175">
        <w:t>Exh</w:t>
      </w:r>
      <w:proofErr w:type="spellEnd"/>
      <w:r w:rsidRPr="00225175">
        <w:t xml:space="preserve">. JAP-46CT, for PSE’s detailed response </w:t>
      </w:r>
      <w:r w:rsidRPr="00225175">
        <w:rPr>
          <w:rFonts w:ascii="CG Times (WN)" w:eastAsia="SimSun" w:hAnsi="CG Times (WN)"/>
        </w:rPr>
        <w:t>to calls for a change to PSE’s proposed rate cap levels.</w:t>
      </w:r>
    </w:p>
    <w:p w14:paraId="3C1BF006" w14:textId="77777777" w:rsidR="00B7218D" w:rsidRPr="00FB3145" w:rsidRDefault="00FB3145" w:rsidP="001564E7">
      <w:pPr>
        <w:pStyle w:val="Heading2"/>
      </w:pPr>
      <w:bookmarkStart w:id="62" w:name="_Toc488216566"/>
      <w:bookmarkStart w:id="63" w:name="_Toc489790228"/>
      <w:bookmarkStart w:id="64" w:name="_Toc489949687"/>
      <w:r w:rsidRPr="00FB3145">
        <w:t>C</w:t>
      </w:r>
      <w:r w:rsidR="00B7218D" w:rsidRPr="00FB3145">
        <w:t>.</w:t>
      </w:r>
      <w:r w:rsidR="00B7218D" w:rsidRPr="00FB3145">
        <w:tab/>
        <w:t>The Commission Should Adopt PSE’s Proposal to Recover Fixed Production Costs in the Decoupling Mechanism</w:t>
      </w:r>
      <w:bookmarkEnd w:id="62"/>
      <w:bookmarkEnd w:id="63"/>
      <w:bookmarkEnd w:id="64"/>
    </w:p>
    <w:p w14:paraId="16D3DCC4" w14:textId="77777777" w:rsidR="00FB3145" w:rsidRPr="00FB3145" w:rsidRDefault="00FB3145" w:rsidP="001564E7">
      <w:pPr>
        <w:keepNext/>
        <w:keepLines/>
        <w:spacing w:before="240" w:after="120" w:line="480" w:lineRule="auto"/>
        <w:ind w:left="720" w:hanging="720"/>
        <w:rPr>
          <w:rFonts w:eastAsia="SimSun"/>
          <w:b/>
        </w:rPr>
      </w:pPr>
      <w:r w:rsidRPr="00FB3145">
        <w:rPr>
          <w:b/>
        </w:rPr>
        <w:t>Q.</w:t>
      </w:r>
      <w:r w:rsidRPr="00FB3145">
        <w:rPr>
          <w:b/>
        </w:rPr>
        <w:tab/>
        <w:t>Please summarize the various parties’ responses to PSE’s proposed inclusion of fixed production costs in its electric decoupling mechanism.</w:t>
      </w:r>
    </w:p>
    <w:p w14:paraId="58C902B9" w14:textId="77777777" w:rsidR="00FB3145" w:rsidRPr="00FB3145" w:rsidRDefault="00FB3145" w:rsidP="001564E7">
      <w:pPr>
        <w:spacing w:before="120" w:after="120" w:line="480" w:lineRule="auto"/>
        <w:ind w:left="720" w:hanging="720"/>
        <w:rPr>
          <w:rFonts w:eastAsia="SimSun"/>
        </w:rPr>
      </w:pPr>
      <w:r w:rsidRPr="00FB3145">
        <w:rPr>
          <w:rFonts w:eastAsia="SimSun"/>
        </w:rPr>
        <w:t>A.</w:t>
      </w:r>
      <w:r w:rsidRPr="00FB3145">
        <w:rPr>
          <w:rFonts w:eastAsia="SimSun"/>
        </w:rPr>
        <w:tab/>
      </w:r>
      <w:r>
        <w:rPr>
          <w:rFonts w:eastAsia="SimSun"/>
        </w:rPr>
        <w:t xml:space="preserve">Commission </w:t>
      </w:r>
      <w:r w:rsidRPr="00FB3145">
        <w:rPr>
          <w:rFonts w:eastAsia="SimSun"/>
        </w:rPr>
        <w:t xml:space="preserve">Staff agrees with PSE’s proposal to include fixed production costs, but proposes that allowed fixed production costs be set at a fixed level rather than </w:t>
      </w:r>
      <w:r w:rsidRPr="00FB3145">
        <w:rPr>
          <w:rFonts w:eastAsia="SimSun"/>
        </w:rPr>
        <w:lastRenderedPageBreak/>
        <w:t>tied to the number of customers.</w:t>
      </w:r>
      <w:r w:rsidRPr="00FB3145">
        <w:rPr>
          <w:rFonts w:eastAsia="SimSun"/>
          <w:position w:val="6"/>
          <w:sz w:val="16"/>
        </w:rPr>
        <w:footnoteReference w:id="100"/>
      </w:r>
      <w:r>
        <w:rPr>
          <w:rFonts w:eastAsia="SimSun"/>
        </w:rPr>
        <w:t xml:space="preserve"> </w:t>
      </w:r>
      <w:r w:rsidRPr="00FB3145">
        <w:rPr>
          <w:rFonts w:eastAsia="SimSun"/>
        </w:rPr>
        <w:t>Public Counsel takes this a step further and recommends that all costs within PSE’s decoupling mechanisms, including fixed production costs, be set at a fixed level rather than being tied to the number of customers.</w:t>
      </w:r>
      <w:r w:rsidRPr="00FB3145">
        <w:rPr>
          <w:rFonts w:eastAsia="SimSun"/>
          <w:position w:val="6"/>
          <w:sz w:val="16"/>
        </w:rPr>
        <w:footnoteReference w:id="101"/>
      </w:r>
      <w:r>
        <w:rPr>
          <w:rFonts w:eastAsia="SimSun"/>
        </w:rPr>
        <w:t xml:space="preserve"> </w:t>
      </w:r>
      <w:r w:rsidRPr="00FB3145">
        <w:rPr>
          <w:rFonts w:eastAsia="SimSun"/>
        </w:rPr>
        <w:t xml:space="preserve">NW Energy Coalition, Renewable Northwest, </w:t>
      </w:r>
      <w:r>
        <w:rPr>
          <w:rFonts w:eastAsia="SimSun"/>
        </w:rPr>
        <w:t xml:space="preserve">and </w:t>
      </w:r>
      <w:r w:rsidRPr="00FB3145">
        <w:rPr>
          <w:rFonts w:eastAsia="SimSun"/>
        </w:rPr>
        <w:t>Natural Resources Defense Council</w:t>
      </w:r>
      <w:r>
        <w:rPr>
          <w:rFonts w:eastAsia="SimSun"/>
        </w:rPr>
        <w:t xml:space="preserve"> </w:t>
      </w:r>
      <w:r w:rsidRPr="00FB3145">
        <w:rPr>
          <w:rFonts w:eastAsia="SimSun"/>
        </w:rPr>
        <w:t>ha</w:t>
      </w:r>
      <w:r>
        <w:rPr>
          <w:rFonts w:eastAsia="SimSun"/>
        </w:rPr>
        <w:t>ve</w:t>
      </w:r>
      <w:r w:rsidRPr="00FB3145">
        <w:rPr>
          <w:rFonts w:eastAsia="SimSun"/>
        </w:rPr>
        <w:t xml:space="preserve"> concerns with the inclusion of fixed production costs within PSE’s electric decoupling mechanism</w:t>
      </w:r>
      <w:r>
        <w:rPr>
          <w:rFonts w:eastAsia="SimSun"/>
        </w:rPr>
        <w:t xml:space="preserve"> but outline</w:t>
      </w:r>
      <w:r w:rsidRPr="00FB3145">
        <w:rPr>
          <w:rFonts w:eastAsia="SimSun"/>
        </w:rPr>
        <w:t xml:space="preserve"> two alternatives that would allay those concerns:</w:t>
      </w:r>
      <w:r>
        <w:rPr>
          <w:rFonts w:eastAsia="SimSun"/>
        </w:rPr>
        <w:t xml:space="preserve"> </w:t>
      </w:r>
      <w:r w:rsidRPr="00FB3145">
        <w:rPr>
          <w:rFonts w:eastAsia="SimSun"/>
        </w:rPr>
        <w:t>(1)</w:t>
      </w:r>
      <w:r>
        <w:rPr>
          <w:rFonts w:eastAsia="SimSun"/>
        </w:rPr>
        <w:t> </w:t>
      </w:r>
      <w:r w:rsidRPr="00FB3145">
        <w:rPr>
          <w:rFonts w:eastAsia="SimSun"/>
        </w:rPr>
        <w:t xml:space="preserve">return the recovery of fixed production costs to PSE’s </w:t>
      </w:r>
      <w:proofErr w:type="spellStart"/>
      <w:r w:rsidRPr="00FB3145">
        <w:rPr>
          <w:rFonts w:eastAsia="SimSun"/>
        </w:rPr>
        <w:t>PCA</w:t>
      </w:r>
      <w:proofErr w:type="spellEnd"/>
      <w:r>
        <w:rPr>
          <w:rFonts w:eastAsia="SimSun"/>
        </w:rPr>
        <w:t xml:space="preserve"> </w:t>
      </w:r>
      <w:r w:rsidRPr="00FB3145">
        <w:rPr>
          <w:rFonts w:eastAsia="SimSun"/>
        </w:rPr>
        <w:t>mechanism or (2)</w:t>
      </w:r>
      <w:r>
        <w:rPr>
          <w:rFonts w:eastAsia="SimSun"/>
        </w:rPr>
        <w:t> </w:t>
      </w:r>
      <w:r w:rsidRPr="00FB3145">
        <w:rPr>
          <w:rFonts w:eastAsia="SimSun"/>
        </w:rPr>
        <w:t>recalculate the allowed fixed production costs per customers annually to reflect the expected average customer count and any cost changes for the applicable year.</w:t>
      </w:r>
      <w:r w:rsidRPr="00FB3145">
        <w:rPr>
          <w:rFonts w:eastAsia="SimSun"/>
          <w:position w:val="6"/>
          <w:sz w:val="16"/>
        </w:rPr>
        <w:footnoteReference w:id="102"/>
      </w:r>
      <w:r>
        <w:rPr>
          <w:rFonts w:eastAsia="SimSun"/>
        </w:rPr>
        <w:t xml:space="preserve"> </w:t>
      </w:r>
      <w:r w:rsidRPr="00FB3145">
        <w:rPr>
          <w:rFonts w:eastAsia="SimSun"/>
        </w:rPr>
        <w:t xml:space="preserve">Kroger and </w:t>
      </w:r>
      <w:proofErr w:type="spellStart"/>
      <w:r w:rsidRPr="00FB3145">
        <w:rPr>
          <w:rFonts w:eastAsia="SimSun"/>
        </w:rPr>
        <w:t>FEA</w:t>
      </w:r>
      <w:proofErr w:type="spellEnd"/>
      <w:r w:rsidRPr="00FB3145">
        <w:rPr>
          <w:rFonts w:eastAsia="SimSun"/>
        </w:rPr>
        <w:t xml:space="preserve"> recommend against including fixed production costs in PSE’s electric decoupling mechanism.</w:t>
      </w:r>
      <w:r w:rsidRPr="00FB3145">
        <w:rPr>
          <w:rFonts w:eastAsia="SimSun"/>
          <w:position w:val="6"/>
          <w:sz w:val="16"/>
        </w:rPr>
        <w:footnoteReference w:id="103"/>
      </w:r>
    </w:p>
    <w:p w14:paraId="327A63E6" w14:textId="77777777" w:rsidR="00FB3145" w:rsidRPr="000007F8" w:rsidRDefault="00FB3145" w:rsidP="001564E7">
      <w:pPr>
        <w:keepNext/>
        <w:keepLines/>
        <w:spacing w:before="240" w:after="120" w:line="480" w:lineRule="auto"/>
        <w:ind w:left="720" w:hanging="720"/>
        <w:rPr>
          <w:rFonts w:eastAsia="SimSun"/>
          <w:b/>
        </w:rPr>
      </w:pPr>
      <w:r w:rsidRPr="000007F8">
        <w:rPr>
          <w:b/>
        </w:rPr>
        <w:t>Q.</w:t>
      </w:r>
      <w:r w:rsidRPr="000007F8">
        <w:rPr>
          <w:b/>
        </w:rPr>
        <w:tab/>
        <w:t>How do</w:t>
      </w:r>
      <w:r w:rsidR="000007F8">
        <w:rPr>
          <w:b/>
        </w:rPr>
        <w:t xml:space="preserve">es PSE </w:t>
      </w:r>
      <w:r w:rsidRPr="000007F8">
        <w:rPr>
          <w:b/>
        </w:rPr>
        <w:t xml:space="preserve">respond to </w:t>
      </w:r>
      <w:r w:rsidR="000007F8">
        <w:rPr>
          <w:b/>
        </w:rPr>
        <w:t>these proposals?</w:t>
      </w:r>
    </w:p>
    <w:p w14:paraId="1C574F97" w14:textId="77777777" w:rsidR="000007F8" w:rsidRDefault="00FB3145" w:rsidP="001564E7">
      <w:pPr>
        <w:spacing w:before="120" w:after="120" w:line="480" w:lineRule="auto"/>
        <w:ind w:left="720" w:hanging="720"/>
      </w:pPr>
      <w:r>
        <w:t>A.</w:t>
      </w:r>
      <w:r>
        <w:tab/>
      </w:r>
      <w:r w:rsidR="000007F8">
        <w:t xml:space="preserve">As discussed in the </w:t>
      </w:r>
      <w:proofErr w:type="spellStart"/>
      <w:r w:rsidR="000007F8">
        <w:t>Prefiled</w:t>
      </w:r>
      <w:proofErr w:type="spellEnd"/>
      <w:r w:rsidR="000007F8">
        <w:t xml:space="preserve"> Rebuttal Testimony of Jon A. Piliaris, </w:t>
      </w:r>
      <w:proofErr w:type="spellStart"/>
      <w:r w:rsidR="000007F8">
        <w:t>Exh</w:t>
      </w:r>
      <w:proofErr w:type="spellEnd"/>
      <w:r w:rsidR="000007F8">
        <w:t xml:space="preserve">. JAP-46CT, the inclusion of fixed production costs in the revenue decoupling mechanism would substantially align the recovery of all production costs across the Commission’s three jurisdictional electric utilities, where each utility would recover fixed production costs through their decoupling mechanisms and each would recover variable production costs through their </w:t>
      </w:r>
      <w:proofErr w:type="spellStart"/>
      <w:r w:rsidR="000007F8">
        <w:t>PCA</w:t>
      </w:r>
      <w:proofErr w:type="spellEnd"/>
      <w:r w:rsidR="000007F8">
        <w:t>-like mechanisms.</w:t>
      </w:r>
    </w:p>
    <w:p w14:paraId="5C950FF2" w14:textId="77777777" w:rsidR="00225175" w:rsidRPr="00225175" w:rsidRDefault="00225175" w:rsidP="001564E7">
      <w:pPr>
        <w:spacing w:before="120" w:after="120" w:line="480" w:lineRule="auto"/>
        <w:ind w:left="720" w:firstLine="0"/>
        <w:rPr>
          <w:rFonts w:eastAsia="SimSun"/>
        </w:rPr>
      </w:pPr>
      <w:r w:rsidRPr="00225175">
        <w:lastRenderedPageBreak/>
        <w:t xml:space="preserve">Please see </w:t>
      </w:r>
      <w:proofErr w:type="spellStart"/>
      <w:r w:rsidRPr="00225175">
        <w:t>Prefiled</w:t>
      </w:r>
      <w:proofErr w:type="spellEnd"/>
      <w:r w:rsidRPr="00225175">
        <w:t xml:space="preserve"> Rebuttal Testimony of Jon A. Piliaris, </w:t>
      </w:r>
      <w:proofErr w:type="spellStart"/>
      <w:r w:rsidRPr="00225175">
        <w:t>Exh</w:t>
      </w:r>
      <w:proofErr w:type="spellEnd"/>
      <w:r w:rsidRPr="00225175">
        <w:t xml:space="preserve">. JAP-46CT, for PSE’s detailed response </w:t>
      </w:r>
      <w:r w:rsidRPr="00225175">
        <w:rPr>
          <w:rFonts w:ascii="CG Times (WN)" w:eastAsia="SimSun" w:hAnsi="CG Times (WN)"/>
        </w:rPr>
        <w:t xml:space="preserve">to </w:t>
      </w:r>
      <w:r>
        <w:rPr>
          <w:rFonts w:ascii="CG Times (WN)" w:eastAsia="SimSun" w:hAnsi="CG Times (WN)"/>
        </w:rPr>
        <w:t xml:space="preserve">proposals regarding </w:t>
      </w:r>
      <w:r>
        <w:t xml:space="preserve">the recovery of </w:t>
      </w:r>
      <w:r w:rsidRPr="00FB3145">
        <w:t xml:space="preserve">fixed production costs in the </w:t>
      </w:r>
      <w:r>
        <w:t xml:space="preserve">revenue </w:t>
      </w:r>
      <w:r w:rsidRPr="00FB3145">
        <w:t>decoupling mechanism</w:t>
      </w:r>
      <w:r w:rsidRPr="00225175">
        <w:rPr>
          <w:rFonts w:ascii="CG Times (WN)" w:eastAsia="SimSun" w:hAnsi="CG Times (WN)"/>
        </w:rPr>
        <w:t>.</w:t>
      </w:r>
    </w:p>
    <w:p w14:paraId="5D91AAAD" w14:textId="098034C9" w:rsidR="00B7218D" w:rsidRPr="00B7218D" w:rsidRDefault="00B7218D" w:rsidP="001564E7">
      <w:pPr>
        <w:pStyle w:val="Heading1"/>
      </w:pPr>
      <w:bookmarkStart w:id="65" w:name="_Toc488216567"/>
      <w:bookmarkStart w:id="66" w:name="_Toc489790229"/>
      <w:bookmarkStart w:id="67" w:name="_Toc489949688"/>
      <w:r w:rsidRPr="00B7218D">
        <w:t>V</w:t>
      </w:r>
      <w:r w:rsidR="00852D6E">
        <w:t>I</w:t>
      </w:r>
      <w:r w:rsidRPr="00B7218D">
        <w:t>I.</w:t>
      </w:r>
      <w:r w:rsidRPr="00B7218D">
        <w:tab/>
        <w:t>CONCLUSION</w:t>
      </w:r>
      <w:bookmarkEnd w:id="65"/>
      <w:bookmarkEnd w:id="66"/>
      <w:bookmarkEnd w:id="67"/>
    </w:p>
    <w:p w14:paraId="384DA10A" w14:textId="77777777" w:rsidR="00B7218D" w:rsidRPr="00B7218D" w:rsidRDefault="00B7218D" w:rsidP="001564E7">
      <w:pPr>
        <w:pStyle w:val="question"/>
      </w:pPr>
      <w:r w:rsidRPr="00B7218D">
        <w:t>Q.</w:t>
      </w:r>
      <w:r w:rsidRPr="00B7218D">
        <w:tab/>
        <w:t>Does this conclude your rebuttal testimony?</w:t>
      </w:r>
    </w:p>
    <w:p w14:paraId="1527CF95" w14:textId="77777777" w:rsidR="00561D28" w:rsidRPr="00B7218D" w:rsidRDefault="00B7218D" w:rsidP="001564E7">
      <w:pPr>
        <w:spacing w:before="120" w:after="120" w:line="480" w:lineRule="auto"/>
        <w:ind w:left="720" w:hanging="720"/>
        <w:rPr>
          <w:rFonts w:eastAsia="SimSun"/>
        </w:rPr>
      </w:pPr>
      <w:r w:rsidRPr="00B7218D">
        <w:rPr>
          <w:rFonts w:eastAsia="SimSun"/>
        </w:rPr>
        <w:t>A.</w:t>
      </w:r>
      <w:r w:rsidRPr="00B7218D">
        <w:rPr>
          <w:rFonts w:eastAsia="SimSun"/>
        </w:rPr>
        <w:tab/>
        <w:t>Yes.</w:t>
      </w:r>
    </w:p>
    <w:sectPr w:rsidR="00561D28" w:rsidRPr="00B7218D"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C8BAD" w14:textId="77777777" w:rsidR="002628D7" w:rsidRDefault="002628D7">
      <w:r>
        <w:separator/>
      </w:r>
    </w:p>
  </w:endnote>
  <w:endnote w:type="continuationSeparator" w:id="0">
    <w:p w14:paraId="7357BCEB" w14:textId="77777777" w:rsidR="002628D7" w:rsidRDefault="002628D7">
      <w:r>
        <w:continuationSeparator/>
      </w:r>
    </w:p>
  </w:endnote>
  <w:endnote w:type="continuationNotice" w:id="1">
    <w:p w14:paraId="3940E109" w14:textId="77777777" w:rsidR="002628D7" w:rsidRDefault="002628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B38F" w14:textId="77777777" w:rsidR="008111CE" w:rsidRDefault="008111CE">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14:paraId="5D2D6F88" w14:textId="77777777" w:rsidR="008111CE" w:rsidRDefault="008111CE">
    <w:pPr>
      <w:pStyle w:val="Footer"/>
      <w:tabs>
        <w:tab w:val="clear" w:pos="4507"/>
        <w:tab w:val="clear" w:pos="9000"/>
        <w:tab w:val="right" w:pos="8640"/>
      </w:tabs>
      <w:spacing w:line="240" w:lineRule="auto"/>
      <w:ind w:right="0" w:hanging="4"/>
      <w:rPr>
        <w:sz w:val="10"/>
        <w:szCs w:val="10"/>
      </w:rPr>
    </w:pPr>
  </w:p>
  <w:p w14:paraId="331C948A" w14:textId="77777777" w:rsidR="008111CE" w:rsidRDefault="008111CE">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DAD-7T</w:t>
    </w:r>
  </w:p>
  <w:p w14:paraId="6A7B4DB1" w14:textId="6D402419" w:rsidR="008111CE" w:rsidRDefault="008111CE">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933EE1">
      <w:rPr>
        <w:rStyle w:val="PageNumber"/>
        <w:noProof/>
      </w:rPr>
      <w:t>ii</w:t>
    </w:r>
    <w:r>
      <w:rPr>
        <w:rStyle w:val="PageNumber"/>
      </w:rPr>
      <w:fldChar w:fldCharType="end"/>
    </w:r>
    <w:r>
      <w:rPr>
        <w:rStyle w:val="PageNumber"/>
      </w:rPr>
      <w:t xml:space="preserve"> of iii</w:t>
    </w:r>
  </w:p>
  <w:p w14:paraId="17607E28" w14:textId="77777777" w:rsidR="008111CE" w:rsidRDefault="008111CE" w:rsidP="00AA6202">
    <w:pPr>
      <w:pStyle w:val="Footer"/>
      <w:tabs>
        <w:tab w:val="clear" w:pos="4507"/>
        <w:tab w:val="clear" w:pos="9000"/>
        <w:tab w:val="right" w:pos="8640"/>
      </w:tabs>
      <w:ind w:hanging="4"/>
    </w:pPr>
    <w:r>
      <w:t>Daniel A. Doyle</w:t>
    </w:r>
    <w:r w:rsidRPr="001C44F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7420" w14:textId="77777777" w:rsidR="008111CE" w:rsidRDefault="008111CE">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16A1DD8C" w14:textId="77777777" w:rsidR="008111CE" w:rsidRDefault="008111CE">
    <w:pPr>
      <w:pStyle w:val="Footer"/>
      <w:tabs>
        <w:tab w:val="clear" w:pos="4507"/>
        <w:tab w:val="clear" w:pos="9000"/>
        <w:tab w:val="right" w:pos="8640"/>
      </w:tabs>
      <w:spacing w:line="240" w:lineRule="auto"/>
      <w:ind w:right="0"/>
      <w:rPr>
        <w:sz w:val="10"/>
      </w:rPr>
    </w:pPr>
  </w:p>
  <w:p w14:paraId="5ABD093E" w14:textId="77777777" w:rsidR="008111CE" w:rsidRDefault="008111CE">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DAD-7T</w:t>
    </w:r>
  </w:p>
  <w:p w14:paraId="21187102" w14:textId="74E935AC" w:rsidR="008111CE" w:rsidRDefault="008111CE">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933EE1">
      <w:rPr>
        <w:rStyle w:val="PageNumber"/>
        <w:noProof/>
      </w:rPr>
      <w:t>44</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933EE1">
      <w:rPr>
        <w:rStyle w:val="PageNumber"/>
        <w:noProof/>
      </w:rPr>
      <w:t>64</w:t>
    </w:r>
    <w:r>
      <w:rPr>
        <w:rStyle w:val="PageNumber"/>
      </w:rPr>
      <w:fldChar w:fldCharType="end"/>
    </w:r>
  </w:p>
  <w:p w14:paraId="41B41944" w14:textId="77777777" w:rsidR="008111CE" w:rsidRDefault="008111CE" w:rsidP="00190924">
    <w:pPr>
      <w:pStyle w:val="Footer"/>
      <w:tabs>
        <w:tab w:val="clear" w:pos="4507"/>
        <w:tab w:val="clear" w:pos="9000"/>
        <w:tab w:val="right" w:pos="8640"/>
      </w:tabs>
    </w:pPr>
    <w:r>
      <w:t>Daniel A. Doyle</w:t>
    </w:r>
    <w:r w:rsidRPr="001C44F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E71A" w14:textId="77777777" w:rsidR="008111CE" w:rsidRDefault="008111CE">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14:paraId="2DDC8E43" w14:textId="77777777" w:rsidR="008111CE" w:rsidRDefault="008111CE">
    <w:pPr>
      <w:pStyle w:val="Footer"/>
      <w:tabs>
        <w:tab w:val="clear" w:pos="4507"/>
        <w:tab w:val="clear" w:pos="9000"/>
        <w:tab w:val="right" w:pos="8640"/>
      </w:tabs>
      <w:spacing w:line="240" w:lineRule="auto"/>
      <w:ind w:left="-630" w:right="0" w:hanging="4"/>
      <w:rPr>
        <w:sz w:val="10"/>
      </w:rPr>
    </w:pPr>
  </w:p>
  <w:p w14:paraId="014A7490" w14:textId="77777777" w:rsidR="008111CE" w:rsidRDefault="008111CE">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20667216" w14:textId="77777777" w:rsidR="008111CE" w:rsidRDefault="008111CE">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933EE1">
      <w:rPr>
        <w:rStyle w:val="PageNumber"/>
        <w:noProof/>
      </w:rPr>
      <w:t>64</w:t>
    </w:r>
    <w:r>
      <w:rPr>
        <w:rStyle w:val="PageNumber"/>
      </w:rPr>
      <w:fldChar w:fldCharType="end"/>
    </w:r>
    <w:r>
      <w:rPr>
        <w:rStyle w:val="PageNumber"/>
      </w:rPr>
      <w:t xml:space="preserve"> of X</w:t>
    </w:r>
  </w:p>
  <w:p w14:paraId="15336B32" w14:textId="77777777" w:rsidR="008111CE" w:rsidRDefault="008111CE"/>
  <w:p w14:paraId="70A41ACA" w14:textId="77777777" w:rsidR="008111CE" w:rsidRDefault="008111CE"/>
  <w:p w14:paraId="62A4B3B9" w14:textId="77777777" w:rsidR="008111CE" w:rsidRDefault="008111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B4A1A" w14:textId="77777777" w:rsidR="002628D7" w:rsidRDefault="002628D7" w:rsidP="00ED74FD">
      <w:pPr>
        <w:spacing w:line="240" w:lineRule="auto"/>
        <w:ind w:firstLine="0"/>
      </w:pPr>
      <w:r>
        <w:separator/>
      </w:r>
    </w:p>
  </w:footnote>
  <w:footnote w:type="continuationSeparator" w:id="0">
    <w:p w14:paraId="4B30C1AA" w14:textId="77777777" w:rsidR="002628D7" w:rsidRDefault="002628D7" w:rsidP="00ED74FD">
      <w:pPr>
        <w:spacing w:line="240" w:lineRule="auto"/>
        <w:ind w:firstLine="0"/>
      </w:pPr>
      <w:r>
        <w:continuationSeparator/>
      </w:r>
    </w:p>
  </w:footnote>
  <w:footnote w:type="continuationNotice" w:id="1">
    <w:p w14:paraId="305161CE" w14:textId="77777777" w:rsidR="002628D7" w:rsidRDefault="002628D7" w:rsidP="00ED74FD">
      <w:pPr>
        <w:spacing w:line="240" w:lineRule="auto"/>
        <w:ind w:firstLine="0"/>
      </w:pPr>
    </w:p>
  </w:footnote>
  <w:footnote w:id="2">
    <w:p w14:paraId="33533D87" w14:textId="77777777" w:rsidR="008111CE" w:rsidRDefault="008111CE" w:rsidP="00225175">
      <w:pPr>
        <w:pStyle w:val="FootnoteText"/>
        <w:keepLines/>
        <w:spacing w:before="60" w:after="60" w:line="240" w:lineRule="auto"/>
        <w:ind w:firstLine="360"/>
      </w:pPr>
      <w:r>
        <w:rPr>
          <w:rStyle w:val="FootnoteReference"/>
        </w:rPr>
        <w:footnoteRef/>
      </w:r>
      <w:r>
        <w:tab/>
      </w:r>
      <w:r>
        <w:rPr>
          <w:i/>
        </w:rPr>
        <w:t>See, e.g.,</w:t>
      </w:r>
      <w:r>
        <w:t xml:space="preserve"> Schooley, </w:t>
      </w:r>
      <w:proofErr w:type="spellStart"/>
      <w:r>
        <w:t>Exh</w:t>
      </w:r>
      <w:proofErr w:type="spellEnd"/>
      <w:r>
        <w:t>. TES-1T at 10:3-6.</w:t>
      </w:r>
    </w:p>
  </w:footnote>
  <w:footnote w:id="3">
    <w:p w14:paraId="1B6C38F0"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10:6-7.</w:t>
      </w:r>
    </w:p>
  </w:footnote>
  <w:footnote w:id="4">
    <w:p w14:paraId="21D12150"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11:1-2.</w:t>
      </w:r>
    </w:p>
  </w:footnote>
  <w:footnote w:id="5">
    <w:p w14:paraId="6EF7B088" w14:textId="77777777" w:rsidR="008111CE" w:rsidRDefault="008111CE" w:rsidP="00225175">
      <w:pPr>
        <w:pStyle w:val="FootnoteText"/>
        <w:keepLines/>
        <w:spacing w:before="60" w:after="60" w:line="240" w:lineRule="auto"/>
        <w:ind w:firstLine="360"/>
      </w:pPr>
      <w:r>
        <w:rPr>
          <w:rStyle w:val="FootnoteReference"/>
        </w:rPr>
        <w:footnoteRef/>
      </w:r>
      <w:r>
        <w:tab/>
      </w:r>
      <w:r w:rsidRPr="000C2609">
        <w:t xml:space="preserve">Barnard, </w:t>
      </w:r>
      <w:proofErr w:type="spellStart"/>
      <w:r w:rsidRPr="000C2609">
        <w:t>Exh</w:t>
      </w:r>
      <w:proofErr w:type="spellEnd"/>
      <w:r w:rsidRPr="000C2609">
        <w:t>. KJB-1T</w:t>
      </w:r>
      <w:r>
        <w:t xml:space="preserve"> at 6:17 – 10:9.</w:t>
      </w:r>
    </w:p>
  </w:footnote>
  <w:footnote w:id="6">
    <w:p w14:paraId="2F3C53A2"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6:11 – 9:4.</w:t>
      </w:r>
    </w:p>
  </w:footnote>
  <w:footnote w:id="7">
    <w:p w14:paraId="38613BDA"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xml:space="preserve">. TES-1T at </w:t>
      </w:r>
      <w:r w:rsidRPr="00A60F8D">
        <w:t>9</w:t>
      </w:r>
      <w:r>
        <w:t xml:space="preserve">:10-16 (quoting </w:t>
      </w:r>
      <w:r>
        <w:rPr>
          <w:i/>
        </w:rPr>
        <w:t>In the Matter of the Petition of Puget Sound Energy, Inc., and Northwest Energy Coalition for an Order Authorizing PSE to Implement Electric and Natural Gas Decoupling Mechanisms and to Record Accounting Entries Associated With the Mechanisms</w:t>
      </w:r>
      <w:r w:rsidRPr="00F1161C">
        <w:t>, Order 07 at ¶ 214</w:t>
      </w:r>
      <w:r>
        <w:t>,</w:t>
      </w:r>
      <w:r>
        <w:rPr>
          <w:i/>
        </w:rPr>
        <w:t xml:space="preserve"> </w:t>
      </w:r>
      <w:r>
        <w:t xml:space="preserve">Dockets UE-121697, </w:t>
      </w:r>
      <w:r w:rsidRPr="0050670A">
        <w:rPr>
          <w:i/>
        </w:rPr>
        <w:t>et al</w:t>
      </w:r>
      <w:r>
        <w:t>. (2013)) (emphasis in original).</w:t>
      </w:r>
    </w:p>
  </w:footnote>
  <w:footnote w:id="8">
    <w:p w14:paraId="0541F769"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xml:space="preserve">. TES-1T at </w:t>
      </w:r>
      <w:r w:rsidRPr="00A60F8D">
        <w:t>9</w:t>
      </w:r>
      <w:r>
        <w:t>:19-21.</w:t>
      </w:r>
    </w:p>
  </w:footnote>
  <w:footnote w:id="9">
    <w:p w14:paraId="4EBD291F" w14:textId="77777777" w:rsidR="008111CE" w:rsidRDefault="008111CE" w:rsidP="00225175">
      <w:pPr>
        <w:pStyle w:val="FootnoteText"/>
        <w:keepLines/>
        <w:spacing w:before="60" w:after="60" w:line="240" w:lineRule="auto"/>
        <w:ind w:firstLine="360"/>
      </w:pPr>
      <w:r>
        <w:rPr>
          <w:rStyle w:val="FootnoteReference"/>
        </w:rPr>
        <w:footnoteRef/>
      </w:r>
      <w:r>
        <w:tab/>
      </w:r>
      <w:r>
        <w:rPr>
          <w:i/>
        </w:rPr>
        <w:t>In the Matter of the Petition of Puget Sound Energy, Inc., and Northwest Energy Coalition for an Order Authorizing PSE to Implement Electric and Natural Gas Decoupling Mechanisms and to Record Accounting Entries Associated With the Mechanisms</w:t>
      </w:r>
      <w:r w:rsidRPr="00F1161C">
        <w:t>, Order 07</w:t>
      </w:r>
      <w:r>
        <w:t>,</w:t>
      </w:r>
      <w:r>
        <w:rPr>
          <w:i/>
        </w:rPr>
        <w:t xml:space="preserve"> </w:t>
      </w:r>
      <w:r>
        <w:t xml:space="preserve">Dockets UE-121697, </w:t>
      </w:r>
      <w:r w:rsidRPr="0050670A">
        <w:rPr>
          <w:i/>
        </w:rPr>
        <w:t>et al</w:t>
      </w:r>
      <w:r>
        <w:t>. (2013) (the “Decoupling Order”)</w:t>
      </w:r>
    </w:p>
  </w:footnote>
  <w:footnote w:id="10">
    <w:p w14:paraId="49DF6A05" w14:textId="77777777" w:rsidR="008111CE" w:rsidRDefault="008111CE" w:rsidP="00225175">
      <w:pPr>
        <w:pStyle w:val="FootnoteText"/>
        <w:keepLines/>
        <w:spacing w:before="60" w:after="60" w:line="240" w:lineRule="auto"/>
        <w:ind w:firstLine="360"/>
      </w:pPr>
      <w:r>
        <w:rPr>
          <w:rStyle w:val="FootnoteReference"/>
        </w:rPr>
        <w:footnoteRef/>
      </w:r>
      <w:r>
        <w:tab/>
      </w:r>
      <w:r>
        <w:rPr>
          <w:i/>
        </w:rPr>
        <w:t>In the Matter of the Petition of Puget Sound Energy, Inc., and Northwest Energy Coalition for an Order Authorizing PSE to Implement Electric and Natural Gas Decoupling Mechanisms and to Record Accounting Entries Associated With the Mechanisms</w:t>
      </w:r>
      <w:r w:rsidRPr="00F1161C">
        <w:t>, Order </w:t>
      </w:r>
      <w:r>
        <w:t>15/14,</w:t>
      </w:r>
      <w:r>
        <w:rPr>
          <w:i/>
        </w:rPr>
        <w:t xml:space="preserve"> </w:t>
      </w:r>
      <w:r>
        <w:t xml:space="preserve">Dockets UE-121697, </w:t>
      </w:r>
      <w:r w:rsidRPr="00857721">
        <w:rPr>
          <w:i/>
        </w:rPr>
        <w:t>et al</w:t>
      </w:r>
      <w:r>
        <w:t>. (2015) (the “Decoupling Remand Order”)</w:t>
      </w:r>
    </w:p>
  </w:footnote>
  <w:footnote w:id="11">
    <w:p w14:paraId="1AF320E7" w14:textId="77777777" w:rsidR="008111CE" w:rsidRDefault="008111CE" w:rsidP="00225175">
      <w:pPr>
        <w:pStyle w:val="FootnoteText"/>
        <w:keepLines/>
        <w:spacing w:before="60" w:after="60" w:line="240" w:lineRule="auto"/>
        <w:ind w:firstLine="360"/>
      </w:pPr>
      <w:r>
        <w:rPr>
          <w:rStyle w:val="FootnoteReference"/>
        </w:rPr>
        <w:footnoteRef/>
      </w:r>
      <w:r>
        <w:tab/>
      </w:r>
      <w:r w:rsidRPr="00895C47">
        <w:t>Decoupling Order</w:t>
      </w:r>
      <w:r>
        <w:rPr>
          <w:i/>
        </w:rPr>
        <w:t xml:space="preserve"> </w:t>
      </w:r>
      <w:r w:rsidRPr="00F1161C">
        <w:t>at ¶¶ </w:t>
      </w:r>
      <w:r>
        <w:t>164-65; Decoupling Remand Order</w:t>
      </w:r>
      <w:r w:rsidRPr="0050670A">
        <w:t xml:space="preserve"> </w:t>
      </w:r>
      <w:r w:rsidRPr="00F1161C">
        <w:t>at ¶ </w:t>
      </w:r>
      <w:r>
        <w:t>163.</w:t>
      </w:r>
    </w:p>
  </w:footnote>
  <w:footnote w:id="12">
    <w:p w14:paraId="7C4204A6" w14:textId="77777777" w:rsidR="008111CE" w:rsidRDefault="008111CE" w:rsidP="00225175">
      <w:pPr>
        <w:pStyle w:val="FootnoteText"/>
        <w:keepLines/>
        <w:spacing w:before="60" w:after="60" w:line="240" w:lineRule="auto"/>
        <w:ind w:firstLine="360"/>
      </w:pPr>
      <w:r>
        <w:rPr>
          <w:rStyle w:val="FootnoteReference"/>
        </w:rPr>
        <w:footnoteRef/>
      </w:r>
      <w:r>
        <w:tab/>
      </w:r>
      <w:r w:rsidRPr="00895C47">
        <w:t>Decoupling Order</w:t>
      </w:r>
      <w:r>
        <w:rPr>
          <w:i/>
        </w:rPr>
        <w:t xml:space="preserve"> </w:t>
      </w:r>
      <w:r w:rsidRPr="00F1161C">
        <w:t>at ¶ </w:t>
      </w:r>
      <w:r>
        <w:t>228; Decoupling Remand Order</w:t>
      </w:r>
      <w:r w:rsidRPr="0050670A">
        <w:t xml:space="preserve"> </w:t>
      </w:r>
      <w:r w:rsidRPr="00F1161C">
        <w:t>at ¶ </w:t>
      </w:r>
      <w:r>
        <w:t>170.</w:t>
      </w:r>
    </w:p>
  </w:footnote>
  <w:footnote w:id="13">
    <w:p w14:paraId="0BB94021"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10:4-6.</w:t>
      </w:r>
    </w:p>
  </w:footnote>
  <w:footnote w:id="14">
    <w:p w14:paraId="5CDDF426"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10:6-7.</w:t>
      </w:r>
    </w:p>
  </w:footnote>
  <w:footnote w:id="15">
    <w:p w14:paraId="018F0C7C" w14:textId="77777777" w:rsidR="008111CE" w:rsidRDefault="008111CE" w:rsidP="008111CE">
      <w:pPr>
        <w:pStyle w:val="FootnoteText"/>
        <w:keepLines/>
        <w:spacing w:before="60" w:after="60" w:line="240" w:lineRule="auto"/>
        <w:ind w:firstLine="360"/>
      </w:pPr>
      <w:r>
        <w:rPr>
          <w:rStyle w:val="FootnoteReference"/>
        </w:rPr>
        <w:footnoteRef/>
      </w:r>
      <w:r>
        <w:tab/>
      </w:r>
      <w:r w:rsidRPr="00CC501B">
        <w:rPr>
          <w:i/>
        </w:rPr>
        <w:t>See</w:t>
      </w:r>
      <w:r>
        <w:t xml:space="preserve"> Doyle, </w:t>
      </w:r>
      <w:proofErr w:type="spellStart"/>
      <w:r>
        <w:t>Exh</w:t>
      </w:r>
      <w:proofErr w:type="spellEnd"/>
      <w:r>
        <w:t>. DAD-1T at 3:19 – 5:5.</w:t>
      </w:r>
    </w:p>
  </w:footnote>
  <w:footnote w:id="16">
    <w:p w14:paraId="49EC3E8E" w14:textId="77777777" w:rsidR="008111CE" w:rsidRDefault="008111CE" w:rsidP="00225175">
      <w:pPr>
        <w:pStyle w:val="FootnoteText"/>
        <w:keepLines/>
        <w:spacing w:before="60" w:after="60" w:line="240" w:lineRule="auto"/>
        <w:ind w:firstLine="360"/>
      </w:pPr>
      <w:r>
        <w:rPr>
          <w:rStyle w:val="FootnoteReference"/>
        </w:rPr>
        <w:footnoteRef/>
      </w:r>
      <w:r>
        <w:tab/>
      </w:r>
      <w:r w:rsidRPr="00CC501B">
        <w:rPr>
          <w:i/>
        </w:rPr>
        <w:t>See</w:t>
      </w:r>
      <w:r>
        <w:t xml:space="preserve"> Doyle, </w:t>
      </w:r>
      <w:proofErr w:type="spellStart"/>
      <w:r>
        <w:t>Exh</w:t>
      </w:r>
      <w:proofErr w:type="spellEnd"/>
      <w:r>
        <w:t>. DAD-1T at 15:7 – 21:6.</w:t>
      </w:r>
    </w:p>
  </w:footnote>
  <w:footnote w:id="17">
    <w:p w14:paraId="3D4A16AB"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10:15 – 11:2.</w:t>
      </w:r>
    </w:p>
  </w:footnote>
  <w:footnote w:id="18">
    <w:p w14:paraId="5E546A2C"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11:4-11.</w:t>
      </w:r>
    </w:p>
  </w:footnote>
  <w:footnote w:id="19">
    <w:p w14:paraId="677A01D5"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18:11 – 22:22.</w:t>
      </w:r>
    </w:p>
  </w:footnote>
  <w:footnote w:id="20">
    <w:p w14:paraId="4EA53F24" w14:textId="77777777" w:rsidR="008111CE" w:rsidRDefault="008111CE" w:rsidP="00225175">
      <w:pPr>
        <w:pStyle w:val="FootnoteText"/>
        <w:keepLines/>
        <w:spacing w:before="60" w:after="60" w:line="240" w:lineRule="auto"/>
        <w:ind w:firstLine="360"/>
      </w:pPr>
      <w:r>
        <w:rPr>
          <w:rStyle w:val="FootnoteReference"/>
        </w:rPr>
        <w:footnoteRef/>
      </w:r>
      <w:r>
        <w:tab/>
      </w:r>
      <w:r w:rsidRPr="007579B6">
        <w:t>Decoupling Remand Order at</w:t>
      </w:r>
      <w:r>
        <w:t xml:space="preserve"> ¶ 155 (emphasis added).</w:t>
      </w:r>
    </w:p>
  </w:footnote>
  <w:footnote w:id="21">
    <w:p w14:paraId="34741E19"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20:9-11 (quoting Regulatory Research Associates, “Adjustment Clauses – a State-By-State Overview” (Oct. 2, 2015)).</w:t>
      </w:r>
    </w:p>
  </w:footnote>
  <w:footnote w:id="22">
    <w:p w14:paraId="65B36CA3"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18:10 – 25:13.</w:t>
      </w:r>
    </w:p>
  </w:footnote>
  <w:footnote w:id="23">
    <w:p w14:paraId="2F5B94F7" w14:textId="77777777" w:rsidR="008111CE" w:rsidRDefault="008111CE" w:rsidP="00225175">
      <w:pPr>
        <w:pStyle w:val="FootnoteText"/>
        <w:keepLines/>
        <w:spacing w:before="60" w:after="60" w:line="240" w:lineRule="auto"/>
        <w:ind w:firstLine="360"/>
      </w:pPr>
      <w:r>
        <w:rPr>
          <w:rStyle w:val="FootnoteReference"/>
        </w:rPr>
        <w:footnoteRef/>
      </w:r>
      <w:r>
        <w:tab/>
      </w:r>
      <w:r w:rsidRPr="00FA2991">
        <w:rPr>
          <w:i/>
        </w:rPr>
        <w:t>See generally</w:t>
      </w:r>
      <w:r>
        <w:t xml:space="preserve"> </w:t>
      </w:r>
      <w:proofErr w:type="spellStart"/>
      <w:r>
        <w:t>Parcell</w:t>
      </w:r>
      <w:proofErr w:type="spellEnd"/>
      <w:r>
        <w:t xml:space="preserve">, </w:t>
      </w:r>
      <w:proofErr w:type="spellStart"/>
      <w:r>
        <w:t>Exh</w:t>
      </w:r>
      <w:proofErr w:type="spellEnd"/>
      <w:r>
        <w:t>. DCP-1T at 31:13 – 46:8.</w:t>
      </w:r>
    </w:p>
  </w:footnote>
  <w:footnote w:id="24">
    <w:p w14:paraId="676E82D9" w14:textId="77777777" w:rsidR="008111CE" w:rsidRDefault="008111CE" w:rsidP="00225175">
      <w:pPr>
        <w:pStyle w:val="FootnoteText"/>
        <w:keepLines/>
        <w:spacing w:before="60" w:after="60" w:line="240" w:lineRule="auto"/>
        <w:ind w:firstLine="360"/>
      </w:pPr>
      <w:r>
        <w:rPr>
          <w:rStyle w:val="FootnoteReference"/>
        </w:rPr>
        <w:footnoteRef/>
      </w:r>
      <w:r>
        <w:tab/>
      </w:r>
      <w:r w:rsidRPr="00FA2991">
        <w:rPr>
          <w:i/>
        </w:rPr>
        <w:t>See generally</w:t>
      </w:r>
      <w:r>
        <w:t xml:space="preserve"> </w:t>
      </w:r>
      <w:proofErr w:type="spellStart"/>
      <w:r>
        <w:t>Parcell</w:t>
      </w:r>
      <w:proofErr w:type="spellEnd"/>
      <w:r>
        <w:t xml:space="preserve">, </w:t>
      </w:r>
      <w:proofErr w:type="spellStart"/>
      <w:r>
        <w:t>Exh</w:t>
      </w:r>
      <w:proofErr w:type="spellEnd"/>
      <w:r>
        <w:t>. DCP-1T at 22:23 – 31:11.</w:t>
      </w:r>
    </w:p>
  </w:footnote>
  <w:footnote w:id="25">
    <w:p w14:paraId="159EA4BD" w14:textId="77777777" w:rsidR="008111CE" w:rsidRDefault="008111CE" w:rsidP="00225175">
      <w:pPr>
        <w:pStyle w:val="FootnoteText"/>
        <w:keepLines/>
        <w:spacing w:before="60" w:after="60" w:line="240" w:lineRule="auto"/>
        <w:ind w:firstLine="360"/>
      </w:pPr>
      <w:r>
        <w:rPr>
          <w:rStyle w:val="FootnoteReference"/>
        </w:rPr>
        <w:footnoteRef/>
      </w:r>
      <w:r>
        <w:tab/>
      </w:r>
      <w:r w:rsidRPr="00FA2991">
        <w:rPr>
          <w:i/>
        </w:rPr>
        <w:t>See generally</w:t>
      </w:r>
      <w:r>
        <w:t xml:space="preserve"> </w:t>
      </w:r>
      <w:proofErr w:type="spellStart"/>
      <w:r w:rsidRPr="00822C65">
        <w:t>Frankiewich</w:t>
      </w:r>
      <w:proofErr w:type="spellEnd"/>
      <w:r w:rsidRPr="00822C65">
        <w:t>, KAF-1T at 3</w:t>
      </w:r>
      <w:r>
        <w:t>:</w:t>
      </w:r>
      <w:r w:rsidRPr="00822C65">
        <w:t>18</w:t>
      </w:r>
      <w:r>
        <w:t> – </w:t>
      </w:r>
      <w:r w:rsidRPr="00822C65">
        <w:t>17</w:t>
      </w:r>
      <w:r>
        <w:t>:</w:t>
      </w:r>
      <w:r w:rsidRPr="00822C65">
        <w:t>9.</w:t>
      </w:r>
    </w:p>
  </w:footnote>
  <w:footnote w:id="26">
    <w:p w14:paraId="02229B57" w14:textId="77777777" w:rsidR="008111CE" w:rsidRDefault="008111CE" w:rsidP="00225175">
      <w:pPr>
        <w:pStyle w:val="FootnoteText"/>
        <w:keepLines/>
        <w:spacing w:before="60" w:after="60" w:line="240" w:lineRule="auto"/>
        <w:ind w:firstLine="360"/>
      </w:pPr>
      <w:r>
        <w:rPr>
          <w:rStyle w:val="FootnoteReference"/>
        </w:rPr>
        <w:footnoteRef/>
      </w:r>
      <w:r>
        <w:tab/>
      </w:r>
      <w:r w:rsidRPr="00FA2991">
        <w:rPr>
          <w:i/>
        </w:rPr>
        <w:t>See generally</w:t>
      </w:r>
      <w:r>
        <w:t xml:space="preserve"> </w:t>
      </w:r>
      <w:proofErr w:type="spellStart"/>
      <w:r w:rsidRPr="00822C65">
        <w:t>Frankiewich</w:t>
      </w:r>
      <w:proofErr w:type="spellEnd"/>
      <w:r w:rsidRPr="00822C65">
        <w:t xml:space="preserve">, KAF-1T at </w:t>
      </w:r>
      <w:r>
        <w:t>17:</w:t>
      </w:r>
      <w:r w:rsidRPr="00822C65">
        <w:t>1</w:t>
      </w:r>
      <w:r>
        <w:t>1 – 30:15</w:t>
      </w:r>
      <w:r w:rsidRPr="00822C65">
        <w:t>.</w:t>
      </w:r>
    </w:p>
  </w:footnote>
  <w:footnote w:id="27">
    <w:p w14:paraId="04AE0052" w14:textId="77777777" w:rsidR="008111CE" w:rsidRDefault="008111CE" w:rsidP="00225175">
      <w:pPr>
        <w:pStyle w:val="FootnoteText"/>
        <w:keepLines/>
        <w:spacing w:before="60" w:after="60" w:line="240" w:lineRule="auto"/>
        <w:ind w:firstLine="360"/>
      </w:pPr>
      <w:r>
        <w:rPr>
          <w:rStyle w:val="FootnoteReference"/>
        </w:rPr>
        <w:footnoteRef/>
      </w:r>
      <w:r>
        <w:tab/>
      </w:r>
      <w:r w:rsidRPr="00FA2991">
        <w:rPr>
          <w:i/>
        </w:rPr>
        <w:t>See generally</w:t>
      </w:r>
      <w:r>
        <w:t xml:space="preserve"> </w:t>
      </w:r>
      <w:r w:rsidRPr="00840D1C">
        <w:t xml:space="preserve">Hancock, </w:t>
      </w:r>
      <w:proofErr w:type="spellStart"/>
      <w:r w:rsidRPr="00840D1C">
        <w:t>Exh</w:t>
      </w:r>
      <w:proofErr w:type="spellEnd"/>
      <w:r w:rsidRPr="00840D1C">
        <w:t>. CSH-1</w:t>
      </w:r>
      <w:r>
        <w:t>C</w:t>
      </w:r>
      <w:r w:rsidRPr="00840D1C">
        <w:t>T at 4</w:t>
      </w:r>
      <w:r>
        <w:t>:</w:t>
      </w:r>
      <w:r w:rsidRPr="00840D1C">
        <w:t>4</w:t>
      </w:r>
      <w:r>
        <w:t> – </w:t>
      </w:r>
      <w:r w:rsidRPr="00840D1C">
        <w:t>29</w:t>
      </w:r>
      <w:r>
        <w:t>:</w:t>
      </w:r>
      <w:r w:rsidRPr="00840D1C">
        <w:t>2</w:t>
      </w:r>
      <w:r>
        <w:t>.</w:t>
      </w:r>
    </w:p>
  </w:footnote>
  <w:footnote w:id="28">
    <w:p w14:paraId="224F079C" w14:textId="77777777" w:rsidR="008111CE" w:rsidRDefault="008111CE" w:rsidP="00225175">
      <w:pPr>
        <w:pStyle w:val="FootnoteText"/>
        <w:keepLines/>
        <w:spacing w:before="60" w:after="60" w:line="240" w:lineRule="auto"/>
        <w:ind w:firstLine="360"/>
      </w:pPr>
      <w:r>
        <w:rPr>
          <w:rStyle w:val="FootnoteReference"/>
        </w:rPr>
        <w:footnoteRef/>
      </w:r>
      <w:r>
        <w:tab/>
      </w:r>
      <w:r w:rsidRPr="00FA2991">
        <w:rPr>
          <w:i/>
        </w:rPr>
        <w:t>See generally</w:t>
      </w:r>
      <w:r>
        <w:t xml:space="preserve"> </w:t>
      </w:r>
      <w:r w:rsidRPr="00840D1C">
        <w:t xml:space="preserve">McGuire, </w:t>
      </w:r>
      <w:proofErr w:type="spellStart"/>
      <w:r w:rsidRPr="00840D1C">
        <w:t>Exh</w:t>
      </w:r>
      <w:proofErr w:type="spellEnd"/>
      <w:r w:rsidRPr="00840D1C">
        <w:t>. CRM-1T</w:t>
      </w:r>
      <w:r>
        <w:t>.</w:t>
      </w:r>
    </w:p>
  </w:footnote>
  <w:footnote w:id="29">
    <w:p w14:paraId="4CE3B087" w14:textId="77777777" w:rsidR="008111CE" w:rsidRDefault="008111CE" w:rsidP="00225175">
      <w:pPr>
        <w:pStyle w:val="FootnoteText"/>
        <w:keepLines/>
        <w:spacing w:before="60" w:after="60" w:line="240" w:lineRule="auto"/>
        <w:ind w:firstLine="360"/>
      </w:pPr>
      <w:r>
        <w:rPr>
          <w:rStyle w:val="FootnoteReference"/>
        </w:rPr>
        <w:footnoteRef/>
      </w:r>
      <w:r>
        <w:tab/>
      </w:r>
      <w:r w:rsidRPr="004B57C1">
        <w:rPr>
          <w:i/>
        </w:rPr>
        <w:t>See, e.g., Bluefield Water Works &amp; Improvement Co.</w:t>
      </w:r>
      <w:r>
        <w:rPr>
          <w:i/>
        </w:rPr>
        <w:t> </w:t>
      </w:r>
      <w:r w:rsidRPr="004B57C1">
        <w:rPr>
          <w:i/>
        </w:rPr>
        <w:t>v. Pub</w:t>
      </w:r>
      <w:r>
        <w:rPr>
          <w:i/>
        </w:rPr>
        <w:t xml:space="preserve">. </w:t>
      </w:r>
      <w:r w:rsidRPr="004B57C1">
        <w:rPr>
          <w:i/>
        </w:rPr>
        <w:t>Serv</w:t>
      </w:r>
      <w:r>
        <w:rPr>
          <w:i/>
        </w:rPr>
        <w:t xml:space="preserve">. </w:t>
      </w:r>
      <w:proofErr w:type="spellStart"/>
      <w:r w:rsidRPr="004B57C1">
        <w:rPr>
          <w:i/>
        </w:rPr>
        <w:t>Comm</w:t>
      </w:r>
      <w:r>
        <w:rPr>
          <w:i/>
        </w:rPr>
        <w:t>’</w:t>
      </w:r>
      <w:r w:rsidRPr="004B57C1">
        <w:rPr>
          <w:i/>
        </w:rPr>
        <w:t>n</w:t>
      </w:r>
      <w:proofErr w:type="spellEnd"/>
      <w:r w:rsidRPr="004B57C1">
        <w:rPr>
          <w:i/>
        </w:rPr>
        <w:t xml:space="preserve"> of W</w:t>
      </w:r>
      <w:r>
        <w:rPr>
          <w:i/>
        </w:rPr>
        <w:t xml:space="preserve">. </w:t>
      </w:r>
      <w:r w:rsidRPr="004B57C1">
        <w:rPr>
          <w:i/>
        </w:rPr>
        <w:t>Va</w:t>
      </w:r>
      <w:r>
        <w:rPr>
          <w:i/>
        </w:rPr>
        <w:t>.</w:t>
      </w:r>
      <w:r>
        <w:t xml:space="preserve">, 262 U.S. 679 (1923); </w:t>
      </w:r>
      <w:r w:rsidRPr="00E908BC">
        <w:rPr>
          <w:i/>
        </w:rPr>
        <w:t xml:space="preserve">Fed. Power </w:t>
      </w:r>
      <w:proofErr w:type="spellStart"/>
      <w:r w:rsidRPr="00E908BC">
        <w:rPr>
          <w:i/>
        </w:rPr>
        <w:t>Comm’n</w:t>
      </w:r>
      <w:proofErr w:type="spellEnd"/>
      <w:r w:rsidRPr="00E908BC">
        <w:rPr>
          <w:i/>
        </w:rPr>
        <w:t> v. Hope Natural Gas Co</w:t>
      </w:r>
      <w:r>
        <w:t>., 320 U.S. 591 (1944).</w:t>
      </w:r>
    </w:p>
  </w:footnote>
  <w:footnote w:id="30">
    <w:p w14:paraId="55F7FA77"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Schooley, </w:t>
      </w:r>
      <w:proofErr w:type="spellStart"/>
      <w:r>
        <w:t>Exh</w:t>
      </w:r>
      <w:proofErr w:type="spellEnd"/>
      <w:r>
        <w:t>. TES-1T at 28:13-21.</w:t>
      </w:r>
    </w:p>
  </w:footnote>
  <w:footnote w:id="31">
    <w:p w14:paraId="255095C0"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w:t>
      </w:r>
      <w:proofErr w:type="spellStart"/>
      <w:r>
        <w:t>Brosch</w:t>
      </w:r>
      <w:proofErr w:type="spellEnd"/>
      <w:r>
        <w:t xml:space="preserve">, </w:t>
      </w:r>
      <w:proofErr w:type="spellStart"/>
      <w:r>
        <w:t>Exh</w:t>
      </w:r>
      <w:proofErr w:type="spellEnd"/>
      <w:r>
        <w:t xml:space="preserve">. MLB-1T at 60:20 – 61:11; Higgins, </w:t>
      </w:r>
      <w:proofErr w:type="spellStart"/>
      <w:r>
        <w:t>Exh</w:t>
      </w:r>
      <w:proofErr w:type="spellEnd"/>
      <w:r>
        <w:t>. KCH-1T at 22:10-19.</w:t>
      </w:r>
    </w:p>
  </w:footnote>
  <w:footnote w:id="32">
    <w:p w14:paraId="1F8DBD85" w14:textId="77777777" w:rsidR="008111CE" w:rsidRDefault="008111CE" w:rsidP="00225175">
      <w:pPr>
        <w:pStyle w:val="FootnoteText"/>
        <w:keepLines/>
        <w:spacing w:before="60" w:after="60" w:line="240" w:lineRule="auto"/>
        <w:ind w:firstLine="360"/>
      </w:pPr>
      <w:r>
        <w:rPr>
          <w:rStyle w:val="FootnoteReference"/>
        </w:rPr>
        <w:footnoteRef/>
      </w:r>
      <w:r>
        <w:tab/>
        <w:t xml:space="preserve">Gorman, </w:t>
      </w:r>
      <w:proofErr w:type="spellStart"/>
      <w:r>
        <w:t>Exh</w:t>
      </w:r>
      <w:proofErr w:type="spellEnd"/>
      <w:r>
        <w:t>. MPG-1T at 43:19 – 44:5.</w:t>
      </w:r>
    </w:p>
  </w:footnote>
  <w:footnote w:id="33">
    <w:p w14:paraId="1BAC57D5" w14:textId="77777777" w:rsidR="008111CE" w:rsidRDefault="008111CE" w:rsidP="00225175">
      <w:pPr>
        <w:pStyle w:val="FootnoteText"/>
        <w:keepLines/>
        <w:spacing w:before="60" w:after="60" w:line="240" w:lineRule="auto"/>
        <w:ind w:firstLine="360"/>
      </w:pPr>
      <w:r>
        <w:rPr>
          <w:rStyle w:val="FootnoteReference"/>
        </w:rPr>
        <w:footnoteRef/>
      </w:r>
      <w:r>
        <w:tab/>
      </w:r>
      <w:r w:rsidRPr="007579B6">
        <w:t>Decoupling Remand Order at</w:t>
      </w:r>
      <w:r>
        <w:t xml:space="preserve"> ¶ 155 (emphasis added).</w:t>
      </w:r>
    </w:p>
  </w:footnote>
  <w:footnote w:id="34">
    <w:p w14:paraId="3DB248EA" w14:textId="77777777" w:rsidR="008111CE" w:rsidRDefault="008111CE" w:rsidP="00225175">
      <w:pPr>
        <w:pStyle w:val="FootnoteText"/>
        <w:spacing w:before="60" w:after="60" w:line="240" w:lineRule="auto"/>
        <w:ind w:firstLine="360"/>
      </w:pPr>
      <w:r>
        <w:rPr>
          <w:rStyle w:val="FootnoteReference"/>
        </w:rPr>
        <w:footnoteRef/>
      </w:r>
      <w:r>
        <w:tab/>
      </w:r>
      <w:proofErr w:type="spellStart"/>
      <w:r>
        <w:t>Brosch</w:t>
      </w:r>
      <w:proofErr w:type="spellEnd"/>
      <w:r>
        <w:t xml:space="preserve">, </w:t>
      </w:r>
      <w:proofErr w:type="spellStart"/>
      <w:r>
        <w:t>Exh</w:t>
      </w:r>
      <w:proofErr w:type="spellEnd"/>
      <w:r>
        <w:t>. MLB-1T at 58:11 – 59:12.</w:t>
      </w:r>
    </w:p>
  </w:footnote>
  <w:footnote w:id="35">
    <w:p w14:paraId="7BA41E3C" w14:textId="77777777" w:rsidR="008111CE" w:rsidRDefault="008111CE" w:rsidP="00225175">
      <w:pPr>
        <w:pStyle w:val="FootnoteText"/>
        <w:spacing w:before="60" w:after="60" w:line="240" w:lineRule="auto"/>
        <w:ind w:firstLine="360"/>
      </w:pPr>
      <w:r>
        <w:rPr>
          <w:rStyle w:val="FootnoteReference"/>
        </w:rPr>
        <w:footnoteRef/>
      </w:r>
      <w:r>
        <w:tab/>
      </w:r>
      <w:proofErr w:type="spellStart"/>
      <w:r>
        <w:t>Brosch</w:t>
      </w:r>
      <w:proofErr w:type="spellEnd"/>
      <w:r>
        <w:t xml:space="preserve">, </w:t>
      </w:r>
      <w:proofErr w:type="spellStart"/>
      <w:r>
        <w:t>Exh</w:t>
      </w:r>
      <w:proofErr w:type="spellEnd"/>
      <w:r>
        <w:t>. MLB-1T at 58:21 – 59:1.</w:t>
      </w:r>
    </w:p>
  </w:footnote>
  <w:footnote w:id="36">
    <w:p w14:paraId="6228CCD8"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Schooley, </w:t>
      </w:r>
      <w:proofErr w:type="spellStart"/>
      <w:r>
        <w:t>Exh</w:t>
      </w:r>
      <w:proofErr w:type="spellEnd"/>
      <w:r>
        <w:t>. TES-1T at 21:15-23.</w:t>
      </w:r>
    </w:p>
  </w:footnote>
  <w:footnote w:id="37">
    <w:p w14:paraId="52476DA2"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Schooley, </w:t>
      </w:r>
      <w:proofErr w:type="spellStart"/>
      <w:r>
        <w:t>Exh</w:t>
      </w:r>
      <w:proofErr w:type="spellEnd"/>
      <w:r>
        <w:t>. TES-1T at 23:2-10.</w:t>
      </w:r>
    </w:p>
  </w:footnote>
  <w:footnote w:id="38">
    <w:p w14:paraId="1945C0A9"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23:14-15.</w:t>
      </w:r>
    </w:p>
  </w:footnote>
  <w:footnote w:id="39">
    <w:p w14:paraId="23FCE0F3"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23:15-16.</w:t>
      </w:r>
    </w:p>
  </w:footnote>
  <w:footnote w:id="40">
    <w:p w14:paraId="374E7DAE" w14:textId="77777777" w:rsidR="008111CE" w:rsidRDefault="008111CE" w:rsidP="00225175">
      <w:pPr>
        <w:pStyle w:val="FootnoteText"/>
        <w:keepLines/>
        <w:spacing w:before="60" w:after="60" w:line="240" w:lineRule="auto"/>
        <w:ind w:firstLine="360"/>
      </w:pPr>
      <w:r>
        <w:rPr>
          <w:rStyle w:val="FootnoteReference"/>
        </w:rPr>
        <w:footnoteRef/>
      </w:r>
      <w:r>
        <w:tab/>
        <w:t xml:space="preserve">Woolridge, </w:t>
      </w:r>
      <w:proofErr w:type="spellStart"/>
      <w:r>
        <w:t>Exh</w:t>
      </w:r>
      <w:proofErr w:type="spellEnd"/>
      <w:r>
        <w:t>. JRW-1T at 3:17-18.</w:t>
      </w:r>
    </w:p>
  </w:footnote>
  <w:footnote w:id="41">
    <w:p w14:paraId="593846EA" w14:textId="77777777" w:rsidR="008111CE" w:rsidRDefault="008111CE" w:rsidP="00225175">
      <w:pPr>
        <w:pStyle w:val="FootnoteText"/>
        <w:keepLines/>
        <w:spacing w:before="60" w:after="60" w:line="240" w:lineRule="auto"/>
        <w:ind w:firstLine="360"/>
      </w:pPr>
      <w:r>
        <w:rPr>
          <w:rStyle w:val="FootnoteReference"/>
        </w:rPr>
        <w:footnoteRef/>
      </w:r>
      <w:r>
        <w:tab/>
      </w:r>
      <w:r w:rsidRPr="004660DC">
        <w:rPr>
          <w:i/>
        </w:rPr>
        <w:t>See</w:t>
      </w:r>
      <w:r>
        <w:t xml:space="preserve"> Mullins, </w:t>
      </w:r>
      <w:proofErr w:type="spellStart"/>
      <w:r>
        <w:t>Exh</w:t>
      </w:r>
      <w:proofErr w:type="spellEnd"/>
      <w:r>
        <w:t>. BGM-3 at 9.</w:t>
      </w:r>
    </w:p>
  </w:footnote>
  <w:footnote w:id="42">
    <w:p w14:paraId="5F055C84"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4:11-12 (footnote omitted).</w:t>
      </w:r>
    </w:p>
  </w:footnote>
  <w:footnote w:id="43">
    <w:p w14:paraId="6BBB282A"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27:12-14.</w:t>
      </w:r>
    </w:p>
  </w:footnote>
  <w:footnote w:id="44">
    <w:p w14:paraId="0600C8E6" w14:textId="67C740E2" w:rsidR="008111CE" w:rsidRDefault="008111CE" w:rsidP="00225175">
      <w:pPr>
        <w:pStyle w:val="FootnoteText"/>
        <w:keepLines/>
        <w:spacing w:before="60" w:after="60" w:line="240" w:lineRule="auto"/>
        <w:ind w:firstLine="360"/>
      </w:pPr>
      <w:r>
        <w:rPr>
          <w:rStyle w:val="FootnoteReference"/>
        </w:rPr>
        <w:footnoteRef/>
      </w:r>
      <w:r>
        <w:tab/>
      </w:r>
      <w:r w:rsidRPr="00365975">
        <w:rPr>
          <w:i/>
        </w:rPr>
        <w:t>See</w:t>
      </w:r>
      <w:r>
        <w:t xml:space="preserve"> Decoupling Order </w:t>
      </w:r>
      <w:r w:rsidRPr="00365975">
        <w:t>at</w:t>
      </w:r>
      <w:r>
        <w:rPr>
          <w:i/>
        </w:rPr>
        <w:t xml:space="preserve"> </w:t>
      </w:r>
      <w:r>
        <w:t xml:space="preserve">¶¶ 59-62; </w:t>
      </w:r>
      <w:r>
        <w:rPr>
          <w:i/>
        </w:rPr>
        <w:t xml:space="preserve">Wash. </w:t>
      </w:r>
      <w:proofErr w:type="spellStart"/>
      <w:r>
        <w:rPr>
          <w:i/>
        </w:rPr>
        <w:t>Utils</w:t>
      </w:r>
      <w:proofErr w:type="spellEnd"/>
      <w:r>
        <w:rPr>
          <w:i/>
        </w:rPr>
        <w:t xml:space="preserve">. &amp; Transp. </w:t>
      </w:r>
      <w:proofErr w:type="spellStart"/>
      <w:r>
        <w:rPr>
          <w:i/>
        </w:rPr>
        <w:t>Comm’n</w:t>
      </w:r>
      <w:proofErr w:type="spellEnd"/>
      <w:r>
        <w:rPr>
          <w:i/>
        </w:rPr>
        <w:t xml:space="preserve"> v. Puget Sound Energy</w:t>
      </w:r>
      <w:r>
        <w:t>, Dockets UE-111048 &amp; UG-111049 (consolidated)</w:t>
      </w:r>
      <w:r w:rsidR="00B60D3C">
        <w:t>, Order 08 at ¶¶ 48-57</w:t>
      </w:r>
      <w:r>
        <w:t xml:space="preserve"> (2012).</w:t>
      </w:r>
    </w:p>
  </w:footnote>
  <w:footnote w:id="45">
    <w:p w14:paraId="6727D9C6"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27:12-14.</w:t>
      </w:r>
    </w:p>
  </w:footnote>
  <w:footnote w:id="46">
    <w:p w14:paraId="7EDA5FEF"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Lohse, </w:t>
      </w:r>
      <w:proofErr w:type="spellStart"/>
      <w:r>
        <w:t>Exh</w:t>
      </w:r>
      <w:proofErr w:type="spellEnd"/>
      <w:r>
        <w:t>. BJL-3 at 2:13.</w:t>
      </w:r>
    </w:p>
  </w:footnote>
  <w:footnote w:id="47">
    <w:p w14:paraId="1A9F6051"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Lohse, </w:t>
      </w:r>
      <w:proofErr w:type="spellStart"/>
      <w:r>
        <w:t>Exh</w:t>
      </w:r>
      <w:proofErr w:type="spellEnd"/>
      <w:r>
        <w:t>. BJL-3 at 2:13.</w:t>
      </w:r>
    </w:p>
  </w:footnote>
  <w:footnote w:id="48">
    <w:p w14:paraId="6F3ECD14"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27:19-21.</w:t>
      </w:r>
    </w:p>
  </w:footnote>
  <w:footnote w:id="49">
    <w:p w14:paraId="574E674F"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28:1-2.</w:t>
      </w:r>
    </w:p>
  </w:footnote>
  <w:footnote w:id="50">
    <w:p w14:paraId="75DE22E1"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28:3-4.</w:t>
      </w:r>
    </w:p>
  </w:footnote>
  <w:footnote w:id="51">
    <w:p w14:paraId="65ED0221" w14:textId="77777777" w:rsidR="008111CE" w:rsidRDefault="008111CE" w:rsidP="00225175">
      <w:pPr>
        <w:pStyle w:val="FootnoteText"/>
        <w:keepLines/>
        <w:tabs>
          <w:tab w:val="left" w:pos="720"/>
        </w:tabs>
        <w:spacing w:before="60" w:after="60" w:line="240" w:lineRule="auto"/>
        <w:ind w:firstLine="360"/>
      </w:pPr>
      <w:r>
        <w:rPr>
          <w:rStyle w:val="FootnoteReference"/>
        </w:rPr>
        <w:footnoteRef/>
      </w:r>
      <w:r>
        <w:tab/>
      </w:r>
      <w:r>
        <w:rPr>
          <w:i/>
          <w:szCs w:val="22"/>
        </w:rPr>
        <w:t>WUTC v. Puget Sound Energy, Inc.</w:t>
      </w:r>
      <w:r>
        <w:rPr>
          <w:szCs w:val="22"/>
        </w:rPr>
        <w:t>, Dockets UE-111048 and UG-111049, Order 08, ¶ 55 (May 7, 2012).</w:t>
      </w:r>
    </w:p>
  </w:footnote>
  <w:footnote w:id="52">
    <w:p w14:paraId="50779782"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28:5-6.</w:t>
      </w:r>
    </w:p>
  </w:footnote>
  <w:footnote w:id="53">
    <w:p w14:paraId="16FC492B"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DCP-7 at 2.</w:t>
      </w:r>
    </w:p>
  </w:footnote>
  <w:footnote w:id="54">
    <w:p w14:paraId="678FC285"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xml:space="preserve">. DCP-1T at 28:7-9; </w:t>
      </w:r>
      <w:r w:rsidRPr="003A6CF2">
        <w:rPr>
          <w:i/>
        </w:rPr>
        <w:t>see also id</w:t>
      </w:r>
      <w:r>
        <w:t>., at 30:9-17.</w:t>
      </w:r>
    </w:p>
  </w:footnote>
  <w:footnote w:id="55">
    <w:p w14:paraId="11266899" w14:textId="77777777" w:rsidR="008111CE" w:rsidRDefault="008111CE" w:rsidP="00225175">
      <w:pPr>
        <w:pStyle w:val="FootnoteText"/>
        <w:keepLines/>
        <w:tabs>
          <w:tab w:val="left" w:pos="720"/>
        </w:tabs>
        <w:spacing w:before="60" w:after="60" w:line="240" w:lineRule="auto"/>
        <w:ind w:firstLine="360"/>
        <w:rPr>
          <w:szCs w:val="22"/>
        </w:rPr>
      </w:pPr>
      <w:r>
        <w:rPr>
          <w:rStyle w:val="FootnoteReference"/>
        </w:rPr>
        <w:footnoteRef/>
      </w:r>
      <w:r>
        <w:tab/>
      </w:r>
      <w:r>
        <w:rPr>
          <w:i/>
          <w:szCs w:val="22"/>
        </w:rPr>
        <w:t>WUTC v. Puget Sound Energy</w:t>
      </w:r>
      <w:r>
        <w:rPr>
          <w:szCs w:val="22"/>
        </w:rPr>
        <w:t>, Dockets UE-121697 and UG-121705, Order 15, ¶ 155 (June 29, 2015).</w:t>
      </w:r>
    </w:p>
  </w:footnote>
  <w:footnote w:id="56">
    <w:p w14:paraId="098767DD"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DCP-1T at 28:10-12.</w:t>
      </w:r>
    </w:p>
  </w:footnote>
  <w:footnote w:id="57">
    <w:p w14:paraId="2AA83831" w14:textId="77777777" w:rsidR="008111CE" w:rsidRDefault="008111CE" w:rsidP="00225175">
      <w:pPr>
        <w:pStyle w:val="FootnoteText"/>
        <w:keepLines/>
        <w:spacing w:before="60" w:after="60" w:line="240" w:lineRule="auto"/>
        <w:ind w:firstLine="360"/>
      </w:pPr>
      <w:r>
        <w:rPr>
          <w:rStyle w:val="FootnoteReference"/>
        </w:rPr>
        <w:footnoteRef/>
      </w:r>
      <w:r>
        <w:tab/>
      </w:r>
      <w:r w:rsidRPr="00504A94">
        <w:rPr>
          <w:i/>
        </w:rPr>
        <w:t>See generally</w:t>
      </w:r>
      <w:r>
        <w:t xml:space="preserve"> Morin, </w:t>
      </w:r>
      <w:proofErr w:type="spellStart"/>
      <w:r>
        <w:t>Exh</w:t>
      </w:r>
      <w:proofErr w:type="spellEnd"/>
      <w:r>
        <w:t>. RAM-12T.</w:t>
      </w:r>
    </w:p>
  </w:footnote>
  <w:footnote w:id="58">
    <w:p w14:paraId="12807E67" w14:textId="77777777" w:rsidR="008111CE" w:rsidRDefault="008111CE" w:rsidP="00225175">
      <w:pPr>
        <w:pStyle w:val="FootnoteText"/>
        <w:keepLines/>
        <w:spacing w:before="60" w:after="60" w:line="240" w:lineRule="auto"/>
        <w:ind w:firstLine="360"/>
      </w:pPr>
      <w:r>
        <w:rPr>
          <w:rStyle w:val="FootnoteReference"/>
        </w:rPr>
        <w:footnoteRef/>
      </w:r>
      <w:r>
        <w:tab/>
      </w:r>
      <w:r w:rsidRPr="00504A94">
        <w:rPr>
          <w:i/>
        </w:rPr>
        <w:t>See</w:t>
      </w:r>
      <w:r>
        <w:t xml:space="preserve"> Morin,</w:t>
      </w:r>
      <w:r w:rsidRPr="00504A94">
        <w:t xml:space="preserve"> </w:t>
      </w:r>
      <w:proofErr w:type="spellStart"/>
      <w:r w:rsidRPr="00504A94">
        <w:t>Exh</w:t>
      </w:r>
      <w:proofErr w:type="spellEnd"/>
      <w:r w:rsidRPr="00504A94">
        <w:t>.</w:t>
      </w:r>
      <w:r>
        <w:t> </w:t>
      </w:r>
      <w:r w:rsidRPr="00504A94">
        <w:t>RAM-12T</w:t>
      </w:r>
      <w:r>
        <w:t xml:space="preserve"> at [</w:t>
      </w:r>
      <w:r w:rsidRPr="00504A94">
        <w:t>xx</w:t>
      </w:r>
      <w:r>
        <w:t>]:</w:t>
      </w:r>
      <w:r w:rsidRPr="00504A94">
        <w:t>Table</w:t>
      </w:r>
      <w:r>
        <w:t> </w:t>
      </w:r>
      <w:r w:rsidRPr="00504A94">
        <w:t>1</w:t>
      </w:r>
      <w:r>
        <w:t>.</w:t>
      </w:r>
    </w:p>
  </w:footnote>
  <w:footnote w:id="59">
    <w:p w14:paraId="667DFDA6"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xml:space="preserve">. DCP-1T at </w:t>
      </w:r>
      <w:r w:rsidRPr="00141C20">
        <w:t>4</w:t>
      </w:r>
      <w:r>
        <w:t>:2-5.</w:t>
      </w:r>
    </w:p>
  </w:footnote>
  <w:footnote w:id="60">
    <w:p w14:paraId="0A78A70B" w14:textId="03552CC1" w:rsidR="008111CE" w:rsidRDefault="008111CE" w:rsidP="00225175">
      <w:pPr>
        <w:pStyle w:val="FootnoteText"/>
        <w:keepLines/>
        <w:spacing w:before="60" w:after="60" w:line="240" w:lineRule="auto"/>
        <w:ind w:firstLine="360"/>
      </w:pPr>
      <w:r>
        <w:rPr>
          <w:rStyle w:val="FootnoteReference"/>
        </w:rPr>
        <w:footnoteRef/>
      </w:r>
      <w:r>
        <w:tab/>
        <w:t xml:space="preserve">Morin, </w:t>
      </w:r>
      <w:proofErr w:type="spellStart"/>
      <w:r>
        <w:t>Exh</w:t>
      </w:r>
      <w:proofErr w:type="spellEnd"/>
      <w:r>
        <w:t xml:space="preserve">. RAM-12T at </w:t>
      </w:r>
      <w:r w:rsidR="001564E7">
        <w:t>64:1 – 82:6</w:t>
      </w:r>
      <w:r>
        <w:t>.</w:t>
      </w:r>
    </w:p>
  </w:footnote>
  <w:footnote w:id="61">
    <w:p w14:paraId="51AD0D63"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Parcell</w:t>
      </w:r>
      <w:proofErr w:type="spellEnd"/>
      <w:r>
        <w:t xml:space="preserve">, </w:t>
      </w:r>
      <w:proofErr w:type="spellStart"/>
      <w:r>
        <w:t>Exh</w:t>
      </w:r>
      <w:proofErr w:type="spellEnd"/>
      <w:r>
        <w:t xml:space="preserve">. DCP-1T at </w:t>
      </w:r>
      <w:r w:rsidRPr="00141C20">
        <w:t>4</w:t>
      </w:r>
      <w:r>
        <w:t>:4-6.</w:t>
      </w:r>
    </w:p>
  </w:footnote>
  <w:footnote w:id="62">
    <w:p w14:paraId="76E7783C" w14:textId="663ABD12" w:rsidR="008111CE" w:rsidRDefault="008111CE" w:rsidP="00225175">
      <w:pPr>
        <w:pStyle w:val="FootnoteText"/>
        <w:keepLines/>
        <w:spacing w:before="60" w:after="60" w:line="240" w:lineRule="auto"/>
        <w:ind w:firstLine="360"/>
      </w:pPr>
      <w:r>
        <w:rPr>
          <w:rStyle w:val="FootnoteReference"/>
        </w:rPr>
        <w:footnoteRef/>
      </w:r>
      <w:r>
        <w:tab/>
        <w:t xml:space="preserve">Morin, </w:t>
      </w:r>
      <w:proofErr w:type="spellStart"/>
      <w:r>
        <w:t>Exh</w:t>
      </w:r>
      <w:proofErr w:type="spellEnd"/>
      <w:r>
        <w:t xml:space="preserve">. RAM-12T at </w:t>
      </w:r>
      <w:r w:rsidR="001564E7">
        <w:t>82:7 – 95:13</w:t>
      </w:r>
      <w:r>
        <w:t>.</w:t>
      </w:r>
    </w:p>
  </w:footnote>
  <w:footnote w:id="63">
    <w:p w14:paraId="28FC9DDE" w14:textId="77777777" w:rsidR="008111CE" w:rsidRDefault="008111CE" w:rsidP="00225175">
      <w:pPr>
        <w:pStyle w:val="FootnoteText"/>
        <w:keepLines/>
        <w:spacing w:before="60" w:after="60" w:line="240" w:lineRule="auto"/>
        <w:ind w:firstLine="360"/>
      </w:pPr>
      <w:r>
        <w:rPr>
          <w:rStyle w:val="FootnoteReference"/>
        </w:rPr>
        <w:footnoteRef/>
      </w:r>
      <w:r>
        <w:tab/>
        <w:t xml:space="preserve">Morin, </w:t>
      </w:r>
      <w:proofErr w:type="spellStart"/>
      <w:r>
        <w:t>Exh</w:t>
      </w:r>
      <w:proofErr w:type="spellEnd"/>
      <w:r>
        <w:t>. RAM-1T at 55:13-16.</w:t>
      </w:r>
    </w:p>
  </w:footnote>
  <w:footnote w:id="64">
    <w:p w14:paraId="7E412217"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w:t>
      </w:r>
      <w:proofErr w:type="spellStart"/>
      <w:r>
        <w:t>Parcell</w:t>
      </w:r>
      <w:proofErr w:type="spellEnd"/>
      <w:r>
        <w:t xml:space="preserve">, </w:t>
      </w:r>
      <w:proofErr w:type="spellStart"/>
      <w:r>
        <w:t>Exh</w:t>
      </w:r>
      <w:proofErr w:type="spellEnd"/>
      <w:r>
        <w:t xml:space="preserve">. DCP-1T at 31:2-4; Woolridge, </w:t>
      </w:r>
      <w:proofErr w:type="spellStart"/>
      <w:r>
        <w:t>Exh</w:t>
      </w:r>
      <w:proofErr w:type="spellEnd"/>
      <w:r>
        <w:t>. JRW-1T at 23:12-13.</w:t>
      </w:r>
    </w:p>
  </w:footnote>
  <w:footnote w:id="65">
    <w:p w14:paraId="23C5C165"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w:t>
      </w:r>
      <w:r>
        <w:rPr>
          <w:i/>
        </w:rPr>
        <w:t>generally</w:t>
      </w:r>
      <w:r>
        <w:t xml:space="preserve"> Gorman, </w:t>
      </w:r>
      <w:proofErr w:type="spellStart"/>
      <w:r>
        <w:t>Exh</w:t>
      </w:r>
      <w:proofErr w:type="spellEnd"/>
      <w:r>
        <w:t>. MPG-1T.</w:t>
      </w:r>
    </w:p>
  </w:footnote>
  <w:footnote w:id="66">
    <w:p w14:paraId="74990EE3"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w:t>
      </w:r>
      <w:proofErr w:type="spellStart"/>
      <w:r>
        <w:t>Parcell</w:t>
      </w:r>
      <w:proofErr w:type="spellEnd"/>
      <w:r>
        <w:t xml:space="preserve">, </w:t>
      </w:r>
      <w:proofErr w:type="spellStart"/>
      <w:r>
        <w:t>Exh</w:t>
      </w:r>
      <w:proofErr w:type="spellEnd"/>
      <w:r>
        <w:t xml:space="preserve">. DCP-1T at 31:2-4; Woolridge, </w:t>
      </w:r>
      <w:proofErr w:type="spellStart"/>
      <w:r>
        <w:t>Exh</w:t>
      </w:r>
      <w:proofErr w:type="spellEnd"/>
      <w:r>
        <w:t>. JRW-1T at 23:12-13.</w:t>
      </w:r>
    </w:p>
  </w:footnote>
  <w:footnote w:id="67">
    <w:p w14:paraId="2EDD1A72"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w:t>
      </w:r>
      <w:r>
        <w:rPr>
          <w:i/>
        </w:rPr>
        <w:t>generally</w:t>
      </w:r>
      <w:r>
        <w:t xml:space="preserve"> Gorman, </w:t>
      </w:r>
      <w:proofErr w:type="spellStart"/>
      <w:r>
        <w:t>Exh</w:t>
      </w:r>
      <w:proofErr w:type="spellEnd"/>
      <w:r>
        <w:t>. MPG-1T.</w:t>
      </w:r>
    </w:p>
  </w:footnote>
  <w:footnote w:id="68">
    <w:p w14:paraId="734C442E" w14:textId="77777777" w:rsidR="008111CE" w:rsidRDefault="008111CE" w:rsidP="00225175">
      <w:pPr>
        <w:pStyle w:val="FootnoteText"/>
        <w:keepLines/>
        <w:spacing w:before="60" w:after="60" w:line="240" w:lineRule="auto"/>
        <w:ind w:firstLine="360"/>
      </w:pPr>
      <w:r>
        <w:rPr>
          <w:rStyle w:val="FootnoteReference"/>
        </w:rPr>
        <w:footnoteRef/>
      </w:r>
      <w:r>
        <w:tab/>
      </w:r>
      <w:r>
        <w:rPr>
          <w:i/>
        </w:rPr>
        <w:t>See</w:t>
      </w:r>
      <w:r>
        <w:t xml:space="preserve"> Woolridge, </w:t>
      </w:r>
      <w:proofErr w:type="spellStart"/>
      <w:r>
        <w:t>Exh</w:t>
      </w:r>
      <w:proofErr w:type="spellEnd"/>
      <w:r>
        <w:t>. JRW-1T at 23:13-15.</w:t>
      </w:r>
    </w:p>
  </w:footnote>
  <w:footnote w:id="69">
    <w:p w14:paraId="4FE07E77" w14:textId="77777777" w:rsidR="008111CE" w:rsidRDefault="008111CE" w:rsidP="00225175">
      <w:pPr>
        <w:pStyle w:val="FootnoteText"/>
        <w:keepLines/>
        <w:spacing w:before="60" w:after="60" w:line="240" w:lineRule="auto"/>
        <w:ind w:firstLine="360"/>
      </w:pPr>
      <w:r>
        <w:rPr>
          <w:rStyle w:val="FootnoteReference"/>
        </w:rPr>
        <w:footnoteRef/>
      </w:r>
      <w:r>
        <w:tab/>
        <w:t xml:space="preserve">PSE provides these adjustments for illustrative purposes only to show the effects on Commission Staff’s proposed rate of return of the adjustments to the weighted short-term and long-term debt rates necessary to reflect commitment fees, the amortization of short-term issue costs, and the amortization of reacquired debt. For the reasons discussed elsewhere in this testimony and in the </w:t>
      </w:r>
      <w:proofErr w:type="spellStart"/>
      <w:r>
        <w:t>Prefiled</w:t>
      </w:r>
      <w:proofErr w:type="spellEnd"/>
      <w:r>
        <w:t xml:space="preserve"> Rebuttal Testimony of Dr. Roger A. Morin, </w:t>
      </w:r>
      <w:proofErr w:type="spellStart"/>
      <w:r>
        <w:t>Exh</w:t>
      </w:r>
      <w:proofErr w:type="spellEnd"/>
      <w:r>
        <w:t>. RAM-12T, Commission Staff’s proposed return on equity of 9.20 percent on a capital structure with an equity ratio of 48.0 percent is neither reasonable nor reflective of PSE’s cost of equity or capital structure.</w:t>
      </w:r>
    </w:p>
  </w:footnote>
  <w:footnote w:id="70">
    <w:p w14:paraId="72606854" w14:textId="77777777" w:rsidR="008111CE" w:rsidRDefault="008111CE" w:rsidP="002251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14:2.</w:t>
      </w:r>
    </w:p>
  </w:footnote>
  <w:footnote w:id="71">
    <w:p w14:paraId="778F5B31" w14:textId="77777777" w:rsidR="008111CE" w:rsidRDefault="008111CE" w:rsidP="00225175">
      <w:pPr>
        <w:pStyle w:val="FootnoteText"/>
        <w:keepLines/>
        <w:spacing w:before="60" w:after="60" w:line="240" w:lineRule="auto"/>
        <w:ind w:firstLine="360"/>
      </w:pPr>
      <w:r>
        <w:rPr>
          <w:rStyle w:val="FootnoteReference"/>
        </w:rPr>
        <w:footnoteRef/>
      </w:r>
      <w:r>
        <w:tab/>
      </w:r>
      <w:r w:rsidRPr="002E2394">
        <w:rPr>
          <w:i/>
        </w:rPr>
        <w:t>See</w:t>
      </w:r>
      <w:r>
        <w:t xml:space="preserve"> Doyle, </w:t>
      </w:r>
      <w:proofErr w:type="spellStart"/>
      <w:r>
        <w:t>Exh</w:t>
      </w:r>
      <w:proofErr w:type="spellEnd"/>
      <w:r>
        <w:t>. DAD-1T at 16:21 – 21:6.</w:t>
      </w:r>
    </w:p>
  </w:footnote>
  <w:footnote w:id="72">
    <w:p w14:paraId="51AA7098" w14:textId="77777777" w:rsidR="008111CE" w:rsidRDefault="008111CE" w:rsidP="00225175">
      <w:pPr>
        <w:pStyle w:val="FootnoteText"/>
        <w:keepLines/>
        <w:spacing w:before="60" w:after="60" w:line="240" w:lineRule="auto"/>
        <w:ind w:firstLine="360"/>
      </w:pPr>
      <w:r>
        <w:rPr>
          <w:rStyle w:val="FootnoteReference"/>
        </w:rPr>
        <w:footnoteRef/>
      </w:r>
      <w:r>
        <w:tab/>
      </w:r>
      <w:r w:rsidRPr="00B72928">
        <w:rPr>
          <w:i/>
        </w:rPr>
        <w:t>See generally</w:t>
      </w:r>
      <w:r>
        <w:t xml:space="preserve"> Schooley, </w:t>
      </w:r>
      <w:proofErr w:type="spellStart"/>
      <w:r>
        <w:t>Exh</w:t>
      </w:r>
      <w:proofErr w:type="spellEnd"/>
      <w:r>
        <w:t>. TES-1T at 14:1 – 15:17.</w:t>
      </w:r>
    </w:p>
  </w:footnote>
  <w:footnote w:id="73">
    <w:p w14:paraId="12AE528F" w14:textId="77777777" w:rsidR="008111CE" w:rsidRDefault="008111CE" w:rsidP="00225175">
      <w:pPr>
        <w:pStyle w:val="FootnoteText"/>
        <w:keepLines/>
        <w:spacing w:before="60" w:after="60" w:line="240" w:lineRule="auto"/>
        <w:ind w:firstLine="360"/>
      </w:pPr>
      <w:r>
        <w:rPr>
          <w:rStyle w:val="FootnoteReference"/>
        </w:rPr>
        <w:footnoteRef/>
      </w:r>
      <w:r>
        <w:tab/>
      </w:r>
      <w:r w:rsidRPr="00B72928">
        <w:rPr>
          <w:i/>
        </w:rPr>
        <w:t>See generally</w:t>
      </w:r>
      <w:r>
        <w:t xml:space="preserve"> Liu, </w:t>
      </w:r>
      <w:proofErr w:type="spellStart"/>
      <w:r>
        <w:t>Exh</w:t>
      </w:r>
      <w:proofErr w:type="spellEnd"/>
      <w:r>
        <w:t>. JL-1CT at 4:1 – 23:4.</w:t>
      </w:r>
    </w:p>
  </w:footnote>
  <w:footnote w:id="74">
    <w:p w14:paraId="44A1FB89" w14:textId="77777777" w:rsidR="008111CE" w:rsidRDefault="008111CE" w:rsidP="00225175">
      <w:pPr>
        <w:pStyle w:val="FootnoteText"/>
        <w:keepLines/>
        <w:spacing w:before="60" w:after="60" w:line="240" w:lineRule="auto"/>
        <w:ind w:firstLine="360"/>
      </w:pPr>
      <w:r>
        <w:rPr>
          <w:rStyle w:val="FootnoteReference"/>
        </w:rPr>
        <w:footnoteRef/>
      </w:r>
      <w:r>
        <w:tab/>
      </w:r>
      <w:r w:rsidRPr="00B72928">
        <w:rPr>
          <w:i/>
        </w:rPr>
        <w:t>See generally</w:t>
      </w:r>
      <w:r>
        <w:t xml:space="preserve"> Gorman, </w:t>
      </w:r>
      <w:proofErr w:type="spellStart"/>
      <w:r>
        <w:t>Exh</w:t>
      </w:r>
      <w:proofErr w:type="spellEnd"/>
      <w:r>
        <w:t>. MPG-1CT at 34:10 – 35:20.</w:t>
      </w:r>
    </w:p>
  </w:footnote>
  <w:footnote w:id="75">
    <w:p w14:paraId="153B8A78" w14:textId="77777777" w:rsidR="008111CE" w:rsidRDefault="008111CE" w:rsidP="00225175">
      <w:pPr>
        <w:pStyle w:val="FootnoteText"/>
        <w:keepLines/>
        <w:spacing w:before="60" w:after="60" w:line="240" w:lineRule="auto"/>
        <w:ind w:firstLine="360"/>
      </w:pPr>
      <w:r>
        <w:rPr>
          <w:rStyle w:val="FootnoteReference"/>
        </w:rPr>
        <w:footnoteRef/>
      </w:r>
      <w:r>
        <w:tab/>
        <w:t xml:space="preserve">Doyle, </w:t>
      </w:r>
      <w:proofErr w:type="spellStart"/>
      <w:r>
        <w:t>Exh</w:t>
      </w:r>
      <w:proofErr w:type="spellEnd"/>
      <w:r>
        <w:t>. DAD-1T at 16:11-20.</w:t>
      </w:r>
    </w:p>
  </w:footnote>
  <w:footnote w:id="76">
    <w:p w14:paraId="26D3C20A" w14:textId="6E660801" w:rsidR="00D91C75" w:rsidRDefault="00D91C75" w:rsidP="00D91C75">
      <w:pPr>
        <w:pStyle w:val="FootnoteText"/>
        <w:keepLines/>
        <w:spacing w:before="60" w:after="60" w:line="240" w:lineRule="auto"/>
        <w:ind w:firstLine="360"/>
      </w:pPr>
      <w:r>
        <w:rPr>
          <w:rStyle w:val="FootnoteReference"/>
        </w:rPr>
        <w:footnoteRef/>
      </w:r>
      <w:r>
        <w:tab/>
        <w:t xml:space="preserve">Schooley, </w:t>
      </w:r>
      <w:proofErr w:type="spellStart"/>
      <w:r>
        <w:t>Exh</w:t>
      </w:r>
      <w:proofErr w:type="spellEnd"/>
      <w:r>
        <w:t>. TES-1T at 14:22 – 15:3 (italics in original).</w:t>
      </w:r>
    </w:p>
  </w:footnote>
  <w:footnote w:id="77">
    <w:p w14:paraId="283BCCF3" w14:textId="77777777" w:rsidR="008111CE" w:rsidRDefault="008111CE" w:rsidP="00225175">
      <w:pPr>
        <w:pStyle w:val="FootnoteText"/>
        <w:keepLines/>
        <w:spacing w:before="60" w:after="60" w:line="240" w:lineRule="auto"/>
        <w:ind w:firstLine="360"/>
      </w:pPr>
      <w:r>
        <w:rPr>
          <w:rStyle w:val="FootnoteReference"/>
        </w:rPr>
        <w:footnoteRef/>
      </w:r>
      <w:r>
        <w:tab/>
        <w:t xml:space="preserve">Liu, </w:t>
      </w:r>
      <w:proofErr w:type="spellStart"/>
      <w:r>
        <w:t>Exh</w:t>
      </w:r>
      <w:proofErr w:type="spellEnd"/>
      <w:r>
        <w:t>. JL-1CT at 61:2-3.</w:t>
      </w:r>
    </w:p>
  </w:footnote>
  <w:footnote w:id="78">
    <w:p w14:paraId="19325854"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t>Brosch</w:t>
      </w:r>
      <w:proofErr w:type="spellEnd"/>
      <w:r>
        <w:t xml:space="preserve">, </w:t>
      </w:r>
      <w:proofErr w:type="spellStart"/>
      <w:r>
        <w:t>Exh</w:t>
      </w:r>
      <w:proofErr w:type="spellEnd"/>
      <w:r>
        <w:t>. </w:t>
      </w:r>
      <w:r w:rsidRPr="00E57334">
        <w:t>MLB-1T</w:t>
      </w:r>
      <w:r>
        <w:t xml:space="preserve"> at 51:20-21.</w:t>
      </w:r>
    </w:p>
  </w:footnote>
  <w:footnote w:id="79">
    <w:p w14:paraId="3B733E05" w14:textId="77777777" w:rsidR="008111CE" w:rsidRDefault="008111CE" w:rsidP="00225175">
      <w:pPr>
        <w:pStyle w:val="FootnoteText"/>
        <w:keepLines/>
        <w:spacing w:before="60" w:after="60" w:line="240" w:lineRule="auto"/>
        <w:ind w:firstLine="360"/>
      </w:pPr>
      <w:r>
        <w:rPr>
          <w:rStyle w:val="FootnoteReference"/>
        </w:rPr>
        <w:footnoteRef/>
      </w:r>
      <w:r>
        <w:tab/>
        <w:t xml:space="preserve">Gorman, </w:t>
      </w:r>
      <w:proofErr w:type="spellStart"/>
      <w:r>
        <w:t>Exh</w:t>
      </w:r>
      <w:proofErr w:type="spellEnd"/>
      <w:r>
        <w:t>. MPG-1T at 34:24 – 35:2.</w:t>
      </w:r>
    </w:p>
  </w:footnote>
  <w:footnote w:id="80">
    <w:p w14:paraId="4F1F25CD" w14:textId="77777777" w:rsidR="008111CE" w:rsidRDefault="008111CE" w:rsidP="00225175">
      <w:pPr>
        <w:pStyle w:val="FootnoteText"/>
        <w:keepLines/>
        <w:spacing w:before="60" w:after="60" w:line="240" w:lineRule="auto"/>
        <w:ind w:firstLine="360"/>
      </w:pPr>
      <w:r>
        <w:rPr>
          <w:rStyle w:val="FootnoteReference"/>
        </w:rPr>
        <w:footnoteRef/>
      </w:r>
      <w:r>
        <w:tab/>
      </w:r>
      <w:r w:rsidRPr="00E57334">
        <w:rPr>
          <w:i/>
        </w:rPr>
        <w:t>See</w:t>
      </w:r>
      <w:r>
        <w:t xml:space="preserve"> Higgins, </w:t>
      </w:r>
      <w:proofErr w:type="spellStart"/>
      <w:r>
        <w:t>Exh</w:t>
      </w:r>
      <w:proofErr w:type="spellEnd"/>
      <w:r>
        <w:t>. KCH-1T, at 16:17 – 17:5.</w:t>
      </w:r>
    </w:p>
  </w:footnote>
  <w:footnote w:id="81">
    <w:p w14:paraId="78F9F718" w14:textId="77777777" w:rsidR="008111CE" w:rsidRDefault="008111CE" w:rsidP="00225175">
      <w:pPr>
        <w:pStyle w:val="FootnoteText"/>
        <w:keepLines/>
        <w:spacing w:before="60" w:after="60" w:line="240" w:lineRule="auto"/>
        <w:ind w:firstLine="360"/>
      </w:pPr>
      <w:r>
        <w:rPr>
          <w:rStyle w:val="FootnoteReference"/>
        </w:rPr>
        <w:footnoteRef/>
      </w:r>
      <w:r>
        <w:tab/>
      </w:r>
      <w:r w:rsidRPr="003A09A1">
        <w:rPr>
          <w:i/>
        </w:rPr>
        <w:t xml:space="preserve">Wash. </w:t>
      </w:r>
      <w:proofErr w:type="spellStart"/>
      <w:r w:rsidRPr="003A09A1">
        <w:rPr>
          <w:i/>
        </w:rPr>
        <w:t>Utils</w:t>
      </w:r>
      <w:proofErr w:type="spellEnd"/>
      <w:r w:rsidRPr="003A09A1">
        <w:rPr>
          <w:i/>
        </w:rPr>
        <w:t>.</w:t>
      </w:r>
      <w:r>
        <w:rPr>
          <w:i/>
        </w:rPr>
        <w:t> </w:t>
      </w:r>
      <w:r w:rsidRPr="003A09A1">
        <w:rPr>
          <w:i/>
        </w:rPr>
        <w:t xml:space="preserve">&amp; Transp. </w:t>
      </w:r>
      <w:proofErr w:type="spellStart"/>
      <w:r w:rsidRPr="003A09A1">
        <w:rPr>
          <w:i/>
        </w:rPr>
        <w:t>Comm’n</w:t>
      </w:r>
      <w:proofErr w:type="spellEnd"/>
      <w:r>
        <w:rPr>
          <w:i/>
        </w:rPr>
        <w:t> </w:t>
      </w:r>
      <w:r w:rsidRPr="003A09A1">
        <w:rPr>
          <w:i/>
        </w:rPr>
        <w:t>v. Puget Sound Energy, Inc.</w:t>
      </w:r>
      <w:r w:rsidRPr="003A09A1">
        <w:t>, Dockets UE-121697, UG-121705, UE-130137, and UG-130138, Order 07 (Jun. 25, 2013) (the “2013 Decoupling Order”).</w:t>
      </w:r>
    </w:p>
  </w:footnote>
  <w:footnote w:id="82">
    <w:p w14:paraId="28895AD1" w14:textId="77777777" w:rsidR="008111CE" w:rsidRDefault="008111CE" w:rsidP="00225175">
      <w:pPr>
        <w:pStyle w:val="FootnoteText"/>
        <w:keepLines/>
        <w:spacing w:before="60" w:after="60" w:line="240" w:lineRule="auto"/>
        <w:ind w:firstLine="360"/>
      </w:pPr>
      <w:r>
        <w:rPr>
          <w:rStyle w:val="FootnoteReference"/>
        </w:rPr>
        <w:footnoteRef/>
      </w:r>
      <w:r>
        <w:tab/>
        <w:t xml:space="preserve">Liu, </w:t>
      </w:r>
      <w:proofErr w:type="spellStart"/>
      <w:r>
        <w:t>Exh</w:t>
      </w:r>
      <w:proofErr w:type="spellEnd"/>
      <w:r>
        <w:t>. JL-1CT at 60:13-16.</w:t>
      </w:r>
    </w:p>
  </w:footnote>
  <w:footnote w:id="83">
    <w:p w14:paraId="386DCA95" w14:textId="77777777" w:rsidR="008111CE" w:rsidRDefault="008111CE" w:rsidP="00225175">
      <w:pPr>
        <w:pStyle w:val="FootnoteText"/>
        <w:keepLines/>
        <w:spacing w:before="60" w:after="60" w:line="240" w:lineRule="auto"/>
        <w:ind w:firstLine="360"/>
      </w:pPr>
      <w:r>
        <w:rPr>
          <w:rStyle w:val="FootnoteReference"/>
        </w:rPr>
        <w:footnoteRef/>
      </w:r>
      <w:r>
        <w:tab/>
        <w:t xml:space="preserve">Liu, </w:t>
      </w:r>
      <w:proofErr w:type="spellStart"/>
      <w:r>
        <w:t>Exh</w:t>
      </w:r>
      <w:proofErr w:type="spellEnd"/>
      <w:r>
        <w:t>. JL-1CT at 60:18.</w:t>
      </w:r>
    </w:p>
  </w:footnote>
  <w:footnote w:id="84">
    <w:p w14:paraId="67019AFB" w14:textId="77777777" w:rsidR="008111CE" w:rsidRDefault="008111CE" w:rsidP="00225175">
      <w:pPr>
        <w:pStyle w:val="FootnoteText"/>
        <w:keepLines/>
        <w:spacing w:before="60" w:after="60" w:line="240" w:lineRule="auto"/>
        <w:ind w:firstLine="360"/>
      </w:pPr>
      <w:r>
        <w:rPr>
          <w:rStyle w:val="FootnoteReference"/>
        </w:rPr>
        <w:footnoteRef/>
      </w:r>
      <w:r>
        <w:tab/>
        <w:t xml:space="preserve">Liu, </w:t>
      </w:r>
      <w:proofErr w:type="spellStart"/>
      <w:r>
        <w:t>Exh</w:t>
      </w:r>
      <w:proofErr w:type="spellEnd"/>
      <w:r>
        <w:t>. JL-1CT at 60:19-20.</w:t>
      </w:r>
    </w:p>
  </w:footnote>
  <w:footnote w:id="85">
    <w:p w14:paraId="43A37BC1"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rsidRPr="007738C3">
        <w:t>Brosch</w:t>
      </w:r>
      <w:proofErr w:type="spellEnd"/>
      <w:r w:rsidRPr="007738C3">
        <w:t xml:space="preserve">, </w:t>
      </w:r>
      <w:proofErr w:type="spellStart"/>
      <w:r w:rsidRPr="007738C3">
        <w:t>Exh</w:t>
      </w:r>
      <w:proofErr w:type="spellEnd"/>
      <w:r w:rsidRPr="007738C3">
        <w:t>.</w:t>
      </w:r>
      <w:r>
        <w:t> </w:t>
      </w:r>
      <w:r w:rsidRPr="007738C3">
        <w:t>MLB-1T</w:t>
      </w:r>
      <w:r>
        <w:t xml:space="preserve"> </w:t>
      </w:r>
      <w:r w:rsidRPr="007738C3">
        <w:t>at 50</w:t>
      </w:r>
      <w:r>
        <w:t>:</w:t>
      </w:r>
      <w:r w:rsidRPr="007738C3">
        <w:t>12-14</w:t>
      </w:r>
      <w:r>
        <w:t>.</w:t>
      </w:r>
    </w:p>
  </w:footnote>
  <w:footnote w:id="86">
    <w:p w14:paraId="71CF7C84"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rsidRPr="007738C3">
        <w:t>Brosch</w:t>
      </w:r>
      <w:proofErr w:type="spellEnd"/>
      <w:r w:rsidRPr="007738C3">
        <w:t xml:space="preserve">, </w:t>
      </w:r>
      <w:proofErr w:type="spellStart"/>
      <w:r w:rsidRPr="007738C3">
        <w:t>Exh</w:t>
      </w:r>
      <w:proofErr w:type="spellEnd"/>
      <w:r w:rsidRPr="007738C3">
        <w:t>.</w:t>
      </w:r>
      <w:r>
        <w:t> </w:t>
      </w:r>
      <w:r w:rsidRPr="007738C3">
        <w:t>MLB-1T</w:t>
      </w:r>
      <w:r>
        <w:t xml:space="preserve"> </w:t>
      </w:r>
      <w:r w:rsidRPr="007738C3">
        <w:t>at 50</w:t>
      </w:r>
      <w:r>
        <w:t>:14</w:t>
      </w:r>
      <w:r w:rsidRPr="007738C3">
        <w:t>-</w:t>
      </w:r>
      <w:r>
        <w:t>2</w:t>
      </w:r>
      <w:r w:rsidRPr="007738C3">
        <w:t>1</w:t>
      </w:r>
      <w:r>
        <w:t>.</w:t>
      </w:r>
    </w:p>
  </w:footnote>
  <w:footnote w:id="87">
    <w:p w14:paraId="3FE8D940" w14:textId="77777777" w:rsidR="008111CE" w:rsidRDefault="008111CE" w:rsidP="00225175">
      <w:pPr>
        <w:pStyle w:val="FootnoteText"/>
        <w:keepLines/>
        <w:spacing w:before="60" w:after="60" w:line="240" w:lineRule="auto"/>
        <w:ind w:firstLine="360"/>
      </w:pPr>
      <w:r>
        <w:rPr>
          <w:rStyle w:val="FootnoteReference"/>
        </w:rPr>
        <w:footnoteRef/>
      </w:r>
      <w:r>
        <w:tab/>
      </w:r>
      <w:proofErr w:type="spellStart"/>
      <w:r w:rsidRPr="007738C3">
        <w:t>Brosch</w:t>
      </w:r>
      <w:proofErr w:type="spellEnd"/>
      <w:r w:rsidRPr="007738C3">
        <w:t xml:space="preserve">, </w:t>
      </w:r>
      <w:proofErr w:type="spellStart"/>
      <w:r w:rsidRPr="007738C3">
        <w:t>Exh</w:t>
      </w:r>
      <w:proofErr w:type="spellEnd"/>
      <w:r w:rsidRPr="007738C3">
        <w:t>.</w:t>
      </w:r>
      <w:r>
        <w:t> </w:t>
      </w:r>
      <w:r w:rsidRPr="007738C3">
        <w:t>MLB-1T</w:t>
      </w:r>
      <w:r>
        <w:t xml:space="preserve"> </w:t>
      </w:r>
      <w:r w:rsidRPr="007738C3">
        <w:t xml:space="preserve">at </w:t>
      </w:r>
      <w:r>
        <w:t>50:22 – 51:3.</w:t>
      </w:r>
    </w:p>
  </w:footnote>
  <w:footnote w:id="88">
    <w:p w14:paraId="62E34B7B" w14:textId="77777777" w:rsidR="008111CE" w:rsidRDefault="008111CE" w:rsidP="00225175">
      <w:pPr>
        <w:pStyle w:val="FootnoteText"/>
        <w:keepLines/>
        <w:spacing w:before="60" w:after="60" w:line="240" w:lineRule="auto"/>
        <w:ind w:firstLine="360"/>
      </w:pPr>
      <w:r>
        <w:rPr>
          <w:rStyle w:val="FootnoteReference"/>
        </w:rPr>
        <w:footnoteRef/>
      </w:r>
      <w:r>
        <w:tab/>
      </w:r>
      <w:r w:rsidRPr="007634E0">
        <w:t>2013 Decoupling Order</w:t>
      </w:r>
      <w:r>
        <w:t xml:space="preserve"> at ¶¶ 164-65.</w:t>
      </w:r>
    </w:p>
  </w:footnote>
  <w:footnote w:id="89">
    <w:p w14:paraId="44D3A8B7" w14:textId="77777777" w:rsidR="008111CE" w:rsidRDefault="008111CE" w:rsidP="00225175">
      <w:pPr>
        <w:pStyle w:val="FootnoteText"/>
        <w:keepLines/>
        <w:spacing w:before="60" w:after="60" w:line="240" w:lineRule="auto"/>
        <w:ind w:firstLine="360"/>
      </w:pPr>
      <w:r>
        <w:rPr>
          <w:rStyle w:val="FootnoteReference"/>
        </w:rPr>
        <w:footnoteRef/>
      </w:r>
      <w:r>
        <w:tab/>
        <w:t xml:space="preserve">Higgins, </w:t>
      </w:r>
      <w:proofErr w:type="spellStart"/>
      <w:r>
        <w:t>Exh</w:t>
      </w:r>
      <w:proofErr w:type="spellEnd"/>
      <w:r>
        <w:t>. KCH-1T at 16:19 – 17:1.</w:t>
      </w:r>
    </w:p>
  </w:footnote>
  <w:footnote w:id="90">
    <w:p w14:paraId="06FC5810" w14:textId="77777777" w:rsidR="008111CE" w:rsidRDefault="008111CE" w:rsidP="00225175">
      <w:pPr>
        <w:pStyle w:val="FootnoteText"/>
        <w:keepLines/>
        <w:spacing w:before="60" w:after="60" w:line="240" w:lineRule="auto"/>
        <w:ind w:firstLine="360"/>
      </w:pPr>
      <w:r>
        <w:rPr>
          <w:rStyle w:val="FootnoteReference"/>
        </w:rPr>
        <w:footnoteRef/>
      </w:r>
      <w:r>
        <w:tab/>
      </w:r>
      <w:r w:rsidRPr="003A09A1">
        <w:rPr>
          <w:i/>
        </w:rPr>
        <w:t xml:space="preserve">Wash. </w:t>
      </w:r>
      <w:proofErr w:type="spellStart"/>
      <w:r w:rsidRPr="003A09A1">
        <w:rPr>
          <w:i/>
        </w:rPr>
        <w:t>Utils</w:t>
      </w:r>
      <w:proofErr w:type="spellEnd"/>
      <w:r w:rsidRPr="003A09A1">
        <w:rPr>
          <w:i/>
        </w:rPr>
        <w:t xml:space="preserve">. &amp; Transp. </w:t>
      </w:r>
      <w:proofErr w:type="spellStart"/>
      <w:r w:rsidRPr="003A09A1">
        <w:rPr>
          <w:i/>
        </w:rPr>
        <w:t>Comm’n</w:t>
      </w:r>
      <w:proofErr w:type="spellEnd"/>
      <w:r w:rsidRPr="003A09A1">
        <w:rPr>
          <w:i/>
        </w:rPr>
        <w:t xml:space="preserve"> v. Puget Sound Energy, Inc.</w:t>
      </w:r>
      <w:r w:rsidRPr="003A09A1">
        <w:t>, Dockets UE-121697, UG-121705, UE-130137, and UG-130138, Order</w:t>
      </w:r>
      <w:r>
        <w:t> 15/14 at ¶ 156 (Ju</w:t>
      </w:r>
      <w:r w:rsidRPr="00063EC9">
        <w:t>ne</w:t>
      </w:r>
      <w:r>
        <w:t> </w:t>
      </w:r>
      <w:r w:rsidRPr="00063EC9">
        <w:t>29, 2015</w:t>
      </w:r>
      <w:r>
        <w:t>).</w:t>
      </w:r>
    </w:p>
  </w:footnote>
  <w:footnote w:id="91">
    <w:p w14:paraId="19CB20A7" w14:textId="77777777" w:rsidR="008111CE" w:rsidRDefault="008111CE" w:rsidP="00225175">
      <w:pPr>
        <w:pStyle w:val="FootnoteText"/>
        <w:keepLines/>
        <w:spacing w:before="60" w:after="60" w:line="240" w:lineRule="auto"/>
        <w:ind w:firstLine="360"/>
      </w:pPr>
      <w:r>
        <w:rPr>
          <w:rStyle w:val="FootnoteReference"/>
        </w:rPr>
        <w:footnoteRef/>
      </w:r>
      <w:r>
        <w:tab/>
      </w:r>
      <w:r w:rsidRPr="002434AD">
        <w:t xml:space="preserve">Gorman, </w:t>
      </w:r>
      <w:proofErr w:type="spellStart"/>
      <w:r w:rsidRPr="002434AD">
        <w:t>Exh</w:t>
      </w:r>
      <w:proofErr w:type="spellEnd"/>
      <w:r w:rsidRPr="002434AD">
        <w:t>.</w:t>
      </w:r>
      <w:r>
        <w:t> </w:t>
      </w:r>
      <w:r w:rsidRPr="002434AD">
        <w:t>MPG-1T</w:t>
      </w:r>
      <w:r>
        <w:t xml:space="preserve"> </w:t>
      </w:r>
      <w:r w:rsidRPr="002434AD">
        <w:t>at 34</w:t>
      </w:r>
      <w:r>
        <w:t>:</w:t>
      </w:r>
      <w:r w:rsidRPr="002434AD">
        <w:t>23</w:t>
      </w:r>
      <w:r>
        <w:t> – </w:t>
      </w:r>
      <w:r w:rsidRPr="002434AD">
        <w:t>35</w:t>
      </w:r>
      <w:r>
        <w:t>:</w:t>
      </w:r>
      <w:r w:rsidRPr="002434AD">
        <w:t>2.</w:t>
      </w:r>
    </w:p>
  </w:footnote>
  <w:footnote w:id="92">
    <w:p w14:paraId="20B05B0C" w14:textId="77777777" w:rsidR="008111CE" w:rsidRDefault="008111CE" w:rsidP="00225175">
      <w:pPr>
        <w:pStyle w:val="FootnoteText"/>
        <w:keepLines/>
        <w:spacing w:before="60" w:after="60" w:line="240" w:lineRule="auto"/>
        <w:ind w:firstLine="360"/>
      </w:pPr>
      <w:r>
        <w:rPr>
          <w:rStyle w:val="FootnoteReference"/>
        </w:rPr>
        <w:footnoteRef/>
      </w:r>
      <w:r>
        <w:tab/>
      </w:r>
      <w:r w:rsidRPr="002434AD">
        <w:t xml:space="preserve">Gorman, </w:t>
      </w:r>
      <w:proofErr w:type="spellStart"/>
      <w:r w:rsidRPr="002434AD">
        <w:t>Exh</w:t>
      </w:r>
      <w:proofErr w:type="spellEnd"/>
      <w:r w:rsidRPr="002434AD">
        <w:t>.</w:t>
      </w:r>
      <w:r>
        <w:t> </w:t>
      </w:r>
      <w:r w:rsidRPr="002434AD">
        <w:t>MPG-1T</w:t>
      </w:r>
      <w:r>
        <w:t xml:space="preserve"> </w:t>
      </w:r>
      <w:r w:rsidRPr="002434AD">
        <w:t>at 35</w:t>
      </w:r>
      <w:r>
        <w:t>:3-10</w:t>
      </w:r>
      <w:r w:rsidRPr="002434AD">
        <w:t>.</w:t>
      </w:r>
    </w:p>
  </w:footnote>
  <w:footnote w:id="93">
    <w:p w14:paraId="28A18D90" w14:textId="3ED5D214" w:rsidR="008111CE" w:rsidRDefault="008111CE" w:rsidP="00225175">
      <w:pPr>
        <w:pStyle w:val="FootnoteText"/>
        <w:spacing w:before="60" w:after="60" w:line="240" w:lineRule="auto"/>
        <w:ind w:firstLine="360"/>
      </w:pPr>
      <w:r>
        <w:rPr>
          <w:rStyle w:val="FootnoteReference"/>
        </w:rPr>
        <w:footnoteRef/>
      </w:r>
      <w:r>
        <w:tab/>
        <w:t xml:space="preserve">Liu, </w:t>
      </w:r>
      <w:proofErr w:type="spellStart"/>
      <w:r>
        <w:t>Exh</w:t>
      </w:r>
      <w:proofErr w:type="spellEnd"/>
      <w:r>
        <w:t>. JL-1CT at 64:1-4.</w:t>
      </w:r>
    </w:p>
  </w:footnote>
  <w:footnote w:id="94">
    <w:p w14:paraId="58C09B9D" w14:textId="77777777" w:rsidR="008111CE" w:rsidRDefault="008111CE" w:rsidP="00225175">
      <w:pPr>
        <w:pStyle w:val="FootnoteText"/>
        <w:spacing w:before="60" w:after="60" w:line="240" w:lineRule="auto"/>
        <w:ind w:firstLine="360"/>
      </w:pPr>
      <w:r>
        <w:rPr>
          <w:rStyle w:val="FootnoteReference"/>
        </w:rPr>
        <w:footnoteRef/>
      </w:r>
      <w:r>
        <w:tab/>
      </w:r>
      <w:proofErr w:type="spellStart"/>
      <w:r>
        <w:t>Brosch</w:t>
      </w:r>
      <w:proofErr w:type="spellEnd"/>
      <w:r>
        <w:t xml:space="preserve">, </w:t>
      </w:r>
      <w:proofErr w:type="spellStart"/>
      <w:r>
        <w:t>Exh</w:t>
      </w:r>
      <w:proofErr w:type="spellEnd"/>
      <w:r>
        <w:t xml:space="preserve">. MLB-1T at 46:7-8. Higgins, </w:t>
      </w:r>
      <w:proofErr w:type="spellStart"/>
      <w:r>
        <w:t>Exh</w:t>
      </w:r>
      <w:proofErr w:type="spellEnd"/>
      <w:r>
        <w:t xml:space="preserve">. KCH-1T at 17:11-15. Al-Jabir, </w:t>
      </w:r>
      <w:proofErr w:type="spellStart"/>
      <w:r>
        <w:t>Exh</w:t>
      </w:r>
      <w:proofErr w:type="spellEnd"/>
      <w:r>
        <w:t>. AZA-1T at 16:12-18.</w:t>
      </w:r>
    </w:p>
  </w:footnote>
  <w:footnote w:id="95">
    <w:p w14:paraId="701EA8C1" w14:textId="77777777" w:rsidR="008111CE" w:rsidRDefault="008111CE" w:rsidP="00225175">
      <w:pPr>
        <w:pStyle w:val="FootnoteText"/>
        <w:spacing w:before="60" w:after="60" w:line="240" w:lineRule="auto"/>
        <w:ind w:firstLine="360"/>
      </w:pPr>
      <w:r>
        <w:rPr>
          <w:rStyle w:val="FootnoteReference"/>
        </w:rPr>
        <w:footnoteRef/>
      </w:r>
      <w:r>
        <w:tab/>
        <w:t xml:space="preserve">Al-Jabir, </w:t>
      </w:r>
      <w:proofErr w:type="spellStart"/>
      <w:r>
        <w:t>Exh</w:t>
      </w:r>
      <w:proofErr w:type="spellEnd"/>
      <w:r>
        <w:t>. AZA-1T at 17:6-15.</w:t>
      </w:r>
    </w:p>
  </w:footnote>
  <w:footnote w:id="96">
    <w:p w14:paraId="633CE255" w14:textId="77777777" w:rsidR="008111CE" w:rsidRDefault="008111CE" w:rsidP="00225175">
      <w:pPr>
        <w:pStyle w:val="FootnoteText"/>
        <w:spacing w:before="60" w:after="60" w:line="240" w:lineRule="auto"/>
        <w:ind w:firstLine="360"/>
      </w:pPr>
      <w:r>
        <w:rPr>
          <w:rStyle w:val="FootnoteReference"/>
        </w:rPr>
        <w:footnoteRef/>
      </w:r>
      <w:r>
        <w:tab/>
        <w:t xml:space="preserve">Levin, </w:t>
      </w:r>
      <w:proofErr w:type="spellStart"/>
      <w:r>
        <w:t>Exh</w:t>
      </w:r>
      <w:proofErr w:type="spellEnd"/>
      <w:r>
        <w:t>. AML-1T at 24:17-21.</w:t>
      </w:r>
    </w:p>
  </w:footnote>
  <w:footnote w:id="97">
    <w:p w14:paraId="31C3B836" w14:textId="77777777" w:rsidR="008111CE" w:rsidRDefault="008111CE" w:rsidP="00225175">
      <w:pPr>
        <w:pStyle w:val="FootnoteText"/>
        <w:spacing w:before="60" w:after="60" w:line="240" w:lineRule="auto"/>
        <w:ind w:firstLine="360"/>
      </w:pPr>
      <w:r>
        <w:rPr>
          <w:rStyle w:val="FootnoteReference"/>
        </w:rPr>
        <w:footnoteRef/>
      </w:r>
      <w:r>
        <w:tab/>
      </w:r>
      <w:r w:rsidRPr="002953F7">
        <w:rPr>
          <w:i/>
        </w:rPr>
        <w:t>Id.</w:t>
      </w:r>
      <w:r>
        <w:t xml:space="preserve"> at 25:21-26:2.</w:t>
      </w:r>
    </w:p>
  </w:footnote>
  <w:footnote w:id="98">
    <w:p w14:paraId="3C7EC795" w14:textId="77777777" w:rsidR="008111CE" w:rsidRDefault="008111CE" w:rsidP="00225175">
      <w:pPr>
        <w:pStyle w:val="FootnoteText"/>
        <w:spacing w:before="60" w:after="60" w:line="240" w:lineRule="auto"/>
        <w:ind w:firstLine="360"/>
      </w:pPr>
      <w:r>
        <w:rPr>
          <w:rStyle w:val="FootnoteReference"/>
        </w:rPr>
        <w:footnoteRef/>
      </w:r>
      <w:r>
        <w:tab/>
        <w:t xml:space="preserve">Collins, </w:t>
      </w:r>
      <w:proofErr w:type="spellStart"/>
      <w:r>
        <w:t>Exh</w:t>
      </w:r>
      <w:proofErr w:type="spellEnd"/>
      <w:r>
        <w:t>. SMC-1T at 27.</w:t>
      </w:r>
    </w:p>
  </w:footnote>
  <w:footnote w:id="99">
    <w:p w14:paraId="66BB8268" w14:textId="77777777" w:rsidR="008111CE" w:rsidRDefault="008111CE" w:rsidP="00225175">
      <w:pPr>
        <w:pStyle w:val="FootnoteText"/>
        <w:spacing w:before="60" w:after="60" w:line="240" w:lineRule="auto"/>
        <w:ind w:firstLine="360"/>
      </w:pPr>
      <w:r>
        <w:rPr>
          <w:rStyle w:val="FootnoteReference"/>
        </w:rPr>
        <w:footnoteRef/>
      </w:r>
      <w:r>
        <w:tab/>
        <w:t xml:space="preserve">Liu, </w:t>
      </w:r>
      <w:proofErr w:type="spellStart"/>
      <w:r>
        <w:t>Exh</w:t>
      </w:r>
      <w:proofErr w:type="spellEnd"/>
      <w:r>
        <w:t>. JL-1CT at 64:3-4.</w:t>
      </w:r>
    </w:p>
  </w:footnote>
  <w:footnote w:id="100">
    <w:p w14:paraId="4286C378" w14:textId="77777777" w:rsidR="008111CE" w:rsidRDefault="008111CE" w:rsidP="00225175">
      <w:pPr>
        <w:pStyle w:val="FootnoteText"/>
        <w:spacing w:before="60" w:after="60" w:line="240" w:lineRule="auto"/>
        <w:ind w:firstLine="360"/>
      </w:pPr>
      <w:r>
        <w:rPr>
          <w:rStyle w:val="FootnoteReference"/>
        </w:rPr>
        <w:footnoteRef/>
      </w:r>
      <w:r>
        <w:tab/>
        <w:t xml:space="preserve">Liu, </w:t>
      </w:r>
      <w:proofErr w:type="spellStart"/>
      <w:r>
        <w:t>Exh</w:t>
      </w:r>
      <w:proofErr w:type="spellEnd"/>
      <w:r>
        <w:t>. JL-1CT at 49:1-8.</w:t>
      </w:r>
    </w:p>
  </w:footnote>
  <w:footnote w:id="101">
    <w:p w14:paraId="4705BDD1" w14:textId="77777777" w:rsidR="008111CE" w:rsidRDefault="008111CE" w:rsidP="00225175">
      <w:pPr>
        <w:pStyle w:val="FootnoteText"/>
        <w:spacing w:before="60" w:after="60" w:line="240" w:lineRule="auto"/>
        <w:ind w:firstLine="360"/>
      </w:pPr>
      <w:r>
        <w:rPr>
          <w:rStyle w:val="FootnoteReference"/>
        </w:rPr>
        <w:footnoteRef/>
      </w:r>
      <w:r>
        <w:tab/>
      </w:r>
      <w:proofErr w:type="spellStart"/>
      <w:r>
        <w:t>Brosch</w:t>
      </w:r>
      <w:proofErr w:type="spellEnd"/>
      <w:r>
        <w:t xml:space="preserve">, </w:t>
      </w:r>
      <w:proofErr w:type="spellStart"/>
      <w:r>
        <w:t>Exh</w:t>
      </w:r>
      <w:proofErr w:type="spellEnd"/>
      <w:r>
        <w:t>. MLB-1T at 35:11-17.</w:t>
      </w:r>
    </w:p>
  </w:footnote>
  <w:footnote w:id="102">
    <w:p w14:paraId="424FD1FE" w14:textId="77777777" w:rsidR="008111CE" w:rsidRDefault="008111CE" w:rsidP="00225175">
      <w:pPr>
        <w:pStyle w:val="FootnoteText"/>
        <w:spacing w:before="60" w:after="60" w:line="240" w:lineRule="auto"/>
        <w:ind w:firstLine="360"/>
      </w:pPr>
      <w:r>
        <w:rPr>
          <w:rStyle w:val="FootnoteReference"/>
        </w:rPr>
        <w:footnoteRef/>
      </w:r>
      <w:r>
        <w:tab/>
        <w:t xml:space="preserve">Levin, </w:t>
      </w:r>
      <w:proofErr w:type="spellStart"/>
      <w:r>
        <w:t>Exh</w:t>
      </w:r>
      <w:proofErr w:type="spellEnd"/>
      <w:r>
        <w:t>. AML-1T at 22:8-23:8.</w:t>
      </w:r>
    </w:p>
  </w:footnote>
  <w:footnote w:id="103">
    <w:p w14:paraId="0B37D9AA" w14:textId="77777777" w:rsidR="008111CE" w:rsidRDefault="008111CE" w:rsidP="00225175">
      <w:pPr>
        <w:pStyle w:val="FootnoteText"/>
        <w:spacing w:before="60" w:after="60" w:line="240" w:lineRule="auto"/>
        <w:ind w:firstLine="360"/>
      </w:pPr>
      <w:r>
        <w:rPr>
          <w:rStyle w:val="FootnoteReference"/>
        </w:rPr>
        <w:footnoteRef/>
      </w:r>
      <w:r>
        <w:tab/>
        <w:t xml:space="preserve">Higgins, </w:t>
      </w:r>
      <w:proofErr w:type="spellStart"/>
      <w:r>
        <w:t>Exh</w:t>
      </w:r>
      <w:proofErr w:type="spellEnd"/>
      <w:r>
        <w:t xml:space="preserve">. KCH-1T at 15:1-5. Al-Jabir, </w:t>
      </w:r>
      <w:proofErr w:type="spellStart"/>
      <w:r>
        <w:t>Exh</w:t>
      </w:r>
      <w:proofErr w:type="spellEnd"/>
      <w:r>
        <w:t>. AZA-1T at 15:21-16:5.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00CF" w14:textId="77777777" w:rsidR="008111CE" w:rsidRDefault="008111CE">
    <w:pPr>
      <w:pStyle w:val="Header"/>
    </w:pPr>
    <w:r>
      <w:rPr>
        <w:noProof/>
        <w:lang w:eastAsia="en-US"/>
      </w:rPr>
      <mc:AlternateContent>
        <mc:Choice Requires="wps">
          <w:drawing>
            <wp:anchor distT="0" distB="0" distL="114300" distR="114300" simplePos="0" relativeHeight="251659264" behindDoc="0" locked="0" layoutInCell="0" allowOverlap="1" wp14:anchorId="4129187B" wp14:editId="609CF31C">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BE23" w14:textId="77777777" w:rsidR="008111CE" w:rsidRDefault="008111CE">
    <w:pPr>
      <w:pStyle w:val="Header"/>
    </w:pPr>
    <w:r>
      <w:rPr>
        <w:noProof/>
        <w:lang w:eastAsia="en-US"/>
      </w:rPr>
      <mc:AlternateContent>
        <mc:Choice Requires="wps">
          <w:drawing>
            <wp:anchor distT="0" distB="0" distL="114300" distR="114300" simplePos="0" relativeHeight="251660288" behindDoc="0" locked="0" layoutInCell="1" allowOverlap="1" wp14:anchorId="7D81F500" wp14:editId="7DA0F5BC">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14"/>
  </w:num>
  <w:num w:numId="15">
    <w:abstractNumId w:val="18"/>
  </w:num>
  <w:num w:numId="16">
    <w:abstractNumId w:val="19"/>
  </w:num>
  <w:num w:numId="17">
    <w:abstractNumId w:val="22"/>
  </w:num>
  <w:num w:numId="18">
    <w:abstractNumId w:val="15"/>
  </w:num>
  <w:num w:numId="19">
    <w:abstractNumId w:val="23"/>
  </w:num>
  <w:num w:numId="20">
    <w:abstractNumId w:val="16"/>
  </w:num>
  <w:num w:numId="21">
    <w:abstractNumId w:val="17"/>
  </w:num>
  <w:num w:numId="22">
    <w:abstractNumId w:val="12"/>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7F8"/>
    <w:rsid w:val="00000A6F"/>
    <w:rsid w:val="000018F4"/>
    <w:rsid w:val="00002751"/>
    <w:rsid w:val="00003202"/>
    <w:rsid w:val="00003CCA"/>
    <w:rsid w:val="00004D39"/>
    <w:rsid w:val="0000554F"/>
    <w:rsid w:val="0000723E"/>
    <w:rsid w:val="00007913"/>
    <w:rsid w:val="00010110"/>
    <w:rsid w:val="000101C9"/>
    <w:rsid w:val="0001112F"/>
    <w:rsid w:val="00011F34"/>
    <w:rsid w:val="00012170"/>
    <w:rsid w:val="00012CC9"/>
    <w:rsid w:val="000139D8"/>
    <w:rsid w:val="00014A52"/>
    <w:rsid w:val="0001520E"/>
    <w:rsid w:val="000166B1"/>
    <w:rsid w:val="00017DB9"/>
    <w:rsid w:val="00020C64"/>
    <w:rsid w:val="0002256A"/>
    <w:rsid w:val="0002428B"/>
    <w:rsid w:val="00024ADC"/>
    <w:rsid w:val="000251EE"/>
    <w:rsid w:val="00027113"/>
    <w:rsid w:val="0003005E"/>
    <w:rsid w:val="00030B1D"/>
    <w:rsid w:val="00031B05"/>
    <w:rsid w:val="00032928"/>
    <w:rsid w:val="00032B65"/>
    <w:rsid w:val="00032BAE"/>
    <w:rsid w:val="000334C5"/>
    <w:rsid w:val="0003538E"/>
    <w:rsid w:val="0003603B"/>
    <w:rsid w:val="000367E0"/>
    <w:rsid w:val="000373BB"/>
    <w:rsid w:val="00037CE8"/>
    <w:rsid w:val="00040032"/>
    <w:rsid w:val="00040E73"/>
    <w:rsid w:val="00041701"/>
    <w:rsid w:val="000425A2"/>
    <w:rsid w:val="00043BF2"/>
    <w:rsid w:val="00044F9A"/>
    <w:rsid w:val="000456B9"/>
    <w:rsid w:val="000458B0"/>
    <w:rsid w:val="000460D8"/>
    <w:rsid w:val="0004727F"/>
    <w:rsid w:val="000472B2"/>
    <w:rsid w:val="0005073B"/>
    <w:rsid w:val="00051008"/>
    <w:rsid w:val="000528F5"/>
    <w:rsid w:val="00052A37"/>
    <w:rsid w:val="00053B7F"/>
    <w:rsid w:val="00054C6A"/>
    <w:rsid w:val="00054CEF"/>
    <w:rsid w:val="00055FFA"/>
    <w:rsid w:val="00057091"/>
    <w:rsid w:val="00057AE7"/>
    <w:rsid w:val="00057C3E"/>
    <w:rsid w:val="00060493"/>
    <w:rsid w:val="000623F4"/>
    <w:rsid w:val="000625BE"/>
    <w:rsid w:val="0006347A"/>
    <w:rsid w:val="00063680"/>
    <w:rsid w:val="00063EC9"/>
    <w:rsid w:val="00064171"/>
    <w:rsid w:val="00064903"/>
    <w:rsid w:val="0006654B"/>
    <w:rsid w:val="000671C3"/>
    <w:rsid w:val="00067771"/>
    <w:rsid w:val="0006778A"/>
    <w:rsid w:val="00070567"/>
    <w:rsid w:val="00070DC0"/>
    <w:rsid w:val="00072512"/>
    <w:rsid w:val="0007268C"/>
    <w:rsid w:val="000726FC"/>
    <w:rsid w:val="0007273D"/>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8683F"/>
    <w:rsid w:val="000905D7"/>
    <w:rsid w:val="00091AD2"/>
    <w:rsid w:val="00091AE5"/>
    <w:rsid w:val="00092201"/>
    <w:rsid w:val="00093447"/>
    <w:rsid w:val="00093522"/>
    <w:rsid w:val="00093C4A"/>
    <w:rsid w:val="000969E2"/>
    <w:rsid w:val="000975BF"/>
    <w:rsid w:val="000A0290"/>
    <w:rsid w:val="000A0F0E"/>
    <w:rsid w:val="000A402D"/>
    <w:rsid w:val="000A4ADD"/>
    <w:rsid w:val="000A56A7"/>
    <w:rsid w:val="000A63B3"/>
    <w:rsid w:val="000A7131"/>
    <w:rsid w:val="000A7F6A"/>
    <w:rsid w:val="000B068C"/>
    <w:rsid w:val="000B18E9"/>
    <w:rsid w:val="000B1EA2"/>
    <w:rsid w:val="000B38BF"/>
    <w:rsid w:val="000B3FB1"/>
    <w:rsid w:val="000B547D"/>
    <w:rsid w:val="000B6388"/>
    <w:rsid w:val="000B6DD9"/>
    <w:rsid w:val="000C2609"/>
    <w:rsid w:val="000C480A"/>
    <w:rsid w:val="000C56F0"/>
    <w:rsid w:val="000C5931"/>
    <w:rsid w:val="000C5A2C"/>
    <w:rsid w:val="000C6EA8"/>
    <w:rsid w:val="000C7BD8"/>
    <w:rsid w:val="000D0074"/>
    <w:rsid w:val="000D0F91"/>
    <w:rsid w:val="000D1FB5"/>
    <w:rsid w:val="000D3BF9"/>
    <w:rsid w:val="000D515D"/>
    <w:rsid w:val="000D5B61"/>
    <w:rsid w:val="000D7212"/>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7EC"/>
    <w:rsid w:val="000F0D40"/>
    <w:rsid w:val="000F23B3"/>
    <w:rsid w:val="000F31BD"/>
    <w:rsid w:val="000F4005"/>
    <w:rsid w:val="000F490A"/>
    <w:rsid w:val="000F53C0"/>
    <w:rsid w:val="000F60E1"/>
    <w:rsid w:val="000F762C"/>
    <w:rsid w:val="000F7DE8"/>
    <w:rsid w:val="00100417"/>
    <w:rsid w:val="00100B3A"/>
    <w:rsid w:val="001010E0"/>
    <w:rsid w:val="001023BE"/>
    <w:rsid w:val="0010268D"/>
    <w:rsid w:val="00102CE2"/>
    <w:rsid w:val="00102D02"/>
    <w:rsid w:val="00103C64"/>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18D"/>
    <w:rsid w:val="00126228"/>
    <w:rsid w:val="00127342"/>
    <w:rsid w:val="001310AA"/>
    <w:rsid w:val="001314A8"/>
    <w:rsid w:val="0013195B"/>
    <w:rsid w:val="00132447"/>
    <w:rsid w:val="00132962"/>
    <w:rsid w:val="0013586D"/>
    <w:rsid w:val="00137615"/>
    <w:rsid w:val="0013782D"/>
    <w:rsid w:val="00140EC8"/>
    <w:rsid w:val="00141044"/>
    <w:rsid w:val="001417A7"/>
    <w:rsid w:val="00141820"/>
    <w:rsid w:val="00141A46"/>
    <w:rsid w:val="00141C20"/>
    <w:rsid w:val="00142532"/>
    <w:rsid w:val="001433AA"/>
    <w:rsid w:val="00143E87"/>
    <w:rsid w:val="00146EDB"/>
    <w:rsid w:val="001479BB"/>
    <w:rsid w:val="001507AA"/>
    <w:rsid w:val="00150B43"/>
    <w:rsid w:val="00151400"/>
    <w:rsid w:val="0015197F"/>
    <w:rsid w:val="00151E68"/>
    <w:rsid w:val="001527E4"/>
    <w:rsid w:val="001530C6"/>
    <w:rsid w:val="001533D3"/>
    <w:rsid w:val="00153529"/>
    <w:rsid w:val="00155A5E"/>
    <w:rsid w:val="00155ABF"/>
    <w:rsid w:val="001564E7"/>
    <w:rsid w:val="001578FF"/>
    <w:rsid w:val="001603DB"/>
    <w:rsid w:val="001612E5"/>
    <w:rsid w:val="0016182B"/>
    <w:rsid w:val="00161845"/>
    <w:rsid w:val="00163F6E"/>
    <w:rsid w:val="0016430B"/>
    <w:rsid w:val="00164FEE"/>
    <w:rsid w:val="00165335"/>
    <w:rsid w:val="001664B2"/>
    <w:rsid w:val="00166CB0"/>
    <w:rsid w:val="00166FE8"/>
    <w:rsid w:val="00167766"/>
    <w:rsid w:val="0016795C"/>
    <w:rsid w:val="00170A15"/>
    <w:rsid w:val="00171539"/>
    <w:rsid w:val="00172914"/>
    <w:rsid w:val="001735E5"/>
    <w:rsid w:val="00173AA8"/>
    <w:rsid w:val="00173F11"/>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87AF6"/>
    <w:rsid w:val="00190924"/>
    <w:rsid w:val="001919C4"/>
    <w:rsid w:val="00192832"/>
    <w:rsid w:val="00192868"/>
    <w:rsid w:val="00192D72"/>
    <w:rsid w:val="001936DE"/>
    <w:rsid w:val="0019637E"/>
    <w:rsid w:val="00196CB7"/>
    <w:rsid w:val="00196FCA"/>
    <w:rsid w:val="00197652"/>
    <w:rsid w:val="00197984"/>
    <w:rsid w:val="001A1529"/>
    <w:rsid w:val="001A2510"/>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40BF"/>
    <w:rsid w:val="001C44FD"/>
    <w:rsid w:val="001C5CAF"/>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0D6"/>
    <w:rsid w:val="001E513B"/>
    <w:rsid w:val="001E60E6"/>
    <w:rsid w:val="001E694B"/>
    <w:rsid w:val="001E6B0B"/>
    <w:rsid w:val="001E6D45"/>
    <w:rsid w:val="001F00F8"/>
    <w:rsid w:val="001F0B61"/>
    <w:rsid w:val="001F0E2A"/>
    <w:rsid w:val="001F12EA"/>
    <w:rsid w:val="001F1AB5"/>
    <w:rsid w:val="001F313C"/>
    <w:rsid w:val="001F455F"/>
    <w:rsid w:val="00201995"/>
    <w:rsid w:val="00202C2B"/>
    <w:rsid w:val="00203289"/>
    <w:rsid w:val="002038C8"/>
    <w:rsid w:val="00204D0F"/>
    <w:rsid w:val="00206603"/>
    <w:rsid w:val="00206F0F"/>
    <w:rsid w:val="00210AF9"/>
    <w:rsid w:val="00210FD3"/>
    <w:rsid w:val="002111FC"/>
    <w:rsid w:val="0021264C"/>
    <w:rsid w:val="002176C8"/>
    <w:rsid w:val="00217738"/>
    <w:rsid w:val="002200C5"/>
    <w:rsid w:val="00220BA5"/>
    <w:rsid w:val="0022127D"/>
    <w:rsid w:val="00221CB5"/>
    <w:rsid w:val="0022259F"/>
    <w:rsid w:val="002225DC"/>
    <w:rsid w:val="00222C36"/>
    <w:rsid w:val="00222ECF"/>
    <w:rsid w:val="00225175"/>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4AD"/>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23"/>
    <w:rsid w:val="0026017D"/>
    <w:rsid w:val="0026033F"/>
    <w:rsid w:val="00260C1E"/>
    <w:rsid w:val="00260FEF"/>
    <w:rsid w:val="00261527"/>
    <w:rsid w:val="00261C58"/>
    <w:rsid w:val="0026246B"/>
    <w:rsid w:val="002628D7"/>
    <w:rsid w:val="00262E08"/>
    <w:rsid w:val="002633EA"/>
    <w:rsid w:val="00263954"/>
    <w:rsid w:val="00264A3B"/>
    <w:rsid w:val="00265322"/>
    <w:rsid w:val="00265D55"/>
    <w:rsid w:val="0026646A"/>
    <w:rsid w:val="0027022C"/>
    <w:rsid w:val="00270A5B"/>
    <w:rsid w:val="00271076"/>
    <w:rsid w:val="00271C28"/>
    <w:rsid w:val="00272458"/>
    <w:rsid w:val="002727F1"/>
    <w:rsid w:val="002747B0"/>
    <w:rsid w:val="002758F7"/>
    <w:rsid w:val="002776EB"/>
    <w:rsid w:val="00277D05"/>
    <w:rsid w:val="00281869"/>
    <w:rsid w:val="00281FB1"/>
    <w:rsid w:val="002820CB"/>
    <w:rsid w:val="00282FFC"/>
    <w:rsid w:val="00284894"/>
    <w:rsid w:val="00285457"/>
    <w:rsid w:val="00285588"/>
    <w:rsid w:val="00287F1B"/>
    <w:rsid w:val="00290409"/>
    <w:rsid w:val="002909F6"/>
    <w:rsid w:val="00290A9F"/>
    <w:rsid w:val="00291DF5"/>
    <w:rsid w:val="00292DA1"/>
    <w:rsid w:val="00292FA1"/>
    <w:rsid w:val="00294362"/>
    <w:rsid w:val="00296A6A"/>
    <w:rsid w:val="00296C41"/>
    <w:rsid w:val="0029789A"/>
    <w:rsid w:val="00297CE7"/>
    <w:rsid w:val="002A0971"/>
    <w:rsid w:val="002A11DF"/>
    <w:rsid w:val="002A134B"/>
    <w:rsid w:val="002A192D"/>
    <w:rsid w:val="002A1CC8"/>
    <w:rsid w:val="002A2592"/>
    <w:rsid w:val="002A2B26"/>
    <w:rsid w:val="002A5324"/>
    <w:rsid w:val="002A6C1E"/>
    <w:rsid w:val="002A728C"/>
    <w:rsid w:val="002A74A5"/>
    <w:rsid w:val="002B0674"/>
    <w:rsid w:val="002B19A0"/>
    <w:rsid w:val="002B1D5B"/>
    <w:rsid w:val="002B3F2B"/>
    <w:rsid w:val="002B45F5"/>
    <w:rsid w:val="002B7714"/>
    <w:rsid w:val="002C091A"/>
    <w:rsid w:val="002C4A47"/>
    <w:rsid w:val="002C68E6"/>
    <w:rsid w:val="002D0C18"/>
    <w:rsid w:val="002D0FA8"/>
    <w:rsid w:val="002D2A12"/>
    <w:rsid w:val="002D33EB"/>
    <w:rsid w:val="002D3501"/>
    <w:rsid w:val="002D3F60"/>
    <w:rsid w:val="002D5599"/>
    <w:rsid w:val="002D6641"/>
    <w:rsid w:val="002D673E"/>
    <w:rsid w:val="002D693E"/>
    <w:rsid w:val="002D6E1B"/>
    <w:rsid w:val="002D6F6F"/>
    <w:rsid w:val="002D7216"/>
    <w:rsid w:val="002D7655"/>
    <w:rsid w:val="002D7D60"/>
    <w:rsid w:val="002E0FE0"/>
    <w:rsid w:val="002E1234"/>
    <w:rsid w:val="002E1BB9"/>
    <w:rsid w:val="002E2394"/>
    <w:rsid w:val="002E2A62"/>
    <w:rsid w:val="002E41ED"/>
    <w:rsid w:val="002E4423"/>
    <w:rsid w:val="002E459E"/>
    <w:rsid w:val="002E4E1B"/>
    <w:rsid w:val="002E5103"/>
    <w:rsid w:val="002E5502"/>
    <w:rsid w:val="002E5518"/>
    <w:rsid w:val="002E6F7D"/>
    <w:rsid w:val="002F0FE8"/>
    <w:rsid w:val="002F31D0"/>
    <w:rsid w:val="002F39F1"/>
    <w:rsid w:val="002F4BC1"/>
    <w:rsid w:val="002F4CD2"/>
    <w:rsid w:val="002F6E18"/>
    <w:rsid w:val="002F706F"/>
    <w:rsid w:val="002F77A9"/>
    <w:rsid w:val="002F7A4E"/>
    <w:rsid w:val="002F7C7C"/>
    <w:rsid w:val="00300996"/>
    <w:rsid w:val="0030150A"/>
    <w:rsid w:val="00301A6C"/>
    <w:rsid w:val="00301E2E"/>
    <w:rsid w:val="00302D0C"/>
    <w:rsid w:val="00302E7A"/>
    <w:rsid w:val="00304BA0"/>
    <w:rsid w:val="0030575E"/>
    <w:rsid w:val="00306F7C"/>
    <w:rsid w:val="0030775B"/>
    <w:rsid w:val="00307CAA"/>
    <w:rsid w:val="00311821"/>
    <w:rsid w:val="00313100"/>
    <w:rsid w:val="003150B6"/>
    <w:rsid w:val="00315629"/>
    <w:rsid w:val="00317739"/>
    <w:rsid w:val="003200B8"/>
    <w:rsid w:val="00320F41"/>
    <w:rsid w:val="00322395"/>
    <w:rsid w:val="00322508"/>
    <w:rsid w:val="00322CA7"/>
    <w:rsid w:val="003239D7"/>
    <w:rsid w:val="00324387"/>
    <w:rsid w:val="003244A3"/>
    <w:rsid w:val="003244FC"/>
    <w:rsid w:val="00325B31"/>
    <w:rsid w:val="00325CC4"/>
    <w:rsid w:val="0032685E"/>
    <w:rsid w:val="0032688C"/>
    <w:rsid w:val="00326E7E"/>
    <w:rsid w:val="003303D4"/>
    <w:rsid w:val="00330580"/>
    <w:rsid w:val="00331312"/>
    <w:rsid w:val="0033255F"/>
    <w:rsid w:val="003325A3"/>
    <w:rsid w:val="0033262E"/>
    <w:rsid w:val="00332A3D"/>
    <w:rsid w:val="00332EF1"/>
    <w:rsid w:val="00335F02"/>
    <w:rsid w:val="003360EB"/>
    <w:rsid w:val="0033664C"/>
    <w:rsid w:val="00336842"/>
    <w:rsid w:val="003375D2"/>
    <w:rsid w:val="003402E1"/>
    <w:rsid w:val="0034112B"/>
    <w:rsid w:val="003415CD"/>
    <w:rsid w:val="00341838"/>
    <w:rsid w:val="00341982"/>
    <w:rsid w:val="00342413"/>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5BD"/>
    <w:rsid w:val="00363E4F"/>
    <w:rsid w:val="003644BA"/>
    <w:rsid w:val="00364665"/>
    <w:rsid w:val="003658B7"/>
    <w:rsid w:val="00365975"/>
    <w:rsid w:val="00365D6C"/>
    <w:rsid w:val="0036607D"/>
    <w:rsid w:val="003675FD"/>
    <w:rsid w:val="0036790A"/>
    <w:rsid w:val="00367F8F"/>
    <w:rsid w:val="003709DA"/>
    <w:rsid w:val="003710C2"/>
    <w:rsid w:val="00372422"/>
    <w:rsid w:val="00372F79"/>
    <w:rsid w:val="00373813"/>
    <w:rsid w:val="00373D78"/>
    <w:rsid w:val="0037404C"/>
    <w:rsid w:val="00377DF8"/>
    <w:rsid w:val="00380B7D"/>
    <w:rsid w:val="0038156A"/>
    <w:rsid w:val="0038164D"/>
    <w:rsid w:val="00382131"/>
    <w:rsid w:val="00382C51"/>
    <w:rsid w:val="003850E8"/>
    <w:rsid w:val="00385174"/>
    <w:rsid w:val="003854E8"/>
    <w:rsid w:val="0038685C"/>
    <w:rsid w:val="00387917"/>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09A1"/>
    <w:rsid w:val="003A135D"/>
    <w:rsid w:val="003A24F0"/>
    <w:rsid w:val="003A25AC"/>
    <w:rsid w:val="003A358A"/>
    <w:rsid w:val="003A37CF"/>
    <w:rsid w:val="003A3A32"/>
    <w:rsid w:val="003A3FD8"/>
    <w:rsid w:val="003A4E91"/>
    <w:rsid w:val="003A5AA0"/>
    <w:rsid w:val="003A68D9"/>
    <w:rsid w:val="003A6CF2"/>
    <w:rsid w:val="003B0242"/>
    <w:rsid w:val="003B184A"/>
    <w:rsid w:val="003B1953"/>
    <w:rsid w:val="003B1F80"/>
    <w:rsid w:val="003B2697"/>
    <w:rsid w:val="003B3024"/>
    <w:rsid w:val="003B31BD"/>
    <w:rsid w:val="003B3679"/>
    <w:rsid w:val="003B48E0"/>
    <w:rsid w:val="003B5280"/>
    <w:rsid w:val="003B54A9"/>
    <w:rsid w:val="003B5556"/>
    <w:rsid w:val="003B67E4"/>
    <w:rsid w:val="003B6B49"/>
    <w:rsid w:val="003B6F01"/>
    <w:rsid w:val="003B77BD"/>
    <w:rsid w:val="003B7BD3"/>
    <w:rsid w:val="003C09A2"/>
    <w:rsid w:val="003C0EB4"/>
    <w:rsid w:val="003C159B"/>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C7FA1"/>
    <w:rsid w:val="003D03FF"/>
    <w:rsid w:val="003D094A"/>
    <w:rsid w:val="003D25AE"/>
    <w:rsid w:val="003D2AE7"/>
    <w:rsid w:val="003D2CAA"/>
    <w:rsid w:val="003D3E30"/>
    <w:rsid w:val="003D6487"/>
    <w:rsid w:val="003D6D6C"/>
    <w:rsid w:val="003D721D"/>
    <w:rsid w:val="003D74E1"/>
    <w:rsid w:val="003D78FC"/>
    <w:rsid w:val="003D7F58"/>
    <w:rsid w:val="003E05B7"/>
    <w:rsid w:val="003E1248"/>
    <w:rsid w:val="003E1CD9"/>
    <w:rsid w:val="003E418E"/>
    <w:rsid w:val="003E43FB"/>
    <w:rsid w:val="003E5299"/>
    <w:rsid w:val="003E605A"/>
    <w:rsid w:val="003F00FB"/>
    <w:rsid w:val="003F0486"/>
    <w:rsid w:val="003F0734"/>
    <w:rsid w:val="003F0D73"/>
    <w:rsid w:val="003F136D"/>
    <w:rsid w:val="003F15E1"/>
    <w:rsid w:val="003F17F4"/>
    <w:rsid w:val="003F18D0"/>
    <w:rsid w:val="003F1EE5"/>
    <w:rsid w:val="003F24B6"/>
    <w:rsid w:val="003F2814"/>
    <w:rsid w:val="003F2A81"/>
    <w:rsid w:val="003F2D98"/>
    <w:rsid w:val="003F32CF"/>
    <w:rsid w:val="003F3405"/>
    <w:rsid w:val="003F3A2C"/>
    <w:rsid w:val="003F408E"/>
    <w:rsid w:val="003F4DB0"/>
    <w:rsid w:val="003F58C7"/>
    <w:rsid w:val="003F601C"/>
    <w:rsid w:val="003F6A19"/>
    <w:rsid w:val="003F6D15"/>
    <w:rsid w:val="003F7BA0"/>
    <w:rsid w:val="004002E8"/>
    <w:rsid w:val="004005CD"/>
    <w:rsid w:val="00400E04"/>
    <w:rsid w:val="004011EA"/>
    <w:rsid w:val="00401D31"/>
    <w:rsid w:val="004036B6"/>
    <w:rsid w:val="00404453"/>
    <w:rsid w:val="00404CFE"/>
    <w:rsid w:val="004059EB"/>
    <w:rsid w:val="0040642A"/>
    <w:rsid w:val="0040651F"/>
    <w:rsid w:val="004067DB"/>
    <w:rsid w:val="00406B72"/>
    <w:rsid w:val="00407AAA"/>
    <w:rsid w:val="004100FF"/>
    <w:rsid w:val="00410F83"/>
    <w:rsid w:val="00410FB9"/>
    <w:rsid w:val="00411F09"/>
    <w:rsid w:val="004142F6"/>
    <w:rsid w:val="0041507C"/>
    <w:rsid w:val="00416515"/>
    <w:rsid w:val="00417494"/>
    <w:rsid w:val="00420933"/>
    <w:rsid w:val="00421117"/>
    <w:rsid w:val="00421A4E"/>
    <w:rsid w:val="00421B65"/>
    <w:rsid w:val="00421D6D"/>
    <w:rsid w:val="004233FB"/>
    <w:rsid w:val="0042344B"/>
    <w:rsid w:val="00423A55"/>
    <w:rsid w:val="0042489F"/>
    <w:rsid w:val="004266CA"/>
    <w:rsid w:val="0042791E"/>
    <w:rsid w:val="00427C64"/>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5826"/>
    <w:rsid w:val="00436080"/>
    <w:rsid w:val="004363AE"/>
    <w:rsid w:val="00436552"/>
    <w:rsid w:val="00440346"/>
    <w:rsid w:val="0044097A"/>
    <w:rsid w:val="00442BDB"/>
    <w:rsid w:val="00443378"/>
    <w:rsid w:val="00443445"/>
    <w:rsid w:val="004441C3"/>
    <w:rsid w:val="00445291"/>
    <w:rsid w:val="00446617"/>
    <w:rsid w:val="004479B6"/>
    <w:rsid w:val="0045217A"/>
    <w:rsid w:val="00452684"/>
    <w:rsid w:val="0045400D"/>
    <w:rsid w:val="00454484"/>
    <w:rsid w:val="00455FB0"/>
    <w:rsid w:val="00461E19"/>
    <w:rsid w:val="004634CD"/>
    <w:rsid w:val="00463EFF"/>
    <w:rsid w:val="00464D88"/>
    <w:rsid w:val="00465629"/>
    <w:rsid w:val="004660DC"/>
    <w:rsid w:val="00466E61"/>
    <w:rsid w:val="004674DD"/>
    <w:rsid w:val="0046783D"/>
    <w:rsid w:val="0046788D"/>
    <w:rsid w:val="00467D78"/>
    <w:rsid w:val="004708DE"/>
    <w:rsid w:val="004709B1"/>
    <w:rsid w:val="00472593"/>
    <w:rsid w:val="00472ED7"/>
    <w:rsid w:val="00473CB4"/>
    <w:rsid w:val="004748ED"/>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90281"/>
    <w:rsid w:val="00491882"/>
    <w:rsid w:val="004949C9"/>
    <w:rsid w:val="00494CF7"/>
    <w:rsid w:val="00496F43"/>
    <w:rsid w:val="0049768D"/>
    <w:rsid w:val="00497C3C"/>
    <w:rsid w:val="004A1256"/>
    <w:rsid w:val="004A1BA4"/>
    <w:rsid w:val="004A1F3B"/>
    <w:rsid w:val="004A36C8"/>
    <w:rsid w:val="004A390A"/>
    <w:rsid w:val="004A4D0C"/>
    <w:rsid w:val="004A636A"/>
    <w:rsid w:val="004A694E"/>
    <w:rsid w:val="004A75AA"/>
    <w:rsid w:val="004A78E3"/>
    <w:rsid w:val="004B0A53"/>
    <w:rsid w:val="004B346B"/>
    <w:rsid w:val="004B3487"/>
    <w:rsid w:val="004B3E9E"/>
    <w:rsid w:val="004B4939"/>
    <w:rsid w:val="004B4B95"/>
    <w:rsid w:val="004B57C1"/>
    <w:rsid w:val="004B6069"/>
    <w:rsid w:val="004B62CF"/>
    <w:rsid w:val="004C05B4"/>
    <w:rsid w:val="004C09FD"/>
    <w:rsid w:val="004C168F"/>
    <w:rsid w:val="004C16E8"/>
    <w:rsid w:val="004C170F"/>
    <w:rsid w:val="004C203E"/>
    <w:rsid w:val="004C2A9D"/>
    <w:rsid w:val="004C3E5A"/>
    <w:rsid w:val="004C4A2E"/>
    <w:rsid w:val="004C638F"/>
    <w:rsid w:val="004C6641"/>
    <w:rsid w:val="004C69B5"/>
    <w:rsid w:val="004C6CED"/>
    <w:rsid w:val="004C71E1"/>
    <w:rsid w:val="004D03B3"/>
    <w:rsid w:val="004D1343"/>
    <w:rsid w:val="004D2851"/>
    <w:rsid w:val="004D2A90"/>
    <w:rsid w:val="004D35DC"/>
    <w:rsid w:val="004D3D21"/>
    <w:rsid w:val="004D400A"/>
    <w:rsid w:val="004D4861"/>
    <w:rsid w:val="004D4984"/>
    <w:rsid w:val="004D4B77"/>
    <w:rsid w:val="004D4DCA"/>
    <w:rsid w:val="004D5AA1"/>
    <w:rsid w:val="004D5B37"/>
    <w:rsid w:val="004D7505"/>
    <w:rsid w:val="004D7A7F"/>
    <w:rsid w:val="004E01A2"/>
    <w:rsid w:val="004E0DE1"/>
    <w:rsid w:val="004E1440"/>
    <w:rsid w:val="004E1648"/>
    <w:rsid w:val="004E17E1"/>
    <w:rsid w:val="004E1E18"/>
    <w:rsid w:val="004E2C82"/>
    <w:rsid w:val="004E36E2"/>
    <w:rsid w:val="004E41DA"/>
    <w:rsid w:val="004E4D21"/>
    <w:rsid w:val="004E5469"/>
    <w:rsid w:val="004E5E66"/>
    <w:rsid w:val="004E65AF"/>
    <w:rsid w:val="004E6BA3"/>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4A94"/>
    <w:rsid w:val="005051C0"/>
    <w:rsid w:val="00505678"/>
    <w:rsid w:val="0050670A"/>
    <w:rsid w:val="00507671"/>
    <w:rsid w:val="00507A1B"/>
    <w:rsid w:val="00507DCE"/>
    <w:rsid w:val="005101FD"/>
    <w:rsid w:val="00511B9A"/>
    <w:rsid w:val="00512554"/>
    <w:rsid w:val="0051291A"/>
    <w:rsid w:val="0051359F"/>
    <w:rsid w:val="00513C79"/>
    <w:rsid w:val="0051419C"/>
    <w:rsid w:val="00514EB9"/>
    <w:rsid w:val="0051577D"/>
    <w:rsid w:val="0051596F"/>
    <w:rsid w:val="00516FC7"/>
    <w:rsid w:val="0052070A"/>
    <w:rsid w:val="00520E14"/>
    <w:rsid w:val="00521C41"/>
    <w:rsid w:val="00521FC2"/>
    <w:rsid w:val="005245FB"/>
    <w:rsid w:val="00524B1B"/>
    <w:rsid w:val="00525A4A"/>
    <w:rsid w:val="00525D2A"/>
    <w:rsid w:val="00526204"/>
    <w:rsid w:val="00527418"/>
    <w:rsid w:val="00527866"/>
    <w:rsid w:val="005304BC"/>
    <w:rsid w:val="00530959"/>
    <w:rsid w:val="005315E5"/>
    <w:rsid w:val="00533B23"/>
    <w:rsid w:val="00533EF1"/>
    <w:rsid w:val="00533F86"/>
    <w:rsid w:val="00537591"/>
    <w:rsid w:val="00537B92"/>
    <w:rsid w:val="00540997"/>
    <w:rsid w:val="00540E13"/>
    <w:rsid w:val="00541AB6"/>
    <w:rsid w:val="0054244E"/>
    <w:rsid w:val="0054385F"/>
    <w:rsid w:val="005447C6"/>
    <w:rsid w:val="00545293"/>
    <w:rsid w:val="00545CA3"/>
    <w:rsid w:val="005468D3"/>
    <w:rsid w:val="0054761B"/>
    <w:rsid w:val="00550EF4"/>
    <w:rsid w:val="00550F70"/>
    <w:rsid w:val="00551C94"/>
    <w:rsid w:val="00552EF6"/>
    <w:rsid w:val="00553132"/>
    <w:rsid w:val="00553157"/>
    <w:rsid w:val="00553D39"/>
    <w:rsid w:val="00554649"/>
    <w:rsid w:val="00554CEB"/>
    <w:rsid w:val="005557AF"/>
    <w:rsid w:val="00556755"/>
    <w:rsid w:val="00556802"/>
    <w:rsid w:val="00556BD8"/>
    <w:rsid w:val="00557FF3"/>
    <w:rsid w:val="00560BDC"/>
    <w:rsid w:val="00561D28"/>
    <w:rsid w:val="0056302F"/>
    <w:rsid w:val="00563CE2"/>
    <w:rsid w:val="00564239"/>
    <w:rsid w:val="005642B7"/>
    <w:rsid w:val="00564563"/>
    <w:rsid w:val="005651E0"/>
    <w:rsid w:val="00565A01"/>
    <w:rsid w:val="005661BE"/>
    <w:rsid w:val="005665C3"/>
    <w:rsid w:val="00566656"/>
    <w:rsid w:val="00566D9B"/>
    <w:rsid w:val="00567A78"/>
    <w:rsid w:val="0057057E"/>
    <w:rsid w:val="00571AEF"/>
    <w:rsid w:val="00571C83"/>
    <w:rsid w:val="00571D94"/>
    <w:rsid w:val="00571F90"/>
    <w:rsid w:val="00572594"/>
    <w:rsid w:val="0057278B"/>
    <w:rsid w:val="00572A1B"/>
    <w:rsid w:val="00572DD7"/>
    <w:rsid w:val="00573849"/>
    <w:rsid w:val="005775FE"/>
    <w:rsid w:val="005809F6"/>
    <w:rsid w:val="00583D53"/>
    <w:rsid w:val="00583F17"/>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890"/>
    <w:rsid w:val="005979E2"/>
    <w:rsid w:val="005A0B57"/>
    <w:rsid w:val="005A1291"/>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1A"/>
    <w:rsid w:val="005B594E"/>
    <w:rsid w:val="005B5A0A"/>
    <w:rsid w:val="005B742D"/>
    <w:rsid w:val="005B7B14"/>
    <w:rsid w:val="005B7B34"/>
    <w:rsid w:val="005C22C8"/>
    <w:rsid w:val="005C26D2"/>
    <w:rsid w:val="005C3071"/>
    <w:rsid w:val="005C3BDA"/>
    <w:rsid w:val="005C4350"/>
    <w:rsid w:val="005C51E1"/>
    <w:rsid w:val="005C58C8"/>
    <w:rsid w:val="005C5BF2"/>
    <w:rsid w:val="005C6F49"/>
    <w:rsid w:val="005D058D"/>
    <w:rsid w:val="005D0E49"/>
    <w:rsid w:val="005D1EA0"/>
    <w:rsid w:val="005D27C9"/>
    <w:rsid w:val="005D2DF2"/>
    <w:rsid w:val="005D3306"/>
    <w:rsid w:val="005D391D"/>
    <w:rsid w:val="005D5262"/>
    <w:rsid w:val="005D5D0E"/>
    <w:rsid w:val="005D6946"/>
    <w:rsid w:val="005D7148"/>
    <w:rsid w:val="005D7606"/>
    <w:rsid w:val="005D78A6"/>
    <w:rsid w:val="005D7C82"/>
    <w:rsid w:val="005E09DF"/>
    <w:rsid w:val="005E0C3F"/>
    <w:rsid w:val="005E1BF9"/>
    <w:rsid w:val="005E25FC"/>
    <w:rsid w:val="005E2C8E"/>
    <w:rsid w:val="005E30B2"/>
    <w:rsid w:val="005E446E"/>
    <w:rsid w:val="005E4883"/>
    <w:rsid w:val="005E4CEA"/>
    <w:rsid w:val="005E5504"/>
    <w:rsid w:val="005E6AA5"/>
    <w:rsid w:val="005E7DF8"/>
    <w:rsid w:val="005F0775"/>
    <w:rsid w:val="005F0DAB"/>
    <w:rsid w:val="005F2A8D"/>
    <w:rsid w:val="005F411E"/>
    <w:rsid w:val="005F577C"/>
    <w:rsid w:val="005F76C3"/>
    <w:rsid w:val="00600A48"/>
    <w:rsid w:val="00601035"/>
    <w:rsid w:val="00601B12"/>
    <w:rsid w:val="00601BA7"/>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4F2"/>
    <w:rsid w:val="00646A22"/>
    <w:rsid w:val="00650252"/>
    <w:rsid w:val="00650CC9"/>
    <w:rsid w:val="006511CF"/>
    <w:rsid w:val="00652CDE"/>
    <w:rsid w:val="00652F32"/>
    <w:rsid w:val="0065388B"/>
    <w:rsid w:val="00653E0A"/>
    <w:rsid w:val="00655A63"/>
    <w:rsid w:val="00655E60"/>
    <w:rsid w:val="00657F91"/>
    <w:rsid w:val="0066089E"/>
    <w:rsid w:val="00660D21"/>
    <w:rsid w:val="00661590"/>
    <w:rsid w:val="00661CF5"/>
    <w:rsid w:val="00662F32"/>
    <w:rsid w:val="0066300A"/>
    <w:rsid w:val="00663620"/>
    <w:rsid w:val="00664675"/>
    <w:rsid w:val="00666543"/>
    <w:rsid w:val="006665EA"/>
    <w:rsid w:val="0066669F"/>
    <w:rsid w:val="00666E4A"/>
    <w:rsid w:val="00667981"/>
    <w:rsid w:val="00667CA3"/>
    <w:rsid w:val="00672286"/>
    <w:rsid w:val="0067270F"/>
    <w:rsid w:val="00672793"/>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502F"/>
    <w:rsid w:val="00696255"/>
    <w:rsid w:val="00696419"/>
    <w:rsid w:val="006971DB"/>
    <w:rsid w:val="00697BE3"/>
    <w:rsid w:val="006A01EE"/>
    <w:rsid w:val="006A1323"/>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3B3B"/>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0E37"/>
    <w:rsid w:val="006D478A"/>
    <w:rsid w:val="006D48DF"/>
    <w:rsid w:val="006D5D2B"/>
    <w:rsid w:val="006D6D2C"/>
    <w:rsid w:val="006E034B"/>
    <w:rsid w:val="006E041D"/>
    <w:rsid w:val="006E08AF"/>
    <w:rsid w:val="006E159E"/>
    <w:rsid w:val="006E1B73"/>
    <w:rsid w:val="006E2E47"/>
    <w:rsid w:val="006E38DF"/>
    <w:rsid w:val="006E39DE"/>
    <w:rsid w:val="006E3A4D"/>
    <w:rsid w:val="006E3F70"/>
    <w:rsid w:val="006E42AB"/>
    <w:rsid w:val="006E4E94"/>
    <w:rsid w:val="006E5139"/>
    <w:rsid w:val="006E670F"/>
    <w:rsid w:val="006E68E9"/>
    <w:rsid w:val="006E73FB"/>
    <w:rsid w:val="006E7532"/>
    <w:rsid w:val="006F0464"/>
    <w:rsid w:val="006F0CA7"/>
    <w:rsid w:val="006F0E2B"/>
    <w:rsid w:val="006F0EC2"/>
    <w:rsid w:val="006F0F09"/>
    <w:rsid w:val="006F268B"/>
    <w:rsid w:val="006F4B75"/>
    <w:rsid w:val="006F5553"/>
    <w:rsid w:val="006F58D6"/>
    <w:rsid w:val="006F741F"/>
    <w:rsid w:val="006F7DC3"/>
    <w:rsid w:val="00700AF8"/>
    <w:rsid w:val="00700C1B"/>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842"/>
    <w:rsid w:val="00723BF3"/>
    <w:rsid w:val="0072459E"/>
    <w:rsid w:val="00724C25"/>
    <w:rsid w:val="007259B3"/>
    <w:rsid w:val="00726952"/>
    <w:rsid w:val="007272EF"/>
    <w:rsid w:val="007274CD"/>
    <w:rsid w:val="00730C4A"/>
    <w:rsid w:val="0073104F"/>
    <w:rsid w:val="007324FB"/>
    <w:rsid w:val="0073473E"/>
    <w:rsid w:val="007347E6"/>
    <w:rsid w:val="00734EBA"/>
    <w:rsid w:val="00740802"/>
    <w:rsid w:val="00740A6A"/>
    <w:rsid w:val="00741963"/>
    <w:rsid w:val="00741A4C"/>
    <w:rsid w:val="00741D0C"/>
    <w:rsid w:val="0074206F"/>
    <w:rsid w:val="00743A49"/>
    <w:rsid w:val="00745058"/>
    <w:rsid w:val="00745606"/>
    <w:rsid w:val="00745644"/>
    <w:rsid w:val="00745B9C"/>
    <w:rsid w:val="007464C7"/>
    <w:rsid w:val="0074780F"/>
    <w:rsid w:val="007479D7"/>
    <w:rsid w:val="00747E79"/>
    <w:rsid w:val="007500C0"/>
    <w:rsid w:val="0075114A"/>
    <w:rsid w:val="007517B5"/>
    <w:rsid w:val="00752492"/>
    <w:rsid w:val="00752EBB"/>
    <w:rsid w:val="00754552"/>
    <w:rsid w:val="007547FF"/>
    <w:rsid w:val="00756AAC"/>
    <w:rsid w:val="007579B6"/>
    <w:rsid w:val="00760094"/>
    <w:rsid w:val="007608D1"/>
    <w:rsid w:val="00761068"/>
    <w:rsid w:val="0076163B"/>
    <w:rsid w:val="00761722"/>
    <w:rsid w:val="00761E8E"/>
    <w:rsid w:val="007634AB"/>
    <w:rsid w:val="007634E0"/>
    <w:rsid w:val="00764DAF"/>
    <w:rsid w:val="00765BC2"/>
    <w:rsid w:val="00770765"/>
    <w:rsid w:val="00771ADE"/>
    <w:rsid w:val="00771B62"/>
    <w:rsid w:val="00772105"/>
    <w:rsid w:val="00772CF4"/>
    <w:rsid w:val="0077386A"/>
    <w:rsid w:val="007738C3"/>
    <w:rsid w:val="00774F17"/>
    <w:rsid w:val="00775296"/>
    <w:rsid w:val="007773E2"/>
    <w:rsid w:val="00777698"/>
    <w:rsid w:val="007777E6"/>
    <w:rsid w:val="00780212"/>
    <w:rsid w:val="0078122C"/>
    <w:rsid w:val="007816E1"/>
    <w:rsid w:val="0078192B"/>
    <w:rsid w:val="0078337F"/>
    <w:rsid w:val="00784F4E"/>
    <w:rsid w:val="007853ED"/>
    <w:rsid w:val="00785BD9"/>
    <w:rsid w:val="00786232"/>
    <w:rsid w:val="007869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63A"/>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3C4"/>
    <w:rsid w:val="007D1AE8"/>
    <w:rsid w:val="007D1FD1"/>
    <w:rsid w:val="007D2984"/>
    <w:rsid w:val="007D2AFF"/>
    <w:rsid w:val="007D38A6"/>
    <w:rsid w:val="007D422A"/>
    <w:rsid w:val="007D4D04"/>
    <w:rsid w:val="007D4E77"/>
    <w:rsid w:val="007D5129"/>
    <w:rsid w:val="007D7052"/>
    <w:rsid w:val="007D728F"/>
    <w:rsid w:val="007D792A"/>
    <w:rsid w:val="007D7C2F"/>
    <w:rsid w:val="007E00FF"/>
    <w:rsid w:val="007E0907"/>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4EDB"/>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1CE"/>
    <w:rsid w:val="0081126A"/>
    <w:rsid w:val="0081183A"/>
    <w:rsid w:val="00812215"/>
    <w:rsid w:val="008122C6"/>
    <w:rsid w:val="00812D69"/>
    <w:rsid w:val="00813661"/>
    <w:rsid w:val="00814B2E"/>
    <w:rsid w:val="008152D4"/>
    <w:rsid w:val="00816E1B"/>
    <w:rsid w:val="008171E7"/>
    <w:rsid w:val="00817414"/>
    <w:rsid w:val="00821648"/>
    <w:rsid w:val="00821CCA"/>
    <w:rsid w:val="00822C65"/>
    <w:rsid w:val="008232C8"/>
    <w:rsid w:val="008244E3"/>
    <w:rsid w:val="008254AA"/>
    <w:rsid w:val="00825DD2"/>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0D1C"/>
    <w:rsid w:val="008418FE"/>
    <w:rsid w:val="008426C6"/>
    <w:rsid w:val="0084403B"/>
    <w:rsid w:val="00844ABF"/>
    <w:rsid w:val="00845A09"/>
    <w:rsid w:val="00846025"/>
    <w:rsid w:val="0084663C"/>
    <w:rsid w:val="0084669B"/>
    <w:rsid w:val="00847364"/>
    <w:rsid w:val="00850336"/>
    <w:rsid w:val="00850735"/>
    <w:rsid w:val="00851207"/>
    <w:rsid w:val="0085187B"/>
    <w:rsid w:val="008520E5"/>
    <w:rsid w:val="00852A67"/>
    <w:rsid w:val="00852D6E"/>
    <w:rsid w:val="008554E1"/>
    <w:rsid w:val="008560AA"/>
    <w:rsid w:val="00857721"/>
    <w:rsid w:val="008578AC"/>
    <w:rsid w:val="00857C4F"/>
    <w:rsid w:val="00861015"/>
    <w:rsid w:val="00861162"/>
    <w:rsid w:val="008622E6"/>
    <w:rsid w:val="00862C8F"/>
    <w:rsid w:val="00863939"/>
    <w:rsid w:val="00863A3D"/>
    <w:rsid w:val="00863AE4"/>
    <w:rsid w:val="00864908"/>
    <w:rsid w:val="00864D19"/>
    <w:rsid w:val="008659FF"/>
    <w:rsid w:val="00865F65"/>
    <w:rsid w:val="00865FB3"/>
    <w:rsid w:val="00866641"/>
    <w:rsid w:val="00867AFC"/>
    <w:rsid w:val="008702B7"/>
    <w:rsid w:val="00870468"/>
    <w:rsid w:val="008707B7"/>
    <w:rsid w:val="00870D38"/>
    <w:rsid w:val="00872887"/>
    <w:rsid w:val="0087325E"/>
    <w:rsid w:val="00873862"/>
    <w:rsid w:val="00876285"/>
    <w:rsid w:val="00877BC0"/>
    <w:rsid w:val="00881A27"/>
    <w:rsid w:val="00882659"/>
    <w:rsid w:val="008827A7"/>
    <w:rsid w:val="00884058"/>
    <w:rsid w:val="00884379"/>
    <w:rsid w:val="0088470E"/>
    <w:rsid w:val="00884985"/>
    <w:rsid w:val="00885BEC"/>
    <w:rsid w:val="00885F68"/>
    <w:rsid w:val="00886451"/>
    <w:rsid w:val="00886DCC"/>
    <w:rsid w:val="008906F3"/>
    <w:rsid w:val="0089212C"/>
    <w:rsid w:val="00892520"/>
    <w:rsid w:val="008948DC"/>
    <w:rsid w:val="0089595B"/>
    <w:rsid w:val="00895C47"/>
    <w:rsid w:val="00896299"/>
    <w:rsid w:val="00896CD7"/>
    <w:rsid w:val="008978DD"/>
    <w:rsid w:val="00897A6D"/>
    <w:rsid w:val="008A0B3E"/>
    <w:rsid w:val="008A1F10"/>
    <w:rsid w:val="008A288C"/>
    <w:rsid w:val="008A2EDB"/>
    <w:rsid w:val="008A5E4E"/>
    <w:rsid w:val="008A606D"/>
    <w:rsid w:val="008A66A7"/>
    <w:rsid w:val="008A6B5F"/>
    <w:rsid w:val="008A70F5"/>
    <w:rsid w:val="008A77A9"/>
    <w:rsid w:val="008A7CA1"/>
    <w:rsid w:val="008A7F35"/>
    <w:rsid w:val="008B0D24"/>
    <w:rsid w:val="008B0F00"/>
    <w:rsid w:val="008B25E3"/>
    <w:rsid w:val="008B3D6F"/>
    <w:rsid w:val="008B6B60"/>
    <w:rsid w:val="008B6B95"/>
    <w:rsid w:val="008B7304"/>
    <w:rsid w:val="008B7B64"/>
    <w:rsid w:val="008C0615"/>
    <w:rsid w:val="008C10C0"/>
    <w:rsid w:val="008C14BD"/>
    <w:rsid w:val="008C1BAC"/>
    <w:rsid w:val="008C20FF"/>
    <w:rsid w:val="008C2FBD"/>
    <w:rsid w:val="008C335F"/>
    <w:rsid w:val="008C34BD"/>
    <w:rsid w:val="008C4586"/>
    <w:rsid w:val="008C4AE3"/>
    <w:rsid w:val="008C589D"/>
    <w:rsid w:val="008C5DCB"/>
    <w:rsid w:val="008C5F34"/>
    <w:rsid w:val="008C69DB"/>
    <w:rsid w:val="008C7983"/>
    <w:rsid w:val="008C79FE"/>
    <w:rsid w:val="008D03EA"/>
    <w:rsid w:val="008D0D1C"/>
    <w:rsid w:val="008D3FE1"/>
    <w:rsid w:val="008D428E"/>
    <w:rsid w:val="008D4C23"/>
    <w:rsid w:val="008D5499"/>
    <w:rsid w:val="008D5784"/>
    <w:rsid w:val="008D712B"/>
    <w:rsid w:val="008E005F"/>
    <w:rsid w:val="008E00EF"/>
    <w:rsid w:val="008E0AD5"/>
    <w:rsid w:val="008E1390"/>
    <w:rsid w:val="008E13BF"/>
    <w:rsid w:val="008E1824"/>
    <w:rsid w:val="008E44F1"/>
    <w:rsid w:val="008E4520"/>
    <w:rsid w:val="008E4B09"/>
    <w:rsid w:val="008E5C68"/>
    <w:rsid w:val="008E60AE"/>
    <w:rsid w:val="008E61BB"/>
    <w:rsid w:val="008E7A0D"/>
    <w:rsid w:val="008E7D08"/>
    <w:rsid w:val="008F0360"/>
    <w:rsid w:val="008F1DFD"/>
    <w:rsid w:val="008F1F8B"/>
    <w:rsid w:val="008F21F0"/>
    <w:rsid w:val="008F2CAF"/>
    <w:rsid w:val="008F2DD6"/>
    <w:rsid w:val="008F3187"/>
    <w:rsid w:val="008F44B8"/>
    <w:rsid w:val="008F4C14"/>
    <w:rsid w:val="008F5E3E"/>
    <w:rsid w:val="008F7306"/>
    <w:rsid w:val="008F739E"/>
    <w:rsid w:val="008F7F79"/>
    <w:rsid w:val="009013D9"/>
    <w:rsid w:val="00902AA1"/>
    <w:rsid w:val="009041B6"/>
    <w:rsid w:val="00904733"/>
    <w:rsid w:val="00905D69"/>
    <w:rsid w:val="00906383"/>
    <w:rsid w:val="009067E4"/>
    <w:rsid w:val="009075DC"/>
    <w:rsid w:val="0090760E"/>
    <w:rsid w:val="00910206"/>
    <w:rsid w:val="00910E4B"/>
    <w:rsid w:val="0091154C"/>
    <w:rsid w:val="00911969"/>
    <w:rsid w:val="00911D1B"/>
    <w:rsid w:val="00912ACA"/>
    <w:rsid w:val="009139C3"/>
    <w:rsid w:val="00914544"/>
    <w:rsid w:val="00914617"/>
    <w:rsid w:val="0091508E"/>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EE1"/>
    <w:rsid w:val="00933FCC"/>
    <w:rsid w:val="0093478A"/>
    <w:rsid w:val="00935C3E"/>
    <w:rsid w:val="0093659D"/>
    <w:rsid w:val="009367D5"/>
    <w:rsid w:val="00936BE4"/>
    <w:rsid w:val="00937640"/>
    <w:rsid w:val="00937D5A"/>
    <w:rsid w:val="00940C67"/>
    <w:rsid w:val="00941237"/>
    <w:rsid w:val="009426F1"/>
    <w:rsid w:val="0094330C"/>
    <w:rsid w:val="00943479"/>
    <w:rsid w:val="00945EF5"/>
    <w:rsid w:val="00947B74"/>
    <w:rsid w:val="00947F23"/>
    <w:rsid w:val="00951391"/>
    <w:rsid w:val="009517DD"/>
    <w:rsid w:val="0095467F"/>
    <w:rsid w:val="00954ECE"/>
    <w:rsid w:val="00955380"/>
    <w:rsid w:val="00955F63"/>
    <w:rsid w:val="00956C8C"/>
    <w:rsid w:val="009576BE"/>
    <w:rsid w:val="00960171"/>
    <w:rsid w:val="00961E05"/>
    <w:rsid w:val="00963449"/>
    <w:rsid w:val="00963498"/>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4FC0"/>
    <w:rsid w:val="00985F35"/>
    <w:rsid w:val="009865F1"/>
    <w:rsid w:val="00987C56"/>
    <w:rsid w:val="00990297"/>
    <w:rsid w:val="00990591"/>
    <w:rsid w:val="00991A60"/>
    <w:rsid w:val="00991FC9"/>
    <w:rsid w:val="0099224E"/>
    <w:rsid w:val="00993BD7"/>
    <w:rsid w:val="00995BC5"/>
    <w:rsid w:val="00996D61"/>
    <w:rsid w:val="009973D1"/>
    <w:rsid w:val="009A003B"/>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05D9"/>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5B5"/>
    <w:rsid w:val="00A03C2C"/>
    <w:rsid w:val="00A0488E"/>
    <w:rsid w:val="00A05B41"/>
    <w:rsid w:val="00A064C1"/>
    <w:rsid w:val="00A10F73"/>
    <w:rsid w:val="00A130CD"/>
    <w:rsid w:val="00A137A1"/>
    <w:rsid w:val="00A13807"/>
    <w:rsid w:val="00A1390B"/>
    <w:rsid w:val="00A148EB"/>
    <w:rsid w:val="00A14A3F"/>
    <w:rsid w:val="00A1527A"/>
    <w:rsid w:val="00A16FBB"/>
    <w:rsid w:val="00A1796F"/>
    <w:rsid w:val="00A21717"/>
    <w:rsid w:val="00A2288B"/>
    <w:rsid w:val="00A22B03"/>
    <w:rsid w:val="00A24663"/>
    <w:rsid w:val="00A24DEB"/>
    <w:rsid w:val="00A24F0A"/>
    <w:rsid w:val="00A2666C"/>
    <w:rsid w:val="00A27109"/>
    <w:rsid w:val="00A27290"/>
    <w:rsid w:val="00A27F45"/>
    <w:rsid w:val="00A27F4D"/>
    <w:rsid w:val="00A30697"/>
    <w:rsid w:val="00A339F5"/>
    <w:rsid w:val="00A3415A"/>
    <w:rsid w:val="00A354F2"/>
    <w:rsid w:val="00A35C7F"/>
    <w:rsid w:val="00A36F59"/>
    <w:rsid w:val="00A370FB"/>
    <w:rsid w:val="00A3719C"/>
    <w:rsid w:val="00A373A2"/>
    <w:rsid w:val="00A37B28"/>
    <w:rsid w:val="00A37C23"/>
    <w:rsid w:val="00A41041"/>
    <w:rsid w:val="00A42875"/>
    <w:rsid w:val="00A43A22"/>
    <w:rsid w:val="00A47A93"/>
    <w:rsid w:val="00A50417"/>
    <w:rsid w:val="00A5113B"/>
    <w:rsid w:val="00A5156A"/>
    <w:rsid w:val="00A52A23"/>
    <w:rsid w:val="00A52CE9"/>
    <w:rsid w:val="00A52FBE"/>
    <w:rsid w:val="00A55CD4"/>
    <w:rsid w:val="00A56D01"/>
    <w:rsid w:val="00A57080"/>
    <w:rsid w:val="00A57BFE"/>
    <w:rsid w:val="00A60F8D"/>
    <w:rsid w:val="00A635F6"/>
    <w:rsid w:val="00A643B3"/>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668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202"/>
    <w:rsid w:val="00AA63DC"/>
    <w:rsid w:val="00AB1B73"/>
    <w:rsid w:val="00AB246C"/>
    <w:rsid w:val="00AB3379"/>
    <w:rsid w:val="00AB3F73"/>
    <w:rsid w:val="00AB4AF7"/>
    <w:rsid w:val="00AB5D04"/>
    <w:rsid w:val="00AB5F0F"/>
    <w:rsid w:val="00AB6B68"/>
    <w:rsid w:val="00AB6DAC"/>
    <w:rsid w:val="00AB75F7"/>
    <w:rsid w:val="00AB7AC0"/>
    <w:rsid w:val="00AC001D"/>
    <w:rsid w:val="00AC0AD5"/>
    <w:rsid w:val="00AC0EFD"/>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1D1D"/>
    <w:rsid w:val="00AF207F"/>
    <w:rsid w:val="00AF2386"/>
    <w:rsid w:val="00AF2B4F"/>
    <w:rsid w:val="00AF3257"/>
    <w:rsid w:val="00AF34B0"/>
    <w:rsid w:val="00AF426F"/>
    <w:rsid w:val="00AF5CAD"/>
    <w:rsid w:val="00AF6283"/>
    <w:rsid w:val="00B01500"/>
    <w:rsid w:val="00B0164A"/>
    <w:rsid w:val="00B0213C"/>
    <w:rsid w:val="00B0263C"/>
    <w:rsid w:val="00B027A9"/>
    <w:rsid w:val="00B02AE6"/>
    <w:rsid w:val="00B04D94"/>
    <w:rsid w:val="00B0701E"/>
    <w:rsid w:val="00B07E93"/>
    <w:rsid w:val="00B105AD"/>
    <w:rsid w:val="00B10D55"/>
    <w:rsid w:val="00B13CE9"/>
    <w:rsid w:val="00B1463B"/>
    <w:rsid w:val="00B14D9B"/>
    <w:rsid w:val="00B14DE9"/>
    <w:rsid w:val="00B15EDE"/>
    <w:rsid w:val="00B17F8A"/>
    <w:rsid w:val="00B20BBF"/>
    <w:rsid w:val="00B2223B"/>
    <w:rsid w:val="00B223B9"/>
    <w:rsid w:val="00B22DF8"/>
    <w:rsid w:val="00B23136"/>
    <w:rsid w:val="00B23A48"/>
    <w:rsid w:val="00B246E1"/>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217C"/>
    <w:rsid w:val="00B5579B"/>
    <w:rsid w:val="00B55D6C"/>
    <w:rsid w:val="00B566E6"/>
    <w:rsid w:val="00B56E59"/>
    <w:rsid w:val="00B57332"/>
    <w:rsid w:val="00B57BEC"/>
    <w:rsid w:val="00B60D3C"/>
    <w:rsid w:val="00B62952"/>
    <w:rsid w:val="00B62B61"/>
    <w:rsid w:val="00B62D23"/>
    <w:rsid w:val="00B62E63"/>
    <w:rsid w:val="00B63675"/>
    <w:rsid w:val="00B63A0E"/>
    <w:rsid w:val="00B645E3"/>
    <w:rsid w:val="00B64BF6"/>
    <w:rsid w:val="00B64EDA"/>
    <w:rsid w:val="00B64F79"/>
    <w:rsid w:val="00B658A6"/>
    <w:rsid w:val="00B67D2F"/>
    <w:rsid w:val="00B7150D"/>
    <w:rsid w:val="00B7217C"/>
    <w:rsid w:val="00B7218D"/>
    <w:rsid w:val="00B72928"/>
    <w:rsid w:val="00B72B8E"/>
    <w:rsid w:val="00B73A83"/>
    <w:rsid w:val="00B73F34"/>
    <w:rsid w:val="00B73FBB"/>
    <w:rsid w:val="00B74FBA"/>
    <w:rsid w:val="00B7633E"/>
    <w:rsid w:val="00B773FF"/>
    <w:rsid w:val="00B77EA2"/>
    <w:rsid w:val="00B81686"/>
    <w:rsid w:val="00B83055"/>
    <w:rsid w:val="00B86876"/>
    <w:rsid w:val="00B874A3"/>
    <w:rsid w:val="00B87598"/>
    <w:rsid w:val="00B906AA"/>
    <w:rsid w:val="00B93265"/>
    <w:rsid w:val="00B94A1E"/>
    <w:rsid w:val="00B95E87"/>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3B79"/>
    <w:rsid w:val="00BB56E2"/>
    <w:rsid w:val="00BB58AE"/>
    <w:rsid w:val="00BB6B94"/>
    <w:rsid w:val="00BB71E9"/>
    <w:rsid w:val="00BB75FC"/>
    <w:rsid w:val="00BC0C2B"/>
    <w:rsid w:val="00BC161F"/>
    <w:rsid w:val="00BC29F7"/>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BF7B68"/>
    <w:rsid w:val="00C004F0"/>
    <w:rsid w:val="00C00B5E"/>
    <w:rsid w:val="00C013A6"/>
    <w:rsid w:val="00C017CB"/>
    <w:rsid w:val="00C01C50"/>
    <w:rsid w:val="00C01DCE"/>
    <w:rsid w:val="00C0338C"/>
    <w:rsid w:val="00C03D0A"/>
    <w:rsid w:val="00C05B97"/>
    <w:rsid w:val="00C062FD"/>
    <w:rsid w:val="00C070A7"/>
    <w:rsid w:val="00C07256"/>
    <w:rsid w:val="00C0752B"/>
    <w:rsid w:val="00C07B3D"/>
    <w:rsid w:val="00C1018E"/>
    <w:rsid w:val="00C10B0E"/>
    <w:rsid w:val="00C10DC6"/>
    <w:rsid w:val="00C1118F"/>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9D"/>
    <w:rsid w:val="00C236BE"/>
    <w:rsid w:val="00C25F56"/>
    <w:rsid w:val="00C26681"/>
    <w:rsid w:val="00C269BA"/>
    <w:rsid w:val="00C3121D"/>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779"/>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1A95"/>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49FB"/>
    <w:rsid w:val="00C95BDB"/>
    <w:rsid w:val="00C968F0"/>
    <w:rsid w:val="00CA012D"/>
    <w:rsid w:val="00CA1F02"/>
    <w:rsid w:val="00CA3B3D"/>
    <w:rsid w:val="00CA54B6"/>
    <w:rsid w:val="00CA5B05"/>
    <w:rsid w:val="00CA6C90"/>
    <w:rsid w:val="00CA6F2E"/>
    <w:rsid w:val="00CA7F28"/>
    <w:rsid w:val="00CB0501"/>
    <w:rsid w:val="00CB089E"/>
    <w:rsid w:val="00CB0A6C"/>
    <w:rsid w:val="00CB14A7"/>
    <w:rsid w:val="00CB1F21"/>
    <w:rsid w:val="00CB2140"/>
    <w:rsid w:val="00CB25A6"/>
    <w:rsid w:val="00CB26FE"/>
    <w:rsid w:val="00CB52AF"/>
    <w:rsid w:val="00CB6B51"/>
    <w:rsid w:val="00CB6D48"/>
    <w:rsid w:val="00CB6E01"/>
    <w:rsid w:val="00CB7AE4"/>
    <w:rsid w:val="00CC04BC"/>
    <w:rsid w:val="00CC06B8"/>
    <w:rsid w:val="00CC1227"/>
    <w:rsid w:val="00CC1BCD"/>
    <w:rsid w:val="00CC216D"/>
    <w:rsid w:val="00CC29C6"/>
    <w:rsid w:val="00CC2B6B"/>
    <w:rsid w:val="00CC39CB"/>
    <w:rsid w:val="00CC501B"/>
    <w:rsid w:val="00CC55C8"/>
    <w:rsid w:val="00CC56F7"/>
    <w:rsid w:val="00CC63B9"/>
    <w:rsid w:val="00CC6CDE"/>
    <w:rsid w:val="00CC771C"/>
    <w:rsid w:val="00CC7E24"/>
    <w:rsid w:val="00CD029F"/>
    <w:rsid w:val="00CD1A65"/>
    <w:rsid w:val="00CD2141"/>
    <w:rsid w:val="00CD2306"/>
    <w:rsid w:val="00CD3F12"/>
    <w:rsid w:val="00CD5217"/>
    <w:rsid w:val="00CD525E"/>
    <w:rsid w:val="00CD5328"/>
    <w:rsid w:val="00CD7939"/>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23DB"/>
    <w:rsid w:val="00CF358D"/>
    <w:rsid w:val="00CF5213"/>
    <w:rsid w:val="00CF7001"/>
    <w:rsid w:val="00CF7048"/>
    <w:rsid w:val="00CF74F3"/>
    <w:rsid w:val="00CF79F6"/>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457A"/>
    <w:rsid w:val="00D45FEB"/>
    <w:rsid w:val="00D463A0"/>
    <w:rsid w:val="00D46EF0"/>
    <w:rsid w:val="00D510D8"/>
    <w:rsid w:val="00D5240F"/>
    <w:rsid w:val="00D53133"/>
    <w:rsid w:val="00D56D3E"/>
    <w:rsid w:val="00D5747F"/>
    <w:rsid w:val="00D60E8B"/>
    <w:rsid w:val="00D62AE4"/>
    <w:rsid w:val="00D63BF5"/>
    <w:rsid w:val="00D63EAC"/>
    <w:rsid w:val="00D65113"/>
    <w:rsid w:val="00D6547D"/>
    <w:rsid w:val="00D65CC4"/>
    <w:rsid w:val="00D66D80"/>
    <w:rsid w:val="00D6728D"/>
    <w:rsid w:val="00D701D2"/>
    <w:rsid w:val="00D70E42"/>
    <w:rsid w:val="00D7337C"/>
    <w:rsid w:val="00D733E9"/>
    <w:rsid w:val="00D74BE2"/>
    <w:rsid w:val="00D7575D"/>
    <w:rsid w:val="00D7577A"/>
    <w:rsid w:val="00D76783"/>
    <w:rsid w:val="00D82F5E"/>
    <w:rsid w:val="00D83BD3"/>
    <w:rsid w:val="00D83C5B"/>
    <w:rsid w:val="00D83F66"/>
    <w:rsid w:val="00D847C4"/>
    <w:rsid w:val="00D8483D"/>
    <w:rsid w:val="00D85EAE"/>
    <w:rsid w:val="00D863C2"/>
    <w:rsid w:val="00D86A6D"/>
    <w:rsid w:val="00D90FF4"/>
    <w:rsid w:val="00D91C75"/>
    <w:rsid w:val="00D92B3B"/>
    <w:rsid w:val="00D93122"/>
    <w:rsid w:val="00D94101"/>
    <w:rsid w:val="00D95151"/>
    <w:rsid w:val="00D97E81"/>
    <w:rsid w:val="00DA0153"/>
    <w:rsid w:val="00DA0331"/>
    <w:rsid w:val="00DA190C"/>
    <w:rsid w:val="00DA4C7B"/>
    <w:rsid w:val="00DA5026"/>
    <w:rsid w:val="00DA509F"/>
    <w:rsid w:val="00DA7469"/>
    <w:rsid w:val="00DA7D3D"/>
    <w:rsid w:val="00DB08C0"/>
    <w:rsid w:val="00DB0A6C"/>
    <w:rsid w:val="00DB0E0E"/>
    <w:rsid w:val="00DB12B7"/>
    <w:rsid w:val="00DB16BE"/>
    <w:rsid w:val="00DB2869"/>
    <w:rsid w:val="00DB301E"/>
    <w:rsid w:val="00DB4568"/>
    <w:rsid w:val="00DB5488"/>
    <w:rsid w:val="00DB64DC"/>
    <w:rsid w:val="00DB6710"/>
    <w:rsid w:val="00DB6949"/>
    <w:rsid w:val="00DB707C"/>
    <w:rsid w:val="00DC1E56"/>
    <w:rsid w:val="00DC35E5"/>
    <w:rsid w:val="00DC3C34"/>
    <w:rsid w:val="00DC3F6F"/>
    <w:rsid w:val="00DC46F3"/>
    <w:rsid w:val="00DC6AEA"/>
    <w:rsid w:val="00DC6CA9"/>
    <w:rsid w:val="00DC78A5"/>
    <w:rsid w:val="00DC7A7B"/>
    <w:rsid w:val="00DD0029"/>
    <w:rsid w:val="00DD0489"/>
    <w:rsid w:val="00DD07FD"/>
    <w:rsid w:val="00DD0ACB"/>
    <w:rsid w:val="00DD0EA5"/>
    <w:rsid w:val="00DD1DA9"/>
    <w:rsid w:val="00DD1DCF"/>
    <w:rsid w:val="00DD2250"/>
    <w:rsid w:val="00DD233F"/>
    <w:rsid w:val="00DD348A"/>
    <w:rsid w:val="00DD3BEB"/>
    <w:rsid w:val="00DD4985"/>
    <w:rsid w:val="00DD4EF5"/>
    <w:rsid w:val="00DD68D1"/>
    <w:rsid w:val="00DE2318"/>
    <w:rsid w:val="00DE2633"/>
    <w:rsid w:val="00DE37B3"/>
    <w:rsid w:val="00DE4F77"/>
    <w:rsid w:val="00DE69DD"/>
    <w:rsid w:val="00DE6A65"/>
    <w:rsid w:val="00DF1037"/>
    <w:rsid w:val="00DF1108"/>
    <w:rsid w:val="00DF1E8A"/>
    <w:rsid w:val="00DF20AA"/>
    <w:rsid w:val="00DF279F"/>
    <w:rsid w:val="00DF3335"/>
    <w:rsid w:val="00DF5529"/>
    <w:rsid w:val="00DF55B2"/>
    <w:rsid w:val="00DF5AC8"/>
    <w:rsid w:val="00DF5C77"/>
    <w:rsid w:val="00DF5D71"/>
    <w:rsid w:val="00DF6BA9"/>
    <w:rsid w:val="00DF7A65"/>
    <w:rsid w:val="00DF7CB8"/>
    <w:rsid w:val="00DF7DCA"/>
    <w:rsid w:val="00E00834"/>
    <w:rsid w:val="00E01EE0"/>
    <w:rsid w:val="00E0270F"/>
    <w:rsid w:val="00E02CD1"/>
    <w:rsid w:val="00E02D4F"/>
    <w:rsid w:val="00E02DCE"/>
    <w:rsid w:val="00E034F1"/>
    <w:rsid w:val="00E03641"/>
    <w:rsid w:val="00E0439A"/>
    <w:rsid w:val="00E04CE3"/>
    <w:rsid w:val="00E05014"/>
    <w:rsid w:val="00E054D8"/>
    <w:rsid w:val="00E05B39"/>
    <w:rsid w:val="00E060DE"/>
    <w:rsid w:val="00E0753C"/>
    <w:rsid w:val="00E078C5"/>
    <w:rsid w:val="00E104A8"/>
    <w:rsid w:val="00E10EF1"/>
    <w:rsid w:val="00E147DB"/>
    <w:rsid w:val="00E172F7"/>
    <w:rsid w:val="00E1747D"/>
    <w:rsid w:val="00E17ED9"/>
    <w:rsid w:val="00E20737"/>
    <w:rsid w:val="00E20D76"/>
    <w:rsid w:val="00E22C54"/>
    <w:rsid w:val="00E24917"/>
    <w:rsid w:val="00E24A4F"/>
    <w:rsid w:val="00E2622B"/>
    <w:rsid w:val="00E26E5A"/>
    <w:rsid w:val="00E2712A"/>
    <w:rsid w:val="00E27937"/>
    <w:rsid w:val="00E3143B"/>
    <w:rsid w:val="00E32941"/>
    <w:rsid w:val="00E332F6"/>
    <w:rsid w:val="00E33738"/>
    <w:rsid w:val="00E33FC7"/>
    <w:rsid w:val="00E35091"/>
    <w:rsid w:val="00E3529D"/>
    <w:rsid w:val="00E36103"/>
    <w:rsid w:val="00E361D9"/>
    <w:rsid w:val="00E369CA"/>
    <w:rsid w:val="00E3736A"/>
    <w:rsid w:val="00E37E5D"/>
    <w:rsid w:val="00E41290"/>
    <w:rsid w:val="00E415E0"/>
    <w:rsid w:val="00E4193E"/>
    <w:rsid w:val="00E42118"/>
    <w:rsid w:val="00E4232C"/>
    <w:rsid w:val="00E423A8"/>
    <w:rsid w:val="00E4294C"/>
    <w:rsid w:val="00E42E09"/>
    <w:rsid w:val="00E42E37"/>
    <w:rsid w:val="00E43439"/>
    <w:rsid w:val="00E44025"/>
    <w:rsid w:val="00E46085"/>
    <w:rsid w:val="00E46107"/>
    <w:rsid w:val="00E4629B"/>
    <w:rsid w:val="00E46D67"/>
    <w:rsid w:val="00E51B87"/>
    <w:rsid w:val="00E52355"/>
    <w:rsid w:val="00E52F45"/>
    <w:rsid w:val="00E53AC8"/>
    <w:rsid w:val="00E54077"/>
    <w:rsid w:val="00E54542"/>
    <w:rsid w:val="00E557AC"/>
    <w:rsid w:val="00E56EC1"/>
    <w:rsid w:val="00E57334"/>
    <w:rsid w:val="00E607EC"/>
    <w:rsid w:val="00E60934"/>
    <w:rsid w:val="00E63C00"/>
    <w:rsid w:val="00E65581"/>
    <w:rsid w:val="00E67385"/>
    <w:rsid w:val="00E6776D"/>
    <w:rsid w:val="00E70958"/>
    <w:rsid w:val="00E712C4"/>
    <w:rsid w:val="00E71B57"/>
    <w:rsid w:val="00E71FE6"/>
    <w:rsid w:val="00E73AC1"/>
    <w:rsid w:val="00E74183"/>
    <w:rsid w:val="00E74F74"/>
    <w:rsid w:val="00E75AE2"/>
    <w:rsid w:val="00E764C6"/>
    <w:rsid w:val="00E76535"/>
    <w:rsid w:val="00E76B40"/>
    <w:rsid w:val="00E77D12"/>
    <w:rsid w:val="00E77E8A"/>
    <w:rsid w:val="00E82136"/>
    <w:rsid w:val="00E82709"/>
    <w:rsid w:val="00E828EB"/>
    <w:rsid w:val="00E82BF6"/>
    <w:rsid w:val="00E82EF6"/>
    <w:rsid w:val="00E83214"/>
    <w:rsid w:val="00E84717"/>
    <w:rsid w:val="00E84C08"/>
    <w:rsid w:val="00E8668A"/>
    <w:rsid w:val="00E8781B"/>
    <w:rsid w:val="00E9069D"/>
    <w:rsid w:val="00E9070E"/>
    <w:rsid w:val="00E908BC"/>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6AA7"/>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AA0"/>
    <w:rsid w:val="00ED3D8A"/>
    <w:rsid w:val="00ED423F"/>
    <w:rsid w:val="00ED58ED"/>
    <w:rsid w:val="00ED5C89"/>
    <w:rsid w:val="00ED6024"/>
    <w:rsid w:val="00ED687B"/>
    <w:rsid w:val="00ED6A6E"/>
    <w:rsid w:val="00ED74FD"/>
    <w:rsid w:val="00EE0B22"/>
    <w:rsid w:val="00EE12F6"/>
    <w:rsid w:val="00EE1640"/>
    <w:rsid w:val="00EE195F"/>
    <w:rsid w:val="00EE1AC4"/>
    <w:rsid w:val="00EE1EA9"/>
    <w:rsid w:val="00EE21E9"/>
    <w:rsid w:val="00EE2746"/>
    <w:rsid w:val="00EE2E35"/>
    <w:rsid w:val="00EE3900"/>
    <w:rsid w:val="00EE3A23"/>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358F"/>
    <w:rsid w:val="00F042DD"/>
    <w:rsid w:val="00F04ABF"/>
    <w:rsid w:val="00F04E1C"/>
    <w:rsid w:val="00F06D30"/>
    <w:rsid w:val="00F06FFD"/>
    <w:rsid w:val="00F07326"/>
    <w:rsid w:val="00F1161C"/>
    <w:rsid w:val="00F11FB9"/>
    <w:rsid w:val="00F1300E"/>
    <w:rsid w:val="00F139A3"/>
    <w:rsid w:val="00F144A1"/>
    <w:rsid w:val="00F151DF"/>
    <w:rsid w:val="00F1744A"/>
    <w:rsid w:val="00F17466"/>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5CB8"/>
    <w:rsid w:val="00F37B02"/>
    <w:rsid w:val="00F400E2"/>
    <w:rsid w:val="00F40918"/>
    <w:rsid w:val="00F409F5"/>
    <w:rsid w:val="00F41B35"/>
    <w:rsid w:val="00F42412"/>
    <w:rsid w:val="00F4254D"/>
    <w:rsid w:val="00F43418"/>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3F93"/>
    <w:rsid w:val="00F54EB2"/>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3A80"/>
    <w:rsid w:val="00F74892"/>
    <w:rsid w:val="00F74A9E"/>
    <w:rsid w:val="00F7519D"/>
    <w:rsid w:val="00F7641D"/>
    <w:rsid w:val="00F76A25"/>
    <w:rsid w:val="00F76D9B"/>
    <w:rsid w:val="00F80B4C"/>
    <w:rsid w:val="00F80FF6"/>
    <w:rsid w:val="00F8418D"/>
    <w:rsid w:val="00F848A5"/>
    <w:rsid w:val="00F8568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91"/>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AFE"/>
    <w:rsid w:val="00FB1F00"/>
    <w:rsid w:val="00FB203C"/>
    <w:rsid w:val="00FB3145"/>
    <w:rsid w:val="00FB3234"/>
    <w:rsid w:val="00FB4B89"/>
    <w:rsid w:val="00FB5474"/>
    <w:rsid w:val="00FC172E"/>
    <w:rsid w:val="00FC295F"/>
    <w:rsid w:val="00FC2F39"/>
    <w:rsid w:val="00FC488E"/>
    <w:rsid w:val="00FC54D5"/>
    <w:rsid w:val="00FC5841"/>
    <w:rsid w:val="00FC5E02"/>
    <w:rsid w:val="00FC605C"/>
    <w:rsid w:val="00FC6D07"/>
    <w:rsid w:val="00FC73B6"/>
    <w:rsid w:val="00FD00D4"/>
    <w:rsid w:val="00FD1025"/>
    <w:rsid w:val="00FD1570"/>
    <w:rsid w:val="00FD17C5"/>
    <w:rsid w:val="00FD2477"/>
    <w:rsid w:val="00FD309A"/>
    <w:rsid w:val="00FD43FD"/>
    <w:rsid w:val="00FD4F62"/>
    <w:rsid w:val="00FD5378"/>
    <w:rsid w:val="00FD5488"/>
    <w:rsid w:val="00FD5B44"/>
    <w:rsid w:val="00FD731B"/>
    <w:rsid w:val="00FD7ACD"/>
    <w:rsid w:val="00FD7BB7"/>
    <w:rsid w:val="00FE1E74"/>
    <w:rsid w:val="00FE2612"/>
    <w:rsid w:val="00FE2CFD"/>
    <w:rsid w:val="00FE3862"/>
    <w:rsid w:val="00FE41DF"/>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3200B8"/>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3200B8"/>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t Ch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Style 24"/>
    <w:basedOn w:val="DefaultParagraphFont"/>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E67385"/>
    <w:pPr>
      <w:keepNext/>
      <w:keepLines/>
      <w:spacing w:after="120" w:line="480" w:lineRule="auto"/>
    </w:pPr>
    <w:rPr>
      <w:rFonts w:ascii="Times New Roman" w:eastAsia="SimSun" w:hAnsi="Times New Roman"/>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1C44F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E67385"/>
    <w:rPr>
      <w:rFonts w:ascii="Times New Roman" w:eastAsia="SimSun" w:hAnsi="Times New Roma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uiPriority w:val="99"/>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uiPriority w:val="99"/>
    <w:rsid w:val="00B31C09"/>
    <w:pPr>
      <w:ind w:left="1440" w:firstLine="0"/>
    </w:pPr>
    <w:rPr>
      <w:rFonts w:eastAsia="SimSun"/>
      <w:i/>
    </w:rPr>
  </w:style>
  <w:style w:type="character" w:styleId="PlaceholderText">
    <w:name w:val="Placeholder Text"/>
    <w:basedOn w:val="DefaultParagraphFont"/>
    <w:uiPriority w:val="99"/>
    <w:semiHidden/>
    <w:rsid w:val="00FD17C5"/>
    <w:rPr>
      <w:color w:val="808080"/>
    </w:rPr>
  </w:style>
  <w:style w:type="character" w:customStyle="1" w:styleId="Heading2Char1">
    <w:name w:val="Heading 2 Char1"/>
    <w:aliases w:val="h2 Char1"/>
    <w:basedOn w:val="DefaultParagraphFont"/>
    <w:semiHidden/>
    <w:rsid w:val="00132962"/>
    <w:rPr>
      <w:rFonts w:asciiTheme="majorHAnsi" w:eastAsiaTheme="majorEastAsia" w:hAnsiTheme="majorHAnsi" w:cstheme="majorBidi"/>
      <w:b/>
      <w:bCs/>
      <w:color w:val="4F81BD" w:themeColor="accent1"/>
      <w:sz w:val="26"/>
      <w:szCs w:val="26"/>
      <w:lang w:eastAsia="zh-CN"/>
    </w:rPr>
  </w:style>
  <w:style w:type="character" w:customStyle="1" w:styleId="Heading3Char1">
    <w:name w:val="Heading 3 Char1"/>
    <w:aliases w:val="h3 Char1"/>
    <w:basedOn w:val="DefaultParagraphFont"/>
    <w:uiPriority w:val="99"/>
    <w:semiHidden/>
    <w:rsid w:val="00132962"/>
    <w:rPr>
      <w:rFonts w:asciiTheme="majorHAnsi" w:eastAsiaTheme="majorEastAsia" w:hAnsiTheme="majorHAnsi" w:cstheme="majorBidi"/>
      <w:b/>
      <w:bCs/>
      <w:color w:val="4F81BD" w:themeColor="accent1"/>
      <w:sz w:val="24"/>
      <w:lang w:eastAsia="zh-CN"/>
    </w:rPr>
  </w:style>
  <w:style w:type="character" w:customStyle="1" w:styleId="Heading4Char1">
    <w:name w:val="Heading 4 Char1"/>
    <w:aliases w:val="h4 Char1"/>
    <w:basedOn w:val="DefaultParagraphFont"/>
    <w:uiPriority w:val="99"/>
    <w:semiHidden/>
    <w:rsid w:val="00132962"/>
    <w:rPr>
      <w:rFonts w:asciiTheme="majorHAnsi" w:eastAsiaTheme="majorEastAsia" w:hAnsiTheme="majorHAnsi" w:cstheme="majorBidi"/>
      <w:b/>
      <w:bCs/>
      <w:i/>
      <w:iCs/>
      <w:color w:val="4F81BD" w:themeColor="accent1"/>
      <w:sz w:val="24"/>
      <w:lang w:eastAsia="zh-CN"/>
    </w:rPr>
  </w:style>
  <w:style w:type="character" w:customStyle="1" w:styleId="Heading5Char1">
    <w:name w:val="Heading 5 Char1"/>
    <w:aliases w:val="h5 Char1"/>
    <w:basedOn w:val="DefaultParagraphFont"/>
    <w:uiPriority w:val="99"/>
    <w:semiHidden/>
    <w:rsid w:val="00132962"/>
    <w:rPr>
      <w:rFonts w:asciiTheme="majorHAnsi" w:eastAsiaTheme="majorEastAsia" w:hAnsiTheme="majorHAnsi" w:cstheme="majorBidi"/>
      <w:color w:val="243F60" w:themeColor="accent1" w:themeShade="7F"/>
      <w:sz w:val="24"/>
      <w:lang w:eastAsia="zh-CN"/>
    </w:rPr>
  </w:style>
  <w:style w:type="character" w:customStyle="1" w:styleId="Heading6Char1">
    <w:name w:val="Heading 6 Char1"/>
    <w:aliases w:val="h6 Char1"/>
    <w:basedOn w:val="DefaultParagraphFont"/>
    <w:uiPriority w:val="99"/>
    <w:semiHidden/>
    <w:rsid w:val="00132962"/>
    <w:rPr>
      <w:rFonts w:asciiTheme="majorHAnsi" w:eastAsiaTheme="majorEastAsia" w:hAnsiTheme="majorHAnsi" w:cstheme="majorBidi"/>
      <w:i/>
      <w:iCs/>
      <w:color w:val="243F60" w:themeColor="accent1" w:themeShade="7F"/>
      <w:sz w:val="24"/>
      <w:lang w:eastAsia="zh-CN"/>
    </w:rPr>
  </w:style>
  <w:style w:type="character" w:customStyle="1" w:styleId="Heading7Char1">
    <w:name w:val="Heading 7 Char1"/>
    <w:aliases w:val="h7 Char1"/>
    <w:basedOn w:val="DefaultParagraphFont"/>
    <w:uiPriority w:val="99"/>
    <w:semiHidden/>
    <w:rsid w:val="00132962"/>
    <w:rPr>
      <w:rFonts w:asciiTheme="majorHAnsi" w:eastAsiaTheme="majorEastAsia" w:hAnsiTheme="majorHAnsi" w:cstheme="majorBidi"/>
      <w:i/>
      <w:iCs/>
      <w:color w:val="404040" w:themeColor="text1" w:themeTint="BF"/>
      <w:sz w:val="24"/>
      <w:lang w:eastAsia="zh-CN"/>
    </w:rPr>
  </w:style>
  <w:style w:type="character" w:customStyle="1" w:styleId="Heading8Char1">
    <w:name w:val="Heading 8 Char1"/>
    <w:aliases w:val="h8 Char1"/>
    <w:basedOn w:val="DefaultParagraphFont"/>
    <w:uiPriority w:val="99"/>
    <w:semiHidden/>
    <w:rsid w:val="00132962"/>
    <w:rPr>
      <w:rFonts w:asciiTheme="majorHAnsi" w:eastAsiaTheme="majorEastAsia" w:hAnsiTheme="majorHAnsi" w:cstheme="majorBidi"/>
      <w:color w:val="404040" w:themeColor="text1" w:themeTint="BF"/>
      <w:lang w:eastAsia="zh-CN"/>
    </w:rPr>
  </w:style>
  <w:style w:type="character" w:customStyle="1" w:styleId="Heading9Char1">
    <w:name w:val="Heading 9 Char1"/>
    <w:aliases w:val="h9 Char1"/>
    <w:basedOn w:val="DefaultParagraphFont"/>
    <w:uiPriority w:val="99"/>
    <w:semiHidden/>
    <w:rsid w:val="00132962"/>
    <w:rPr>
      <w:rFonts w:asciiTheme="majorHAnsi" w:eastAsiaTheme="majorEastAsia" w:hAnsiTheme="majorHAnsi" w:cstheme="majorBidi"/>
      <w:i/>
      <w:iCs/>
      <w:color w:val="404040" w:themeColor="text1" w:themeTint="BF"/>
      <w:lang w:eastAsia="zh-CN"/>
    </w:rPr>
  </w:style>
  <w:style w:type="character" w:customStyle="1" w:styleId="BodyTextChar1">
    <w:name w:val="Body Text Char1"/>
    <w:aliases w:val="bt Char1"/>
    <w:basedOn w:val="DefaultParagraphFont"/>
    <w:uiPriority w:val="99"/>
    <w:semiHidden/>
    <w:rsid w:val="00132962"/>
    <w:rPr>
      <w:rFonts w:ascii="Times New Roman" w:hAnsi="Times New Roman"/>
      <w:sz w:val="24"/>
      <w:szCs w:val="20"/>
      <w:lang w:eastAsia="zh-CN"/>
    </w:rPr>
  </w:style>
  <w:style w:type="paragraph" w:styleId="Quote">
    <w:name w:val="Quote"/>
    <w:basedOn w:val="Normal"/>
    <w:next w:val="Normal"/>
    <w:link w:val="QuoteChar"/>
    <w:uiPriority w:val="29"/>
    <w:qFormat/>
    <w:rsid w:val="00132962"/>
    <w:pPr>
      <w:spacing w:after="280" w:line="240" w:lineRule="auto"/>
      <w:ind w:left="1440" w:right="720" w:firstLine="0"/>
      <w:jc w:val="both"/>
    </w:pPr>
    <w:rPr>
      <w:iCs/>
      <w:color w:val="000000" w:themeColor="text1"/>
      <w:szCs w:val="24"/>
      <w:lang w:eastAsia="en-US"/>
    </w:rPr>
  </w:style>
  <w:style w:type="character" w:customStyle="1" w:styleId="QuoteChar">
    <w:name w:val="Quote Char"/>
    <w:basedOn w:val="DefaultParagraphFont"/>
    <w:link w:val="Quote"/>
    <w:uiPriority w:val="29"/>
    <w:rsid w:val="00132962"/>
    <w:rPr>
      <w:rFonts w:ascii="Times New Roman" w:hAnsi="Times New Roman"/>
      <w:iCs/>
      <w:color w:val="000000" w:themeColor="text1"/>
      <w:sz w:val="24"/>
      <w:szCs w:val="24"/>
    </w:rPr>
  </w:style>
  <w:style w:type="character" w:customStyle="1" w:styleId="NestedAnswerChar">
    <w:name w:val="Nested Answer Char"/>
    <w:basedOn w:val="answerChar"/>
    <w:link w:val="NestedAnswer"/>
    <w:locked/>
    <w:rsid w:val="00132962"/>
    <w:rPr>
      <w:rFonts w:ascii="Times New Roman" w:eastAsia="PMingLiU" w:hAnsi="Times New Roman" w:cs="Times New Roman"/>
      <w:sz w:val="24"/>
      <w:szCs w:val="20"/>
      <w:lang w:val="en-US" w:eastAsia="zh-CN" w:bidi="ar-SA"/>
    </w:rPr>
  </w:style>
  <w:style w:type="paragraph" w:customStyle="1" w:styleId="NestedAnswer">
    <w:name w:val="Nested Answer"/>
    <w:basedOn w:val="answer"/>
    <w:link w:val="NestedAnswerChar"/>
    <w:qFormat/>
    <w:rsid w:val="00132962"/>
    <w:pPr>
      <w:ind w:firstLine="0"/>
    </w:pPr>
    <w:rPr>
      <w:rFonts w:eastAsia="PMingLiU"/>
    </w:rPr>
  </w:style>
  <w:style w:type="numbering" w:customStyle="1" w:styleId="NoList1">
    <w:name w:val="No List1"/>
    <w:next w:val="NoList"/>
    <w:uiPriority w:val="99"/>
    <w:semiHidden/>
    <w:unhideWhenUsed/>
    <w:rsid w:val="00B7218D"/>
  </w:style>
  <w:style w:type="table" w:customStyle="1" w:styleId="TableGrid1">
    <w:name w:val="Table Grid1"/>
    <w:basedOn w:val="TableNormal"/>
    <w:next w:val="TableGrid"/>
    <w:uiPriority w:val="99"/>
    <w:rsid w:val="00B721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footnote text" w:qFormat="1"/>
    <w:lsdException w:name="caption" w:semiHidden="0" w:unhideWhenUsed="0"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3200B8"/>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3200B8"/>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t Ch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Style 24"/>
    <w:basedOn w:val="DefaultParagraphFont"/>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E67385"/>
    <w:pPr>
      <w:keepNext/>
      <w:keepLines/>
      <w:spacing w:after="120" w:line="480" w:lineRule="auto"/>
    </w:pPr>
    <w:rPr>
      <w:rFonts w:ascii="Times New Roman" w:eastAsia="SimSun" w:hAnsi="Times New Roman"/>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1C44F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E67385"/>
    <w:rPr>
      <w:rFonts w:ascii="Times New Roman" w:eastAsia="SimSun" w:hAnsi="Times New Roma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uiPriority w:val="99"/>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uiPriority w:val="99"/>
    <w:rsid w:val="00B31C09"/>
    <w:pPr>
      <w:ind w:left="1440" w:firstLine="0"/>
    </w:pPr>
    <w:rPr>
      <w:rFonts w:eastAsia="SimSun"/>
      <w:i/>
    </w:rPr>
  </w:style>
  <w:style w:type="character" w:styleId="PlaceholderText">
    <w:name w:val="Placeholder Text"/>
    <w:basedOn w:val="DefaultParagraphFont"/>
    <w:uiPriority w:val="99"/>
    <w:semiHidden/>
    <w:rsid w:val="00FD17C5"/>
    <w:rPr>
      <w:color w:val="808080"/>
    </w:rPr>
  </w:style>
  <w:style w:type="character" w:customStyle="1" w:styleId="Heading2Char1">
    <w:name w:val="Heading 2 Char1"/>
    <w:aliases w:val="h2 Char1"/>
    <w:basedOn w:val="DefaultParagraphFont"/>
    <w:semiHidden/>
    <w:rsid w:val="00132962"/>
    <w:rPr>
      <w:rFonts w:asciiTheme="majorHAnsi" w:eastAsiaTheme="majorEastAsia" w:hAnsiTheme="majorHAnsi" w:cstheme="majorBidi"/>
      <w:b/>
      <w:bCs/>
      <w:color w:val="4F81BD" w:themeColor="accent1"/>
      <w:sz w:val="26"/>
      <w:szCs w:val="26"/>
      <w:lang w:eastAsia="zh-CN"/>
    </w:rPr>
  </w:style>
  <w:style w:type="character" w:customStyle="1" w:styleId="Heading3Char1">
    <w:name w:val="Heading 3 Char1"/>
    <w:aliases w:val="h3 Char1"/>
    <w:basedOn w:val="DefaultParagraphFont"/>
    <w:uiPriority w:val="99"/>
    <w:semiHidden/>
    <w:rsid w:val="00132962"/>
    <w:rPr>
      <w:rFonts w:asciiTheme="majorHAnsi" w:eastAsiaTheme="majorEastAsia" w:hAnsiTheme="majorHAnsi" w:cstheme="majorBidi"/>
      <w:b/>
      <w:bCs/>
      <w:color w:val="4F81BD" w:themeColor="accent1"/>
      <w:sz w:val="24"/>
      <w:lang w:eastAsia="zh-CN"/>
    </w:rPr>
  </w:style>
  <w:style w:type="character" w:customStyle="1" w:styleId="Heading4Char1">
    <w:name w:val="Heading 4 Char1"/>
    <w:aliases w:val="h4 Char1"/>
    <w:basedOn w:val="DefaultParagraphFont"/>
    <w:uiPriority w:val="99"/>
    <w:semiHidden/>
    <w:rsid w:val="00132962"/>
    <w:rPr>
      <w:rFonts w:asciiTheme="majorHAnsi" w:eastAsiaTheme="majorEastAsia" w:hAnsiTheme="majorHAnsi" w:cstheme="majorBidi"/>
      <w:b/>
      <w:bCs/>
      <w:i/>
      <w:iCs/>
      <w:color w:val="4F81BD" w:themeColor="accent1"/>
      <w:sz w:val="24"/>
      <w:lang w:eastAsia="zh-CN"/>
    </w:rPr>
  </w:style>
  <w:style w:type="character" w:customStyle="1" w:styleId="Heading5Char1">
    <w:name w:val="Heading 5 Char1"/>
    <w:aliases w:val="h5 Char1"/>
    <w:basedOn w:val="DefaultParagraphFont"/>
    <w:uiPriority w:val="99"/>
    <w:semiHidden/>
    <w:rsid w:val="00132962"/>
    <w:rPr>
      <w:rFonts w:asciiTheme="majorHAnsi" w:eastAsiaTheme="majorEastAsia" w:hAnsiTheme="majorHAnsi" w:cstheme="majorBidi"/>
      <w:color w:val="243F60" w:themeColor="accent1" w:themeShade="7F"/>
      <w:sz w:val="24"/>
      <w:lang w:eastAsia="zh-CN"/>
    </w:rPr>
  </w:style>
  <w:style w:type="character" w:customStyle="1" w:styleId="Heading6Char1">
    <w:name w:val="Heading 6 Char1"/>
    <w:aliases w:val="h6 Char1"/>
    <w:basedOn w:val="DefaultParagraphFont"/>
    <w:uiPriority w:val="99"/>
    <w:semiHidden/>
    <w:rsid w:val="00132962"/>
    <w:rPr>
      <w:rFonts w:asciiTheme="majorHAnsi" w:eastAsiaTheme="majorEastAsia" w:hAnsiTheme="majorHAnsi" w:cstheme="majorBidi"/>
      <w:i/>
      <w:iCs/>
      <w:color w:val="243F60" w:themeColor="accent1" w:themeShade="7F"/>
      <w:sz w:val="24"/>
      <w:lang w:eastAsia="zh-CN"/>
    </w:rPr>
  </w:style>
  <w:style w:type="character" w:customStyle="1" w:styleId="Heading7Char1">
    <w:name w:val="Heading 7 Char1"/>
    <w:aliases w:val="h7 Char1"/>
    <w:basedOn w:val="DefaultParagraphFont"/>
    <w:uiPriority w:val="99"/>
    <w:semiHidden/>
    <w:rsid w:val="00132962"/>
    <w:rPr>
      <w:rFonts w:asciiTheme="majorHAnsi" w:eastAsiaTheme="majorEastAsia" w:hAnsiTheme="majorHAnsi" w:cstheme="majorBidi"/>
      <w:i/>
      <w:iCs/>
      <w:color w:val="404040" w:themeColor="text1" w:themeTint="BF"/>
      <w:sz w:val="24"/>
      <w:lang w:eastAsia="zh-CN"/>
    </w:rPr>
  </w:style>
  <w:style w:type="character" w:customStyle="1" w:styleId="Heading8Char1">
    <w:name w:val="Heading 8 Char1"/>
    <w:aliases w:val="h8 Char1"/>
    <w:basedOn w:val="DefaultParagraphFont"/>
    <w:uiPriority w:val="99"/>
    <w:semiHidden/>
    <w:rsid w:val="00132962"/>
    <w:rPr>
      <w:rFonts w:asciiTheme="majorHAnsi" w:eastAsiaTheme="majorEastAsia" w:hAnsiTheme="majorHAnsi" w:cstheme="majorBidi"/>
      <w:color w:val="404040" w:themeColor="text1" w:themeTint="BF"/>
      <w:lang w:eastAsia="zh-CN"/>
    </w:rPr>
  </w:style>
  <w:style w:type="character" w:customStyle="1" w:styleId="Heading9Char1">
    <w:name w:val="Heading 9 Char1"/>
    <w:aliases w:val="h9 Char1"/>
    <w:basedOn w:val="DefaultParagraphFont"/>
    <w:uiPriority w:val="99"/>
    <w:semiHidden/>
    <w:rsid w:val="00132962"/>
    <w:rPr>
      <w:rFonts w:asciiTheme="majorHAnsi" w:eastAsiaTheme="majorEastAsia" w:hAnsiTheme="majorHAnsi" w:cstheme="majorBidi"/>
      <w:i/>
      <w:iCs/>
      <w:color w:val="404040" w:themeColor="text1" w:themeTint="BF"/>
      <w:lang w:eastAsia="zh-CN"/>
    </w:rPr>
  </w:style>
  <w:style w:type="character" w:customStyle="1" w:styleId="BodyTextChar1">
    <w:name w:val="Body Text Char1"/>
    <w:aliases w:val="bt Char1"/>
    <w:basedOn w:val="DefaultParagraphFont"/>
    <w:uiPriority w:val="99"/>
    <w:semiHidden/>
    <w:rsid w:val="00132962"/>
    <w:rPr>
      <w:rFonts w:ascii="Times New Roman" w:hAnsi="Times New Roman"/>
      <w:sz w:val="24"/>
      <w:szCs w:val="20"/>
      <w:lang w:eastAsia="zh-CN"/>
    </w:rPr>
  </w:style>
  <w:style w:type="paragraph" w:styleId="Quote">
    <w:name w:val="Quote"/>
    <w:basedOn w:val="Normal"/>
    <w:next w:val="Normal"/>
    <w:link w:val="QuoteChar"/>
    <w:uiPriority w:val="29"/>
    <w:qFormat/>
    <w:rsid w:val="00132962"/>
    <w:pPr>
      <w:spacing w:after="280" w:line="240" w:lineRule="auto"/>
      <w:ind w:left="1440" w:right="720" w:firstLine="0"/>
      <w:jc w:val="both"/>
    </w:pPr>
    <w:rPr>
      <w:iCs/>
      <w:color w:val="000000" w:themeColor="text1"/>
      <w:szCs w:val="24"/>
      <w:lang w:eastAsia="en-US"/>
    </w:rPr>
  </w:style>
  <w:style w:type="character" w:customStyle="1" w:styleId="QuoteChar">
    <w:name w:val="Quote Char"/>
    <w:basedOn w:val="DefaultParagraphFont"/>
    <w:link w:val="Quote"/>
    <w:uiPriority w:val="29"/>
    <w:rsid w:val="00132962"/>
    <w:rPr>
      <w:rFonts w:ascii="Times New Roman" w:hAnsi="Times New Roman"/>
      <w:iCs/>
      <w:color w:val="000000" w:themeColor="text1"/>
      <w:sz w:val="24"/>
      <w:szCs w:val="24"/>
    </w:rPr>
  </w:style>
  <w:style w:type="character" w:customStyle="1" w:styleId="NestedAnswerChar">
    <w:name w:val="Nested Answer Char"/>
    <w:basedOn w:val="answerChar"/>
    <w:link w:val="NestedAnswer"/>
    <w:locked/>
    <w:rsid w:val="00132962"/>
    <w:rPr>
      <w:rFonts w:ascii="Times New Roman" w:eastAsia="PMingLiU" w:hAnsi="Times New Roman" w:cs="Times New Roman"/>
      <w:sz w:val="24"/>
      <w:szCs w:val="20"/>
      <w:lang w:val="en-US" w:eastAsia="zh-CN" w:bidi="ar-SA"/>
    </w:rPr>
  </w:style>
  <w:style w:type="paragraph" w:customStyle="1" w:styleId="NestedAnswer">
    <w:name w:val="Nested Answer"/>
    <w:basedOn w:val="answer"/>
    <w:link w:val="NestedAnswerChar"/>
    <w:qFormat/>
    <w:rsid w:val="00132962"/>
    <w:pPr>
      <w:ind w:firstLine="0"/>
    </w:pPr>
    <w:rPr>
      <w:rFonts w:eastAsia="PMingLiU"/>
    </w:rPr>
  </w:style>
  <w:style w:type="numbering" w:customStyle="1" w:styleId="NoList1">
    <w:name w:val="No List1"/>
    <w:next w:val="NoList"/>
    <w:uiPriority w:val="99"/>
    <w:semiHidden/>
    <w:unhideWhenUsed/>
    <w:rsid w:val="00B7218D"/>
  </w:style>
  <w:style w:type="table" w:customStyle="1" w:styleId="TableGrid1">
    <w:name w:val="Table Grid1"/>
    <w:basedOn w:val="TableNormal"/>
    <w:next w:val="TableGrid"/>
    <w:uiPriority w:val="99"/>
    <w:rsid w:val="00B721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3175">
      <w:bodyDiv w:val="1"/>
      <w:marLeft w:val="0"/>
      <w:marRight w:val="0"/>
      <w:marTop w:val="0"/>
      <w:marBottom w:val="0"/>
      <w:divBdr>
        <w:top w:val="none" w:sz="0" w:space="0" w:color="auto"/>
        <w:left w:val="none" w:sz="0" w:space="0" w:color="auto"/>
        <w:bottom w:val="none" w:sz="0" w:space="0" w:color="auto"/>
        <w:right w:val="none" w:sz="0" w:space="0" w:color="auto"/>
      </w:divBdr>
    </w:div>
    <w:div w:id="295725972">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15395534">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756054939">
      <w:bodyDiv w:val="1"/>
      <w:marLeft w:val="0"/>
      <w:marRight w:val="0"/>
      <w:marTop w:val="0"/>
      <w:marBottom w:val="0"/>
      <w:divBdr>
        <w:top w:val="none" w:sz="0" w:space="0" w:color="auto"/>
        <w:left w:val="none" w:sz="0" w:space="0" w:color="auto"/>
        <w:bottom w:val="none" w:sz="0" w:space="0" w:color="auto"/>
        <w:right w:val="none" w:sz="0" w:space="0" w:color="auto"/>
      </w:divBdr>
      <w:divsChild>
        <w:div w:id="160971378">
          <w:marLeft w:val="0"/>
          <w:marRight w:val="0"/>
          <w:marTop w:val="0"/>
          <w:marBottom w:val="390"/>
          <w:divBdr>
            <w:top w:val="none" w:sz="0" w:space="0" w:color="auto"/>
            <w:left w:val="none" w:sz="0" w:space="0" w:color="auto"/>
            <w:bottom w:val="none" w:sz="0" w:space="0" w:color="auto"/>
            <w:right w:val="none" w:sz="0" w:space="0" w:color="auto"/>
          </w:divBdr>
          <w:divsChild>
            <w:div w:id="57947083">
              <w:marLeft w:val="0"/>
              <w:marRight w:val="0"/>
              <w:marTop w:val="0"/>
              <w:marBottom w:val="0"/>
              <w:divBdr>
                <w:top w:val="none" w:sz="0" w:space="0" w:color="auto"/>
                <w:left w:val="none" w:sz="0" w:space="0" w:color="auto"/>
                <w:bottom w:val="none" w:sz="0" w:space="0" w:color="auto"/>
                <w:right w:val="none" w:sz="0" w:space="0" w:color="auto"/>
              </w:divBdr>
              <w:divsChild>
                <w:div w:id="607660158">
                  <w:marLeft w:val="0"/>
                  <w:marRight w:val="0"/>
                  <w:marTop w:val="0"/>
                  <w:marBottom w:val="0"/>
                  <w:divBdr>
                    <w:top w:val="none" w:sz="0" w:space="0" w:color="auto"/>
                    <w:left w:val="none" w:sz="0" w:space="0" w:color="auto"/>
                    <w:bottom w:val="none" w:sz="0" w:space="0" w:color="auto"/>
                    <w:right w:val="none" w:sz="0" w:space="0" w:color="auto"/>
                  </w:divBdr>
                  <w:divsChild>
                    <w:div w:id="1588269628">
                      <w:marLeft w:val="0"/>
                      <w:marRight w:val="0"/>
                      <w:marTop w:val="0"/>
                      <w:marBottom w:val="0"/>
                      <w:divBdr>
                        <w:top w:val="none" w:sz="0" w:space="0" w:color="auto"/>
                        <w:left w:val="none" w:sz="0" w:space="0" w:color="auto"/>
                        <w:bottom w:val="none" w:sz="0" w:space="0" w:color="auto"/>
                        <w:right w:val="none" w:sz="0" w:space="0" w:color="auto"/>
                      </w:divBdr>
                      <w:divsChild>
                        <w:div w:id="4589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156694">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078985984">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362707670">
      <w:bodyDiv w:val="1"/>
      <w:marLeft w:val="0"/>
      <w:marRight w:val="0"/>
      <w:marTop w:val="0"/>
      <w:marBottom w:val="0"/>
      <w:divBdr>
        <w:top w:val="none" w:sz="0" w:space="0" w:color="auto"/>
        <w:left w:val="none" w:sz="0" w:space="0" w:color="auto"/>
        <w:bottom w:val="none" w:sz="0" w:space="0" w:color="auto"/>
        <w:right w:val="none" w:sz="0" w:space="0" w:color="auto"/>
      </w:divBdr>
    </w:div>
    <w:div w:id="1400788045">
      <w:bodyDiv w:val="1"/>
      <w:marLeft w:val="0"/>
      <w:marRight w:val="0"/>
      <w:marTop w:val="0"/>
      <w:marBottom w:val="0"/>
      <w:divBdr>
        <w:top w:val="none" w:sz="0" w:space="0" w:color="auto"/>
        <w:left w:val="none" w:sz="0" w:space="0" w:color="auto"/>
        <w:bottom w:val="none" w:sz="0" w:space="0" w:color="auto"/>
        <w:right w:val="none" w:sz="0" w:space="0" w:color="auto"/>
      </w:divBdr>
    </w:div>
    <w:div w:id="1618683591">
      <w:bodyDiv w:val="1"/>
      <w:marLeft w:val="0"/>
      <w:marRight w:val="0"/>
      <w:marTop w:val="0"/>
      <w:marBottom w:val="0"/>
      <w:divBdr>
        <w:top w:val="none" w:sz="0" w:space="0" w:color="auto"/>
        <w:left w:val="none" w:sz="0" w:space="0" w:color="auto"/>
        <w:bottom w:val="none" w:sz="0" w:space="0" w:color="auto"/>
        <w:right w:val="none" w:sz="0" w:space="0" w:color="auto"/>
      </w:divBdr>
    </w:div>
    <w:div w:id="1678269381">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B3DE2CB-41D9-4EF9-8A87-56DE18F1B880}">
  <ds:schemaRefs>
    <ds:schemaRef ds:uri="http://schemas.openxmlformats.org/officeDocument/2006/bibliography"/>
  </ds:schemaRefs>
</ds:datastoreItem>
</file>

<file path=customXml/itemProps2.xml><?xml version="1.0" encoding="utf-8"?>
<ds:datastoreItem xmlns:ds="http://schemas.openxmlformats.org/officeDocument/2006/customXml" ds:itemID="{34380D40-5F27-45F5-8A9B-254EAD75B6DA}"/>
</file>

<file path=customXml/itemProps3.xml><?xml version="1.0" encoding="utf-8"?>
<ds:datastoreItem xmlns:ds="http://schemas.openxmlformats.org/officeDocument/2006/customXml" ds:itemID="{49264E29-686B-40B3-899C-27B31A4517BD}"/>
</file>

<file path=customXml/itemProps4.xml><?xml version="1.0" encoding="utf-8"?>
<ds:datastoreItem xmlns:ds="http://schemas.openxmlformats.org/officeDocument/2006/customXml" ds:itemID="{DBD2191D-6594-43E0-80F7-0C2AC0058C8F}"/>
</file>

<file path=customXml/itemProps5.xml><?xml version="1.0" encoding="utf-8"?>
<ds:datastoreItem xmlns:ds="http://schemas.openxmlformats.org/officeDocument/2006/customXml" ds:itemID="{3F23E3B5-9957-46BF-BEE9-EB18E603A872}"/>
</file>

<file path=docProps/app.xml><?xml version="1.0" encoding="utf-8"?>
<Properties xmlns="http://schemas.openxmlformats.org/officeDocument/2006/extended-properties" xmlns:vt="http://schemas.openxmlformats.org/officeDocument/2006/docPropsVTypes">
  <Template>Normal.dotm</Template>
  <TotalTime>38</TotalTime>
  <Pages>68</Pages>
  <Words>13631</Words>
  <Characters>77701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91150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Daniel</dc:creator>
  <cp:lastModifiedBy>No Name</cp:lastModifiedBy>
  <cp:revision>19</cp:revision>
  <cp:lastPrinted>2017-08-08T19:06:00Z</cp:lastPrinted>
  <dcterms:created xsi:type="dcterms:W3CDTF">2017-08-07T19:09:00Z</dcterms:created>
  <dcterms:modified xsi:type="dcterms:W3CDTF">2017-08-08T19:07:00Z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