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7D5DB" w14:textId="1B855632" w:rsidR="00434155" w:rsidRPr="00434155" w:rsidRDefault="00692305" w:rsidP="00A253E1">
      <w:pPr>
        <w:spacing w:line="240" w:lineRule="auto"/>
        <w:ind w:left="4590" w:firstLine="0"/>
        <w:rPr>
          <w:b/>
        </w:rPr>
      </w:pPr>
      <w:r>
        <w:rPr>
          <w:b/>
        </w:rPr>
        <w:t>EXH. CAK-4T</w:t>
      </w:r>
      <w:r w:rsidR="00434155" w:rsidRPr="00434155">
        <w:rPr>
          <w:b/>
        </w:rPr>
        <w:br/>
        <w:t>DOCKETS UE-170033/UG-170034</w:t>
      </w:r>
      <w:r w:rsidR="00434155" w:rsidRPr="00434155">
        <w:rPr>
          <w:b/>
        </w:rPr>
        <w:br/>
        <w:t>2017 PSE GENERAL RATE CASE</w:t>
      </w:r>
      <w:r w:rsidR="00434155" w:rsidRPr="00434155">
        <w:rPr>
          <w:b/>
        </w:rPr>
        <w:br/>
        <w:t>WITNESS:</w:t>
      </w:r>
      <w:r w:rsidR="00A562F6">
        <w:rPr>
          <w:b/>
        </w:rPr>
        <w:t xml:space="preserve"> </w:t>
      </w:r>
      <w:r w:rsidR="00D46613">
        <w:rPr>
          <w:b/>
        </w:rPr>
        <w:t>CATHERINE A. KOCH</w:t>
      </w:r>
    </w:p>
    <w:p w14:paraId="317423A0" w14:textId="77777777" w:rsidR="00434155" w:rsidRPr="00434155" w:rsidRDefault="00434155" w:rsidP="00A253E1">
      <w:pPr>
        <w:spacing w:before="1200" w:line="240" w:lineRule="auto"/>
        <w:ind w:firstLine="0"/>
        <w:jc w:val="center"/>
        <w:rPr>
          <w:b/>
        </w:rPr>
      </w:pPr>
      <w:r w:rsidRPr="00434155">
        <w:rPr>
          <w:b/>
        </w:rPr>
        <w:t>BEFORE THE</w:t>
      </w:r>
    </w:p>
    <w:p w14:paraId="4F878EA3" w14:textId="77777777" w:rsidR="00434155" w:rsidRPr="00434155" w:rsidRDefault="00434155" w:rsidP="00A253E1">
      <w:pPr>
        <w:spacing w:after="720" w:line="240" w:lineRule="auto"/>
        <w:ind w:firstLine="0"/>
        <w:jc w:val="center"/>
        <w:rPr>
          <w:b/>
        </w:rPr>
      </w:pPr>
      <w:r w:rsidRPr="00434155">
        <w:rPr>
          <w:b/>
        </w:rPr>
        <w:t>WASHINGTON UTILITIES AND TRANSPORTATION COMMISSION</w:t>
      </w: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434155" w:rsidRPr="00434155" w14:paraId="33B4889A" w14:textId="77777777" w:rsidTr="00D46613">
        <w:trPr>
          <w:cantSplit/>
        </w:trPr>
        <w:tc>
          <w:tcPr>
            <w:tcW w:w="4418" w:type="dxa"/>
            <w:tcBorders>
              <w:bottom w:val="single" w:sz="4" w:space="0" w:color="auto"/>
              <w:right w:val="single" w:sz="4" w:space="0" w:color="auto"/>
            </w:tcBorders>
          </w:tcPr>
          <w:p w14:paraId="1E77D111" w14:textId="77777777" w:rsidR="00434155" w:rsidRPr="00434155" w:rsidRDefault="00434155" w:rsidP="00A253E1">
            <w:pPr>
              <w:spacing w:line="240" w:lineRule="auto"/>
              <w:ind w:firstLine="0"/>
              <w:rPr>
                <w:b/>
              </w:rPr>
            </w:pPr>
            <w:r w:rsidRPr="00434155">
              <w:rPr>
                <w:b/>
              </w:rPr>
              <w:t>WASHINGTON UTILITIES AND</w:t>
            </w:r>
          </w:p>
          <w:p w14:paraId="759C4872" w14:textId="77777777" w:rsidR="00434155" w:rsidRPr="00434155" w:rsidRDefault="00434155" w:rsidP="00A253E1">
            <w:pPr>
              <w:spacing w:after="240" w:line="240" w:lineRule="auto"/>
              <w:ind w:firstLine="0"/>
              <w:rPr>
                <w:b/>
              </w:rPr>
            </w:pPr>
            <w:r w:rsidRPr="00434155">
              <w:rPr>
                <w:b/>
              </w:rPr>
              <w:t>TRANSPORTATION COMMISSION,</w:t>
            </w:r>
          </w:p>
          <w:p w14:paraId="0794445D" w14:textId="77777777" w:rsidR="00434155" w:rsidRPr="00434155" w:rsidRDefault="00434155" w:rsidP="00A253E1">
            <w:pPr>
              <w:spacing w:after="240" w:line="240" w:lineRule="auto"/>
              <w:ind w:firstLine="0"/>
              <w:rPr>
                <w:b/>
              </w:rPr>
            </w:pPr>
            <w:r w:rsidRPr="00434155">
              <w:rPr>
                <w:b/>
              </w:rPr>
              <w:t>Complainant,</w:t>
            </w:r>
          </w:p>
          <w:p w14:paraId="5E0F5C81" w14:textId="77777777" w:rsidR="00434155" w:rsidRPr="00434155" w:rsidRDefault="00434155" w:rsidP="00A253E1">
            <w:pPr>
              <w:spacing w:after="240" w:line="240" w:lineRule="auto"/>
              <w:ind w:firstLine="0"/>
              <w:rPr>
                <w:b/>
              </w:rPr>
            </w:pPr>
            <w:r w:rsidRPr="00434155">
              <w:rPr>
                <w:b/>
              </w:rPr>
              <w:t>v.</w:t>
            </w:r>
          </w:p>
          <w:p w14:paraId="0E5CADF6" w14:textId="77777777" w:rsidR="00434155" w:rsidRPr="00434155" w:rsidRDefault="00434155" w:rsidP="00A253E1">
            <w:pPr>
              <w:spacing w:after="240" w:line="240" w:lineRule="auto"/>
              <w:ind w:firstLine="0"/>
              <w:rPr>
                <w:b/>
              </w:rPr>
            </w:pPr>
            <w:r w:rsidRPr="00434155">
              <w:rPr>
                <w:b/>
              </w:rPr>
              <w:t>PUGET SOUND ENERGY,</w:t>
            </w:r>
          </w:p>
          <w:p w14:paraId="148A7BD4" w14:textId="77777777" w:rsidR="00434155" w:rsidRPr="00434155" w:rsidRDefault="00434155" w:rsidP="00A253E1">
            <w:pPr>
              <w:spacing w:after="240" w:line="240" w:lineRule="auto"/>
              <w:ind w:firstLine="0"/>
              <w:rPr>
                <w:b/>
              </w:rPr>
            </w:pPr>
            <w:r w:rsidRPr="00434155">
              <w:rPr>
                <w:b/>
              </w:rPr>
              <w:t>Respondent.</w:t>
            </w:r>
          </w:p>
        </w:tc>
        <w:tc>
          <w:tcPr>
            <w:tcW w:w="360" w:type="dxa"/>
            <w:tcBorders>
              <w:left w:val="single" w:sz="4" w:space="0" w:color="auto"/>
            </w:tcBorders>
          </w:tcPr>
          <w:p w14:paraId="1FBD361B" w14:textId="77777777" w:rsidR="00434155" w:rsidRPr="00434155" w:rsidRDefault="00434155" w:rsidP="00A253E1">
            <w:pPr>
              <w:spacing w:line="240" w:lineRule="auto"/>
              <w:rPr>
                <w:b/>
              </w:rPr>
            </w:pPr>
          </w:p>
        </w:tc>
        <w:tc>
          <w:tcPr>
            <w:tcW w:w="4423" w:type="dxa"/>
            <w:vAlign w:val="center"/>
          </w:tcPr>
          <w:p w14:paraId="38D1653A" w14:textId="77777777" w:rsidR="00434155" w:rsidRPr="00434155" w:rsidRDefault="00434155" w:rsidP="00A253E1">
            <w:pPr>
              <w:spacing w:line="240" w:lineRule="auto"/>
              <w:ind w:firstLine="0"/>
              <w:rPr>
                <w:b/>
              </w:rPr>
            </w:pPr>
            <w:r w:rsidRPr="00434155">
              <w:rPr>
                <w:b/>
              </w:rPr>
              <w:t>Docket UE-170033</w:t>
            </w:r>
          </w:p>
          <w:p w14:paraId="54253D7B" w14:textId="77777777" w:rsidR="00434155" w:rsidRPr="00434155" w:rsidRDefault="00434155" w:rsidP="00A253E1">
            <w:pPr>
              <w:spacing w:line="240" w:lineRule="auto"/>
              <w:ind w:firstLine="0"/>
              <w:rPr>
                <w:b/>
              </w:rPr>
            </w:pPr>
            <w:r w:rsidRPr="00434155">
              <w:rPr>
                <w:b/>
              </w:rPr>
              <w:t>Docket UG-170034</w:t>
            </w:r>
          </w:p>
        </w:tc>
      </w:tr>
    </w:tbl>
    <w:p w14:paraId="2FE94B85" w14:textId="39EF74AC" w:rsidR="00434155" w:rsidRPr="00434155" w:rsidRDefault="008846A1" w:rsidP="00A253E1">
      <w:pPr>
        <w:spacing w:before="720" w:line="240" w:lineRule="auto"/>
        <w:ind w:firstLine="0"/>
        <w:jc w:val="center"/>
        <w:rPr>
          <w:b/>
        </w:rPr>
      </w:pPr>
      <w:r>
        <w:rPr>
          <w:b/>
        </w:rPr>
        <w:t>PREFILED REBUTTAL TESTIMONY</w:t>
      </w:r>
      <w:r>
        <w:rPr>
          <w:b/>
        </w:rPr>
        <w:br/>
      </w:r>
      <w:r w:rsidR="00434155" w:rsidRPr="00434155">
        <w:rPr>
          <w:b/>
        </w:rPr>
        <w:t>(NONCONFIDENTIAL) OF</w:t>
      </w:r>
    </w:p>
    <w:p w14:paraId="24030369" w14:textId="144963F7" w:rsidR="00434155" w:rsidRPr="00434155" w:rsidRDefault="00D46613" w:rsidP="00A253E1">
      <w:pPr>
        <w:spacing w:before="240" w:after="240" w:line="240" w:lineRule="auto"/>
        <w:ind w:firstLine="0"/>
        <w:jc w:val="center"/>
        <w:rPr>
          <w:b/>
        </w:rPr>
      </w:pPr>
      <w:r>
        <w:rPr>
          <w:b/>
        </w:rPr>
        <w:t>CATHERINE A. KOCH</w:t>
      </w:r>
    </w:p>
    <w:p w14:paraId="22A6A1AC" w14:textId="77777777" w:rsidR="00434155" w:rsidRPr="00434155" w:rsidRDefault="00434155" w:rsidP="00A253E1">
      <w:pPr>
        <w:spacing w:after="3840" w:line="240" w:lineRule="auto"/>
        <w:ind w:firstLine="0"/>
        <w:jc w:val="center"/>
        <w:rPr>
          <w:b/>
        </w:rPr>
      </w:pPr>
      <w:r w:rsidRPr="00434155">
        <w:rPr>
          <w:b/>
        </w:rPr>
        <w:t>ON BEHALF OF PUGET SOUND ENERGY</w:t>
      </w:r>
    </w:p>
    <w:p w14:paraId="65480087" w14:textId="4EA1E3B7" w:rsidR="00F8418D" w:rsidRPr="009075DC" w:rsidRDefault="00434155" w:rsidP="00A253E1">
      <w:pPr>
        <w:spacing w:line="240" w:lineRule="auto"/>
        <w:ind w:firstLine="0"/>
        <w:jc w:val="center"/>
        <w:rPr>
          <w:b/>
          <w:bCs/>
          <w:szCs w:val="24"/>
        </w:rPr>
      </w:pPr>
      <w:r w:rsidRPr="00434155">
        <w:rPr>
          <w:b/>
        </w:rPr>
        <w:t>AUGUST 9, 2017</w:t>
      </w:r>
    </w:p>
    <w:p w14:paraId="65480088" w14:textId="77777777" w:rsidR="00F8418D" w:rsidRPr="009075DC" w:rsidRDefault="00F8418D" w:rsidP="00A253E1">
      <w:pPr>
        <w:spacing w:line="240" w:lineRule="auto"/>
        <w:ind w:firstLine="0"/>
        <w:jc w:val="center"/>
        <w:rPr>
          <w:b/>
          <w:bCs/>
          <w:szCs w:val="24"/>
        </w:rPr>
        <w:sectPr w:rsidR="00F8418D" w:rsidRPr="009075DC">
          <w:headerReference w:type="default" r:id="rId12"/>
          <w:footerReference w:type="default" r:id="rId13"/>
          <w:pgSz w:w="12240" w:h="15840" w:code="1"/>
          <w:pgMar w:top="1440" w:right="1440" w:bottom="1440" w:left="2160" w:header="720" w:footer="864" w:gutter="0"/>
          <w:pgNumType w:start="1"/>
          <w:cols w:space="720"/>
          <w:rtlGutter/>
        </w:sectPr>
      </w:pPr>
    </w:p>
    <w:p w14:paraId="0389F246" w14:textId="77777777" w:rsidR="00434155" w:rsidRPr="00255659" w:rsidRDefault="00434155" w:rsidP="00A253E1">
      <w:pPr>
        <w:spacing w:after="480" w:line="240" w:lineRule="auto"/>
        <w:ind w:right="720" w:firstLine="0"/>
        <w:jc w:val="center"/>
        <w:rPr>
          <w:b/>
          <w:bCs/>
          <w:szCs w:val="24"/>
        </w:rPr>
      </w:pPr>
      <w:r w:rsidRPr="00255659">
        <w:rPr>
          <w:b/>
          <w:bCs/>
          <w:szCs w:val="24"/>
        </w:rPr>
        <w:lastRenderedPageBreak/>
        <w:t>PUGET SOUND ENERGY</w:t>
      </w:r>
    </w:p>
    <w:p w14:paraId="5E2010DD" w14:textId="4D4128C8" w:rsidR="00434155" w:rsidRPr="00255659" w:rsidRDefault="008846A1" w:rsidP="00A253E1">
      <w:pPr>
        <w:spacing w:after="240" w:line="240" w:lineRule="auto"/>
        <w:ind w:right="720" w:firstLine="0"/>
        <w:jc w:val="center"/>
        <w:rPr>
          <w:b/>
          <w:bCs/>
          <w:szCs w:val="24"/>
        </w:rPr>
      </w:pPr>
      <w:r>
        <w:rPr>
          <w:b/>
        </w:rPr>
        <w:t>PREFILED REBUTTAL TESTIMONY</w:t>
      </w:r>
      <w:r>
        <w:rPr>
          <w:b/>
        </w:rPr>
        <w:br/>
      </w:r>
      <w:r w:rsidR="00434155" w:rsidRPr="00255659">
        <w:rPr>
          <w:b/>
        </w:rPr>
        <w:t>(NONCONFIDENTIAL) OF</w:t>
      </w:r>
      <w:r w:rsidR="00434155" w:rsidRPr="00255659">
        <w:rPr>
          <w:b/>
        </w:rPr>
        <w:br/>
      </w:r>
      <w:r w:rsidR="00D46613">
        <w:rPr>
          <w:b/>
          <w:bCs/>
          <w:szCs w:val="24"/>
        </w:rPr>
        <w:t>CATHERINE A. KOCH</w:t>
      </w:r>
    </w:p>
    <w:p w14:paraId="0F33D949" w14:textId="77777777" w:rsidR="00434155" w:rsidRPr="00C8234D" w:rsidRDefault="00434155" w:rsidP="00A253E1">
      <w:pPr>
        <w:spacing w:after="480" w:line="240" w:lineRule="auto"/>
        <w:ind w:right="720" w:firstLine="0"/>
        <w:jc w:val="center"/>
        <w:rPr>
          <w:b/>
          <w:bCs/>
          <w:szCs w:val="24"/>
        </w:rPr>
      </w:pPr>
      <w:r w:rsidRPr="00C8234D">
        <w:rPr>
          <w:b/>
          <w:bCs/>
        </w:rPr>
        <w:t>CONTENTS</w:t>
      </w:r>
    </w:p>
    <w:p w14:paraId="4586CF36" w14:textId="77777777" w:rsidR="00A562F6" w:rsidRPr="00A562F6" w:rsidRDefault="00F8418D">
      <w:pPr>
        <w:pStyle w:val="TOC1"/>
        <w:rPr>
          <w:rFonts w:asciiTheme="minorHAnsi" w:eastAsiaTheme="minorEastAsia" w:hAnsiTheme="minorHAnsi" w:cstheme="minorBidi"/>
          <w:color w:val="auto"/>
          <w:sz w:val="22"/>
          <w:szCs w:val="22"/>
          <w:lang w:eastAsia="en-US"/>
        </w:rPr>
      </w:pPr>
      <w:r w:rsidRPr="0096198E">
        <w:rPr>
          <w:bCs/>
          <w:color w:val="000000" w:themeColor="text1"/>
        </w:rPr>
        <w:fldChar w:fldCharType="begin"/>
      </w:r>
      <w:r w:rsidRPr="0096198E">
        <w:rPr>
          <w:bCs/>
          <w:color w:val="000000" w:themeColor="text1"/>
        </w:rPr>
        <w:instrText xml:space="preserve"> TOC \o "1-5" \h \z \u </w:instrText>
      </w:r>
      <w:r w:rsidRPr="0096198E">
        <w:rPr>
          <w:bCs/>
          <w:color w:val="000000" w:themeColor="text1"/>
        </w:rPr>
        <w:fldChar w:fldCharType="separate"/>
      </w:r>
      <w:hyperlink w:anchor="_Toc489949726" w:history="1">
        <w:r w:rsidR="00A562F6" w:rsidRPr="00A562F6">
          <w:rPr>
            <w:rStyle w:val="Hyperlink"/>
            <w:color w:val="auto"/>
          </w:rPr>
          <w:t>I.</w:t>
        </w:r>
        <w:r w:rsidR="00A562F6" w:rsidRPr="00A562F6">
          <w:rPr>
            <w:rFonts w:asciiTheme="minorHAnsi" w:eastAsiaTheme="minorEastAsia" w:hAnsiTheme="minorHAnsi" w:cstheme="minorBidi"/>
            <w:color w:val="auto"/>
            <w:sz w:val="22"/>
            <w:szCs w:val="22"/>
            <w:lang w:eastAsia="en-US"/>
          </w:rPr>
          <w:tab/>
        </w:r>
        <w:r w:rsidR="00A562F6" w:rsidRPr="00A562F6">
          <w:rPr>
            <w:rStyle w:val="Hyperlink"/>
            <w:color w:val="auto"/>
          </w:rPr>
          <w:t>INTRODUCTION</w:t>
        </w:r>
        <w:r w:rsidR="00A562F6" w:rsidRPr="00A562F6">
          <w:rPr>
            <w:webHidden/>
            <w:color w:val="auto"/>
          </w:rPr>
          <w:tab/>
        </w:r>
        <w:r w:rsidR="00A562F6" w:rsidRPr="00A562F6">
          <w:rPr>
            <w:webHidden/>
            <w:color w:val="auto"/>
          </w:rPr>
          <w:fldChar w:fldCharType="begin"/>
        </w:r>
        <w:r w:rsidR="00A562F6" w:rsidRPr="00A562F6">
          <w:rPr>
            <w:webHidden/>
            <w:color w:val="auto"/>
          </w:rPr>
          <w:instrText xml:space="preserve"> PAGEREF _Toc489949726 \h </w:instrText>
        </w:r>
        <w:r w:rsidR="00A562F6" w:rsidRPr="00A562F6">
          <w:rPr>
            <w:webHidden/>
            <w:color w:val="auto"/>
          </w:rPr>
        </w:r>
        <w:r w:rsidR="00A562F6" w:rsidRPr="00A562F6">
          <w:rPr>
            <w:webHidden/>
            <w:color w:val="auto"/>
          </w:rPr>
          <w:fldChar w:fldCharType="separate"/>
        </w:r>
        <w:r w:rsidR="00A562F6" w:rsidRPr="00A562F6">
          <w:rPr>
            <w:webHidden/>
            <w:color w:val="auto"/>
          </w:rPr>
          <w:t>1</w:t>
        </w:r>
        <w:r w:rsidR="00A562F6" w:rsidRPr="00A562F6">
          <w:rPr>
            <w:webHidden/>
            <w:color w:val="auto"/>
          </w:rPr>
          <w:fldChar w:fldCharType="end"/>
        </w:r>
      </w:hyperlink>
    </w:p>
    <w:p w14:paraId="5FC83311" w14:textId="77777777" w:rsidR="00A562F6" w:rsidRPr="00A562F6" w:rsidRDefault="00A562F6">
      <w:pPr>
        <w:pStyle w:val="TOC1"/>
        <w:rPr>
          <w:rFonts w:asciiTheme="minorHAnsi" w:eastAsiaTheme="minorEastAsia" w:hAnsiTheme="minorHAnsi" w:cstheme="minorBidi"/>
          <w:color w:val="auto"/>
          <w:sz w:val="22"/>
          <w:szCs w:val="22"/>
          <w:lang w:eastAsia="en-US"/>
        </w:rPr>
      </w:pPr>
      <w:hyperlink w:anchor="_Toc489949727" w:history="1">
        <w:r w:rsidRPr="00A562F6">
          <w:rPr>
            <w:rStyle w:val="Hyperlink"/>
            <w:color w:val="auto"/>
          </w:rPr>
          <w:t>II.</w:t>
        </w:r>
        <w:r w:rsidRPr="00A562F6">
          <w:rPr>
            <w:rFonts w:asciiTheme="minorHAnsi" w:eastAsiaTheme="minorEastAsia" w:hAnsiTheme="minorHAnsi" w:cstheme="minorBidi"/>
            <w:color w:val="auto"/>
            <w:sz w:val="22"/>
            <w:szCs w:val="22"/>
            <w:lang w:eastAsia="en-US"/>
          </w:rPr>
          <w:tab/>
        </w:r>
        <w:r w:rsidRPr="00A562F6">
          <w:rPr>
            <w:rStyle w:val="Hyperlink"/>
            <w:color w:val="auto"/>
          </w:rPr>
          <w:t>ELECTRIC RELIABILITY PLAN AND ELECTRIC COST RECOVERY MECHANISM</w:t>
        </w:r>
        <w:r w:rsidRPr="00A562F6">
          <w:rPr>
            <w:webHidden/>
            <w:color w:val="auto"/>
          </w:rPr>
          <w:tab/>
        </w:r>
        <w:r w:rsidRPr="00A562F6">
          <w:rPr>
            <w:webHidden/>
            <w:color w:val="auto"/>
          </w:rPr>
          <w:fldChar w:fldCharType="begin"/>
        </w:r>
        <w:r w:rsidRPr="00A562F6">
          <w:rPr>
            <w:webHidden/>
            <w:color w:val="auto"/>
          </w:rPr>
          <w:instrText xml:space="preserve"> PAGEREF _Toc489949727 \h </w:instrText>
        </w:r>
        <w:r w:rsidRPr="00A562F6">
          <w:rPr>
            <w:webHidden/>
            <w:color w:val="auto"/>
          </w:rPr>
        </w:r>
        <w:r w:rsidRPr="00A562F6">
          <w:rPr>
            <w:webHidden/>
            <w:color w:val="auto"/>
          </w:rPr>
          <w:fldChar w:fldCharType="separate"/>
        </w:r>
        <w:r w:rsidRPr="00A562F6">
          <w:rPr>
            <w:webHidden/>
            <w:color w:val="auto"/>
          </w:rPr>
          <w:t>2</w:t>
        </w:r>
        <w:r w:rsidRPr="00A562F6">
          <w:rPr>
            <w:webHidden/>
            <w:color w:val="auto"/>
          </w:rPr>
          <w:fldChar w:fldCharType="end"/>
        </w:r>
      </w:hyperlink>
    </w:p>
    <w:p w14:paraId="1E5BF4F6" w14:textId="77777777" w:rsidR="00A562F6" w:rsidRPr="00A562F6" w:rsidRDefault="00A562F6">
      <w:pPr>
        <w:pStyle w:val="TOC1"/>
        <w:rPr>
          <w:rFonts w:asciiTheme="minorHAnsi" w:eastAsiaTheme="minorEastAsia" w:hAnsiTheme="minorHAnsi" w:cstheme="minorBidi"/>
          <w:color w:val="auto"/>
          <w:sz w:val="22"/>
          <w:szCs w:val="22"/>
          <w:lang w:eastAsia="en-US"/>
        </w:rPr>
      </w:pPr>
      <w:hyperlink w:anchor="_Toc489949728" w:history="1">
        <w:r w:rsidRPr="00A562F6">
          <w:rPr>
            <w:rStyle w:val="Hyperlink"/>
            <w:color w:val="auto"/>
          </w:rPr>
          <w:t>III.</w:t>
        </w:r>
        <w:r w:rsidRPr="00A562F6">
          <w:rPr>
            <w:rFonts w:asciiTheme="minorHAnsi" w:eastAsiaTheme="minorEastAsia" w:hAnsiTheme="minorHAnsi" w:cstheme="minorBidi"/>
            <w:color w:val="auto"/>
            <w:sz w:val="22"/>
            <w:szCs w:val="22"/>
            <w:lang w:eastAsia="en-US"/>
          </w:rPr>
          <w:tab/>
        </w:r>
        <w:r w:rsidRPr="00A562F6">
          <w:rPr>
            <w:rStyle w:val="Hyperlink"/>
            <w:color w:val="auto"/>
          </w:rPr>
          <w:t>SERVICE GUARANTEES ARE APPROPRIATE</w:t>
        </w:r>
        <w:r w:rsidRPr="00A562F6">
          <w:rPr>
            <w:webHidden/>
            <w:color w:val="auto"/>
          </w:rPr>
          <w:tab/>
        </w:r>
        <w:r w:rsidRPr="00A562F6">
          <w:rPr>
            <w:webHidden/>
            <w:color w:val="auto"/>
          </w:rPr>
          <w:fldChar w:fldCharType="begin"/>
        </w:r>
        <w:r w:rsidRPr="00A562F6">
          <w:rPr>
            <w:webHidden/>
            <w:color w:val="auto"/>
          </w:rPr>
          <w:instrText xml:space="preserve"> PAGEREF _Toc489949728 \h </w:instrText>
        </w:r>
        <w:r w:rsidRPr="00A562F6">
          <w:rPr>
            <w:webHidden/>
            <w:color w:val="auto"/>
          </w:rPr>
        </w:r>
        <w:r w:rsidRPr="00A562F6">
          <w:rPr>
            <w:webHidden/>
            <w:color w:val="auto"/>
          </w:rPr>
          <w:fldChar w:fldCharType="separate"/>
        </w:r>
        <w:r w:rsidRPr="00A562F6">
          <w:rPr>
            <w:webHidden/>
            <w:color w:val="auto"/>
          </w:rPr>
          <w:t>19</w:t>
        </w:r>
        <w:r w:rsidRPr="00A562F6">
          <w:rPr>
            <w:webHidden/>
            <w:color w:val="auto"/>
          </w:rPr>
          <w:fldChar w:fldCharType="end"/>
        </w:r>
      </w:hyperlink>
    </w:p>
    <w:p w14:paraId="48D1366B" w14:textId="77777777" w:rsidR="00A562F6" w:rsidRPr="00A562F6" w:rsidRDefault="00A562F6">
      <w:pPr>
        <w:pStyle w:val="TOC1"/>
        <w:rPr>
          <w:rFonts w:asciiTheme="minorHAnsi" w:eastAsiaTheme="minorEastAsia" w:hAnsiTheme="minorHAnsi" w:cstheme="minorBidi"/>
          <w:color w:val="auto"/>
          <w:sz w:val="22"/>
          <w:szCs w:val="22"/>
          <w:lang w:eastAsia="en-US"/>
        </w:rPr>
      </w:pPr>
      <w:hyperlink w:anchor="_Toc489949729" w:history="1">
        <w:r w:rsidRPr="00A562F6">
          <w:rPr>
            <w:rStyle w:val="Hyperlink"/>
            <w:color w:val="auto"/>
          </w:rPr>
          <w:t>IV.</w:t>
        </w:r>
        <w:r w:rsidRPr="00A562F6">
          <w:rPr>
            <w:rFonts w:asciiTheme="minorHAnsi" w:eastAsiaTheme="minorEastAsia" w:hAnsiTheme="minorHAnsi" w:cstheme="minorBidi"/>
            <w:color w:val="auto"/>
            <w:sz w:val="22"/>
            <w:szCs w:val="22"/>
            <w:lang w:eastAsia="en-US"/>
          </w:rPr>
          <w:tab/>
        </w:r>
        <w:r w:rsidRPr="00A562F6">
          <w:rPr>
            <w:rStyle w:val="Hyperlink"/>
            <w:color w:val="auto"/>
          </w:rPr>
          <w:t>IEEE APPLICATION FOR STORM DEFERRAL</w:t>
        </w:r>
        <w:r w:rsidRPr="00A562F6">
          <w:rPr>
            <w:webHidden/>
            <w:color w:val="auto"/>
          </w:rPr>
          <w:tab/>
        </w:r>
        <w:r w:rsidRPr="00A562F6">
          <w:rPr>
            <w:webHidden/>
            <w:color w:val="auto"/>
          </w:rPr>
          <w:fldChar w:fldCharType="begin"/>
        </w:r>
        <w:r w:rsidRPr="00A562F6">
          <w:rPr>
            <w:webHidden/>
            <w:color w:val="auto"/>
          </w:rPr>
          <w:instrText xml:space="preserve"> PAGEREF _Toc489949729 \h </w:instrText>
        </w:r>
        <w:r w:rsidRPr="00A562F6">
          <w:rPr>
            <w:webHidden/>
            <w:color w:val="auto"/>
          </w:rPr>
        </w:r>
        <w:r w:rsidRPr="00A562F6">
          <w:rPr>
            <w:webHidden/>
            <w:color w:val="auto"/>
          </w:rPr>
          <w:fldChar w:fldCharType="separate"/>
        </w:r>
        <w:r w:rsidRPr="00A562F6">
          <w:rPr>
            <w:webHidden/>
            <w:color w:val="auto"/>
          </w:rPr>
          <w:t>25</w:t>
        </w:r>
        <w:r w:rsidRPr="00A562F6">
          <w:rPr>
            <w:webHidden/>
            <w:color w:val="auto"/>
          </w:rPr>
          <w:fldChar w:fldCharType="end"/>
        </w:r>
      </w:hyperlink>
    </w:p>
    <w:p w14:paraId="1D21716D" w14:textId="77777777" w:rsidR="00A562F6" w:rsidRPr="00A562F6" w:rsidRDefault="00A562F6">
      <w:pPr>
        <w:pStyle w:val="TOC1"/>
        <w:rPr>
          <w:rFonts w:asciiTheme="minorHAnsi" w:eastAsiaTheme="minorEastAsia" w:hAnsiTheme="minorHAnsi" w:cstheme="minorBidi"/>
          <w:color w:val="auto"/>
          <w:sz w:val="22"/>
          <w:szCs w:val="22"/>
          <w:lang w:eastAsia="en-US"/>
        </w:rPr>
      </w:pPr>
      <w:hyperlink w:anchor="_Toc489949730" w:history="1">
        <w:r w:rsidRPr="00A562F6">
          <w:rPr>
            <w:rStyle w:val="Hyperlink"/>
            <w:color w:val="auto"/>
          </w:rPr>
          <w:t>V.</w:t>
        </w:r>
        <w:r w:rsidRPr="00A562F6">
          <w:rPr>
            <w:rFonts w:asciiTheme="minorHAnsi" w:eastAsiaTheme="minorEastAsia" w:hAnsiTheme="minorHAnsi" w:cstheme="minorBidi"/>
            <w:color w:val="auto"/>
            <w:sz w:val="22"/>
            <w:szCs w:val="22"/>
            <w:lang w:eastAsia="en-US"/>
          </w:rPr>
          <w:tab/>
        </w:r>
        <w:r w:rsidRPr="00A562F6">
          <w:rPr>
            <w:rStyle w:val="Hyperlink"/>
            <w:color w:val="auto"/>
          </w:rPr>
          <w:t>ARDMORE PROJECT</w:t>
        </w:r>
        <w:r w:rsidRPr="00A562F6">
          <w:rPr>
            <w:webHidden/>
            <w:color w:val="auto"/>
          </w:rPr>
          <w:tab/>
        </w:r>
        <w:r w:rsidRPr="00A562F6">
          <w:rPr>
            <w:webHidden/>
            <w:color w:val="auto"/>
          </w:rPr>
          <w:fldChar w:fldCharType="begin"/>
        </w:r>
        <w:r w:rsidRPr="00A562F6">
          <w:rPr>
            <w:webHidden/>
            <w:color w:val="auto"/>
          </w:rPr>
          <w:instrText xml:space="preserve"> PAGEREF _Toc489949730 \h </w:instrText>
        </w:r>
        <w:r w:rsidRPr="00A562F6">
          <w:rPr>
            <w:webHidden/>
            <w:color w:val="auto"/>
          </w:rPr>
        </w:r>
        <w:r w:rsidRPr="00A562F6">
          <w:rPr>
            <w:webHidden/>
            <w:color w:val="auto"/>
          </w:rPr>
          <w:fldChar w:fldCharType="separate"/>
        </w:r>
        <w:r w:rsidRPr="00A562F6">
          <w:rPr>
            <w:webHidden/>
            <w:color w:val="auto"/>
          </w:rPr>
          <w:t>31</w:t>
        </w:r>
        <w:r w:rsidRPr="00A562F6">
          <w:rPr>
            <w:webHidden/>
            <w:color w:val="auto"/>
          </w:rPr>
          <w:fldChar w:fldCharType="end"/>
        </w:r>
      </w:hyperlink>
    </w:p>
    <w:p w14:paraId="2709322C" w14:textId="77777777" w:rsidR="00A562F6" w:rsidRPr="00A562F6" w:rsidRDefault="00A562F6">
      <w:pPr>
        <w:pStyle w:val="TOC2"/>
        <w:rPr>
          <w:rFonts w:asciiTheme="minorHAnsi" w:eastAsiaTheme="minorEastAsia" w:hAnsiTheme="minorHAnsi" w:cstheme="minorBidi"/>
          <w:color w:val="auto"/>
          <w:sz w:val="22"/>
          <w:szCs w:val="22"/>
          <w:lang w:eastAsia="en-US"/>
        </w:rPr>
      </w:pPr>
      <w:hyperlink w:anchor="_Toc489949731" w:history="1">
        <w:r w:rsidRPr="00A562F6">
          <w:rPr>
            <w:rStyle w:val="Hyperlink"/>
            <w:color w:val="auto"/>
          </w:rPr>
          <w:t>A.</w:t>
        </w:r>
        <w:r w:rsidRPr="00A562F6">
          <w:rPr>
            <w:rFonts w:asciiTheme="minorHAnsi" w:eastAsiaTheme="minorEastAsia" w:hAnsiTheme="minorHAnsi" w:cstheme="minorBidi"/>
            <w:color w:val="auto"/>
            <w:sz w:val="22"/>
            <w:szCs w:val="22"/>
            <w:lang w:eastAsia="en-US"/>
          </w:rPr>
          <w:tab/>
        </w:r>
        <w:r w:rsidRPr="00A562F6">
          <w:rPr>
            <w:rStyle w:val="Hyperlink"/>
            <w:color w:val="auto"/>
          </w:rPr>
          <w:t>Overview of Ardmore Substation</w:t>
        </w:r>
        <w:r w:rsidRPr="00A562F6">
          <w:rPr>
            <w:webHidden/>
            <w:color w:val="auto"/>
          </w:rPr>
          <w:tab/>
        </w:r>
        <w:r w:rsidRPr="00A562F6">
          <w:rPr>
            <w:webHidden/>
            <w:color w:val="auto"/>
          </w:rPr>
          <w:fldChar w:fldCharType="begin"/>
        </w:r>
        <w:r w:rsidRPr="00A562F6">
          <w:rPr>
            <w:webHidden/>
            <w:color w:val="auto"/>
          </w:rPr>
          <w:instrText xml:space="preserve"> PAGEREF _Toc489949731 \h </w:instrText>
        </w:r>
        <w:r w:rsidRPr="00A562F6">
          <w:rPr>
            <w:webHidden/>
            <w:color w:val="auto"/>
          </w:rPr>
        </w:r>
        <w:r w:rsidRPr="00A562F6">
          <w:rPr>
            <w:webHidden/>
            <w:color w:val="auto"/>
          </w:rPr>
          <w:fldChar w:fldCharType="separate"/>
        </w:r>
        <w:r w:rsidRPr="00A562F6">
          <w:rPr>
            <w:webHidden/>
            <w:color w:val="auto"/>
          </w:rPr>
          <w:t>31</w:t>
        </w:r>
        <w:r w:rsidRPr="00A562F6">
          <w:rPr>
            <w:webHidden/>
            <w:color w:val="auto"/>
          </w:rPr>
          <w:fldChar w:fldCharType="end"/>
        </w:r>
      </w:hyperlink>
    </w:p>
    <w:p w14:paraId="26D69814" w14:textId="77777777" w:rsidR="00A562F6" w:rsidRPr="00A562F6" w:rsidRDefault="00A562F6">
      <w:pPr>
        <w:pStyle w:val="TOC2"/>
        <w:rPr>
          <w:rFonts w:asciiTheme="minorHAnsi" w:eastAsiaTheme="minorEastAsia" w:hAnsiTheme="minorHAnsi" w:cstheme="minorBidi"/>
          <w:color w:val="auto"/>
          <w:sz w:val="22"/>
          <w:szCs w:val="22"/>
          <w:lang w:eastAsia="en-US"/>
        </w:rPr>
      </w:pPr>
      <w:hyperlink w:anchor="_Toc489949732" w:history="1">
        <w:r w:rsidRPr="00A562F6">
          <w:rPr>
            <w:rStyle w:val="Hyperlink"/>
            <w:color w:val="auto"/>
          </w:rPr>
          <w:t>B.</w:t>
        </w:r>
        <w:r w:rsidRPr="00A562F6">
          <w:rPr>
            <w:rFonts w:asciiTheme="minorHAnsi" w:eastAsiaTheme="minorEastAsia" w:hAnsiTheme="minorHAnsi" w:cstheme="minorBidi"/>
            <w:color w:val="auto"/>
            <w:sz w:val="22"/>
            <w:szCs w:val="22"/>
            <w:lang w:eastAsia="en-US"/>
          </w:rPr>
          <w:tab/>
        </w:r>
        <w:r w:rsidRPr="00A562F6">
          <w:rPr>
            <w:rStyle w:val="Hyperlink"/>
            <w:color w:val="auto"/>
          </w:rPr>
          <w:t>The Ardmore Substation Meets the Prudence Standard</w:t>
        </w:r>
        <w:r w:rsidRPr="00A562F6">
          <w:rPr>
            <w:webHidden/>
            <w:color w:val="auto"/>
          </w:rPr>
          <w:tab/>
        </w:r>
        <w:r w:rsidRPr="00A562F6">
          <w:rPr>
            <w:webHidden/>
            <w:color w:val="auto"/>
          </w:rPr>
          <w:fldChar w:fldCharType="begin"/>
        </w:r>
        <w:r w:rsidRPr="00A562F6">
          <w:rPr>
            <w:webHidden/>
            <w:color w:val="auto"/>
          </w:rPr>
          <w:instrText xml:space="preserve"> PAGEREF _Toc489949732 \h </w:instrText>
        </w:r>
        <w:r w:rsidRPr="00A562F6">
          <w:rPr>
            <w:webHidden/>
            <w:color w:val="auto"/>
          </w:rPr>
        </w:r>
        <w:r w:rsidRPr="00A562F6">
          <w:rPr>
            <w:webHidden/>
            <w:color w:val="auto"/>
          </w:rPr>
          <w:fldChar w:fldCharType="separate"/>
        </w:r>
        <w:r w:rsidRPr="00A562F6">
          <w:rPr>
            <w:webHidden/>
            <w:color w:val="auto"/>
          </w:rPr>
          <w:t>33</w:t>
        </w:r>
        <w:r w:rsidRPr="00A562F6">
          <w:rPr>
            <w:webHidden/>
            <w:color w:val="auto"/>
          </w:rPr>
          <w:fldChar w:fldCharType="end"/>
        </w:r>
      </w:hyperlink>
    </w:p>
    <w:p w14:paraId="119505CB" w14:textId="77777777" w:rsidR="00A562F6" w:rsidRDefault="00A562F6">
      <w:pPr>
        <w:pStyle w:val="TOC1"/>
        <w:rPr>
          <w:rFonts w:asciiTheme="minorHAnsi" w:eastAsiaTheme="minorEastAsia" w:hAnsiTheme="minorHAnsi" w:cstheme="minorBidi"/>
          <w:color w:val="auto"/>
          <w:sz w:val="22"/>
          <w:szCs w:val="22"/>
          <w:lang w:eastAsia="en-US"/>
        </w:rPr>
      </w:pPr>
      <w:hyperlink w:anchor="_Toc489949733" w:history="1">
        <w:r w:rsidRPr="00A562F6">
          <w:rPr>
            <w:rStyle w:val="Hyperlink"/>
            <w:color w:val="auto"/>
          </w:rPr>
          <w:t>VI.</w:t>
        </w:r>
        <w:r w:rsidRPr="00A562F6">
          <w:rPr>
            <w:rFonts w:asciiTheme="minorHAnsi" w:eastAsiaTheme="minorEastAsia" w:hAnsiTheme="minorHAnsi" w:cstheme="minorBidi"/>
            <w:color w:val="auto"/>
            <w:sz w:val="22"/>
            <w:szCs w:val="22"/>
            <w:lang w:eastAsia="en-US"/>
          </w:rPr>
          <w:tab/>
        </w:r>
        <w:r w:rsidRPr="00A562F6">
          <w:rPr>
            <w:rStyle w:val="Hyperlink"/>
            <w:color w:val="auto"/>
          </w:rPr>
          <w:t>CONCLUSION</w:t>
        </w:r>
        <w:r w:rsidRPr="00A562F6">
          <w:rPr>
            <w:webHidden/>
            <w:color w:val="auto"/>
          </w:rPr>
          <w:tab/>
        </w:r>
        <w:r w:rsidRPr="00A562F6">
          <w:rPr>
            <w:webHidden/>
            <w:color w:val="auto"/>
          </w:rPr>
          <w:fldChar w:fldCharType="begin"/>
        </w:r>
        <w:r w:rsidRPr="00A562F6">
          <w:rPr>
            <w:webHidden/>
            <w:color w:val="auto"/>
          </w:rPr>
          <w:instrText xml:space="preserve"> PAGEREF _Toc489949733 \h </w:instrText>
        </w:r>
        <w:r w:rsidRPr="00A562F6">
          <w:rPr>
            <w:webHidden/>
            <w:color w:val="auto"/>
          </w:rPr>
        </w:r>
        <w:r w:rsidRPr="00A562F6">
          <w:rPr>
            <w:webHidden/>
            <w:color w:val="auto"/>
          </w:rPr>
          <w:fldChar w:fldCharType="separate"/>
        </w:r>
        <w:r w:rsidRPr="00A562F6">
          <w:rPr>
            <w:webHidden/>
            <w:color w:val="auto"/>
          </w:rPr>
          <w:t>43</w:t>
        </w:r>
        <w:r w:rsidRPr="00A562F6">
          <w:rPr>
            <w:webHidden/>
            <w:color w:val="auto"/>
          </w:rPr>
          <w:fldChar w:fldCharType="end"/>
        </w:r>
      </w:hyperlink>
    </w:p>
    <w:p w14:paraId="6548009E" w14:textId="625EBC7E" w:rsidR="008846A1" w:rsidRDefault="00F8418D" w:rsidP="00A253E1">
      <w:pPr>
        <w:pStyle w:val="TOC1"/>
        <w:rPr>
          <w:bCs/>
          <w:color w:val="000000" w:themeColor="text1"/>
        </w:rPr>
      </w:pPr>
      <w:r w:rsidRPr="0096198E">
        <w:rPr>
          <w:bCs/>
          <w:color w:val="000000" w:themeColor="text1"/>
        </w:rPr>
        <w:fldChar w:fldCharType="end"/>
      </w:r>
    </w:p>
    <w:p w14:paraId="67720CB5" w14:textId="77777777" w:rsidR="008846A1" w:rsidRDefault="008846A1" w:rsidP="00A253E1">
      <w:pPr>
        <w:spacing w:line="240" w:lineRule="auto"/>
        <w:ind w:firstLine="0"/>
        <w:rPr>
          <w:rFonts w:eastAsia="SimSun"/>
          <w:bCs/>
          <w:noProof/>
          <w:color w:val="000000" w:themeColor="text1"/>
          <w:szCs w:val="24"/>
        </w:rPr>
      </w:pPr>
      <w:r>
        <w:rPr>
          <w:bCs/>
          <w:color w:val="000000" w:themeColor="text1"/>
        </w:rPr>
        <w:br w:type="page"/>
      </w:r>
    </w:p>
    <w:p w14:paraId="57BC609E" w14:textId="77777777" w:rsidR="008846A1" w:rsidRPr="00B05F5B" w:rsidRDefault="008846A1" w:rsidP="00A253E1">
      <w:pPr>
        <w:keepLines/>
        <w:tabs>
          <w:tab w:val="left" w:leader="dot" w:pos="8640"/>
          <w:tab w:val="right" w:pos="9000"/>
        </w:tabs>
        <w:spacing w:before="240" w:line="240" w:lineRule="atLeast"/>
        <w:ind w:hanging="720"/>
        <w:jc w:val="center"/>
        <w:rPr>
          <w:rFonts w:eastAsia="SimSun"/>
          <w:b/>
          <w:bCs/>
          <w:noProof/>
          <w:szCs w:val="24"/>
        </w:rPr>
      </w:pPr>
      <w:r w:rsidRPr="00B05F5B">
        <w:rPr>
          <w:rFonts w:eastAsia="SimSun"/>
          <w:b/>
          <w:bCs/>
          <w:noProof/>
          <w:szCs w:val="24"/>
        </w:rPr>
        <w:lastRenderedPageBreak/>
        <w:t>LIST OF EXHIBITS</w:t>
      </w:r>
    </w:p>
    <w:p w14:paraId="70D36C08" w14:textId="488CA58F" w:rsidR="008846A1" w:rsidRDefault="008846A1" w:rsidP="00A253E1">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CAK-5</w:t>
      </w:r>
      <w:r w:rsidRPr="00B05F5B">
        <w:rPr>
          <w:rFonts w:eastAsia="SimSun"/>
          <w:bCs/>
          <w:noProof/>
          <w:szCs w:val="24"/>
        </w:rPr>
        <w:tab/>
      </w:r>
      <w:r>
        <w:rPr>
          <w:rFonts w:eastAsia="SimSun"/>
          <w:bCs/>
          <w:noProof/>
          <w:szCs w:val="24"/>
        </w:rPr>
        <w:t>Ernest Orlando Lawrence Berkeley National Laboratory Updated Value of Service Reliability Estimates for Electric Utility Customers in the United States (Jan. 2015)</w:t>
      </w:r>
    </w:p>
    <w:p w14:paraId="090965A2" w14:textId="73423C3E" w:rsidR="008846A1" w:rsidRDefault="008846A1" w:rsidP="00A253E1">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CAK-6</w:t>
      </w:r>
      <w:r>
        <w:rPr>
          <w:rFonts w:eastAsia="SimSun"/>
          <w:bCs/>
          <w:noProof/>
          <w:szCs w:val="24"/>
        </w:rPr>
        <w:tab/>
        <w:t>Puget Sound Energy Response to Public Counsel Data Request No. 025</w:t>
      </w:r>
    </w:p>
    <w:p w14:paraId="56B83125" w14:textId="7F13BE5A" w:rsidR="008846A1" w:rsidRDefault="008846A1" w:rsidP="00A253E1">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CAK-7</w:t>
      </w:r>
      <w:r>
        <w:rPr>
          <w:rFonts w:eastAsia="SimSun"/>
          <w:bCs/>
          <w:noProof/>
          <w:szCs w:val="24"/>
        </w:rPr>
        <w:tab/>
      </w:r>
      <w:r w:rsidRPr="008846A1">
        <w:rPr>
          <w:rFonts w:eastAsia="SimSun"/>
          <w:bCs/>
          <w:noProof/>
          <w:szCs w:val="24"/>
        </w:rPr>
        <w:t>Puget Sound Energy Response to</w:t>
      </w:r>
      <w:r>
        <w:rPr>
          <w:rFonts w:eastAsia="SimSun"/>
          <w:bCs/>
          <w:noProof/>
          <w:szCs w:val="24"/>
        </w:rPr>
        <w:t xml:space="preserve"> ICNU Data Request No. 024</w:t>
      </w:r>
    </w:p>
    <w:p w14:paraId="77AB3B6D" w14:textId="337A8958" w:rsidR="008846A1" w:rsidRPr="00B05F5B" w:rsidRDefault="008846A1" w:rsidP="00A253E1">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CAK-8</w:t>
      </w:r>
      <w:r>
        <w:rPr>
          <w:rFonts w:eastAsia="SimSun"/>
          <w:bCs/>
          <w:noProof/>
          <w:szCs w:val="24"/>
        </w:rPr>
        <w:tab/>
        <w:t>Ardmore Project Chronology</w:t>
      </w:r>
    </w:p>
    <w:p w14:paraId="1D5E5AEA" w14:textId="77777777" w:rsidR="008846A1" w:rsidRPr="009D1F78" w:rsidRDefault="008846A1" w:rsidP="00A253E1">
      <w:pPr>
        <w:pStyle w:val="TOC1"/>
        <w:ind w:left="0"/>
        <w:rPr>
          <w:b/>
          <w:bCs/>
        </w:rPr>
        <w:sectPr w:rsidR="008846A1" w:rsidRPr="009D1F78">
          <w:headerReference w:type="default" r:id="rId14"/>
          <w:footerReference w:type="default" r:id="rId15"/>
          <w:pgSz w:w="12240" w:h="15840" w:code="1"/>
          <w:pgMar w:top="1440" w:right="1440" w:bottom="1440" w:left="2160" w:header="864" w:footer="576" w:gutter="0"/>
          <w:pgNumType w:fmt="lowerRoman" w:start="1"/>
          <w:cols w:space="720"/>
        </w:sectPr>
      </w:pPr>
    </w:p>
    <w:p w14:paraId="1168A75C" w14:textId="77777777" w:rsidR="00434155" w:rsidRPr="00255659" w:rsidRDefault="00434155" w:rsidP="00A253E1">
      <w:pPr>
        <w:spacing w:after="480" w:line="240" w:lineRule="auto"/>
        <w:ind w:firstLine="0"/>
        <w:jc w:val="center"/>
        <w:rPr>
          <w:b/>
          <w:bCs/>
          <w:szCs w:val="24"/>
        </w:rPr>
      </w:pPr>
      <w:bookmarkStart w:id="0" w:name="_Toc125167531"/>
      <w:bookmarkStart w:id="1" w:name="_Toc127023381"/>
      <w:r w:rsidRPr="00255659">
        <w:rPr>
          <w:b/>
          <w:bCs/>
          <w:szCs w:val="24"/>
        </w:rPr>
        <w:lastRenderedPageBreak/>
        <w:t>PUGET SOUND ENERGY</w:t>
      </w:r>
    </w:p>
    <w:p w14:paraId="76E92499" w14:textId="79D7D33E" w:rsidR="00434155" w:rsidRPr="00255659" w:rsidRDefault="008846A1" w:rsidP="00A253E1">
      <w:pPr>
        <w:spacing w:after="480" w:line="240" w:lineRule="auto"/>
        <w:ind w:firstLine="0"/>
        <w:jc w:val="center"/>
        <w:rPr>
          <w:b/>
        </w:rPr>
      </w:pPr>
      <w:r>
        <w:rPr>
          <w:b/>
        </w:rPr>
        <w:t>PREFILED REBUTTAL TESTIMONY</w:t>
      </w:r>
      <w:r>
        <w:rPr>
          <w:b/>
        </w:rPr>
        <w:br/>
      </w:r>
      <w:r w:rsidR="00434155" w:rsidRPr="00255659">
        <w:rPr>
          <w:b/>
        </w:rPr>
        <w:t>(NONCONFIDENTIAL) OF</w:t>
      </w:r>
      <w:r w:rsidR="00434155" w:rsidRPr="00255659">
        <w:rPr>
          <w:b/>
        </w:rPr>
        <w:br/>
      </w:r>
      <w:r w:rsidR="00932814">
        <w:rPr>
          <w:b/>
        </w:rPr>
        <w:t>CATHERINE A. KOCH</w:t>
      </w:r>
    </w:p>
    <w:p w14:paraId="654800A5" w14:textId="77777777" w:rsidR="00F8418D" w:rsidRPr="009075DC" w:rsidRDefault="00F8418D" w:rsidP="00A253E1">
      <w:pPr>
        <w:pStyle w:val="Heading1"/>
        <w:keepNext w:val="0"/>
        <w:keepLines w:val="0"/>
        <w:ind w:left="0" w:right="0"/>
        <w:rPr>
          <w:rFonts w:eastAsia="SimSun"/>
        </w:rPr>
      </w:pPr>
      <w:bookmarkStart w:id="2" w:name="_Toc489949726"/>
      <w:r w:rsidRPr="009075DC">
        <w:rPr>
          <w:rFonts w:eastAsia="SimSun"/>
        </w:rPr>
        <w:t>I.</w:t>
      </w:r>
      <w:r w:rsidRPr="009075DC">
        <w:rPr>
          <w:rFonts w:eastAsia="SimSun"/>
        </w:rPr>
        <w:tab/>
        <w:t>INTRODUCTION</w:t>
      </w:r>
      <w:bookmarkEnd w:id="0"/>
      <w:bookmarkEnd w:id="1"/>
      <w:bookmarkEnd w:id="2"/>
    </w:p>
    <w:p w14:paraId="654800A6" w14:textId="2D0346A6" w:rsidR="00F8418D" w:rsidRPr="00734EBA" w:rsidRDefault="00F8418D" w:rsidP="00A253E1">
      <w:pPr>
        <w:pStyle w:val="question"/>
      </w:pPr>
      <w:r w:rsidRPr="00734EBA">
        <w:t>Q.</w:t>
      </w:r>
      <w:r w:rsidRPr="00734EBA">
        <w:tab/>
      </w:r>
      <w:r w:rsidR="00F5016E" w:rsidRPr="00734EBA">
        <w:t xml:space="preserve">Are you the same </w:t>
      </w:r>
      <w:r w:rsidR="000C5140">
        <w:t>Catherine A. Koch</w:t>
      </w:r>
      <w:r w:rsidR="00F5016E" w:rsidRPr="00734EBA">
        <w:t xml:space="preserve"> who submitted prefiled direct testimony on January 13, 2017</w:t>
      </w:r>
      <w:r w:rsidR="00632256">
        <w:t>,</w:t>
      </w:r>
      <w:r w:rsidR="001F313C">
        <w:t xml:space="preserve"> </w:t>
      </w:r>
      <w:r w:rsidR="00F5016E" w:rsidRPr="00734EBA">
        <w:t>on behalf of Puget Sound Energy (</w:t>
      </w:r>
      <w:r w:rsidR="00734EBA">
        <w:t>“</w:t>
      </w:r>
      <w:r w:rsidR="00F5016E" w:rsidRPr="00734EBA">
        <w:t>PSE</w:t>
      </w:r>
      <w:r w:rsidR="00734EBA">
        <w:t>”</w:t>
      </w:r>
      <w:r w:rsidR="00FA648F">
        <w:t xml:space="preserve"> or the “Company”</w:t>
      </w:r>
      <w:r w:rsidR="00F5016E" w:rsidRPr="00734EBA">
        <w:t>) in this proceeding?</w:t>
      </w:r>
    </w:p>
    <w:p w14:paraId="654800A7" w14:textId="77777777" w:rsidR="00F8418D" w:rsidRPr="009075DC" w:rsidRDefault="00F8418D" w:rsidP="00A253E1">
      <w:pPr>
        <w:pStyle w:val="answer"/>
        <w:rPr>
          <w:rFonts w:eastAsia="SimSun"/>
        </w:rPr>
      </w:pPr>
      <w:r w:rsidRPr="009075DC">
        <w:rPr>
          <w:rFonts w:eastAsia="SimSun"/>
        </w:rPr>
        <w:t>A.</w:t>
      </w:r>
      <w:r w:rsidRPr="009075DC">
        <w:rPr>
          <w:rFonts w:eastAsia="SimSun"/>
        </w:rPr>
        <w:tab/>
      </w:r>
      <w:r w:rsidR="00B432F7">
        <w:rPr>
          <w:rFonts w:eastAsia="SimSun"/>
        </w:rPr>
        <w:t>Yes.</w:t>
      </w:r>
    </w:p>
    <w:p w14:paraId="654800A8" w14:textId="77777777" w:rsidR="00F8418D" w:rsidRPr="009075DC" w:rsidRDefault="00F8418D" w:rsidP="00A253E1">
      <w:pPr>
        <w:pStyle w:val="question"/>
      </w:pPr>
      <w:r w:rsidRPr="009075DC">
        <w:t>Q.</w:t>
      </w:r>
      <w:r w:rsidRPr="009075DC">
        <w:tab/>
        <w:t xml:space="preserve">What is the purpose of your </w:t>
      </w:r>
      <w:r w:rsidR="00632256">
        <w:t>rebuttal</w:t>
      </w:r>
      <w:r w:rsidR="00F5016E">
        <w:t xml:space="preserve"> </w:t>
      </w:r>
      <w:r w:rsidRPr="009075DC">
        <w:t>testimony?</w:t>
      </w:r>
    </w:p>
    <w:p w14:paraId="654800A9" w14:textId="1651FF7B" w:rsidR="00281026" w:rsidRDefault="00F8418D" w:rsidP="00A253E1">
      <w:pPr>
        <w:pStyle w:val="answer"/>
        <w:rPr>
          <w:rFonts w:eastAsia="SimSun"/>
        </w:rPr>
      </w:pPr>
      <w:r w:rsidRPr="009075DC">
        <w:rPr>
          <w:rFonts w:eastAsia="SimSun"/>
        </w:rPr>
        <w:t>A.</w:t>
      </w:r>
      <w:r w:rsidRPr="009075DC">
        <w:rPr>
          <w:rFonts w:eastAsia="SimSun"/>
        </w:rPr>
        <w:tab/>
        <w:t xml:space="preserve">My </w:t>
      </w:r>
      <w:r w:rsidR="00F418C7">
        <w:rPr>
          <w:rFonts w:eastAsia="SimSun"/>
        </w:rPr>
        <w:t xml:space="preserve">rebuttal </w:t>
      </w:r>
      <w:r w:rsidRPr="009075DC">
        <w:rPr>
          <w:rFonts w:eastAsia="SimSun"/>
        </w:rPr>
        <w:t>testimony</w:t>
      </w:r>
      <w:r w:rsidR="00A01EAC">
        <w:rPr>
          <w:rFonts w:eastAsia="SimSun"/>
        </w:rPr>
        <w:t xml:space="preserve"> provid</w:t>
      </w:r>
      <w:r w:rsidR="00B62B3D">
        <w:rPr>
          <w:rFonts w:eastAsia="SimSun"/>
        </w:rPr>
        <w:t>es response to several interveno</w:t>
      </w:r>
      <w:r w:rsidR="00A01EAC">
        <w:rPr>
          <w:rFonts w:eastAsia="SimSun"/>
        </w:rPr>
        <w:t xml:space="preserve">rs regarding </w:t>
      </w:r>
      <w:r w:rsidR="00932814">
        <w:rPr>
          <w:rFonts w:eastAsia="SimSun"/>
        </w:rPr>
        <w:t>four</w:t>
      </w:r>
      <w:r w:rsidR="00B62B3D">
        <w:rPr>
          <w:rFonts w:eastAsia="SimSun"/>
        </w:rPr>
        <w:t xml:space="preserve"> topics:</w:t>
      </w:r>
      <w:r w:rsidR="00A562F6">
        <w:rPr>
          <w:rFonts w:eastAsia="SimSun"/>
        </w:rPr>
        <w:t xml:space="preserve"> </w:t>
      </w:r>
      <w:r w:rsidR="00A01EAC">
        <w:rPr>
          <w:rFonts w:eastAsia="SimSun"/>
        </w:rPr>
        <w:t xml:space="preserve">the </w:t>
      </w:r>
      <w:r w:rsidR="00B432F7">
        <w:rPr>
          <w:rFonts w:eastAsia="SimSun"/>
        </w:rPr>
        <w:t xml:space="preserve">Electric Reliability Plan </w:t>
      </w:r>
      <w:r w:rsidR="00F37951">
        <w:rPr>
          <w:rFonts w:eastAsia="SimSun"/>
        </w:rPr>
        <w:t>(“ERP”)</w:t>
      </w:r>
      <w:r w:rsidR="00B432F7">
        <w:rPr>
          <w:rFonts w:eastAsia="SimSun"/>
        </w:rPr>
        <w:t xml:space="preserve"> and </w:t>
      </w:r>
      <w:r w:rsidR="000A76B8">
        <w:rPr>
          <w:rFonts w:eastAsia="SimSun"/>
        </w:rPr>
        <w:t xml:space="preserve">Electric </w:t>
      </w:r>
      <w:r w:rsidR="00B432F7">
        <w:rPr>
          <w:rFonts w:eastAsia="SimSun"/>
        </w:rPr>
        <w:t>Cost Recovery Mechanism</w:t>
      </w:r>
      <w:r w:rsidR="00F37951">
        <w:rPr>
          <w:rFonts w:eastAsia="SimSun"/>
        </w:rPr>
        <w:t xml:space="preserve"> (“ECRM”)</w:t>
      </w:r>
      <w:r w:rsidR="00A01EAC">
        <w:rPr>
          <w:rFonts w:eastAsia="SimSun"/>
        </w:rPr>
        <w:t xml:space="preserve">, </w:t>
      </w:r>
      <w:r w:rsidR="00C460A3">
        <w:rPr>
          <w:rFonts w:eastAsia="SimSun"/>
        </w:rPr>
        <w:t>the 24-hour and 120-</w:t>
      </w:r>
      <w:r w:rsidR="001F4568">
        <w:rPr>
          <w:rFonts w:eastAsia="SimSun"/>
        </w:rPr>
        <w:t>hour Service Guarantee,</w:t>
      </w:r>
      <w:r w:rsidR="003D6C74">
        <w:rPr>
          <w:rFonts w:eastAsia="SimSun"/>
        </w:rPr>
        <w:t xml:space="preserve"> </w:t>
      </w:r>
      <w:r w:rsidR="00C460A3" w:rsidRPr="00C460A3">
        <w:rPr>
          <w:rFonts w:eastAsia="SimSun"/>
        </w:rPr>
        <w:t>Institute of Electrical and Electronics Engineers (“IEEE”)</w:t>
      </w:r>
      <w:r w:rsidR="00932814">
        <w:rPr>
          <w:rFonts w:eastAsia="SimSun"/>
        </w:rPr>
        <w:t xml:space="preserve"> Standard</w:t>
      </w:r>
      <w:r w:rsidR="003D6C74">
        <w:rPr>
          <w:rFonts w:eastAsia="SimSun"/>
        </w:rPr>
        <w:t>-1366 application in storm deferral,</w:t>
      </w:r>
      <w:r w:rsidR="001F4568">
        <w:rPr>
          <w:rFonts w:eastAsia="SimSun"/>
        </w:rPr>
        <w:t xml:space="preserve"> and the </w:t>
      </w:r>
      <w:r w:rsidR="00A01EAC">
        <w:rPr>
          <w:rFonts w:eastAsia="SimSun"/>
        </w:rPr>
        <w:t>Ardmore Substation.</w:t>
      </w:r>
      <w:r w:rsidR="00A562F6">
        <w:rPr>
          <w:rFonts w:eastAsia="SimSun"/>
        </w:rPr>
        <w:t xml:space="preserve"> </w:t>
      </w:r>
      <w:r w:rsidR="00281026">
        <w:rPr>
          <w:rFonts w:eastAsia="SimSun"/>
        </w:rPr>
        <w:t xml:space="preserve">The ERP and </w:t>
      </w:r>
      <w:r w:rsidR="00932814">
        <w:rPr>
          <w:rFonts w:eastAsia="SimSun"/>
        </w:rPr>
        <w:t xml:space="preserve">ECRM </w:t>
      </w:r>
      <w:r w:rsidR="00281026">
        <w:rPr>
          <w:rFonts w:eastAsia="SimSun"/>
        </w:rPr>
        <w:t>received response from T</w:t>
      </w:r>
      <w:r w:rsidR="00C460A3">
        <w:rPr>
          <w:rFonts w:eastAsia="SimSun"/>
        </w:rPr>
        <w:t>homas Schooley on beha</w:t>
      </w:r>
      <w:r w:rsidR="00B62B3D">
        <w:rPr>
          <w:rFonts w:eastAsia="SimSun"/>
        </w:rPr>
        <w:t>lf of</w:t>
      </w:r>
      <w:r w:rsidR="00281026">
        <w:rPr>
          <w:rFonts w:eastAsia="SimSun"/>
        </w:rPr>
        <w:t xml:space="preserve"> Staff</w:t>
      </w:r>
      <w:r w:rsidR="00B62B3D">
        <w:rPr>
          <w:rFonts w:eastAsia="SimSun"/>
        </w:rPr>
        <w:t xml:space="preserve"> of the Washington Utilities and Transportation Commission (“Staff”)</w:t>
      </w:r>
      <w:r w:rsidR="00281026">
        <w:rPr>
          <w:rFonts w:eastAsia="SimSun"/>
        </w:rPr>
        <w:t xml:space="preserve">, Michael Brosch and Barbara Alexander on behalf of Public Counsel, Michael Gorman on behalf of </w:t>
      </w:r>
      <w:r w:rsidR="00B62B3D">
        <w:rPr>
          <w:rFonts w:eastAsia="SimSun"/>
        </w:rPr>
        <w:t>the Industrial Customers of Northwest Utilities (“</w:t>
      </w:r>
      <w:r w:rsidR="002F4082">
        <w:rPr>
          <w:rFonts w:eastAsia="SimSun"/>
        </w:rPr>
        <w:t>ICNU</w:t>
      </w:r>
      <w:r w:rsidR="00B62B3D">
        <w:rPr>
          <w:rFonts w:eastAsia="SimSun"/>
        </w:rPr>
        <w:t>”)</w:t>
      </w:r>
      <w:r w:rsidR="00281026">
        <w:rPr>
          <w:rFonts w:eastAsia="SimSun"/>
        </w:rPr>
        <w:t xml:space="preserve">, and Kevin </w:t>
      </w:r>
      <w:r w:rsidR="002F4082">
        <w:rPr>
          <w:rFonts w:eastAsia="SimSun"/>
        </w:rPr>
        <w:t>Higgins</w:t>
      </w:r>
      <w:r w:rsidR="00281026">
        <w:rPr>
          <w:rFonts w:eastAsia="SimSun"/>
        </w:rPr>
        <w:t xml:space="preserve"> on behal</w:t>
      </w:r>
      <w:r w:rsidR="00C460A3">
        <w:rPr>
          <w:rFonts w:eastAsia="SimSun"/>
        </w:rPr>
        <w:t>f of Kroger.</w:t>
      </w:r>
      <w:r w:rsidR="00A562F6">
        <w:rPr>
          <w:rFonts w:eastAsia="SimSun"/>
        </w:rPr>
        <w:t xml:space="preserve"> </w:t>
      </w:r>
      <w:r w:rsidR="00C460A3">
        <w:rPr>
          <w:rFonts w:eastAsia="SimSun"/>
        </w:rPr>
        <w:t xml:space="preserve">My testimony </w:t>
      </w:r>
      <w:r w:rsidR="00281026">
        <w:rPr>
          <w:rFonts w:eastAsia="SimSun"/>
        </w:rPr>
        <w:t>address</w:t>
      </w:r>
      <w:r w:rsidR="00C460A3">
        <w:rPr>
          <w:rFonts w:eastAsia="SimSun"/>
        </w:rPr>
        <w:t>es</w:t>
      </w:r>
      <w:r w:rsidR="00B62B3D">
        <w:rPr>
          <w:rFonts w:eastAsia="SimSun"/>
        </w:rPr>
        <w:t xml:space="preserve"> concerns these interveno</w:t>
      </w:r>
      <w:r w:rsidR="00281026">
        <w:rPr>
          <w:rFonts w:eastAsia="SimSun"/>
        </w:rPr>
        <w:t xml:space="preserve">rs </w:t>
      </w:r>
      <w:r w:rsidR="00B62B3D">
        <w:rPr>
          <w:rFonts w:eastAsia="SimSun"/>
        </w:rPr>
        <w:t>have</w:t>
      </w:r>
      <w:r w:rsidR="00C460A3">
        <w:rPr>
          <w:rFonts w:eastAsia="SimSun"/>
        </w:rPr>
        <w:t xml:space="preserve"> regarding 1) the need for a</w:t>
      </w:r>
      <w:r w:rsidR="007469B3">
        <w:rPr>
          <w:rFonts w:eastAsia="SimSun"/>
        </w:rPr>
        <w:t xml:space="preserve"> </w:t>
      </w:r>
      <w:r w:rsidR="00281026">
        <w:rPr>
          <w:rFonts w:eastAsia="SimSun"/>
        </w:rPr>
        <w:t xml:space="preserve">mechanism, 2) </w:t>
      </w:r>
      <w:r w:rsidR="007469B3">
        <w:rPr>
          <w:rFonts w:eastAsia="SimSun"/>
        </w:rPr>
        <w:t xml:space="preserve">the relevance to the Gas </w:t>
      </w:r>
      <w:r w:rsidR="00C15C65">
        <w:rPr>
          <w:rFonts w:eastAsia="SimSun"/>
        </w:rPr>
        <w:t>Cost Recovery Mechanism (“</w:t>
      </w:r>
      <w:r w:rsidR="007469B3">
        <w:rPr>
          <w:rFonts w:eastAsia="SimSun"/>
        </w:rPr>
        <w:t>CRM</w:t>
      </w:r>
      <w:r w:rsidR="00C15C65">
        <w:rPr>
          <w:rFonts w:eastAsia="SimSun"/>
        </w:rPr>
        <w:t>”)</w:t>
      </w:r>
      <w:r w:rsidR="001F4568">
        <w:rPr>
          <w:rFonts w:eastAsia="SimSun"/>
        </w:rPr>
        <w:t xml:space="preserve">, </w:t>
      </w:r>
      <w:r w:rsidR="00932814">
        <w:rPr>
          <w:rFonts w:eastAsia="SimSun"/>
        </w:rPr>
        <w:t>and 3</w:t>
      </w:r>
      <w:r w:rsidR="00281026">
        <w:rPr>
          <w:rFonts w:eastAsia="SimSun"/>
        </w:rPr>
        <w:t xml:space="preserve">) </w:t>
      </w:r>
      <w:r w:rsidR="00932814">
        <w:rPr>
          <w:rFonts w:eastAsia="SimSun"/>
        </w:rPr>
        <w:t>the need to focus on reliability</w:t>
      </w:r>
      <w:r w:rsidR="003D6C74">
        <w:rPr>
          <w:rFonts w:eastAsia="SimSun"/>
        </w:rPr>
        <w:t>.</w:t>
      </w:r>
    </w:p>
    <w:p w14:paraId="654800AA" w14:textId="42C142BF" w:rsidR="005B3F02" w:rsidRDefault="00CF3508" w:rsidP="00A253E1">
      <w:pPr>
        <w:pStyle w:val="answer"/>
        <w:ind w:left="0" w:firstLine="0"/>
        <w:rPr>
          <w:rFonts w:eastAsia="SimSun"/>
        </w:rPr>
      </w:pPr>
      <w:r>
        <w:rPr>
          <w:rFonts w:eastAsia="SimSun"/>
        </w:rPr>
        <w:lastRenderedPageBreak/>
        <w:t xml:space="preserve">Barbara Alexander on behalf of Public Counsel raised concerns regarding the </w:t>
      </w:r>
      <w:r w:rsidR="00C460A3">
        <w:rPr>
          <w:rFonts w:eastAsia="SimSun"/>
        </w:rPr>
        <w:t>process and awareness of the 24-</w:t>
      </w:r>
      <w:r>
        <w:rPr>
          <w:rFonts w:eastAsia="SimSun"/>
        </w:rPr>
        <w:t>ho</w:t>
      </w:r>
      <w:r w:rsidR="00C460A3">
        <w:rPr>
          <w:rFonts w:eastAsia="SimSun"/>
        </w:rPr>
        <w:t>ur and 120-</w:t>
      </w:r>
      <w:r>
        <w:rPr>
          <w:rFonts w:eastAsia="SimSun"/>
        </w:rPr>
        <w:t>hour service guarantee.</w:t>
      </w:r>
      <w:r w:rsidR="00A562F6">
        <w:rPr>
          <w:rFonts w:eastAsia="SimSun"/>
        </w:rPr>
        <w:t xml:space="preserve"> </w:t>
      </w:r>
      <w:r w:rsidR="003D6C74">
        <w:rPr>
          <w:rFonts w:eastAsia="SimSun"/>
        </w:rPr>
        <w:t>Thomas Sc</w:t>
      </w:r>
      <w:r w:rsidR="00C460A3">
        <w:rPr>
          <w:rFonts w:eastAsia="SimSun"/>
        </w:rPr>
        <w:t>hooley on behalf of S</w:t>
      </w:r>
      <w:r w:rsidR="003D6C74">
        <w:rPr>
          <w:rFonts w:eastAsia="SimSun"/>
        </w:rPr>
        <w:t>taff raised concerns regarding the use of</w:t>
      </w:r>
      <w:r w:rsidR="003D6C74" w:rsidRPr="00E57C23">
        <w:rPr>
          <w:rFonts w:eastAsia="SimSun"/>
          <w:color w:val="000000" w:themeColor="text1"/>
        </w:rPr>
        <w:t xml:space="preserve"> </w:t>
      </w:r>
      <w:r w:rsidR="00E57C23">
        <w:rPr>
          <w:color w:val="000000" w:themeColor="text1"/>
          <w:szCs w:val="24"/>
        </w:rPr>
        <w:t xml:space="preserve">the </w:t>
      </w:r>
      <w:r w:rsidR="003D6C74">
        <w:rPr>
          <w:rFonts w:eastAsia="SimSun"/>
        </w:rPr>
        <w:t>IEEE</w:t>
      </w:r>
      <w:r w:rsidR="00932814">
        <w:rPr>
          <w:rFonts w:eastAsia="SimSun"/>
        </w:rPr>
        <w:t xml:space="preserve"> Standard</w:t>
      </w:r>
      <w:r w:rsidR="003D6C74">
        <w:rPr>
          <w:rFonts w:eastAsia="SimSun"/>
        </w:rPr>
        <w:t>-1366 for triggering storm deferral accounting.</w:t>
      </w:r>
      <w:r w:rsidR="00A562F6">
        <w:rPr>
          <w:rFonts w:eastAsia="SimSun"/>
        </w:rPr>
        <w:t xml:space="preserve"> </w:t>
      </w:r>
      <w:r>
        <w:rPr>
          <w:rFonts w:eastAsia="SimSun"/>
        </w:rPr>
        <w:t xml:space="preserve">Finally, </w:t>
      </w:r>
      <w:r w:rsidR="001F4568">
        <w:rPr>
          <w:rFonts w:eastAsia="SimSun"/>
        </w:rPr>
        <w:t xml:space="preserve">the </w:t>
      </w:r>
      <w:r w:rsidR="005B3F02">
        <w:rPr>
          <w:rFonts w:eastAsia="SimSun"/>
        </w:rPr>
        <w:t xml:space="preserve">Ardmore </w:t>
      </w:r>
      <w:r w:rsidR="00281026">
        <w:rPr>
          <w:rFonts w:eastAsia="SimSun"/>
        </w:rPr>
        <w:t xml:space="preserve">Substation </w:t>
      </w:r>
      <w:r w:rsidR="001F4568">
        <w:rPr>
          <w:rFonts w:eastAsia="SimSun"/>
        </w:rPr>
        <w:t>project</w:t>
      </w:r>
      <w:r w:rsidR="00281026">
        <w:rPr>
          <w:rFonts w:eastAsia="SimSun"/>
        </w:rPr>
        <w:t xml:space="preserve"> received response from Bradley </w:t>
      </w:r>
      <w:r w:rsidR="002F4082">
        <w:rPr>
          <w:rFonts w:eastAsia="SimSun"/>
        </w:rPr>
        <w:t>Mullins</w:t>
      </w:r>
      <w:r w:rsidR="00B62B3D">
        <w:rPr>
          <w:rFonts w:eastAsia="SimSun"/>
        </w:rPr>
        <w:t xml:space="preserve"> on behalf of ICNU</w:t>
      </w:r>
      <w:r w:rsidR="00281026">
        <w:rPr>
          <w:rFonts w:eastAsia="SimSun"/>
        </w:rPr>
        <w:t xml:space="preserve">. </w:t>
      </w:r>
    </w:p>
    <w:p w14:paraId="654800AB" w14:textId="59252A90" w:rsidR="005B3F02" w:rsidRDefault="005B3F02" w:rsidP="00A253E1">
      <w:pPr>
        <w:pStyle w:val="Heading1"/>
      </w:pPr>
      <w:bookmarkStart w:id="3" w:name="_Toc489949727"/>
      <w:r>
        <w:rPr>
          <w:rFonts w:eastAsia="SimSun"/>
        </w:rPr>
        <w:t>II</w:t>
      </w:r>
      <w:r w:rsidRPr="009075DC">
        <w:rPr>
          <w:rFonts w:eastAsia="SimSun"/>
        </w:rPr>
        <w:t>.</w:t>
      </w:r>
      <w:r w:rsidRPr="009075DC">
        <w:rPr>
          <w:rFonts w:eastAsia="SimSun"/>
        </w:rPr>
        <w:tab/>
      </w:r>
      <w:r>
        <w:rPr>
          <w:rFonts w:eastAsia="SimSun"/>
        </w:rPr>
        <w:t xml:space="preserve">ELECTRIC </w:t>
      </w:r>
      <w:r w:rsidRPr="00A253E1">
        <w:rPr>
          <w:rFonts w:eastAsia="SimSun"/>
        </w:rPr>
        <w:t>RELIABILITY</w:t>
      </w:r>
      <w:r>
        <w:rPr>
          <w:rFonts w:eastAsia="SimSun"/>
        </w:rPr>
        <w:t xml:space="preserve"> PLAN AND </w:t>
      </w:r>
      <w:r w:rsidR="00C460A3">
        <w:rPr>
          <w:rFonts w:eastAsia="SimSun"/>
        </w:rPr>
        <w:t xml:space="preserve">ELECTRIC </w:t>
      </w:r>
      <w:r>
        <w:rPr>
          <w:rFonts w:eastAsia="SimSun"/>
        </w:rPr>
        <w:t>COST RECOVERY MECHANISM</w:t>
      </w:r>
      <w:bookmarkEnd w:id="3"/>
    </w:p>
    <w:p w14:paraId="654800AD" w14:textId="3492C2B4" w:rsidR="00157EEC" w:rsidRDefault="006616C6" w:rsidP="00A253E1">
      <w:pPr>
        <w:pStyle w:val="question"/>
      </w:pPr>
      <w:r w:rsidRPr="005C7314">
        <w:t>Q.</w:t>
      </w:r>
      <w:r w:rsidRPr="005C7314">
        <w:tab/>
      </w:r>
      <w:r w:rsidR="00CC60CC">
        <w:t xml:space="preserve">Why has PSE </w:t>
      </w:r>
      <w:r w:rsidR="00CC60CC" w:rsidRPr="00CE2B5F">
        <w:t>proposed</w:t>
      </w:r>
      <w:r w:rsidR="00CC60CC">
        <w:t xml:space="preserve"> the </w:t>
      </w:r>
      <w:r w:rsidR="00F103A4">
        <w:t>E</w:t>
      </w:r>
      <w:r w:rsidR="00A103D2">
        <w:t>RP</w:t>
      </w:r>
      <w:r w:rsidR="00F103A4">
        <w:t xml:space="preserve"> and the </w:t>
      </w:r>
      <w:r w:rsidR="00A103D2">
        <w:t>ECRM</w:t>
      </w:r>
      <w:r w:rsidR="00F103A4">
        <w:t>?</w:t>
      </w:r>
    </w:p>
    <w:p w14:paraId="654800AE" w14:textId="7B33048B" w:rsidR="001F4568" w:rsidRDefault="00A253E1" w:rsidP="00A253E1">
      <w:pPr>
        <w:pStyle w:val="answer"/>
        <w:rPr>
          <w:rFonts w:eastAsia="SimSun"/>
        </w:rPr>
      </w:pPr>
      <w:r>
        <w:rPr>
          <w:rFonts w:eastAsia="SimSun"/>
        </w:rPr>
        <w:t>A.</w:t>
      </w:r>
      <w:r>
        <w:rPr>
          <w:rFonts w:eastAsia="SimSun"/>
        </w:rPr>
        <w:tab/>
      </w:r>
      <w:r w:rsidR="00CF06D5">
        <w:rPr>
          <w:rFonts w:eastAsia="SimSun"/>
        </w:rPr>
        <w:t xml:space="preserve">PSE is proposing the </w:t>
      </w:r>
      <w:r w:rsidR="00F103A4">
        <w:rPr>
          <w:rFonts w:eastAsia="SimSun"/>
        </w:rPr>
        <w:t>E</w:t>
      </w:r>
      <w:r w:rsidR="00A103D2">
        <w:rPr>
          <w:rFonts w:eastAsia="SimSun"/>
        </w:rPr>
        <w:t>RP</w:t>
      </w:r>
      <w:r w:rsidR="000031CD">
        <w:rPr>
          <w:rFonts w:eastAsia="SimSun"/>
        </w:rPr>
        <w:t xml:space="preserve"> and </w:t>
      </w:r>
      <w:r w:rsidR="00A103D2">
        <w:rPr>
          <w:rFonts w:eastAsia="SimSun"/>
        </w:rPr>
        <w:t>ECRM</w:t>
      </w:r>
      <w:r w:rsidR="000031CD">
        <w:rPr>
          <w:rFonts w:eastAsia="SimSun"/>
        </w:rPr>
        <w:t xml:space="preserve"> </w:t>
      </w:r>
      <w:r w:rsidR="00157EEC">
        <w:rPr>
          <w:rFonts w:eastAsia="SimSun"/>
        </w:rPr>
        <w:t>to address</w:t>
      </w:r>
      <w:r w:rsidR="00CF06D5">
        <w:rPr>
          <w:rFonts w:eastAsia="SimSun"/>
        </w:rPr>
        <w:t xml:space="preserve"> immediately</w:t>
      </w:r>
      <w:r w:rsidR="00157EEC">
        <w:rPr>
          <w:rFonts w:eastAsia="SimSun"/>
        </w:rPr>
        <w:t xml:space="preserve"> </w:t>
      </w:r>
      <w:r w:rsidR="00157EEC" w:rsidRPr="00A253E1">
        <w:rPr>
          <w:rFonts w:eastAsia="SimSun"/>
        </w:rPr>
        <w:t>two</w:t>
      </w:r>
      <w:r w:rsidR="00157EEC">
        <w:rPr>
          <w:rFonts w:eastAsia="SimSun"/>
        </w:rPr>
        <w:t xml:space="preserve"> </w:t>
      </w:r>
      <w:r w:rsidR="001F4568">
        <w:rPr>
          <w:rFonts w:eastAsia="SimSun"/>
        </w:rPr>
        <w:t xml:space="preserve">important </w:t>
      </w:r>
      <w:r w:rsidR="00157EEC">
        <w:rPr>
          <w:rFonts w:eastAsia="SimSun"/>
        </w:rPr>
        <w:t>issues</w:t>
      </w:r>
      <w:r w:rsidR="001F4568">
        <w:rPr>
          <w:rFonts w:eastAsia="SimSun"/>
        </w:rPr>
        <w:t xml:space="preserve"> that affect the reliability and resiliency of service to customers</w:t>
      </w:r>
      <w:r w:rsidR="003F6CB4">
        <w:rPr>
          <w:rFonts w:eastAsia="SimSun"/>
        </w:rPr>
        <w:t>:</w:t>
      </w:r>
      <w:r w:rsidR="00A562F6">
        <w:rPr>
          <w:rFonts w:eastAsia="SimSun"/>
        </w:rPr>
        <w:t xml:space="preserve"> </w:t>
      </w:r>
      <w:r w:rsidR="00157EEC">
        <w:rPr>
          <w:rFonts w:eastAsia="SimSun"/>
        </w:rPr>
        <w:t xml:space="preserve">1) failure prone </w:t>
      </w:r>
      <w:r w:rsidR="00CB2A60">
        <w:rPr>
          <w:rFonts w:eastAsia="SimSun"/>
        </w:rPr>
        <w:t>high molecular weight (“HMW”)</w:t>
      </w:r>
      <w:r w:rsidR="00157EEC">
        <w:rPr>
          <w:rFonts w:eastAsia="SimSun"/>
        </w:rPr>
        <w:t xml:space="preserve"> direct bury cable and 2) </w:t>
      </w:r>
      <w:r w:rsidR="001F4568">
        <w:rPr>
          <w:rFonts w:eastAsia="SimSun"/>
        </w:rPr>
        <w:t xml:space="preserve">infrastructure failures or limitations on PSE’s </w:t>
      </w:r>
      <w:r w:rsidR="00157EEC">
        <w:rPr>
          <w:rFonts w:eastAsia="SimSun"/>
        </w:rPr>
        <w:t>worst performing circuits</w:t>
      </w:r>
      <w:r w:rsidR="00CB2A60">
        <w:rPr>
          <w:rFonts w:eastAsia="SimSun"/>
        </w:rPr>
        <w:t xml:space="preserve"> (“WPC”)</w:t>
      </w:r>
      <w:r w:rsidR="00157EEC">
        <w:rPr>
          <w:rFonts w:eastAsia="SimSun"/>
        </w:rPr>
        <w:t>.</w:t>
      </w:r>
      <w:r w:rsidR="00A562F6">
        <w:rPr>
          <w:rFonts w:eastAsia="SimSun"/>
        </w:rPr>
        <w:t xml:space="preserve"> </w:t>
      </w:r>
      <w:r w:rsidR="001F4568">
        <w:rPr>
          <w:rFonts w:eastAsia="SimSun"/>
        </w:rPr>
        <w:t>By addressing these two issues, PSE will</w:t>
      </w:r>
      <w:r w:rsidR="006C0858">
        <w:rPr>
          <w:rFonts w:eastAsia="SimSun"/>
        </w:rPr>
        <w:t xml:space="preserve"> significantly</w:t>
      </w:r>
      <w:r w:rsidR="001F4568">
        <w:rPr>
          <w:rFonts w:eastAsia="SimSun"/>
        </w:rPr>
        <w:t xml:space="preserve"> improve the reliability and resiliency of service to customers beyond historic levels.</w:t>
      </w:r>
    </w:p>
    <w:p w14:paraId="654800AF" w14:textId="33AD0ED7" w:rsidR="001F4568" w:rsidRDefault="00A253E1" w:rsidP="00A253E1">
      <w:pPr>
        <w:pStyle w:val="Answer0"/>
        <w:rPr>
          <w:rFonts w:eastAsia="SimSun"/>
        </w:rPr>
      </w:pPr>
      <w:r>
        <w:rPr>
          <w:rFonts w:eastAsia="SimSun"/>
        </w:rPr>
        <w:tab/>
      </w:r>
      <w:r w:rsidR="00157EEC">
        <w:rPr>
          <w:rFonts w:eastAsia="SimSun"/>
        </w:rPr>
        <w:t xml:space="preserve">As </w:t>
      </w:r>
      <w:r w:rsidR="00CF06D5">
        <w:rPr>
          <w:rFonts w:eastAsia="SimSun"/>
        </w:rPr>
        <w:t>explained</w:t>
      </w:r>
      <w:r w:rsidR="00157EEC">
        <w:rPr>
          <w:rFonts w:eastAsia="SimSun"/>
        </w:rPr>
        <w:t xml:space="preserve"> in my </w:t>
      </w:r>
      <w:r w:rsidR="00B62B3D">
        <w:rPr>
          <w:rFonts w:eastAsia="SimSun"/>
        </w:rPr>
        <w:t>prefiled d</w:t>
      </w:r>
      <w:r w:rsidR="00913793">
        <w:rPr>
          <w:rFonts w:eastAsia="SimSun"/>
        </w:rPr>
        <w:t xml:space="preserve">irect </w:t>
      </w:r>
      <w:r w:rsidR="00B62B3D">
        <w:rPr>
          <w:rFonts w:eastAsia="SimSun"/>
        </w:rPr>
        <w:t>t</w:t>
      </w:r>
      <w:r w:rsidR="003F6CB4">
        <w:rPr>
          <w:rFonts w:eastAsia="SimSun"/>
        </w:rPr>
        <w:t>estimony</w:t>
      </w:r>
      <w:r w:rsidR="00157EEC">
        <w:rPr>
          <w:rFonts w:eastAsia="SimSun"/>
        </w:rPr>
        <w:t xml:space="preserve">, </w:t>
      </w:r>
      <w:r w:rsidR="0039431A">
        <w:rPr>
          <w:rFonts w:eastAsia="SimSun"/>
        </w:rPr>
        <w:t xml:space="preserve">the cause of </w:t>
      </w:r>
      <w:r w:rsidR="00CF06D5">
        <w:rPr>
          <w:rFonts w:eastAsia="SimSun"/>
        </w:rPr>
        <w:t xml:space="preserve">PSE’s cable </w:t>
      </w:r>
      <w:r w:rsidR="0039431A">
        <w:rPr>
          <w:rFonts w:eastAsia="SimSun"/>
        </w:rPr>
        <w:t xml:space="preserve">failure is generic to all </w:t>
      </w:r>
      <w:r w:rsidR="003F6CB4">
        <w:rPr>
          <w:rFonts w:eastAsia="SimSun"/>
        </w:rPr>
        <w:t xml:space="preserve">HMW </w:t>
      </w:r>
      <w:r w:rsidR="00157EEC">
        <w:rPr>
          <w:rFonts w:eastAsia="SimSun"/>
        </w:rPr>
        <w:t>cable</w:t>
      </w:r>
      <w:r w:rsidR="00CF3508">
        <w:rPr>
          <w:rFonts w:eastAsia="SimSun"/>
        </w:rPr>
        <w:t>s</w:t>
      </w:r>
      <w:r w:rsidR="00157EEC">
        <w:rPr>
          <w:rFonts w:eastAsia="SimSun"/>
        </w:rPr>
        <w:t xml:space="preserve"> </w:t>
      </w:r>
      <w:r w:rsidR="0039431A">
        <w:rPr>
          <w:rFonts w:eastAsia="SimSun"/>
        </w:rPr>
        <w:t>due to inferior technology and is not based on manufacturer or location.</w:t>
      </w:r>
      <w:r w:rsidR="00A562F6">
        <w:rPr>
          <w:rFonts w:eastAsia="SimSun"/>
        </w:rPr>
        <w:t xml:space="preserve"> </w:t>
      </w:r>
      <w:r w:rsidR="00CF06D5" w:rsidRPr="00CF06D5">
        <w:rPr>
          <w:rFonts w:eastAsia="SimSun"/>
        </w:rPr>
        <w:t xml:space="preserve">Thus, the HMW cable is </w:t>
      </w:r>
      <w:r w:rsidR="00A103D2">
        <w:rPr>
          <w:rFonts w:eastAsia="SimSun"/>
        </w:rPr>
        <w:t xml:space="preserve">currently </w:t>
      </w:r>
      <w:r w:rsidR="00CF06D5" w:rsidRPr="00CF06D5">
        <w:rPr>
          <w:rFonts w:eastAsia="SimSun"/>
        </w:rPr>
        <w:t>failing throughout PSE’s service territory.</w:t>
      </w:r>
      <w:r w:rsidR="00A562F6">
        <w:rPr>
          <w:rFonts w:eastAsia="SimSun"/>
        </w:rPr>
        <w:t xml:space="preserve"> </w:t>
      </w:r>
      <w:r w:rsidR="003F6CB4">
        <w:rPr>
          <w:rFonts w:eastAsia="SimSun"/>
        </w:rPr>
        <w:t>T</w:t>
      </w:r>
      <w:r w:rsidR="00157EEC">
        <w:rPr>
          <w:rFonts w:eastAsia="SimSun"/>
        </w:rPr>
        <w:t>herefore</w:t>
      </w:r>
      <w:r w:rsidR="003F6CB4">
        <w:rPr>
          <w:rFonts w:eastAsia="SimSun"/>
        </w:rPr>
        <w:t xml:space="preserve">, the </w:t>
      </w:r>
      <w:r w:rsidR="00CF06D5">
        <w:rPr>
          <w:rFonts w:eastAsia="SimSun"/>
        </w:rPr>
        <w:t>only</w:t>
      </w:r>
      <w:r w:rsidR="003F6CB4">
        <w:rPr>
          <w:rFonts w:eastAsia="SimSun"/>
        </w:rPr>
        <w:t xml:space="preserve"> way PSE</w:t>
      </w:r>
      <w:r w:rsidR="00157EEC">
        <w:rPr>
          <w:rFonts w:eastAsia="SimSun"/>
        </w:rPr>
        <w:t xml:space="preserve"> </w:t>
      </w:r>
      <w:r w:rsidR="009213B7">
        <w:rPr>
          <w:rFonts w:eastAsia="SimSun"/>
        </w:rPr>
        <w:t xml:space="preserve">can </w:t>
      </w:r>
      <w:r w:rsidR="003F6CB4">
        <w:rPr>
          <w:rFonts w:eastAsia="SimSun"/>
        </w:rPr>
        <w:t xml:space="preserve">protect customers from </w:t>
      </w:r>
      <w:r w:rsidR="001F4568">
        <w:rPr>
          <w:rFonts w:eastAsia="SimSun"/>
        </w:rPr>
        <w:t>outages caused by</w:t>
      </w:r>
      <w:r w:rsidR="003F6CB4">
        <w:rPr>
          <w:rFonts w:eastAsia="SimSun"/>
        </w:rPr>
        <w:t xml:space="preserve"> failing </w:t>
      </w:r>
      <w:r w:rsidR="001F4568">
        <w:rPr>
          <w:rFonts w:eastAsia="SimSun"/>
        </w:rPr>
        <w:t xml:space="preserve">HMW </w:t>
      </w:r>
      <w:r w:rsidR="003F6CB4">
        <w:rPr>
          <w:rFonts w:eastAsia="SimSun"/>
        </w:rPr>
        <w:t>cable is</w:t>
      </w:r>
      <w:r w:rsidR="009213B7">
        <w:rPr>
          <w:rFonts w:eastAsia="SimSun"/>
        </w:rPr>
        <w:t xml:space="preserve"> by </w:t>
      </w:r>
      <w:r w:rsidR="00157EEC">
        <w:rPr>
          <w:rFonts w:eastAsia="SimSun"/>
        </w:rPr>
        <w:t xml:space="preserve">proactively </w:t>
      </w:r>
      <w:r w:rsidR="00CF06D5">
        <w:rPr>
          <w:rFonts w:eastAsia="SimSun"/>
        </w:rPr>
        <w:t xml:space="preserve">and aggressively </w:t>
      </w:r>
      <w:r w:rsidR="009213B7">
        <w:rPr>
          <w:rFonts w:eastAsia="SimSun"/>
        </w:rPr>
        <w:t xml:space="preserve">accelerating </w:t>
      </w:r>
      <w:r w:rsidR="00157EEC">
        <w:rPr>
          <w:rFonts w:eastAsia="SimSun"/>
        </w:rPr>
        <w:t>replac</w:t>
      </w:r>
      <w:r w:rsidR="009213B7">
        <w:rPr>
          <w:rFonts w:eastAsia="SimSun"/>
        </w:rPr>
        <w:t>ement of this cable before it fails</w:t>
      </w:r>
      <w:r w:rsidR="00157EEC">
        <w:rPr>
          <w:rFonts w:eastAsia="SimSun"/>
        </w:rPr>
        <w:t>.</w:t>
      </w:r>
      <w:r w:rsidR="00A562F6">
        <w:rPr>
          <w:rFonts w:eastAsia="SimSun"/>
        </w:rPr>
        <w:t xml:space="preserve"> </w:t>
      </w:r>
      <w:r w:rsidR="009213B7">
        <w:rPr>
          <w:rFonts w:eastAsia="SimSun"/>
        </w:rPr>
        <w:t>Additionally</w:t>
      </w:r>
      <w:r w:rsidR="003F6CB4">
        <w:rPr>
          <w:rFonts w:eastAsia="SimSun"/>
        </w:rPr>
        <w:t>,</w:t>
      </w:r>
      <w:r w:rsidR="009213B7">
        <w:rPr>
          <w:rFonts w:eastAsia="SimSun"/>
        </w:rPr>
        <w:t xml:space="preserve"> while historical </w:t>
      </w:r>
      <w:r w:rsidR="001F4568">
        <w:rPr>
          <w:rFonts w:eastAsia="SimSun"/>
        </w:rPr>
        <w:t>planning</w:t>
      </w:r>
      <w:r w:rsidR="009213B7">
        <w:rPr>
          <w:rFonts w:eastAsia="SimSun"/>
        </w:rPr>
        <w:t xml:space="preserve"> processes facilitate investments that support achievement of overall reliability service quality levels, </w:t>
      </w:r>
      <w:r w:rsidR="001F4568">
        <w:rPr>
          <w:rFonts w:eastAsia="SimSun"/>
        </w:rPr>
        <w:t xml:space="preserve">these processes </w:t>
      </w:r>
      <w:r w:rsidR="009213B7">
        <w:rPr>
          <w:rFonts w:eastAsia="SimSun"/>
        </w:rPr>
        <w:t xml:space="preserve">tend to </w:t>
      </w:r>
      <w:r w:rsidR="003F6CB4">
        <w:rPr>
          <w:rFonts w:eastAsia="SimSun"/>
        </w:rPr>
        <w:t>concentrate</w:t>
      </w:r>
      <w:r w:rsidR="009213B7">
        <w:rPr>
          <w:rFonts w:eastAsia="SimSun"/>
        </w:rPr>
        <w:t xml:space="preserve"> reliability </w:t>
      </w:r>
      <w:r w:rsidR="009213B7">
        <w:rPr>
          <w:rFonts w:eastAsia="SimSun"/>
        </w:rPr>
        <w:lastRenderedPageBreak/>
        <w:t xml:space="preserve">investments to </w:t>
      </w:r>
      <w:r w:rsidR="00932814">
        <w:rPr>
          <w:rFonts w:eastAsia="SimSun"/>
        </w:rPr>
        <w:t>more</w:t>
      </w:r>
      <w:r w:rsidR="009213B7">
        <w:rPr>
          <w:rFonts w:eastAsia="SimSun"/>
        </w:rPr>
        <w:t xml:space="preserve"> densely populated areas.</w:t>
      </w:r>
      <w:r w:rsidR="00A562F6">
        <w:rPr>
          <w:rFonts w:eastAsia="SimSun"/>
        </w:rPr>
        <w:t xml:space="preserve"> </w:t>
      </w:r>
      <w:r w:rsidR="009213B7">
        <w:rPr>
          <w:rFonts w:eastAsia="SimSun"/>
        </w:rPr>
        <w:t>Customers served on the WPC tend to be in lower density areas.</w:t>
      </w:r>
      <w:r w:rsidR="00A562F6">
        <w:rPr>
          <w:rFonts w:eastAsia="SimSun"/>
        </w:rPr>
        <w:t xml:space="preserve"> </w:t>
      </w:r>
      <w:r w:rsidR="009213B7">
        <w:rPr>
          <w:rFonts w:eastAsia="SimSun"/>
        </w:rPr>
        <w:t>While some investments are made in these WPC areas, additional specific focus will be needed to improve reliability beyond historic levels.</w:t>
      </w:r>
      <w:r w:rsidR="00A562F6">
        <w:rPr>
          <w:rFonts w:eastAsia="SimSun"/>
        </w:rPr>
        <w:t xml:space="preserve"> </w:t>
      </w:r>
    </w:p>
    <w:p w14:paraId="654800B0" w14:textId="7340C11A" w:rsidR="00B44F71" w:rsidRDefault="00A253E1" w:rsidP="00A253E1">
      <w:pPr>
        <w:pStyle w:val="answer"/>
        <w:rPr>
          <w:rFonts w:eastAsia="SimSun"/>
        </w:rPr>
      </w:pPr>
      <w:r>
        <w:rPr>
          <w:rFonts w:eastAsia="SimSun"/>
        </w:rPr>
        <w:tab/>
      </w:r>
      <w:r w:rsidR="0039431A">
        <w:rPr>
          <w:rFonts w:eastAsia="SimSun"/>
        </w:rPr>
        <w:t>In</w:t>
      </w:r>
      <w:r w:rsidR="009213B7">
        <w:rPr>
          <w:rFonts w:eastAsia="SimSun"/>
        </w:rPr>
        <w:t xml:space="preserve"> effect, the </w:t>
      </w:r>
      <w:r w:rsidR="0002515D">
        <w:rPr>
          <w:rFonts w:eastAsia="SimSun"/>
        </w:rPr>
        <w:t>E</w:t>
      </w:r>
      <w:r w:rsidR="00A103D2">
        <w:rPr>
          <w:rFonts w:eastAsia="SimSun"/>
        </w:rPr>
        <w:t>RP</w:t>
      </w:r>
      <w:r w:rsidR="0002515D">
        <w:rPr>
          <w:rFonts w:eastAsia="SimSun"/>
        </w:rPr>
        <w:t xml:space="preserve"> and associated </w:t>
      </w:r>
      <w:r w:rsidR="009213B7">
        <w:rPr>
          <w:rFonts w:eastAsia="SimSun"/>
        </w:rPr>
        <w:t xml:space="preserve">ECRM is a holistic compliment to existing reliability </w:t>
      </w:r>
      <w:r w:rsidR="001F4568">
        <w:rPr>
          <w:rFonts w:eastAsia="SimSun"/>
        </w:rPr>
        <w:t>planning</w:t>
      </w:r>
      <w:r w:rsidR="0039431A">
        <w:rPr>
          <w:rFonts w:eastAsia="SimSun"/>
        </w:rPr>
        <w:t xml:space="preserve"> m</w:t>
      </w:r>
      <w:r w:rsidR="009213B7">
        <w:rPr>
          <w:rFonts w:eastAsia="SimSun"/>
        </w:rPr>
        <w:t>ethodology in that it provides for more reliability investments to serve customers in all parts of the service area</w:t>
      </w:r>
      <w:r w:rsidR="001F4568">
        <w:rPr>
          <w:rFonts w:eastAsia="SimSun"/>
        </w:rPr>
        <w:t xml:space="preserve"> and addresses a known outage-prone population of underground cable</w:t>
      </w:r>
      <w:r w:rsidR="009213B7">
        <w:rPr>
          <w:rFonts w:eastAsia="SimSun"/>
        </w:rPr>
        <w:t>.</w:t>
      </w:r>
      <w:r w:rsidR="00A562F6">
        <w:rPr>
          <w:rFonts w:eastAsia="SimSun"/>
        </w:rPr>
        <w:t xml:space="preserve"> </w:t>
      </w:r>
    </w:p>
    <w:p w14:paraId="654800B1" w14:textId="3BEC3ADC" w:rsidR="005503FB" w:rsidRPr="00796AE5" w:rsidRDefault="005503FB" w:rsidP="00A253E1">
      <w:pPr>
        <w:pStyle w:val="question"/>
      </w:pPr>
      <w:r w:rsidRPr="00796AE5">
        <w:t>Q.</w:t>
      </w:r>
      <w:r w:rsidRPr="00796AE5">
        <w:tab/>
      </w:r>
      <w:r w:rsidR="001F4568" w:rsidRPr="00796AE5">
        <w:t>Wh</w:t>
      </w:r>
      <w:r w:rsidR="005D19F1">
        <w:t xml:space="preserve">y </w:t>
      </w:r>
      <w:r w:rsidR="005D19F1" w:rsidRPr="00A253E1">
        <w:t>is</w:t>
      </w:r>
      <w:r w:rsidR="005D19F1">
        <w:t xml:space="preserve"> PSE proposing </w:t>
      </w:r>
      <w:r w:rsidR="00FB1589">
        <w:t>a separate cost recovery mechanism</w:t>
      </w:r>
      <w:r w:rsidR="005D19F1">
        <w:t xml:space="preserve"> instead of </w:t>
      </w:r>
      <w:r w:rsidRPr="00796AE5">
        <w:t xml:space="preserve">traditional ratemaking to recover the costs for the </w:t>
      </w:r>
      <w:r w:rsidR="005D19F1">
        <w:t>E</w:t>
      </w:r>
      <w:r w:rsidR="00932814">
        <w:t>RP</w:t>
      </w:r>
      <w:r w:rsidRPr="00796AE5">
        <w:t>?</w:t>
      </w:r>
    </w:p>
    <w:p w14:paraId="2E7083F0" w14:textId="743445EE" w:rsidR="001867C3" w:rsidRDefault="005503FB" w:rsidP="00A253E1">
      <w:pPr>
        <w:pStyle w:val="answer"/>
      </w:pPr>
      <w:r>
        <w:rPr>
          <w:rFonts w:eastAsia="SimSun"/>
        </w:rPr>
        <w:t>A.</w:t>
      </w:r>
      <w:r>
        <w:rPr>
          <w:rFonts w:eastAsia="SimSun"/>
        </w:rPr>
        <w:tab/>
      </w:r>
      <w:r w:rsidR="009626E3">
        <w:rPr>
          <w:rFonts w:eastAsia="SimSun"/>
        </w:rPr>
        <w:t xml:space="preserve">The </w:t>
      </w:r>
      <w:r w:rsidR="00932814">
        <w:rPr>
          <w:rFonts w:eastAsia="SimSun"/>
        </w:rPr>
        <w:t xml:space="preserve">Prefiled </w:t>
      </w:r>
      <w:r w:rsidR="005D19F1">
        <w:rPr>
          <w:rFonts w:eastAsia="SimSun"/>
        </w:rPr>
        <w:t>R</w:t>
      </w:r>
      <w:r w:rsidR="009626E3">
        <w:rPr>
          <w:rFonts w:eastAsia="SimSun"/>
        </w:rPr>
        <w:t xml:space="preserve">ebuttal </w:t>
      </w:r>
      <w:r w:rsidR="005D19F1">
        <w:rPr>
          <w:rFonts w:eastAsia="SimSun"/>
        </w:rPr>
        <w:t>T</w:t>
      </w:r>
      <w:r w:rsidR="009626E3">
        <w:rPr>
          <w:rFonts w:eastAsia="SimSun"/>
        </w:rPr>
        <w:t xml:space="preserve">estimony of </w:t>
      </w:r>
      <w:r w:rsidR="009626E3" w:rsidRPr="00A253E1">
        <w:rPr>
          <w:rFonts w:eastAsia="SimSun"/>
        </w:rPr>
        <w:t>Dan</w:t>
      </w:r>
      <w:r w:rsidR="005D19F1" w:rsidRPr="00A253E1">
        <w:rPr>
          <w:rFonts w:eastAsia="SimSun"/>
        </w:rPr>
        <w:t>iel</w:t>
      </w:r>
      <w:r w:rsidR="005D19F1">
        <w:rPr>
          <w:rFonts w:eastAsia="SimSun"/>
        </w:rPr>
        <w:t xml:space="preserve"> A.</w:t>
      </w:r>
      <w:r w:rsidR="009626E3">
        <w:rPr>
          <w:rFonts w:eastAsia="SimSun"/>
        </w:rPr>
        <w:t xml:space="preserve"> Doyle</w:t>
      </w:r>
      <w:r w:rsidR="005D19F1">
        <w:rPr>
          <w:rFonts w:eastAsia="SimSun"/>
        </w:rPr>
        <w:t xml:space="preserve">, </w:t>
      </w:r>
      <w:r w:rsidR="00B62B3D">
        <w:rPr>
          <w:rFonts w:eastAsia="SimSun"/>
        </w:rPr>
        <w:t>Exhibit</w:t>
      </w:r>
      <w:r w:rsidR="00A103D2">
        <w:rPr>
          <w:rFonts w:eastAsia="SimSun"/>
        </w:rPr>
        <w:t xml:space="preserve"> </w:t>
      </w:r>
      <w:r w:rsidR="005D19F1">
        <w:rPr>
          <w:rFonts w:eastAsia="SimSun"/>
        </w:rPr>
        <w:t>DAD-</w:t>
      </w:r>
      <w:r w:rsidR="006C0858">
        <w:rPr>
          <w:rFonts w:eastAsia="SimSun"/>
        </w:rPr>
        <w:t>7</w:t>
      </w:r>
      <w:r w:rsidR="005D19F1">
        <w:rPr>
          <w:rFonts w:eastAsia="SimSun"/>
        </w:rPr>
        <w:t>T,</w:t>
      </w:r>
      <w:r w:rsidR="009626E3">
        <w:rPr>
          <w:rFonts w:eastAsia="SimSun"/>
        </w:rPr>
        <w:t xml:space="preserve"> addresses the benefit</w:t>
      </w:r>
      <w:r w:rsidR="005D19F1">
        <w:rPr>
          <w:rFonts w:eastAsia="SimSun"/>
        </w:rPr>
        <w:t>s</w:t>
      </w:r>
      <w:r w:rsidR="009626E3">
        <w:rPr>
          <w:rFonts w:eastAsia="SimSun"/>
        </w:rPr>
        <w:t xml:space="preserve"> of the proposed ECRM over traditional ratemaking</w:t>
      </w:r>
      <w:r w:rsidR="005D19F1">
        <w:rPr>
          <w:rFonts w:eastAsia="SimSun"/>
        </w:rPr>
        <w:t>.</w:t>
      </w:r>
      <w:r w:rsidR="00A562F6">
        <w:rPr>
          <w:rFonts w:eastAsia="SimSun"/>
        </w:rPr>
        <w:t xml:space="preserve"> </w:t>
      </w:r>
      <w:r w:rsidR="002D1E8C">
        <w:rPr>
          <w:rFonts w:eastAsia="SimSun"/>
        </w:rPr>
        <w:t xml:space="preserve">If PSE relies on traditional ratemaking </w:t>
      </w:r>
      <w:r w:rsidR="006C0858">
        <w:rPr>
          <w:rFonts w:eastAsia="SimSun"/>
        </w:rPr>
        <w:t xml:space="preserve">to implement the </w:t>
      </w:r>
      <w:r w:rsidR="004127D7">
        <w:rPr>
          <w:rFonts w:eastAsia="SimSun"/>
        </w:rPr>
        <w:t xml:space="preserve">ERP, </w:t>
      </w:r>
      <w:r w:rsidR="004127D7" w:rsidRPr="006047F9">
        <w:rPr>
          <w:rFonts w:eastAsia="SimSun"/>
        </w:rPr>
        <w:t>the</w:t>
      </w:r>
      <w:r w:rsidR="006047F9" w:rsidRPr="006047F9">
        <w:rPr>
          <w:rFonts w:eastAsia="SimSun"/>
        </w:rPr>
        <w:t xml:space="preserve"> </w:t>
      </w:r>
      <w:r w:rsidR="006047F9">
        <w:rPr>
          <w:rFonts w:eastAsia="SimSun"/>
        </w:rPr>
        <w:t>C</w:t>
      </w:r>
      <w:r w:rsidR="006047F9" w:rsidRPr="006047F9">
        <w:rPr>
          <w:rFonts w:eastAsia="SimSun"/>
        </w:rPr>
        <w:t>ompany will face ongoing earnings erosion due to the regulatory lag associated with traditional ratemaki</w:t>
      </w:r>
      <w:r w:rsidR="00B62B3D">
        <w:rPr>
          <w:rFonts w:eastAsia="SimSun"/>
        </w:rPr>
        <w:t>ng.</w:t>
      </w:r>
      <w:r w:rsidR="00A562F6">
        <w:rPr>
          <w:rFonts w:eastAsia="SimSun"/>
        </w:rPr>
        <w:t xml:space="preserve"> </w:t>
      </w:r>
      <w:r w:rsidR="00B62B3D">
        <w:rPr>
          <w:rFonts w:eastAsia="SimSun"/>
        </w:rPr>
        <w:t>As described in the Prefil</w:t>
      </w:r>
      <w:r w:rsidR="006047F9" w:rsidRPr="006047F9">
        <w:rPr>
          <w:rFonts w:eastAsia="SimSun"/>
        </w:rPr>
        <w:t>ed Rebuttal Testi</w:t>
      </w:r>
      <w:r w:rsidR="00932814">
        <w:rPr>
          <w:rFonts w:eastAsia="SimSun"/>
        </w:rPr>
        <w:t xml:space="preserve">mony of Katherine J. Barnard, </w:t>
      </w:r>
      <w:r w:rsidR="00B62B3D">
        <w:rPr>
          <w:rFonts w:eastAsia="SimSun"/>
        </w:rPr>
        <w:t>Exhibit</w:t>
      </w:r>
      <w:r w:rsidR="00932814">
        <w:rPr>
          <w:rFonts w:eastAsia="SimSun"/>
        </w:rPr>
        <w:t> KJB-17T</w:t>
      </w:r>
      <w:r w:rsidR="006047F9" w:rsidRPr="006047F9">
        <w:rPr>
          <w:rFonts w:eastAsia="SimSun"/>
        </w:rPr>
        <w:t>, the financial impact associated with implementation of just the 2017 investment</w:t>
      </w:r>
      <w:r w:rsidR="00582AA9">
        <w:rPr>
          <w:rFonts w:eastAsia="SimSun"/>
        </w:rPr>
        <w:t>, absent the ECRM, will be</w:t>
      </w:r>
      <w:r w:rsidR="00982FD0">
        <w:rPr>
          <w:rFonts w:eastAsia="SimSun"/>
        </w:rPr>
        <w:t xml:space="preserve"> </w:t>
      </w:r>
      <w:r w:rsidR="00582AA9">
        <w:rPr>
          <w:rFonts w:eastAsia="SimSun"/>
        </w:rPr>
        <w:t>approximately</w:t>
      </w:r>
      <w:r w:rsidR="00FA648F">
        <w:rPr>
          <w:rFonts w:eastAsia="SimSun"/>
        </w:rPr>
        <w:t xml:space="preserve"> $20 million based on the 27-</w:t>
      </w:r>
      <w:r w:rsidR="006047F9" w:rsidRPr="006047F9">
        <w:rPr>
          <w:rFonts w:eastAsia="SimSun"/>
        </w:rPr>
        <w:t xml:space="preserve">month regulatory lag associated with a general rate case </w:t>
      </w:r>
      <w:r w:rsidR="008D0C9D">
        <w:rPr>
          <w:rFonts w:eastAsia="SimSun"/>
        </w:rPr>
        <w:t xml:space="preserve">(“GRC”) </w:t>
      </w:r>
      <w:r w:rsidR="006047F9" w:rsidRPr="006047F9">
        <w:rPr>
          <w:rFonts w:eastAsia="SimSun"/>
        </w:rPr>
        <w:t>filing.</w:t>
      </w:r>
      <w:r w:rsidR="00A562F6">
        <w:rPr>
          <w:rFonts w:eastAsia="SimSun"/>
        </w:rPr>
        <w:t xml:space="preserve"> </w:t>
      </w:r>
    </w:p>
    <w:p w14:paraId="1B7AE5DC" w14:textId="2D826242" w:rsidR="00444DF2" w:rsidRDefault="00444DF2" w:rsidP="00A253E1">
      <w:pPr>
        <w:pStyle w:val="question"/>
      </w:pPr>
      <w:r>
        <w:lastRenderedPageBreak/>
        <w:t>Q.</w:t>
      </w:r>
      <w:r>
        <w:tab/>
        <w:t xml:space="preserve">Are there other </w:t>
      </w:r>
      <w:r w:rsidRPr="00A253E1">
        <w:t>reasons</w:t>
      </w:r>
      <w:r>
        <w:t xml:space="preserve"> why PSE should not implement this work under the traditional rate making model?</w:t>
      </w:r>
    </w:p>
    <w:p w14:paraId="24A731F9" w14:textId="745DE3B7" w:rsidR="001863AC" w:rsidRDefault="00444DF2" w:rsidP="00A253E1">
      <w:pPr>
        <w:pStyle w:val="answer"/>
        <w:rPr>
          <w:rFonts w:eastAsia="SimSun"/>
        </w:rPr>
      </w:pPr>
      <w:r>
        <w:rPr>
          <w:rFonts w:eastAsia="SimSun"/>
        </w:rPr>
        <w:t>A.</w:t>
      </w:r>
      <w:r>
        <w:rPr>
          <w:rFonts w:eastAsia="SimSun"/>
        </w:rPr>
        <w:tab/>
        <w:t>Yes</w:t>
      </w:r>
      <w:r w:rsidR="00932814">
        <w:rPr>
          <w:rFonts w:eastAsia="SimSun"/>
        </w:rPr>
        <w:t>.</w:t>
      </w:r>
      <w:r w:rsidR="00A562F6">
        <w:rPr>
          <w:rFonts w:eastAsia="SimSun"/>
        </w:rPr>
        <w:t xml:space="preserve"> </w:t>
      </w:r>
      <w:r w:rsidR="00932814">
        <w:rPr>
          <w:rFonts w:eastAsia="SimSun"/>
        </w:rPr>
        <w:t>I</w:t>
      </w:r>
      <w:r w:rsidR="002D1E8C">
        <w:rPr>
          <w:rFonts w:eastAsia="SimSun"/>
        </w:rPr>
        <w:t xml:space="preserve">n </w:t>
      </w:r>
      <w:r w:rsidR="00AD6C56">
        <w:rPr>
          <w:rFonts w:eastAsia="SimSun"/>
        </w:rPr>
        <w:t>a</w:t>
      </w:r>
      <w:r w:rsidR="008D0C9D">
        <w:rPr>
          <w:rFonts w:eastAsia="SimSun"/>
        </w:rPr>
        <w:t xml:space="preserve"> recent Avista GRC</w:t>
      </w:r>
      <w:r w:rsidR="00932814">
        <w:rPr>
          <w:rFonts w:eastAsia="SimSun"/>
        </w:rPr>
        <w:t>,</w:t>
      </w:r>
      <w:r w:rsidR="00D46613">
        <w:rPr>
          <w:rFonts w:eastAsia="SimSun"/>
        </w:rPr>
        <w:t xml:space="preserve"> the </w:t>
      </w:r>
      <w:r w:rsidR="00AD6C56">
        <w:rPr>
          <w:rFonts w:eastAsia="SimSun"/>
        </w:rPr>
        <w:t xml:space="preserve">Commission </w:t>
      </w:r>
      <w:r w:rsidR="006047F9">
        <w:rPr>
          <w:rFonts w:eastAsia="SimSun"/>
        </w:rPr>
        <w:t xml:space="preserve">expressed </w:t>
      </w:r>
      <w:r w:rsidR="00AD6C56">
        <w:rPr>
          <w:rFonts w:eastAsia="SimSun"/>
        </w:rPr>
        <w:t>a</w:t>
      </w:r>
      <w:r w:rsidR="00CB2DBC">
        <w:rPr>
          <w:rFonts w:eastAsia="SimSun"/>
        </w:rPr>
        <w:t xml:space="preserve"> general</w:t>
      </w:r>
      <w:r w:rsidR="00AD6C56">
        <w:rPr>
          <w:rFonts w:eastAsia="SimSun"/>
        </w:rPr>
        <w:t xml:space="preserve"> expectation that utilities would not increase capital investment in </w:t>
      </w:r>
      <w:r w:rsidR="00AD6C56" w:rsidRPr="002D1E8C">
        <w:t>non-revenue generating distr</w:t>
      </w:r>
      <w:r w:rsidR="00AD6C56" w:rsidRPr="00A253E1">
        <w:t>i</w:t>
      </w:r>
      <w:r w:rsidR="00AD6C56" w:rsidRPr="002D1E8C">
        <w:t xml:space="preserve">bution plant </w:t>
      </w:r>
      <w:r w:rsidR="006F3097">
        <w:rPr>
          <w:rFonts w:eastAsia="SimSun"/>
        </w:rPr>
        <w:t>beyond customer growth rates.</w:t>
      </w:r>
      <w:r w:rsidR="00652A53">
        <w:rPr>
          <w:rStyle w:val="FootnoteReference"/>
          <w:rFonts w:eastAsia="SimSun"/>
        </w:rPr>
        <w:footnoteReference w:id="2"/>
      </w:r>
      <w:r w:rsidR="00A562F6">
        <w:rPr>
          <w:rFonts w:eastAsia="SimSun"/>
        </w:rPr>
        <w:t xml:space="preserve"> </w:t>
      </w:r>
      <w:r w:rsidR="00B37A25">
        <w:rPr>
          <w:rFonts w:eastAsia="SimSun"/>
        </w:rPr>
        <w:t>The level of spend</w:t>
      </w:r>
      <w:r w:rsidR="00B37A25" w:rsidRPr="00A253E1">
        <w:rPr>
          <w:rFonts w:eastAsia="SimSun"/>
        </w:rPr>
        <w:t>i</w:t>
      </w:r>
      <w:r w:rsidR="00B37A25">
        <w:rPr>
          <w:rFonts w:eastAsia="SimSun"/>
        </w:rPr>
        <w:t>ng PSE is proposing in the ECRM</w:t>
      </w:r>
      <w:r w:rsidR="006047F9">
        <w:rPr>
          <w:rFonts w:eastAsia="SimSun"/>
        </w:rPr>
        <w:t xml:space="preserve"> to accelerate key reliability spending</w:t>
      </w:r>
      <w:r w:rsidR="00B37A25">
        <w:rPr>
          <w:rFonts w:eastAsia="SimSun"/>
        </w:rPr>
        <w:t xml:space="preserve"> exceeds the revenue generated from customer growth.</w:t>
      </w:r>
      <w:r w:rsidR="00A562F6">
        <w:rPr>
          <w:rFonts w:eastAsia="SimSun"/>
        </w:rPr>
        <w:t xml:space="preserve"> </w:t>
      </w:r>
      <w:r w:rsidR="006F3097">
        <w:rPr>
          <w:rFonts w:eastAsia="SimSun"/>
        </w:rPr>
        <w:t>Thus, PSE is unwilling, through traditiona</w:t>
      </w:r>
      <w:r w:rsidR="00FA648F">
        <w:rPr>
          <w:rFonts w:eastAsia="SimSun"/>
        </w:rPr>
        <w:t>l ratemaking,</w:t>
      </w:r>
      <w:r w:rsidR="006F3097">
        <w:rPr>
          <w:rFonts w:eastAsia="SimSun"/>
        </w:rPr>
        <w:t xml:space="preserve"> to engage in the accelerated level of electric reliability spending that PSE has proposed in its ERP.</w:t>
      </w:r>
      <w:r w:rsidR="00A562F6">
        <w:rPr>
          <w:rFonts w:eastAsia="SimSun"/>
        </w:rPr>
        <w:t xml:space="preserve"> </w:t>
      </w:r>
      <w:r w:rsidR="006F3097">
        <w:rPr>
          <w:rFonts w:eastAsia="SimSun"/>
        </w:rPr>
        <w:t>PSE seeks Commission authorization of the accele</w:t>
      </w:r>
      <w:r w:rsidR="00FA648F">
        <w:rPr>
          <w:rFonts w:eastAsia="SimSun"/>
        </w:rPr>
        <w:t>ration of this reliability work</w:t>
      </w:r>
      <w:r w:rsidR="006F3097">
        <w:rPr>
          <w:rFonts w:eastAsia="SimSun"/>
        </w:rPr>
        <w:t xml:space="preserve"> through approval of the ECRM, rather than engaging in a level of work that may be second-guessed under the traditional rate making model.</w:t>
      </w:r>
      <w:r w:rsidR="00A562F6">
        <w:rPr>
          <w:rFonts w:eastAsia="SimSun"/>
        </w:rPr>
        <w:t xml:space="preserve"> </w:t>
      </w:r>
      <w:r w:rsidR="001863AC">
        <w:rPr>
          <w:rFonts w:eastAsia="SimSun"/>
        </w:rPr>
        <w:t xml:space="preserve">In short, </w:t>
      </w:r>
      <w:r w:rsidR="00AF6156">
        <w:rPr>
          <w:rFonts w:eastAsia="SimSun"/>
        </w:rPr>
        <w:t xml:space="preserve">PSE will be unable to implement the target improvements </w:t>
      </w:r>
      <w:r w:rsidR="001863AC">
        <w:rPr>
          <w:rFonts w:eastAsia="SimSun"/>
        </w:rPr>
        <w:t xml:space="preserve">proposed in the ERP </w:t>
      </w:r>
      <w:r w:rsidR="00AF6156">
        <w:rPr>
          <w:rFonts w:eastAsia="SimSun"/>
        </w:rPr>
        <w:t>at the proposed accelerated timeframe if the ECRM is not approved.</w:t>
      </w:r>
      <w:r w:rsidR="00A562F6">
        <w:rPr>
          <w:rFonts w:eastAsia="SimSun"/>
        </w:rPr>
        <w:t xml:space="preserve"> </w:t>
      </w:r>
    </w:p>
    <w:p w14:paraId="69F4CE36" w14:textId="5BA03E86" w:rsidR="001863AC" w:rsidRPr="001863AC" w:rsidRDefault="001863AC" w:rsidP="00A253E1">
      <w:pPr>
        <w:pStyle w:val="question"/>
      </w:pPr>
      <w:r w:rsidRPr="001863AC">
        <w:t>Q.</w:t>
      </w:r>
      <w:r w:rsidRPr="001863AC">
        <w:tab/>
        <w:t>What other benefits does the ECRM provide?</w:t>
      </w:r>
    </w:p>
    <w:p w14:paraId="61E28142" w14:textId="7BDAAFBB" w:rsidR="001867C3" w:rsidRDefault="001863AC" w:rsidP="00A253E1">
      <w:pPr>
        <w:pStyle w:val="answer"/>
      </w:pPr>
      <w:r>
        <w:rPr>
          <w:rFonts w:eastAsia="SimSun"/>
        </w:rPr>
        <w:t>A.</w:t>
      </w:r>
      <w:r>
        <w:rPr>
          <w:rFonts w:eastAsia="SimSun"/>
        </w:rPr>
        <w:tab/>
        <w:t>I</w:t>
      </w:r>
      <w:r w:rsidR="00B62B3D">
        <w:rPr>
          <w:rFonts w:eastAsia="SimSun"/>
        </w:rPr>
        <w:t>n addition to rate</w:t>
      </w:r>
      <w:r w:rsidR="00DD3663">
        <w:rPr>
          <w:rFonts w:eastAsia="SimSun"/>
        </w:rPr>
        <w:t xml:space="preserve"> </w:t>
      </w:r>
      <w:r w:rsidR="00C96686">
        <w:rPr>
          <w:rFonts w:eastAsia="SimSun"/>
        </w:rPr>
        <w:t>recovery, t</w:t>
      </w:r>
      <w:r w:rsidR="005D19F1">
        <w:rPr>
          <w:rFonts w:eastAsia="SimSun"/>
        </w:rPr>
        <w:t>hrough the ECRM, PSE and the Commission can review the progress, objectives, and</w:t>
      </w:r>
      <w:r w:rsidR="009626E3">
        <w:rPr>
          <w:rFonts w:eastAsia="SimSun"/>
        </w:rPr>
        <w:t xml:space="preserve"> </w:t>
      </w:r>
      <w:r w:rsidR="0002515D">
        <w:rPr>
          <w:rFonts w:eastAsia="SimSun"/>
        </w:rPr>
        <w:t xml:space="preserve">expenditures of the </w:t>
      </w:r>
      <w:r>
        <w:rPr>
          <w:rFonts w:eastAsia="SimSun"/>
        </w:rPr>
        <w:t>ERP</w:t>
      </w:r>
      <w:r w:rsidR="00CF3508">
        <w:rPr>
          <w:rFonts w:eastAsia="SimSun"/>
        </w:rPr>
        <w:t xml:space="preserve"> </w:t>
      </w:r>
      <w:r w:rsidR="005D19F1" w:rsidRPr="005D19F1">
        <w:rPr>
          <w:rFonts w:eastAsia="SimSun"/>
        </w:rPr>
        <w:t>on an annual basis instead of waiting until th</w:t>
      </w:r>
      <w:r w:rsidR="008D0C9D">
        <w:rPr>
          <w:rFonts w:eastAsia="SimSun"/>
        </w:rPr>
        <w:t>e next GRC</w:t>
      </w:r>
      <w:r w:rsidR="005D19F1" w:rsidRPr="005D19F1">
        <w:rPr>
          <w:rFonts w:eastAsia="SimSun"/>
        </w:rPr>
        <w:t>.</w:t>
      </w:r>
      <w:r w:rsidR="00A562F6">
        <w:rPr>
          <w:rFonts w:eastAsia="SimSun"/>
        </w:rPr>
        <w:t xml:space="preserve"> </w:t>
      </w:r>
      <w:r w:rsidR="00C96686">
        <w:rPr>
          <w:rFonts w:eastAsia="SimSun"/>
        </w:rPr>
        <w:t xml:space="preserve">It </w:t>
      </w:r>
      <w:r w:rsidR="005D19F1" w:rsidRPr="005D19F1">
        <w:t xml:space="preserve">allows both PSE </w:t>
      </w:r>
      <w:r w:rsidR="005D19F1" w:rsidRPr="00DD3663">
        <w:t>and the Commission to</w:t>
      </w:r>
      <w:r w:rsidR="00C96686" w:rsidRPr="00DD3663">
        <w:t xml:space="preserve"> be in agreement regarding</w:t>
      </w:r>
      <w:r w:rsidR="00DD3663" w:rsidRPr="00DD3663">
        <w:t xml:space="preserve"> PSE’s</w:t>
      </w:r>
      <w:r w:rsidR="00C96686" w:rsidRPr="00DD3663">
        <w:t xml:space="preserve"> reliability</w:t>
      </w:r>
      <w:r w:rsidR="00DD3663">
        <w:t xml:space="preserve"> </w:t>
      </w:r>
      <w:r>
        <w:t>activities</w:t>
      </w:r>
      <w:r w:rsidR="00A13C81">
        <w:t>.</w:t>
      </w:r>
      <w:r w:rsidR="00A562F6">
        <w:t xml:space="preserve"> </w:t>
      </w:r>
      <w:r w:rsidR="00DD3663">
        <w:t>Additionally</w:t>
      </w:r>
      <w:r>
        <w:t>,</w:t>
      </w:r>
      <w:r w:rsidR="00DD3663">
        <w:t xml:space="preserve"> it </w:t>
      </w:r>
      <w:r w:rsidR="006C0858">
        <w:t xml:space="preserve">benefits </w:t>
      </w:r>
      <w:r w:rsidR="006C0858">
        <w:lastRenderedPageBreak/>
        <w:t>customers because it provides for a more</w:t>
      </w:r>
      <w:r w:rsidR="00DD3663">
        <w:t xml:space="preserve"> predictable</w:t>
      </w:r>
      <w:r w:rsidR="006C0858">
        <w:t>,</w:t>
      </w:r>
      <w:r w:rsidR="005D19F1" w:rsidRPr="00DD3663">
        <w:t xml:space="preserve"> smaller annual rate impact, as opposed to a larger</w:t>
      </w:r>
      <w:r w:rsidR="005D19F1" w:rsidRPr="005D19F1">
        <w:t xml:space="preserve"> lump sum impact at the next GRC.</w:t>
      </w:r>
      <w:r w:rsidR="002D1E8C" w:rsidRPr="002D1E8C">
        <w:t xml:space="preserve"> </w:t>
      </w:r>
    </w:p>
    <w:p w14:paraId="654800B3" w14:textId="5F0A1CD2" w:rsidR="00414E00" w:rsidRPr="00796AE5" w:rsidRDefault="00414E00" w:rsidP="00A253E1">
      <w:pPr>
        <w:pStyle w:val="question"/>
      </w:pPr>
      <w:r w:rsidRPr="00796AE5">
        <w:t>Q.</w:t>
      </w:r>
      <w:r w:rsidRPr="00796AE5">
        <w:tab/>
        <w:t>Doesn’t the ECRM constitute single-issue ratemaking</w:t>
      </w:r>
      <w:r w:rsidR="00202C89">
        <w:t xml:space="preserve"> and provide </w:t>
      </w:r>
      <w:r w:rsidR="00202C89" w:rsidRPr="0002515D">
        <w:t xml:space="preserve">improper “piecemeal </w:t>
      </w:r>
      <w:r w:rsidR="00202C89" w:rsidRPr="00A253E1">
        <w:t>revenue</w:t>
      </w:r>
      <w:r w:rsidR="00202C89" w:rsidRPr="0002515D">
        <w:t xml:space="preserve"> increases”?</w:t>
      </w:r>
    </w:p>
    <w:p w14:paraId="71A5D726" w14:textId="4D70CB22" w:rsidR="001863AC" w:rsidRDefault="00414E00" w:rsidP="00A253E1">
      <w:pPr>
        <w:pStyle w:val="answer"/>
      </w:pPr>
      <w:r>
        <w:rPr>
          <w:rFonts w:eastAsia="SimSun"/>
        </w:rPr>
        <w:t>A.</w:t>
      </w:r>
      <w:r>
        <w:rPr>
          <w:rFonts w:eastAsia="SimSun"/>
        </w:rPr>
        <w:tab/>
      </w:r>
      <w:r w:rsidR="00996912">
        <w:rPr>
          <w:rFonts w:eastAsia="SimSun"/>
        </w:rPr>
        <w:t xml:space="preserve">It is true that </w:t>
      </w:r>
      <w:r w:rsidR="001C45BE">
        <w:rPr>
          <w:rFonts w:eastAsia="SimSun"/>
        </w:rPr>
        <w:t xml:space="preserve">the ECRM </w:t>
      </w:r>
      <w:r w:rsidR="00996912">
        <w:rPr>
          <w:rFonts w:eastAsia="SimSun"/>
        </w:rPr>
        <w:t xml:space="preserve">is focused on </w:t>
      </w:r>
      <w:r w:rsidR="00044C1A">
        <w:rPr>
          <w:rFonts w:eastAsia="SimSun"/>
        </w:rPr>
        <w:t xml:space="preserve">electric </w:t>
      </w:r>
      <w:r w:rsidR="001C45BE">
        <w:rPr>
          <w:rFonts w:eastAsia="SimSun"/>
        </w:rPr>
        <w:t>reliability</w:t>
      </w:r>
      <w:r w:rsidR="00E62B4E">
        <w:rPr>
          <w:rFonts w:eastAsia="SimSun"/>
        </w:rPr>
        <w:t xml:space="preserve"> in </w:t>
      </w:r>
      <w:r w:rsidR="00627655">
        <w:rPr>
          <w:rFonts w:eastAsia="SimSun"/>
        </w:rPr>
        <w:t xml:space="preserve">primarily two </w:t>
      </w:r>
      <w:r w:rsidR="001C45BE">
        <w:rPr>
          <w:rFonts w:eastAsia="SimSun"/>
        </w:rPr>
        <w:t>specific areas.</w:t>
      </w:r>
      <w:r w:rsidR="00A562F6">
        <w:rPr>
          <w:rFonts w:eastAsia="SimSun"/>
        </w:rPr>
        <w:t xml:space="preserve"> </w:t>
      </w:r>
      <w:r w:rsidR="001C45BE">
        <w:rPr>
          <w:rFonts w:eastAsia="SimSun"/>
        </w:rPr>
        <w:t>This mechanism creates a narrow focus of funds that can only be used to address H</w:t>
      </w:r>
      <w:r w:rsidR="008A40FB">
        <w:rPr>
          <w:rFonts w:eastAsia="SimSun"/>
        </w:rPr>
        <w:t>M</w:t>
      </w:r>
      <w:r w:rsidR="001C45BE">
        <w:rPr>
          <w:rFonts w:eastAsia="SimSun"/>
        </w:rPr>
        <w:t>W cable and the WPC and as such</w:t>
      </w:r>
      <w:r w:rsidR="005D19F1">
        <w:rPr>
          <w:rFonts w:eastAsia="SimSun"/>
        </w:rPr>
        <w:t>,</w:t>
      </w:r>
      <w:r w:rsidR="001C45BE">
        <w:rPr>
          <w:rFonts w:eastAsia="SimSun"/>
        </w:rPr>
        <w:t xml:space="preserve"> </w:t>
      </w:r>
      <w:r w:rsidR="00A97EE7">
        <w:rPr>
          <w:rFonts w:eastAsia="SimSun"/>
        </w:rPr>
        <w:t>provide</w:t>
      </w:r>
      <w:r w:rsidR="001C45BE">
        <w:rPr>
          <w:rFonts w:eastAsia="SimSun"/>
        </w:rPr>
        <w:t>s greater t</w:t>
      </w:r>
      <w:r w:rsidR="0057325C">
        <w:rPr>
          <w:rFonts w:eastAsia="SimSun"/>
        </w:rPr>
        <w:t>ransparency and accountability to</w:t>
      </w:r>
      <w:r w:rsidR="001C45BE">
        <w:rPr>
          <w:rFonts w:eastAsia="SimSun"/>
        </w:rPr>
        <w:t xml:space="preserve"> addressing these issues</w:t>
      </w:r>
      <w:r w:rsidR="00996912">
        <w:rPr>
          <w:rFonts w:eastAsia="SimSun"/>
        </w:rPr>
        <w:t>.</w:t>
      </w:r>
      <w:r w:rsidR="00A562F6">
        <w:rPr>
          <w:rFonts w:eastAsia="SimSun"/>
        </w:rPr>
        <w:t xml:space="preserve"> </w:t>
      </w:r>
      <w:r w:rsidR="00996912">
        <w:rPr>
          <w:rFonts w:eastAsia="SimSun"/>
        </w:rPr>
        <w:t xml:space="preserve">The </w:t>
      </w:r>
      <w:r w:rsidR="00932814">
        <w:rPr>
          <w:rFonts w:eastAsia="SimSun"/>
        </w:rPr>
        <w:t xml:space="preserve">Prefiled </w:t>
      </w:r>
      <w:r w:rsidR="005D19F1">
        <w:rPr>
          <w:rFonts w:eastAsia="SimSun"/>
        </w:rPr>
        <w:t>R</w:t>
      </w:r>
      <w:r w:rsidR="00996912">
        <w:rPr>
          <w:rFonts w:eastAsia="SimSun"/>
        </w:rPr>
        <w:t xml:space="preserve">ebuttal </w:t>
      </w:r>
      <w:r w:rsidR="005D19F1">
        <w:rPr>
          <w:rFonts w:eastAsia="SimSun"/>
        </w:rPr>
        <w:t>T</w:t>
      </w:r>
      <w:r w:rsidR="00996912">
        <w:rPr>
          <w:rFonts w:eastAsia="SimSun"/>
        </w:rPr>
        <w:t>estimony of Dan</w:t>
      </w:r>
      <w:r w:rsidR="005D19F1">
        <w:rPr>
          <w:rFonts w:eastAsia="SimSun"/>
        </w:rPr>
        <w:t>iel A.</w:t>
      </w:r>
      <w:r w:rsidR="00996912">
        <w:rPr>
          <w:rFonts w:eastAsia="SimSun"/>
        </w:rPr>
        <w:t xml:space="preserve"> Doyle</w:t>
      </w:r>
      <w:r w:rsidR="005D19F1">
        <w:rPr>
          <w:rFonts w:eastAsia="SimSun"/>
        </w:rPr>
        <w:t xml:space="preserve">, </w:t>
      </w:r>
      <w:r w:rsidR="00B62B3D">
        <w:rPr>
          <w:rFonts w:eastAsia="SimSun"/>
        </w:rPr>
        <w:t>Exhibit</w:t>
      </w:r>
      <w:r w:rsidR="001863AC">
        <w:rPr>
          <w:rFonts w:eastAsia="SimSun"/>
        </w:rPr>
        <w:t xml:space="preserve"> </w:t>
      </w:r>
      <w:r w:rsidR="005D19F1">
        <w:rPr>
          <w:rFonts w:eastAsia="SimSun"/>
        </w:rPr>
        <w:t>DAD-</w:t>
      </w:r>
      <w:r w:rsidR="006C0858">
        <w:rPr>
          <w:rFonts w:eastAsia="SimSun"/>
        </w:rPr>
        <w:t>7</w:t>
      </w:r>
      <w:r w:rsidR="005D19F1">
        <w:rPr>
          <w:rFonts w:eastAsia="SimSun"/>
        </w:rPr>
        <w:t>T,</w:t>
      </w:r>
      <w:r w:rsidR="00996912">
        <w:rPr>
          <w:rFonts w:eastAsia="SimSun"/>
        </w:rPr>
        <w:t xml:space="preserve"> describes the evolution of </w:t>
      </w:r>
      <w:r w:rsidR="00996912">
        <w:t>ratemaking and the fact that over the past several decades</w:t>
      </w:r>
      <w:r w:rsidR="00FB74F2">
        <w:t>,</w:t>
      </w:r>
      <w:r w:rsidR="00996912">
        <w:t xml:space="preserve"> commissions across the United States </w:t>
      </w:r>
      <w:r w:rsidR="005D19F1">
        <w:t xml:space="preserve">have approved </w:t>
      </w:r>
      <w:r w:rsidR="00996912">
        <w:t>various forms of riders</w:t>
      </w:r>
      <w:r w:rsidR="005D19F1">
        <w:t>,</w:t>
      </w:r>
      <w:r w:rsidR="00996912">
        <w:t xml:space="preserve"> tracking mechanisms, and other innovative cost recovery mechanisms to supplement their respective GRC processes </w:t>
      </w:r>
      <w:r w:rsidR="005407E9">
        <w:t>when traditional ratemaking is less efficient</w:t>
      </w:r>
      <w:r w:rsidR="0057325C">
        <w:t>.</w:t>
      </w:r>
      <w:r w:rsidR="00A562F6">
        <w:t xml:space="preserve"> </w:t>
      </w:r>
      <w:r w:rsidR="00FB74F2">
        <w:t>These alternative mechanisms have become increasingly common in recent years.</w:t>
      </w:r>
      <w:r w:rsidR="00A562F6">
        <w:t xml:space="preserve"> </w:t>
      </w:r>
      <w:r w:rsidR="008D0C9D">
        <w:t>Indeed</w:t>
      </w:r>
      <w:r w:rsidR="001863AC">
        <w:t xml:space="preserve">, </w:t>
      </w:r>
      <w:r w:rsidR="005407E9" w:rsidRPr="005407E9">
        <w:t xml:space="preserve">this Commission has approved a </w:t>
      </w:r>
      <w:r w:rsidR="001B66CB">
        <w:t xml:space="preserve">variety of different </w:t>
      </w:r>
      <w:r w:rsidR="001863AC">
        <w:t xml:space="preserve">alternative </w:t>
      </w:r>
      <w:r w:rsidR="001B66CB">
        <w:t>mechanisms</w:t>
      </w:r>
      <w:r w:rsidR="001863AC">
        <w:t>, including the Gas CRM</w:t>
      </w:r>
      <w:r w:rsidR="001B66CB">
        <w:t>.</w:t>
      </w:r>
      <w:r w:rsidR="00A562F6">
        <w:t xml:space="preserve"> </w:t>
      </w:r>
      <w:r w:rsidR="00996912">
        <w:t>Viewed in this context, the establishment of the ECRM</w:t>
      </w:r>
      <w:r w:rsidR="002B10BF">
        <w:t>, which serves an important purpose of accelerating spending for reliability in two critical areas,</w:t>
      </w:r>
      <w:r w:rsidR="00996912">
        <w:t xml:space="preserve"> is not a departure from today’s ratemaking practices.</w:t>
      </w:r>
      <w:r w:rsidR="00A562F6">
        <w:t xml:space="preserve"> </w:t>
      </w:r>
    </w:p>
    <w:p w14:paraId="654800B7" w14:textId="4009E956" w:rsidR="00233773" w:rsidRPr="003275FE" w:rsidRDefault="00233773" w:rsidP="00A253E1">
      <w:pPr>
        <w:pStyle w:val="question"/>
      </w:pPr>
      <w:r w:rsidRPr="003275FE">
        <w:lastRenderedPageBreak/>
        <w:t>Q.</w:t>
      </w:r>
      <w:r w:rsidRPr="003275FE">
        <w:tab/>
      </w:r>
      <w:r w:rsidR="0061533C">
        <w:t xml:space="preserve">ICNU witness Mr. Gorman claims that </w:t>
      </w:r>
      <w:r w:rsidRPr="003275FE">
        <w:t xml:space="preserve">costs recovered in a rider, such as the ECRM, </w:t>
      </w:r>
      <w:r w:rsidR="0061533C">
        <w:t xml:space="preserve">are </w:t>
      </w:r>
      <w:r w:rsidRPr="003275FE">
        <w:t xml:space="preserve">only appropriate when the costs are significant, volatile, and beyond a </w:t>
      </w:r>
      <w:r w:rsidRPr="00A253E1">
        <w:t>utility’s</w:t>
      </w:r>
      <w:r w:rsidRPr="003275FE">
        <w:t xml:space="preserve"> control</w:t>
      </w:r>
      <w:r w:rsidR="0061533C">
        <w:t>.</w:t>
      </w:r>
      <w:r w:rsidR="00A562F6">
        <w:t xml:space="preserve"> </w:t>
      </w:r>
      <w:r w:rsidR="0061533C">
        <w:t>What is your response</w:t>
      </w:r>
      <w:r w:rsidRPr="003275FE">
        <w:t>?</w:t>
      </w:r>
      <w:r w:rsidR="00A562F6">
        <w:t xml:space="preserve"> </w:t>
      </w:r>
    </w:p>
    <w:p w14:paraId="1393E9BC" w14:textId="7634B5B3" w:rsidR="008D0C9D" w:rsidRDefault="00233773" w:rsidP="00A253E1">
      <w:pPr>
        <w:pStyle w:val="answer"/>
        <w:rPr>
          <w:rFonts w:eastAsia="SimSun"/>
        </w:rPr>
      </w:pPr>
      <w:r>
        <w:rPr>
          <w:rFonts w:eastAsia="SimSun"/>
        </w:rPr>
        <w:t>A.</w:t>
      </w:r>
      <w:r>
        <w:rPr>
          <w:rFonts w:eastAsia="SimSun"/>
        </w:rPr>
        <w:tab/>
      </w:r>
      <w:r w:rsidR="002B7432">
        <w:rPr>
          <w:rFonts w:eastAsia="SimSun"/>
        </w:rPr>
        <w:t xml:space="preserve">The </w:t>
      </w:r>
      <w:r w:rsidR="0061533C">
        <w:rPr>
          <w:rFonts w:eastAsia="SimSun"/>
        </w:rPr>
        <w:t>Commission has not consistently followed the guidelines Mr. Gorman suggests.</w:t>
      </w:r>
      <w:r w:rsidR="00A562F6">
        <w:rPr>
          <w:rFonts w:eastAsia="SimSun"/>
        </w:rPr>
        <w:t xml:space="preserve"> </w:t>
      </w:r>
      <w:r w:rsidR="00C15C65">
        <w:rPr>
          <w:rFonts w:eastAsia="SimSun"/>
        </w:rPr>
        <w:t xml:space="preserve">As explained in the Prefiled Rebuttal Testimony of Daniel A. Doyle, </w:t>
      </w:r>
      <w:r w:rsidR="00B62B3D" w:rsidRPr="00A253E1">
        <w:rPr>
          <w:rFonts w:eastAsia="SimSun"/>
        </w:rPr>
        <w:t>Exhibit</w:t>
      </w:r>
      <w:r w:rsidR="00C15C65">
        <w:rPr>
          <w:rFonts w:eastAsia="SimSun"/>
        </w:rPr>
        <w:t xml:space="preserve"> DAD-7T, the expenditures planned in the ECRM are </w:t>
      </w:r>
      <w:r w:rsidR="00C15C65">
        <w:t>significant</w:t>
      </w:r>
      <w:r w:rsidR="00E25D2D">
        <w:t>,</w:t>
      </w:r>
      <w:r w:rsidR="00C15C65">
        <w:t xml:space="preserve"> and volatility is not always a factor in determining whether it is appropriate or not to establish a tracking mechanism.</w:t>
      </w:r>
      <w:r w:rsidR="00A562F6">
        <w:t xml:space="preserve"> </w:t>
      </w:r>
      <w:r w:rsidR="0061533C">
        <w:rPr>
          <w:rFonts w:eastAsia="SimSun"/>
        </w:rPr>
        <w:t xml:space="preserve">Moreover, </w:t>
      </w:r>
      <w:r w:rsidR="00C15C65">
        <w:rPr>
          <w:rFonts w:eastAsia="SimSun"/>
        </w:rPr>
        <w:t xml:space="preserve">in addition to being significant, </w:t>
      </w:r>
      <w:r w:rsidR="0061533C">
        <w:rPr>
          <w:rFonts w:eastAsia="SimSun"/>
        </w:rPr>
        <w:t xml:space="preserve">the </w:t>
      </w:r>
      <w:r w:rsidR="002B7432">
        <w:rPr>
          <w:rFonts w:eastAsia="SimSun"/>
        </w:rPr>
        <w:t>costs proposed to be recovered thro</w:t>
      </w:r>
      <w:r w:rsidR="00C15C65">
        <w:rPr>
          <w:rFonts w:eastAsia="SimSun"/>
        </w:rPr>
        <w:t>ugh the ECRM are</w:t>
      </w:r>
      <w:r w:rsidR="0061533C">
        <w:rPr>
          <w:rFonts w:eastAsia="SimSun"/>
        </w:rPr>
        <w:t>,</w:t>
      </w:r>
      <w:r w:rsidR="002B7432">
        <w:rPr>
          <w:rFonts w:eastAsia="SimSun"/>
        </w:rPr>
        <w:t xml:space="preserve"> in many ways, beyond PSE’s control.</w:t>
      </w:r>
      <w:r w:rsidR="00A562F6">
        <w:rPr>
          <w:rFonts w:eastAsia="SimSun"/>
        </w:rPr>
        <w:t xml:space="preserve"> </w:t>
      </w:r>
      <w:r w:rsidR="002B7432">
        <w:rPr>
          <w:rFonts w:eastAsia="SimSun"/>
        </w:rPr>
        <w:t>This is especially true regarding the HMW cable</w:t>
      </w:r>
      <w:r w:rsidR="0061533C">
        <w:rPr>
          <w:rFonts w:eastAsia="SimSun"/>
        </w:rPr>
        <w:t>,</w:t>
      </w:r>
      <w:r w:rsidR="002B7432">
        <w:rPr>
          <w:rFonts w:eastAsia="SimSun"/>
        </w:rPr>
        <w:t xml:space="preserve"> which is </w:t>
      </w:r>
      <w:r w:rsidR="00C15C65">
        <w:rPr>
          <w:rFonts w:eastAsia="SimSun"/>
        </w:rPr>
        <w:t>rapidly</w:t>
      </w:r>
      <w:r w:rsidR="002B7432">
        <w:rPr>
          <w:rFonts w:eastAsia="SimSun"/>
        </w:rPr>
        <w:t xml:space="preserve"> failing.</w:t>
      </w:r>
      <w:r w:rsidR="00A562F6">
        <w:rPr>
          <w:rFonts w:eastAsia="SimSun"/>
        </w:rPr>
        <w:t xml:space="preserve"> </w:t>
      </w:r>
      <w:r w:rsidR="002B7432">
        <w:rPr>
          <w:rFonts w:eastAsia="SimSun"/>
        </w:rPr>
        <w:t>While PSE has been investing in replacing this cable for decades, due to other reliability demands on PSE system, replacement is simply not occurring soon enough.</w:t>
      </w:r>
      <w:r w:rsidR="00A562F6">
        <w:rPr>
          <w:rFonts w:eastAsia="SimSun"/>
        </w:rPr>
        <w:t xml:space="preserve"> </w:t>
      </w:r>
      <w:r w:rsidR="00E25D2D">
        <w:rPr>
          <w:rFonts w:eastAsia="SimSun"/>
        </w:rPr>
        <w:t>As I explained in my p</w:t>
      </w:r>
      <w:r w:rsidR="00E14838">
        <w:rPr>
          <w:rFonts w:eastAsia="SimSun"/>
        </w:rPr>
        <w:t xml:space="preserve">refiled </w:t>
      </w:r>
      <w:r w:rsidR="00E25D2D">
        <w:rPr>
          <w:rFonts w:eastAsia="SimSun"/>
        </w:rPr>
        <w:t>d</w:t>
      </w:r>
      <w:r w:rsidR="00932814">
        <w:rPr>
          <w:rFonts w:eastAsia="SimSun"/>
        </w:rPr>
        <w:t xml:space="preserve">irect </w:t>
      </w:r>
      <w:r w:rsidR="00E25D2D">
        <w:rPr>
          <w:rFonts w:eastAsia="SimSun"/>
        </w:rPr>
        <w:t>t</w:t>
      </w:r>
      <w:r w:rsidR="00E14838">
        <w:rPr>
          <w:rFonts w:eastAsia="SimSun"/>
        </w:rPr>
        <w:t>estimony, to adequately address the failing cable, it will cost approximately $600 million.</w:t>
      </w:r>
      <w:r w:rsidR="00A562F6">
        <w:rPr>
          <w:rFonts w:eastAsia="SimSun"/>
        </w:rPr>
        <w:t xml:space="preserve"> </w:t>
      </w:r>
      <w:r w:rsidR="00E14838">
        <w:rPr>
          <w:rFonts w:eastAsia="SimSun"/>
        </w:rPr>
        <w:t xml:space="preserve">This cannot be addressed </w:t>
      </w:r>
      <w:r w:rsidR="005B7A98">
        <w:rPr>
          <w:rFonts w:eastAsia="SimSun"/>
        </w:rPr>
        <w:t xml:space="preserve">on an accelerated basis </w:t>
      </w:r>
      <w:r w:rsidR="00E14838">
        <w:rPr>
          <w:rFonts w:eastAsia="SimSun"/>
        </w:rPr>
        <w:t>through PSE’s traditional reliability efforts.</w:t>
      </w:r>
      <w:r w:rsidR="00A562F6">
        <w:rPr>
          <w:rFonts w:eastAsia="SimSun"/>
        </w:rPr>
        <w:t xml:space="preserve"> </w:t>
      </w:r>
    </w:p>
    <w:p w14:paraId="654800BA" w14:textId="2BAFC925" w:rsidR="00CC60CC" w:rsidRPr="00CC60CC" w:rsidRDefault="00A253E1" w:rsidP="00A253E1">
      <w:pPr>
        <w:pStyle w:val="answer"/>
        <w:rPr>
          <w:rFonts w:eastAsia="SimSun"/>
        </w:rPr>
      </w:pPr>
      <w:r>
        <w:tab/>
      </w:r>
      <w:r w:rsidR="00656AEC">
        <w:t>For</w:t>
      </w:r>
      <w:r w:rsidR="0029519E">
        <w:t xml:space="preserve"> PSE to </w:t>
      </w:r>
      <w:r w:rsidR="00656AEC">
        <w:t xml:space="preserve">substantially improve reliability, </w:t>
      </w:r>
      <w:r w:rsidR="0029519E">
        <w:t xml:space="preserve">it will require </w:t>
      </w:r>
      <w:r w:rsidR="007D4C5B">
        <w:t xml:space="preserve">a departure from the </w:t>
      </w:r>
      <w:r w:rsidR="00E14838">
        <w:t>traditional</w:t>
      </w:r>
      <w:r w:rsidR="00656AEC">
        <w:t xml:space="preserve"> </w:t>
      </w:r>
      <w:r w:rsidR="007D4C5B">
        <w:t xml:space="preserve">approach </w:t>
      </w:r>
      <w:r w:rsidR="00656AEC">
        <w:t xml:space="preserve">of </w:t>
      </w:r>
      <w:r w:rsidR="00E14838">
        <w:t xml:space="preserve">only </w:t>
      </w:r>
      <w:r w:rsidR="00656AEC">
        <w:t>replac</w:t>
      </w:r>
      <w:r w:rsidR="00E14838">
        <w:t>ing infrastructure after failure.</w:t>
      </w:r>
      <w:r w:rsidR="00A562F6">
        <w:t xml:space="preserve"> </w:t>
      </w:r>
      <w:r w:rsidR="00E14838">
        <w:t>Waiting until additional HMW cable fails or additional outages occur in WPC areas before replacement provides a disservice to customers.</w:t>
      </w:r>
      <w:r w:rsidR="00A562F6">
        <w:t xml:space="preserve"> </w:t>
      </w:r>
      <w:r w:rsidR="006C0858">
        <w:t>However, a</w:t>
      </w:r>
      <w:r w:rsidR="00E14838">
        <w:t>ddressing these issues before failure</w:t>
      </w:r>
      <w:r w:rsidR="00AF6156">
        <w:t xml:space="preserve"> </w:t>
      </w:r>
      <w:r w:rsidR="00E14838">
        <w:t xml:space="preserve">occurs </w:t>
      </w:r>
      <w:r w:rsidR="00AF6156">
        <w:t xml:space="preserve">requires </w:t>
      </w:r>
      <w:r w:rsidR="0029519E">
        <w:t xml:space="preserve">funding </w:t>
      </w:r>
      <w:r w:rsidR="00065231">
        <w:t>beyond</w:t>
      </w:r>
      <w:r w:rsidR="0029519E">
        <w:t xml:space="preserve"> </w:t>
      </w:r>
      <w:r w:rsidR="0029519E" w:rsidRPr="0029519E">
        <w:t>PSE’s typical ongoing distribution system maintenance and modernization expenditures</w:t>
      </w:r>
      <w:r w:rsidR="00AF6156">
        <w:t>.</w:t>
      </w:r>
      <w:r w:rsidR="00A562F6">
        <w:t xml:space="preserve"> </w:t>
      </w:r>
      <w:r w:rsidR="00AF6156">
        <w:t xml:space="preserve">This is further </w:t>
      </w:r>
      <w:r w:rsidR="0029519E">
        <w:t>explained in the P</w:t>
      </w:r>
      <w:r w:rsidR="009978A9">
        <w:t xml:space="preserve">refiled </w:t>
      </w:r>
      <w:r w:rsidR="00932814">
        <w:t>Rebuttal</w:t>
      </w:r>
      <w:r w:rsidR="009978A9">
        <w:t xml:space="preserve"> </w:t>
      </w:r>
      <w:r w:rsidR="0029519E">
        <w:t>T</w:t>
      </w:r>
      <w:r w:rsidR="009978A9">
        <w:t>estimony of Kath</w:t>
      </w:r>
      <w:r w:rsidR="0029519E">
        <w:t>erine J.</w:t>
      </w:r>
      <w:r w:rsidR="009978A9">
        <w:t xml:space="preserve"> Barnard</w:t>
      </w:r>
      <w:r w:rsidR="0029519E">
        <w:t xml:space="preserve">, </w:t>
      </w:r>
      <w:r w:rsidR="00B62B3D">
        <w:t>Exhibit</w:t>
      </w:r>
      <w:r w:rsidR="0029519E">
        <w:t xml:space="preserve"> KJB-1</w:t>
      </w:r>
      <w:r w:rsidR="00932814">
        <w:t>7</w:t>
      </w:r>
      <w:r w:rsidR="0029519E">
        <w:t>T</w:t>
      </w:r>
      <w:r w:rsidR="007D4C5B">
        <w:t>.</w:t>
      </w:r>
      <w:r w:rsidR="00A562F6">
        <w:t xml:space="preserve"> </w:t>
      </w:r>
    </w:p>
    <w:p w14:paraId="77D3948B" w14:textId="34C139C3" w:rsidR="00FB1589" w:rsidRPr="005C7314" w:rsidRDefault="00FB1589" w:rsidP="00A253E1">
      <w:pPr>
        <w:pStyle w:val="question"/>
      </w:pPr>
      <w:r w:rsidRPr="005C7314">
        <w:lastRenderedPageBreak/>
        <w:t>Q.</w:t>
      </w:r>
      <w:r w:rsidRPr="005C7314">
        <w:tab/>
        <w:t xml:space="preserve">Is the infrastructure </w:t>
      </w:r>
      <w:r w:rsidRPr="00A253E1">
        <w:t>associated</w:t>
      </w:r>
      <w:r w:rsidRPr="005C7314">
        <w:t xml:space="preserve"> with the ECRM also accounted for in the </w:t>
      </w:r>
      <w:r w:rsidR="00E14838">
        <w:t>Expedited Rate Filing (“</w:t>
      </w:r>
      <w:r w:rsidRPr="005C7314">
        <w:t>ERF</w:t>
      </w:r>
      <w:r w:rsidR="00E14838">
        <w:t>”)</w:t>
      </w:r>
      <w:r w:rsidRPr="005C7314">
        <w:t>?</w:t>
      </w:r>
      <w:r w:rsidR="00A562F6">
        <w:t xml:space="preserve"> </w:t>
      </w:r>
    </w:p>
    <w:p w14:paraId="45080DE9" w14:textId="1FDE228B" w:rsidR="00FB1589" w:rsidRDefault="00FB1589" w:rsidP="00A253E1">
      <w:pPr>
        <w:pStyle w:val="answer"/>
        <w:rPr>
          <w:rFonts w:eastAsia="SimSun"/>
        </w:rPr>
      </w:pPr>
      <w:r>
        <w:rPr>
          <w:rFonts w:eastAsia="SimSun"/>
        </w:rPr>
        <w:t>A.</w:t>
      </w:r>
      <w:r>
        <w:rPr>
          <w:rFonts w:eastAsia="SimSun"/>
        </w:rPr>
        <w:tab/>
        <w:t>No.</w:t>
      </w:r>
      <w:r w:rsidR="00A562F6">
        <w:rPr>
          <w:rFonts w:eastAsia="SimSun"/>
        </w:rPr>
        <w:t xml:space="preserve"> </w:t>
      </w:r>
      <w:r>
        <w:rPr>
          <w:rFonts w:eastAsia="SimSun"/>
        </w:rPr>
        <w:t>The Response Testimony of Michael Gorman</w:t>
      </w:r>
      <w:r w:rsidR="00E14838">
        <w:rPr>
          <w:rFonts w:eastAsia="SimSun"/>
        </w:rPr>
        <w:t xml:space="preserve">, </w:t>
      </w:r>
      <w:r w:rsidR="00B62B3D">
        <w:rPr>
          <w:rFonts w:eastAsia="SimSun"/>
        </w:rPr>
        <w:t>Exhibit</w:t>
      </w:r>
      <w:r w:rsidR="00E14838">
        <w:rPr>
          <w:rFonts w:eastAsia="SimSun"/>
        </w:rPr>
        <w:t xml:space="preserve"> MPG-1T,</w:t>
      </w:r>
      <w:r w:rsidR="00E25D2D">
        <w:rPr>
          <w:rFonts w:eastAsia="SimSun"/>
        </w:rPr>
        <w:t xml:space="preserve"> on behalf of ICNU</w:t>
      </w:r>
      <w:r w:rsidR="006C0858">
        <w:rPr>
          <w:rFonts w:eastAsia="SimSun"/>
        </w:rPr>
        <w:t>,</w:t>
      </w:r>
      <w:r>
        <w:rPr>
          <w:rFonts w:eastAsia="SimSun"/>
        </w:rPr>
        <w:t xml:space="preserve"> incorrectly concluded that the infrastructure accounted for in the ECRM was also accounted for in the ERF.</w:t>
      </w:r>
      <w:r w:rsidR="00A562F6">
        <w:rPr>
          <w:rFonts w:eastAsia="SimSun"/>
        </w:rPr>
        <w:t xml:space="preserve"> </w:t>
      </w:r>
      <w:r>
        <w:rPr>
          <w:rFonts w:eastAsia="SimSun"/>
        </w:rPr>
        <w:t>The ECRM would be an annual filing that trues-up costs.</w:t>
      </w:r>
      <w:r w:rsidR="00A562F6">
        <w:rPr>
          <w:rFonts w:eastAsia="SimSun"/>
        </w:rPr>
        <w:t xml:space="preserve"> </w:t>
      </w:r>
      <w:r>
        <w:rPr>
          <w:rFonts w:eastAsia="SimSun"/>
        </w:rPr>
        <w:t xml:space="preserve">The </w:t>
      </w:r>
      <w:r w:rsidRPr="00FB1589">
        <w:rPr>
          <w:rFonts w:eastAsia="SimSun"/>
        </w:rPr>
        <w:t>benefit of a separate mechanism</w:t>
      </w:r>
      <w:r w:rsidR="00E25D2D">
        <w:rPr>
          <w:rFonts w:eastAsia="SimSun"/>
        </w:rPr>
        <w:t>,</w:t>
      </w:r>
      <w:r w:rsidRPr="00FB1589">
        <w:rPr>
          <w:rFonts w:eastAsia="SimSun"/>
        </w:rPr>
        <w:t xml:space="preserve"> as opp</w:t>
      </w:r>
      <w:r>
        <w:rPr>
          <w:rFonts w:eastAsia="SimSun"/>
        </w:rPr>
        <w:t>osed to including it in the ERF</w:t>
      </w:r>
      <w:r w:rsidR="00E25D2D">
        <w:rPr>
          <w:rFonts w:eastAsia="SimSun"/>
        </w:rPr>
        <w:t>,</w:t>
      </w:r>
      <w:r>
        <w:rPr>
          <w:rFonts w:eastAsia="SimSun"/>
        </w:rPr>
        <w:t xml:space="preserve"> is that the ECRM not only addresses the recovery of the reliability investments</w:t>
      </w:r>
      <w:r w:rsidR="00C15C65">
        <w:rPr>
          <w:rFonts w:eastAsia="SimSun"/>
        </w:rPr>
        <w:t>,</w:t>
      </w:r>
      <w:r>
        <w:rPr>
          <w:rFonts w:eastAsia="SimSun"/>
        </w:rPr>
        <w:t xml:space="preserve"> but </w:t>
      </w:r>
      <w:r w:rsidR="00267163">
        <w:rPr>
          <w:rFonts w:eastAsia="SimSun"/>
        </w:rPr>
        <w:t>it</w:t>
      </w:r>
      <w:r>
        <w:rPr>
          <w:rFonts w:eastAsia="SimSun"/>
        </w:rPr>
        <w:t xml:space="preserve"> creates transparency to the work PSE is doing to improve reliability and the specific benefits it brings.</w:t>
      </w:r>
      <w:r w:rsidR="00A562F6">
        <w:rPr>
          <w:rFonts w:eastAsia="SimSun"/>
        </w:rPr>
        <w:t xml:space="preserve"> </w:t>
      </w:r>
      <w:r w:rsidR="00267163">
        <w:rPr>
          <w:rFonts w:eastAsia="SimSun"/>
        </w:rPr>
        <w:t>Furthermore, i</w:t>
      </w:r>
      <w:r>
        <w:rPr>
          <w:rFonts w:eastAsia="SimSun"/>
        </w:rPr>
        <w:t xml:space="preserve">nclusion in the ERF does not fully address the regulatory lag </w:t>
      </w:r>
      <w:r w:rsidR="00065231">
        <w:rPr>
          <w:rFonts w:eastAsia="SimSun"/>
        </w:rPr>
        <w:t>or PSE’s concerns of</w:t>
      </w:r>
      <w:r>
        <w:rPr>
          <w:rFonts w:eastAsia="SimSun"/>
        </w:rPr>
        <w:t xml:space="preserve"> spend</w:t>
      </w:r>
      <w:r w:rsidR="00065231">
        <w:rPr>
          <w:rFonts w:eastAsia="SimSun"/>
        </w:rPr>
        <w:t>ing</w:t>
      </w:r>
      <w:r>
        <w:rPr>
          <w:rFonts w:eastAsia="SimSun"/>
        </w:rPr>
        <w:t xml:space="preserve"> beyond what is supported by growth.</w:t>
      </w:r>
      <w:r w:rsidR="00A562F6">
        <w:rPr>
          <w:rFonts w:eastAsia="SimSun"/>
        </w:rPr>
        <w:t xml:space="preserve"> </w:t>
      </w:r>
      <w:r w:rsidRPr="00ED11FC">
        <w:rPr>
          <w:rFonts w:eastAsia="SimSun"/>
        </w:rPr>
        <w:t xml:space="preserve">Please see the </w:t>
      </w:r>
      <w:r w:rsidR="00932814">
        <w:rPr>
          <w:rFonts w:eastAsia="SimSun"/>
        </w:rPr>
        <w:t xml:space="preserve">Prefiled </w:t>
      </w:r>
      <w:r>
        <w:rPr>
          <w:rFonts w:eastAsia="SimSun"/>
        </w:rPr>
        <w:t>Rebuttal</w:t>
      </w:r>
      <w:r w:rsidRPr="00ED11FC">
        <w:rPr>
          <w:rFonts w:eastAsia="SimSun"/>
        </w:rPr>
        <w:t xml:space="preserve"> </w:t>
      </w:r>
      <w:r>
        <w:rPr>
          <w:rFonts w:eastAsia="SimSun"/>
        </w:rPr>
        <w:t>T</w:t>
      </w:r>
      <w:r w:rsidRPr="00ED11FC">
        <w:rPr>
          <w:rFonts w:eastAsia="SimSun"/>
        </w:rPr>
        <w:t>estimony of Kath</w:t>
      </w:r>
      <w:r>
        <w:rPr>
          <w:rFonts w:eastAsia="SimSun"/>
        </w:rPr>
        <w:t>erine J.</w:t>
      </w:r>
      <w:r w:rsidRPr="00ED11FC">
        <w:rPr>
          <w:rFonts w:eastAsia="SimSun"/>
        </w:rPr>
        <w:t xml:space="preserve"> Barnard</w:t>
      </w:r>
      <w:r>
        <w:rPr>
          <w:rFonts w:eastAsia="SimSun"/>
        </w:rPr>
        <w:t xml:space="preserve">, </w:t>
      </w:r>
      <w:r w:rsidR="00B62B3D">
        <w:rPr>
          <w:rFonts w:eastAsia="SimSun"/>
        </w:rPr>
        <w:t>Exhibit</w:t>
      </w:r>
      <w:r w:rsidR="00932814">
        <w:rPr>
          <w:rFonts w:eastAsia="SimSun"/>
        </w:rPr>
        <w:t xml:space="preserve"> </w:t>
      </w:r>
      <w:r>
        <w:rPr>
          <w:rFonts w:eastAsia="SimSun"/>
        </w:rPr>
        <w:t>KJB-</w:t>
      </w:r>
      <w:r w:rsidR="006C0858">
        <w:rPr>
          <w:rFonts w:eastAsia="SimSun"/>
        </w:rPr>
        <w:t>17</w:t>
      </w:r>
      <w:r>
        <w:rPr>
          <w:rFonts w:eastAsia="SimSun"/>
        </w:rPr>
        <w:t>T</w:t>
      </w:r>
      <w:r w:rsidRPr="00ED11FC">
        <w:rPr>
          <w:rFonts w:eastAsia="SimSun"/>
        </w:rPr>
        <w:t>.</w:t>
      </w:r>
    </w:p>
    <w:p w14:paraId="4C7FC426" w14:textId="610A8460" w:rsidR="00FB1589" w:rsidRPr="005C7314" w:rsidRDefault="00FB1589" w:rsidP="00A253E1">
      <w:pPr>
        <w:pStyle w:val="question"/>
      </w:pPr>
      <w:r w:rsidRPr="005C7314">
        <w:t>Q.</w:t>
      </w:r>
      <w:r w:rsidRPr="005C7314">
        <w:tab/>
        <w:t>I</w:t>
      </w:r>
      <w:r>
        <w:t>n proposing the ECRM, i</w:t>
      </w:r>
      <w:r w:rsidRPr="005C7314">
        <w:t xml:space="preserve">s </w:t>
      </w:r>
      <w:r>
        <w:t>PSE</w:t>
      </w:r>
      <w:r w:rsidRPr="005C7314">
        <w:t xml:space="preserve"> requesting pre-approval into rates of infrastructure that is not known and </w:t>
      </w:r>
      <w:r w:rsidRPr="00A253E1">
        <w:t>measurable</w:t>
      </w:r>
      <w:r w:rsidRPr="005C7314">
        <w:t xml:space="preserve"> similar to traditional ratemaking processes?</w:t>
      </w:r>
    </w:p>
    <w:p w14:paraId="5C94B2AE" w14:textId="03D0C9A6" w:rsidR="00FB1589" w:rsidRDefault="00FB1589" w:rsidP="00A253E1">
      <w:pPr>
        <w:pStyle w:val="Answer0"/>
        <w:rPr>
          <w:rFonts w:eastAsia="SimSun"/>
        </w:rPr>
      </w:pPr>
      <w:r>
        <w:rPr>
          <w:rFonts w:eastAsia="SimSun"/>
        </w:rPr>
        <w:t>A.</w:t>
      </w:r>
      <w:r>
        <w:rPr>
          <w:rFonts w:eastAsia="SimSun"/>
        </w:rPr>
        <w:tab/>
        <w:t>No.</w:t>
      </w:r>
      <w:r w:rsidR="00A562F6">
        <w:rPr>
          <w:rFonts w:eastAsia="SimSun"/>
        </w:rPr>
        <w:t xml:space="preserve"> </w:t>
      </w:r>
      <w:r>
        <w:rPr>
          <w:rFonts w:eastAsia="SimSun"/>
        </w:rPr>
        <w:t>PSE is not asking for pre-approval or for investments to be put into rates prior to being known and measurable.</w:t>
      </w:r>
      <w:r w:rsidR="00A562F6">
        <w:rPr>
          <w:rFonts w:eastAsia="SimSun"/>
        </w:rPr>
        <w:t xml:space="preserve"> </w:t>
      </w:r>
      <w:r>
        <w:rPr>
          <w:rFonts w:eastAsia="SimSun"/>
        </w:rPr>
        <w:t>Like the Gas CRM,</w:t>
      </w:r>
      <w:r w:rsidR="00932814">
        <w:rPr>
          <w:rStyle w:val="FootnoteReference"/>
          <w:rFonts w:eastAsia="SimSun"/>
        </w:rPr>
        <w:footnoteReference w:id="3"/>
      </w:r>
      <w:r>
        <w:rPr>
          <w:rFonts w:eastAsia="SimSun"/>
        </w:rPr>
        <w:t xml:space="preserve"> which per the Commission’s policy statement requires Commission approval of the plan, the ECRM would not put into rates investments that are not known and measureable </w:t>
      </w:r>
      <w:r>
        <w:rPr>
          <w:rFonts w:eastAsia="SimSun"/>
        </w:rPr>
        <w:lastRenderedPageBreak/>
        <w:t>nor would it eliminate the prudence test prior to doing so.</w:t>
      </w:r>
      <w:r w:rsidR="00A562F6">
        <w:rPr>
          <w:rFonts w:eastAsia="SimSun"/>
        </w:rPr>
        <w:t xml:space="preserve"> </w:t>
      </w:r>
      <w:r>
        <w:rPr>
          <w:rFonts w:eastAsia="SimSun"/>
        </w:rPr>
        <w:t>The ECRM proposal requests the same process as the Gas CRM for Commission approval of the annual plan.</w:t>
      </w:r>
      <w:r w:rsidR="00A562F6">
        <w:rPr>
          <w:rFonts w:eastAsia="SimSun"/>
        </w:rPr>
        <w:t xml:space="preserve"> </w:t>
      </w:r>
      <w:r>
        <w:rPr>
          <w:rFonts w:eastAsia="SimSun"/>
        </w:rPr>
        <w:t>The plan approval by the Commission ensures agreement that accelerating reliability spending above historic levels is a reasonable and measured approach to improving reliability for customers and ensures engagement through the process.</w:t>
      </w:r>
      <w:r w:rsidR="00A562F6">
        <w:rPr>
          <w:rFonts w:eastAsia="SimSun"/>
        </w:rPr>
        <w:t xml:space="preserve"> </w:t>
      </w:r>
      <w:r>
        <w:rPr>
          <w:rFonts w:eastAsia="SimSun"/>
        </w:rPr>
        <w:t>This step will support the more timely prudence review at the end of the yea</w:t>
      </w:r>
      <w:r w:rsidR="00C15C65">
        <w:rPr>
          <w:rFonts w:eastAsia="SimSun"/>
        </w:rPr>
        <w:t>r when the work is complete.</w:t>
      </w:r>
    </w:p>
    <w:p w14:paraId="654800BB" w14:textId="77777777" w:rsidR="003F6CB4" w:rsidRPr="00796AE5" w:rsidRDefault="003F6CB4" w:rsidP="00A253E1">
      <w:pPr>
        <w:pStyle w:val="question"/>
      </w:pPr>
      <w:r w:rsidRPr="00796AE5">
        <w:t>Q.</w:t>
      </w:r>
      <w:r w:rsidRPr="00796AE5">
        <w:tab/>
        <w:t xml:space="preserve">Does the proposed ECRM shift risk </w:t>
      </w:r>
      <w:r w:rsidRPr="00A253E1">
        <w:t>from</w:t>
      </w:r>
      <w:r w:rsidRPr="00796AE5">
        <w:t xml:space="preserve"> PSE to customers?</w:t>
      </w:r>
    </w:p>
    <w:p w14:paraId="654800BC" w14:textId="7D077BA0" w:rsidR="005503FB" w:rsidRDefault="003F6CB4" w:rsidP="00A253E1">
      <w:pPr>
        <w:pStyle w:val="Answer0"/>
        <w:rPr>
          <w:rFonts w:eastAsia="SimSun"/>
        </w:rPr>
      </w:pPr>
      <w:r>
        <w:rPr>
          <w:rFonts w:eastAsia="SimSun"/>
        </w:rPr>
        <w:t>A.</w:t>
      </w:r>
      <w:r>
        <w:rPr>
          <w:rFonts w:eastAsia="SimSun"/>
        </w:rPr>
        <w:tab/>
        <w:t>No.</w:t>
      </w:r>
      <w:r w:rsidR="00A562F6">
        <w:rPr>
          <w:rFonts w:eastAsia="SimSun"/>
        </w:rPr>
        <w:t xml:space="preserve"> </w:t>
      </w:r>
      <w:r>
        <w:rPr>
          <w:rFonts w:eastAsia="SimSun"/>
        </w:rPr>
        <w:t>Mr. Gorman asserts that cost recovery via the ECRM would shift risk from PSE to customers.</w:t>
      </w:r>
      <w:r w:rsidR="00A562F6">
        <w:rPr>
          <w:rFonts w:eastAsia="SimSun"/>
        </w:rPr>
        <w:t xml:space="preserve"> </w:t>
      </w:r>
      <w:r>
        <w:rPr>
          <w:rFonts w:eastAsia="SimSun"/>
        </w:rPr>
        <w:t>This is incorrect.</w:t>
      </w:r>
      <w:r w:rsidR="00A562F6">
        <w:rPr>
          <w:rFonts w:eastAsia="SimSun"/>
        </w:rPr>
        <w:t xml:space="preserve"> </w:t>
      </w:r>
      <w:r>
        <w:rPr>
          <w:rFonts w:eastAsia="SimSun"/>
        </w:rPr>
        <w:t>PSE will still be responsible for demonstrating prudence prior to the ECRM investment being put into rates.</w:t>
      </w:r>
      <w:r w:rsidR="00A562F6">
        <w:rPr>
          <w:rFonts w:eastAsia="SimSun"/>
        </w:rPr>
        <w:t xml:space="preserve"> </w:t>
      </w:r>
      <w:r>
        <w:rPr>
          <w:rFonts w:eastAsia="SimSun"/>
        </w:rPr>
        <w:t>No cost recovery risk is shifted to customers.</w:t>
      </w:r>
      <w:r w:rsidR="00A562F6">
        <w:rPr>
          <w:rFonts w:eastAsia="SimSun"/>
        </w:rPr>
        <w:t xml:space="preserve"> </w:t>
      </w:r>
      <w:r>
        <w:rPr>
          <w:rFonts w:eastAsia="SimSun"/>
        </w:rPr>
        <w:t xml:space="preserve">As described in </w:t>
      </w:r>
      <w:r w:rsidR="00A857C1">
        <w:rPr>
          <w:rFonts w:eastAsia="SimSun"/>
        </w:rPr>
        <w:t xml:space="preserve">the </w:t>
      </w:r>
      <w:r w:rsidR="00A857C1" w:rsidRPr="00A857C1">
        <w:rPr>
          <w:rFonts w:eastAsia="SimSun"/>
        </w:rPr>
        <w:t>Prefiled Direct Testimony of Katherine J. Barnard, Exh</w:t>
      </w:r>
      <w:r w:rsidR="00A562F6">
        <w:rPr>
          <w:rFonts w:eastAsia="SimSun"/>
        </w:rPr>
        <w:t xml:space="preserve">. </w:t>
      </w:r>
      <w:r w:rsidR="00A857C1" w:rsidRPr="00A857C1">
        <w:rPr>
          <w:rFonts w:eastAsia="SimSun"/>
        </w:rPr>
        <w:t>KJB-1T</w:t>
      </w:r>
      <w:r>
        <w:rPr>
          <w:rFonts w:eastAsia="SimSun"/>
        </w:rPr>
        <w:t xml:space="preserve">, </w:t>
      </w:r>
      <w:r w:rsidR="00D83582">
        <w:rPr>
          <w:rFonts w:eastAsia="SimSun"/>
        </w:rPr>
        <w:t xml:space="preserve">page 77, </w:t>
      </w:r>
      <w:r>
        <w:rPr>
          <w:rFonts w:eastAsia="SimSun"/>
        </w:rPr>
        <w:t>only actual costs of completed projects are requested to be put into rates at the conclusion of the year’s work.</w:t>
      </w:r>
    </w:p>
    <w:p w14:paraId="654800BD" w14:textId="2D7576E6" w:rsidR="00AB5D6B" w:rsidRPr="005C7314" w:rsidRDefault="00AB5D6B" w:rsidP="00A253E1">
      <w:pPr>
        <w:pStyle w:val="question"/>
      </w:pPr>
      <w:r w:rsidRPr="005C7314">
        <w:t>Q.</w:t>
      </w:r>
      <w:r w:rsidRPr="005C7314">
        <w:tab/>
      </w:r>
      <w:r>
        <w:t xml:space="preserve">Will the ECRM </w:t>
      </w:r>
      <w:r w:rsidRPr="00A253E1">
        <w:t>require</w:t>
      </w:r>
      <w:r w:rsidRPr="005C7314">
        <w:t xml:space="preserve"> more</w:t>
      </w:r>
      <w:r>
        <w:t xml:space="preserve"> Staff</w:t>
      </w:r>
      <w:r w:rsidRPr="005C7314">
        <w:t xml:space="preserve"> review than the traditional ratemaking process?</w:t>
      </w:r>
      <w:r w:rsidR="00A562F6">
        <w:t xml:space="preserve"> </w:t>
      </w:r>
    </w:p>
    <w:p w14:paraId="33CBD79C" w14:textId="2C9F21DD" w:rsidR="00E25D2D" w:rsidRDefault="00AB5D6B" w:rsidP="00A253E1">
      <w:pPr>
        <w:pStyle w:val="Answer0"/>
        <w:rPr>
          <w:rFonts w:eastAsia="SimSun"/>
        </w:rPr>
      </w:pPr>
      <w:r>
        <w:rPr>
          <w:rFonts w:eastAsia="SimSun"/>
        </w:rPr>
        <w:t>A.</w:t>
      </w:r>
      <w:r>
        <w:rPr>
          <w:rFonts w:eastAsia="SimSun"/>
        </w:rPr>
        <w:tab/>
      </w:r>
      <w:r w:rsidR="003A358B">
        <w:rPr>
          <w:rFonts w:eastAsia="SimSun"/>
        </w:rPr>
        <w:t>I do not believe so.</w:t>
      </w:r>
      <w:r w:rsidR="00A562F6">
        <w:rPr>
          <w:rFonts w:eastAsia="SimSun"/>
        </w:rPr>
        <w:t xml:space="preserve"> </w:t>
      </w:r>
      <w:r>
        <w:rPr>
          <w:rFonts w:eastAsia="SimSun"/>
        </w:rPr>
        <w:t xml:space="preserve">Mr. Schooley and Mr. Brosch assert that the ECRM process would be burdensome </w:t>
      </w:r>
      <w:r w:rsidR="00267163">
        <w:rPr>
          <w:rFonts w:eastAsia="SimSun"/>
        </w:rPr>
        <w:t>for</w:t>
      </w:r>
      <w:r>
        <w:rPr>
          <w:rFonts w:eastAsia="SimSun"/>
        </w:rPr>
        <w:t xml:space="preserve"> Staff</w:t>
      </w:r>
      <w:r w:rsidR="00267163">
        <w:rPr>
          <w:rFonts w:eastAsia="SimSun"/>
        </w:rPr>
        <w:t xml:space="preserve"> to</w:t>
      </w:r>
      <w:r>
        <w:rPr>
          <w:rFonts w:eastAsia="SimSun"/>
        </w:rPr>
        <w:t xml:space="preserve"> </w:t>
      </w:r>
      <w:r w:rsidR="00B33E17">
        <w:rPr>
          <w:rFonts w:eastAsia="SimSun"/>
        </w:rPr>
        <w:t>oversee</w:t>
      </w:r>
      <w:r>
        <w:rPr>
          <w:rFonts w:eastAsia="SimSun"/>
        </w:rPr>
        <w:t xml:space="preserve"> </w:t>
      </w:r>
      <w:r w:rsidR="00B33E17">
        <w:rPr>
          <w:rFonts w:eastAsia="SimSun"/>
        </w:rPr>
        <w:t xml:space="preserve">and would require </w:t>
      </w:r>
      <w:r>
        <w:rPr>
          <w:rFonts w:eastAsia="SimSun"/>
        </w:rPr>
        <w:t>significant review effort and expense.</w:t>
      </w:r>
      <w:r w:rsidR="00A562F6">
        <w:rPr>
          <w:rFonts w:eastAsia="SimSun"/>
        </w:rPr>
        <w:t xml:space="preserve"> </w:t>
      </w:r>
      <w:r>
        <w:rPr>
          <w:rFonts w:eastAsia="SimSun"/>
        </w:rPr>
        <w:t xml:space="preserve">However, neither </w:t>
      </w:r>
      <w:r w:rsidR="00BB1E68">
        <w:rPr>
          <w:rFonts w:eastAsia="SimSun"/>
        </w:rPr>
        <w:t xml:space="preserve">has yet to </w:t>
      </w:r>
      <w:r>
        <w:rPr>
          <w:rFonts w:eastAsia="SimSun"/>
        </w:rPr>
        <w:t xml:space="preserve">provide evidence that </w:t>
      </w:r>
      <w:r w:rsidR="00932814">
        <w:rPr>
          <w:rFonts w:eastAsia="SimSun"/>
        </w:rPr>
        <w:t xml:space="preserve">definitively </w:t>
      </w:r>
      <w:r>
        <w:rPr>
          <w:rFonts w:eastAsia="SimSun"/>
        </w:rPr>
        <w:t>support</w:t>
      </w:r>
      <w:r w:rsidR="00B33E17">
        <w:rPr>
          <w:rFonts w:eastAsia="SimSun"/>
        </w:rPr>
        <w:t>s</w:t>
      </w:r>
      <w:r>
        <w:rPr>
          <w:rFonts w:eastAsia="SimSun"/>
        </w:rPr>
        <w:t xml:space="preserve"> these assertions.</w:t>
      </w:r>
      <w:r w:rsidR="00A562F6">
        <w:rPr>
          <w:rFonts w:eastAsia="SimSun"/>
        </w:rPr>
        <w:t xml:space="preserve"> </w:t>
      </w:r>
      <w:r>
        <w:rPr>
          <w:rFonts w:eastAsia="SimSun"/>
        </w:rPr>
        <w:t xml:space="preserve">From PSE’s experience with the Gas CRM, PSE does </w:t>
      </w:r>
      <w:r>
        <w:rPr>
          <w:rFonts w:eastAsia="SimSun"/>
        </w:rPr>
        <w:lastRenderedPageBreak/>
        <w:t>not believe that the ECRM will require more review than the traditional ratemaking process.</w:t>
      </w:r>
      <w:r w:rsidR="00A562F6">
        <w:rPr>
          <w:rFonts w:eastAsia="SimSun"/>
        </w:rPr>
        <w:t xml:space="preserve"> </w:t>
      </w:r>
      <w:r>
        <w:rPr>
          <w:rFonts w:eastAsia="SimSun"/>
        </w:rPr>
        <w:t xml:space="preserve">While the first year of the Gas CRM took more time for all involved, each subsequent year has resulted in a review process </w:t>
      </w:r>
      <w:r w:rsidR="00B33E17">
        <w:rPr>
          <w:rFonts w:eastAsia="SimSun"/>
        </w:rPr>
        <w:t xml:space="preserve">that </w:t>
      </w:r>
      <w:r>
        <w:rPr>
          <w:rFonts w:eastAsia="SimSun"/>
        </w:rPr>
        <w:t xml:space="preserve">generates fewer questions from </w:t>
      </w:r>
      <w:r w:rsidR="00B33E17">
        <w:rPr>
          <w:rFonts w:eastAsia="SimSun"/>
        </w:rPr>
        <w:t>S</w:t>
      </w:r>
      <w:r>
        <w:rPr>
          <w:rFonts w:eastAsia="SimSun"/>
        </w:rPr>
        <w:t>taff due to the familiarity with the process and the quality of information provided by PSE.</w:t>
      </w:r>
      <w:r w:rsidR="00A562F6">
        <w:rPr>
          <w:rFonts w:eastAsia="SimSun"/>
        </w:rPr>
        <w:t xml:space="preserve"> </w:t>
      </w:r>
      <w:r>
        <w:rPr>
          <w:rFonts w:eastAsia="SimSun"/>
        </w:rPr>
        <w:t xml:space="preserve">Like a </w:t>
      </w:r>
      <w:r w:rsidR="00B33E17">
        <w:rPr>
          <w:rFonts w:eastAsia="SimSun"/>
        </w:rPr>
        <w:t>GRC</w:t>
      </w:r>
      <w:r>
        <w:rPr>
          <w:rFonts w:eastAsia="SimSun"/>
        </w:rPr>
        <w:t>, Staff can and has asked PSE questions throughout a given plan year to ensure their comfort with the prudence and progress.</w:t>
      </w:r>
      <w:r w:rsidR="00A562F6">
        <w:rPr>
          <w:rFonts w:eastAsia="SimSun"/>
        </w:rPr>
        <w:t xml:space="preserve"> </w:t>
      </w:r>
      <w:r>
        <w:rPr>
          <w:rFonts w:eastAsia="SimSun"/>
        </w:rPr>
        <w:t xml:space="preserve">And any time spent by Staff on the proposed ECRM would be offset by time saved during a </w:t>
      </w:r>
      <w:r w:rsidR="00B33E17">
        <w:rPr>
          <w:rFonts w:eastAsia="SimSun"/>
        </w:rPr>
        <w:t>GRC</w:t>
      </w:r>
      <w:r>
        <w:rPr>
          <w:rFonts w:eastAsia="SimSun"/>
        </w:rPr>
        <w:t>.</w:t>
      </w:r>
      <w:r w:rsidR="00A562F6">
        <w:rPr>
          <w:rFonts w:eastAsia="SimSun"/>
        </w:rPr>
        <w:t xml:space="preserve"> </w:t>
      </w:r>
      <w:r>
        <w:rPr>
          <w:rFonts w:eastAsia="SimSun"/>
        </w:rPr>
        <w:t xml:space="preserve">For example, in the current </w:t>
      </w:r>
      <w:r w:rsidR="00B33E17">
        <w:rPr>
          <w:rFonts w:eastAsia="SimSun"/>
        </w:rPr>
        <w:t>GRC</w:t>
      </w:r>
      <w:r>
        <w:rPr>
          <w:rFonts w:eastAsia="SimSun"/>
        </w:rPr>
        <w:t>, Staff has not submitted any data requests to PSE regarding the Gas CRM</w:t>
      </w:r>
      <w:r w:rsidR="006C0858">
        <w:rPr>
          <w:rFonts w:eastAsia="SimSun"/>
        </w:rPr>
        <w:t xml:space="preserve"> nor have issues regarding the Gas CRM been raised</w:t>
      </w:r>
      <w:r>
        <w:rPr>
          <w:rFonts w:eastAsia="SimSun"/>
        </w:rPr>
        <w:t>, which indicate</w:t>
      </w:r>
      <w:r w:rsidR="00B33E17">
        <w:rPr>
          <w:rFonts w:eastAsia="SimSun"/>
        </w:rPr>
        <w:t>s</w:t>
      </w:r>
      <w:r>
        <w:rPr>
          <w:rFonts w:eastAsia="SimSun"/>
        </w:rPr>
        <w:t xml:space="preserve"> that their time spent reviewing the Gas CRM during the year has minimized Staff’s time during the </w:t>
      </w:r>
      <w:r w:rsidR="00B33E17">
        <w:rPr>
          <w:rFonts w:eastAsia="SimSun"/>
        </w:rPr>
        <w:t>GRC</w:t>
      </w:r>
      <w:r>
        <w:rPr>
          <w:rFonts w:eastAsia="SimSun"/>
        </w:rPr>
        <w:t>.</w:t>
      </w:r>
      <w:r w:rsidR="00A562F6">
        <w:rPr>
          <w:rFonts w:eastAsia="SimSun"/>
        </w:rPr>
        <w:t xml:space="preserve"> </w:t>
      </w:r>
    </w:p>
    <w:p w14:paraId="654800C0" w14:textId="6C1FD521" w:rsidR="00414E00" w:rsidRDefault="00A253E1" w:rsidP="00A253E1">
      <w:pPr>
        <w:pStyle w:val="Answer0"/>
        <w:rPr>
          <w:rFonts w:eastAsia="SimSun"/>
          <w:i/>
        </w:rPr>
      </w:pPr>
      <w:r>
        <w:rPr>
          <w:rFonts w:eastAsia="SimSun"/>
        </w:rPr>
        <w:tab/>
      </w:r>
      <w:r w:rsidR="00267163">
        <w:rPr>
          <w:rFonts w:eastAsia="SimSun"/>
        </w:rPr>
        <w:t>Moreover</w:t>
      </w:r>
      <w:r w:rsidR="00267163" w:rsidRPr="00A253E1">
        <w:rPr>
          <w:rFonts w:eastAsia="SimSun"/>
        </w:rPr>
        <w:t>,</w:t>
      </w:r>
      <w:r w:rsidR="00267163">
        <w:rPr>
          <w:rFonts w:eastAsia="SimSun"/>
        </w:rPr>
        <w:t xml:space="preserve"> </w:t>
      </w:r>
      <w:r w:rsidR="00B33E17">
        <w:rPr>
          <w:rFonts w:eastAsia="SimSun"/>
        </w:rPr>
        <w:t>Staff</w:t>
      </w:r>
      <w:r w:rsidR="00DD3663">
        <w:rPr>
          <w:rFonts w:eastAsia="SimSun"/>
        </w:rPr>
        <w:t xml:space="preserve"> already</w:t>
      </w:r>
      <w:r w:rsidR="00B33E17">
        <w:rPr>
          <w:rFonts w:eastAsia="SimSun"/>
        </w:rPr>
        <w:t xml:space="preserve"> </w:t>
      </w:r>
      <w:r w:rsidR="00AB5D6B">
        <w:rPr>
          <w:rFonts w:eastAsia="SimSun"/>
        </w:rPr>
        <w:t xml:space="preserve">has </w:t>
      </w:r>
      <w:r w:rsidR="003A358B">
        <w:rPr>
          <w:rFonts w:eastAsia="SimSun"/>
        </w:rPr>
        <w:t xml:space="preserve">expressed </w:t>
      </w:r>
      <w:r w:rsidR="00AB5D6B">
        <w:rPr>
          <w:rFonts w:eastAsia="SimSun"/>
        </w:rPr>
        <w:t xml:space="preserve">interest </w:t>
      </w:r>
      <w:r w:rsidR="003A358B">
        <w:rPr>
          <w:rFonts w:eastAsia="SimSun"/>
        </w:rPr>
        <w:t xml:space="preserve">in </w:t>
      </w:r>
      <w:r w:rsidR="00AB5D6B">
        <w:rPr>
          <w:rFonts w:eastAsia="SimSun"/>
        </w:rPr>
        <w:t xml:space="preserve">engaging in </w:t>
      </w:r>
      <w:r w:rsidR="00E25D2D">
        <w:rPr>
          <w:rFonts w:eastAsia="SimSun"/>
        </w:rPr>
        <w:t xml:space="preserve">electric </w:t>
      </w:r>
      <w:r w:rsidR="00AB5D6B">
        <w:rPr>
          <w:rFonts w:eastAsia="SimSun"/>
        </w:rPr>
        <w:t xml:space="preserve">reliability and planning discussions as highlighted by activities such as the econometric reliability benchmark study per </w:t>
      </w:r>
      <w:r w:rsidR="006C0858">
        <w:rPr>
          <w:rFonts w:eastAsia="SimSun"/>
        </w:rPr>
        <w:t xml:space="preserve">WUTC </w:t>
      </w:r>
      <w:r w:rsidR="00AB5D6B">
        <w:rPr>
          <w:rFonts w:eastAsia="SimSun"/>
        </w:rPr>
        <w:t>Docket U-151958 and the I</w:t>
      </w:r>
      <w:r w:rsidR="006C0858">
        <w:rPr>
          <w:rFonts w:eastAsia="SimSun"/>
        </w:rPr>
        <w:t xml:space="preserve">ntegrated </w:t>
      </w:r>
      <w:r w:rsidR="00AB5D6B">
        <w:rPr>
          <w:rFonts w:eastAsia="SimSun"/>
        </w:rPr>
        <w:t>R</w:t>
      </w:r>
      <w:r w:rsidR="002015FE">
        <w:rPr>
          <w:rFonts w:eastAsia="SimSun"/>
        </w:rPr>
        <w:t>esource Planning</w:t>
      </w:r>
      <w:r w:rsidR="00AB5D6B">
        <w:rPr>
          <w:rFonts w:eastAsia="SimSun"/>
        </w:rPr>
        <w:t xml:space="preserve"> </w:t>
      </w:r>
      <w:r w:rsidR="006C0858">
        <w:rPr>
          <w:rFonts w:eastAsia="SimSun"/>
        </w:rPr>
        <w:t xml:space="preserve">(“IRP”) </w:t>
      </w:r>
      <w:r w:rsidR="00AB5D6B">
        <w:rPr>
          <w:rFonts w:eastAsia="SimSun"/>
        </w:rPr>
        <w:t xml:space="preserve">rulemaking per </w:t>
      </w:r>
      <w:r w:rsidR="006C0858">
        <w:rPr>
          <w:rFonts w:eastAsia="SimSun"/>
        </w:rPr>
        <w:t xml:space="preserve">WUTC </w:t>
      </w:r>
      <w:r w:rsidR="00AB5D6B">
        <w:rPr>
          <w:rFonts w:eastAsia="SimSun"/>
        </w:rPr>
        <w:t>Docket U-161024.</w:t>
      </w:r>
      <w:r w:rsidR="00A562F6">
        <w:rPr>
          <w:rFonts w:eastAsia="SimSun"/>
        </w:rPr>
        <w:t xml:space="preserve"> </w:t>
      </w:r>
      <w:r w:rsidR="003A358B">
        <w:rPr>
          <w:rFonts w:eastAsia="SimSun"/>
        </w:rPr>
        <w:t>Staff’s engagement</w:t>
      </w:r>
      <w:r w:rsidR="00AB5D6B">
        <w:rPr>
          <w:rFonts w:eastAsia="SimSun"/>
        </w:rPr>
        <w:t xml:space="preserve"> in the ECRM </w:t>
      </w:r>
      <w:r w:rsidR="003A358B">
        <w:rPr>
          <w:rFonts w:eastAsia="SimSun"/>
        </w:rPr>
        <w:t>would</w:t>
      </w:r>
      <w:r w:rsidR="00AB5D6B">
        <w:rPr>
          <w:rFonts w:eastAsia="SimSun"/>
        </w:rPr>
        <w:t xml:space="preserve"> </w:t>
      </w:r>
      <w:r w:rsidR="004127D7">
        <w:rPr>
          <w:rFonts w:eastAsia="SimSun"/>
        </w:rPr>
        <w:t>complement</w:t>
      </w:r>
      <w:r w:rsidR="00AB5D6B">
        <w:rPr>
          <w:rFonts w:eastAsia="SimSun"/>
        </w:rPr>
        <w:t xml:space="preserve"> and further benefit these additional </w:t>
      </w:r>
      <w:r w:rsidR="002D1E8C">
        <w:rPr>
          <w:rFonts w:eastAsia="SimSun"/>
        </w:rPr>
        <w:t>activities.</w:t>
      </w:r>
    </w:p>
    <w:p w14:paraId="654800C1" w14:textId="2D8AF1C5" w:rsidR="00B44F71" w:rsidRPr="0053432A" w:rsidRDefault="00E25D2D" w:rsidP="00A253E1">
      <w:pPr>
        <w:pStyle w:val="question"/>
      </w:pPr>
      <w:r>
        <w:t>Q.</w:t>
      </w:r>
      <w:r>
        <w:tab/>
        <w:t>Do you address</w:t>
      </w:r>
      <w:r w:rsidR="00B44F71" w:rsidRPr="0053432A">
        <w:t xml:space="preserve"> </w:t>
      </w:r>
      <w:r w:rsidR="002015FE">
        <w:t>whether Kroger’s proposal to recover ECRM cost though</w:t>
      </w:r>
      <w:r w:rsidR="00B44F71" w:rsidRPr="0053432A">
        <w:t xml:space="preserve"> demand charge</w:t>
      </w:r>
      <w:r w:rsidR="002015FE">
        <w:t>s</w:t>
      </w:r>
      <w:r w:rsidR="00B44F71" w:rsidRPr="0053432A">
        <w:t xml:space="preserve"> for </w:t>
      </w:r>
      <w:r w:rsidR="00B44F71" w:rsidRPr="00A253E1">
        <w:t>demand</w:t>
      </w:r>
      <w:r w:rsidR="00B44F71" w:rsidRPr="0053432A">
        <w:t xml:space="preserve"> billed schedules is appropriate</w:t>
      </w:r>
      <w:r>
        <w:t>?</w:t>
      </w:r>
    </w:p>
    <w:p w14:paraId="654800C2" w14:textId="68182F53" w:rsidR="00B44F71" w:rsidRDefault="00B44F71" w:rsidP="00A253E1">
      <w:pPr>
        <w:pStyle w:val="Answer0"/>
        <w:rPr>
          <w:rFonts w:eastAsia="SimSun"/>
        </w:rPr>
      </w:pPr>
      <w:r>
        <w:rPr>
          <w:rFonts w:eastAsia="SimSun"/>
        </w:rPr>
        <w:t>A.</w:t>
      </w:r>
      <w:r>
        <w:rPr>
          <w:rFonts w:eastAsia="SimSun"/>
        </w:rPr>
        <w:tab/>
      </w:r>
      <w:r w:rsidR="00E25D2D">
        <w:rPr>
          <w:rFonts w:eastAsia="SimSun"/>
        </w:rPr>
        <w:t>No.</w:t>
      </w:r>
      <w:r w:rsidR="00A562F6">
        <w:rPr>
          <w:rFonts w:eastAsia="SimSun"/>
        </w:rPr>
        <w:t xml:space="preserve"> </w:t>
      </w:r>
      <w:r w:rsidR="00350DEC">
        <w:rPr>
          <w:rFonts w:eastAsia="SimSun"/>
        </w:rPr>
        <w:t>T</w:t>
      </w:r>
      <w:r w:rsidR="00B33E17">
        <w:rPr>
          <w:rFonts w:eastAsia="SimSun"/>
        </w:rPr>
        <w:t xml:space="preserve">he </w:t>
      </w:r>
      <w:r w:rsidR="00932814">
        <w:rPr>
          <w:rFonts w:eastAsia="SimSun"/>
        </w:rPr>
        <w:t xml:space="preserve">Prefiled </w:t>
      </w:r>
      <w:r w:rsidR="00B33E17">
        <w:rPr>
          <w:rFonts w:eastAsia="SimSun"/>
        </w:rPr>
        <w:t>R</w:t>
      </w:r>
      <w:r w:rsidR="009019EC">
        <w:rPr>
          <w:rFonts w:eastAsia="SimSun"/>
        </w:rPr>
        <w:t xml:space="preserve">ebuttal </w:t>
      </w:r>
      <w:r w:rsidR="00B33E17">
        <w:rPr>
          <w:rFonts w:eastAsia="SimSun"/>
        </w:rPr>
        <w:t>T</w:t>
      </w:r>
      <w:r>
        <w:rPr>
          <w:rFonts w:eastAsia="SimSun"/>
        </w:rPr>
        <w:t xml:space="preserve">estimony of Jon </w:t>
      </w:r>
      <w:r w:rsidR="00B33E17">
        <w:rPr>
          <w:rFonts w:eastAsia="SimSun"/>
        </w:rPr>
        <w:t xml:space="preserve">A. </w:t>
      </w:r>
      <w:r>
        <w:rPr>
          <w:rFonts w:eastAsia="SimSun"/>
        </w:rPr>
        <w:t>Piliaris</w:t>
      </w:r>
      <w:r w:rsidR="00B33E17">
        <w:rPr>
          <w:rFonts w:eastAsia="SimSun"/>
        </w:rPr>
        <w:t xml:space="preserve">, </w:t>
      </w:r>
      <w:r w:rsidR="00B62B3D">
        <w:rPr>
          <w:rFonts w:eastAsia="SimSun"/>
        </w:rPr>
        <w:t>Exhibit</w:t>
      </w:r>
      <w:r w:rsidR="00267163">
        <w:rPr>
          <w:rFonts w:eastAsia="SimSun"/>
        </w:rPr>
        <w:t xml:space="preserve"> </w:t>
      </w:r>
      <w:r w:rsidR="00B33E17">
        <w:rPr>
          <w:rFonts w:eastAsia="SimSun"/>
        </w:rPr>
        <w:t>JAP-</w:t>
      </w:r>
      <w:r w:rsidR="00C00DEA">
        <w:rPr>
          <w:rFonts w:eastAsia="SimSun"/>
        </w:rPr>
        <w:t>46</w:t>
      </w:r>
      <w:r w:rsidR="008846A1">
        <w:rPr>
          <w:rFonts w:eastAsia="SimSun"/>
        </w:rPr>
        <w:t>C</w:t>
      </w:r>
      <w:r w:rsidR="00B33E17">
        <w:rPr>
          <w:rFonts w:eastAsia="SimSun"/>
        </w:rPr>
        <w:t>T</w:t>
      </w:r>
      <w:r w:rsidR="00350DEC">
        <w:rPr>
          <w:rFonts w:eastAsia="SimSun"/>
        </w:rPr>
        <w:t xml:space="preserve"> addresses this issue</w:t>
      </w:r>
      <w:r>
        <w:rPr>
          <w:rFonts w:eastAsia="SimSun"/>
        </w:rPr>
        <w:t xml:space="preserve"> in response to Mr. Higgins’ concern.</w:t>
      </w:r>
    </w:p>
    <w:p w14:paraId="654800CE" w14:textId="0194E9E6" w:rsidR="0045223D" w:rsidRPr="0053432A" w:rsidRDefault="0045223D" w:rsidP="00A253E1">
      <w:pPr>
        <w:pStyle w:val="question"/>
      </w:pPr>
      <w:r w:rsidRPr="0053432A">
        <w:lastRenderedPageBreak/>
        <w:t>Q.</w:t>
      </w:r>
      <w:r w:rsidRPr="0053432A">
        <w:tab/>
        <w:t xml:space="preserve">Why </w:t>
      </w:r>
      <w:r w:rsidR="00267163">
        <w:t>would the ECRM</w:t>
      </w:r>
      <w:r w:rsidRPr="0053432A">
        <w:t xml:space="preserve"> incent a </w:t>
      </w:r>
      <w:r w:rsidRPr="00A253E1">
        <w:t>consistent</w:t>
      </w:r>
      <w:r w:rsidRPr="0053432A">
        <w:t xml:space="preserve"> work plan?</w:t>
      </w:r>
    </w:p>
    <w:p w14:paraId="654800CF" w14:textId="602EFC1E" w:rsidR="003457A6" w:rsidRDefault="0045223D" w:rsidP="00A253E1">
      <w:pPr>
        <w:pStyle w:val="Answer0"/>
        <w:rPr>
          <w:rFonts w:eastAsia="SimSun"/>
        </w:rPr>
      </w:pPr>
      <w:r>
        <w:rPr>
          <w:rFonts w:eastAsia="SimSun"/>
        </w:rPr>
        <w:t>A.</w:t>
      </w:r>
      <w:r w:rsidR="00A13C81">
        <w:rPr>
          <w:rFonts w:eastAsia="SimSun"/>
        </w:rPr>
        <w:tab/>
      </w:r>
      <w:r w:rsidR="00267163">
        <w:rPr>
          <w:rFonts w:eastAsia="SimSun"/>
        </w:rPr>
        <w:t>PSE must balance many priorities that serve customer and stakeholder interests from year to year.</w:t>
      </w:r>
      <w:r w:rsidR="00A562F6">
        <w:rPr>
          <w:rFonts w:eastAsia="SimSun"/>
        </w:rPr>
        <w:t xml:space="preserve"> </w:t>
      </w:r>
      <w:r>
        <w:rPr>
          <w:rFonts w:eastAsia="SimSun"/>
        </w:rPr>
        <w:t>The ability to recover investmen</w:t>
      </w:r>
      <w:r w:rsidR="001B66CB">
        <w:rPr>
          <w:rFonts w:eastAsia="SimSun"/>
        </w:rPr>
        <w:t xml:space="preserve">ts </w:t>
      </w:r>
      <w:r w:rsidR="00E25D2D">
        <w:rPr>
          <w:rFonts w:eastAsia="SimSun"/>
        </w:rPr>
        <w:t xml:space="preserve">in a timely manner </w:t>
      </w:r>
      <w:r>
        <w:rPr>
          <w:rFonts w:eastAsia="SimSun"/>
        </w:rPr>
        <w:t xml:space="preserve">following the installation year removes uncertainty </w:t>
      </w:r>
      <w:r w:rsidR="00A13C81">
        <w:rPr>
          <w:rFonts w:eastAsia="SimSun"/>
        </w:rPr>
        <w:t>associated with the traditional ratemaking process</w:t>
      </w:r>
      <w:r w:rsidR="00267163">
        <w:rPr>
          <w:rFonts w:eastAsia="SimSun"/>
        </w:rPr>
        <w:t>.</w:t>
      </w:r>
      <w:r w:rsidR="00A562F6">
        <w:rPr>
          <w:rFonts w:eastAsia="SimSun"/>
        </w:rPr>
        <w:t xml:space="preserve"> </w:t>
      </w:r>
      <w:r w:rsidR="00A13C81">
        <w:rPr>
          <w:rFonts w:eastAsia="SimSun"/>
        </w:rPr>
        <w:t xml:space="preserve">The removal of the uncertainty </w:t>
      </w:r>
      <w:r>
        <w:rPr>
          <w:rFonts w:eastAsia="SimSun"/>
        </w:rPr>
        <w:t xml:space="preserve">allows PSE to commit to a </w:t>
      </w:r>
      <w:r w:rsidR="00F52EBC">
        <w:rPr>
          <w:rFonts w:eastAsia="SimSun"/>
        </w:rPr>
        <w:t xml:space="preserve">consistent </w:t>
      </w:r>
      <w:r>
        <w:rPr>
          <w:rFonts w:eastAsia="SimSun"/>
        </w:rPr>
        <w:t>investment plan that is more than one year out.</w:t>
      </w:r>
      <w:r w:rsidR="00A562F6">
        <w:rPr>
          <w:rFonts w:eastAsia="SimSun"/>
        </w:rPr>
        <w:t xml:space="preserve"> </w:t>
      </w:r>
      <w:r>
        <w:rPr>
          <w:rFonts w:eastAsia="SimSun"/>
        </w:rPr>
        <w:t xml:space="preserve">By not needing to alter the plan each year, PSE can </w:t>
      </w:r>
      <w:r w:rsidR="00F52EBC">
        <w:rPr>
          <w:rFonts w:eastAsia="SimSun"/>
        </w:rPr>
        <w:t>more</w:t>
      </w:r>
      <w:r>
        <w:rPr>
          <w:rFonts w:eastAsia="SimSun"/>
        </w:rPr>
        <w:t xml:space="preserve"> effectively coordinate with other projects in the public interest</w:t>
      </w:r>
      <w:r w:rsidR="00E25D2D">
        <w:rPr>
          <w:rFonts w:eastAsia="SimSun"/>
        </w:rPr>
        <w:t>,</w:t>
      </w:r>
      <w:r>
        <w:rPr>
          <w:rFonts w:eastAsia="SimSun"/>
        </w:rPr>
        <w:t xml:space="preserve"> such as public improvement and transportation projects and is able retain resources more readily.</w:t>
      </w:r>
      <w:r w:rsidR="00A562F6">
        <w:rPr>
          <w:rFonts w:eastAsia="SimSun"/>
        </w:rPr>
        <w:t xml:space="preserve"> </w:t>
      </w:r>
      <w:r w:rsidR="00267163">
        <w:rPr>
          <w:rFonts w:eastAsia="SimSun"/>
        </w:rPr>
        <w:t>For example, a</w:t>
      </w:r>
      <w:r w:rsidR="003457A6">
        <w:rPr>
          <w:rFonts w:eastAsia="SimSun"/>
        </w:rPr>
        <w:t xml:space="preserve">s my </w:t>
      </w:r>
      <w:r w:rsidR="00E25D2D">
        <w:rPr>
          <w:rFonts w:eastAsia="SimSun"/>
        </w:rPr>
        <w:t>prefiled direct t</w:t>
      </w:r>
      <w:r w:rsidR="003457A6">
        <w:rPr>
          <w:rFonts w:eastAsia="SimSun"/>
        </w:rPr>
        <w:t>estimony indicated</w:t>
      </w:r>
      <w:r w:rsidR="006475DE">
        <w:rPr>
          <w:rFonts w:eastAsia="SimSun"/>
        </w:rPr>
        <w:t>,</w:t>
      </w:r>
      <w:r w:rsidR="003457A6">
        <w:rPr>
          <w:rFonts w:eastAsia="SimSun"/>
        </w:rPr>
        <w:t xml:space="preserve"> the </w:t>
      </w:r>
      <w:r w:rsidR="00267163">
        <w:rPr>
          <w:rFonts w:eastAsia="SimSun"/>
        </w:rPr>
        <w:t>ERP</w:t>
      </w:r>
      <w:r w:rsidR="003457A6">
        <w:rPr>
          <w:rFonts w:eastAsia="SimSun"/>
        </w:rPr>
        <w:t xml:space="preserve"> proposes to accelerate the replacement of the failure prone </w:t>
      </w:r>
      <w:r w:rsidR="006475DE">
        <w:rPr>
          <w:rFonts w:eastAsia="SimSun"/>
        </w:rPr>
        <w:t xml:space="preserve">HMW </w:t>
      </w:r>
      <w:r w:rsidR="003457A6">
        <w:rPr>
          <w:rFonts w:eastAsia="SimSun"/>
        </w:rPr>
        <w:t>cable from 25-30 years to 10 years</w:t>
      </w:r>
      <w:r w:rsidR="004B6272">
        <w:rPr>
          <w:rFonts w:eastAsia="SimSun"/>
        </w:rPr>
        <w:t>.</w:t>
      </w:r>
      <w:r w:rsidR="00A562F6">
        <w:rPr>
          <w:rFonts w:eastAsia="SimSun"/>
        </w:rPr>
        <w:t xml:space="preserve"> </w:t>
      </w:r>
      <w:r w:rsidR="004B6272">
        <w:rPr>
          <w:rFonts w:eastAsia="SimSun"/>
        </w:rPr>
        <w:t>This</w:t>
      </w:r>
      <w:r w:rsidR="003457A6">
        <w:rPr>
          <w:rFonts w:eastAsia="SimSun"/>
        </w:rPr>
        <w:t xml:space="preserve"> is a significant increase in the numb</w:t>
      </w:r>
      <w:r w:rsidR="004B6272">
        <w:rPr>
          <w:rFonts w:eastAsia="SimSun"/>
        </w:rPr>
        <w:t>er of projects annually as compared to</w:t>
      </w:r>
      <w:r w:rsidR="003457A6">
        <w:rPr>
          <w:rFonts w:eastAsia="SimSun"/>
        </w:rPr>
        <w:t xml:space="preserve"> historical level</w:t>
      </w:r>
      <w:r w:rsidR="004B6272">
        <w:rPr>
          <w:rFonts w:eastAsia="SimSun"/>
        </w:rPr>
        <w:t>s,</w:t>
      </w:r>
      <w:r w:rsidR="003457A6">
        <w:rPr>
          <w:rFonts w:eastAsia="SimSun"/>
        </w:rPr>
        <w:t xml:space="preserve"> which requires more resources to accomplish successfully.</w:t>
      </w:r>
      <w:r w:rsidR="00A562F6">
        <w:rPr>
          <w:rFonts w:eastAsia="SimSun"/>
        </w:rPr>
        <w:t xml:space="preserve"> </w:t>
      </w:r>
      <w:r w:rsidR="00C00DEA">
        <w:rPr>
          <w:rFonts w:eastAsia="SimSun"/>
        </w:rPr>
        <w:t>The ECRM would provide PSE with the ability to implement a more consistent work plan for the replacement of HMW cable and address WPCs.</w:t>
      </w:r>
    </w:p>
    <w:p w14:paraId="654800D3" w14:textId="3C1FBC36" w:rsidR="00233773" w:rsidRPr="00802B31" w:rsidRDefault="00233773" w:rsidP="00A253E1">
      <w:pPr>
        <w:pStyle w:val="question"/>
      </w:pPr>
      <w:r w:rsidRPr="00802B31">
        <w:t>Q.</w:t>
      </w:r>
      <w:r w:rsidRPr="00802B31">
        <w:tab/>
      </w:r>
      <w:r w:rsidR="00350DEC">
        <w:t xml:space="preserve">Ms. Alexander </w:t>
      </w:r>
      <w:r w:rsidR="00350DEC" w:rsidRPr="00A253E1">
        <w:t>testifies</w:t>
      </w:r>
      <w:r w:rsidR="00350DEC">
        <w:t xml:space="preserve"> that the ECRM should be rejected because </w:t>
      </w:r>
      <w:r w:rsidRPr="00802B31">
        <w:t>the State of Washington has not authorized such a rider by legislation</w:t>
      </w:r>
      <w:r w:rsidR="00350DEC">
        <w:t>.</w:t>
      </w:r>
      <w:r w:rsidR="00A562F6">
        <w:t xml:space="preserve"> </w:t>
      </w:r>
      <w:r w:rsidR="00350DEC">
        <w:t>How do you respond</w:t>
      </w:r>
      <w:r w:rsidRPr="00802B31">
        <w:t>?</w:t>
      </w:r>
    </w:p>
    <w:p w14:paraId="654800D4" w14:textId="4CA4B567" w:rsidR="00233773" w:rsidRPr="00233773" w:rsidRDefault="00233773" w:rsidP="00A253E1">
      <w:pPr>
        <w:pStyle w:val="Answer0"/>
        <w:rPr>
          <w:rFonts w:eastAsia="SimSun"/>
        </w:rPr>
      </w:pPr>
      <w:r>
        <w:rPr>
          <w:rFonts w:eastAsia="SimSun"/>
        </w:rPr>
        <w:t>A.</w:t>
      </w:r>
      <w:r>
        <w:rPr>
          <w:rFonts w:eastAsia="SimSun"/>
        </w:rPr>
        <w:tab/>
      </w:r>
      <w:r w:rsidR="001D1D2A">
        <w:rPr>
          <w:rFonts w:eastAsia="SimSun"/>
        </w:rPr>
        <w:t>The Commission does not need legislation to approve the ECRM.</w:t>
      </w:r>
      <w:r w:rsidR="00A562F6">
        <w:rPr>
          <w:rFonts w:eastAsia="SimSun"/>
        </w:rPr>
        <w:t xml:space="preserve"> </w:t>
      </w:r>
      <w:r w:rsidR="001D1D2A">
        <w:rPr>
          <w:rFonts w:eastAsia="SimSun"/>
        </w:rPr>
        <w:t>Indeed, t</w:t>
      </w:r>
      <w:r w:rsidR="00FB47FA">
        <w:rPr>
          <w:rFonts w:eastAsia="SimSun"/>
        </w:rPr>
        <w:t>he issuance of the Accelerated Pipeline Replacement Policy by the Commission did not require legislation</w:t>
      </w:r>
      <w:r w:rsidR="00C93012">
        <w:rPr>
          <w:rFonts w:eastAsia="SimSun"/>
        </w:rPr>
        <w:t>,</w:t>
      </w:r>
      <w:r w:rsidR="00FB47FA">
        <w:rPr>
          <w:rFonts w:eastAsia="SimSun"/>
        </w:rPr>
        <w:t xml:space="preserve"> but rather </w:t>
      </w:r>
      <w:r w:rsidR="006475DE">
        <w:rPr>
          <w:rFonts w:eastAsia="SimSun"/>
        </w:rPr>
        <w:t xml:space="preserve">was </w:t>
      </w:r>
      <w:r w:rsidR="00FB47FA">
        <w:rPr>
          <w:rFonts w:eastAsia="SimSun"/>
        </w:rPr>
        <w:t>a collaborative effort</w:t>
      </w:r>
      <w:r w:rsidR="00910D96">
        <w:rPr>
          <w:rFonts w:eastAsia="SimSun"/>
        </w:rPr>
        <w:t xml:space="preserve"> </w:t>
      </w:r>
      <w:r w:rsidR="00FB47FA">
        <w:rPr>
          <w:rFonts w:eastAsia="SimSun"/>
        </w:rPr>
        <w:t xml:space="preserve">between </w:t>
      </w:r>
      <w:r w:rsidR="00910D96">
        <w:rPr>
          <w:rFonts w:eastAsia="SimSun"/>
        </w:rPr>
        <w:t xml:space="preserve">Washington </w:t>
      </w:r>
      <w:r w:rsidR="00FB47FA">
        <w:rPr>
          <w:rFonts w:eastAsia="SimSun"/>
        </w:rPr>
        <w:t xml:space="preserve">utilities and the Commission to </w:t>
      </w:r>
      <w:r w:rsidR="00350DEC">
        <w:rPr>
          <w:rFonts w:eastAsia="SimSun"/>
        </w:rPr>
        <w:t>prioritize</w:t>
      </w:r>
      <w:r w:rsidR="00FB47FA">
        <w:rPr>
          <w:rFonts w:eastAsia="SimSun"/>
        </w:rPr>
        <w:t xml:space="preserve"> </w:t>
      </w:r>
      <w:r w:rsidR="00350DEC">
        <w:rPr>
          <w:rFonts w:eastAsia="SimSun"/>
        </w:rPr>
        <w:t xml:space="preserve">replacement of higher </w:t>
      </w:r>
      <w:r w:rsidR="004127D7">
        <w:rPr>
          <w:rFonts w:eastAsia="SimSun"/>
        </w:rPr>
        <w:t>risk pipelines</w:t>
      </w:r>
      <w:r w:rsidR="00FB47FA">
        <w:rPr>
          <w:rFonts w:eastAsia="SimSun"/>
        </w:rPr>
        <w:t>.</w:t>
      </w:r>
      <w:r w:rsidR="00A562F6">
        <w:rPr>
          <w:rFonts w:eastAsia="SimSun"/>
        </w:rPr>
        <w:t xml:space="preserve"> </w:t>
      </w:r>
      <w:r w:rsidR="00FB47FA">
        <w:rPr>
          <w:rFonts w:eastAsia="SimSun"/>
        </w:rPr>
        <w:lastRenderedPageBreak/>
        <w:t xml:space="preserve">The </w:t>
      </w:r>
      <w:r w:rsidR="00910D96">
        <w:rPr>
          <w:rFonts w:eastAsia="SimSun"/>
        </w:rPr>
        <w:t>impetus</w:t>
      </w:r>
      <w:r w:rsidR="00C93012">
        <w:rPr>
          <w:rFonts w:eastAsia="SimSun"/>
        </w:rPr>
        <w:t xml:space="preserve"> </w:t>
      </w:r>
      <w:r w:rsidR="00FB47FA">
        <w:rPr>
          <w:rFonts w:eastAsia="SimSun"/>
        </w:rPr>
        <w:t>of the</w:t>
      </w:r>
      <w:r w:rsidR="00C93012">
        <w:rPr>
          <w:rFonts w:eastAsia="SimSun"/>
        </w:rPr>
        <w:t xml:space="preserve"> pipeline safety</w:t>
      </w:r>
      <w:r w:rsidR="00FB47FA">
        <w:rPr>
          <w:rFonts w:eastAsia="SimSun"/>
        </w:rPr>
        <w:t xml:space="preserve"> conversation was the San Bruno</w:t>
      </w:r>
      <w:r w:rsidR="006475DE">
        <w:rPr>
          <w:rFonts w:eastAsia="SimSun"/>
        </w:rPr>
        <w:t>, California</w:t>
      </w:r>
      <w:r w:rsidR="00FB47FA">
        <w:rPr>
          <w:rFonts w:eastAsia="SimSun"/>
        </w:rPr>
        <w:t xml:space="preserve"> incident</w:t>
      </w:r>
      <w:r w:rsidR="00910D96">
        <w:rPr>
          <w:rFonts w:eastAsia="SimSun"/>
        </w:rPr>
        <w:t>.</w:t>
      </w:r>
      <w:r w:rsidR="00A562F6">
        <w:rPr>
          <w:rFonts w:eastAsia="SimSun"/>
        </w:rPr>
        <w:t xml:space="preserve"> </w:t>
      </w:r>
      <w:r w:rsidR="00910D96">
        <w:rPr>
          <w:rFonts w:eastAsia="SimSun"/>
        </w:rPr>
        <w:t xml:space="preserve">PSE does not </w:t>
      </w:r>
      <w:r w:rsidR="00A568CC">
        <w:rPr>
          <w:rFonts w:eastAsia="SimSun"/>
        </w:rPr>
        <w:t xml:space="preserve">subscribe </w:t>
      </w:r>
      <w:r w:rsidR="00910D96">
        <w:rPr>
          <w:rFonts w:eastAsia="SimSun"/>
        </w:rPr>
        <w:t xml:space="preserve">to a philosophy that unfortunate events are needed to drive a collaborative conversation and process that focuses on reliability which is of core interest to </w:t>
      </w:r>
      <w:r w:rsidR="00990B47">
        <w:rPr>
          <w:rFonts w:eastAsia="SimSun"/>
        </w:rPr>
        <w:t>PSE,</w:t>
      </w:r>
      <w:r w:rsidR="00910D96">
        <w:rPr>
          <w:rFonts w:eastAsia="SimSun"/>
        </w:rPr>
        <w:t xml:space="preserve"> the </w:t>
      </w:r>
      <w:r w:rsidR="006475DE">
        <w:rPr>
          <w:rFonts w:eastAsia="SimSun"/>
        </w:rPr>
        <w:t>Commission,</w:t>
      </w:r>
      <w:r w:rsidR="00910D96">
        <w:rPr>
          <w:rFonts w:eastAsia="SimSun"/>
        </w:rPr>
        <w:t xml:space="preserve"> and customers.</w:t>
      </w:r>
      <w:r w:rsidR="00A562F6">
        <w:rPr>
          <w:rFonts w:eastAsia="SimSun"/>
        </w:rPr>
        <w:t xml:space="preserve"> </w:t>
      </w:r>
      <w:r w:rsidR="001D1D2A">
        <w:rPr>
          <w:rFonts w:eastAsia="SimSun"/>
        </w:rPr>
        <w:t>It is undisputed that having a reliable distribution system is of cr</w:t>
      </w:r>
      <w:r w:rsidR="00B857FA">
        <w:rPr>
          <w:rFonts w:eastAsia="SimSun"/>
        </w:rPr>
        <w:t xml:space="preserve">itical importance to our </w:t>
      </w:r>
      <w:r w:rsidR="00E25D2D">
        <w:rPr>
          <w:rFonts w:eastAsia="SimSun"/>
        </w:rPr>
        <w:t>customers and communities</w:t>
      </w:r>
      <w:r w:rsidR="001D1D2A">
        <w:rPr>
          <w:rFonts w:eastAsia="SimSun"/>
        </w:rPr>
        <w:t>.</w:t>
      </w:r>
      <w:r w:rsidR="00A562F6">
        <w:rPr>
          <w:rFonts w:eastAsia="SimSun"/>
        </w:rPr>
        <w:t xml:space="preserve"> </w:t>
      </w:r>
      <w:r w:rsidR="001D1D2A">
        <w:rPr>
          <w:rFonts w:eastAsia="SimSun"/>
        </w:rPr>
        <w:t xml:space="preserve">Accordingly, </w:t>
      </w:r>
      <w:r w:rsidR="00910D96">
        <w:rPr>
          <w:rFonts w:eastAsia="SimSun"/>
        </w:rPr>
        <w:t xml:space="preserve">PSE believes the increasing trend of outages is </w:t>
      </w:r>
      <w:r w:rsidR="001D1D2A">
        <w:rPr>
          <w:rFonts w:eastAsia="SimSun"/>
        </w:rPr>
        <w:t xml:space="preserve">an </w:t>
      </w:r>
      <w:r w:rsidR="003449E1">
        <w:rPr>
          <w:rFonts w:eastAsia="SimSun"/>
        </w:rPr>
        <w:t>impetus to engage in a transparent process to improve reliability while recognizing the need to eliminate the regulatory lag that discourages spending above customer revenue.</w:t>
      </w:r>
      <w:r w:rsidR="00A562F6">
        <w:rPr>
          <w:rFonts w:eastAsia="SimSun"/>
        </w:rPr>
        <w:t xml:space="preserve"> </w:t>
      </w:r>
    </w:p>
    <w:p w14:paraId="654800D5" w14:textId="77777777" w:rsidR="003F6CB4" w:rsidRPr="005C7314" w:rsidRDefault="003F6CB4" w:rsidP="00A253E1">
      <w:pPr>
        <w:pStyle w:val="question"/>
      </w:pPr>
      <w:r w:rsidRPr="005C7314">
        <w:t>Q.</w:t>
      </w:r>
      <w:r w:rsidRPr="005C7314">
        <w:tab/>
        <w:t xml:space="preserve">How is the </w:t>
      </w:r>
      <w:r w:rsidRPr="00A253E1">
        <w:t>reference</w:t>
      </w:r>
      <w:r w:rsidRPr="005C7314">
        <w:t xml:space="preserve"> to the Gas CRM appropriate</w:t>
      </w:r>
      <w:r>
        <w:t>?</w:t>
      </w:r>
    </w:p>
    <w:p w14:paraId="69052C47" w14:textId="603563EF" w:rsidR="00A13C81" w:rsidRDefault="003F6CB4" w:rsidP="00A253E1">
      <w:pPr>
        <w:pStyle w:val="Answer0"/>
        <w:rPr>
          <w:rFonts w:eastAsia="SimSun"/>
        </w:rPr>
      </w:pPr>
      <w:r>
        <w:rPr>
          <w:rFonts w:eastAsia="SimSun"/>
        </w:rPr>
        <w:t>A.</w:t>
      </w:r>
      <w:r>
        <w:rPr>
          <w:rFonts w:eastAsia="SimSun"/>
        </w:rPr>
        <w:tab/>
        <w:t xml:space="preserve">The </w:t>
      </w:r>
      <w:r w:rsidR="00E25D2D">
        <w:rPr>
          <w:rFonts w:eastAsia="SimSun"/>
        </w:rPr>
        <w:t>t</w:t>
      </w:r>
      <w:r>
        <w:rPr>
          <w:rFonts w:eastAsia="SimSun"/>
        </w:rPr>
        <w:t>estimon</w:t>
      </w:r>
      <w:r w:rsidR="004335DA">
        <w:rPr>
          <w:rFonts w:eastAsia="SimSun"/>
        </w:rPr>
        <w:t>ies</w:t>
      </w:r>
      <w:r>
        <w:rPr>
          <w:rFonts w:eastAsia="SimSun"/>
        </w:rPr>
        <w:t xml:space="preserve"> of Mr. Schooley, Mr. Brosch and Ms. Alexander suggest that comparison or use of the Gas CRM as precedent for the ECRM </w:t>
      </w:r>
      <w:r w:rsidR="00A568CC">
        <w:rPr>
          <w:rFonts w:eastAsia="SimSun"/>
        </w:rPr>
        <w:t>is inappropriate</w:t>
      </w:r>
      <w:r>
        <w:rPr>
          <w:rFonts w:eastAsia="SimSun"/>
        </w:rPr>
        <w:t>.</w:t>
      </w:r>
      <w:r w:rsidR="00A562F6">
        <w:rPr>
          <w:rFonts w:eastAsia="SimSun"/>
        </w:rPr>
        <w:t xml:space="preserve"> </w:t>
      </w:r>
      <w:r>
        <w:rPr>
          <w:rFonts w:eastAsia="SimSun"/>
        </w:rPr>
        <w:t>The fact that the Gas CRM does not specifically address electric infrastructure does not mean the comparison is not useful.</w:t>
      </w:r>
      <w:r w:rsidR="00A562F6">
        <w:rPr>
          <w:rFonts w:eastAsia="SimSun"/>
        </w:rPr>
        <w:t xml:space="preserve"> </w:t>
      </w:r>
      <w:r>
        <w:rPr>
          <w:rFonts w:eastAsia="SimSun"/>
        </w:rPr>
        <w:t>The reference to the Gas CRM is helpful for several reasons.</w:t>
      </w:r>
      <w:r w:rsidR="00A562F6">
        <w:rPr>
          <w:rFonts w:eastAsia="SimSun"/>
        </w:rPr>
        <w:t xml:space="preserve"> </w:t>
      </w:r>
      <w:r>
        <w:rPr>
          <w:rFonts w:eastAsia="SimSun"/>
        </w:rPr>
        <w:t>The Gas CRM demonstrates that a process similar to what is proposed in the ECRM has already been successful in Washington</w:t>
      </w:r>
      <w:r w:rsidR="004335DA">
        <w:rPr>
          <w:rFonts w:eastAsia="SimSun"/>
        </w:rPr>
        <w:t>, including</w:t>
      </w:r>
      <w:r>
        <w:rPr>
          <w:rFonts w:eastAsia="SimSun"/>
        </w:rPr>
        <w:t xml:space="preserve"> successful engagement with </w:t>
      </w:r>
      <w:r w:rsidR="00A13C81">
        <w:rPr>
          <w:rFonts w:eastAsia="SimSun"/>
        </w:rPr>
        <w:t>St</w:t>
      </w:r>
      <w:r>
        <w:rPr>
          <w:rFonts w:eastAsia="SimSun"/>
        </w:rPr>
        <w:t xml:space="preserve">aff, transparency to the plan and benefits, and monitoring </w:t>
      </w:r>
      <w:r w:rsidR="00A568CC">
        <w:rPr>
          <w:rFonts w:eastAsia="SimSun"/>
        </w:rPr>
        <w:t xml:space="preserve">of progress </w:t>
      </w:r>
      <w:r>
        <w:rPr>
          <w:rFonts w:eastAsia="SimSun"/>
        </w:rPr>
        <w:t>for known and measurable results prior to putting in rates the following year.</w:t>
      </w:r>
      <w:r w:rsidR="00A562F6">
        <w:rPr>
          <w:rFonts w:eastAsia="SimSun"/>
        </w:rPr>
        <w:t xml:space="preserve"> </w:t>
      </w:r>
      <w:r w:rsidR="00990B47">
        <w:rPr>
          <w:rFonts w:eastAsia="SimSun"/>
        </w:rPr>
        <w:t>T</w:t>
      </w:r>
      <w:r w:rsidRPr="004D3B41">
        <w:rPr>
          <w:rFonts w:eastAsia="SimSun"/>
        </w:rPr>
        <w:t>he</w:t>
      </w:r>
      <w:r w:rsidR="00990B47">
        <w:rPr>
          <w:rFonts w:eastAsia="SimSun"/>
        </w:rPr>
        <w:t xml:space="preserve"> ECRM</w:t>
      </w:r>
      <w:r w:rsidRPr="004D3B41">
        <w:rPr>
          <w:rFonts w:eastAsia="SimSun"/>
        </w:rPr>
        <w:t xml:space="preserve"> </w:t>
      </w:r>
      <w:r w:rsidR="004D3B41" w:rsidRPr="004D3B41">
        <w:rPr>
          <w:rFonts w:eastAsia="SimSun"/>
        </w:rPr>
        <w:t xml:space="preserve">mechanism </w:t>
      </w:r>
      <w:r w:rsidR="004335DA">
        <w:rPr>
          <w:rFonts w:eastAsia="SimSun"/>
        </w:rPr>
        <w:t>w</w:t>
      </w:r>
      <w:r w:rsidR="004D3B41" w:rsidRPr="004D3B41">
        <w:rPr>
          <w:rFonts w:eastAsia="SimSun"/>
        </w:rPr>
        <w:t xml:space="preserve">ould </w:t>
      </w:r>
      <w:r w:rsidR="00990B47">
        <w:rPr>
          <w:rFonts w:eastAsia="SimSun"/>
        </w:rPr>
        <w:t xml:space="preserve">leverage the </w:t>
      </w:r>
      <w:r w:rsidR="00045262">
        <w:rPr>
          <w:rFonts w:eastAsia="SimSun"/>
        </w:rPr>
        <w:t xml:space="preserve">extensive </w:t>
      </w:r>
      <w:r w:rsidR="00990B47">
        <w:rPr>
          <w:rFonts w:eastAsia="SimSun"/>
        </w:rPr>
        <w:t xml:space="preserve">roadmap established by the Gas CRM </w:t>
      </w:r>
      <w:r w:rsidR="004D3B41" w:rsidRPr="004D3B41">
        <w:rPr>
          <w:rFonts w:eastAsia="SimSun"/>
        </w:rPr>
        <w:t>process</w:t>
      </w:r>
      <w:r w:rsidR="00990B47">
        <w:rPr>
          <w:rFonts w:eastAsia="SimSun"/>
        </w:rPr>
        <w:t>, but</w:t>
      </w:r>
      <w:r w:rsidRPr="004D3B41">
        <w:rPr>
          <w:rFonts w:eastAsia="SimSun"/>
        </w:rPr>
        <w:t xml:space="preserve"> does not need to be reinvented</w:t>
      </w:r>
      <w:r w:rsidR="006B5D93" w:rsidRPr="004D3B41">
        <w:rPr>
          <w:rFonts w:eastAsia="SimSun"/>
        </w:rPr>
        <w:t xml:space="preserve"> through lengthy proce</w:t>
      </w:r>
      <w:r w:rsidR="00990B47">
        <w:rPr>
          <w:rFonts w:eastAsia="SimSun"/>
        </w:rPr>
        <w:t>edings.</w:t>
      </w:r>
      <w:r w:rsidR="00A562F6">
        <w:rPr>
          <w:rFonts w:eastAsia="SimSun"/>
        </w:rPr>
        <w:t xml:space="preserve"> </w:t>
      </w:r>
    </w:p>
    <w:p w14:paraId="654800D7" w14:textId="77777777" w:rsidR="003F6CB4" w:rsidRPr="00045262" w:rsidRDefault="003F6CB4" w:rsidP="00A253E1">
      <w:pPr>
        <w:pStyle w:val="question"/>
      </w:pPr>
      <w:r w:rsidRPr="00045262">
        <w:lastRenderedPageBreak/>
        <w:t>Q.</w:t>
      </w:r>
      <w:r w:rsidRPr="00045262">
        <w:tab/>
        <w:t>What similarities</w:t>
      </w:r>
      <w:r w:rsidRPr="00A253E1">
        <w:t xml:space="preserve"> </w:t>
      </w:r>
      <w:r w:rsidRPr="00045262">
        <w:t xml:space="preserve">does the Gas CRM have to </w:t>
      </w:r>
      <w:r w:rsidRPr="00A253E1">
        <w:t>the</w:t>
      </w:r>
      <w:r w:rsidRPr="00045262">
        <w:t xml:space="preserve"> ECRM proposal?</w:t>
      </w:r>
    </w:p>
    <w:p w14:paraId="654800D8" w14:textId="432D0580" w:rsidR="003F6CB4" w:rsidRDefault="003F6CB4" w:rsidP="00A253E1">
      <w:pPr>
        <w:pStyle w:val="Answer0"/>
        <w:rPr>
          <w:rFonts w:eastAsia="SimSun"/>
        </w:rPr>
      </w:pPr>
      <w:r>
        <w:rPr>
          <w:rFonts w:eastAsia="SimSun"/>
        </w:rPr>
        <w:t>A.</w:t>
      </w:r>
      <w:r>
        <w:rPr>
          <w:rFonts w:eastAsia="SimSun"/>
        </w:rPr>
        <w:tab/>
        <w:t>There is similarity in that both the Gas CRM and the ECRM are addressing infrastructure that is failing and impacting customers and the public.</w:t>
      </w:r>
      <w:r w:rsidR="00A562F6">
        <w:rPr>
          <w:rFonts w:eastAsia="SimSun"/>
        </w:rPr>
        <w:t xml:space="preserve"> </w:t>
      </w:r>
      <w:r>
        <w:rPr>
          <w:rFonts w:eastAsia="SimSun"/>
        </w:rPr>
        <w:t xml:space="preserve">The Gas CRM </w:t>
      </w:r>
      <w:r w:rsidR="00E25D2D">
        <w:rPr>
          <w:rFonts w:eastAsia="SimSun"/>
        </w:rPr>
        <w:t xml:space="preserve">proactively </w:t>
      </w:r>
      <w:r>
        <w:rPr>
          <w:rFonts w:eastAsia="SimSun"/>
        </w:rPr>
        <w:t>a</w:t>
      </w:r>
      <w:r w:rsidR="00E25D2D">
        <w:rPr>
          <w:rFonts w:eastAsia="SimSun"/>
        </w:rPr>
        <w:t>ddresses “higher risk pipelines</w:t>
      </w:r>
      <w:r>
        <w:rPr>
          <w:rFonts w:eastAsia="SimSun"/>
        </w:rPr>
        <w:t>”</w:t>
      </w:r>
      <w:r w:rsidR="00E25D2D">
        <w:rPr>
          <w:rFonts w:eastAsia="SimSun"/>
        </w:rPr>
        <w:t xml:space="preserve"> that have potential to fail,</w:t>
      </w:r>
      <w:r>
        <w:rPr>
          <w:rFonts w:eastAsia="SimSun"/>
        </w:rPr>
        <w:t xml:space="preserve"> not unsafe or dangerous pipelines as incorrectly implied by the response testimonies.</w:t>
      </w:r>
      <w:r w:rsidR="00A562F6">
        <w:rPr>
          <w:rFonts w:eastAsia="SimSun"/>
        </w:rPr>
        <w:t xml:space="preserve"> </w:t>
      </w:r>
      <w:r>
        <w:rPr>
          <w:rFonts w:eastAsia="SimSun"/>
        </w:rPr>
        <w:t>PSE addresses dangerous or unsafe pipelines immediately</w:t>
      </w:r>
      <w:r w:rsidR="00E25D2D">
        <w:rPr>
          <w:rFonts w:eastAsia="SimSun"/>
        </w:rPr>
        <w:t>,</w:t>
      </w:r>
      <w:r w:rsidR="00A568CC">
        <w:rPr>
          <w:rFonts w:eastAsia="SimSun"/>
        </w:rPr>
        <w:t xml:space="preserve"> and they a</w:t>
      </w:r>
      <w:r w:rsidR="00A568CC" w:rsidRPr="00A253E1">
        <w:rPr>
          <w:rFonts w:eastAsia="SimSun"/>
        </w:rPr>
        <w:t>re not part of the Gas CRM process</w:t>
      </w:r>
      <w:r w:rsidRPr="00A253E1">
        <w:rPr>
          <w:rFonts w:eastAsia="SimSun"/>
        </w:rPr>
        <w:t>.</w:t>
      </w:r>
      <w:r w:rsidR="00A562F6">
        <w:rPr>
          <w:rFonts w:eastAsia="SimSun"/>
        </w:rPr>
        <w:t xml:space="preserve"> </w:t>
      </w:r>
      <w:r w:rsidRPr="00A253E1">
        <w:rPr>
          <w:rFonts w:eastAsia="SimSun"/>
        </w:rPr>
        <w:t>The Gas CRM allows for the proactive replacement</w:t>
      </w:r>
      <w:r>
        <w:rPr>
          <w:rFonts w:eastAsia="SimSun"/>
        </w:rPr>
        <w:t xml:space="preserve"> of failing pipelines to prevent the occurrence of leaks and their impact.</w:t>
      </w:r>
      <w:r w:rsidR="00A562F6">
        <w:rPr>
          <w:rFonts w:eastAsia="SimSun"/>
        </w:rPr>
        <w:t xml:space="preserve"> </w:t>
      </w:r>
      <w:r>
        <w:rPr>
          <w:rFonts w:eastAsia="SimSun"/>
        </w:rPr>
        <w:t xml:space="preserve">Similarly, the ECRM </w:t>
      </w:r>
      <w:r w:rsidR="00E25D2D">
        <w:rPr>
          <w:rFonts w:eastAsia="SimSun"/>
        </w:rPr>
        <w:t>proactively</w:t>
      </w:r>
      <w:r>
        <w:rPr>
          <w:rFonts w:eastAsia="SimSun"/>
        </w:rPr>
        <w:t xml:space="preserve"> addresses </w:t>
      </w:r>
      <w:r w:rsidR="00CB4ECA">
        <w:rPr>
          <w:rFonts w:eastAsia="SimSun"/>
        </w:rPr>
        <w:t>HMW</w:t>
      </w:r>
      <w:r w:rsidR="00E25D2D">
        <w:rPr>
          <w:rFonts w:eastAsia="SimSun"/>
        </w:rPr>
        <w:t xml:space="preserve"> direct bury cable that are failing</w:t>
      </w:r>
      <w:r>
        <w:rPr>
          <w:rFonts w:eastAsia="SimSun"/>
        </w:rPr>
        <w:t xml:space="preserve"> to prevent outages and subsequent impact.</w:t>
      </w:r>
      <w:r w:rsidR="00A562F6">
        <w:rPr>
          <w:rFonts w:eastAsia="SimSun"/>
        </w:rPr>
        <w:t xml:space="preserve"> </w:t>
      </w:r>
      <w:r>
        <w:rPr>
          <w:rFonts w:eastAsia="SimSun"/>
        </w:rPr>
        <w:t>Doing this ensures the electric system is reliable and minimizes safety</w:t>
      </w:r>
      <w:r w:rsidR="00426F4E">
        <w:rPr>
          <w:rFonts w:eastAsia="SimSun"/>
        </w:rPr>
        <w:t xml:space="preserve"> and other</w:t>
      </w:r>
      <w:r>
        <w:rPr>
          <w:rFonts w:eastAsia="SimSun"/>
        </w:rPr>
        <w:t xml:space="preserve"> concerns resulting from o</w:t>
      </w:r>
      <w:r w:rsidR="00426F4E">
        <w:rPr>
          <w:rFonts w:eastAsia="SimSun"/>
        </w:rPr>
        <w:t>utages such as street lights,</w:t>
      </w:r>
      <w:r>
        <w:rPr>
          <w:rFonts w:eastAsia="SimSun"/>
        </w:rPr>
        <w:t xml:space="preserve"> traffic signals</w:t>
      </w:r>
      <w:r w:rsidR="00426F4E">
        <w:rPr>
          <w:rFonts w:eastAsia="SimSun"/>
        </w:rPr>
        <w:t>, climate control, security systems,</w:t>
      </w:r>
      <w:r w:rsidR="00174575">
        <w:rPr>
          <w:rFonts w:eastAsia="SimSun"/>
        </w:rPr>
        <w:t xml:space="preserve"> and other frustrations associated with power outages</w:t>
      </w:r>
      <w:r w:rsidR="00ED11FC">
        <w:rPr>
          <w:rFonts w:eastAsia="SimSun"/>
        </w:rPr>
        <w:t>.</w:t>
      </w:r>
      <w:r w:rsidR="00A562F6">
        <w:rPr>
          <w:rFonts w:eastAsia="SimSun"/>
        </w:rPr>
        <w:t xml:space="preserve"> </w:t>
      </w:r>
    </w:p>
    <w:p w14:paraId="654800D9" w14:textId="77777777" w:rsidR="005622B2" w:rsidRDefault="005622B2" w:rsidP="00A253E1">
      <w:pPr>
        <w:pStyle w:val="question"/>
      </w:pPr>
      <w:r w:rsidRPr="00154D01">
        <w:t>Q.</w:t>
      </w:r>
      <w:r w:rsidRPr="00154D01">
        <w:tab/>
      </w:r>
      <w:r>
        <w:t xml:space="preserve">Does PSE agree it is obligated to </w:t>
      </w:r>
      <w:r w:rsidRPr="00A253E1">
        <w:t>provide</w:t>
      </w:r>
      <w:r>
        <w:t xml:space="preserve"> reliable service</w:t>
      </w:r>
      <w:r w:rsidR="00B43113">
        <w:t xml:space="preserve"> and see it as an important objective</w:t>
      </w:r>
      <w:r>
        <w:t>?</w:t>
      </w:r>
    </w:p>
    <w:p w14:paraId="78C5E933" w14:textId="5F79E54A" w:rsidR="000B07E8" w:rsidRDefault="005622B2" w:rsidP="00A253E1">
      <w:pPr>
        <w:pStyle w:val="Answer0"/>
        <w:rPr>
          <w:rFonts w:eastAsia="SimSun"/>
        </w:rPr>
      </w:pPr>
      <w:r w:rsidRPr="000E1E7F">
        <w:rPr>
          <w:rFonts w:eastAsia="SimSun"/>
        </w:rPr>
        <w:t>A.</w:t>
      </w:r>
      <w:r>
        <w:rPr>
          <w:rFonts w:eastAsia="SimSun"/>
        </w:rPr>
        <w:tab/>
        <w:t>Yes.</w:t>
      </w:r>
      <w:r w:rsidR="00A562F6">
        <w:rPr>
          <w:rFonts w:eastAsia="SimSun"/>
        </w:rPr>
        <w:t xml:space="preserve"> </w:t>
      </w:r>
      <w:r>
        <w:rPr>
          <w:rFonts w:eastAsia="SimSun"/>
        </w:rPr>
        <w:t>PSE takes the obligation of providing reliable service seriously.</w:t>
      </w:r>
      <w:r w:rsidR="00A562F6">
        <w:rPr>
          <w:rFonts w:eastAsia="SimSun"/>
        </w:rPr>
        <w:t xml:space="preserve"> </w:t>
      </w:r>
      <w:r w:rsidR="00964CDD">
        <w:rPr>
          <w:rFonts w:eastAsia="SimSun"/>
        </w:rPr>
        <w:t xml:space="preserve">As discussed in the </w:t>
      </w:r>
      <w:r w:rsidR="008F25BA">
        <w:rPr>
          <w:rFonts w:eastAsia="SimSun"/>
        </w:rPr>
        <w:t>P</w:t>
      </w:r>
      <w:r w:rsidR="00AB5D6B">
        <w:rPr>
          <w:rFonts w:eastAsia="SimSun"/>
        </w:rPr>
        <w:t xml:space="preserve">refiled </w:t>
      </w:r>
      <w:r w:rsidR="008F25BA">
        <w:rPr>
          <w:rFonts w:eastAsia="SimSun"/>
        </w:rPr>
        <w:t>D</w:t>
      </w:r>
      <w:r w:rsidR="00964CDD">
        <w:rPr>
          <w:rFonts w:eastAsia="SimSun"/>
        </w:rPr>
        <w:t xml:space="preserve">irect </w:t>
      </w:r>
      <w:r w:rsidR="008F25BA">
        <w:rPr>
          <w:rFonts w:eastAsia="SimSun"/>
        </w:rPr>
        <w:t>T</w:t>
      </w:r>
      <w:r w:rsidR="00964CDD">
        <w:rPr>
          <w:rFonts w:eastAsia="SimSun"/>
        </w:rPr>
        <w:t>estimony of Booga K</w:t>
      </w:r>
      <w:r w:rsidR="008F25BA">
        <w:rPr>
          <w:rFonts w:eastAsia="SimSun"/>
        </w:rPr>
        <w:t>.</w:t>
      </w:r>
      <w:r w:rsidR="00964CDD">
        <w:rPr>
          <w:rFonts w:eastAsia="SimSun"/>
        </w:rPr>
        <w:t xml:space="preserve"> Gilbertson</w:t>
      </w:r>
      <w:r w:rsidR="00A562F6">
        <w:rPr>
          <w:rFonts w:eastAsia="SimSun"/>
        </w:rPr>
        <w:t>, Exhibit BKG-1T</w:t>
      </w:r>
      <w:r w:rsidR="008F25BA">
        <w:rPr>
          <w:rFonts w:eastAsia="SimSun"/>
        </w:rPr>
        <w:t>,</w:t>
      </w:r>
      <w:r w:rsidR="00964CDD">
        <w:rPr>
          <w:rFonts w:eastAsia="SimSun"/>
        </w:rPr>
        <w:t xml:space="preserve"> PSE has been making effective reliability investments; however, PSE has seen an upward trend in both tree related and underground cable out</w:t>
      </w:r>
      <w:r w:rsidR="002D2915">
        <w:rPr>
          <w:rFonts w:eastAsia="SimSun"/>
        </w:rPr>
        <w:t>ages despite these investments.</w:t>
      </w:r>
      <w:r w:rsidR="00A562F6">
        <w:rPr>
          <w:rFonts w:eastAsia="SimSun"/>
        </w:rPr>
        <w:t xml:space="preserve"> </w:t>
      </w:r>
      <w:r w:rsidR="005E2A60">
        <w:rPr>
          <w:rFonts w:eastAsia="SimSun"/>
        </w:rPr>
        <w:t>T</w:t>
      </w:r>
      <w:r w:rsidR="0088798E">
        <w:rPr>
          <w:rFonts w:eastAsia="SimSun"/>
        </w:rPr>
        <w:t xml:space="preserve">he transparency of the proposed </w:t>
      </w:r>
      <w:r w:rsidR="00E21168">
        <w:rPr>
          <w:rFonts w:eastAsia="SimSun"/>
        </w:rPr>
        <w:t>ECRM</w:t>
      </w:r>
      <w:r w:rsidR="0088798E">
        <w:rPr>
          <w:rFonts w:eastAsia="SimSun"/>
        </w:rPr>
        <w:t xml:space="preserve"> provides </w:t>
      </w:r>
      <w:r w:rsidR="008F25BA">
        <w:rPr>
          <w:rFonts w:eastAsia="SimSun"/>
        </w:rPr>
        <w:t xml:space="preserve">an </w:t>
      </w:r>
      <w:r w:rsidR="0088798E">
        <w:rPr>
          <w:rFonts w:eastAsia="SimSun"/>
        </w:rPr>
        <w:t xml:space="preserve">opportunity to </w:t>
      </w:r>
      <w:r w:rsidR="00E21168">
        <w:rPr>
          <w:rFonts w:eastAsia="SimSun"/>
        </w:rPr>
        <w:t xml:space="preserve">improve </w:t>
      </w:r>
      <w:r w:rsidR="0088798E">
        <w:rPr>
          <w:rFonts w:eastAsia="SimSun"/>
        </w:rPr>
        <w:t>reliability beyond historic levels</w:t>
      </w:r>
      <w:r w:rsidR="00964CDD">
        <w:rPr>
          <w:rFonts w:eastAsia="SimSun"/>
        </w:rPr>
        <w:t xml:space="preserve"> for tree related and cable related power outages</w:t>
      </w:r>
      <w:r w:rsidR="0088798E">
        <w:rPr>
          <w:rFonts w:eastAsia="SimSun"/>
        </w:rPr>
        <w:t>, but it comes with added cost.</w:t>
      </w:r>
      <w:r w:rsidR="00A562F6">
        <w:rPr>
          <w:rFonts w:eastAsia="SimSun"/>
        </w:rPr>
        <w:t xml:space="preserve"> </w:t>
      </w:r>
      <w:r w:rsidR="00372905">
        <w:rPr>
          <w:rFonts w:eastAsia="SimSun"/>
        </w:rPr>
        <w:t xml:space="preserve">By virtue of the </w:t>
      </w:r>
      <w:r w:rsidR="004335DA">
        <w:rPr>
          <w:rFonts w:eastAsia="SimSun"/>
        </w:rPr>
        <w:t>ECRM</w:t>
      </w:r>
      <w:r w:rsidR="00372905">
        <w:rPr>
          <w:rFonts w:eastAsia="SimSun"/>
        </w:rPr>
        <w:t xml:space="preserve">, PSE can address </w:t>
      </w:r>
      <w:r w:rsidR="008F25BA">
        <w:rPr>
          <w:rFonts w:eastAsia="SimSun"/>
        </w:rPr>
        <w:lastRenderedPageBreak/>
        <w:t>WPCs</w:t>
      </w:r>
      <w:r w:rsidR="00372905">
        <w:rPr>
          <w:rFonts w:eastAsia="SimSun"/>
        </w:rPr>
        <w:t xml:space="preserve"> more aggressively and proactively prevent outages fr</w:t>
      </w:r>
      <w:r w:rsidR="00E25D2D">
        <w:rPr>
          <w:rFonts w:eastAsia="SimSun"/>
        </w:rPr>
        <w:t>om impacting service by failure-</w:t>
      </w:r>
      <w:r w:rsidR="00372905">
        <w:rPr>
          <w:rFonts w:eastAsia="SimSun"/>
        </w:rPr>
        <w:t>prone HMW direct bury cable.</w:t>
      </w:r>
      <w:r w:rsidR="00A562F6">
        <w:rPr>
          <w:rFonts w:eastAsia="SimSun"/>
        </w:rPr>
        <w:t xml:space="preserve"> </w:t>
      </w:r>
      <w:r w:rsidR="00E25D2D">
        <w:rPr>
          <w:rFonts w:eastAsia="SimSun"/>
        </w:rPr>
        <w:t>Approval of the ECRM would demonstrate the Commission’s agreement</w:t>
      </w:r>
      <w:r w:rsidR="0084552B">
        <w:rPr>
          <w:rFonts w:eastAsia="SimSun"/>
        </w:rPr>
        <w:t xml:space="preserve"> that accelerating reliability spending beyond historical levels is a reasonable and measured approach to impr</w:t>
      </w:r>
      <w:r w:rsidR="00E25D2D">
        <w:rPr>
          <w:rFonts w:eastAsia="SimSun"/>
        </w:rPr>
        <w:t>ove reliability for customers.</w:t>
      </w:r>
    </w:p>
    <w:p w14:paraId="344FDABD" w14:textId="6B598DDB" w:rsidR="00E25D2D" w:rsidRDefault="00E25D2D" w:rsidP="00A253E1">
      <w:pPr>
        <w:pStyle w:val="question"/>
      </w:pPr>
      <w:r>
        <w:t>Q.</w:t>
      </w:r>
      <w:r>
        <w:tab/>
        <w:t xml:space="preserve">How do you respond to Ms. Alexander’s assertion </w:t>
      </w:r>
      <w:r w:rsidRPr="002E15BA">
        <w:t xml:space="preserve">that the elimination of the SQI </w:t>
      </w:r>
      <w:r>
        <w:t>No. 3</w:t>
      </w:r>
      <w:r w:rsidRPr="002E15BA">
        <w:t xml:space="preserve"> SAIDI penalties </w:t>
      </w:r>
      <w:r>
        <w:t xml:space="preserve">and historical </w:t>
      </w:r>
      <w:r w:rsidRPr="002E15BA">
        <w:t xml:space="preserve">change in the benchmark indicates PSE </w:t>
      </w:r>
      <w:r>
        <w:t>sees reliability as unimportant</w:t>
      </w:r>
      <w:r>
        <w:rPr>
          <w:szCs w:val="24"/>
          <w:lang w:eastAsia="en-US"/>
        </w:rPr>
        <w:t>?</w:t>
      </w:r>
    </w:p>
    <w:p w14:paraId="654800DC" w14:textId="45FC2FFA" w:rsidR="00B43113" w:rsidRDefault="00E25D2D" w:rsidP="00A253E1">
      <w:pPr>
        <w:pStyle w:val="Answer0"/>
        <w:rPr>
          <w:rFonts w:eastAsia="SimSun"/>
        </w:rPr>
      </w:pPr>
      <w:r>
        <w:rPr>
          <w:rFonts w:eastAsia="SimSun"/>
        </w:rPr>
        <w:t>A.</w:t>
      </w:r>
      <w:r>
        <w:rPr>
          <w:rFonts w:eastAsia="SimSun"/>
        </w:rPr>
        <w:tab/>
      </w:r>
      <w:r w:rsidR="000B07E8">
        <w:rPr>
          <w:rFonts w:eastAsia="SimSun"/>
        </w:rPr>
        <w:t xml:space="preserve">PSE disagrees with </w:t>
      </w:r>
      <w:r w:rsidR="002E15BA">
        <w:rPr>
          <w:rFonts w:eastAsia="SimSun"/>
        </w:rPr>
        <w:t>Ms. Alexander</w:t>
      </w:r>
      <w:r w:rsidR="000B07E8">
        <w:rPr>
          <w:rFonts w:eastAsia="SimSun"/>
        </w:rPr>
        <w:t>’s</w:t>
      </w:r>
      <w:r w:rsidR="002E15BA">
        <w:rPr>
          <w:rFonts w:eastAsia="SimSun"/>
        </w:rPr>
        <w:t xml:space="preserve"> assert</w:t>
      </w:r>
      <w:r w:rsidR="000B07E8">
        <w:rPr>
          <w:rFonts w:eastAsia="SimSun"/>
        </w:rPr>
        <w:t>ion</w:t>
      </w:r>
      <w:r>
        <w:rPr>
          <w:rFonts w:eastAsia="SimSun"/>
        </w:rPr>
        <w:t>.</w:t>
      </w:r>
      <w:r w:rsidR="00A562F6">
        <w:rPr>
          <w:lang w:eastAsia="en-US"/>
        </w:rPr>
        <w:t xml:space="preserve"> </w:t>
      </w:r>
      <w:r w:rsidR="002851F4">
        <w:rPr>
          <w:lang w:eastAsia="en-US"/>
        </w:rPr>
        <w:t>Indeed, the opposite is true.</w:t>
      </w:r>
      <w:r w:rsidR="00A562F6">
        <w:rPr>
          <w:lang w:eastAsia="en-US"/>
        </w:rPr>
        <w:t xml:space="preserve"> </w:t>
      </w:r>
      <w:r w:rsidR="000B07E8">
        <w:rPr>
          <w:lang w:eastAsia="en-US"/>
        </w:rPr>
        <w:t xml:space="preserve">The removal of penalties and redesign of SQI No. 3 was part of a negotiated settlement approved by the Commission that </w:t>
      </w:r>
      <w:r w:rsidR="00B43113">
        <w:rPr>
          <w:lang w:eastAsia="en-US"/>
        </w:rPr>
        <w:t>also implemented</w:t>
      </w:r>
      <w:r w:rsidR="00B43113" w:rsidRPr="0031527D">
        <w:rPr>
          <w:rFonts w:eastAsia="SimSun"/>
        </w:rPr>
        <w:t xml:space="preserve"> </w:t>
      </w:r>
      <w:r w:rsidR="000B07E8">
        <w:rPr>
          <w:rFonts w:eastAsia="SimSun"/>
        </w:rPr>
        <w:t xml:space="preserve">a new </w:t>
      </w:r>
      <w:r w:rsidR="002851F4">
        <w:rPr>
          <w:rFonts w:eastAsia="SimSun"/>
        </w:rPr>
        <w:t>24-</w:t>
      </w:r>
      <w:r w:rsidR="00B43113">
        <w:rPr>
          <w:rFonts w:eastAsia="SimSun"/>
        </w:rPr>
        <w:t>hour service guarantee</w:t>
      </w:r>
      <w:r w:rsidR="004F778F">
        <w:rPr>
          <w:rFonts w:eastAsia="SimSun"/>
        </w:rPr>
        <w:t>.</w:t>
      </w:r>
      <w:r w:rsidR="00A562F6">
        <w:rPr>
          <w:rFonts w:eastAsia="SimSun"/>
        </w:rPr>
        <w:t xml:space="preserve"> </w:t>
      </w:r>
      <w:r w:rsidR="004F778F">
        <w:rPr>
          <w:rFonts w:eastAsia="SimSun"/>
        </w:rPr>
        <w:t xml:space="preserve">The service guarantee </w:t>
      </w:r>
      <w:r w:rsidR="00B43113">
        <w:rPr>
          <w:rFonts w:eastAsia="SimSun"/>
        </w:rPr>
        <w:t xml:space="preserve">connects PSE’s actions directly to customers that suffer lengthy outages by paying </w:t>
      </w:r>
      <w:r w:rsidR="004F778F">
        <w:rPr>
          <w:rFonts w:eastAsia="SimSun"/>
        </w:rPr>
        <w:t>those customers rather than paying a</w:t>
      </w:r>
      <w:r w:rsidR="00B43113">
        <w:rPr>
          <w:rFonts w:eastAsia="SimSun"/>
        </w:rPr>
        <w:t xml:space="preserve"> penalty that does</w:t>
      </w:r>
      <w:r w:rsidR="004335DA">
        <w:rPr>
          <w:rFonts w:eastAsia="SimSun"/>
        </w:rPr>
        <w:t xml:space="preserve"> not</w:t>
      </w:r>
      <w:r w:rsidR="00B43113">
        <w:rPr>
          <w:rFonts w:eastAsia="SimSun"/>
        </w:rPr>
        <w:t xml:space="preserve"> directly benefit custome</w:t>
      </w:r>
      <w:r w:rsidR="002E15BA">
        <w:rPr>
          <w:rFonts w:eastAsia="SimSun"/>
          <w:color w:val="000000" w:themeColor="text1"/>
        </w:rPr>
        <w:t>rs.</w:t>
      </w:r>
      <w:r w:rsidR="00A562F6">
        <w:rPr>
          <w:rFonts w:eastAsia="SimSun"/>
          <w:color w:val="000000" w:themeColor="text1"/>
        </w:rPr>
        <w:t xml:space="preserve"> </w:t>
      </w:r>
      <w:r w:rsidR="002E15BA">
        <w:rPr>
          <w:rFonts w:eastAsia="SimSun"/>
          <w:color w:val="000000" w:themeColor="text1"/>
        </w:rPr>
        <w:t xml:space="preserve">Ms. Alexander </w:t>
      </w:r>
      <w:r w:rsidR="0037514A">
        <w:rPr>
          <w:rFonts w:eastAsia="SimSun"/>
          <w:color w:val="000000" w:themeColor="text1"/>
        </w:rPr>
        <w:t>fails to mention that there was an agreement</w:t>
      </w:r>
      <w:r w:rsidR="003477C6">
        <w:rPr>
          <w:rFonts w:eastAsia="SimSun"/>
          <w:color w:val="000000" w:themeColor="text1"/>
        </w:rPr>
        <w:t xml:space="preserve"> to address</w:t>
      </w:r>
      <w:r w:rsidR="0037514A">
        <w:rPr>
          <w:rFonts w:eastAsia="SimSun"/>
          <w:color w:val="000000" w:themeColor="text1"/>
        </w:rPr>
        <w:t xml:space="preserve"> and reevaluate</w:t>
      </w:r>
      <w:r w:rsidR="003477C6">
        <w:rPr>
          <w:rFonts w:eastAsia="SimSun"/>
          <w:color w:val="000000" w:themeColor="text1"/>
        </w:rPr>
        <w:t xml:space="preserve"> the </w:t>
      </w:r>
      <w:r w:rsidR="0037514A">
        <w:rPr>
          <w:rFonts w:eastAsia="SimSun"/>
          <w:color w:val="000000" w:themeColor="text1"/>
        </w:rPr>
        <w:t>SQI No. 3 benchmark following</w:t>
      </w:r>
      <w:r w:rsidR="003477C6">
        <w:rPr>
          <w:rFonts w:eastAsia="SimSun"/>
          <w:color w:val="000000" w:themeColor="text1"/>
        </w:rPr>
        <w:t xml:space="preserve"> implementation of </w:t>
      </w:r>
      <w:r w:rsidR="00321454">
        <w:rPr>
          <w:rFonts w:eastAsia="SimSun"/>
          <w:color w:val="000000" w:themeColor="text1"/>
        </w:rPr>
        <w:t>the Outage Management System (“</w:t>
      </w:r>
      <w:r w:rsidR="003477C6">
        <w:rPr>
          <w:rFonts w:eastAsia="SimSun"/>
          <w:color w:val="000000" w:themeColor="text1"/>
        </w:rPr>
        <w:t>OMS</w:t>
      </w:r>
      <w:r w:rsidR="00321454">
        <w:rPr>
          <w:rFonts w:eastAsia="SimSun"/>
          <w:color w:val="000000" w:themeColor="text1"/>
        </w:rPr>
        <w:t>”)</w:t>
      </w:r>
      <w:r w:rsidR="008E2048">
        <w:rPr>
          <w:rFonts w:eastAsia="SimSun"/>
          <w:color w:val="000000" w:themeColor="text1"/>
        </w:rPr>
        <w:t>.</w:t>
      </w:r>
    </w:p>
    <w:p w14:paraId="654800DD" w14:textId="67B79178" w:rsidR="00B16174" w:rsidRPr="00815782" w:rsidRDefault="00B16174" w:rsidP="00A253E1">
      <w:pPr>
        <w:pStyle w:val="question"/>
      </w:pPr>
      <w:r w:rsidRPr="00815782">
        <w:t>Q.</w:t>
      </w:r>
      <w:r w:rsidRPr="00815782">
        <w:tab/>
      </w:r>
      <w:r>
        <w:t xml:space="preserve">Have any of the </w:t>
      </w:r>
      <w:r w:rsidRPr="00A253E1">
        <w:t>interveners</w:t>
      </w:r>
      <w:r>
        <w:t xml:space="preserve"> objected to PSE investing in reliability</w:t>
      </w:r>
      <w:r w:rsidRPr="00815782">
        <w:t>?</w:t>
      </w:r>
    </w:p>
    <w:p w14:paraId="654800DE" w14:textId="6DA3B18A" w:rsidR="00B16174" w:rsidRDefault="00B16174" w:rsidP="00A253E1">
      <w:pPr>
        <w:pStyle w:val="Answer0"/>
        <w:rPr>
          <w:rFonts w:eastAsia="SimSun"/>
        </w:rPr>
      </w:pPr>
      <w:r w:rsidRPr="00B16174">
        <w:rPr>
          <w:rFonts w:eastAsia="SimSun"/>
        </w:rPr>
        <w:t>A.</w:t>
      </w:r>
      <w:r w:rsidRPr="00B16174">
        <w:rPr>
          <w:rFonts w:eastAsia="SimSun"/>
        </w:rPr>
        <w:tab/>
      </w:r>
      <w:r w:rsidR="00A14776">
        <w:rPr>
          <w:rFonts w:eastAsia="SimSun"/>
        </w:rPr>
        <w:t xml:space="preserve">No </w:t>
      </w:r>
      <w:r w:rsidR="004F778F">
        <w:rPr>
          <w:rFonts w:eastAsia="SimSun"/>
        </w:rPr>
        <w:t xml:space="preserve">intervenors </w:t>
      </w:r>
      <w:r w:rsidR="00A14776">
        <w:rPr>
          <w:rFonts w:eastAsia="SimSun"/>
        </w:rPr>
        <w:t>objected t</w:t>
      </w:r>
      <w:r w:rsidR="00AC2DA5">
        <w:rPr>
          <w:rFonts w:eastAsia="SimSun"/>
        </w:rPr>
        <w:t>o PSE investing in reliability.</w:t>
      </w:r>
      <w:r w:rsidR="00A562F6">
        <w:rPr>
          <w:rFonts w:eastAsia="SimSun"/>
        </w:rPr>
        <w:t xml:space="preserve"> </w:t>
      </w:r>
      <w:r w:rsidR="004F778F">
        <w:rPr>
          <w:rFonts w:eastAsia="SimSun"/>
        </w:rPr>
        <w:t xml:space="preserve">In fact, </w:t>
      </w:r>
      <w:r w:rsidR="004F778F" w:rsidRPr="00B16174">
        <w:rPr>
          <w:rFonts w:eastAsia="SimSun"/>
        </w:rPr>
        <w:t>Mr. Brosch agrees that PSE has prudently invested in needed reliability investments.</w:t>
      </w:r>
      <w:r w:rsidR="00A562F6">
        <w:rPr>
          <w:rFonts w:eastAsia="SimSun"/>
        </w:rPr>
        <w:t xml:space="preserve"> </w:t>
      </w:r>
      <w:r w:rsidRPr="00B16174">
        <w:rPr>
          <w:rFonts w:eastAsia="SimSun"/>
        </w:rPr>
        <w:t>The concern</w:t>
      </w:r>
      <w:r w:rsidR="004F778F">
        <w:rPr>
          <w:rFonts w:eastAsia="SimSun"/>
        </w:rPr>
        <w:t>s</w:t>
      </w:r>
      <w:r w:rsidRPr="00B16174">
        <w:rPr>
          <w:rFonts w:eastAsia="SimSun"/>
        </w:rPr>
        <w:t xml:space="preserve"> expressed </w:t>
      </w:r>
      <w:r w:rsidR="004F778F">
        <w:rPr>
          <w:rFonts w:eastAsia="SimSun"/>
        </w:rPr>
        <w:t xml:space="preserve">by </w:t>
      </w:r>
      <w:r w:rsidR="002851F4">
        <w:rPr>
          <w:rFonts w:eastAsia="SimSun"/>
        </w:rPr>
        <w:t xml:space="preserve">the </w:t>
      </w:r>
      <w:r w:rsidR="004F778F">
        <w:rPr>
          <w:rFonts w:eastAsia="SimSun"/>
        </w:rPr>
        <w:t>parties focus primarily on</w:t>
      </w:r>
      <w:r w:rsidRPr="00B16174">
        <w:rPr>
          <w:rFonts w:eastAsia="SimSun"/>
        </w:rPr>
        <w:t xml:space="preserve"> the regulatory mechanism suggested </w:t>
      </w:r>
      <w:r w:rsidRPr="00B16174">
        <w:rPr>
          <w:rFonts w:eastAsia="SimSun"/>
        </w:rPr>
        <w:lastRenderedPageBreak/>
        <w:t>through the ECRM</w:t>
      </w:r>
      <w:r w:rsidR="00A14776">
        <w:rPr>
          <w:rFonts w:eastAsia="SimSun"/>
        </w:rPr>
        <w:t xml:space="preserve"> and the </w:t>
      </w:r>
      <w:r w:rsidR="004F778F">
        <w:rPr>
          <w:rFonts w:eastAsia="SimSun"/>
        </w:rPr>
        <w:t>methodology for</w:t>
      </w:r>
      <w:r w:rsidR="00A14776">
        <w:rPr>
          <w:rFonts w:eastAsia="SimSun"/>
        </w:rPr>
        <w:t xml:space="preserve"> reviewing </w:t>
      </w:r>
      <w:r w:rsidR="004F778F">
        <w:rPr>
          <w:rFonts w:eastAsia="SimSun"/>
        </w:rPr>
        <w:t xml:space="preserve">the </w:t>
      </w:r>
      <w:r w:rsidR="00A14776">
        <w:rPr>
          <w:rFonts w:eastAsia="SimSun"/>
        </w:rPr>
        <w:t>investment</w:t>
      </w:r>
      <w:r w:rsidR="004F778F">
        <w:rPr>
          <w:rFonts w:eastAsia="SimSun"/>
        </w:rPr>
        <w:t>s proposed and completed.</w:t>
      </w:r>
      <w:r w:rsidR="00A562F6">
        <w:rPr>
          <w:rFonts w:eastAsia="SimSun"/>
        </w:rPr>
        <w:t xml:space="preserve"> </w:t>
      </w:r>
      <w:r w:rsidRPr="00B16174">
        <w:rPr>
          <w:rFonts w:eastAsia="SimSun"/>
        </w:rPr>
        <w:t xml:space="preserve"> </w:t>
      </w:r>
    </w:p>
    <w:p w14:paraId="749633EC" w14:textId="46906AA7" w:rsidR="00AC6C80" w:rsidRPr="00AC6C80" w:rsidRDefault="00AC6C80" w:rsidP="00A253E1">
      <w:pPr>
        <w:pStyle w:val="question"/>
        <w:rPr>
          <w:sz w:val="23"/>
          <w:szCs w:val="23"/>
        </w:rPr>
      </w:pPr>
      <w:r w:rsidRPr="00AC6C80">
        <w:rPr>
          <w:sz w:val="23"/>
          <w:szCs w:val="23"/>
        </w:rPr>
        <w:t>Q.</w:t>
      </w:r>
      <w:r w:rsidRPr="00AC6C80">
        <w:rPr>
          <w:sz w:val="23"/>
          <w:szCs w:val="23"/>
        </w:rPr>
        <w:tab/>
        <w:t xml:space="preserve">Has PSE demonstrated </w:t>
      </w:r>
      <w:r w:rsidRPr="00AC6C80">
        <w:t xml:space="preserve">the </w:t>
      </w:r>
      <w:r w:rsidRPr="00A253E1">
        <w:t>need</w:t>
      </w:r>
      <w:r w:rsidRPr="00AC6C80">
        <w:t xml:space="preserve"> for such investments, and the benefit to its customers of its increased level of capital investments</w:t>
      </w:r>
      <w:r w:rsidR="002E15BA">
        <w:t>?</w:t>
      </w:r>
    </w:p>
    <w:p w14:paraId="654800E0" w14:textId="13A7A715" w:rsidR="00BB0017" w:rsidRDefault="002E15BA" w:rsidP="00A253E1">
      <w:pPr>
        <w:pStyle w:val="Answer0"/>
        <w:rPr>
          <w:rFonts w:eastAsia="SimSun"/>
        </w:rPr>
      </w:pPr>
      <w:r>
        <w:t>A.</w:t>
      </w:r>
      <w:r>
        <w:tab/>
        <w:t>Yes.</w:t>
      </w:r>
      <w:r w:rsidR="00A562F6">
        <w:t xml:space="preserve"> </w:t>
      </w:r>
      <w:r w:rsidR="00BB0017" w:rsidRPr="00BB0017">
        <w:rPr>
          <w:rFonts w:eastAsia="SimSun"/>
        </w:rPr>
        <w:t>PSE acknowledges</w:t>
      </w:r>
      <w:r>
        <w:rPr>
          <w:rFonts w:eastAsia="SimSun"/>
        </w:rPr>
        <w:t xml:space="preserve"> and </w:t>
      </w:r>
      <w:r w:rsidR="004F778F">
        <w:rPr>
          <w:rFonts w:eastAsia="SimSun"/>
        </w:rPr>
        <w:t>has demonstrated</w:t>
      </w:r>
      <w:r w:rsidR="004F778F" w:rsidRPr="00BB0017">
        <w:rPr>
          <w:rFonts w:eastAsia="SimSun"/>
        </w:rPr>
        <w:t xml:space="preserve"> </w:t>
      </w:r>
      <w:r w:rsidR="004F778F">
        <w:rPr>
          <w:rFonts w:eastAsia="SimSun"/>
        </w:rPr>
        <w:t xml:space="preserve">that </w:t>
      </w:r>
      <w:r w:rsidR="00BB0017" w:rsidRPr="00BB0017">
        <w:rPr>
          <w:rFonts w:eastAsia="SimSun"/>
        </w:rPr>
        <w:t xml:space="preserve">it has </w:t>
      </w:r>
      <w:r w:rsidR="00AC2DA5">
        <w:rPr>
          <w:rFonts w:eastAsia="SimSun"/>
        </w:rPr>
        <w:t xml:space="preserve">been </w:t>
      </w:r>
      <w:r w:rsidR="00233BF1">
        <w:rPr>
          <w:rFonts w:eastAsia="SimSun"/>
        </w:rPr>
        <w:t>generally below the performance of</w:t>
      </w:r>
      <w:r w:rsidR="00BB0017" w:rsidRPr="00BB0017">
        <w:rPr>
          <w:rFonts w:eastAsia="SimSun"/>
        </w:rPr>
        <w:t xml:space="preserve"> its peers </w:t>
      </w:r>
      <w:r w:rsidR="00233BF1">
        <w:rPr>
          <w:rFonts w:eastAsia="SimSun"/>
        </w:rPr>
        <w:t xml:space="preserve">in reliability </w:t>
      </w:r>
      <w:r w:rsidR="006A6555">
        <w:rPr>
          <w:rFonts w:eastAsia="SimSun"/>
        </w:rPr>
        <w:t xml:space="preserve">due in large part to the challenges that come with heavily treed terrain, </w:t>
      </w:r>
      <w:r w:rsidR="00BB0017" w:rsidRPr="00BB0017">
        <w:rPr>
          <w:rFonts w:eastAsia="SimSun"/>
        </w:rPr>
        <w:t>and that there is a trend upwards for tree and vegetation caused outages and equipment failure</w:t>
      </w:r>
      <w:r w:rsidR="00A92476">
        <w:rPr>
          <w:rFonts w:eastAsia="SimSun"/>
        </w:rPr>
        <w:t>,</w:t>
      </w:r>
      <w:r w:rsidR="00BB0017" w:rsidRPr="00BB0017">
        <w:rPr>
          <w:rFonts w:eastAsia="SimSun"/>
        </w:rPr>
        <w:t xml:space="preserve"> which is unacceptable.</w:t>
      </w:r>
      <w:r w:rsidR="00AC2DA5">
        <w:rPr>
          <w:rStyle w:val="FootnoteReference"/>
          <w:rFonts w:eastAsia="SimSun"/>
        </w:rPr>
        <w:footnoteReference w:id="4"/>
      </w:r>
      <w:r w:rsidR="00A562F6">
        <w:rPr>
          <w:rFonts w:eastAsia="SimSun"/>
        </w:rPr>
        <w:t xml:space="preserve"> </w:t>
      </w:r>
      <w:r w:rsidR="00A17564">
        <w:rPr>
          <w:rFonts w:eastAsia="SimSun"/>
        </w:rPr>
        <w:t>Indeed,</w:t>
      </w:r>
      <w:r w:rsidR="00697619">
        <w:rPr>
          <w:rFonts w:eastAsia="SimSun"/>
        </w:rPr>
        <w:t xml:space="preserve"> Staff’s recent preliminary conclusions from their econometric study would suggest PSE’s reliability performance should be </w:t>
      </w:r>
      <w:r w:rsidR="00233BF1">
        <w:rPr>
          <w:rFonts w:eastAsia="SimSun"/>
        </w:rPr>
        <w:t>better than it is</w:t>
      </w:r>
      <w:r w:rsidR="00A92476">
        <w:rPr>
          <w:rFonts w:eastAsia="SimSun"/>
        </w:rPr>
        <w:t>,</w:t>
      </w:r>
      <w:r w:rsidR="00697619">
        <w:rPr>
          <w:rStyle w:val="FootnoteReference"/>
          <w:rFonts w:eastAsia="SimSun"/>
        </w:rPr>
        <w:footnoteReference w:id="5"/>
      </w:r>
      <w:r w:rsidR="00697619">
        <w:rPr>
          <w:rFonts w:eastAsia="SimSun"/>
        </w:rPr>
        <w:t xml:space="preserve"> which </w:t>
      </w:r>
      <w:r w:rsidR="00A92476">
        <w:rPr>
          <w:rFonts w:eastAsia="SimSun"/>
        </w:rPr>
        <w:t>supports</w:t>
      </w:r>
      <w:r w:rsidR="00697619">
        <w:rPr>
          <w:rFonts w:eastAsia="SimSun"/>
        </w:rPr>
        <w:t xml:space="preserve"> more investment </w:t>
      </w:r>
      <w:r w:rsidR="00A92476">
        <w:rPr>
          <w:rFonts w:eastAsia="SimSun"/>
        </w:rPr>
        <w:t xml:space="preserve">in these areas </w:t>
      </w:r>
      <w:r w:rsidR="00233BF1">
        <w:rPr>
          <w:rFonts w:eastAsia="SimSun"/>
        </w:rPr>
        <w:t>where</w:t>
      </w:r>
      <w:r w:rsidR="00A92476">
        <w:rPr>
          <w:rFonts w:eastAsia="SimSun"/>
        </w:rPr>
        <w:t xml:space="preserve"> reliability has </w:t>
      </w:r>
      <w:r w:rsidR="00233BF1">
        <w:rPr>
          <w:rFonts w:eastAsia="SimSun"/>
        </w:rPr>
        <w:t>been challenging</w:t>
      </w:r>
      <w:r w:rsidR="00697619">
        <w:rPr>
          <w:rFonts w:eastAsia="SimSun"/>
        </w:rPr>
        <w:t>.</w:t>
      </w:r>
      <w:r w:rsidR="00A562F6">
        <w:rPr>
          <w:rFonts w:eastAsia="SimSun"/>
        </w:rPr>
        <w:t xml:space="preserve"> </w:t>
      </w:r>
      <w:r w:rsidR="00697619">
        <w:rPr>
          <w:rFonts w:eastAsia="SimSun"/>
        </w:rPr>
        <w:t>P</w:t>
      </w:r>
      <w:r>
        <w:rPr>
          <w:rFonts w:eastAsia="SimSun"/>
        </w:rPr>
        <w:t xml:space="preserve">SE has provided a detailed plan </w:t>
      </w:r>
      <w:r w:rsidR="00720E79">
        <w:rPr>
          <w:rFonts w:eastAsia="SimSun"/>
        </w:rPr>
        <w:t>that addresses</w:t>
      </w:r>
      <w:r>
        <w:rPr>
          <w:rFonts w:eastAsia="SimSun"/>
        </w:rPr>
        <w:t xml:space="preserve"> </w:t>
      </w:r>
      <w:r w:rsidR="00A92476">
        <w:rPr>
          <w:rFonts w:eastAsia="SimSun"/>
        </w:rPr>
        <w:t xml:space="preserve">prioritization of </w:t>
      </w:r>
      <w:r>
        <w:rPr>
          <w:rFonts w:eastAsia="SimSun"/>
        </w:rPr>
        <w:t>work, the specific projects and areas of focus</w:t>
      </w:r>
      <w:r w:rsidR="00720E79">
        <w:rPr>
          <w:rFonts w:eastAsia="SimSun"/>
        </w:rPr>
        <w:t>.</w:t>
      </w:r>
      <w:r w:rsidR="00A562F6">
        <w:rPr>
          <w:rFonts w:eastAsia="SimSun"/>
        </w:rPr>
        <w:t xml:space="preserve"> </w:t>
      </w:r>
      <w:r w:rsidR="00720E79">
        <w:rPr>
          <w:rFonts w:eastAsia="SimSun"/>
        </w:rPr>
        <w:t>PSE has also demonstrated</w:t>
      </w:r>
      <w:r>
        <w:rPr>
          <w:rFonts w:eastAsia="SimSun"/>
        </w:rPr>
        <w:t xml:space="preserve"> the overall benefits to its customers of its increased level of capital investment.</w:t>
      </w:r>
      <w:r w:rsidR="00A562F6">
        <w:rPr>
          <w:rFonts w:eastAsia="SimSun"/>
        </w:rPr>
        <w:t xml:space="preserve"> </w:t>
      </w:r>
      <w:r w:rsidR="008F25BA">
        <w:rPr>
          <w:rFonts w:eastAsia="SimSun"/>
        </w:rPr>
        <w:t>The E</w:t>
      </w:r>
      <w:r w:rsidR="00003677">
        <w:rPr>
          <w:rFonts w:eastAsia="SimSun"/>
        </w:rPr>
        <w:t>RP</w:t>
      </w:r>
      <w:r w:rsidR="008F25BA">
        <w:rPr>
          <w:rFonts w:eastAsia="SimSun"/>
        </w:rPr>
        <w:t xml:space="preserve"> and ECRM will aid PSE in addressing the reliability</w:t>
      </w:r>
      <w:r w:rsidR="00AC2DA5">
        <w:rPr>
          <w:rFonts w:eastAsia="SimSun"/>
        </w:rPr>
        <w:t xml:space="preserve"> for customers who live in less populated and more treed areas and customers that are served by HMW direct bury cable</w:t>
      </w:r>
      <w:r w:rsidR="008F25BA">
        <w:rPr>
          <w:rFonts w:eastAsia="SimSun"/>
        </w:rPr>
        <w:t xml:space="preserve"> in a more proactive manner.</w:t>
      </w:r>
    </w:p>
    <w:p w14:paraId="654800E1" w14:textId="717A466E" w:rsidR="005622B2" w:rsidRDefault="005622B2" w:rsidP="00A253E1">
      <w:pPr>
        <w:pStyle w:val="question"/>
      </w:pPr>
      <w:r>
        <w:lastRenderedPageBreak/>
        <w:t>Q.</w:t>
      </w:r>
      <w:r>
        <w:tab/>
        <w:t xml:space="preserve">How does PSE know </w:t>
      </w:r>
      <w:r w:rsidRPr="00A253E1">
        <w:t>customers</w:t>
      </w:r>
      <w:r>
        <w:t xml:space="preserve"> want better reliability</w:t>
      </w:r>
      <w:r w:rsidR="00D607E8">
        <w:t xml:space="preserve"> and this is in the public interest</w:t>
      </w:r>
      <w:r>
        <w:t>?</w:t>
      </w:r>
    </w:p>
    <w:p w14:paraId="095586E1" w14:textId="5027EEB1" w:rsidR="0037514A" w:rsidRDefault="005622B2" w:rsidP="00A253E1">
      <w:pPr>
        <w:pStyle w:val="Answer0"/>
        <w:rPr>
          <w:rFonts w:eastAsia="SimSun"/>
        </w:rPr>
      </w:pPr>
      <w:r w:rsidRPr="005622B2">
        <w:rPr>
          <w:rFonts w:eastAsia="SimSun"/>
        </w:rPr>
        <w:t>A.</w:t>
      </w:r>
      <w:r w:rsidRPr="005622B2">
        <w:rPr>
          <w:rFonts w:eastAsia="SimSun"/>
        </w:rPr>
        <w:tab/>
      </w:r>
      <w:r w:rsidR="00372905">
        <w:rPr>
          <w:rFonts w:eastAsia="SimSun"/>
        </w:rPr>
        <w:t xml:space="preserve">In addition to the importance </w:t>
      </w:r>
      <w:r w:rsidR="006C39D8">
        <w:rPr>
          <w:rFonts w:eastAsia="SimSun"/>
        </w:rPr>
        <w:t>to our communities, business, schools and hospitals that a</w:t>
      </w:r>
      <w:r w:rsidR="00372905">
        <w:rPr>
          <w:rFonts w:eastAsia="SimSun"/>
        </w:rPr>
        <w:t xml:space="preserve"> reliable and resilient power grid </w:t>
      </w:r>
      <w:r w:rsidR="006C39D8">
        <w:rPr>
          <w:rFonts w:eastAsia="SimSun"/>
        </w:rPr>
        <w:t>provides, PSE hears from customers throughout the year how important reliability is to them and the negative impact that power outages cause them personally</w:t>
      </w:r>
      <w:r w:rsidR="00B857FA">
        <w:rPr>
          <w:rFonts w:eastAsia="SimSun"/>
        </w:rPr>
        <w:t>.</w:t>
      </w:r>
      <w:r w:rsidR="00A562F6">
        <w:rPr>
          <w:rFonts w:eastAsia="SimSun"/>
        </w:rPr>
        <w:t xml:space="preserve"> </w:t>
      </w:r>
      <w:r w:rsidR="00AC2DA5">
        <w:rPr>
          <w:rFonts w:eastAsia="SimSun"/>
        </w:rPr>
        <w:t xml:space="preserve">For example, </w:t>
      </w:r>
      <w:r w:rsidR="0037514A">
        <w:rPr>
          <w:rFonts w:eastAsia="SimSun"/>
        </w:rPr>
        <w:t>one</w:t>
      </w:r>
      <w:r w:rsidR="00780DCB">
        <w:rPr>
          <w:rFonts w:eastAsia="SimSun"/>
        </w:rPr>
        <w:t xml:space="preserve"> cu</w:t>
      </w:r>
      <w:r w:rsidR="002851F4">
        <w:rPr>
          <w:rFonts w:eastAsia="SimSun"/>
        </w:rPr>
        <w:t xml:space="preserve">stomer </w:t>
      </w:r>
      <w:r w:rsidR="0037514A">
        <w:rPr>
          <w:rFonts w:eastAsia="SimSun"/>
        </w:rPr>
        <w:t>on a worst performing circuit submitted a complaint which was submitted to PSE, as follows</w:t>
      </w:r>
      <w:r w:rsidR="002851F4">
        <w:rPr>
          <w:rFonts w:eastAsia="SimSun"/>
        </w:rPr>
        <w:t>:</w:t>
      </w:r>
      <w:r w:rsidR="00A562F6">
        <w:rPr>
          <w:rFonts w:eastAsia="SimSun"/>
        </w:rPr>
        <w:t xml:space="preserve"> </w:t>
      </w:r>
    </w:p>
    <w:p w14:paraId="1430C4A4" w14:textId="406369DC" w:rsidR="00722755" w:rsidRDefault="00A253E1" w:rsidP="00A253E1">
      <w:pPr>
        <w:pStyle w:val="Answer0"/>
        <w:rPr>
          <w:rFonts w:eastAsia="SimSun"/>
        </w:rPr>
      </w:pPr>
      <w:r>
        <w:rPr>
          <w:rFonts w:eastAsia="SimSun"/>
        </w:rPr>
        <w:tab/>
      </w:r>
      <w:r w:rsidR="00780DCB" w:rsidRPr="00780DCB">
        <w:rPr>
          <w:rFonts w:eastAsia="SimSun"/>
        </w:rPr>
        <w:t>The customer said the electric system that serves his community has a high number of outages and needs to be</w:t>
      </w:r>
      <w:r w:rsidR="00780DCB">
        <w:rPr>
          <w:rFonts w:eastAsia="SimSun"/>
        </w:rPr>
        <w:t xml:space="preserve"> replaced or buried underground . . . </w:t>
      </w:r>
      <w:r w:rsidR="00780DCB" w:rsidRPr="00780DCB">
        <w:rPr>
          <w:rFonts w:eastAsia="SimSun"/>
        </w:rPr>
        <w:t>the customer would like the Co. to look at the history over 10 years to see that their community has too many outages.</w:t>
      </w:r>
      <w:r w:rsidR="00A562F6">
        <w:rPr>
          <w:rFonts w:eastAsia="SimSun"/>
        </w:rPr>
        <w:t xml:space="preserve"> </w:t>
      </w:r>
      <w:r w:rsidR="00780DCB" w:rsidRPr="00780DCB">
        <w:rPr>
          <w:rFonts w:eastAsia="SimSun"/>
        </w:rPr>
        <w:t>Customer feels the Co. is spending more money on band-aids and repairs than they would to just upgrade the service.</w:t>
      </w:r>
      <w:r w:rsidR="00A562F6">
        <w:rPr>
          <w:rFonts w:eastAsia="SimSun"/>
        </w:rPr>
        <w:t xml:space="preserve"> </w:t>
      </w:r>
      <w:r w:rsidR="00780DCB" w:rsidRPr="00780DCB">
        <w:rPr>
          <w:rFonts w:eastAsia="SimSun"/>
        </w:rPr>
        <w:t>Customer is frustrated at the number of outages and wants a permanent fix</w:t>
      </w:r>
      <w:r w:rsidR="0037514A">
        <w:rPr>
          <w:rFonts w:eastAsia="SimSun"/>
        </w:rPr>
        <w:t>.</w:t>
      </w:r>
      <w:r w:rsidR="00D047FD">
        <w:rPr>
          <w:rStyle w:val="FootnoteReference"/>
          <w:rFonts w:eastAsia="SimSun"/>
        </w:rPr>
        <w:footnoteReference w:id="6"/>
      </w:r>
    </w:p>
    <w:p w14:paraId="1D21A14A" w14:textId="44DC937E" w:rsidR="008C7521" w:rsidRDefault="00A253E1" w:rsidP="00A253E1">
      <w:pPr>
        <w:pStyle w:val="Answer0"/>
        <w:rPr>
          <w:rFonts w:eastAsia="SimSun"/>
          <w:b/>
        </w:rPr>
      </w:pPr>
      <w:r>
        <w:rPr>
          <w:rFonts w:eastAsia="SimSun"/>
        </w:rPr>
        <w:tab/>
      </w:r>
      <w:r w:rsidR="00780DCB">
        <w:rPr>
          <w:rFonts w:eastAsia="SimSun"/>
        </w:rPr>
        <w:t>I</w:t>
      </w:r>
      <w:r w:rsidR="005A1AB6">
        <w:rPr>
          <w:rFonts w:eastAsia="SimSun"/>
        </w:rPr>
        <w:t>n analyzing the JD Power Electric Residential survey results as of April 2017, the largest factor that separates PSE from the utility with the highest satisfaction rating is power quality and reliability</w:t>
      </w:r>
      <w:r w:rsidR="00003677">
        <w:rPr>
          <w:rFonts w:eastAsia="SimSun"/>
        </w:rPr>
        <w:t>,</w:t>
      </w:r>
      <w:r w:rsidR="005A1AB6">
        <w:rPr>
          <w:rFonts w:eastAsia="SimSun"/>
        </w:rPr>
        <w:t xml:space="preserve"> </w:t>
      </w:r>
      <w:r w:rsidR="00FB1589">
        <w:rPr>
          <w:rFonts w:eastAsia="SimSun"/>
        </w:rPr>
        <w:t>which is about</w:t>
      </w:r>
      <w:r w:rsidR="002851F4">
        <w:t xml:space="preserve"> 28% of customers’</w:t>
      </w:r>
      <w:r w:rsidR="00FB1589">
        <w:t xml:space="preserve"> overall satisfaction with their utility.</w:t>
      </w:r>
      <w:r w:rsidR="00A562F6">
        <w:t xml:space="preserve"> </w:t>
      </w:r>
      <w:r w:rsidR="00FB1589">
        <w:t xml:space="preserve">Additionally, </w:t>
      </w:r>
      <w:r w:rsidR="00A17564">
        <w:t xml:space="preserve">the </w:t>
      </w:r>
      <w:r w:rsidR="00FB1589">
        <w:t xml:space="preserve">J.D. Power </w:t>
      </w:r>
      <w:r w:rsidR="00A17564">
        <w:t xml:space="preserve">study </w:t>
      </w:r>
      <w:r w:rsidR="00FB1589">
        <w:t>shows that when customers perceive that a rate increase is being driven by investments in infrastructure, reliability, and power supply, price satisfaction increases</w:t>
      </w:r>
      <w:r w:rsidR="00A17564">
        <w:t>.</w:t>
      </w:r>
      <w:r w:rsidR="00A562F6">
        <w:rPr>
          <w:rFonts w:eastAsia="SimSun"/>
        </w:rPr>
        <w:t xml:space="preserve"> </w:t>
      </w:r>
      <w:r w:rsidR="005A1AB6">
        <w:rPr>
          <w:rFonts w:eastAsia="SimSun"/>
        </w:rPr>
        <w:t>Finally</w:t>
      </w:r>
      <w:r w:rsidR="009C38F6">
        <w:rPr>
          <w:rFonts w:eastAsia="SimSun"/>
        </w:rPr>
        <w:t xml:space="preserve">, </w:t>
      </w:r>
      <w:r w:rsidR="00BD1B95">
        <w:rPr>
          <w:rFonts w:eastAsia="SimSun"/>
        </w:rPr>
        <w:t>in</w:t>
      </w:r>
      <w:r w:rsidR="005A1AB6">
        <w:rPr>
          <w:rFonts w:eastAsia="SimSun"/>
        </w:rPr>
        <w:t xml:space="preserve"> </w:t>
      </w:r>
      <w:r w:rsidR="009C38F6">
        <w:rPr>
          <w:rFonts w:eastAsia="SimSun"/>
        </w:rPr>
        <w:t>2015</w:t>
      </w:r>
      <w:r w:rsidR="00BD1B95">
        <w:rPr>
          <w:rFonts w:eastAsia="SimSun"/>
        </w:rPr>
        <w:t>, the</w:t>
      </w:r>
      <w:r w:rsidR="009C38F6">
        <w:rPr>
          <w:rFonts w:eastAsia="SimSun"/>
        </w:rPr>
        <w:t xml:space="preserve"> </w:t>
      </w:r>
      <w:r w:rsidR="005A1AB6">
        <w:rPr>
          <w:rFonts w:eastAsia="SimSun"/>
        </w:rPr>
        <w:t>Lawrence Berkley National Laboratory (“LB</w:t>
      </w:r>
      <w:r w:rsidR="008D29DB">
        <w:rPr>
          <w:rFonts w:eastAsia="SimSun"/>
        </w:rPr>
        <w:t>N</w:t>
      </w:r>
      <w:r w:rsidR="005A1AB6">
        <w:rPr>
          <w:rFonts w:eastAsia="SimSun"/>
        </w:rPr>
        <w:t>L”)</w:t>
      </w:r>
      <w:r w:rsidR="00BD1B95">
        <w:rPr>
          <w:rFonts w:eastAsia="SimSun"/>
        </w:rPr>
        <w:t xml:space="preserve">, </w:t>
      </w:r>
      <w:r w:rsidR="00BD1B95" w:rsidRPr="00BD1B95">
        <w:rPr>
          <w:rFonts w:eastAsia="SimSun"/>
        </w:rPr>
        <w:t xml:space="preserve">the leader in </w:t>
      </w:r>
      <w:r w:rsidR="00BD1B95" w:rsidRPr="00BD1B95">
        <w:rPr>
          <w:rFonts w:eastAsia="SimSun"/>
        </w:rPr>
        <w:lastRenderedPageBreak/>
        <w:t xml:space="preserve">developing the framework and analysis for estimating the value of service for electric utility </w:t>
      </w:r>
      <w:r w:rsidR="00BD1B95">
        <w:rPr>
          <w:rFonts w:eastAsia="SimSun"/>
        </w:rPr>
        <w:t>customers in the United States, released its</w:t>
      </w:r>
      <w:r w:rsidR="00BD1B95" w:rsidRPr="00BD1B95">
        <w:rPr>
          <w:rFonts w:eastAsia="SimSun"/>
        </w:rPr>
        <w:t xml:space="preserve"> </w:t>
      </w:r>
      <w:r w:rsidR="009C38F6">
        <w:rPr>
          <w:rFonts w:eastAsia="SimSun"/>
        </w:rPr>
        <w:t>Updated Value of Service Reliability for Electric Utility Customers in the United States report</w:t>
      </w:r>
      <w:r w:rsidR="00BD1B95">
        <w:rPr>
          <w:rFonts w:eastAsia="SimSun"/>
        </w:rPr>
        <w:t>,</w:t>
      </w:r>
      <w:r w:rsidR="009C38F6">
        <w:rPr>
          <w:rFonts w:eastAsia="SimSun"/>
        </w:rPr>
        <w:t xml:space="preserve"> </w:t>
      </w:r>
      <w:r w:rsidR="00BD1B95">
        <w:rPr>
          <w:rFonts w:eastAsia="SimSun"/>
        </w:rPr>
        <w:t xml:space="preserve">which </w:t>
      </w:r>
      <w:r w:rsidR="009C38F6">
        <w:rPr>
          <w:rFonts w:eastAsia="SimSun"/>
        </w:rPr>
        <w:t>provides insight into the growing value that electric customers</w:t>
      </w:r>
      <w:r w:rsidR="00816B19">
        <w:rPr>
          <w:rFonts w:eastAsia="SimSun"/>
        </w:rPr>
        <w:t xml:space="preserve"> </w:t>
      </w:r>
      <w:r w:rsidR="009C38F6">
        <w:rPr>
          <w:rFonts w:eastAsia="SimSun"/>
        </w:rPr>
        <w:t>place on reliable power</w:t>
      </w:r>
      <w:r w:rsidR="00816B19">
        <w:rPr>
          <w:rFonts w:eastAsia="SimSun"/>
        </w:rPr>
        <w:t xml:space="preserve"> due to the costs they incur as a result of outages</w:t>
      </w:r>
      <w:r w:rsidR="00B857FA">
        <w:rPr>
          <w:rFonts w:eastAsia="SimSun"/>
        </w:rPr>
        <w:t>.</w:t>
      </w:r>
      <w:r w:rsidR="00850340">
        <w:rPr>
          <w:rStyle w:val="FootnoteReference"/>
          <w:rFonts w:eastAsia="SimSun"/>
        </w:rPr>
        <w:footnoteReference w:id="7"/>
      </w:r>
      <w:r w:rsidR="00A562F6">
        <w:rPr>
          <w:rFonts w:eastAsia="SimSun"/>
        </w:rPr>
        <w:t xml:space="preserve"> </w:t>
      </w:r>
      <w:r w:rsidR="00CA1122">
        <w:rPr>
          <w:rFonts w:eastAsia="SimSun"/>
        </w:rPr>
        <w:t>This can be for an array of reasons, such as loss of productivity for those who work at home, or the inability to efficiently use household devices or appliances requiring power.</w:t>
      </w:r>
      <w:r w:rsidR="00A562F6">
        <w:rPr>
          <w:rFonts w:eastAsia="SimSun"/>
        </w:rPr>
        <w:t xml:space="preserve"> </w:t>
      </w:r>
      <w:r w:rsidR="00BD1B95">
        <w:rPr>
          <w:rFonts w:eastAsia="SimSun"/>
        </w:rPr>
        <w:t xml:space="preserve">For example, </w:t>
      </w:r>
      <w:r w:rsidR="008D29DB">
        <w:rPr>
          <w:rFonts w:eastAsia="SimSun"/>
        </w:rPr>
        <w:t xml:space="preserve">according to LBNL, </w:t>
      </w:r>
      <w:r w:rsidR="003612F4">
        <w:rPr>
          <w:rFonts w:eastAsia="SimSun"/>
        </w:rPr>
        <w:t>in 2014, the estimated cost for a customer interruption has increased 54% since 2009</w:t>
      </w:r>
      <w:r w:rsidR="00BD1B95">
        <w:rPr>
          <w:rFonts w:eastAsia="SimSun"/>
        </w:rPr>
        <w:t>.</w:t>
      </w:r>
      <w:r w:rsidR="00CE2B5F">
        <w:rPr>
          <w:rStyle w:val="FootnoteReference"/>
          <w:rFonts w:eastAsia="SimSun"/>
        </w:rPr>
        <w:footnoteReference w:id="8"/>
      </w:r>
      <w:r w:rsidR="00A562F6">
        <w:rPr>
          <w:rFonts w:eastAsia="SimSun"/>
        </w:rPr>
        <w:t xml:space="preserve"> </w:t>
      </w:r>
      <w:r w:rsidR="00BD1B95">
        <w:rPr>
          <w:rFonts w:eastAsia="SimSun"/>
        </w:rPr>
        <w:t>Considering customer rates along with the economic impact of lower than desired reliability is important.</w:t>
      </w:r>
      <w:r w:rsidR="00A562F6">
        <w:rPr>
          <w:rFonts w:eastAsia="SimSun"/>
        </w:rPr>
        <w:t xml:space="preserve"> </w:t>
      </w:r>
      <w:r w:rsidR="00BD1B95">
        <w:rPr>
          <w:rFonts w:eastAsia="SimSun"/>
        </w:rPr>
        <w:t>T</w:t>
      </w:r>
      <w:r w:rsidR="008C7521" w:rsidRPr="004D3B41">
        <w:rPr>
          <w:rFonts w:eastAsia="SimSun"/>
        </w:rPr>
        <w:t xml:space="preserve">he existence of reliability metrics, nationwide surveys to measure customer perceptions </w:t>
      </w:r>
      <w:r w:rsidR="008C7521">
        <w:rPr>
          <w:rFonts w:eastAsia="SimSun"/>
        </w:rPr>
        <w:t xml:space="preserve">of reliability </w:t>
      </w:r>
      <w:r w:rsidR="008C7521" w:rsidRPr="004D3B41">
        <w:rPr>
          <w:rFonts w:eastAsia="SimSun"/>
        </w:rPr>
        <w:t xml:space="preserve">such as JD Power Surveys, and the already established </w:t>
      </w:r>
      <w:r w:rsidR="008C7521">
        <w:rPr>
          <w:rFonts w:eastAsia="SimSun"/>
        </w:rPr>
        <w:t>objectives</w:t>
      </w:r>
      <w:r w:rsidR="008C7521" w:rsidRPr="004D3B41">
        <w:rPr>
          <w:rFonts w:eastAsia="SimSun"/>
        </w:rPr>
        <w:t xml:space="preserve"> set by Resilient Washington and the Presidential Quadrennial Energy Review</w:t>
      </w:r>
      <w:r w:rsidR="00A65EF6">
        <w:rPr>
          <w:rFonts w:eastAsia="SimSun"/>
        </w:rPr>
        <w:t>,</w:t>
      </w:r>
      <w:r w:rsidR="008C7521" w:rsidRPr="004D3B41">
        <w:rPr>
          <w:rFonts w:eastAsia="SimSun"/>
        </w:rPr>
        <w:t xml:space="preserve"> </w:t>
      </w:r>
      <w:r w:rsidR="008C7521">
        <w:rPr>
          <w:rFonts w:eastAsia="SimSun"/>
        </w:rPr>
        <w:t xml:space="preserve">affirms that reliability and resiliency is in </w:t>
      </w:r>
      <w:r w:rsidR="008C7521" w:rsidRPr="004D3B41">
        <w:rPr>
          <w:rFonts w:eastAsia="SimSun"/>
        </w:rPr>
        <w:t>the public interest.</w:t>
      </w:r>
      <w:r w:rsidR="00A562F6">
        <w:rPr>
          <w:rFonts w:eastAsia="SimSun"/>
        </w:rPr>
        <w:t xml:space="preserve"> </w:t>
      </w:r>
    </w:p>
    <w:p w14:paraId="654800E3" w14:textId="1D911677" w:rsidR="00BB0017" w:rsidRPr="00F80569" w:rsidRDefault="00BB0017" w:rsidP="00A253E1">
      <w:pPr>
        <w:pStyle w:val="question"/>
      </w:pPr>
      <w:r w:rsidRPr="00154D01">
        <w:t>Q.</w:t>
      </w:r>
      <w:r w:rsidRPr="00154D01">
        <w:tab/>
        <w:t xml:space="preserve">Does PSE </w:t>
      </w:r>
      <w:r>
        <w:t xml:space="preserve">have a specific benefit or </w:t>
      </w:r>
      <w:r w:rsidRPr="00A253E1">
        <w:t>target</w:t>
      </w:r>
      <w:r>
        <w:t xml:space="preserve"> improvements in r</w:t>
      </w:r>
      <w:r w:rsidRPr="00F80569">
        <w:t>eliability t</w:t>
      </w:r>
      <w:r w:rsidRPr="00CE2B5F">
        <w:t>h</w:t>
      </w:r>
      <w:r w:rsidR="00003677">
        <w:t xml:space="preserve">e ERP </w:t>
      </w:r>
      <w:r w:rsidRPr="00F80569">
        <w:t>will achieve?</w:t>
      </w:r>
    </w:p>
    <w:p w14:paraId="654800E4" w14:textId="1AB0839B" w:rsidR="0026427B" w:rsidRDefault="00BB0017" w:rsidP="00A253E1">
      <w:pPr>
        <w:pStyle w:val="Answer0"/>
        <w:rPr>
          <w:rFonts w:eastAsia="SimSun"/>
        </w:rPr>
      </w:pPr>
      <w:r>
        <w:rPr>
          <w:rFonts w:eastAsia="SimSun"/>
        </w:rPr>
        <w:t>A.</w:t>
      </w:r>
      <w:r>
        <w:rPr>
          <w:rFonts w:eastAsia="SimSun"/>
        </w:rPr>
        <w:tab/>
        <w:t>Yes.</w:t>
      </w:r>
      <w:r w:rsidR="00A562F6">
        <w:rPr>
          <w:rFonts w:eastAsia="SimSun"/>
        </w:rPr>
        <w:t xml:space="preserve"> </w:t>
      </w:r>
      <w:r w:rsidR="0026427B">
        <w:rPr>
          <w:rFonts w:eastAsia="SimSun"/>
        </w:rPr>
        <w:t xml:space="preserve">As discussed in my </w:t>
      </w:r>
      <w:r w:rsidR="0037514A">
        <w:rPr>
          <w:rFonts w:eastAsia="SimSun"/>
        </w:rPr>
        <w:t>p</w:t>
      </w:r>
      <w:r w:rsidR="0064338A">
        <w:rPr>
          <w:rFonts w:eastAsia="SimSun"/>
        </w:rPr>
        <w:t xml:space="preserve">refiled </w:t>
      </w:r>
      <w:r w:rsidR="0037514A">
        <w:rPr>
          <w:rFonts w:eastAsia="SimSun"/>
        </w:rPr>
        <w:t>d</w:t>
      </w:r>
      <w:r w:rsidR="0064338A">
        <w:rPr>
          <w:rFonts w:eastAsia="SimSun"/>
        </w:rPr>
        <w:t xml:space="preserve">irect </w:t>
      </w:r>
      <w:r w:rsidR="0037514A">
        <w:rPr>
          <w:rFonts w:eastAsia="SimSun"/>
        </w:rPr>
        <w:t>t</w:t>
      </w:r>
      <w:r w:rsidR="0026427B">
        <w:rPr>
          <w:rFonts w:eastAsia="SimSun"/>
        </w:rPr>
        <w:t>estimony, E</w:t>
      </w:r>
      <w:r w:rsidR="00A65EF6">
        <w:rPr>
          <w:rFonts w:eastAsia="SimSun"/>
        </w:rPr>
        <w:t>RP</w:t>
      </w:r>
      <w:r w:rsidR="0026427B">
        <w:rPr>
          <w:rFonts w:eastAsia="SimSun"/>
        </w:rPr>
        <w:t xml:space="preserve"> investments in 2017 and 2018 are expected to eliminate </w:t>
      </w:r>
      <w:r w:rsidR="007C0EEF">
        <w:rPr>
          <w:rFonts w:eastAsia="SimSun"/>
        </w:rPr>
        <w:t>167</w:t>
      </w:r>
      <w:r w:rsidR="0026427B">
        <w:rPr>
          <w:rFonts w:eastAsia="SimSun"/>
        </w:rPr>
        <w:t xml:space="preserve">,000 customer interruptions and </w:t>
      </w:r>
      <w:r w:rsidR="007C0EEF">
        <w:rPr>
          <w:rFonts w:eastAsia="SimSun"/>
        </w:rPr>
        <w:t>14.08</w:t>
      </w:r>
      <w:r w:rsidR="0026427B">
        <w:rPr>
          <w:rFonts w:eastAsia="SimSun"/>
        </w:rPr>
        <w:t xml:space="preserve"> </w:t>
      </w:r>
      <w:r w:rsidR="0026427B">
        <w:rPr>
          <w:rFonts w:eastAsia="SimSun"/>
        </w:rPr>
        <w:lastRenderedPageBreak/>
        <w:t>customer minutes</w:t>
      </w:r>
      <w:r w:rsidR="00B857FA">
        <w:rPr>
          <w:rFonts w:eastAsia="SimSun"/>
        </w:rPr>
        <w:t>.</w:t>
      </w:r>
      <w:r w:rsidR="0064338A">
        <w:rPr>
          <w:rStyle w:val="FootnoteReference"/>
          <w:rFonts w:eastAsia="SimSun"/>
        </w:rPr>
        <w:footnoteReference w:id="9"/>
      </w:r>
      <w:r w:rsidR="00A562F6">
        <w:rPr>
          <w:rFonts w:eastAsia="SimSun"/>
        </w:rPr>
        <w:t xml:space="preserve"> </w:t>
      </w:r>
      <w:r w:rsidR="00B857FA">
        <w:rPr>
          <w:rFonts w:eastAsia="SimSun"/>
        </w:rPr>
        <w:t xml:space="preserve">Investments in </w:t>
      </w:r>
      <w:r w:rsidR="0026427B">
        <w:rPr>
          <w:rFonts w:eastAsia="SimSun"/>
        </w:rPr>
        <w:t xml:space="preserve">2017 and 2018 will benefit customers in over </w:t>
      </w:r>
      <w:r w:rsidR="00744BA6">
        <w:rPr>
          <w:rFonts w:eastAsia="SimSun"/>
        </w:rPr>
        <w:t>75</w:t>
      </w:r>
      <w:r w:rsidR="00350224">
        <w:rPr>
          <w:rFonts w:eastAsia="SimSun"/>
        </w:rPr>
        <w:t xml:space="preserve"> </w:t>
      </w:r>
      <w:r w:rsidR="0026427B">
        <w:rPr>
          <w:rFonts w:eastAsia="SimSun"/>
        </w:rPr>
        <w:t>communities served by PSE</w:t>
      </w:r>
      <w:r w:rsidR="00123E28">
        <w:rPr>
          <w:rFonts w:eastAsia="SimSun"/>
        </w:rPr>
        <w:t>.</w:t>
      </w:r>
      <w:r w:rsidR="00A562F6">
        <w:rPr>
          <w:rFonts w:eastAsia="SimSun"/>
        </w:rPr>
        <w:t xml:space="preserve"> </w:t>
      </w:r>
      <w:r w:rsidR="00123E28">
        <w:rPr>
          <w:szCs w:val="24"/>
          <w:lang w:eastAsia="en-US"/>
        </w:rPr>
        <w:t xml:space="preserve">The </w:t>
      </w:r>
      <w:r w:rsidR="00A65EF6">
        <w:rPr>
          <w:szCs w:val="24"/>
          <w:lang w:eastAsia="en-US"/>
        </w:rPr>
        <w:t>ERP</w:t>
      </w:r>
      <w:r w:rsidR="00123E28">
        <w:rPr>
          <w:szCs w:val="24"/>
          <w:lang w:eastAsia="en-US"/>
        </w:rPr>
        <w:t xml:space="preserve"> will prioritize projects and continue to focus on the respective circuits until there is a </w:t>
      </w:r>
      <w:r w:rsidR="00123E28">
        <w:rPr>
          <w:rFonts w:eastAsia="SimSun"/>
        </w:rPr>
        <w:t>50% improvement</w:t>
      </w:r>
      <w:r w:rsidR="00B11CE4">
        <w:rPr>
          <w:rFonts w:eastAsia="SimSun"/>
        </w:rPr>
        <w:t xml:space="preserve"> in the reliability</w:t>
      </w:r>
      <w:r w:rsidR="00A65EF6">
        <w:rPr>
          <w:rFonts w:eastAsia="SimSun"/>
        </w:rPr>
        <w:t>.</w:t>
      </w:r>
      <w:r w:rsidR="00B11CE4">
        <w:rPr>
          <w:rStyle w:val="FootnoteReference"/>
          <w:rFonts w:eastAsia="SimSun"/>
        </w:rPr>
        <w:footnoteReference w:id="10"/>
      </w:r>
      <w:r w:rsidR="00A562F6">
        <w:rPr>
          <w:rFonts w:eastAsia="SimSun"/>
        </w:rPr>
        <w:t xml:space="preserve"> </w:t>
      </w:r>
      <w:r w:rsidR="005D6C4B">
        <w:rPr>
          <w:rFonts w:eastAsia="SimSun"/>
        </w:rPr>
        <w:t>Ms. Alexander incorrectly asserts that PSE has not established what level of outages or failures is acceptable.</w:t>
      </w:r>
      <w:r w:rsidR="00A562F6">
        <w:rPr>
          <w:rFonts w:eastAsia="SimSun"/>
        </w:rPr>
        <w:t xml:space="preserve"> </w:t>
      </w:r>
      <w:r w:rsidR="005D6C4B">
        <w:rPr>
          <w:rFonts w:eastAsia="SimSun"/>
        </w:rPr>
        <w:t xml:space="preserve">Relative to HMW direct bury cable, </w:t>
      </w:r>
      <w:r w:rsidR="00BD1B95">
        <w:rPr>
          <w:rFonts w:eastAsia="SimSun"/>
        </w:rPr>
        <w:t>the ERP</w:t>
      </w:r>
      <w:r w:rsidR="005D6C4B">
        <w:rPr>
          <w:rFonts w:eastAsia="SimSun"/>
        </w:rPr>
        <w:t xml:space="preserve"> establish</w:t>
      </w:r>
      <w:r w:rsidR="00B857FA">
        <w:rPr>
          <w:rFonts w:eastAsia="SimSun"/>
        </w:rPr>
        <w:t>es</w:t>
      </w:r>
      <w:r w:rsidR="005D6C4B">
        <w:rPr>
          <w:rFonts w:eastAsia="SimSun"/>
        </w:rPr>
        <w:t xml:space="preserve"> that the acceptable target for outages on HMW is zero</w:t>
      </w:r>
      <w:r w:rsidR="006E252B">
        <w:rPr>
          <w:rFonts w:eastAsia="SimSun"/>
        </w:rPr>
        <w:t>,</w:t>
      </w:r>
      <w:r w:rsidR="005D6C4B">
        <w:rPr>
          <w:rFonts w:eastAsia="SimSun"/>
        </w:rPr>
        <w:t xml:space="preserve"> as this </w:t>
      </w:r>
      <w:r w:rsidR="006E252B">
        <w:rPr>
          <w:rFonts w:eastAsia="SimSun"/>
        </w:rPr>
        <w:t xml:space="preserve">type of outage </w:t>
      </w:r>
      <w:r w:rsidR="005D6C4B">
        <w:rPr>
          <w:rFonts w:eastAsia="SimSun"/>
        </w:rPr>
        <w:t>can be prevented unlike many other types of outages.</w:t>
      </w:r>
      <w:r w:rsidR="00A562F6">
        <w:rPr>
          <w:rFonts w:eastAsia="SimSun"/>
        </w:rPr>
        <w:t xml:space="preserve"> </w:t>
      </w:r>
      <w:r w:rsidR="005D6C4B">
        <w:rPr>
          <w:rFonts w:eastAsia="SimSun"/>
        </w:rPr>
        <w:t>Relative to the</w:t>
      </w:r>
      <w:r w:rsidR="00B857FA">
        <w:rPr>
          <w:rFonts w:eastAsia="SimSun"/>
        </w:rPr>
        <w:t xml:space="preserve"> WPCs</w:t>
      </w:r>
      <w:r w:rsidR="005D6C4B">
        <w:rPr>
          <w:rFonts w:eastAsia="SimSun"/>
        </w:rPr>
        <w:t xml:space="preserve">, PSE’s plan </w:t>
      </w:r>
      <w:r w:rsidR="00B11CE4">
        <w:rPr>
          <w:rFonts w:eastAsia="SimSun"/>
        </w:rPr>
        <w:t>provides</w:t>
      </w:r>
      <w:r w:rsidR="005D6C4B">
        <w:rPr>
          <w:rFonts w:eastAsia="SimSun"/>
        </w:rPr>
        <w:t xml:space="preserve"> criteria for prioritizing work</w:t>
      </w:r>
      <w:r w:rsidR="00B857FA">
        <w:rPr>
          <w:rFonts w:eastAsia="SimSun"/>
        </w:rPr>
        <w:t>,</w:t>
      </w:r>
      <w:r w:rsidR="005D6C4B">
        <w:rPr>
          <w:rStyle w:val="FootnoteReference"/>
          <w:rFonts w:eastAsia="SimSun"/>
        </w:rPr>
        <w:footnoteReference w:id="11"/>
      </w:r>
      <w:r w:rsidR="005D6C4B">
        <w:rPr>
          <w:rFonts w:eastAsia="SimSun"/>
        </w:rPr>
        <w:t xml:space="preserve"> which is the threshold for what is unacceptable</w:t>
      </w:r>
      <w:r w:rsidR="0037514A">
        <w:rPr>
          <w:rFonts w:eastAsia="SimSun"/>
        </w:rPr>
        <w:t>—</w:t>
      </w:r>
      <w:r w:rsidR="007F004F" w:rsidRPr="00744BA6">
        <w:t xml:space="preserve">the </w:t>
      </w:r>
      <w:r w:rsidR="00744BA6" w:rsidRPr="00744BA6">
        <w:rPr>
          <w:iCs/>
        </w:rPr>
        <w:t>WPC</w:t>
      </w:r>
      <w:r w:rsidR="007F004F" w:rsidRPr="00744BA6">
        <w:t xml:space="preserve"> </w:t>
      </w:r>
      <w:r w:rsidR="005D6C4B" w:rsidRPr="00744BA6">
        <w:t xml:space="preserve">circuits that </w:t>
      </w:r>
      <w:r w:rsidR="00744BA6" w:rsidRPr="00744BA6">
        <w:rPr>
          <w:iCs/>
        </w:rPr>
        <w:t xml:space="preserve">have more than 750,000 customer minute interruptions which </w:t>
      </w:r>
      <w:r w:rsidR="005D6C4B" w:rsidRPr="00744BA6">
        <w:t>serve</w:t>
      </w:r>
      <w:r w:rsidR="007F004F" w:rsidRPr="00744BA6">
        <w:t xml:space="preserve"> an average of</w:t>
      </w:r>
      <w:r w:rsidR="005D6C4B" w:rsidRPr="00744BA6">
        <w:t xml:space="preserve"> </w:t>
      </w:r>
      <w:r w:rsidR="007F004F" w:rsidRPr="00744BA6">
        <w:t>1,</w:t>
      </w:r>
      <w:r w:rsidR="00744BA6" w:rsidRPr="00744BA6">
        <w:rPr>
          <w:iCs/>
        </w:rPr>
        <w:t>700 customers</w:t>
      </w:r>
      <w:r w:rsidR="00850340">
        <w:rPr>
          <w:iCs/>
        </w:rPr>
        <w:t>.</w:t>
      </w:r>
      <w:r w:rsidR="00A562F6">
        <w:rPr>
          <w:iCs/>
        </w:rPr>
        <w:t xml:space="preserve"> </w:t>
      </w:r>
      <w:r w:rsidR="00850340">
        <w:rPr>
          <w:iCs/>
        </w:rPr>
        <w:t>This</w:t>
      </w:r>
      <w:r w:rsidR="00744BA6" w:rsidRPr="00744BA6">
        <w:rPr>
          <w:iCs/>
        </w:rPr>
        <w:t xml:space="preserve"> translates to 12 hours of non-storm power outage duration each year.</w:t>
      </w:r>
      <w:r w:rsidR="00A562F6">
        <w:rPr>
          <w:iCs/>
        </w:rPr>
        <w:t xml:space="preserve"> </w:t>
      </w:r>
      <w:r w:rsidR="00233BF1">
        <w:rPr>
          <w:iCs/>
        </w:rPr>
        <w:t xml:space="preserve">This is more than four times longer than the 155 minutes PSE system SAIDI </w:t>
      </w:r>
      <w:r w:rsidR="00CE2B5F">
        <w:rPr>
          <w:iCs/>
        </w:rPr>
        <w:t>SQI No. 3</w:t>
      </w:r>
      <w:r w:rsidR="00233BF1">
        <w:rPr>
          <w:iCs/>
        </w:rPr>
        <w:t xml:space="preserve"> established in 2016.</w:t>
      </w:r>
      <w:r w:rsidR="00A562F6">
        <w:rPr>
          <w:iCs/>
        </w:rPr>
        <w:t xml:space="preserve"> </w:t>
      </w:r>
      <w:r w:rsidR="00A13C81">
        <w:rPr>
          <w:rFonts w:eastAsia="SimSun"/>
        </w:rPr>
        <w:t>By addressing reliability more aggressively, customers gain economic value associated with their ability to depend on reliable power in today’s technology driven culture.</w:t>
      </w:r>
      <w:r w:rsidR="00A562F6">
        <w:rPr>
          <w:rFonts w:eastAsia="SimSun"/>
        </w:rPr>
        <w:t xml:space="preserve"> </w:t>
      </w:r>
    </w:p>
    <w:p w14:paraId="654800E6" w14:textId="52DE54B6" w:rsidR="009C0F30" w:rsidRPr="005622B2" w:rsidRDefault="000D1FD7" w:rsidP="00A253E1">
      <w:pPr>
        <w:pStyle w:val="question"/>
      </w:pPr>
      <w:r w:rsidRPr="005622B2">
        <w:lastRenderedPageBreak/>
        <w:t>Q.</w:t>
      </w:r>
      <w:r w:rsidRPr="005622B2">
        <w:tab/>
      </w:r>
      <w:r w:rsidR="006E252B">
        <w:t xml:space="preserve">Ms. Alexander testifies that </w:t>
      </w:r>
      <w:r w:rsidRPr="00A253E1">
        <w:t>alternatives</w:t>
      </w:r>
      <w:r w:rsidRPr="005622B2">
        <w:t xml:space="preserve"> </w:t>
      </w:r>
      <w:r w:rsidR="00515400">
        <w:t xml:space="preserve">such as </w:t>
      </w:r>
      <w:r w:rsidR="00515400" w:rsidRPr="007D1B31">
        <w:t xml:space="preserve">distributed energy resources (“DER”) </w:t>
      </w:r>
      <w:r w:rsidR="006E252B">
        <w:t>should be considered.</w:t>
      </w:r>
      <w:r w:rsidR="00A562F6">
        <w:t xml:space="preserve"> </w:t>
      </w:r>
      <w:r w:rsidR="006E252B">
        <w:t xml:space="preserve">Has PSE </w:t>
      </w:r>
      <w:r w:rsidR="00515400">
        <w:t xml:space="preserve">considered </w:t>
      </w:r>
      <w:r w:rsidR="00233BF1">
        <w:t>these alternatives</w:t>
      </w:r>
      <w:r w:rsidR="00515400">
        <w:t>?</w:t>
      </w:r>
      <w:r w:rsidRPr="005622B2">
        <w:t xml:space="preserve"> </w:t>
      </w:r>
    </w:p>
    <w:p w14:paraId="654800E7" w14:textId="1B253A05" w:rsidR="005C7314" w:rsidRDefault="000D1FD7" w:rsidP="00A253E1">
      <w:pPr>
        <w:pStyle w:val="Answer0"/>
        <w:rPr>
          <w:rFonts w:eastAsia="SimSun"/>
        </w:rPr>
      </w:pPr>
      <w:r>
        <w:rPr>
          <w:rFonts w:eastAsia="SimSun"/>
        </w:rPr>
        <w:t>A.</w:t>
      </w:r>
      <w:r>
        <w:rPr>
          <w:rFonts w:eastAsia="SimSun"/>
        </w:rPr>
        <w:tab/>
      </w:r>
      <w:r w:rsidR="00515400">
        <w:rPr>
          <w:rFonts w:eastAsia="SimSun"/>
        </w:rPr>
        <w:t>Yes</w:t>
      </w:r>
      <w:r w:rsidR="00A3501C">
        <w:rPr>
          <w:rFonts w:eastAsia="SimSun"/>
        </w:rPr>
        <w:t>.</w:t>
      </w:r>
      <w:r w:rsidR="00A562F6">
        <w:rPr>
          <w:rFonts w:eastAsia="SimSun"/>
        </w:rPr>
        <w:t xml:space="preserve"> </w:t>
      </w:r>
      <w:r w:rsidR="00490FC5">
        <w:rPr>
          <w:rFonts w:eastAsia="SimSun"/>
        </w:rPr>
        <w:t>PSE’s process is to select the optimal reliability solution for a given application.</w:t>
      </w:r>
      <w:r w:rsidR="00A562F6">
        <w:rPr>
          <w:rFonts w:eastAsia="SimSun"/>
        </w:rPr>
        <w:t xml:space="preserve"> </w:t>
      </w:r>
      <w:r w:rsidR="00490FC5">
        <w:rPr>
          <w:rFonts w:eastAsia="SimSun"/>
        </w:rPr>
        <w:t xml:space="preserve">Alternative solutions, such as </w:t>
      </w:r>
      <w:r w:rsidR="00B857FA">
        <w:rPr>
          <w:rFonts w:eastAsia="SimSun"/>
        </w:rPr>
        <w:t>DER</w:t>
      </w:r>
      <w:r w:rsidR="00490FC5">
        <w:rPr>
          <w:rFonts w:eastAsia="SimSun"/>
        </w:rPr>
        <w:t>, are in the portfolio of solutions regularly considered to improve reliability</w:t>
      </w:r>
      <w:r w:rsidR="00B857FA">
        <w:rPr>
          <w:rFonts w:eastAsia="SimSun"/>
        </w:rPr>
        <w:t>.</w:t>
      </w:r>
      <w:r w:rsidR="00515400">
        <w:rPr>
          <w:rStyle w:val="FootnoteReference"/>
          <w:rFonts w:eastAsia="SimSun"/>
        </w:rPr>
        <w:footnoteReference w:id="12"/>
      </w:r>
      <w:r w:rsidR="00A562F6">
        <w:rPr>
          <w:rFonts w:eastAsia="SimSun"/>
        </w:rPr>
        <w:t xml:space="preserve"> </w:t>
      </w:r>
      <w:r w:rsidR="007F04F7">
        <w:rPr>
          <w:rFonts w:eastAsia="SimSun"/>
        </w:rPr>
        <w:t xml:space="preserve">The absence of these alternatives in the plan does not mean </w:t>
      </w:r>
      <w:r w:rsidR="00515400">
        <w:rPr>
          <w:rFonts w:eastAsia="SimSun"/>
        </w:rPr>
        <w:t>these types of alternatives have not been considered.</w:t>
      </w:r>
      <w:r w:rsidR="00A562F6">
        <w:rPr>
          <w:rFonts w:eastAsia="SimSun"/>
        </w:rPr>
        <w:t xml:space="preserve"> </w:t>
      </w:r>
      <w:r w:rsidR="00490FC5">
        <w:rPr>
          <w:rFonts w:eastAsia="SimSun"/>
        </w:rPr>
        <w:t xml:space="preserve">While </w:t>
      </w:r>
      <w:r w:rsidR="005D1830">
        <w:rPr>
          <w:rFonts w:eastAsia="SimSun"/>
        </w:rPr>
        <w:t>PSE will contin</w:t>
      </w:r>
      <w:r w:rsidR="00515400">
        <w:rPr>
          <w:rFonts w:eastAsia="SimSun"/>
        </w:rPr>
        <w:t>u</w:t>
      </w:r>
      <w:r w:rsidR="005D1830">
        <w:rPr>
          <w:rFonts w:eastAsia="SimSun"/>
        </w:rPr>
        <w:t>e to explore DER</w:t>
      </w:r>
      <w:r w:rsidR="00490FC5">
        <w:rPr>
          <w:rFonts w:eastAsia="SimSun"/>
        </w:rPr>
        <w:t>, to date</w:t>
      </w:r>
      <w:r w:rsidR="00B857FA">
        <w:rPr>
          <w:rFonts w:eastAsia="SimSun"/>
        </w:rPr>
        <w:t>,</w:t>
      </w:r>
      <w:r w:rsidR="00490FC5">
        <w:rPr>
          <w:rFonts w:eastAsia="SimSun"/>
        </w:rPr>
        <w:t xml:space="preserve"> the </w:t>
      </w:r>
      <w:r w:rsidR="00B857FA">
        <w:rPr>
          <w:rFonts w:eastAsia="SimSun"/>
        </w:rPr>
        <w:t>DER</w:t>
      </w:r>
      <w:r w:rsidR="00490FC5">
        <w:rPr>
          <w:rFonts w:eastAsia="SimSun"/>
        </w:rPr>
        <w:t xml:space="preserve"> available have limited application and need further maturity regarding dependability in lieu of replacing infrastructure</w:t>
      </w:r>
      <w:r w:rsidR="00B857FA">
        <w:rPr>
          <w:rFonts w:eastAsia="SimSun"/>
        </w:rPr>
        <w:t>,</w:t>
      </w:r>
      <w:r w:rsidR="00490FC5">
        <w:rPr>
          <w:rFonts w:eastAsia="SimSun"/>
        </w:rPr>
        <w:t xml:space="preserve"> such as replacing aging underground cable and improving reliability on the WPC.</w:t>
      </w:r>
      <w:r w:rsidR="00A562F6">
        <w:rPr>
          <w:rFonts w:eastAsia="SimSun"/>
        </w:rPr>
        <w:t xml:space="preserve"> </w:t>
      </w:r>
      <w:r w:rsidR="007F04F7">
        <w:rPr>
          <w:rFonts w:eastAsia="SimSun"/>
        </w:rPr>
        <w:t xml:space="preserve">DER alternatives </w:t>
      </w:r>
      <w:r w:rsidR="00515400">
        <w:rPr>
          <w:rFonts w:eastAsia="SimSun"/>
        </w:rPr>
        <w:t>typically</w:t>
      </w:r>
      <w:r w:rsidR="007F04F7">
        <w:rPr>
          <w:rFonts w:eastAsia="SimSun"/>
        </w:rPr>
        <w:t xml:space="preserve"> still require infrastructure between customers </w:t>
      </w:r>
      <w:r w:rsidR="00515400">
        <w:rPr>
          <w:rFonts w:eastAsia="SimSun"/>
        </w:rPr>
        <w:t xml:space="preserve">and </w:t>
      </w:r>
      <w:r w:rsidR="007F04F7">
        <w:rPr>
          <w:rFonts w:eastAsia="SimSun"/>
        </w:rPr>
        <w:t>as a result</w:t>
      </w:r>
      <w:r w:rsidR="00B857FA">
        <w:rPr>
          <w:rFonts w:eastAsia="SimSun"/>
        </w:rPr>
        <w:t>,</w:t>
      </w:r>
      <w:r w:rsidR="007F04F7">
        <w:rPr>
          <w:rFonts w:eastAsia="SimSun"/>
        </w:rPr>
        <w:t xml:space="preserve"> PSE could</w:t>
      </w:r>
      <w:r w:rsidR="00B857FA">
        <w:rPr>
          <w:rFonts w:eastAsia="SimSun"/>
        </w:rPr>
        <w:t xml:space="preserve"> not</w:t>
      </w:r>
      <w:r w:rsidR="007F04F7">
        <w:rPr>
          <w:rFonts w:eastAsia="SimSun"/>
        </w:rPr>
        <w:t xml:space="preserve"> </w:t>
      </w:r>
      <w:r w:rsidR="00490FC5">
        <w:rPr>
          <w:rFonts w:eastAsia="SimSun"/>
        </w:rPr>
        <w:t>simply abandon circuit infrastructure altogether.</w:t>
      </w:r>
      <w:r w:rsidR="00A562F6">
        <w:rPr>
          <w:rFonts w:eastAsia="SimSun"/>
        </w:rPr>
        <w:t xml:space="preserve"> </w:t>
      </w:r>
      <w:r w:rsidR="00490FC5">
        <w:rPr>
          <w:rFonts w:eastAsia="SimSun"/>
        </w:rPr>
        <w:t xml:space="preserve">As PSE continues to build the foundation required for </w:t>
      </w:r>
      <w:r w:rsidR="007D1B31">
        <w:rPr>
          <w:rFonts w:eastAsia="SimSun"/>
        </w:rPr>
        <w:t>utility scale DERs</w:t>
      </w:r>
      <w:r w:rsidR="00BD1B95">
        <w:rPr>
          <w:rFonts w:eastAsia="SimSun"/>
        </w:rPr>
        <w:t>,</w:t>
      </w:r>
      <w:r w:rsidR="007D1B31">
        <w:rPr>
          <w:rFonts w:eastAsia="SimSun"/>
        </w:rPr>
        <w:t xml:space="preserve"> including </w:t>
      </w:r>
      <w:r w:rsidR="00B857FA">
        <w:rPr>
          <w:rFonts w:eastAsia="SimSun"/>
        </w:rPr>
        <w:t>two</w:t>
      </w:r>
      <w:r w:rsidR="00850340">
        <w:rPr>
          <w:rFonts w:eastAsia="SimSun"/>
        </w:rPr>
        <w:t>-</w:t>
      </w:r>
      <w:r w:rsidR="007D1B31">
        <w:rPr>
          <w:rFonts w:eastAsia="SimSun"/>
        </w:rPr>
        <w:t>way communication systems, distribution management systems, and robust protection and automation, these alternatives will become more viable.</w:t>
      </w:r>
      <w:r w:rsidR="00A562F6">
        <w:rPr>
          <w:rFonts w:eastAsia="SimSun"/>
        </w:rPr>
        <w:t xml:space="preserve"> </w:t>
      </w:r>
    </w:p>
    <w:p w14:paraId="654800E8" w14:textId="34FAFC84" w:rsidR="005D1830" w:rsidRPr="00664F3B" w:rsidRDefault="00815782" w:rsidP="00A253E1">
      <w:pPr>
        <w:pStyle w:val="question"/>
      </w:pPr>
      <w:r w:rsidRPr="00815782">
        <w:lastRenderedPageBreak/>
        <w:t>Q.</w:t>
      </w:r>
      <w:r w:rsidR="005D1830" w:rsidRPr="00664F3B">
        <w:tab/>
      </w:r>
      <w:r w:rsidR="005D1830">
        <w:t>Does PSE agree that the ECR</w:t>
      </w:r>
      <w:r w:rsidR="000A4C43">
        <w:t>M is unnecessary because it is</w:t>
      </w:r>
      <w:r w:rsidR="005D1830">
        <w:t xml:space="preserve"> a subject in the </w:t>
      </w:r>
      <w:r w:rsidR="00BD1B95">
        <w:t xml:space="preserve">IRP </w:t>
      </w:r>
      <w:r w:rsidR="00003677">
        <w:t>r</w:t>
      </w:r>
      <w:r w:rsidR="000A4C43">
        <w:t>ulemaking in</w:t>
      </w:r>
      <w:r w:rsidR="005D1830">
        <w:t xml:space="preserve"> </w:t>
      </w:r>
      <w:r w:rsidR="00BD1B95">
        <w:t xml:space="preserve">WUTC </w:t>
      </w:r>
      <w:r w:rsidR="005D1830" w:rsidRPr="00A253E1">
        <w:t>Docket</w:t>
      </w:r>
      <w:r w:rsidR="005D1830">
        <w:t xml:space="preserve"> 161024? </w:t>
      </w:r>
    </w:p>
    <w:p w14:paraId="654800E9" w14:textId="7EF3BE75" w:rsidR="005D1830" w:rsidRDefault="005D1830" w:rsidP="00A253E1">
      <w:pPr>
        <w:pStyle w:val="Answer0"/>
        <w:rPr>
          <w:rFonts w:eastAsia="SimSun"/>
        </w:rPr>
      </w:pPr>
      <w:r>
        <w:rPr>
          <w:rFonts w:eastAsia="SimSun"/>
        </w:rPr>
        <w:t>A.</w:t>
      </w:r>
      <w:r>
        <w:rPr>
          <w:rFonts w:eastAsia="SimSun"/>
        </w:rPr>
        <w:tab/>
        <w:t>No.</w:t>
      </w:r>
      <w:r w:rsidR="00A562F6">
        <w:rPr>
          <w:rFonts w:eastAsia="SimSun"/>
        </w:rPr>
        <w:t xml:space="preserve"> </w:t>
      </w:r>
      <w:r>
        <w:rPr>
          <w:rFonts w:eastAsia="SimSun"/>
        </w:rPr>
        <w:t xml:space="preserve">In the workshops PSE has participated in thus far, PSE has not heard that the IRP </w:t>
      </w:r>
      <w:r w:rsidR="00003677">
        <w:rPr>
          <w:rFonts w:eastAsia="SimSun"/>
        </w:rPr>
        <w:t>r</w:t>
      </w:r>
      <w:r>
        <w:rPr>
          <w:rFonts w:eastAsia="SimSun"/>
        </w:rPr>
        <w:t>ule would consider rate recovery processes in the future.</w:t>
      </w:r>
      <w:r w:rsidR="00A562F6">
        <w:rPr>
          <w:rFonts w:eastAsia="SimSun"/>
        </w:rPr>
        <w:t xml:space="preserve"> </w:t>
      </w:r>
      <w:r>
        <w:rPr>
          <w:rFonts w:eastAsia="SimSun"/>
        </w:rPr>
        <w:t>Further</w:t>
      </w:r>
      <w:r w:rsidR="00BD1B95">
        <w:rPr>
          <w:rFonts w:eastAsia="SimSun"/>
        </w:rPr>
        <w:t>,</w:t>
      </w:r>
      <w:r>
        <w:rPr>
          <w:rFonts w:eastAsia="SimSun"/>
        </w:rPr>
        <w:t xml:space="preserve"> work such as replacing aging infrastructure is beyond the </w:t>
      </w:r>
      <w:r w:rsidR="006E252B">
        <w:rPr>
          <w:rFonts w:eastAsia="SimSun"/>
        </w:rPr>
        <w:t xml:space="preserve">scope </w:t>
      </w:r>
      <w:r>
        <w:rPr>
          <w:rFonts w:eastAsia="SimSun"/>
        </w:rPr>
        <w:t xml:space="preserve">of </w:t>
      </w:r>
      <w:r w:rsidR="00BD1B95">
        <w:rPr>
          <w:rFonts w:eastAsia="SimSun"/>
        </w:rPr>
        <w:t>the IRP</w:t>
      </w:r>
      <w:r>
        <w:rPr>
          <w:rFonts w:eastAsia="SimSun"/>
        </w:rPr>
        <w:t>.</w:t>
      </w:r>
      <w:r w:rsidR="00A562F6">
        <w:rPr>
          <w:rFonts w:eastAsia="SimSun"/>
        </w:rPr>
        <w:t xml:space="preserve"> </w:t>
      </w:r>
    </w:p>
    <w:p w14:paraId="654800EA" w14:textId="3EF1E4F9" w:rsidR="0084460C" w:rsidRPr="009075DC" w:rsidRDefault="0084460C" w:rsidP="00A253E1">
      <w:pPr>
        <w:pStyle w:val="Heading1"/>
        <w:keepNext w:val="0"/>
        <w:keepLines w:val="0"/>
        <w:ind w:left="0" w:right="0"/>
        <w:rPr>
          <w:rFonts w:eastAsia="SimSun"/>
        </w:rPr>
      </w:pPr>
      <w:bookmarkStart w:id="4" w:name="_Toc489949728"/>
      <w:r>
        <w:rPr>
          <w:rFonts w:eastAsia="SimSun"/>
        </w:rPr>
        <w:t>III</w:t>
      </w:r>
      <w:r w:rsidRPr="009075DC">
        <w:rPr>
          <w:rFonts w:eastAsia="SimSun"/>
        </w:rPr>
        <w:t>.</w:t>
      </w:r>
      <w:r w:rsidRPr="009075DC">
        <w:rPr>
          <w:rFonts w:eastAsia="SimSun"/>
        </w:rPr>
        <w:tab/>
      </w:r>
      <w:r>
        <w:rPr>
          <w:rFonts w:eastAsia="SimSun"/>
        </w:rPr>
        <w:t>SERVICE GUARANTEES</w:t>
      </w:r>
      <w:r w:rsidR="00A163CE">
        <w:rPr>
          <w:rFonts w:eastAsia="SimSun"/>
        </w:rPr>
        <w:t xml:space="preserve"> ARE APPROPRIATE</w:t>
      </w:r>
      <w:bookmarkEnd w:id="4"/>
    </w:p>
    <w:p w14:paraId="654800EB" w14:textId="1B1FE897" w:rsidR="0084460C" w:rsidRPr="00987248" w:rsidRDefault="0084460C" w:rsidP="00A253E1">
      <w:pPr>
        <w:pStyle w:val="question"/>
      </w:pPr>
      <w:r w:rsidRPr="00987248">
        <w:t>Q.</w:t>
      </w:r>
      <w:r w:rsidRPr="00987248">
        <w:tab/>
      </w:r>
      <w:r>
        <w:t xml:space="preserve">Does PSE agree </w:t>
      </w:r>
      <w:r w:rsidR="0078371B">
        <w:t>wi</w:t>
      </w:r>
      <w:bookmarkStart w:id="5" w:name="here"/>
      <w:bookmarkEnd w:id="5"/>
      <w:r w:rsidR="0078371B">
        <w:t xml:space="preserve">th Public Counsel witness Alexander’s testimony </w:t>
      </w:r>
      <w:r>
        <w:t xml:space="preserve">that the </w:t>
      </w:r>
      <w:r w:rsidR="0042600A">
        <w:t>24</w:t>
      </w:r>
      <w:r w:rsidR="00802D8D">
        <w:t>-</w:t>
      </w:r>
      <w:r>
        <w:t xml:space="preserve">hour and </w:t>
      </w:r>
      <w:r w:rsidR="0042600A">
        <w:t>120</w:t>
      </w:r>
      <w:r w:rsidR="00802D8D">
        <w:t>-</w:t>
      </w:r>
      <w:r>
        <w:t xml:space="preserve">hour </w:t>
      </w:r>
      <w:r w:rsidRPr="00A253E1">
        <w:t>service</w:t>
      </w:r>
      <w:r>
        <w:t xml:space="preserve"> guarantee</w:t>
      </w:r>
      <w:r w:rsidR="00627CB8">
        <w:t>s</w:t>
      </w:r>
      <w:r>
        <w:t xml:space="preserve"> need to be changed?</w:t>
      </w:r>
    </w:p>
    <w:p w14:paraId="654800EC" w14:textId="262E0183" w:rsidR="00E7717D" w:rsidRDefault="0084460C" w:rsidP="00A253E1">
      <w:pPr>
        <w:pStyle w:val="Answer0"/>
      </w:pPr>
      <w:r>
        <w:t>A.</w:t>
      </w:r>
      <w:r>
        <w:tab/>
        <w:t>No.</w:t>
      </w:r>
      <w:r w:rsidR="00A562F6">
        <w:t xml:space="preserve"> </w:t>
      </w:r>
      <w:r w:rsidR="0084143D">
        <w:t>These service guarantees were addressed in settlement discussions in 2016 and were the subject of a Commission order approving the settlement dated June 17, 2016.</w:t>
      </w:r>
      <w:r w:rsidR="00A562F6">
        <w:t xml:space="preserve"> </w:t>
      </w:r>
      <w:r w:rsidR="00814070">
        <w:t>As discussed in more detail below, Public Counsel participated in the settlement conferences that addressed these service guarantees, among other things, and Public Counsel expressed approval of the service guarantees to the Commission.</w:t>
      </w:r>
      <w:r w:rsidR="00A562F6">
        <w:t xml:space="preserve"> </w:t>
      </w:r>
      <w:r w:rsidR="00814070">
        <w:t>It is surprising that Public Counsel is now raising issues about the service guarantees.</w:t>
      </w:r>
      <w:r w:rsidR="00A562F6">
        <w:t xml:space="preserve"> </w:t>
      </w:r>
      <w:r w:rsidR="00E7717D">
        <w:t>There is no need for the Commission to reopen these service guarantees one year after approving a settlement that addressed these issues.</w:t>
      </w:r>
      <w:r w:rsidR="00A562F6">
        <w:t xml:space="preserve"> </w:t>
      </w:r>
    </w:p>
    <w:p w14:paraId="654800ED" w14:textId="77777777" w:rsidR="00814070" w:rsidRDefault="00814070" w:rsidP="00A253E1">
      <w:pPr>
        <w:pStyle w:val="question"/>
      </w:pPr>
      <w:r>
        <w:t>Q.</w:t>
      </w:r>
      <w:r>
        <w:tab/>
        <w:t xml:space="preserve">What issues does Ms. </w:t>
      </w:r>
      <w:r w:rsidRPr="00A253E1">
        <w:t>Alexander</w:t>
      </w:r>
      <w:r>
        <w:t xml:space="preserve"> raise with respect to the service guarantees?</w:t>
      </w:r>
    </w:p>
    <w:p w14:paraId="654800EE" w14:textId="73141EAA" w:rsidR="0084460C" w:rsidRDefault="00E7717D" w:rsidP="00A253E1">
      <w:pPr>
        <w:pStyle w:val="Answer0"/>
      </w:pPr>
      <w:r>
        <w:t>A.</w:t>
      </w:r>
      <w:r>
        <w:tab/>
      </w:r>
      <w:r w:rsidR="0084460C">
        <w:t xml:space="preserve">Ms. Alexander asserts that customers may not be receiving due credit relative to these service guarantees due to 1) lack of </w:t>
      </w:r>
      <w:r w:rsidR="00155A30">
        <w:t xml:space="preserve">an </w:t>
      </w:r>
      <w:r w:rsidR="0084460C">
        <w:t>automatic process that instead requires customer</w:t>
      </w:r>
      <w:r w:rsidR="00802D8D">
        <w:t>s</w:t>
      </w:r>
      <w:r w:rsidR="0084460C">
        <w:t xml:space="preserve"> to report the</w:t>
      </w:r>
      <w:r w:rsidR="00155A30">
        <w:t>ir</w:t>
      </w:r>
      <w:r w:rsidR="0084460C">
        <w:t xml:space="preserve"> outage</w:t>
      </w:r>
      <w:r w:rsidR="00155A30">
        <w:t xml:space="preserve"> or specifically call to ob</w:t>
      </w:r>
      <w:r w:rsidR="00B52CE6">
        <w:t>t</w:t>
      </w:r>
      <w:r w:rsidR="00155A30">
        <w:t xml:space="preserve">ain the </w:t>
      </w:r>
      <w:r w:rsidR="00802D8D">
        <w:t>guarantee;</w:t>
      </w:r>
      <w:r w:rsidR="0084460C">
        <w:t xml:space="preserve"> 2) the calculation of duration starts only from ti</w:t>
      </w:r>
      <w:r w:rsidR="00802D8D">
        <w:t xml:space="preserve">me the customer places </w:t>
      </w:r>
      <w:r w:rsidR="00802D8D">
        <w:lastRenderedPageBreak/>
        <w:t>the call;</w:t>
      </w:r>
      <w:r w:rsidR="0084460C">
        <w:t xml:space="preserve"> and 3) the efforts of PSE to raise awareness have not provided clear understanding of the process.</w:t>
      </w:r>
      <w:r w:rsidR="00A562F6">
        <w:t xml:space="preserve"> </w:t>
      </w:r>
      <w:r w:rsidR="0084460C">
        <w:t>Ms. Alexander provided no evidence that these assertions are true and she ignores the fact that the Commission approved a settlement addressing these issues only last year.</w:t>
      </w:r>
    </w:p>
    <w:p w14:paraId="654800EF" w14:textId="18F8533E" w:rsidR="0084460C" w:rsidRDefault="0084460C" w:rsidP="00A253E1">
      <w:pPr>
        <w:pStyle w:val="question"/>
      </w:pPr>
      <w:r>
        <w:t>Q.</w:t>
      </w:r>
      <w:r>
        <w:tab/>
        <w:t xml:space="preserve">Please describe </w:t>
      </w:r>
      <w:r w:rsidR="00802D8D">
        <w:t>the creation of the 24-</w:t>
      </w:r>
      <w:r>
        <w:t>hour service guarantee.</w:t>
      </w:r>
    </w:p>
    <w:p w14:paraId="654800F0" w14:textId="4D76FD57" w:rsidR="00814070" w:rsidRDefault="0084460C" w:rsidP="00A253E1">
      <w:pPr>
        <w:pStyle w:val="Answer0"/>
      </w:pPr>
      <w:r>
        <w:t>A.</w:t>
      </w:r>
      <w:r>
        <w:tab/>
        <w:t xml:space="preserve">On November 30, 2015, PSE filed a proposed permanent modification of SQI </w:t>
      </w:r>
      <w:r w:rsidR="00D3041E">
        <w:t xml:space="preserve">No. </w:t>
      </w:r>
      <w:r>
        <w:t xml:space="preserve">3 SAIDI mechanics </w:t>
      </w:r>
      <w:r w:rsidR="00D3041E">
        <w:t xml:space="preserve">in </w:t>
      </w:r>
      <w:r w:rsidR="00802D8D">
        <w:t xml:space="preserve">WUTC </w:t>
      </w:r>
      <w:r>
        <w:t>Docket UE-072300</w:t>
      </w:r>
      <w:r w:rsidR="003E36EF">
        <w:t>,</w:t>
      </w:r>
      <w:r>
        <w:t xml:space="preserve"> which initiated multi-party settlement discussions per Commission Order 26 on December 31, 2015.</w:t>
      </w:r>
      <w:r w:rsidR="00A562F6">
        <w:t xml:space="preserve"> </w:t>
      </w:r>
      <w:r>
        <w:t xml:space="preserve">PSE, </w:t>
      </w:r>
      <w:r w:rsidR="00802D8D">
        <w:t>Commission</w:t>
      </w:r>
      <w:r>
        <w:t xml:space="preserve"> Staff, and Public Counsel met for a series of nine </w:t>
      </w:r>
      <w:r w:rsidR="003E36EF">
        <w:t xml:space="preserve">settlement </w:t>
      </w:r>
      <w:r>
        <w:t>meetings to discuss the mechanics and benchmarks.</w:t>
      </w:r>
      <w:r w:rsidR="00A562F6">
        <w:t xml:space="preserve"> </w:t>
      </w:r>
      <w:r w:rsidR="003E36EF">
        <w:t>Staff and PSE reached a settlement</w:t>
      </w:r>
      <w:r w:rsidR="002F7951">
        <w:t xml:space="preserve">; Public Counsel did not join in the settlement due to a </w:t>
      </w:r>
      <w:r w:rsidR="0078371B">
        <w:t xml:space="preserve">disagreement </w:t>
      </w:r>
      <w:r w:rsidR="00814070">
        <w:t>over whether penalties should remain for SQI-3</w:t>
      </w:r>
      <w:r w:rsidR="002F7951">
        <w:t>.</w:t>
      </w:r>
      <w:r w:rsidR="00A562F6">
        <w:t xml:space="preserve"> </w:t>
      </w:r>
    </w:p>
    <w:p w14:paraId="654800F1" w14:textId="77777777" w:rsidR="003E36EF" w:rsidRDefault="00070F6C" w:rsidP="00A253E1">
      <w:pPr>
        <w:pStyle w:val="Answer0"/>
      </w:pPr>
      <w:r>
        <w:tab/>
      </w:r>
      <w:r w:rsidR="0084460C">
        <w:t>As an outcome of that settlement</w:t>
      </w:r>
      <w:r w:rsidR="00E014BD">
        <w:t xml:space="preserve">, </w:t>
      </w:r>
      <w:r w:rsidR="0084460C" w:rsidRPr="00262766">
        <w:t>PSE and Staff agree</w:t>
      </w:r>
      <w:r w:rsidR="003E36EF">
        <w:t>d</w:t>
      </w:r>
      <w:r w:rsidR="0084460C" w:rsidRPr="00262766">
        <w:t xml:space="preserve"> to</w:t>
      </w:r>
      <w:r w:rsidR="0084460C">
        <w:t xml:space="preserve"> nine terms including</w:t>
      </w:r>
      <w:r w:rsidR="003E36EF">
        <w:t>:</w:t>
      </w:r>
    </w:p>
    <w:p w14:paraId="654800F2" w14:textId="3AAC14BB" w:rsidR="003E36EF" w:rsidRDefault="0084460C" w:rsidP="00A253E1">
      <w:pPr>
        <w:pStyle w:val="bx"/>
      </w:pPr>
      <w:r>
        <w:t>the e</w:t>
      </w:r>
      <w:r w:rsidRPr="00262766">
        <w:t>stablishment of a new customer guarantee that requires PSE to</w:t>
      </w:r>
      <w:r w:rsidR="00D3041E">
        <w:t>:</w:t>
      </w:r>
      <w:r w:rsidR="00A562F6">
        <w:t xml:space="preserve"> </w:t>
      </w:r>
      <w:r w:rsidR="00D3041E">
        <w:t xml:space="preserve">(i) </w:t>
      </w:r>
      <w:r w:rsidRPr="00262766">
        <w:t xml:space="preserve">provide a $50 bill credit to customers who </w:t>
      </w:r>
      <w:r>
        <w:t>are</w:t>
      </w:r>
      <w:r w:rsidRPr="00262766">
        <w:t xml:space="preserve"> without power for 24 hours</w:t>
      </w:r>
      <w:r>
        <w:t>,</w:t>
      </w:r>
      <w:r w:rsidRPr="00262766">
        <w:t xml:space="preserve"> or more</w:t>
      </w:r>
      <w:r>
        <w:t>,</w:t>
      </w:r>
      <w:r w:rsidRPr="00262766">
        <w:t xml:space="preserve"> under ce</w:t>
      </w:r>
      <w:r>
        <w:t>rtain circumstances (excluding M</w:t>
      </w:r>
      <w:r w:rsidRPr="00262766">
        <w:t xml:space="preserve">ajor </w:t>
      </w:r>
      <w:r>
        <w:t>E</w:t>
      </w:r>
      <w:r w:rsidRPr="00262766">
        <w:t>vents) and who have either requested the guarantee or reported the</w:t>
      </w:r>
      <w:r>
        <w:t>ir outage</w:t>
      </w:r>
      <w:r w:rsidR="00D3041E">
        <w:t xml:space="preserve">; and (ii) </w:t>
      </w:r>
      <w:r>
        <w:t xml:space="preserve">inform </w:t>
      </w:r>
      <w:r w:rsidRPr="00262766">
        <w:t xml:space="preserve">customers about the new 24-hour customer guarantee and how to </w:t>
      </w:r>
      <w:r>
        <w:t>take advantage of</w:t>
      </w:r>
      <w:r w:rsidRPr="00262766">
        <w:t xml:space="preserve"> the guarantee</w:t>
      </w:r>
      <w:r w:rsidR="00E014BD">
        <w:t>;</w:t>
      </w:r>
      <w:r>
        <w:t xml:space="preserve"> </w:t>
      </w:r>
    </w:p>
    <w:p w14:paraId="654800F3" w14:textId="77777777" w:rsidR="003E36EF" w:rsidRDefault="0084460C" w:rsidP="00A253E1">
      <w:pPr>
        <w:pStyle w:val="bx"/>
      </w:pPr>
      <w:r>
        <w:t>r</w:t>
      </w:r>
      <w:r w:rsidRPr="00262766">
        <w:t xml:space="preserve">etention of the customer guarantee that requires PSE to provide a $50 bill credit to customers who have been without power for 120 hours or more and </w:t>
      </w:r>
      <w:r w:rsidRPr="00262766">
        <w:lastRenderedPageBreak/>
        <w:t>who have either requested the guarantee or reported the outage</w:t>
      </w:r>
      <w:r>
        <w:t xml:space="preserve"> which </w:t>
      </w:r>
      <w:r w:rsidRPr="00262766">
        <w:t>incl</w:t>
      </w:r>
      <w:r>
        <w:t>udes outages that occur during M</w:t>
      </w:r>
      <w:r w:rsidRPr="00262766">
        <w:t xml:space="preserve">ajor </w:t>
      </w:r>
      <w:r>
        <w:t>E</w:t>
      </w:r>
      <w:r w:rsidRPr="00262766">
        <w:t>vents</w:t>
      </w:r>
      <w:r w:rsidR="00E014BD">
        <w:t>;</w:t>
      </w:r>
      <w:r>
        <w:t xml:space="preserve"> </w:t>
      </w:r>
    </w:p>
    <w:p w14:paraId="654800F4" w14:textId="08FF1360" w:rsidR="003E36EF" w:rsidRDefault="0084460C" w:rsidP="00A253E1">
      <w:pPr>
        <w:pStyle w:val="bx"/>
      </w:pPr>
      <w:r>
        <w:t>i</w:t>
      </w:r>
      <w:r w:rsidRPr="00262766">
        <w:t xml:space="preserve">nform customers of consecutive years missed on PSE’s </w:t>
      </w:r>
      <w:r>
        <w:t xml:space="preserve">annual </w:t>
      </w:r>
      <w:r w:rsidRPr="00262766">
        <w:t>service qua</w:t>
      </w:r>
      <w:r>
        <w:t>lity report card, if applicable</w:t>
      </w:r>
      <w:r w:rsidR="00E014BD">
        <w:t>;</w:t>
      </w:r>
      <w:r>
        <w:t xml:space="preserve"> and </w:t>
      </w:r>
    </w:p>
    <w:p w14:paraId="654800F5" w14:textId="125C1056" w:rsidR="003E36EF" w:rsidRDefault="0084460C" w:rsidP="00A253E1">
      <w:pPr>
        <w:pStyle w:val="bx"/>
      </w:pPr>
      <w:r>
        <w:t>the elimination</w:t>
      </w:r>
      <w:r w:rsidRPr="00262766">
        <w:t xml:space="preserve"> of potential monetary penalties</w:t>
      </w:r>
      <w:r>
        <w:t xml:space="preserve"> </w:t>
      </w:r>
      <w:r w:rsidRPr="00262766">
        <w:t xml:space="preserve">for </w:t>
      </w:r>
      <w:r>
        <w:t xml:space="preserve">missing </w:t>
      </w:r>
      <w:r w:rsidRPr="00262766">
        <w:t>the SAIDI benchmark.</w:t>
      </w:r>
      <w:r w:rsidR="00A562F6">
        <w:t xml:space="preserve"> </w:t>
      </w:r>
    </w:p>
    <w:p w14:paraId="64F7FFEF" w14:textId="145FD508" w:rsidR="00714484" w:rsidRDefault="00714484" w:rsidP="00A253E1">
      <w:pPr>
        <w:pStyle w:val="bx"/>
      </w:pPr>
      <w:r w:rsidRPr="00714484">
        <w:t>The Commission approved this multi-party settlement on June 17, 2016.</w:t>
      </w:r>
      <w:r w:rsidR="00A562F6">
        <w:t xml:space="preserve"> </w:t>
      </w:r>
      <w:r w:rsidRPr="00714484">
        <w:t xml:space="preserve">Since that time, PSE has met its commitments under the terms of the settlement agreement and </w:t>
      </w:r>
      <w:r>
        <w:t xml:space="preserve">specifically the 24-hour guarantee, and PSE </w:t>
      </w:r>
      <w:r w:rsidRPr="00714484">
        <w:t>continues to enhance the processes.</w:t>
      </w:r>
    </w:p>
    <w:p w14:paraId="04F29154" w14:textId="0CD644C2" w:rsidR="00714484" w:rsidRDefault="00714484" w:rsidP="00A253E1">
      <w:pPr>
        <w:pStyle w:val="question"/>
      </w:pPr>
      <w:r>
        <w:t>Q.</w:t>
      </w:r>
      <w:r>
        <w:tab/>
        <w:t xml:space="preserve">Did Public </w:t>
      </w:r>
      <w:r w:rsidRPr="00A253E1">
        <w:t>Counsel</w:t>
      </w:r>
      <w:r>
        <w:t xml:space="preserve"> object to the new 24-hour service guarantee, as designed in the settlement?</w:t>
      </w:r>
    </w:p>
    <w:p w14:paraId="654800F6" w14:textId="4ADCC404" w:rsidR="002F7951" w:rsidRDefault="00714484" w:rsidP="00A253E1">
      <w:pPr>
        <w:pStyle w:val="Answer0"/>
      </w:pPr>
      <w:r>
        <w:t>A.</w:t>
      </w:r>
      <w:r>
        <w:tab/>
        <w:t>No.</w:t>
      </w:r>
      <w:r w:rsidR="00A562F6">
        <w:t xml:space="preserve"> </w:t>
      </w:r>
      <w:r w:rsidR="002F7951">
        <w:t>Public Counsel submitted a letter to the Commission acknowledging its approval of the service guarantees</w:t>
      </w:r>
      <w:r w:rsidR="00B52CE6">
        <w:t>, including the new 24-hour guarantee</w:t>
      </w:r>
      <w:r w:rsidR="002F7951">
        <w:t xml:space="preserve"> </w:t>
      </w:r>
      <w:r w:rsidR="00AA3FD0">
        <w:t>that require</w:t>
      </w:r>
      <w:r w:rsidR="00B52CE6">
        <w:t>s</w:t>
      </w:r>
      <w:r w:rsidR="00AA3FD0">
        <w:t xml:space="preserve"> customers to report an outage</w:t>
      </w:r>
      <w:r w:rsidR="00FF13FE">
        <w:t xml:space="preserve"> or request the guarantee</w:t>
      </w:r>
      <w:r w:rsidR="00AA3FD0">
        <w:t>:</w:t>
      </w:r>
      <w:r w:rsidR="00A562F6">
        <w:t xml:space="preserve"> </w:t>
      </w:r>
    </w:p>
    <w:p w14:paraId="654800F7" w14:textId="7340AA2B" w:rsidR="002F7951" w:rsidRDefault="002F7951" w:rsidP="00A253E1">
      <w:pPr>
        <w:pStyle w:val="Quote"/>
      </w:pPr>
      <w:r>
        <w:t>Public Counsel views positively the retention of PSE’s 120-hour customer guarantee and establishment of a new 24-hour customer guarantee under Tariff 131.</w:t>
      </w:r>
      <w:r w:rsidR="00A562F6">
        <w:t xml:space="preserve"> </w:t>
      </w:r>
      <w:r>
        <w:t xml:space="preserve">The new 24-hour customer guarantee </w:t>
      </w:r>
      <w:r w:rsidRPr="00A253E1">
        <w:t>would</w:t>
      </w:r>
      <w:r>
        <w:t xml:space="preserve"> apply during non-major</w:t>
      </w:r>
      <w:r w:rsidR="00802D8D">
        <w:t xml:space="preserve"> events only.</w:t>
      </w:r>
      <w:r w:rsidR="00A562F6">
        <w:t xml:space="preserve"> </w:t>
      </w:r>
      <w:r w:rsidR="00802D8D">
        <w:t>Under the new 24-</w:t>
      </w:r>
      <w:r>
        <w:t>hour guarantee, customers who report an outage lasting 24 hours or longer, and customers who request the 24-hour guarantee, will receive $50.</w:t>
      </w:r>
      <w:r w:rsidR="00A562F6">
        <w:t xml:space="preserve"> </w:t>
      </w:r>
      <w:r>
        <w:t xml:space="preserve">This guarantee, and the 120-hour guarantee, provides </w:t>
      </w:r>
      <w:r>
        <w:lastRenderedPageBreak/>
        <w:t>customers with some compensation for the harm and inconvenience of being without power.</w:t>
      </w:r>
      <w:r>
        <w:rPr>
          <w:rStyle w:val="FootnoteReference"/>
          <w:szCs w:val="24"/>
        </w:rPr>
        <w:footnoteReference w:id="13"/>
      </w:r>
    </w:p>
    <w:p w14:paraId="654800F9" w14:textId="5DE15038" w:rsidR="0084460C" w:rsidRPr="00B275D6" w:rsidRDefault="0084460C" w:rsidP="00A253E1">
      <w:pPr>
        <w:pStyle w:val="question"/>
      </w:pPr>
      <w:r w:rsidRPr="00B275D6">
        <w:t>Q.</w:t>
      </w:r>
      <w:r w:rsidRPr="00B275D6">
        <w:tab/>
        <w:t xml:space="preserve">Why does PSE </w:t>
      </w:r>
      <w:r w:rsidR="00FF13FE" w:rsidRPr="00A253E1">
        <w:t>encourage</w:t>
      </w:r>
      <w:r w:rsidR="00FF13FE" w:rsidRPr="00B275D6">
        <w:t xml:space="preserve"> </w:t>
      </w:r>
      <w:r w:rsidRPr="00B275D6">
        <w:t>customers to report their outage?</w:t>
      </w:r>
    </w:p>
    <w:p w14:paraId="654800FA" w14:textId="32E83FE7" w:rsidR="0084460C" w:rsidRDefault="0084460C" w:rsidP="00A253E1">
      <w:pPr>
        <w:pStyle w:val="Answer0"/>
      </w:pPr>
      <w:r>
        <w:t>A.</w:t>
      </w:r>
      <w:r>
        <w:tab/>
        <w:t>Customer reporting of outages continues to be an important factor for PSE in identifying and restoring outages.</w:t>
      </w:r>
      <w:r w:rsidR="00A562F6">
        <w:t xml:space="preserve"> </w:t>
      </w:r>
      <w:r>
        <w:t xml:space="preserve">Since the implementation of the </w:t>
      </w:r>
      <w:r w:rsidR="00321454">
        <w:t>OMS</w:t>
      </w:r>
      <w:r>
        <w:t xml:space="preserve"> in 2013, PSE </w:t>
      </w:r>
      <w:r w:rsidR="005E2684">
        <w:t xml:space="preserve">is able to </w:t>
      </w:r>
      <w:r w:rsidRPr="001402E4">
        <w:t>automatically identif</w:t>
      </w:r>
      <w:r w:rsidR="005E2684">
        <w:t>y</w:t>
      </w:r>
      <w:r>
        <w:t xml:space="preserve"> reporting customers’ locations</w:t>
      </w:r>
      <w:r w:rsidRPr="001402E4">
        <w:t xml:space="preserve"> on </w:t>
      </w:r>
      <w:r>
        <w:t>an</w:t>
      </w:r>
      <w:r w:rsidRPr="001402E4">
        <w:t xml:space="preserve"> electronic network map when the customer calls in</w:t>
      </w:r>
      <w:r w:rsidR="00177389">
        <w:t>,</w:t>
      </w:r>
      <w:r w:rsidRPr="001402E4">
        <w:t xml:space="preserve"> and</w:t>
      </w:r>
      <w:r w:rsidR="00177389">
        <w:t xml:space="preserve"> from that, </w:t>
      </w:r>
      <w:r w:rsidR="005E2684">
        <w:t xml:space="preserve">OMS </w:t>
      </w:r>
      <w:r w:rsidR="00177389">
        <w:t xml:space="preserve">is able to </w:t>
      </w:r>
      <w:r w:rsidRPr="001402E4">
        <w:t xml:space="preserve">predict the source of the outage so that response personnel can be dispatched </w:t>
      </w:r>
      <w:r>
        <w:t xml:space="preserve">promptly </w:t>
      </w:r>
      <w:r w:rsidRPr="001402E4">
        <w:t>to the source of the outage.</w:t>
      </w:r>
      <w:r w:rsidR="00A562F6">
        <w:t xml:space="preserve"> </w:t>
      </w:r>
      <w:r>
        <w:t>OMS can receive information about an outage either via SCADA communications that identifies a possible outage at the sys</w:t>
      </w:r>
      <w:r w:rsidR="00D047FD">
        <w:t xml:space="preserve">tem level such as a substation </w:t>
      </w:r>
      <w:r w:rsidR="00802D8D">
        <w:t>or by</w:t>
      </w:r>
      <w:r>
        <w:t xml:space="preserve"> customer reporting.</w:t>
      </w:r>
      <w:r w:rsidR="00A562F6">
        <w:t xml:space="preserve"> </w:t>
      </w:r>
      <w:r>
        <w:t>Customer rep</w:t>
      </w:r>
      <w:r w:rsidR="000A4C43">
        <w:t>orting outage locations provide</w:t>
      </w:r>
      <w:r>
        <w:t xml:space="preserve"> for the best prediction model and ability to be confident when the outage is restored</w:t>
      </w:r>
      <w:r w:rsidR="005E2684">
        <w:t>.</w:t>
      </w:r>
      <w:r w:rsidR="00A562F6">
        <w:t xml:space="preserve"> </w:t>
      </w:r>
      <w:r w:rsidR="005E2684">
        <w:t>S</w:t>
      </w:r>
      <w:r>
        <w:t>ubstation level information may not result in identifying all the customers due to circuit configuration variances.</w:t>
      </w:r>
      <w:r w:rsidR="00A562F6">
        <w:t xml:space="preserve"> </w:t>
      </w:r>
    </w:p>
    <w:p w14:paraId="654800FB" w14:textId="77777777" w:rsidR="0084460C" w:rsidRPr="00A56996" w:rsidRDefault="0084460C" w:rsidP="00A253E1">
      <w:pPr>
        <w:pStyle w:val="question"/>
      </w:pPr>
      <w:r w:rsidRPr="00A56996">
        <w:t>Q.</w:t>
      </w:r>
      <w:r w:rsidRPr="00A56996">
        <w:tab/>
        <w:t xml:space="preserve">Is the process for </w:t>
      </w:r>
      <w:r w:rsidRPr="00A253E1">
        <w:t>reporting</w:t>
      </w:r>
      <w:r w:rsidRPr="00A56996">
        <w:t xml:space="preserve"> an outage difficult?</w:t>
      </w:r>
    </w:p>
    <w:p w14:paraId="654800FC" w14:textId="5B57C598" w:rsidR="0084460C" w:rsidRDefault="0084460C" w:rsidP="00A253E1">
      <w:pPr>
        <w:pStyle w:val="Answer0"/>
      </w:pPr>
      <w:r>
        <w:t>A.</w:t>
      </w:r>
      <w:r>
        <w:tab/>
        <w:t>No.</w:t>
      </w:r>
      <w:r w:rsidR="00A562F6">
        <w:t xml:space="preserve"> </w:t>
      </w:r>
      <w:r>
        <w:t xml:space="preserve">PSE has made significant improvements over that last several years in providing </w:t>
      </w:r>
      <w:r w:rsidR="00177389">
        <w:t xml:space="preserve">self-service systems such as </w:t>
      </w:r>
      <w:r>
        <w:t xml:space="preserve">useable mobile apps for </w:t>
      </w:r>
      <w:r w:rsidR="005E2684">
        <w:t xml:space="preserve">outage </w:t>
      </w:r>
      <w:r>
        <w:t>reporting, making web pages and outage maps easier to access and making these tools known to the public.</w:t>
      </w:r>
      <w:r w:rsidR="00A562F6">
        <w:t xml:space="preserve"> </w:t>
      </w:r>
      <w:r w:rsidR="005E2684">
        <w:t xml:space="preserve">For example, </w:t>
      </w:r>
      <w:r w:rsidR="007A0E01">
        <w:t>for the time period</w:t>
      </w:r>
      <w:r w:rsidR="005E2684">
        <w:t xml:space="preserve"> January through May</w:t>
      </w:r>
      <w:r w:rsidR="007A0E01">
        <w:t xml:space="preserve"> 2017</w:t>
      </w:r>
      <w:r w:rsidR="005E2684">
        <w:t xml:space="preserve">, </w:t>
      </w:r>
      <w:r w:rsidR="005E2684">
        <w:lastRenderedPageBreak/>
        <w:t xml:space="preserve">74.21% of </w:t>
      </w:r>
      <w:r w:rsidR="00CB326D">
        <w:t xml:space="preserve">reported </w:t>
      </w:r>
      <w:r w:rsidR="005E2684">
        <w:t xml:space="preserve">outages </w:t>
      </w:r>
      <w:r w:rsidR="007A0E01">
        <w:t xml:space="preserve">were </w:t>
      </w:r>
      <w:r w:rsidR="00CB326D">
        <w:t xml:space="preserve">through </w:t>
      </w:r>
      <w:r w:rsidR="005E2684">
        <w:t xml:space="preserve">customer self-service systems including the online and web/mobile services and </w:t>
      </w:r>
      <w:r w:rsidR="00321454">
        <w:t>Interactive Voice Response (“</w:t>
      </w:r>
      <w:r w:rsidR="005E2684">
        <w:t>IVR</w:t>
      </w:r>
      <w:r w:rsidR="00321454">
        <w:t>”)</w:t>
      </w:r>
      <w:r w:rsidR="005E2684">
        <w:t xml:space="preserve"> systems</w:t>
      </w:r>
      <w:r w:rsidR="007A0E01">
        <w:t>,</w:t>
      </w:r>
      <w:r w:rsidR="005E2684">
        <w:t xml:space="preserve"> which indicate</w:t>
      </w:r>
      <w:r w:rsidR="007A0E01">
        <w:t>s</w:t>
      </w:r>
      <w:r w:rsidR="005E2684">
        <w:t xml:space="preserve"> how easy PSE has made it to provide the required reporting.</w:t>
      </w:r>
      <w:r w:rsidR="00A562F6">
        <w:t xml:space="preserve"> </w:t>
      </w:r>
      <w:r w:rsidR="00677280">
        <w:t xml:space="preserve">In comparison to May 2015, only 64.7% of </w:t>
      </w:r>
      <w:r w:rsidR="00CB326D">
        <w:t xml:space="preserve">reported </w:t>
      </w:r>
      <w:r w:rsidR="00677280">
        <w:t xml:space="preserve">outages were </w:t>
      </w:r>
      <w:r w:rsidR="00CB326D">
        <w:t xml:space="preserve">through </w:t>
      </w:r>
      <w:r w:rsidR="00611E16">
        <w:t>self-service</w:t>
      </w:r>
      <w:r w:rsidR="00677280">
        <w:t xml:space="preserve"> systems. </w:t>
      </w:r>
    </w:p>
    <w:p w14:paraId="40A44F54" w14:textId="42897D3E" w:rsidR="0042600A" w:rsidRPr="00B859AD" w:rsidRDefault="0042600A" w:rsidP="00A253E1">
      <w:pPr>
        <w:pStyle w:val="question"/>
      </w:pPr>
      <w:r w:rsidRPr="00B859AD">
        <w:t>Q.</w:t>
      </w:r>
      <w:r w:rsidRPr="00B859AD">
        <w:tab/>
        <w:t>Has PSE focused effort on ways to raise awareness of the service guarantees</w:t>
      </w:r>
      <w:r w:rsidR="00CB326D">
        <w:t xml:space="preserve"> and how to use the tools</w:t>
      </w:r>
      <w:r w:rsidRPr="00B859AD">
        <w:t>?</w:t>
      </w:r>
    </w:p>
    <w:p w14:paraId="7A8431E3" w14:textId="096CF7B8" w:rsidR="0042600A" w:rsidRPr="0031527D" w:rsidRDefault="0042600A" w:rsidP="00A253E1">
      <w:pPr>
        <w:pStyle w:val="Answer0"/>
      </w:pPr>
      <w:r>
        <w:t>A.</w:t>
      </w:r>
      <w:r>
        <w:tab/>
        <w:t>Yes.</w:t>
      </w:r>
      <w:r w:rsidR="00A562F6">
        <w:t xml:space="preserve"> </w:t>
      </w:r>
      <w:r>
        <w:t xml:space="preserve">PSE was required to raise customer’s awareness of the service guarantees per the multi-party settlement regarding SQI </w:t>
      </w:r>
      <w:r w:rsidR="00714484">
        <w:t xml:space="preserve">No. </w:t>
      </w:r>
      <w:r>
        <w:t>3</w:t>
      </w:r>
      <w:r w:rsidR="00714484">
        <w:t>,</w:t>
      </w:r>
      <w:r>
        <w:t xml:space="preserve"> SAIDI.</w:t>
      </w:r>
      <w:r w:rsidR="00A562F6">
        <w:t xml:space="preserve"> </w:t>
      </w:r>
      <w:r>
        <w:t>Attachment A of the settlement described ways PSE would raise awareness, and these were approved by the Commission on J</w:t>
      </w:r>
      <w:r w:rsidR="00321454">
        <w:t>une 17, 2016.</w:t>
      </w:r>
      <w:r w:rsidR="00A562F6">
        <w:t xml:space="preserve"> </w:t>
      </w:r>
      <w:r w:rsidR="00321454">
        <w:t xml:space="preserve">Exhibit </w:t>
      </w:r>
      <w:r w:rsidRPr="00AB3442">
        <w:t>CAK-</w:t>
      </w:r>
      <w:r w:rsidR="00D41EA4">
        <w:t>6</w:t>
      </w:r>
      <w:r w:rsidR="00321454">
        <w:t>, which is PSE’s R</w:t>
      </w:r>
      <w:r>
        <w:t>esponse to Public Counsel Data Request No. 025</w:t>
      </w:r>
      <w:r w:rsidR="00714484">
        <w:t>,</w:t>
      </w:r>
      <w:r>
        <w:t xml:space="preserve"> provided examples of PSE’s efforts to raise awareness, including</w:t>
      </w:r>
      <w:r w:rsidR="000A4C43">
        <w:t>:</w:t>
      </w:r>
      <w:r w:rsidR="00A562F6">
        <w:t xml:space="preserve"> </w:t>
      </w:r>
      <w:r>
        <w:t xml:space="preserve">three news stories, </w:t>
      </w:r>
      <w:r w:rsidR="00321454">
        <w:t xml:space="preserve">a </w:t>
      </w:r>
      <w:r>
        <w:t>press release, five customer newsletter inserts</w:t>
      </w:r>
      <w:r w:rsidR="000A4C43">
        <w:t>,</w:t>
      </w:r>
      <w:r>
        <w:t xml:space="preserve"> including information on the envelope, year round pse.com posted information, and the relevant IVR and access center call representative scripts.</w:t>
      </w:r>
      <w:r w:rsidR="00A562F6">
        <w:t xml:space="preserve"> </w:t>
      </w:r>
      <w:r>
        <w:t>PSE develops these tools with web designers and communication experts.</w:t>
      </w:r>
      <w:r w:rsidR="00A562F6">
        <w:t xml:space="preserve"> </w:t>
      </w:r>
      <w:r>
        <w:t>The awareness efforts are making an impact.</w:t>
      </w:r>
      <w:r w:rsidR="00A562F6">
        <w:t xml:space="preserve"> </w:t>
      </w:r>
      <w:r>
        <w:t>For example</w:t>
      </w:r>
      <w:r w:rsidR="00321454">
        <w:t>,</w:t>
      </w:r>
      <w:r>
        <w:t xml:space="preserve"> in May 2015, only 2.71% of outages were reported using the web/mobile tools with 61.99% reported via IVR.</w:t>
      </w:r>
      <w:r w:rsidR="00A562F6">
        <w:t xml:space="preserve"> </w:t>
      </w:r>
      <w:r>
        <w:t>Since raising awareness efforts implemented in 2016, in May 2017, 22.27% of outages were reported using the web/mobile tools with only 49.79% reported via IVR.</w:t>
      </w:r>
      <w:r w:rsidR="00A562F6">
        <w:t xml:space="preserve"> </w:t>
      </w:r>
    </w:p>
    <w:p w14:paraId="654800FD" w14:textId="77777777" w:rsidR="0084460C" w:rsidRPr="00850D3C" w:rsidRDefault="0084460C" w:rsidP="00A253E1">
      <w:pPr>
        <w:pStyle w:val="question"/>
      </w:pPr>
      <w:r w:rsidRPr="00850D3C">
        <w:lastRenderedPageBreak/>
        <w:t>Q.</w:t>
      </w:r>
      <w:r w:rsidRPr="00850D3C">
        <w:tab/>
        <w:t xml:space="preserve">Is </w:t>
      </w:r>
      <w:r w:rsidRPr="00233BF1">
        <w:t>PSE</w:t>
      </w:r>
      <w:r w:rsidRPr="00850D3C">
        <w:t xml:space="preserve"> </w:t>
      </w:r>
      <w:r w:rsidRPr="00A253E1">
        <w:t>improving</w:t>
      </w:r>
      <w:r w:rsidRPr="00850D3C">
        <w:t xml:space="preserve"> the overall process associated with the service guarantees?</w:t>
      </w:r>
    </w:p>
    <w:p w14:paraId="654800FE" w14:textId="3AFF88B1" w:rsidR="0084460C" w:rsidRDefault="0084460C" w:rsidP="00A253E1">
      <w:pPr>
        <w:pStyle w:val="Answer0"/>
      </w:pPr>
      <w:r>
        <w:t>A.</w:t>
      </w:r>
      <w:r>
        <w:tab/>
        <w:t>Yes.</w:t>
      </w:r>
      <w:r w:rsidR="00A562F6">
        <w:t xml:space="preserve"> </w:t>
      </w:r>
      <w:r w:rsidR="00AB3442">
        <w:t>In December 2016, PSE introduce</w:t>
      </w:r>
      <w:r w:rsidR="00321454">
        <w:t>d the OMS</w:t>
      </w:r>
      <w:r w:rsidR="00426F4E">
        <w:t xml:space="preserve"> feature</w:t>
      </w:r>
      <w:r w:rsidR="00AB3442">
        <w:t xml:space="preserve"> that </w:t>
      </w:r>
      <w:r>
        <w:t>provide</w:t>
      </w:r>
      <w:r w:rsidR="00AB3442">
        <w:t>s</w:t>
      </w:r>
      <w:r>
        <w:t xml:space="preserve"> proactive alerts </w:t>
      </w:r>
      <w:r w:rsidR="00AB3442">
        <w:t>to</w:t>
      </w:r>
      <w:r>
        <w:t xml:space="preserve"> customers when PSE is aware a customer is out of power.</w:t>
      </w:r>
      <w:r w:rsidR="00A562F6">
        <w:t xml:space="preserve"> </w:t>
      </w:r>
      <w:r w:rsidR="00D047FD">
        <w:t>Customers must subscribe to</w:t>
      </w:r>
      <w:r w:rsidR="00AB3442">
        <w:t xml:space="preserve"> receive these notifications through their myPSE account profile.</w:t>
      </w:r>
      <w:r w:rsidR="00A562F6">
        <w:t xml:space="preserve"> </w:t>
      </w:r>
      <w:r w:rsidR="00AB3442">
        <w:t>Currently, there are about 500,000 email and 350,000 text subscriptions to PSE’s OMS notification system.</w:t>
      </w:r>
      <w:r w:rsidR="00A562F6">
        <w:t xml:space="preserve"> </w:t>
      </w:r>
      <w:r w:rsidR="00AB3442">
        <w:t>This equates to 30-50% of PSE’s electric customers.</w:t>
      </w:r>
      <w:r w:rsidR="00A562F6">
        <w:t xml:space="preserve"> </w:t>
      </w:r>
      <w:r>
        <w:t>When PSE does its post-event review of outages, if the outage qualifies under the guarantee, th</w:t>
      </w:r>
      <w:r w:rsidR="00464CDB">
        <w:t>is p</w:t>
      </w:r>
      <w:r w:rsidR="00CB326D">
        <w:t>rogram</w:t>
      </w:r>
      <w:r w:rsidR="00464CDB">
        <w:t xml:space="preserve"> recognizes the </w:t>
      </w:r>
      <w:r>
        <w:t>customer for having reported the outage if they received an alert from PSE acknowledging they were out.</w:t>
      </w:r>
      <w:r w:rsidR="00A562F6">
        <w:t xml:space="preserve"> </w:t>
      </w:r>
      <w:r>
        <w:t>These customers, and those that report the outage, automatically receive the $50 credit on their next bill.</w:t>
      </w:r>
      <w:r w:rsidR="00A562F6">
        <w:t xml:space="preserve"> </w:t>
      </w:r>
      <w:r>
        <w:t xml:space="preserve">Until PSE has all contact information and can depend on the meter data via a strong AMI system, deviating from the requirement for customers to </w:t>
      </w:r>
      <w:r w:rsidR="005E2684">
        <w:t xml:space="preserve">report their outage </w:t>
      </w:r>
      <w:r>
        <w:t xml:space="preserve">is not appropriate. </w:t>
      </w:r>
    </w:p>
    <w:p w14:paraId="65480101" w14:textId="77777777" w:rsidR="0084460C" w:rsidRPr="00B14397" w:rsidRDefault="0084460C" w:rsidP="00A253E1">
      <w:pPr>
        <w:pStyle w:val="question"/>
      </w:pPr>
      <w:r>
        <w:t>Q.</w:t>
      </w:r>
      <w:r>
        <w:tab/>
      </w:r>
      <w:r w:rsidRPr="00B14397">
        <w:t xml:space="preserve">Is </w:t>
      </w:r>
      <w:r>
        <w:t xml:space="preserve">it </w:t>
      </w:r>
      <w:r w:rsidRPr="00B14397">
        <w:t xml:space="preserve">correct that the calculation of the duration of the outage starts only from the time the customer </w:t>
      </w:r>
      <w:r w:rsidR="0053659F" w:rsidRPr="00A253E1">
        <w:t>reports</w:t>
      </w:r>
      <w:r w:rsidR="0053659F">
        <w:t xml:space="preserve"> the outage</w:t>
      </w:r>
      <w:r w:rsidR="004629D7">
        <w:t xml:space="preserve"> as Ms. Alexander claims</w:t>
      </w:r>
      <w:r w:rsidRPr="00B14397">
        <w:t>?</w:t>
      </w:r>
    </w:p>
    <w:p w14:paraId="65480102" w14:textId="5A358A82" w:rsidR="0084460C" w:rsidRDefault="0084460C" w:rsidP="00A253E1">
      <w:pPr>
        <w:pStyle w:val="Answer0"/>
      </w:pPr>
      <w:r>
        <w:t>A.</w:t>
      </w:r>
      <w:r>
        <w:tab/>
        <w:t>No.</w:t>
      </w:r>
      <w:r w:rsidR="00A562F6">
        <w:t xml:space="preserve"> </w:t>
      </w:r>
      <w:r>
        <w:t>The duration of the outage starts when an outage is created in OMS</w:t>
      </w:r>
      <w:r w:rsidR="004629D7">
        <w:t>,</w:t>
      </w:r>
      <w:r>
        <w:t xml:space="preserve"> which occurs when information is received from SCADA, AMR, or</w:t>
      </w:r>
      <w:r w:rsidR="004629D7">
        <w:t xml:space="preserve"> when</w:t>
      </w:r>
      <w:r>
        <w:t xml:space="preserve"> a customer reports the outage.</w:t>
      </w:r>
      <w:r w:rsidR="00A562F6">
        <w:t xml:space="preserve"> </w:t>
      </w:r>
      <w:r>
        <w:t>It is true that when the customer call is the first awareness that an outage has occurred, the calculation starts from that time.</w:t>
      </w:r>
      <w:r w:rsidR="00A562F6">
        <w:t xml:space="preserve"> </w:t>
      </w:r>
      <w:r>
        <w:t>If the customer calls or PSE proactively alerts the customer after an outage is created in OMS, the time of the call or alert does not affect the calculated duration.</w:t>
      </w:r>
      <w:r w:rsidR="00A562F6">
        <w:t xml:space="preserve"> </w:t>
      </w:r>
      <w:r w:rsidR="00CB326D">
        <w:t xml:space="preserve">This would have to be </w:t>
      </w:r>
      <w:r w:rsidR="00CB326D">
        <w:lastRenderedPageBreak/>
        <w:t>the case since a customer can request the guarantee up to seven days after an outage.</w:t>
      </w:r>
    </w:p>
    <w:p w14:paraId="65480105" w14:textId="384746B0" w:rsidR="003346A7" w:rsidRDefault="003346A7" w:rsidP="00A253E1">
      <w:pPr>
        <w:pStyle w:val="Heading1"/>
        <w:ind w:left="0" w:right="0"/>
      </w:pPr>
      <w:bookmarkStart w:id="6" w:name="_Toc489949729"/>
      <w:r>
        <w:rPr>
          <w:rFonts w:eastAsia="SimSun"/>
        </w:rPr>
        <w:t>IV</w:t>
      </w:r>
      <w:r w:rsidRPr="009075DC">
        <w:rPr>
          <w:rFonts w:eastAsia="SimSun"/>
        </w:rPr>
        <w:t>.</w:t>
      </w:r>
      <w:r w:rsidRPr="009075DC">
        <w:rPr>
          <w:rFonts w:eastAsia="SimSun"/>
        </w:rPr>
        <w:tab/>
      </w:r>
      <w:r w:rsidRPr="00CB326D">
        <w:rPr>
          <w:rFonts w:eastAsia="SimSun"/>
        </w:rPr>
        <w:t>IEEE</w:t>
      </w:r>
      <w:r>
        <w:rPr>
          <w:rFonts w:eastAsia="SimSun"/>
        </w:rPr>
        <w:t xml:space="preserve"> APPLICATION FOR STORM </w:t>
      </w:r>
      <w:r w:rsidR="004127D7">
        <w:rPr>
          <w:rFonts w:eastAsia="SimSun"/>
        </w:rPr>
        <w:t>DEFERRAL</w:t>
      </w:r>
      <w:bookmarkEnd w:id="6"/>
    </w:p>
    <w:p w14:paraId="65480106" w14:textId="6C4FB20F" w:rsidR="00434256" w:rsidRDefault="003346A7" w:rsidP="00A253E1">
      <w:pPr>
        <w:pStyle w:val="question"/>
      </w:pPr>
      <w:r w:rsidRPr="00744C6E">
        <w:t>Q.</w:t>
      </w:r>
      <w:r w:rsidRPr="00744C6E">
        <w:tab/>
      </w:r>
      <w:r w:rsidR="00434256">
        <w:t>Do you agree with Mr. Schooley’s proposal to discontinue using the IEEE</w:t>
      </w:r>
      <w:r w:rsidR="00CB326D">
        <w:t xml:space="preserve"> Standard</w:t>
      </w:r>
      <w:r w:rsidR="00313E85">
        <w:t xml:space="preserve"> </w:t>
      </w:r>
      <w:r w:rsidR="00434256">
        <w:t xml:space="preserve">1366 for deferral of </w:t>
      </w:r>
      <w:r w:rsidR="00A267DE">
        <w:t>costs for major</w:t>
      </w:r>
      <w:r w:rsidR="00434256">
        <w:t xml:space="preserve"> storm </w:t>
      </w:r>
      <w:r w:rsidR="00A267DE">
        <w:t>events</w:t>
      </w:r>
      <w:r w:rsidR="00434256">
        <w:t>?</w:t>
      </w:r>
    </w:p>
    <w:p w14:paraId="65480107" w14:textId="22C177D8" w:rsidR="00434256" w:rsidRDefault="00434256" w:rsidP="00A253E1">
      <w:pPr>
        <w:pStyle w:val="Answer0"/>
      </w:pPr>
      <w:r>
        <w:t>A.</w:t>
      </w:r>
      <w:r>
        <w:tab/>
        <w:t>No.</w:t>
      </w:r>
      <w:r w:rsidR="00A562F6">
        <w:t xml:space="preserve"> </w:t>
      </w:r>
      <w:r w:rsidR="006770E4">
        <w:t xml:space="preserve">This standard was first proposed by Staff in </w:t>
      </w:r>
      <w:r w:rsidR="00581B80">
        <w:t xml:space="preserve">PSE’s </w:t>
      </w:r>
      <w:r w:rsidR="006770E4">
        <w:t xml:space="preserve">2004 </w:t>
      </w:r>
      <w:r w:rsidR="00321454">
        <w:t>GRC</w:t>
      </w:r>
      <w:r w:rsidR="00581B80">
        <w:t xml:space="preserve"> </w:t>
      </w:r>
      <w:r w:rsidR="006770E4">
        <w:t xml:space="preserve">for use in determining the threshold for deferral of costs related to </w:t>
      </w:r>
      <w:r w:rsidR="00C00A8D">
        <w:t xml:space="preserve">major </w:t>
      </w:r>
      <w:r w:rsidR="006770E4">
        <w:t>storm</w:t>
      </w:r>
      <w:r w:rsidR="00C00A8D">
        <w:t xml:space="preserve"> event</w:t>
      </w:r>
      <w:r w:rsidR="006770E4">
        <w:t>s.</w:t>
      </w:r>
      <w:r w:rsidR="00321454">
        <w:rPr>
          <w:rStyle w:val="FootnoteReference"/>
        </w:rPr>
        <w:footnoteReference w:id="14"/>
      </w:r>
      <w:r w:rsidR="00A562F6">
        <w:t xml:space="preserve"> </w:t>
      </w:r>
      <w:r w:rsidR="006770E4">
        <w:t>The storm deferral methodology has been reviewed and accepted by the Commission, with minor changes, in several cases and most recently</w:t>
      </w:r>
      <w:r w:rsidR="00321454">
        <w:t xml:space="preserve"> in PSE’s 2011 GRC</w:t>
      </w:r>
      <w:r w:rsidR="006770E4">
        <w:t>.</w:t>
      </w:r>
      <w:r w:rsidR="00635D62">
        <w:rPr>
          <w:rStyle w:val="FootnoteReference"/>
        </w:rPr>
        <w:footnoteReference w:id="15"/>
      </w:r>
      <w:r w:rsidR="00A562F6">
        <w:t xml:space="preserve"> </w:t>
      </w:r>
      <w:r w:rsidR="00660F65">
        <w:t>As agreed upon</w:t>
      </w:r>
      <w:r w:rsidR="00515D83">
        <w:t>,</w:t>
      </w:r>
      <w:r w:rsidR="00660F65">
        <w:t xml:space="preserve"> it is slightly “modified” from the </w:t>
      </w:r>
      <w:r w:rsidR="00CB326D">
        <w:t>IEEE Standard</w:t>
      </w:r>
      <w:r w:rsidR="00313E85">
        <w:t xml:space="preserve"> </w:t>
      </w:r>
      <w:r w:rsidR="00660F65">
        <w:t xml:space="preserve">1366 as it includes </w:t>
      </w:r>
      <w:r w:rsidR="00321454">
        <w:t>all outage events greater than one</w:t>
      </w:r>
      <w:r w:rsidR="00660F65">
        <w:t xml:space="preserve"> minute where</w:t>
      </w:r>
      <w:r w:rsidR="00CB326D">
        <w:t>as IEEE Standard</w:t>
      </w:r>
      <w:r w:rsidR="00313E85">
        <w:t xml:space="preserve"> </w:t>
      </w:r>
      <w:r w:rsidR="00660F65">
        <w:t xml:space="preserve">1366 defines an outage event as greater than </w:t>
      </w:r>
      <w:r w:rsidR="00635D62">
        <w:t xml:space="preserve">five </w:t>
      </w:r>
      <w:r w:rsidR="00660F65">
        <w:t>minutes</w:t>
      </w:r>
      <w:r w:rsidR="00581B80">
        <w:t>.</w:t>
      </w:r>
      <w:r w:rsidR="00660F65">
        <w:rPr>
          <w:rStyle w:val="FootnoteReference"/>
        </w:rPr>
        <w:footnoteReference w:id="16"/>
      </w:r>
      <w:r w:rsidR="00A562F6">
        <w:t xml:space="preserve"> </w:t>
      </w:r>
      <w:r w:rsidR="00A267DE">
        <w:t>It is consistent with industry research with respect to the classification of major storm events and allows PSE to recover the cost of storm repairs resulting from major events, once storm costs excee</w:t>
      </w:r>
      <w:r w:rsidR="00CB326D">
        <w:t xml:space="preserve">d the annual </w:t>
      </w:r>
      <w:r w:rsidR="00515D83">
        <w:t>threshold.</w:t>
      </w:r>
      <w:r w:rsidR="00A562F6">
        <w:t xml:space="preserve"> </w:t>
      </w:r>
      <w:r w:rsidR="00515D83">
        <w:t>As discussed</w:t>
      </w:r>
      <w:r w:rsidR="00A267DE">
        <w:t xml:space="preserve"> in </w:t>
      </w:r>
      <w:r w:rsidR="00515D83">
        <w:t>the</w:t>
      </w:r>
      <w:r w:rsidR="00515D83" w:rsidRPr="00515D83">
        <w:rPr>
          <w:rFonts w:eastAsia="SimSun"/>
        </w:rPr>
        <w:t xml:space="preserve"> </w:t>
      </w:r>
      <w:r w:rsidR="00515D83" w:rsidRPr="00515D83">
        <w:t xml:space="preserve">Prefilled Rebuttal Testimony of Katherine J. Barnard, </w:t>
      </w:r>
      <w:r w:rsidR="00B62B3D">
        <w:t>Exhibit</w:t>
      </w:r>
      <w:r w:rsidR="00515D83" w:rsidRPr="00515D83">
        <w:t> KJB-17T</w:t>
      </w:r>
      <w:r w:rsidR="00A267DE">
        <w:t xml:space="preserve">, </w:t>
      </w:r>
      <w:r w:rsidR="003B428B">
        <w:t xml:space="preserve">Mr. Schooley’s </w:t>
      </w:r>
      <w:r w:rsidR="003B428B">
        <w:lastRenderedPageBreak/>
        <w:t xml:space="preserve">recommendation </w:t>
      </w:r>
      <w:r w:rsidR="00FA0867">
        <w:t>is contrary to</w:t>
      </w:r>
      <w:r w:rsidR="003B428B">
        <w:t xml:space="preserve"> past Staff</w:t>
      </w:r>
      <w:r w:rsidR="00FA0867">
        <w:t xml:space="preserve"> testimony and </w:t>
      </w:r>
      <w:r w:rsidR="003B428B">
        <w:t>rec</w:t>
      </w:r>
      <w:r w:rsidR="00FA0867">
        <w:t>ommendations on this topic.</w:t>
      </w:r>
      <w:r w:rsidR="00A562F6">
        <w:t xml:space="preserve"> </w:t>
      </w:r>
      <w:r w:rsidR="00FA0867">
        <w:t xml:space="preserve">I encourage the Commission to maintain the </w:t>
      </w:r>
      <w:r w:rsidR="00822D73">
        <w:t>existing storm deferral mechanism that relies on the</w:t>
      </w:r>
      <w:r w:rsidR="00751CC2">
        <w:t xml:space="preserve"> modified</w:t>
      </w:r>
      <w:r w:rsidR="00822D73">
        <w:t xml:space="preserve"> IEEE</w:t>
      </w:r>
      <w:r w:rsidR="00CB326D">
        <w:t xml:space="preserve"> Standard</w:t>
      </w:r>
      <w:r w:rsidR="00313E85">
        <w:t xml:space="preserve"> </w:t>
      </w:r>
      <w:r w:rsidR="00822D73">
        <w:t>1366 for determining when storm costs may be deferred.</w:t>
      </w:r>
      <w:r w:rsidR="00A562F6">
        <w:t xml:space="preserve"> </w:t>
      </w:r>
    </w:p>
    <w:p w14:paraId="65480108" w14:textId="77777777" w:rsidR="004C0774" w:rsidRDefault="004C0774" w:rsidP="00A253E1">
      <w:pPr>
        <w:pStyle w:val="question"/>
      </w:pPr>
      <w:r>
        <w:t>Q.</w:t>
      </w:r>
      <w:r>
        <w:tab/>
        <w:t>Why is it important for PSE to be allowed to defer and amortize storm costs resulting from major storm events?</w:t>
      </w:r>
    </w:p>
    <w:p w14:paraId="65480109" w14:textId="7D9C29E5" w:rsidR="004C0774" w:rsidRDefault="004C0774" w:rsidP="00A253E1">
      <w:pPr>
        <w:pStyle w:val="Answer0"/>
      </w:pPr>
      <w:r>
        <w:t>A.</w:t>
      </w:r>
      <w:r>
        <w:tab/>
        <w:t xml:space="preserve">Major storm events cause significant disruption in service and require PSE to focus </w:t>
      </w:r>
      <w:r w:rsidR="0053659F">
        <w:t>substantial</w:t>
      </w:r>
      <w:r w:rsidR="00C00A8D">
        <w:t xml:space="preserve"> resources on timely storm repair.</w:t>
      </w:r>
      <w:r w:rsidR="00A562F6">
        <w:t xml:space="preserve"> </w:t>
      </w:r>
      <w:r w:rsidR="00233BF1">
        <w:t>Timely s</w:t>
      </w:r>
      <w:r w:rsidR="00C00A8D">
        <w:t xml:space="preserve">torm </w:t>
      </w:r>
      <w:r w:rsidR="00233BF1">
        <w:t xml:space="preserve">response, </w:t>
      </w:r>
      <w:r w:rsidR="00C00A8D">
        <w:t xml:space="preserve">repair </w:t>
      </w:r>
      <w:r w:rsidR="00A267DE">
        <w:t xml:space="preserve">and resolution of outages </w:t>
      </w:r>
      <w:r w:rsidR="00C00A8D">
        <w:t>is very important to customers</w:t>
      </w:r>
      <w:r w:rsidR="00233BF1">
        <w:t xml:space="preserve"> and PSE</w:t>
      </w:r>
      <w:r w:rsidR="00C00A8D">
        <w:t>.</w:t>
      </w:r>
      <w:r w:rsidR="00A562F6">
        <w:t xml:space="preserve"> </w:t>
      </w:r>
      <w:r w:rsidR="00C00A8D">
        <w:t>In PSE’s service territory, storm events are not a theoretical concern.</w:t>
      </w:r>
      <w:r w:rsidR="00A562F6">
        <w:t xml:space="preserve"> </w:t>
      </w:r>
      <w:r w:rsidR="00C00A8D">
        <w:t>PSE’s service territory is located in the Puget So</w:t>
      </w:r>
      <w:r w:rsidR="000A4C43">
        <w:t>und Convergence Zone</w:t>
      </w:r>
      <w:r w:rsidR="00C00A8D">
        <w:t xml:space="preserve"> </w:t>
      </w:r>
      <w:r w:rsidR="00A267DE">
        <w:t>and</w:t>
      </w:r>
      <w:r w:rsidR="00C00A8D">
        <w:t xml:space="preserve"> is subject to </w:t>
      </w:r>
      <w:r w:rsidR="00A267DE">
        <w:t xml:space="preserve">frequently </w:t>
      </w:r>
      <w:r w:rsidR="00C00A8D">
        <w:t>severe weather</w:t>
      </w:r>
      <w:r w:rsidR="00581B80">
        <w:t>.</w:t>
      </w:r>
      <w:r w:rsidR="00A562F6">
        <w:t xml:space="preserve"> </w:t>
      </w:r>
      <w:r w:rsidR="00581B80">
        <w:t>Further,</w:t>
      </w:r>
      <w:r w:rsidR="001D2317">
        <w:t xml:space="preserve"> as</w:t>
      </w:r>
      <w:r w:rsidR="00FF641E">
        <w:t xml:space="preserve"> </w:t>
      </w:r>
      <w:r w:rsidR="001D2317">
        <w:t xml:space="preserve">mentioned in </w:t>
      </w:r>
      <w:r w:rsidR="00581B80">
        <w:t xml:space="preserve">the </w:t>
      </w:r>
      <w:r w:rsidR="001D2317">
        <w:t>Prefiled Direct Testimony of Booga</w:t>
      </w:r>
      <w:r w:rsidR="007C3E90">
        <w:t xml:space="preserve"> K. Gilbertson</w:t>
      </w:r>
      <w:r w:rsidR="002C0D67">
        <w:t>,</w:t>
      </w:r>
      <w:r w:rsidR="007C3E90">
        <w:t xml:space="preserve"> </w:t>
      </w:r>
      <w:r w:rsidR="001D2317">
        <w:t>Exh</w:t>
      </w:r>
      <w:r w:rsidR="00A562F6">
        <w:t xml:space="preserve">ibit </w:t>
      </w:r>
      <w:r w:rsidR="00AB3442">
        <w:t>BKG-</w:t>
      </w:r>
      <w:r w:rsidR="002C342F">
        <w:t>1T</w:t>
      </w:r>
      <w:r w:rsidR="00581B80">
        <w:t>,</w:t>
      </w:r>
      <w:r w:rsidR="001D2317">
        <w:t xml:space="preserve"> almost 75</w:t>
      </w:r>
      <w:r w:rsidR="002C342F">
        <w:t xml:space="preserve"> percent </w:t>
      </w:r>
      <w:r w:rsidR="001D2317">
        <w:t>of PSE</w:t>
      </w:r>
      <w:r w:rsidR="00515D83">
        <w:t>’s</w:t>
      </w:r>
      <w:r w:rsidR="001D2317">
        <w:t xml:space="preserve"> right of way is flanked by trees</w:t>
      </w:r>
      <w:r w:rsidR="00581B80">
        <w:t>,</w:t>
      </w:r>
      <w:r w:rsidR="001D2317">
        <w:t xml:space="preserve"> which compounds the impact of wind events.</w:t>
      </w:r>
      <w:r w:rsidR="00A562F6">
        <w:t xml:space="preserve"> </w:t>
      </w:r>
      <w:r w:rsidR="001D2317">
        <w:t>Re</w:t>
      </w:r>
      <w:r w:rsidR="00C00A8D">
        <w:t xml:space="preserve">storation efforts result in </w:t>
      </w:r>
      <w:r w:rsidR="00581B80">
        <w:t>significant</w:t>
      </w:r>
      <w:r>
        <w:t xml:space="preserve"> costs that PSE should be allowed to recover </w:t>
      </w:r>
      <w:r w:rsidR="00A267DE">
        <w:t xml:space="preserve">to further its goal of providing </w:t>
      </w:r>
      <w:r>
        <w:t>safe and reliable service to its customers</w:t>
      </w:r>
      <w:r w:rsidR="00C00A8D">
        <w:t>.</w:t>
      </w:r>
      <w:r w:rsidR="00A562F6">
        <w:t xml:space="preserve"> </w:t>
      </w:r>
      <w:r w:rsidR="000C592E">
        <w:t>The events are beyond PSE’s control and create variability and volatility in rates for customers if not deferred.</w:t>
      </w:r>
      <w:r w:rsidR="00A562F6">
        <w:t xml:space="preserve"> </w:t>
      </w:r>
    </w:p>
    <w:p w14:paraId="6548010A" w14:textId="0402A2B3" w:rsidR="003346A7" w:rsidRPr="00744C6E" w:rsidRDefault="00434256" w:rsidP="00A253E1">
      <w:pPr>
        <w:pStyle w:val="question"/>
        <w:rPr>
          <w:color w:val="000000" w:themeColor="text1"/>
        </w:rPr>
      </w:pPr>
      <w:r>
        <w:t>Q.</w:t>
      </w:r>
      <w:r>
        <w:tab/>
      </w:r>
      <w:r w:rsidR="003346A7" w:rsidRPr="00744C6E">
        <w:t>Plea</w:t>
      </w:r>
      <w:r w:rsidR="00C10614">
        <w:t>se describe</w:t>
      </w:r>
      <w:r w:rsidR="00697484">
        <w:t xml:space="preserve"> IEEE</w:t>
      </w:r>
      <w:r w:rsidR="00B444D0">
        <w:t xml:space="preserve"> </w:t>
      </w:r>
      <w:r w:rsidR="00313E85">
        <w:t>St</w:t>
      </w:r>
      <w:r w:rsidR="002C342F">
        <w:t>andard</w:t>
      </w:r>
      <w:r w:rsidR="00313E85">
        <w:t xml:space="preserve"> </w:t>
      </w:r>
      <w:r w:rsidR="00697484">
        <w:t>1366.</w:t>
      </w:r>
    </w:p>
    <w:p w14:paraId="1CC578A9" w14:textId="032A1A4A" w:rsidR="00551CF4" w:rsidRDefault="003346A7" w:rsidP="00A253E1">
      <w:pPr>
        <w:pStyle w:val="Answer0"/>
      </w:pPr>
      <w:r w:rsidRPr="00744C6E">
        <w:t>A.</w:t>
      </w:r>
      <w:r w:rsidRPr="00744C6E">
        <w:tab/>
      </w:r>
      <w:r w:rsidR="00551CF4">
        <w:t xml:space="preserve">IEEE </w:t>
      </w:r>
      <w:r w:rsidR="001D2317">
        <w:t>is the leading authority in electric power technologies and advancements.</w:t>
      </w:r>
      <w:r w:rsidR="00A562F6">
        <w:t xml:space="preserve"> </w:t>
      </w:r>
      <w:r w:rsidR="001D2317">
        <w:t xml:space="preserve">It has roots dating back to </w:t>
      </w:r>
      <w:r w:rsidR="00551CF4" w:rsidRPr="001D2317">
        <w:t>1884</w:t>
      </w:r>
      <w:r w:rsidR="00551CF4" w:rsidRPr="00790930">
        <w:t xml:space="preserve"> with more than 420,000 members in over 160 </w:t>
      </w:r>
      <w:r w:rsidR="00551CF4" w:rsidRPr="00790930">
        <w:lastRenderedPageBreak/>
        <w:t>countries with more than 1</w:t>
      </w:r>
      <w:r w:rsidR="00515D83">
        <w:t>,</w:t>
      </w:r>
      <w:r w:rsidR="00551CF4" w:rsidRPr="00790930">
        <w:t>300 active standards and 500 in development.</w:t>
      </w:r>
      <w:r w:rsidR="00A562F6">
        <w:t xml:space="preserve"> </w:t>
      </w:r>
      <w:r w:rsidR="00551CF4" w:rsidRPr="00790930">
        <w:t xml:space="preserve">Through its global membership, IEEE </w:t>
      </w:r>
      <w:r w:rsidR="001D2317">
        <w:t xml:space="preserve">leads technical collaboration in </w:t>
      </w:r>
      <w:r w:rsidR="00551CF4" w:rsidRPr="00790930">
        <w:t>areas ranging from aerospace systems, computers and telecommunications to biomedical engineering, electric power and consumer electronics.</w:t>
      </w:r>
      <w:r w:rsidR="00A562F6">
        <w:t xml:space="preserve"> </w:t>
      </w:r>
      <w:r w:rsidR="00551CF4" w:rsidRPr="00790930">
        <w:t xml:space="preserve">In 2004, </w:t>
      </w:r>
      <w:r w:rsidR="00515D83">
        <w:t xml:space="preserve">Commission Staff witness </w:t>
      </w:r>
      <w:r w:rsidR="00551CF4" w:rsidRPr="00790930">
        <w:t xml:space="preserve">Mr. </w:t>
      </w:r>
      <w:r w:rsidR="00581B80" w:rsidRPr="00790930">
        <w:t>Ki</w:t>
      </w:r>
      <w:r w:rsidR="00581B80">
        <w:t>l</w:t>
      </w:r>
      <w:r w:rsidR="00581B80" w:rsidRPr="00790930">
        <w:t xml:space="preserve">patrick </w:t>
      </w:r>
      <w:r w:rsidR="00551CF4" w:rsidRPr="00790930">
        <w:t>provided</w:t>
      </w:r>
      <w:r w:rsidR="00E56B17">
        <w:t xml:space="preserve"> testimony</w:t>
      </w:r>
      <w:r w:rsidR="00551CF4" w:rsidRPr="00790930">
        <w:t xml:space="preserve"> noting his support</w:t>
      </w:r>
      <w:r w:rsidR="00E56B17">
        <w:rPr>
          <w:rStyle w:val="FootnoteReference"/>
          <w:color w:val="000000" w:themeColor="text1"/>
          <w:szCs w:val="24"/>
        </w:rPr>
        <w:footnoteReference w:id="17"/>
      </w:r>
      <w:r w:rsidR="00551CF4" w:rsidRPr="00790930">
        <w:t xml:space="preserve"> of the IEEE</w:t>
      </w:r>
      <w:r w:rsidR="00313E85">
        <w:t xml:space="preserve"> St</w:t>
      </w:r>
      <w:r w:rsidR="002C342F">
        <w:t>andard</w:t>
      </w:r>
      <w:r w:rsidR="00313E85">
        <w:t xml:space="preserve"> </w:t>
      </w:r>
      <w:r w:rsidR="00551CF4" w:rsidRPr="00790930">
        <w:t>1366-2003 at the time that established common definitions for indices used to measure electric system reliability and introduced this concept of “major events</w:t>
      </w:r>
      <w:r w:rsidR="00233BF1">
        <w:t>.</w:t>
      </w:r>
      <w:r w:rsidR="00551CF4" w:rsidRPr="00790930">
        <w:t>”</w:t>
      </w:r>
      <w:r w:rsidR="00E56B17">
        <w:rPr>
          <w:rStyle w:val="FootnoteReference"/>
          <w:color w:val="000000" w:themeColor="text1"/>
          <w:szCs w:val="24"/>
        </w:rPr>
        <w:footnoteReference w:id="18"/>
      </w:r>
      <w:r w:rsidR="00A562F6">
        <w:t xml:space="preserve"> </w:t>
      </w:r>
      <w:r w:rsidR="00944AC2">
        <w:t xml:space="preserve">Although </w:t>
      </w:r>
      <w:r w:rsidR="00E56B17">
        <w:t>neither</w:t>
      </w:r>
      <w:r w:rsidR="002C342F">
        <w:t xml:space="preserve"> IEEE Standard</w:t>
      </w:r>
      <w:r w:rsidR="00313E85">
        <w:t xml:space="preserve"> 1</w:t>
      </w:r>
      <w:r w:rsidR="00551CF4" w:rsidRPr="00790930">
        <w:t>366</w:t>
      </w:r>
      <w:r w:rsidR="00313E85">
        <w:t>-</w:t>
      </w:r>
      <w:r w:rsidR="002C342F">
        <w:t>2003 nor IEEE Standard</w:t>
      </w:r>
      <w:r w:rsidR="00313E85">
        <w:t xml:space="preserve"> </w:t>
      </w:r>
      <w:r w:rsidR="00551CF4" w:rsidRPr="00790930">
        <w:t>1366</w:t>
      </w:r>
      <w:r w:rsidR="00313E85">
        <w:t>-</w:t>
      </w:r>
      <w:r w:rsidR="00551CF4" w:rsidRPr="00790930">
        <w:t xml:space="preserve">2012 </w:t>
      </w:r>
      <w:r w:rsidR="00E56B17">
        <w:t xml:space="preserve">specifically </w:t>
      </w:r>
      <w:r w:rsidR="00551CF4" w:rsidRPr="00790930">
        <w:t>discuss its use in accounting mechanisms</w:t>
      </w:r>
      <w:r w:rsidR="00E56B17">
        <w:t xml:space="preserve">, in the 2004 GRC, Mr. </w:t>
      </w:r>
      <w:r w:rsidR="00944AC2">
        <w:t xml:space="preserve">Kilpatrick testified in support of using this standard to </w:t>
      </w:r>
      <w:r w:rsidR="00944AC2" w:rsidRPr="00790930">
        <w:t>determin</w:t>
      </w:r>
      <w:r w:rsidR="00944AC2">
        <w:t>e</w:t>
      </w:r>
      <w:r w:rsidR="00944AC2" w:rsidRPr="00790930">
        <w:t xml:space="preserve"> storm deferral triggers.</w:t>
      </w:r>
      <w:r w:rsidR="00E56B17">
        <w:rPr>
          <w:rStyle w:val="FootnoteReference"/>
          <w:color w:val="000000" w:themeColor="text1"/>
          <w:szCs w:val="24"/>
        </w:rPr>
        <w:footnoteReference w:id="19"/>
      </w:r>
      <w:r w:rsidR="00A562F6">
        <w:t xml:space="preserve"> </w:t>
      </w:r>
      <w:r w:rsidR="00551CF4" w:rsidRPr="00790930">
        <w:t>IEEE</w:t>
      </w:r>
      <w:r w:rsidR="002C342F">
        <w:t xml:space="preserve"> Standard</w:t>
      </w:r>
      <w:r w:rsidR="00313E85">
        <w:t xml:space="preserve"> </w:t>
      </w:r>
      <w:r w:rsidR="00551CF4" w:rsidRPr="00790930">
        <w:t>1366 defines the methodology and calculation of a major event day threshold value, T</w:t>
      </w:r>
      <w:r w:rsidR="00551CF4" w:rsidRPr="00790930">
        <w:rPr>
          <w:vertAlign w:val="subscript"/>
        </w:rPr>
        <w:t>MED</w:t>
      </w:r>
      <w:r w:rsidR="00551CF4" w:rsidRPr="00790930">
        <w:t>, which is based on values of daily SAIDI for the previous five years.</w:t>
      </w:r>
      <w:r w:rsidR="00A562F6">
        <w:t xml:space="preserve"> </w:t>
      </w:r>
    </w:p>
    <w:p w14:paraId="6FBF09C2" w14:textId="0272591D" w:rsidR="00313E85" w:rsidRPr="00790930" w:rsidRDefault="00313E85" w:rsidP="00A253E1">
      <w:pPr>
        <w:pStyle w:val="question"/>
      </w:pPr>
      <w:r w:rsidRPr="00790930">
        <w:lastRenderedPageBreak/>
        <w:t>Q.</w:t>
      </w:r>
      <w:r w:rsidRPr="00790930">
        <w:tab/>
        <w:t xml:space="preserve">Does having more than 2.3 major event days per year mean PSE is incorrectly </w:t>
      </w:r>
      <w:r w:rsidR="00944AC2">
        <w:t xml:space="preserve">categorizing storms </w:t>
      </w:r>
      <w:r w:rsidRPr="00790930">
        <w:t xml:space="preserve">or that </w:t>
      </w:r>
      <w:r w:rsidR="00944AC2">
        <w:t>the standard</w:t>
      </w:r>
      <w:r w:rsidRPr="00790930">
        <w:t xml:space="preserve"> is inappropriate</w:t>
      </w:r>
      <w:r w:rsidR="004C5C59">
        <w:t>, as Mr. Schooley claims</w:t>
      </w:r>
      <w:r w:rsidRPr="00790930">
        <w:t>?</w:t>
      </w:r>
    </w:p>
    <w:p w14:paraId="08391F85" w14:textId="111FF4A6" w:rsidR="004C5C59" w:rsidRPr="004C5C59" w:rsidRDefault="00313E85" w:rsidP="00A253E1">
      <w:pPr>
        <w:pStyle w:val="Answer0"/>
      </w:pPr>
      <w:r w:rsidRPr="007A10F0">
        <w:t>A.</w:t>
      </w:r>
      <w:r w:rsidRPr="007A10F0">
        <w:tab/>
      </w:r>
      <w:r w:rsidRPr="004127D7">
        <w:t>Mr. Schooley is correct that the 2.5</w:t>
      </w:r>
      <w:r w:rsidR="00733FDC" w:rsidRPr="004127D7">
        <w:t xml:space="preserve"> </w:t>
      </w:r>
      <w:r w:rsidRPr="004127D7">
        <w:t>beta value should, in theory,</w:t>
      </w:r>
      <w:r w:rsidRPr="001867C3">
        <w:t xml:space="preserve"> result in</w:t>
      </w:r>
      <w:r w:rsidR="004C5C59" w:rsidRPr="001867C3">
        <w:t>,</w:t>
      </w:r>
      <w:r w:rsidRPr="001867C3">
        <w:t xml:space="preserve"> on average</w:t>
      </w:r>
      <w:r w:rsidR="004C5C59" w:rsidRPr="002B10BF">
        <w:t>,</w:t>
      </w:r>
      <w:r w:rsidR="00233BF1">
        <w:t xml:space="preserve"> </w:t>
      </w:r>
      <w:r w:rsidRPr="002B10BF">
        <w:t>2.3 major event days</w:t>
      </w:r>
      <w:r w:rsidR="00DE5925">
        <w:t xml:space="preserve"> (“MED”)</w:t>
      </w:r>
      <w:r w:rsidRPr="007A10F0">
        <w:t xml:space="preserve"> per year.</w:t>
      </w:r>
      <w:r w:rsidR="00A562F6">
        <w:t xml:space="preserve"> </w:t>
      </w:r>
      <w:r w:rsidRPr="007A10F0">
        <w:t>However</w:t>
      </w:r>
      <w:r w:rsidRPr="004127D7">
        <w:t xml:space="preserve">, the </w:t>
      </w:r>
      <w:r w:rsidR="004C5C59" w:rsidRPr="001867C3">
        <w:t xml:space="preserve">fact </w:t>
      </w:r>
      <w:r w:rsidRPr="001867C3">
        <w:t xml:space="preserve">that PSE </w:t>
      </w:r>
      <w:r w:rsidR="004C5C59" w:rsidRPr="002B10BF">
        <w:t xml:space="preserve">has had </w:t>
      </w:r>
      <w:r w:rsidRPr="00387176">
        <w:t xml:space="preserve">more than 2.3 major event days should </w:t>
      </w:r>
      <w:r w:rsidR="004C5C59" w:rsidRPr="004C5C59">
        <w:t xml:space="preserve">not invalidate </w:t>
      </w:r>
      <w:r w:rsidRPr="004C5C59">
        <w:t>the methodology o</w:t>
      </w:r>
      <w:r w:rsidR="002C342F">
        <w:t>r its application.</w:t>
      </w:r>
      <w:r w:rsidR="00A562F6">
        <w:t xml:space="preserve"> </w:t>
      </w:r>
      <w:r w:rsidR="002C342F">
        <w:t>The IEEE Standard</w:t>
      </w:r>
      <w:r w:rsidRPr="004C5C59">
        <w:t xml:space="preserve"> 1366-2012 methodology assumes a log-normal distribution of daily SAIDI</w:t>
      </w:r>
      <w:r w:rsidR="00944AC2" w:rsidRPr="004C5C59">
        <w:t xml:space="preserve">; </w:t>
      </w:r>
      <w:r w:rsidRPr="004C5C59">
        <w:t>utility outage data follows a log-normal distribution</w:t>
      </w:r>
      <w:r w:rsidR="00944AC2" w:rsidRPr="004C5C59">
        <w:t xml:space="preserve"> approximately, but not perfectly</w:t>
      </w:r>
      <w:r w:rsidR="004C5C59" w:rsidRPr="004C5C59">
        <w:t xml:space="preserve">. </w:t>
      </w:r>
    </w:p>
    <w:p w14:paraId="0EE64540" w14:textId="46AA9A09" w:rsidR="00313E85" w:rsidRDefault="00A253E1" w:rsidP="00A253E1">
      <w:pPr>
        <w:pStyle w:val="Answer0"/>
      </w:pPr>
      <w:r>
        <w:tab/>
      </w:r>
      <w:r w:rsidR="00313E85" w:rsidRPr="00790930">
        <w:t xml:space="preserve">The </w:t>
      </w:r>
      <w:r w:rsidR="005E0124" w:rsidRPr="00790930">
        <w:t>performances of different values of beta were</w:t>
      </w:r>
      <w:r w:rsidR="00313E85" w:rsidRPr="00790930">
        <w:t xml:space="preserve"> examined by the </w:t>
      </w:r>
      <w:r w:rsidR="002C342F">
        <w:t xml:space="preserve">IEEE </w:t>
      </w:r>
      <w:r w:rsidR="00313E85" w:rsidRPr="00790930">
        <w:t>distribution working group</w:t>
      </w:r>
      <w:r w:rsidR="00E56B17">
        <w:t xml:space="preserve"> which</w:t>
      </w:r>
      <w:r w:rsidR="002C342F">
        <w:t xml:space="preserve"> found</w:t>
      </w:r>
      <w:r w:rsidR="00E56B17">
        <w:t xml:space="preserve"> </w:t>
      </w:r>
      <w:r w:rsidR="00313E85" w:rsidRPr="00790930">
        <w:t>“There is no analytical method of choosing an allowed number of MEDs/year.”</w:t>
      </w:r>
      <w:r w:rsidR="00A562F6">
        <w:t xml:space="preserve"> </w:t>
      </w:r>
      <w:r w:rsidR="00313E85" w:rsidRPr="00790930">
        <w:t xml:space="preserve">The </w:t>
      </w:r>
      <w:r w:rsidR="002C342F">
        <w:t xml:space="preserve">IEEE </w:t>
      </w:r>
      <w:r w:rsidR="00313E85" w:rsidRPr="00790930">
        <w:t>distribution working group members reached a consensus of 2.5 beta</w:t>
      </w:r>
      <w:r w:rsidR="004C5C59">
        <w:t>,</w:t>
      </w:r>
      <w:r w:rsidR="00313E85">
        <w:rPr>
          <w:rStyle w:val="FootnoteReference"/>
          <w:color w:val="000000" w:themeColor="text1"/>
          <w:szCs w:val="24"/>
        </w:rPr>
        <w:footnoteReference w:id="20"/>
      </w:r>
      <w:r w:rsidR="00313E85" w:rsidRPr="00790930">
        <w:t xml:space="preserve"> but </w:t>
      </w:r>
      <w:r w:rsidR="000A4C43">
        <w:t xml:space="preserve">noted that for a </w:t>
      </w:r>
      <w:r w:rsidR="00313E85" w:rsidRPr="00790930">
        <w:t xml:space="preserve">“wide range of distribution </w:t>
      </w:r>
      <w:r w:rsidR="000A4C43">
        <w:t>utilities,</w:t>
      </w:r>
      <w:r w:rsidR="00313E85" w:rsidRPr="00790930">
        <w:t xml:space="preserve"> more than 2.3 days</w:t>
      </w:r>
      <w:r w:rsidR="00E56B17">
        <w:t xml:space="preserve"> were usually classified as MEDs</w:t>
      </w:r>
      <w:r w:rsidR="00313E85" w:rsidRPr="00790930">
        <w:t>.”</w:t>
      </w:r>
      <w:r w:rsidR="00A562F6">
        <w:t xml:space="preserve"> </w:t>
      </w:r>
      <w:r w:rsidR="00313E85" w:rsidRPr="00790930">
        <w:t>Actual IEEE benchmarking survey results validate that statement.</w:t>
      </w:r>
      <w:r w:rsidR="00A562F6">
        <w:t xml:space="preserve"> </w:t>
      </w:r>
      <w:r w:rsidR="00313E85" w:rsidRPr="00790930">
        <w:t>The IEEE Benchmarking survey of the 2013 results show that the number of MEDs experienced by the 93 participating utilities ranged from</w:t>
      </w:r>
      <w:r w:rsidR="002C342F">
        <w:t xml:space="preserve"> 0 to 11 with an average of 3.53</w:t>
      </w:r>
      <w:r w:rsidR="00313E85" w:rsidRPr="00790930">
        <w:t xml:space="preserve"> MEDs per year</w:t>
      </w:r>
      <w:r w:rsidR="002C342F">
        <w:t xml:space="preserve"> with </w:t>
      </w:r>
      <w:r w:rsidR="00E56B17">
        <w:t>55%</w:t>
      </w:r>
      <w:r w:rsidR="002C342F">
        <w:t xml:space="preserve"> of the utilities having</w:t>
      </w:r>
      <w:r w:rsidR="00313E85" w:rsidRPr="00790930">
        <w:t xml:space="preserve"> more than 2.3 MEDs.</w:t>
      </w:r>
      <w:r w:rsidR="00A562F6">
        <w:t xml:space="preserve"> </w:t>
      </w:r>
      <w:r w:rsidR="00313E85" w:rsidRPr="00790930">
        <w:t xml:space="preserve">The IEEE Benchmarking survey of the 2011 results show that the number of MEDs experienced by the 90 participating utilities ranged from 0 to 23 with an average </w:t>
      </w:r>
      <w:r w:rsidR="00313E85" w:rsidRPr="00790930">
        <w:lastRenderedPageBreak/>
        <w:t>of 6.8 MEDs per year</w:t>
      </w:r>
      <w:r w:rsidR="002C342F">
        <w:t xml:space="preserve"> with </w:t>
      </w:r>
      <w:r w:rsidR="00E56B17">
        <w:t>76%</w:t>
      </w:r>
      <w:r w:rsidR="00313E85" w:rsidRPr="00790930">
        <w:t xml:space="preserve"> of the utilities ha</w:t>
      </w:r>
      <w:r w:rsidR="002C342F">
        <w:t>ving</w:t>
      </w:r>
      <w:r w:rsidR="00313E85" w:rsidRPr="00790930">
        <w:t xml:space="preserve"> more than 2.3 MEDs in 2011.</w:t>
      </w:r>
      <w:r w:rsidR="00A562F6">
        <w:t xml:space="preserve"> </w:t>
      </w:r>
      <w:r w:rsidR="00313E85">
        <w:t xml:space="preserve">With this in mind, </w:t>
      </w:r>
      <w:r w:rsidR="00DE5925">
        <w:t>the IEEE me</w:t>
      </w:r>
      <w:r w:rsidR="00E56B17">
        <w:t xml:space="preserve">thodology remains sound and is </w:t>
      </w:r>
      <w:r w:rsidR="00313E85">
        <w:t xml:space="preserve">used by the majority of utilities to bring </w:t>
      </w:r>
      <w:r w:rsidR="00313E85" w:rsidRPr="00790930">
        <w:t>consistency and comparability of reliability indices irrespective of the size or geography of utilities</w:t>
      </w:r>
      <w:r w:rsidR="00DE5925">
        <w:t>.</w:t>
      </w:r>
      <w:r w:rsidR="00A562F6">
        <w:t xml:space="preserve"> </w:t>
      </w:r>
      <w:r w:rsidR="00DE5925">
        <w:t xml:space="preserve">It is </w:t>
      </w:r>
      <w:r w:rsidR="00313E85">
        <w:t>a methodology used by all the other utilities in the Wash</w:t>
      </w:r>
      <w:r w:rsidR="00E56B17">
        <w:t>ington state for the purposes of</w:t>
      </w:r>
      <w:r w:rsidR="00313E85">
        <w:t xml:space="preserve"> reporting SAIDI performance.</w:t>
      </w:r>
    </w:p>
    <w:p w14:paraId="6548010C" w14:textId="0FC4449B" w:rsidR="00F331F4" w:rsidRPr="00C87B2C" w:rsidRDefault="00F331F4" w:rsidP="00A253E1">
      <w:pPr>
        <w:pStyle w:val="question"/>
      </w:pPr>
      <w:r w:rsidRPr="00C87B2C">
        <w:t>Q.</w:t>
      </w:r>
      <w:r w:rsidRPr="00C87B2C">
        <w:tab/>
        <w:t xml:space="preserve">Why is </w:t>
      </w:r>
      <w:r w:rsidR="00B444D0">
        <w:t xml:space="preserve">the modified </w:t>
      </w:r>
      <w:r w:rsidRPr="00A253E1">
        <w:t>IEEE</w:t>
      </w:r>
      <w:r w:rsidR="00B444D0">
        <w:t xml:space="preserve"> </w:t>
      </w:r>
      <w:r w:rsidR="00B46B28">
        <w:t>Standard</w:t>
      </w:r>
      <w:r w:rsidR="00313E85">
        <w:t xml:space="preserve"> </w:t>
      </w:r>
      <w:r w:rsidRPr="00C87B2C">
        <w:t>1366 an appropriate standard to use for determining w</w:t>
      </w:r>
      <w:r w:rsidR="00B444D0">
        <w:t xml:space="preserve">hen </w:t>
      </w:r>
      <w:r w:rsidRPr="00C87B2C">
        <w:t>storms should be deferred?</w:t>
      </w:r>
    </w:p>
    <w:p w14:paraId="1C835BE0" w14:textId="1C76281D" w:rsidR="00313E85" w:rsidRDefault="00F331F4" w:rsidP="00A253E1">
      <w:pPr>
        <w:pStyle w:val="Answer0"/>
      </w:pPr>
      <w:r>
        <w:t>A.</w:t>
      </w:r>
      <w:r>
        <w:tab/>
      </w:r>
      <w:r w:rsidR="00E56B17">
        <w:t>Mr. Schooley’s suggestion that IEEE Standard 1366 creates an inaccurate representation of storm patterns because not all qualifying events are “catastrophic storms” is incorrect.</w:t>
      </w:r>
      <w:r w:rsidR="00A562F6">
        <w:t xml:space="preserve"> </w:t>
      </w:r>
      <w:r w:rsidR="00B444D0" w:rsidRPr="00790930">
        <w:t xml:space="preserve">The word </w:t>
      </w:r>
      <w:r w:rsidR="00D253C4">
        <w:t>“</w:t>
      </w:r>
      <w:r w:rsidR="00B444D0" w:rsidRPr="00790930">
        <w:t>severity</w:t>
      </w:r>
      <w:r w:rsidR="00D253C4">
        <w:t>”</w:t>
      </w:r>
      <w:r w:rsidR="00B444D0">
        <w:t xml:space="preserve"> or </w:t>
      </w:r>
      <w:r w:rsidR="00D253C4">
        <w:t>“</w:t>
      </w:r>
      <w:r w:rsidR="00B444D0">
        <w:t>catastrophic</w:t>
      </w:r>
      <w:r w:rsidR="00D253C4">
        <w:t>”</w:t>
      </w:r>
      <w:r w:rsidR="00B444D0" w:rsidRPr="00790930">
        <w:t xml:space="preserve"> is also not s</w:t>
      </w:r>
      <w:r w:rsidR="002C342F">
        <w:t>pecifically used in the IEEE Standard</w:t>
      </w:r>
      <w:r w:rsidR="00313E85">
        <w:t xml:space="preserve"> </w:t>
      </w:r>
      <w:r w:rsidR="00B444D0">
        <w:t>1366</w:t>
      </w:r>
      <w:r w:rsidR="00DE5925">
        <w:t>.</w:t>
      </w:r>
      <w:r w:rsidR="00A562F6">
        <w:t xml:space="preserve"> </w:t>
      </w:r>
      <w:r w:rsidR="00DE5925">
        <w:t>A</w:t>
      </w:r>
      <w:r w:rsidR="00C87B2C" w:rsidRPr="00790930">
        <w:t xml:space="preserve"> </w:t>
      </w:r>
      <w:r w:rsidR="00D253C4">
        <w:t>MED</w:t>
      </w:r>
      <w:r w:rsidR="00C87B2C" w:rsidRPr="00790930">
        <w:t xml:space="preserve"> </w:t>
      </w:r>
      <w:r w:rsidR="00DE5925">
        <w:t xml:space="preserve">is </w:t>
      </w:r>
      <w:r w:rsidR="00C87B2C" w:rsidRPr="00790930">
        <w:t>defined as those instances that exceed the reasonable design and or operational limits of the electric power system</w:t>
      </w:r>
      <w:r w:rsidR="00DE5925">
        <w:t>;</w:t>
      </w:r>
      <w:r w:rsidR="00C87B2C" w:rsidRPr="00790930">
        <w:t xml:space="preserve"> it</w:t>
      </w:r>
      <w:r w:rsidR="00DE5925">
        <w:t>,</w:t>
      </w:r>
      <w:r w:rsidR="00C87B2C" w:rsidRPr="00790930">
        <w:t xml:space="preserve"> in essence</w:t>
      </w:r>
      <w:r w:rsidR="00DE5925">
        <w:t>,</w:t>
      </w:r>
      <w:r w:rsidR="00C87B2C" w:rsidRPr="00790930">
        <w:t xml:space="preserve"> separates normal events from unusual events for the purposes of moni</w:t>
      </w:r>
      <w:r w:rsidR="00C87B2C">
        <w:t>toring trends and performance.</w:t>
      </w:r>
      <w:r w:rsidR="00A562F6">
        <w:t xml:space="preserve"> </w:t>
      </w:r>
      <w:r w:rsidR="00C87B2C">
        <w:t xml:space="preserve">It is only recently that IEEE has begun debating the term </w:t>
      </w:r>
      <w:r w:rsidR="00D253C4">
        <w:t>“</w:t>
      </w:r>
      <w:r w:rsidR="00C87B2C">
        <w:t>catastrophic event</w:t>
      </w:r>
      <w:r w:rsidR="00D253C4">
        <w:t>”</w:t>
      </w:r>
      <w:r w:rsidR="00C87B2C">
        <w:t xml:space="preserve"> within its utility work groups as a result of observing the trend of increasing </w:t>
      </w:r>
      <w:r w:rsidR="00C87B2C" w:rsidRPr="00790930">
        <w:t>T</w:t>
      </w:r>
      <w:r w:rsidR="00C87B2C" w:rsidRPr="00790930">
        <w:rPr>
          <w:vertAlign w:val="subscript"/>
        </w:rPr>
        <w:t>MED</w:t>
      </w:r>
      <w:r w:rsidR="00C87B2C">
        <w:t xml:space="preserve"> across utilities due to very extreme events</w:t>
      </w:r>
      <w:r w:rsidR="00B444D0">
        <w:t>.</w:t>
      </w:r>
      <w:r w:rsidR="00A562F6">
        <w:t xml:space="preserve"> </w:t>
      </w:r>
      <w:r w:rsidR="00B444D0">
        <w:t>These work groups have been leaning towards defining catastrophic as exceeding 4.5</w:t>
      </w:r>
      <w:r w:rsidR="00313E85">
        <w:t xml:space="preserve"> </w:t>
      </w:r>
      <w:r w:rsidR="00B444D0">
        <w:t xml:space="preserve">beta </w:t>
      </w:r>
      <w:r w:rsidR="002C342F">
        <w:t>but this has no</w:t>
      </w:r>
      <w:r w:rsidR="00D253C4">
        <w:t>t been formally published in a s</w:t>
      </w:r>
      <w:r w:rsidR="002C342F">
        <w:t>tandard as of yet</w:t>
      </w:r>
      <w:r w:rsidR="00B444D0">
        <w:t>.</w:t>
      </w:r>
      <w:r w:rsidR="00A562F6">
        <w:t xml:space="preserve"> </w:t>
      </w:r>
    </w:p>
    <w:p w14:paraId="7128B9D7" w14:textId="7668666E" w:rsidR="00313E85" w:rsidRDefault="00313E85" w:rsidP="00A253E1">
      <w:pPr>
        <w:pStyle w:val="question"/>
      </w:pPr>
      <w:r w:rsidRPr="00D34139">
        <w:lastRenderedPageBreak/>
        <w:t>Q.</w:t>
      </w:r>
      <w:r>
        <w:tab/>
        <w:t xml:space="preserve">Are there other </w:t>
      </w:r>
      <w:r w:rsidRPr="00A253E1">
        <w:t>types</w:t>
      </w:r>
      <w:r>
        <w:t xml:space="preserve"> of storm events for which PSE incurs costs?</w:t>
      </w:r>
    </w:p>
    <w:p w14:paraId="20CBE83A" w14:textId="1A2D025A" w:rsidR="00313E85" w:rsidRPr="00A8657C" w:rsidRDefault="00313E85" w:rsidP="00A253E1">
      <w:pPr>
        <w:pStyle w:val="Answer0"/>
      </w:pPr>
      <w:r w:rsidRPr="00E64CDC">
        <w:rPr>
          <w:szCs w:val="24"/>
        </w:rPr>
        <w:t>A.</w:t>
      </w:r>
      <w:r w:rsidRPr="00E64CDC">
        <w:rPr>
          <w:szCs w:val="24"/>
        </w:rPr>
        <w:tab/>
      </w:r>
      <w:r>
        <w:rPr>
          <w:szCs w:val="24"/>
        </w:rPr>
        <w:t>Yes.</w:t>
      </w:r>
      <w:r w:rsidR="00A562F6">
        <w:t xml:space="preserve"> </w:t>
      </w:r>
      <w:r>
        <w:rPr>
          <w:szCs w:val="24"/>
        </w:rPr>
        <w:t>There are other storm events that do not meet the modified IEEE standard.</w:t>
      </w:r>
      <w:r w:rsidR="00A562F6">
        <w:t xml:space="preserve"> </w:t>
      </w:r>
      <w:r w:rsidR="002E0DAB">
        <w:t>From 2007 t</w:t>
      </w:r>
      <w:r w:rsidR="00D047FD">
        <w:t>o 2016, there were 33</w:t>
      </w:r>
      <w:r w:rsidR="002E0DAB">
        <w:t xml:space="preserve"> storm events that did not meet the modified IEEE standard t</w:t>
      </w:r>
      <w:r w:rsidR="00D253C4">
        <w:t>hreshold.</w:t>
      </w:r>
      <w:r w:rsidR="00A562F6">
        <w:t xml:space="preserve"> </w:t>
      </w:r>
      <w:r w:rsidR="002E0DAB">
        <w:t>Additionally</w:t>
      </w:r>
      <w:r w:rsidR="008001B2">
        <w:t>, from 2007 to 2016, there were four days that met the T</w:t>
      </w:r>
      <w:r w:rsidR="008001B2" w:rsidRPr="008001B2">
        <w:rPr>
          <w:vertAlign w:val="subscript"/>
        </w:rPr>
        <w:t>MED</w:t>
      </w:r>
      <w:r w:rsidR="008001B2">
        <w:t xml:space="preserve"> t</w:t>
      </w:r>
      <w:r w:rsidR="00D047FD">
        <w:t>hreshold but were where</w:t>
      </w:r>
      <w:r w:rsidR="008001B2">
        <w:t xml:space="preserve"> the extreme weather was localized</w:t>
      </w:r>
      <w:r w:rsidR="002E0DAB">
        <w:t>.</w:t>
      </w:r>
      <w:r w:rsidR="00A562F6">
        <w:t xml:space="preserve"> </w:t>
      </w:r>
      <w:r w:rsidR="002E0DAB">
        <w:t xml:space="preserve">Restoration costs associated with these </w:t>
      </w:r>
      <w:r w:rsidR="008001B2">
        <w:t xml:space="preserve">37 </w:t>
      </w:r>
      <w:r w:rsidR="002E0DAB">
        <w:t xml:space="preserve">events are not included </w:t>
      </w:r>
      <w:r w:rsidR="008001B2">
        <w:t>in the deferral mechanism</w:t>
      </w:r>
      <w:r w:rsidR="002E0DAB">
        <w:t>.</w:t>
      </w:r>
    </w:p>
    <w:p w14:paraId="6548010E" w14:textId="5D4B34F1" w:rsidR="00E37D6C" w:rsidRDefault="00E37D6C" w:rsidP="00A253E1">
      <w:pPr>
        <w:pStyle w:val="question"/>
      </w:pPr>
      <w:r>
        <w:t>Q.</w:t>
      </w:r>
      <w:r>
        <w:tab/>
        <w:t xml:space="preserve">Are there </w:t>
      </w:r>
      <w:r w:rsidRPr="008909AC">
        <w:t>costs that are related to qualifying storms that are not deferred</w:t>
      </w:r>
      <w:r>
        <w:t>?</w:t>
      </w:r>
      <w:r w:rsidRPr="008909AC">
        <w:t xml:space="preserve"> </w:t>
      </w:r>
    </w:p>
    <w:p w14:paraId="1C59E3F9" w14:textId="14D89842" w:rsidR="00C10614" w:rsidRDefault="00E37D6C" w:rsidP="00A253E1">
      <w:pPr>
        <w:pStyle w:val="Answer0"/>
      </w:pPr>
      <w:r>
        <w:rPr>
          <w:color w:val="000000" w:themeColor="text1"/>
          <w:szCs w:val="24"/>
        </w:rPr>
        <w:t>A.</w:t>
      </w:r>
      <w:r>
        <w:rPr>
          <w:color w:val="000000" w:themeColor="text1"/>
          <w:szCs w:val="24"/>
        </w:rPr>
        <w:tab/>
      </w:r>
      <w:r w:rsidR="00660F65">
        <w:t>Yes.</w:t>
      </w:r>
      <w:r w:rsidR="00A562F6">
        <w:t xml:space="preserve"> </w:t>
      </w:r>
      <w:r w:rsidR="00733FDC" w:rsidRPr="005E04C4">
        <w:rPr>
          <w:lang w:eastAsia="en-US"/>
        </w:rPr>
        <w:t>Even when associated with a</w:t>
      </w:r>
      <w:r w:rsidR="00733FDC">
        <w:rPr>
          <w:lang w:eastAsia="en-US"/>
        </w:rPr>
        <w:t xml:space="preserve"> </w:t>
      </w:r>
      <w:r w:rsidR="00733FDC" w:rsidRPr="005E04C4">
        <w:rPr>
          <w:lang w:eastAsia="en-US"/>
        </w:rPr>
        <w:t>qualifying event, some costs cannot be deferred.</w:t>
      </w:r>
      <w:r w:rsidR="00A562F6">
        <w:rPr>
          <w:lang w:eastAsia="en-US"/>
        </w:rPr>
        <w:t xml:space="preserve"> </w:t>
      </w:r>
      <w:r w:rsidR="00660F65">
        <w:t xml:space="preserve">Only incremental transmission and distribution electric system repair costs incurred by the Company </w:t>
      </w:r>
      <w:r w:rsidR="00733FDC">
        <w:t xml:space="preserve">during </w:t>
      </w:r>
      <w:r w:rsidR="00660F65">
        <w:t>qualifying storm event may be deferred such as overtime pay for employees, outside contractor costs, and stores material and material overheads to name a few.</w:t>
      </w:r>
      <w:r w:rsidR="00A562F6">
        <w:t xml:space="preserve"> </w:t>
      </w:r>
      <w:r w:rsidR="00660F65" w:rsidRPr="005E04C4">
        <w:rPr>
          <w:lang w:eastAsia="en-US"/>
        </w:rPr>
        <w:t>Straight-time labor costs associated with professional engineers that normally do not charge time to work orders</w:t>
      </w:r>
      <w:r w:rsidR="00660F65">
        <w:rPr>
          <w:lang w:eastAsia="en-US"/>
        </w:rPr>
        <w:t>,</w:t>
      </w:r>
      <w:r w:rsidR="00660F65" w:rsidRPr="005E04C4">
        <w:rPr>
          <w:lang w:eastAsia="en-US"/>
        </w:rPr>
        <w:t xml:space="preserve"> </w:t>
      </w:r>
      <w:r w:rsidR="00660F65">
        <w:rPr>
          <w:lang w:eastAsia="en-US"/>
        </w:rPr>
        <w:t xml:space="preserve">straight-time </w:t>
      </w:r>
      <w:r w:rsidR="00660F65" w:rsidRPr="005E04C4">
        <w:rPr>
          <w:lang w:eastAsia="en-US"/>
        </w:rPr>
        <w:t xml:space="preserve">labor costs for stores personnel or fleet services personnel are </w:t>
      </w:r>
      <w:r w:rsidR="00660F65">
        <w:rPr>
          <w:lang w:eastAsia="en-US"/>
        </w:rPr>
        <w:t xml:space="preserve">all </w:t>
      </w:r>
      <w:r w:rsidR="00660F65" w:rsidRPr="005E04C4">
        <w:rPr>
          <w:lang w:eastAsia="en-US"/>
        </w:rPr>
        <w:t xml:space="preserve">examples of costs that </w:t>
      </w:r>
      <w:r w:rsidR="008001B2">
        <w:rPr>
          <w:lang w:eastAsia="en-US"/>
        </w:rPr>
        <w:t xml:space="preserve">are not </w:t>
      </w:r>
      <w:r w:rsidR="00660F65" w:rsidRPr="005E04C4">
        <w:rPr>
          <w:lang w:eastAsia="en-US"/>
        </w:rPr>
        <w:t>deferred.</w:t>
      </w:r>
      <w:r w:rsidR="00A562F6">
        <w:rPr>
          <w:lang w:eastAsia="en-US"/>
        </w:rPr>
        <w:t xml:space="preserve"> </w:t>
      </w:r>
      <w:r w:rsidR="00660F65">
        <w:t xml:space="preserve"> </w:t>
      </w:r>
    </w:p>
    <w:p w14:paraId="65480110" w14:textId="3F8B8ABE" w:rsidR="00FA0867" w:rsidRPr="00C10614" w:rsidRDefault="00FA0867" w:rsidP="00A253E1">
      <w:pPr>
        <w:pStyle w:val="question"/>
      </w:pPr>
      <w:r w:rsidRPr="00C10614">
        <w:t>Q.</w:t>
      </w:r>
      <w:r w:rsidRPr="00C10614">
        <w:tab/>
        <w:t xml:space="preserve">Do you have concerns with Mr. Schooley’s proposal for PSE to seek deferred accounting treatment for </w:t>
      </w:r>
      <w:r w:rsidRPr="00A253E1">
        <w:t>each</w:t>
      </w:r>
      <w:r w:rsidRPr="00C10614">
        <w:t xml:space="preserve"> storm rather than using the existing storm deferral mechanism?</w:t>
      </w:r>
    </w:p>
    <w:p w14:paraId="65480111" w14:textId="0E2D67C3" w:rsidR="00FA0867" w:rsidRDefault="00FA0867" w:rsidP="00A253E1">
      <w:pPr>
        <w:pStyle w:val="Answer0"/>
      </w:pPr>
      <w:r>
        <w:t>A.</w:t>
      </w:r>
      <w:r>
        <w:tab/>
        <w:t>Yes.</w:t>
      </w:r>
      <w:r w:rsidR="00A562F6">
        <w:t xml:space="preserve"> </w:t>
      </w:r>
      <w:r>
        <w:t xml:space="preserve">It would be burdensome for PSE to take time to support the preparation of an accounting petition to defer storm costs while the Company is </w:t>
      </w:r>
      <w:r w:rsidR="00822D73">
        <w:t xml:space="preserve">facing a storm and </w:t>
      </w:r>
      <w:r>
        <w:lastRenderedPageBreak/>
        <w:t>engaged in restoration efforts.</w:t>
      </w:r>
      <w:r w:rsidR="00A562F6">
        <w:t xml:space="preserve"> </w:t>
      </w:r>
      <w:r>
        <w:t>My understanding is, without automatic deferral, storm costs would not be eligible for deferral until an accounting petition is filed, and any costs incurred before the filing are not eligible for deferral.</w:t>
      </w:r>
      <w:r w:rsidR="00A562F6">
        <w:t xml:space="preserve"> </w:t>
      </w:r>
      <w:r>
        <w:t>It would be burdensome for operations personnel to take time out to assist in the preparation of a</w:t>
      </w:r>
      <w:r w:rsidR="00E76ECA">
        <w:t>n accounting petition during a storm.</w:t>
      </w:r>
      <w:r w:rsidR="00A562F6">
        <w:t xml:space="preserve"> </w:t>
      </w:r>
    </w:p>
    <w:p w14:paraId="5A7B3B01" w14:textId="77777777" w:rsidR="00656D40" w:rsidRPr="00656D40" w:rsidRDefault="00656D40" w:rsidP="00A253E1">
      <w:pPr>
        <w:pStyle w:val="Heading1"/>
        <w:ind w:left="0" w:right="0"/>
      </w:pPr>
      <w:bookmarkStart w:id="8" w:name="_Toc488438460"/>
      <w:bookmarkStart w:id="9" w:name="_Toc489949730"/>
      <w:r w:rsidRPr="00656D40">
        <w:rPr>
          <w:rFonts w:eastAsia="SimSun"/>
        </w:rPr>
        <w:t>V.</w:t>
      </w:r>
      <w:r w:rsidRPr="00656D40">
        <w:rPr>
          <w:rFonts w:eastAsia="SimSun"/>
        </w:rPr>
        <w:tab/>
        <w:t>ARDMORE PROJECT</w:t>
      </w:r>
      <w:bookmarkEnd w:id="8"/>
      <w:bookmarkEnd w:id="9"/>
    </w:p>
    <w:p w14:paraId="4493860E" w14:textId="36A0824A" w:rsidR="00656D40" w:rsidRPr="005D1B9D" w:rsidRDefault="002D3765" w:rsidP="00A253E1">
      <w:pPr>
        <w:pStyle w:val="Heading2"/>
      </w:pPr>
      <w:bookmarkStart w:id="10" w:name="_Toc489949731"/>
      <w:r w:rsidRPr="00CE2B5F">
        <w:rPr>
          <w:u w:val="none"/>
        </w:rPr>
        <w:t>A.</w:t>
      </w:r>
      <w:r w:rsidRPr="00CE2B5F">
        <w:rPr>
          <w:u w:val="none"/>
        </w:rPr>
        <w:tab/>
      </w:r>
      <w:r w:rsidR="00656D40" w:rsidRPr="00D57DE9">
        <w:t>Overview</w:t>
      </w:r>
      <w:r w:rsidR="00656D40" w:rsidRPr="005D1B9D">
        <w:t xml:space="preserve"> of Ardmore Substation</w:t>
      </w:r>
      <w:bookmarkEnd w:id="10"/>
    </w:p>
    <w:p w14:paraId="6A8AA81E" w14:textId="335A0119" w:rsidR="00656D40" w:rsidRPr="00656D40" w:rsidRDefault="00656D40" w:rsidP="00A253E1">
      <w:pPr>
        <w:pStyle w:val="question"/>
        <w:rPr>
          <w:color w:val="000000" w:themeColor="text1"/>
        </w:rPr>
      </w:pPr>
      <w:r w:rsidRPr="00656D40">
        <w:t>Q.</w:t>
      </w:r>
      <w:r w:rsidRPr="00656D40">
        <w:tab/>
        <w:t xml:space="preserve">Please describe the Ardmore Substation for </w:t>
      </w:r>
      <w:r w:rsidRPr="00A253E1">
        <w:t>which</w:t>
      </w:r>
      <w:r w:rsidRPr="00656D40">
        <w:t xml:space="preserve"> Mr. Mullins seeks a </w:t>
      </w:r>
      <w:r w:rsidRPr="00656D40">
        <w:rPr>
          <w:color w:val="000000" w:themeColor="text1"/>
        </w:rPr>
        <w:t>disallowance.</w:t>
      </w:r>
      <w:r w:rsidR="00A562F6">
        <w:rPr>
          <w:color w:val="000000" w:themeColor="text1"/>
        </w:rPr>
        <w:t xml:space="preserve"> </w:t>
      </w:r>
    </w:p>
    <w:p w14:paraId="6460695A" w14:textId="6EACC3AE" w:rsidR="00656D40" w:rsidRPr="00656D40" w:rsidRDefault="000A4C43" w:rsidP="00A253E1">
      <w:pPr>
        <w:pStyle w:val="Answer0"/>
      </w:pPr>
      <w:r>
        <w:t>A.</w:t>
      </w:r>
      <w:r>
        <w:tab/>
        <w:t>The Ardmore S</w:t>
      </w:r>
      <w:r w:rsidR="00656D40" w:rsidRPr="00656D40">
        <w:t>ubstation, located in the heart of the Bel-Red area in Bellevue</w:t>
      </w:r>
      <w:r w:rsidR="00692305">
        <w:t>, Washington</w:t>
      </w:r>
      <w:r w:rsidR="00656D40" w:rsidRPr="00656D40">
        <w:t>, functions as both a distribution substation and a transmission switching station and was necessary to meet the increased demand for electricity in the south Redmond/northeast Bellevue area and to improve electric reliability for customers.</w:t>
      </w:r>
      <w:r w:rsidR="00A562F6">
        <w:t xml:space="preserve"> </w:t>
      </w:r>
      <w:r w:rsidR="00656D40" w:rsidRPr="00656D40">
        <w:t>The three 115 kV transmission lines a</w:t>
      </w:r>
      <w:r>
        <w:t>nd nine substation transformers</w:t>
      </w:r>
      <w:r w:rsidR="00FA2E07">
        <w:t xml:space="preserve"> </w:t>
      </w:r>
      <w:r w:rsidR="00656D40" w:rsidRPr="007C3E90">
        <w:t>serve 39 distribution circuits and 29,000 customers in the Bel-Red area.</w:t>
      </w:r>
      <w:r w:rsidR="00A562F6">
        <w:t xml:space="preserve"> </w:t>
      </w:r>
      <w:r w:rsidR="00FA2E07">
        <w:t xml:space="preserve">The </w:t>
      </w:r>
      <w:r>
        <w:t>final configuration of Ardmore S</w:t>
      </w:r>
      <w:r w:rsidR="00FA2E07">
        <w:t>ubstation included t</w:t>
      </w:r>
      <w:r w:rsidR="00365549" w:rsidRPr="00656D40">
        <w:t>he combining of Interlaken and Ardmore Substations on the same site</w:t>
      </w:r>
      <w:r w:rsidR="00FA2E07">
        <w:t>.</w:t>
      </w:r>
      <w:r w:rsidR="00A562F6">
        <w:t xml:space="preserve"> </w:t>
      </w:r>
      <w:r w:rsidR="00365549">
        <w:t>As a result</w:t>
      </w:r>
      <w:r w:rsidR="00B46B28">
        <w:t>,</w:t>
      </w:r>
      <w:r w:rsidR="00365549">
        <w:t xml:space="preserve"> </w:t>
      </w:r>
      <w:r>
        <w:t>the nearby aging Interlaken S</w:t>
      </w:r>
      <w:r w:rsidR="00656D40" w:rsidRPr="007C3E90">
        <w:t>ubstation was decommissione</w:t>
      </w:r>
      <w:r w:rsidR="00365549">
        <w:t>d.</w:t>
      </w:r>
      <w:r w:rsidR="00A562F6">
        <w:t xml:space="preserve"> </w:t>
      </w:r>
      <w:r>
        <w:t xml:space="preserve">Planning for </w:t>
      </w:r>
      <w:r w:rsidR="00705F48">
        <w:t xml:space="preserve">the </w:t>
      </w:r>
      <w:r>
        <w:t>Ardmore S</w:t>
      </w:r>
      <w:r w:rsidR="00656D40" w:rsidRPr="007C3E90">
        <w:t>ubstation began in 2006</w:t>
      </w:r>
      <w:r w:rsidR="00705F48">
        <w:t>,</w:t>
      </w:r>
      <w:r w:rsidR="00656D40" w:rsidRPr="007C3E90">
        <w:t xml:space="preserve"> and it was placed into service June 6, 2012.</w:t>
      </w:r>
      <w:r w:rsidR="00A562F6">
        <w:t xml:space="preserve"> </w:t>
      </w:r>
      <w:r w:rsidR="00656D40" w:rsidRPr="007C3E90">
        <w:t>Final work</w:t>
      </w:r>
      <w:r w:rsidR="00D253C4">
        <w:t>,</w:t>
      </w:r>
      <w:r w:rsidR="00656D40" w:rsidRPr="007C3E90">
        <w:t xml:space="preserve"> including decommissioning</w:t>
      </w:r>
      <w:r w:rsidR="00D253C4">
        <w:t xml:space="preserve"> the</w:t>
      </w:r>
      <w:r>
        <w:t xml:space="preserve"> Interlaken S</w:t>
      </w:r>
      <w:r w:rsidR="00656D40" w:rsidRPr="007C3E90">
        <w:t>ubstation</w:t>
      </w:r>
      <w:r w:rsidR="00D253C4">
        <w:t>,</w:t>
      </w:r>
      <w:r w:rsidR="00656D40" w:rsidRPr="007C3E90">
        <w:t xml:space="preserve"> was completed June 30, 2014</w:t>
      </w:r>
      <w:r w:rsidR="00656D40" w:rsidRPr="00656D40">
        <w:t>.</w:t>
      </w:r>
      <w:r w:rsidR="00A562F6">
        <w:t xml:space="preserve"> </w:t>
      </w:r>
      <w:r w:rsidR="00656D40" w:rsidRPr="00656D40">
        <w:t>From 2006 to 2014, the project and associated scope progressed from planning to design, permitting, and construction.</w:t>
      </w:r>
    </w:p>
    <w:p w14:paraId="61B69575" w14:textId="77777777" w:rsidR="00656D40" w:rsidRPr="00656D40" w:rsidRDefault="00656D40" w:rsidP="00A253E1">
      <w:pPr>
        <w:pStyle w:val="question"/>
      </w:pPr>
      <w:r w:rsidRPr="00656D40">
        <w:lastRenderedPageBreak/>
        <w:t>Q.</w:t>
      </w:r>
      <w:r w:rsidRPr="00656D40">
        <w:tab/>
        <w:t xml:space="preserve">Does PSE agree that $13.6 </w:t>
      </w:r>
      <w:r w:rsidRPr="00A253E1">
        <w:t>million</w:t>
      </w:r>
      <w:r w:rsidRPr="00656D40">
        <w:t xml:space="preserve"> of costs for the Ardmore Substation costs should be disallowed as Mr. Mullins asserts in his testimony?</w:t>
      </w:r>
    </w:p>
    <w:p w14:paraId="68E97750" w14:textId="29D5EC3B" w:rsidR="00B46B28" w:rsidRPr="00656D40" w:rsidRDefault="00656D40" w:rsidP="00A253E1">
      <w:pPr>
        <w:pStyle w:val="Answer0"/>
      </w:pPr>
      <w:r w:rsidRPr="00656D40">
        <w:t>A.</w:t>
      </w:r>
      <w:r w:rsidRPr="00656D40">
        <w:tab/>
        <w:t>No.</w:t>
      </w:r>
      <w:r w:rsidR="00A562F6">
        <w:t xml:space="preserve"> </w:t>
      </w:r>
      <w:r w:rsidRPr="00656D40">
        <w:t>PSE made prudent decisions and controlled costs</w:t>
      </w:r>
      <w:r w:rsidR="00AB7756">
        <w:t>,</w:t>
      </w:r>
      <w:r w:rsidRPr="00656D40">
        <w:t xml:space="preserve"> consistent with construction and engineering best practices</w:t>
      </w:r>
      <w:r w:rsidR="00AB7756">
        <w:t>,</w:t>
      </w:r>
      <w:r w:rsidRPr="00656D40">
        <w:t xml:space="preserve"> throughout the lifec</w:t>
      </w:r>
      <w:r w:rsidR="00705F48">
        <w:t>ycle of the Ardmore Substation p</w:t>
      </w:r>
      <w:r w:rsidRPr="00656D40">
        <w:t>roject</w:t>
      </w:r>
      <w:r w:rsidR="00B46B28">
        <w:t>.</w:t>
      </w:r>
      <w:r w:rsidR="00A562F6">
        <w:t xml:space="preserve"> </w:t>
      </w:r>
      <w:r w:rsidRPr="00656D40">
        <w:t>From Mr. Mullin’s hindsight perspective</w:t>
      </w:r>
      <w:r w:rsidR="0042600A">
        <w:t>, based on one document</w:t>
      </w:r>
      <w:r w:rsidR="00D253C4">
        <w:t>,</w:t>
      </w:r>
      <w:r w:rsidR="0042600A">
        <w:t xml:space="preserve"> </w:t>
      </w:r>
      <w:r w:rsidRPr="00656D40">
        <w:t xml:space="preserve">he asserts </w:t>
      </w:r>
      <w:r w:rsidR="00D253C4">
        <w:t xml:space="preserve">incorrectly </w:t>
      </w:r>
      <w:r w:rsidRPr="00656D40">
        <w:t>that</w:t>
      </w:r>
      <w:r w:rsidR="00D253C4">
        <w:t xml:space="preserve"> the higher costs of the project are attributed to</w:t>
      </w:r>
      <w:r w:rsidRPr="00656D40">
        <w:t xml:space="preserve"> assumptions about constructability</w:t>
      </w:r>
      <w:r w:rsidR="00D253C4">
        <w:t xml:space="preserve"> issues due to the urban area, </w:t>
      </w:r>
      <w:r w:rsidRPr="00656D40">
        <w:t>PSE’s purchase of materials before a final site was selected</w:t>
      </w:r>
      <w:r w:rsidR="00D253C4">
        <w:t xml:space="preserve">, and PSE’s alleged failure to </w:t>
      </w:r>
      <w:r w:rsidRPr="00656D40">
        <w:t>address a contracting issue in a timely manner.</w:t>
      </w:r>
      <w:r w:rsidR="00A562F6">
        <w:t xml:space="preserve"> </w:t>
      </w:r>
      <w:r w:rsidRPr="00656D40">
        <w:t>His views are erroneous as discussed in more detail below.</w:t>
      </w:r>
      <w:r w:rsidR="00A562F6">
        <w:t xml:space="preserve"> </w:t>
      </w:r>
    </w:p>
    <w:p w14:paraId="2AB1CE9C" w14:textId="77A9E082" w:rsidR="00656D40" w:rsidRPr="00656D40" w:rsidRDefault="00656D40" w:rsidP="00A253E1">
      <w:pPr>
        <w:pStyle w:val="question"/>
      </w:pPr>
      <w:r w:rsidRPr="00656D40">
        <w:t>Q.</w:t>
      </w:r>
      <w:r w:rsidRPr="00656D40">
        <w:tab/>
        <w:t xml:space="preserve">Why did PSE not discuss </w:t>
      </w:r>
      <w:r w:rsidRPr="00A253E1">
        <w:t>Ardmore</w:t>
      </w:r>
      <w:r w:rsidRPr="00656D40">
        <w:t xml:space="preserve"> speci</w:t>
      </w:r>
      <w:r w:rsidR="00A94D71">
        <w:t>fically in the GRC</w:t>
      </w:r>
      <w:r w:rsidRPr="00656D40">
        <w:t xml:space="preserve"> testimony? </w:t>
      </w:r>
    </w:p>
    <w:p w14:paraId="02501370" w14:textId="0B7E7841" w:rsidR="00656D40" w:rsidRDefault="00656D40" w:rsidP="00A253E1">
      <w:pPr>
        <w:pStyle w:val="Answer0"/>
      </w:pPr>
      <w:r w:rsidRPr="00656D40">
        <w:t>A.</w:t>
      </w:r>
      <w:r w:rsidRPr="00656D40">
        <w:tab/>
        <w:t>The Ardmore substation has been in service since 2012.</w:t>
      </w:r>
      <w:r w:rsidR="00A562F6">
        <w:t xml:space="preserve"> </w:t>
      </w:r>
      <w:r w:rsidRPr="00656D40">
        <w:t>PSE does not attempt to address each transmission and distribution expenditure or project undertaken for reliability and capacity needs in its direct case.</w:t>
      </w:r>
      <w:r w:rsidR="00A562F6">
        <w:t xml:space="preserve"> </w:t>
      </w:r>
      <w:r w:rsidRPr="00656D40">
        <w:t>It would be burdensome for PSE to provide this level of data in its direct filin</w:t>
      </w:r>
      <w:r w:rsidR="001066B0">
        <w:t xml:space="preserve">g for all the gas and electric </w:t>
      </w:r>
      <w:r w:rsidRPr="00656D40">
        <w:t>transmission and distribution capital expenditures that have since been put into service sinc</w:t>
      </w:r>
      <w:r w:rsidR="00FA2E07">
        <w:t xml:space="preserve">e 2010, the test year in PSE’s </w:t>
      </w:r>
      <w:r w:rsidRPr="00656D40">
        <w:t xml:space="preserve">last </w:t>
      </w:r>
      <w:r w:rsidR="00D253C4">
        <w:t>GRC</w:t>
      </w:r>
      <w:r w:rsidRPr="00656D40">
        <w:t>.</w:t>
      </w:r>
      <w:r w:rsidR="00A562F6">
        <w:t xml:space="preserve"> </w:t>
      </w:r>
      <w:r w:rsidRPr="00656D40">
        <w:t xml:space="preserve">For perspective, the </w:t>
      </w:r>
      <w:r w:rsidR="00AB7756">
        <w:t xml:space="preserve">total </w:t>
      </w:r>
      <w:r w:rsidRPr="00656D40">
        <w:t xml:space="preserve">amount of </w:t>
      </w:r>
      <w:r w:rsidR="00AB7756">
        <w:t xml:space="preserve">electric transmission and distribution </w:t>
      </w:r>
      <w:r w:rsidR="008001B2">
        <w:t xml:space="preserve">capital </w:t>
      </w:r>
      <w:r w:rsidRPr="00656D40">
        <w:t>work for that time period is approximately 208,</w:t>
      </w:r>
      <w:r w:rsidRPr="007C3E90">
        <w:t xml:space="preserve">514 </w:t>
      </w:r>
      <w:r w:rsidR="007C3E90" w:rsidRPr="007C3E90">
        <w:t>orders</w:t>
      </w:r>
      <w:r w:rsidR="00D253C4">
        <w:t>,</w:t>
      </w:r>
      <w:r w:rsidR="002D3765">
        <w:rPr>
          <w:rStyle w:val="FootnoteReference"/>
        </w:rPr>
        <w:footnoteReference w:id="21"/>
      </w:r>
      <w:r w:rsidRPr="007C3E90">
        <w:t xml:space="preserve"> </w:t>
      </w:r>
      <w:r w:rsidRPr="00656D40">
        <w:t>totaling approximately $2.25 billion.</w:t>
      </w:r>
      <w:r w:rsidR="00A562F6">
        <w:t xml:space="preserve"> </w:t>
      </w:r>
      <w:r w:rsidRPr="00656D40">
        <w:t xml:space="preserve">In this </w:t>
      </w:r>
      <w:r w:rsidRPr="00656D40">
        <w:lastRenderedPageBreak/>
        <w:t>case, as in past cases, PSE provides detail of transmission and distribution expenditures when re</w:t>
      </w:r>
      <w:r w:rsidR="00692305">
        <w:t>quested through data requests.</w:t>
      </w:r>
      <w:r w:rsidR="00A562F6">
        <w:t xml:space="preserve"> </w:t>
      </w:r>
    </w:p>
    <w:p w14:paraId="55065E38" w14:textId="318400FB" w:rsidR="00656D40" w:rsidRPr="00656D40" w:rsidRDefault="00D253C4" w:rsidP="00A253E1">
      <w:pPr>
        <w:pStyle w:val="question"/>
      </w:pPr>
      <w:r>
        <w:t>Q.</w:t>
      </w:r>
      <w:r w:rsidR="00656D40" w:rsidRPr="00656D40">
        <w:tab/>
        <w:t xml:space="preserve">Did PSE provide </w:t>
      </w:r>
      <w:r w:rsidR="00656D40" w:rsidRPr="00A253E1">
        <w:t>information</w:t>
      </w:r>
      <w:r w:rsidR="00656D40" w:rsidRPr="00656D40">
        <w:t xml:space="preserve"> regarding the Ardmore substation in response to discovery requests?</w:t>
      </w:r>
    </w:p>
    <w:p w14:paraId="70595C77" w14:textId="201FE442" w:rsidR="00656D40" w:rsidRPr="00656D40" w:rsidRDefault="00656D40" w:rsidP="000F4927">
      <w:pPr>
        <w:pStyle w:val="Answer0"/>
      </w:pPr>
      <w:r w:rsidRPr="00656D40">
        <w:t xml:space="preserve">A. </w:t>
      </w:r>
      <w:r w:rsidRPr="00656D40">
        <w:tab/>
        <w:t>Yes.</w:t>
      </w:r>
      <w:r w:rsidR="00A562F6">
        <w:t xml:space="preserve"> </w:t>
      </w:r>
      <w:r w:rsidRPr="00656D40">
        <w:t xml:space="preserve">PSE provided abundant detail regarding Ardmore in discovery, approximately 529 files related to the Ardmore Substation in response to ICNU Data </w:t>
      </w:r>
      <w:r w:rsidRPr="00194C66">
        <w:t>Request No. 040.</w:t>
      </w:r>
      <w:r w:rsidR="00A562F6">
        <w:t xml:space="preserve"> </w:t>
      </w:r>
      <w:r w:rsidRPr="00194C66">
        <w:t>These files contain detail that supports the Company’s prudenc</w:t>
      </w:r>
      <w:r w:rsidRPr="00656D40">
        <w:t>y with respect to the Ardmore project which is discussed in more detail below.</w:t>
      </w:r>
    </w:p>
    <w:p w14:paraId="2F3D3512" w14:textId="23124DDA" w:rsidR="00656D40" w:rsidRPr="00656D40" w:rsidRDefault="00656D40" w:rsidP="000F4927">
      <w:pPr>
        <w:pStyle w:val="question"/>
      </w:pPr>
      <w:r w:rsidRPr="00656D40">
        <w:t>Q.</w:t>
      </w:r>
      <w:r w:rsidRPr="00656D40">
        <w:tab/>
        <w:t xml:space="preserve">How was the </w:t>
      </w:r>
      <w:r w:rsidRPr="000F4927">
        <w:t>allocation</w:t>
      </w:r>
      <w:r w:rsidRPr="00656D40">
        <w:t xml:space="preserve"> of Ardmore relative to Schedule 40 determined </w:t>
      </w:r>
      <w:r w:rsidR="00D33854">
        <w:t xml:space="preserve">to be </w:t>
      </w:r>
      <w:r w:rsidRPr="00656D40">
        <w:t>appropriate?</w:t>
      </w:r>
    </w:p>
    <w:p w14:paraId="5A29C67C" w14:textId="7F2C4CAA" w:rsidR="00656D40" w:rsidRPr="00656D40" w:rsidRDefault="002015FE" w:rsidP="000F4927">
      <w:pPr>
        <w:pStyle w:val="Answer0"/>
      </w:pPr>
      <w:r>
        <w:t>A.</w:t>
      </w:r>
      <w:r>
        <w:tab/>
        <w:t>The r</w:t>
      </w:r>
      <w:r w:rsidR="00656D40" w:rsidRPr="00656D40">
        <w:t xml:space="preserve">eallocation of costs associated with Schedule 40 </w:t>
      </w:r>
      <w:r w:rsidR="00AB7756">
        <w:t>is</w:t>
      </w:r>
      <w:r w:rsidR="00656D40" w:rsidRPr="00656D40">
        <w:t xml:space="preserve"> addressed </w:t>
      </w:r>
      <w:r w:rsidR="00AB7756">
        <w:t>in the</w:t>
      </w:r>
      <w:r w:rsidR="00AB7756" w:rsidRPr="00656D40">
        <w:t xml:space="preserve"> </w:t>
      </w:r>
      <w:r w:rsidR="00705F48">
        <w:t xml:space="preserve">Prefiled </w:t>
      </w:r>
      <w:r w:rsidR="008001B2" w:rsidRPr="00656D40">
        <w:t>R</w:t>
      </w:r>
      <w:r w:rsidR="00656D40" w:rsidRPr="00656D40">
        <w:t xml:space="preserve">ebuttal </w:t>
      </w:r>
      <w:r w:rsidR="008001B2" w:rsidRPr="00656D40">
        <w:t xml:space="preserve">Testimony </w:t>
      </w:r>
      <w:r w:rsidR="00656D40" w:rsidRPr="00656D40">
        <w:t xml:space="preserve">of Jon </w:t>
      </w:r>
      <w:r w:rsidR="008001B2">
        <w:t xml:space="preserve">A. </w:t>
      </w:r>
      <w:r w:rsidR="00656D40" w:rsidRPr="00656D40">
        <w:t>Piliaris</w:t>
      </w:r>
      <w:r w:rsidR="005431CA">
        <w:t xml:space="preserve">, </w:t>
      </w:r>
      <w:r w:rsidR="00B62B3D">
        <w:t>Exhibit</w:t>
      </w:r>
      <w:r w:rsidR="005431CA">
        <w:t xml:space="preserve"> JAP-</w:t>
      </w:r>
      <w:r w:rsidR="008001B2">
        <w:t>46</w:t>
      </w:r>
      <w:r w:rsidR="008846A1">
        <w:t>C</w:t>
      </w:r>
      <w:r w:rsidR="005431CA">
        <w:t>T</w:t>
      </w:r>
      <w:r w:rsidR="008001B2">
        <w:t>.</w:t>
      </w:r>
    </w:p>
    <w:p w14:paraId="0FB05FD0" w14:textId="04C19A90" w:rsidR="00656D40" w:rsidRPr="00656D40" w:rsidRDefault="00BE5A1F" w:rsidP="000F4927">
      <w:pPr>
        <w:pStyle w:val="Heading2"/>
      </w:pPr>
      <w:bookmarkStart w:id="11" w:name="_Toc488438461"/>
      <w:bookmarkStart w:id="12" w:name="_Toc489949732"/>
      <w:r>
        <w:rPr>
          <w:u w:val="none"/>
        </w:rPr>
        <w:t>B.</w:t>
      </w:r>
      <w:r w:rsidR="00656D40" w:rsidRPr="00CE2B5F">
        <w:rPr>
          <w:u w:val="none"/>
        </w:rPr>
        <w:tab/>
      </w:r>
      <w:r w:rsidR="00656D40" w:rsidRPr="005431CA">
        <w:t xml:space="preserve">The Ardmore Substation </w:t>
      </w:r>
      <w:r w:rsidR="00656D40" w:rsidRPr="000F4927">
        <w:t>Meets</w:t>
      </w:r>
      <w:r w:rsidR="00656D40" w:rsidRPr="005431CA">
        <w:t xml:space="preserve"> the Prudence Standard</w:t>
      </w:r>
      <w:bookmarkEnd w:id="11"/>
      <w:bookmarkEnd w:id="12"/>
    </w:p>
    <w:p w14:paraId="4BF53107" w14:textId="77777777" w:rsidR="00656D40" w:rsidRPr="00656D40" w:rsidRDefault="00656D40" w:rsidP="000F4927">
      <w:pPr>
        <w:pStyle w:val="question"/>
      </w:pPr>
      <w:r w:rsidRPr="00656D40">
        <w:t>Q.</w:t>
      </w:r>
      <w:r w:rsidRPr="00656D40">
        <w:tab/>
        <w:t xml:space="preserve">Please briefly describe the </w:t>
      </w:r>
      <w:r w:rsidRPr="000F4927">
        <w:t>need</w:t>
      </w:r>
      <w:r w:rsidRPr="00656D40">
        <w:t xml:space="preserve"> for Ardmore. </w:t>
      </w:r>
    </w:p>
    <w:p w14:paraId="2B62F1A9" w14:textId="3F453137" w:rsidR="00CE125A" w:rsidRPr="00656D40" w:rsidRDefault="00656D40" w:rsidP="000F4927">
      <w:pPr>
        <w:pStyle w:val="Answer0"/>
        <w:rPr>
          <w:szCs w:val="24"/>
        </w:rPr>
      </w:pPr>
      <w:r w:rsidRPr="00656D40">
        <w:t>A.</w:t>
      </w:r>
      <w:r w:rsidRPr="00656D40">
        <w:tab/>
        <w:t>Mr. Mullins summarizes the need for Ardmore well which was to reliably serve the anticipated customer growth in southwest Redmond and northeast Bellevue.</w:t>
      </w:r>
      <w:r w:rsidR="00A562F6">
        <w:t xml:space="preserve"> </w:t>
      </w:r>
      <w:r w:rsidRPr="00656D40">
        <w:t>Exhibit</w:t>
      </w:r>
      <w:r w:rsidR="00DC71DD">
        <w:t xml:space="preserve"> CAK</w:t>
      </w:r>
      <w:r w:rsidR="002D3765">
        <w:t>-</w:t>
      </w:r>
      <w:r w:rsidR="00CF2B05">
        <w:t>7</w:t>
      </w:r>
      <w:r w:rsidR="002D3765">
        <w:t xml:space="preserve"> </w:t>
      </w:r>
      <w:r w:rsidR="00A65733">
        <w:t>is a</w:t>
      </w:r>
      <w:r w:rsidR="002D3765">
        <w:t xml:space="preserve"> </w:t>
      </w:r>
      <w:r w:rsidRPr="00656D40">
        <w:t>planning summar</w:t>
      </w:r>
      <w:r w:rsidR="00A65733">
        <w:t>y</w:t>
      </w:r>
      <w:r w:rsidRPr="00656D40">
        <w:t xml:space="preserve"> that support</w:t>
      </w:r>
      <w:r w:rsidR="00A65733">
        <w:t>s</w:t>
      </w:r>
      <w:r w:rsidRPr="00656D40">
        <w:t xml:space="preserve"> the need for the project, which was pr</w:t>
      </w:r>
      <w:r w:rsidR="00FA2E07">
        <w:t xml:space="preserve">ovided in </w:t>
      </w:r>
      <w:r w:rsidRPr="00656D40">
        <w:t>response to ICNU Data Request No</w:t>
      </w:r>
      <w:r w:rsidR="00E8462A">
        <w:t>s</w:t>
      </w:r>
      <w:r w:rsidRPr="00656D40">
        <w:t>. 024</w:t>
      </w:r>
      <w:r w:rsidR="00E8462A">
        <w:t xml:space="preserve"> and</w:t>
      </w:r>
      <w:r w:rsidRPr="00656D40">
        <w:t xml:space="preserve"> 040</w:t>
      </w:r>
      <w:r w:rsidR="00E8462A">
        <w:t>.</w:t>
      </w:r>
      <w:r w:rsidR="00A562F6">
        <w:t xml:space="preserve"> </w:t>
      </w:r>
      <w:r w:rsidRPr="00656D40">
        <w:t>Anticipated growth was due to expans</w:t>
      </w:r>
      <w:r w:rsidR="002015FE">
        <w:t xml:space="preserve">ion of a large computer software </w:t>
      </w:r>
      <w:r w:rsidR="002015FE">
        <w:lastRenderedPageBreak/>
        <w:t>developer’s</w:t>
      </w:r>
      <w:r w:rsidRPr="00656D40">
        <w:t xml:space="preserve"> campus and the recent re</w:t>
      </w:r>
      <w:r w:rsidRPr="00656D40">
        <w:rPr>
          <w:szCs w:val="24"/>
        </w:rPr>
        <w:t xml:space="preserve">-zoning of the Bel-Red and Overlake area to higher density multi-use, commercial and multi-family use. </w:t>
      </w:r>
    </w:p>
    <w:p w14:paraId="18BF6C2F" w14:textId="77777777" w:rsidR="00656D40" w:rsidRPr="00656D40" w:rsidRDefault="00656D40" w:rsidP="000F4927">
      <w:pPr>
        <w:pStyle w:val="question"/>
      </w:pPr>
      <w:r w:rsidRPr="00656D40">
        <w:t>Q.</w:t>
      </w:r>
      <w:r w:rsidRPr="00656D40">
        <w:tab/>
        <w:t xml:space="preserve">Were there existing reliability </w:t>
      </w:r>
      <w:r w:rsidRPr="000F4927">
        <w:t>concerns</w:t>
      </w:r>
      <w:r w:rsidRPr="00656D40">
        <w:t xml:space="preserve"> that supported the need for the Ardmore substation?</w:t>
      </w:r>
    </w:p>
    <w:p w14:paraId="02A60C89" w14:textId="1FF06D8F" w:rsidR="00656D40" w:rsidRPr="00656D40" w:rsidRDefault="00656D40" w:rsidP="000F4927">
      <w:pPr>
        <w:pStyle w:val="Answer0"/>
      </w:pPr>
      <w:r w:rsidRPr="00656D40">
        <w:t>A.</w:t>
      </w:r>
      <w:r w:rsidRPr="00656D40">
        <w:tab/>
        <w:t>Yes.</w:t>
      </w:r>
      <w:r w:rsidR="00A562F6">
        <w:t xml:space="preserve"> </w:t>
      </w:r>
      <w:r w:rsidRPr="00656D40">
        <w:t>The existing transmission line configuration no longer provided the needed relia</w:t>
      </w:r>
      <w:r w:rsidR="00CE125A">
        <w:t>bility and capacity to serve those</w:t>
      </w:r>
      <w:r w:rsidRPr="00656D40">
        <w:t xml:space="preserve"> areas.</w:t>
      </w:r>
      <w:r w:rsidR="00A562F6">
        <w:t xml:space="preserve"> </w:t>
      </w:r>
      <w:r w:rsidRPr="00656D40">
        <w:t>For example</w:t>
      </w:r>
      <w:r w:rsidR="001515E1">
        <w:t>,</w:t>
      </w:r>
      <w:r w:rsidRPr="00656D40">
        <w:t xml:space="preserve"> by 2010, there were already many days of the year when transferring customer load from either one of two adjacent substations for maintenance or due to equipment failure would not be possible without customer outages.</w:t>
      </w:r>
      <w:r w:rsidR="00A562F6">
        <w:t xml:space="preserve"> </w:t>
      </w:r>
      <w:r w:rsidRPr="00656D40">
        <w:t>Additionally, the number of substations on the transmission line prevented the use of automatic switching and remote power outage restoration due to the complex configuration thereby increasing power outage impact even more.</w:t>
      </w:r>
      <w:r w:rsidR="00A562F6">
        <w:t xml:space="preserve"> </w:t>
      </w:r>
      <w:r w:rsidRPr="00656D40">
        <w:t>Addition</w:t>
      </w:r>
      <w:r w:rsidR="00480A4C">
        <w:t>al detail is provided in PSE’s R</w:t>
      </w:r>
      <w:r w:rsidRPr="00656D40">
        <w:t xml:space="preserve">esponse to ICNU Data Request No. </w:t>
      </w:r>
      <w:r w:rsidRPr="00413C69">
        <w:t xml:space="preserve">040, </w:t>
      </w:r>
      <w:r w:rsidR="00CF2B05">
        <w:t>Exhibit</w:t>
      </w:r>
      <w:r w:rsidR="00C64D35">
        <w:t xml:space="preserve"> BGM-8.</w:t>
      </w:r>
    </w:p>
    <w:p w14:paraId="373BA5DB" w14:textId="77777777" w:rsidR="00656D40" w:rsidRPr="00656D40" w:rsidRDefault="00656D40" w:rsidP="000F4927">
      <w:pPr>
        <w:pStyle w:val="question"/>
      </w:pPr>
      <w:r w:rsidRPr="00656D40">
        <w:t>Q.</w:t>
      </w:r>
      <w:r w:rsidRPr="00656D40">
        <w:tab/>
        <w:t>Please briefly describe the evaluation of alternatives for meeting the need.</w:t>
      </w:r>
    </w:p>
    <w:p w14:paraId="0656A459" w14:textId="598F43B9" w:rsidR="00656D40" w:rsidRPr="00656D40" w:rsidRDefault="00656D40" w:rsidP="000F4927">
      <w:pPr>
        <w:pStyle w:val="Answer0"/>
      </w:pPr>
      <w:r w:rsidRPr="00656D40">
        <w:t>A.</w:t>
      </w:r>
      <w:r w:rsidRPr="00656D40">
        <w:tab/>
        <w:t>PSE evaluated the following alternatives</w:t>
      </w:r>
      <w:r w:rsidR="00FA2E07">
        <w:t xml:space="preserve"> for which more detail can be found </w:t>
      </w:r>
      <w:r w:rsidR="00480A4C">
        <w:t xml:space="preserve">as discussed in Exhibit </w:t>
      </w:r>
      <w:r w:rsidR="00C64D35" w:rsidRPr="00C64D35">
        <w:t>BGM-8</w:t>
      </w:r>
      <w:r w:rsidRPr="00656D40">
        <w:t>:</w:t>
      </w:r>
    </w:p>
    <w:p w14:paraId="25ABB695" w14:textId="6FD58BB0" w:rsidR="002D3765" w:rsidRDefault="002D3765" w:rsidP="000F4927">
      <w:pPr>
        <w:pStyle w:val="Ax"/>
      </w:pPr>
      <w:r>
        <w:t>A switching station at Kenilworth</w:t>
      </w:r>
      <w:r w:rsidR="007A10F0">
        <w:t>.</w:t>
      </w:r>
      <w:r w:rsidR="00A562F6">
        <w:t xml:space="preserve"> </w:t>
      </w:r>
      <w:r w:rsidR="007A10F0">
        <w:t xml:space="preserve">This </w:t>
      </w:r>
      <w:r>
        <w:t>was eliminated as an option due to the need to condemn property and greater difficulty in connecting transmission lines.</w:t>
      </w:r>
    </w:p>
    <w:p w14:paraId="47884752" w14:textId="7FDCEFE8" w:rsidR="002D3765" w:rsidRPr="005C45B6" w:rsidRDefault="007A10F0" w:rsidP="000F4927">
      <w:pPr>
        <w:pStyle w:val="Ax"/>
      </w:pPr>
      <w:r>
        <w:t>U</w:t>
      </w:r>
      <w:r w:rsidR="002D3765" w:rsidRPr="005C45B6">
        <w:t xml:space="preserve">nderground transmission </w:t>
      </w:r>
      <w:r w:rsidR="002D3765">
        <w:t xml:space="preserve">was evaluated </w:t>
      </w:r>
      <w:r>
        <w:t>to address reliability, but t</w:t>
      </w:r>
      <w:r w:rsidRPr="005C45B6">
        <w:t>h</w:t>
      </w:r>
      <w:r>
        <w:t>is</w:t>
      </w:r>
      <w:r w:rsidRPr="005C45B6">
        <w:t xml:space="preserve"> </w:t>
      </w:r>
      <w:r w:rsidR="002D3765" w:rsidRPr="005C45B6">
        <w:t>added significant cost.</w:t>
      </w:r>
    </w:p>
    <w:p w14:paraId="522502C8" w14:textId="3B95E90A" w:rsidR="002D3765" w:rsidRDefault="002D3765" w:rsidP="000F4927">
      <w:pPr>
        <w:pStyle w:val="Ax"/>
      </w:pPr>
      <w:r>
        <w:lastRenderedPageBreak/>
        <w:t>Accelerating the switching station at Westminster and deferring the new switching station</w:t>
      </w:r>
      <w:r w:rsidR="007A10F0">
        <w:t xml:space="preserve"> was considered.</w:t>
      </w:r>
      <w:r w:rsidR="00A562F6">
        <w:t xml:space="preserve"> </w:t>
      </w:r>
      <w:r w:rsidR="007A10F0">
        <w:t>This option</w:t>
      </w:r>
      <w:r>
        <w:t xml:space="preserve"> was eliminated due to reduced reliability to Kenilworth and Lake Hills area</w:t>
      </w:r>
      <w:r w:rsidR="00307963">
        <w:t xml:space="preserve">, it did not </w:t>
      </w:r>
      <w:r>
        <w:t xml:space="preserve">address the impact of multiple equipment failure and </w:t>
      </w:r>
      <w:r w:rsidR="00307963">
        <w:t xml:space="preserve">it </w:t>
      </w:r>
      <w:r w:rsidR="0032303C">
        <w:t>increased</w:t>
      </w:r>
      <w:r w:rsidR="00307963">
        <w:t xml:space="preserve"> </w:t>
      </w:r>
      <w:r>
        <w:t xml:space="preserve">future costs and customer impact </w:t>
      </w:r>
      <w:r w:rsidR="00307963">
        <w:t>due to having to rework later when needed</w:t>
      </w:r>
      <w:r>
        <w:t>.</w:t>
      </w:r>
      <w:r w:rsidR="00A562F6">
        <w:t xml:space="preserve"> </w:t>
      </w:r>
    </w:p>
    <w:p w14:paraId="7B92FADA" w14:textId="77777777" w:rsidR="00656D40" w:rsidRPr="00656D40" w:rsidRDefault="00656D40" w:rsidP="000F4927">
      <w:pPr>
        <w:pStyle w:val="question"/>
      </w:pPr>
      <w:r w:rsidRPr="00365549">
        <w:t>Q.</w:t>
      </w:r>
      <w:r w:rsidRPr="00365549">
        <w:tab/>
      </w:r>
      <w:r w:rsidRPr="00656D40">
        <w:t xml:space="preserve">How did PSE </w:t>
      </w:r>
      <w:r w:rsidRPr="000F4927">
        <w:t>keep</w:t>
      </w:r>
      <w:r w:rsidRPr="00656D40">
        <w:t xml:space="preserve"> management informed during the evaluation of the project? </w:t>
      </w:r>
    </w:p>
    <w:p w14:paraId="50AE8531" w14:textId="0552178F" w:rsidR="00656D40" w:rsidRPr="00656D40" w:rsidRDefault="00FA204C" w:rsidP="000F4927">
      <w:pPr>
        <w:pStyle w:val="Answer0"/>
      </w:pPr>
      <w:r>
        <w:t>A.</w:t>
      </w:r>
      <w:r w:rsidR="00656D40" w:rsidRPr="00656D40">
        <w:tab/>
        <w:t>Management was informed and engaged in key decisions consistent with the phase and scope of the project.</w:t>
      </w:r>
      <w:r w:rsidR="00A562F6">
        <w:t xml:space="preserve"> </w:t>
      </w:r>
      <w:r w:rsidR="00A65733">
        <w:t>Thi</w:t>
      </w:r>
      <w:r w:rsidR="00656D40" w:rsidRPr="00656D40">
        <w:t>s include</w:t>
      </w:r>
      <w:r w:rsidR="00A65733">
        <w:t>d</w:t>
      </w:r>
      <w:r w:rsidR="00656D40" w:rsidRPr="00656D40">
        <w:t xml:space="preserve"> </w:t>
      </w:r>
      <w:r w:rsidR="00A65733">
        <w:t>seven</w:t>
      </w:r>
      <w:r w:rsidR="002D3765">
        <w:t xml:space="preserve"> </w:t>
      </w:r>
      <w:r w:rsidR="00656D40" w:rsidRPr="00656D40">
        <w:t xml:space="preserve">project presentations, </w:t>
      </w:r>
      <w:r w:rsidR="00A65733">
        <w:t>three</w:t>
      </w:r>
      <w:r w:rsidR="002D3765">
        <w:t xml:space="preserve"> </w:t>
      </w:r>
      <w:r w:rsidR="00426F4E">
        <w:t>project reports,</w:t>
      </w:r>
      <w:r w:rsidR="00656D40" w:rsidRPr="00656D40">
        <w:t xml:space="preserve"> </w:t>
      </w:r>
      <w:r w:rsidR="001515E1">
        <w:t>twelve</w:t>
      </w:r>
      <w:r w:rsidR="002D3765">
        <w:t xml:space="preserve"> </w:t>
      </w:r>
      <w:r w:rsidR="00656D40" w:rsidRPr="00656D40">
        <w:t>project change requests</w:t>
      </w:r>
      <w:r w:rsidR="00426F4E">
        <w:t>, and regular progress reports</w:t>
      </w:r>
      <w:r w:rsidR="00656D40" w:rsidRPr="00656D40">
        <w:t>.</w:t>
      </w:r>
      <w:r w:rsidR="00A562F6">
        <w:t xml:space="preserve"> </w:t>
      </w:r>
    </w:p>
    <w:p w14:paraId="5B213475" w14:textId="77777777" w:rsidR="00656D40" w:rsidRPr="00656D40" w:rsidRDefault="00656D40" w:rsidP="000F4927">
      <w:pPr>
        <w:pStyle w:val="question"/>
      </w:pPr>
      <w:r w:rsidRPr="00656D40">
        <w:t>Q.</w:t>
      </w:r>
      <w:r w:rsidRPr="00656D40">
        <w:tab/>
        <w:t xml:space="preserve">Did PSE maintain adequate documentation of </w:t>
      </w:r>
      <w:r w:rsidRPr="000F4927">
        <w:t>this</w:t>
      </w:r>
      <w:r w:rsidRPr="00656D40">
        <w:t xml:space="preserve"> project?</w:t>
      </w:r>
    </w:p>
    <w:p w14:paraId="23E65D93" w14:textId="40131587" w:rsidR="00656D40" w:rsidRDefault="00656D40" w:rsidP="000F4927">
      <w:pPr>
        <w:pStyle w:val="Answer0"/>
      </w:pPr>
      <w:r w:rsidRPr="00656D40">
        <w:t>A.</w:t>
      </w:r>
      <w:r w:rsidRPr="00656D40">
        <w:tab/>
      </w:r>
      <w:r w:rsidR="002D3765">
        <w:t>Yes.</w:t>
      </w:r>
      <w:r w:rsidR="00A562F6">
        <w:t xml:space="preserve"> </w:t>
      </w:r>
      <w:r w:rsidR="002D3765">
        <w:t xml:space="preserve">PSE’s contemporaneous documentation demonstrates the need, the evaluation of alternatives, </w:t>
      </w:r>
      <w:r w:rsidR="00FA204C">
        <w:t xml:space="preserve">the justification for the cost, </w:t>
      </w:r>
      <w:r w:rsidR="002D3765">
        <w:t>and the involvement of PSE management as already described</w:t>
      </w:r>
      <w:r w:rsidR="00FA204C">
        <w:t>.</w:t>
      </w:r>
      <w:r w:rsidR="00A562F6">
        <w:t xml:space="preserve"> </w:t>
      </w:r>
      <w:r w:rsidR="00BE5A1F">
        <w:t xml:space="preserve">As noted above, </w:t>
      </w:r>
      <w:r w:rsidR="00FA204C">
        <w:t xml:space="preserve">PSE provided over 500 </w:t>
      </w:r>
      <w:r w:rsidR="00D047FD">
        <w:t>documents</w:t>
      </w:r>
      <w:r w:rsidR="00FA204C">
        <w:t xml:space="preserve"> to the parties during discovery.</w:t>
      </w:r>
      <w:r w:rsidR="00A562F6">
        <w:t xml:space="preserve"> </w:t>
      </w:r>
      <w:r w:rsidR="00705F48">
        <w:t>Exhibit CAK-8 summarizes some of the documentation of significant project developments.</w:t>
      </w:r>
    </w:p>
    <w:p w14:paraId="347F1EF2" w14:textId="77777777" w:rsidR="00CE125A" w:rsidRPr="001515E1" w:rsidRDefault="00CE125A" w:rsidP="000F4927">
      <w:pPr>
        <w:pStyle w:val="question"/>
      </w:pPr>
      <w:r w:rsidRPr="001515E1">
        <w:t>Q.</w:t>
      </w:r>
      <w:r w:rsidRPr="001515E1">
        <w:tab/>
        <w:t xml:space="preserve">What aspects of the </w:t>
      </w:r>
      <w:r w:rsidRPr="000F4927">
        <w:t>project</w:t>
      </w:r>
      <w:r w:rsidRPr="001515E1">
        <w:t xml:space="preserve"> does Mr. Mullins challenge?</w:t>
      </w:r>
    </w:p>
    <w:p w14:paraId="72C2944D" w14:textId="551144AA" w:rsidR="00CE125A" w:rsidRDefault="00CE125A" w:rsidP="000F4927">
      <w:pPr>
        <w:pStyle w:val="Answer0"/>
      </w:pPr>
      <w:r>
        <w:t>A.</w:t>
      </w:r>
      <w:r>
        <w:tab/>
        <w:t>The only aspect of the Ardmore project that Mr. Mullins challenges is the cost.</w:t>
      </w:r>
      <w:r w:rsidR="00A562F6">
        <w:t xml:space="preserve"> </w:t>
      </w:r>
      <w:r>
        <w:t>Based on this, he believes there is evidence of imprudence and recommends that some of the costs for the project, about $13.6 million, be disallowed.</w:t>
      </w:r>
      <w:r w:rsidR="00A562F6">
        <w:t xml:space="preserve"> </w:t>
      </w:r>
      <w:r>
        <w:t xml:space="preserve">However, Mr. Mullins does not adequately understand or account for the project drivers that </w:t>
      </w:r>
      <w:r>
        <w:lastRenderedPageBreak/>
        <w:t>impacted the final cost for the project.</w:t>
      </w:r>
      <w:r w:rsidR="00A562F6">
        <w:t xml:space="preserve"> </w:t>
      </w:r>
      <w:r w:rsidR="00E91086">
        <w:t>Indeed, the documentation provided by PSE demonstrates that the final project cost was not the result of “cost overruns” as Mr. Mullins suggests, but rather was the result of a variety of factors not unusual for a complex construction project.</w:t>
      </w:r>
      <w:r w:rsidR="00A562F6">
        <w:t xml:space="preserve"> </w:t>
      </w:r>
    </w:p>
    <w:p w14:paraId="2E397454" w14:textId="7601853E" w:rsidR="00656D40" w:rsidRPr="00656D40" w:rsidRDefault="00656D40" w:rsidP="000F4927">
      <w:pPr>
        <w:pStyle w:val="question"/>
      </w:pPr>
      <w:r w:rsidRPr="00656D40">
        <w:t>Q</w:t>
      </w:r>
      <w:r w:rsidRPr="00656D40">
        <w:tab/>
        <w:t xml:space="preserve">What concerns do you have with </w:t>
      </w:r>
      <w:r w:rsidR="004F2A44">
        <w:t xml:space="preserve">how </w:t>
      </w:r>
      <w:r w:rsidRPr="00656D40">
        <w:t xml:space="preserve">Mr. Mullins </w:t>
      </w:r>
      <w:r w:rsidR="004F2A44">
        <w:t xml:space="preserve">determines and substantiates the </w:t>
      </w:r>
      <w:r w:rsidRPr="00656D40">
        <w:t>$13.6 million</w:t>
      </w:r>
      <w:r w:rsidR="004F2A44">
        <w:t xml:space="preserve"> he proposes to disallow</w:t>
      </w:r>
      <w:r w:rsidRPr="00656D40">
        <w:t>?</w:t>
      </w:r>
    </w:p>
    <w:p w14:paraId="2C94927A" w14:textId="1EAD36DA" w:rsidR="005304C4" w:rsidRDefault="00656D40" w:rsidP="000F4927">
      <w:pPr>
        <w:pStyle w:val="Answer0"/>
      </w:pPr>
      <w:r w:rsidRPr="00656D40">
        <w:t>A.</w:t>
      </w:r>
      <w:r w:rsidRPr="00656D40">
        <w:tab/>
      </w:r>
      <w:r w:rsidR="00B82B24">
        <w:t>Despite</w:t>
      </w:r>
      <w:r w:rsidR="00D047FD">
        <w:t xml:space="preserve"> PSE providing substantial</w:t>
      </w:r>
      <w:r w:rsidR="00B82B24">
        <w:t xml:space="preserve"> documentation surrounding the Ardmore project, </w:t>
      </w:r>
      <w:r w:rsidRPr="00656D40">
        <w:t xml:space="preserve">Mr. Mullins calculated his suggested $13.6 million disallowance based on the difference between the $39.5 million actual cost and </w:t>
      </w:r>
      <w:r w:rsidR="00A7124D">
        <w:t xml:space="preserve">a point in time </w:t>
      </w:r>
      <w:r w:rsidR="005304C4">
        <w:t>“</w:t>
      </w:r>
      <w:r w:rsidR="00A7124D">
        <w:t>planning</w:t>
      </w:r>
      <w:r w:rsidR="005304C4">
        <w:t>”</w:t>
      </w:r>
      <w:r w:rsidR="00A7124D">
        <w:t xml:space="preserve"> </w:t>
      </w:r>
      <w:r w:rsidR="005304C4">
        <w:t xml:space="preserve">document that was updated with an </w:t>
      </w:r>
      <w:r w:rsidR="00A7124D">
        <w:t xml:space="preserve">estimate of </w:t>
      </w:r>
      <w:r w:rsidRPr="00656D40">
        <w:t>$25.</w:t>
      </w:r>
      <w:r w:rsidRPr="00A7124D">
        <w:t>9 million</w:t>
      </w:r>
      <w:r w:rsidR="00A7124D" w:rsidRPr="00A7124D">
        <w:t xml:space="preserve"> as of </w:t>
      </w:r>
      <w:r w:rsidRPr="00A7124D">
        <w:t>October 7, 2010.</w:t>
      </w:r>
      <w:r w:rsidR="00FA204C">
        <w:rPr>
          <w:rStyle w:val="FootnoteReference"/>
        </w:rPr>
        <w:footnoteReference w:id="22"/>
      </w:r>
      <w:r w:rsidR="00A562F6">
        <w:t xml:space="preserve"> </w:t>
      </w:r>
      <w:r w:rsidR="00B82B24">
        <w:t>Mr. Mullins’ reliance on this document is disingenuous and should be rejected for several reasons.</w:t>
      </w:r>
      <w:r w:rsidR="00A562F6">
        <w:t xml:space="preserve"> </w:t>
      </w:r>
      <w:r w:rsidR="00B82B24">
        <w:t xml:space="preserve">First, </w:t>
      </w:r>
      <w:r w:rsidR="005304C4" w:rsidRPr="005304C4">
        <w:t xml:space="preserve">PSE’s planning documents are updated periodically throughout a project, but are not intended to and do not provide </w:t>
      </w:r>
      <w:r w:rsidR="005304C4">
        <w:t>an accounting</w:t>
      </w:r>
      <w:r w:rsidR="005304C4" w:rsidRPr="005304C4">
        <w:t xml:space="preserve"> of current project status.</w:t>
      </w:r>
      <w:r w:rsidR="00A562F6">
        <w:t xml:space="preserve"> </w:t>
      </w:r>
      <w:r w:rsidR="00E91086">
        <w:t>To suggest that the document Mr. Mullins relies on was intended to fully and completely document the final costs for the project is nonsensical and was never the purpose of the document.</w:t>
      </w:r>
    </w:p>
    <w:p w14:paraId="0BB3E1BF" w14:textId="46DBACBC" w:rsidR="00BA0713" w:rsidRDefault="000F4927" w:rsidP="000F4927">
      <w:pPr>
        <w:pStyle w:val="Answer0"/>
      </w:pPr>
      <w:r>
        <w:tab/>
      </w:r>
      <w:r w:rsidR="005304C4">
        <w:t xml:space="preserve">Second, Mr. Mullins overstates the information contained in the document by asserting that </w:t>
      </w:r>
      <w:r w:rsidR="005304C4" w:rsidRPr="005304C4">
        <w:t xml:space="preserve">the projected cost of $25.9 million was when the “existing design </w:t>
      </w:r>
      <w:r w:rsidR="005304C4" w:rsidRPr="005304C4">
        <w:lastRenderedPageBreak/>
        <w:t>and location of the substation were finally selected</w:t>
      </w:r>
      <w:r w:rsidR="005304C4">
        <w:t>.”</w:t>
      </w:r>
      <w:r w:rsidR="005304C4">
        <w:rPr>
          <w:rStyle w:val="FootnoteReference"/>
        </w:rPr>
        <w:footnoteReference w:id="23"/>
      </w:r>
      <w:r w:rsidR="00A562F6">
        <w:t xml:space="preserve"> </w:t>
      </w:r>
      <w:r w:rsidR="005304C4">
        <w:t>This is incorrect.</w:t>
      </w:r>
      <w:r w:rsidR="00A562F6">
        <w:t xml:space="preserve"> </w:t>
      </w:r>
      <w:r w:rsidR="005304C4" w:rsidRPr="005304C4">
        <w:t xml:space="preserve">In 2010, while </w:t>
      </w:r>
      <w:r w:rsidR="005304C4">
        <w:t xml:space="preserve">the </w:t>
      </w:r>
      <w:r w:rsidR="005304C4" w:rsidRPr="005304C4">
        <w:t>final site was purchased, the design was not final</w:t>
      </w:r>
      <w:r w:rsidR="005304C4">
        <w:t xml:space="preserve"> and significant planning had yet to occur.</w:t>
      </w:r>
      <w:r w:rsidR="00A562F6">
        <w:t xml:space="preserve"> </w:t>
      </w:r>
      <w:r w:rsidR="005304C4">
        <w:t>At that time, p</w:t>
      </w:r>
      <w:r w:rsidR="005304C4" w:rsidRPr="005304C4">
        <w:t xml:space="preserve">ermits were not </w:t>
      </w:r>
      <w:r w:rsidR="005304C4">
        <w:t xml:space="preserve">yet </w:t>
      </w:r>
      <w:r w:rsidR="005304C4" w:rsidRPr="005304C4">
        <w:t xml:space="preserve">received to appreciate the full impact of </w:t>
      </w:r>
      <w:r w:rsidR="00BA0713">
        <w:t xml:space="preserve">permitting </w:t>
      </w:r>
      <w:r w:rsidR="005304C4" w:rsidRPr="005304C4">
        <w:t xml:space="preserve">requirements, material and construction bids were not </w:t>
      </w:r>
      <w:r w:rsidR="005304C4">
        <w:t xml:space="preserve">yet </w:t>
      </w:r>
      <w:r w:rsidR="005304C4" w:rsidRPr="005304C4">
        <w:t>received</w:t>
      </w:r>
      <w:r w:rsidR="005304C4">
        <w:t>, all</w:t>
      </w:r>
      <w:r w:rsidR="005304C4" w:rsidRPr="005304C4">
        <w:t xml:space="preserve"> construction easements</w:t>
      </w:r>
      <w:r w:rsidR="005304C4">
        <w:t xml:space="preserve"> had not yet been obtained, and</w:t>
      </w:r>
      <w:r w:rsidR="005304C4" w:rsidRPr="005304C4">
        <w:t xml:space="preserve"> the added cost as a result of combining Interlaken nor the credit for the sale of the property </w:t>
      </w:r>
      <w:r w:rsidR="00BA0713">
        <w:t xml:space="preserve">($3.6 million) </w:t>
      </w:r>
      <w:r w:rsidR="005304C4" w:rsidRPr="005304C4">
        <w:t>was not included.</w:t>
      </w:r>
      <w:r w:rsidR="00A562F6">
        <w:t xml:space="preserve"> </w:t>
      </w:r>
      <w:r w:rsidR="00BA0713">
        <w:t>Thus, Mr. Mullins reliance on this document as evidence of a “cost overrun” is not credible.</w:t>
      </w:r>
    </w:p>
    <w:p w14:paraId="20D7F305" w14:textId="231B8CF1" w:rsidR="00BA0713" w:rsidRDefault="00BA0713" w:rsidP="000F4927">
      <w:pPr>
        <w:pStyle w:val="question"/>
      </w:pPr>
      <w:r>
        <w:t>Q.</w:t>
      </w:r>
      <w:r>
        <w:tab/>
        <w:t>Why did the costs for the project turn out to be higher than originally anticipated?</w:t>
      </w:r>
    </w:p>
    <w:p w14:paraId="11FB0706" w14:textId="697F5681" w:rsidR="002565AD" w:rsidRDefault="00BA0713" w:rsidP="000F4927">
      <w:pPr>
        <w:pStyle w:val="Answer0"/>
      </w:pPr>
      <w:r>
        <w:t>A.</w:t>
      </w:r>
      <w:r>
        <w:tab/>
        <w:t>T</w:t>
      </w:r>
      <w:r w:rsidR="00656D40" w:rsidRPr="00656D40">
        <w:t xml:space="preserve">he cost increases for the Ardmore project were the result of an evolving scope of work over time associated with changing requirements, stakeholder input, </w:t>
      </w:r>
      <w:r w:rsidR="00685DFF">
        <w:t xml:space="preserve">property </w:t>
      </w:r>
      <w:r w:rsidR="00656D40" w:rsidRPr="00656D40">
        <w:t>permitting</w:t>
      </w:r>
      <w:r>
        <w:t xml:space="preserve"> costs</w:t>
      </w:r>
      <w:r w:rsidR="00656D40" w:rsidRPr="00656D40">
        <w:t xml:space="preserve">, </w:t>
      </w:r>
      <w:r>
        <w:t>increased materials and construction costs</w:t>
      </w:r>
      <w:r w:rsidR="00B50933">
        <w:t>,</w:t>
      </w:r>
      <w:r w:rsidR="00656D40" w:rsidRPr="00656D40">
        <w:t xml:space="preserve"> </w:t>
      </w:r>
      <w:r>
        <w:t xml:space="preserve">costs associated with adding Interlaken, </w:t>
      </w:r>
      <w:r w:rsidR="00656D40" w:rsidRPr="00656D40">
        <w:t>constraints and opportunities in the area</w:t>
      </w:r>
      <w:r>
        <w:t>,</w:t>
      </w:r>
      <w:r w:rsidR="00685DFF">
        <w:t xml:space="preserve"> and construction site conditions</w:t>
      </w:r>
      <w:r w:rsidR="00656D40" w:rsidRPr="00656D40">
        <w:t>.</w:t>
      </w:r>
      <w:r w:rsidR="00A562F6">
        <w:t xml:space="preserve"> </w:t>
      </w:r>
      <w:r w:rsidR="00A7124D">
        <w:t>Processes for a</w:t>
      </w:r>
      <w:r w:rsidR="00656D40" w:rsidRPr="00656D40">
        <w:t>pprovals for budge</w:t>
      </w:r>
      <w:r w:rsidR="00A7124D">
        <w:t xml:space="preserve">t and associated scope changes were followed as </w:t>
      </w:r>
      <w:r w:rsidR="00656D40" w:rsidRPr="00656D40">
        <w:t xml:space="preserve">documented in Project Change Requests and were provided in PSE’s Response to </w:t>
      </w:r>
      <w:r w:rsidR="00CE125A">
        <w:t xml:space="preserve">ICNU Data Request No. </w:t>
      </w:r>
      <w:r w:rsidR="00656D40" w:rsidRPr="00656D40">
        <w:t>040</w:t>
      </w:r>
      <w:r>
        <w:t>, which Mr. Mullins fails to reference</w:t>
      </w:r>
      <w:r w:rsidR="00656D40" w:rsidRPr="00656D40">
        <w:t>.</w:t>
      </w:r>
      <w:r w:rsidR="00A562F6">
        <w:t xml:space="preserve"> </w:t>
      </w:r>
      <w:r w:rsidR="000A1907">
        <w:t>Please also see Exhibit CAK-</w:t>
      </w:r>
      <w:r w:rsidR="00D41EA4">
        <w:t>8</w:t>
      </w:r>
      <w:r w:rsidR="000A1907">
        <w:t>, which is a chronology of the entire project cost and scope details.</w:t>
      </w:r>
    </w:p>
    <w:p w14:paraId="325D9359" w14:textId="408F55E2" w:rsidR="00656D40" w:rsidRPr="00656D40" w:rsidRDefault="00194C66" w:rsidP="000F4927">
      <w:pPr>
        <w:pStyle w:val="Answer0"/>
        <w:rPr>
          <w:b/>
        </w:rPr>
      </w:pPr>
      <w:r>
        <w:lastRenderedPageBreak/>
        <w:tab/>
      </w:r>
      <w:r w:rsidR="00B50933">
        <w:t>Mr. Mullins</w:t>
      </w:r>
      <w:r w:rsidR="00E91086">
        <w:t>’</w:t>
      </w:r>
      <w:r w:rsidR="00B50933">
        <w:t xml:space="preserve"> use of the $25.9 million planning </w:t>
      </w:r>
      <w:r w:rsidR="00CF3C73">
        <w:t>estimate is in</w:t>
      </w:r>
      <w:r w:rsidR="00CE125A">
        <w:t>appropriate for the reasons I have</w:t>
      </w:r>
      <w:r w:rsidR="00CF3C73">
        <w:t xml:space="preserve"> discussed.</w:t>
      </w:r>
      <w:r w:rsidR="00A562F6">
        <w:t xml:space="preserve"> </w:t>
      </w:r>
      <w:r w:rsidR="00CF3C73">
        <w:t xml:space="preserve">Despite the significant documentation provided in discovery, he fails to understand the costs and drivers for this much needed and </w:t>
      </w:r>
      <w:r w:rsidR="009E0E99">
        <w:t xml:space="preserve">complex project, and he relies </w:t>
      </w:r>
      <w:r w:rsidR="002565AD">
        <w:t xml:space="preserve">on only </w:t>
      </w:r>
      <w:r w:rsidR="00685DFF">
        <w:t>a few statements from one post-project continuous improvement review document</w:t>
      </w:r>
      <w:r w:rsidR="00E91086">
        <w:rPr>
          <w:rStyle w:val="FootnoteReference"/>
        </w:rPr>
        <w:footnoteReference w:id="24"/>
      </w:r>
      <w:r w:rsidR="00685DFF">
        <w:t xml:space="preserve"> </w:t>
      </w:r>
      <w:r w:rsidR="00CF3C73">
        <w:t>in his efforts to disallow $13</w:t>
      </w:r>
      <w:r w:rsidR="008955ED">
        <w:t>.</w:t>
      </w:r>
      <w:r w:rsidR="00CF3C73">
        <w:t>6 million.</w:t>
      </w:r>
      <w:r w:rsidR="00A562F6">
        <w:t xml:space="preserve"> </w:t>
      </w:r>
      <w:r w:rsidR="009033B0">
        <w:t xml:space="preserve">When the documentation is viewed in its totality, it is clear that PSE prudently managed the work on the Ardmore project. </w:t>
      </w:r>
    </w:p>
    <w:p w14:paraId="72AEA970" w14:textId="508E53F4" w:rsidR="00005A45" w:rsidRPr="00005A45" w:rsidRDefault="00005A45" w:rsidP="000F4927">
      <w:pPr>
        <w:pStyle w:val="question"/>
      </w:pPr>
      <w:r w:rsidRPr="00005A45">
        <w:t>Q.</w:t>
      </w:r>
      <w:r w:rsidRPr="00005A45">
        <w:tab/>
      </w:r>
      <w:r w:rsidR="00BE5A1F">
        <w:t>P</w:t>
      </w:r>
      <w:r w:rsidR="0081062A">
        <w:t>lease provide in</w:t>
      </w:r>
      <w:r w:rsidR="0081062A" w:rsidRPr="000F4927">
        <w:t xml:space="preserve"> </w:t>
      </w:r>
      <w:r w:rsidR="0081062A">
        <w:t>detail the increases in costs over time.</w:t>
      </w:r>
    </w:p>
    <w:p w14:paraId="31A73083" w14:textId="0649F519" w:rsidR="00005A45" w:rsidRPr="00656D40" w:rsidRDefault="00005A45" w:rsidP="000F4927">
      <w:pPr>
        <w:pStyle w:val="Answer0"/>
      </w:pPr>
      <w:r w:rsidRPr="00005A45">
        <w:t>A.</w:t>
      </w:r>
      <w:r w:rsidRPr="00005A45">
        <w:tab/>
        <w:t>The largest cost drivers of the project are related to site and right of way conditions and permitting.</w:t>
      </w:r>
      <w:r w:rsidR="00A562F6">
        <w:t xml:space="preserve"> </w:t>
      </w:r>
      <w:r w:rsidR="00D047FD" w:rsidRPr="00D047FD">
        <w:rPr>
          <w:i/>
        </w:rPr>
        <w:t>See</w:t>
      </w:r>
      <w:r w:rsidR="00D047FD">
        <w:t xml:space="preserve"> </w:t>
      </w:r>
      <w:r>
        <w:t>E</w:t>
      </w:r>
      <w:r w:rsidR="00C64D35">
        <w:t>xhibit CAK-</w:t>
      </w:r>
      <w:r w:rsidR="00D41EA4">
        <w:t>8</w:t>
      </w:r>
      <w:r w:rsidRPr="00005A45">
        <w:t>.</w:t>
      </w:r>
      <w:r w:rsidR="00A562F6">
        <w:t xml:space="preserve"> </w:t>
      </w:r>
      <w:r w:rsidRPr="00005A45">
        <w:t xml:space="preserve">In December 2010, </w:t>
      </w:r>
      <w:r w:rsidR="00D047FD">
        <w:t>PSE’s</w:t>
      </w:r>
      <w:r w:rsidRPr="00005A45">
        <w:t xml:space="preserve"> project</w:t>
      </w:r>
      <w:r w:rsidR="00D047FD">
        <w:t>ed budget was</w:t>
      </w:r>
      <w:r w:rsidRPr="00005A45">
        <w:t xml:space="preserve"> $26.6 million, the increase in the estimate as a result of receiving SEPA Determination of Non-significance and preliminary direction from the City of Redmond from which the previous estimate was based on estimates at 30% design.</w:t>
      </w:r>
      <w:r w:rsidR="00A562F6">
        <w:t xml:space="preserve"> </w:t>
      </w:r>
      <w:r w:rsidRPr="00005A45">
        <w:t xml:space="preserve">In May 2011, </w:t>
      </w:r>
      <w:r w:rsidR="00D047FD">
        <w:t>PSE’s projected budget increased to</w:t>
      </w:r>
      <w:r w:rsidR="00BE5A1F">
        <w:t xml:space="preserve"> $31 million due to </w:t>
      </w:r>
      <w:r w:rsidRPr="00005A45">
        <w:t>additional substation design, material procurement</w:t>
      </w:r>
      <w:r w:rsidR="00CE6490">
        <w:t>,</w:t>
      </w:r>
      <w:r w:rsidRPr="00005A45">
        <w:t xml:space="preserve"> and the Notice of Final Decision from the City of Redmond and Conditional Use Permit.</w:t>
      </w:r>
      <w:r w:rsidR="00A562F6">
        <w:t xml:space="preserve"> </w:t>
      </w:r>
      <w:r w:rsidR="00BE5A1F">
        <w:t>I</w:t>
      </w:r>
      <w:r w:rsidRPr="00005A45">
        <w:t>n June 2011</w:t>
      </w:r>
      <w:r w:rsidR="00BE5A1F">
        <w:t>,</w:t>
      </w:r>
      <w:r w:rsidRPr="00005A45">
        <w:t xml:space="preserve"> </w:t>
      </w:r>
      <w:r w:rsidR="00D047FD">
        <w:t xml:space="preserve">the projected budget increased to </w:t>
      </w:r>
      <w:r w:rsidRPr="00005A45">
        <w:t xml:space="preserve">$35.3 million due to the numerous </w:t>
      </w:r>
      <w:r w:rsidR="00BE5A1F">
        <w:t xml:space="preserve">costs associated with </w:t>
      </w:r>
      <w:r w:rsidRPr="00005A45">
        <w:t xml:space="preserve">utility conflicts and </w:t>
      </w:r>
      <w:r w:rsidR="00BE5A1F">
        <w:t>additional</w:t>
      </w:r>
      <w:r w:rsidRPr="00005A45">
        <w:t xml:space="preserve"> pavement</w:t>
      </w:r>
      <w:r w:rsidR="00BE5A1F">
        <w:t xml:space="preserve"> costs</w:t>
      </w:r>
      <w:r w:rsidRPr="00005A45">
        <w:t>.</w:t>
      </w:r>
      <w:r w:rsidR="00A562F6">
        <w:t xml:space="preserve"> </w:t>
      </w:r>
      <w:r w:rsidR="00D047FD">
        <w:t>I</w:t>
      </w:r>
      <w:r w:rsidRPr="00005A45">
        <w:t>n February 2014</w:t>
      </w:r>
      <w:r w:rsidR="00BE5A1F">
        <w:t>,</w:t>
      </w:r>
      <w:r w:rsidR="00D047FD">
        <w:t xml:space="preserve"> </w:t>
      </w:r>
      <w:r w:rsidRPr="00005A45">
        <w:t>the close to final project</w:t>
      </w:r>
      <w:r w:rsidR="00D047FD">
        <w:t>ed</w:t>
      </w:r>
      <w:r w:rsidR="00CE6490">
        <w:t xml:space="preserve"> budget was</w:t>
      </w:r>
      <w:r w:rsidRPr="00005A45">
        <w:t xml:space="preserve"> $39.2 million</w:t>
      </w:r>
      <w:r w:rsidR="00BE5A1F">
        <w:t>,</w:t>
      </w:r>
      <w:r w:rsidRPr="00005A45">
        <w:t xml:space="preserve"> which captured the condemnation settlement for the additional transmission line easements needed </w:t>
      </w:r>
      <w:r w:rsidRPr="00005A45">
        <w:lastRenderedPageBreak/>
        <w:t>and further impacts due to permitting relating to architectural pole.</w:t>
      </w:r>
      <w:r w:rsidR="00A562F6">
        <w:t xml:space="preserve"> </w:t>
      </w:r>
      <w:r w:rsidRPr="00005A45">
        <w:t>With many of these cost drivers impacting the distribution feeders, the overall cost of the feeders were about $725 per linear foot of trench which is comparable or lower than the cost of other projects in a similar urban environment.</w:t>
      </w:r>
      <w:r w:rsidR="00A562F6">
        <w:t xml:space="preserve"> </w:t>
      </w:r>
      <w:r w:rsidRPr="00005A45">
        <w:t>For example, PSE’s Lochleven feeder extension project, which was also located in Bellevue, Washington, was completed in 2011 at a cost of about $900 per linear foot of trench.</w:t>
      </w:r>
    </w:p>
    <w:p w14:paraId="4AEA96DF" w14:textId="20E69D04" w:rsidR="00656D40" w:rsidRPr="00656D40" w:rsidRDefault="00656D40" w:rsidP="000F4927">
      <w:pPr>
        <w:pStyle w:val="question"/>
      </w:pPr>
      <w:r w:rsidRPr="00656D40">
        <w:t>Q.</w:t>
      </w:r>
      <w:r w:rsidRPr="00656D40">
        <w:tab/>
      </w:r>
      <w:r w:rsidR="00BE5A1F">
        <w:t>Can you explain the</w:t>
      </w:r>
      <w:r w:rsidR="00AC37C2">
        <w:t xml:space="preserve"> construction requirements in Redmond over the course of the Ardmore project</w:t>
      </w:r>
      <w:r w:rsidR="00BE5A1F">
        <w:t xml:space="preserve"> that increased costs</w:t>
      </w:r>
      <w:r w:rsidRPr="00656D40">
        <w:t>?</w:t>
      </w:r>
    </w:p>
    <w:p w14:paraId="5374DFEC" w14:textId="6036D0F9" w:rsidR="00003602" w:rsidRPr="00003602" w:rsidRDefault="00656D40" w:rsidP="000F4927">
      <w:pPr>
        <w:pStyle w:val="Answer0"/>
      </w:pPr>
      <w:r w:rsidRPr="00656D40">
        <w:t>A.</w:t>
      </w:r>
      <w:r w:rsidRPr="00656D40">
        <w:tab/>
        <w:t>Yes</w:t>
      </w:r>
      <w:r w:rsidR="008955ED">
        <w:t>.</w:t>
      </w:r>
      <w:r w:rsidR="00A562F6">
        <w:t xml:space="preserve"> </w:t>
      </w:r>
      <w:r w:rsidR="008955ED">
        <w:t>T</w:t>
      </w:r>
      <w:r w:rsidRPr="00656D40">
        <w:t>he requirements for const</w:t>
      </w:r>
      <w:r w:rsidR="00685DFF">
        <w:t xml:space="preserve">ructing in </w:t>
      </w:r>
      <w:r w:rsidR="00AC37C2">
        <w:t>Redmond</w:t>
      </w:r>
      <w:r w:rsidR="00685DFF">
        <w:t xml:space="preserve"> change</w:t>
      </w:r>
      <w:r w:rsidR="00AC37C2">
        <w:t>d</w:t>
      </w:r>
      <w:r w:rsidR="00722755">
        <w:t xml:space="preserve"> while the project was in progress and after the planning document cited by Mr. Mullins</w:t>
      </w:r>
      <w:r w:rsidRPr="00656D40">
        <w:t>.</w:t>
      </w:r>
      <w:r w:rsidR="00A562F6">
        <w:t xml:space="preserve"> </w:t>
      </w:r>
      <w:r w:rsidR="00722755">
        <w:t xml:space="preserve">At the outset, </w:t>
      </w:r>
      <w:r w:rsidR="00BA0713" w:rsidRPr="00BA0713">
        <w:t>PSE coordinated with three jurisdictions and agencies to obtain the needed approvals of fifteen permits such as SEPA determination, Conditional Use Permit, Comprehensive Plan Consistency Review, and Design Review Board Approval.</w:t>
      </w:r>
      <w:r w:rsidR="00A562F6">
        <w:t xml:space="preserve"> </w:t>
      </w:r>
      <w:r w:rsidR="00BA0713" w:rsidRPr="00BA0713">
        <w:t xml:space="preserve">The </w:t>
      </w:r>
      <w:r w:rsidR="00BA0713">
        <w:t xml:space="preserve">permitting </w:t>
      </w:r>
      <w:r w:rsidR="00BA0713" w:rsidRPr="00BA0713">
        <w:t>requirements and costs for the project are not known prior to the final approval</w:t>
      </w:r>
      <w:r w:rsidR="00BA0713">
        <w:t xml:space="preserve"> and were not fully accounted for </w:t>
      </w:r>
      <w:r w:rsidR="00003602">
        <w:t>in</w:t>
      </w:r>
      <w:r w:rsidR="00BA0713">
        <w:t xml:space="preserve"> the planning document</w:t>
      </w:r>
      <w:r w:rsidR="00003602">
        <w:t xml:space="preserve"> cited by Mr. Mullins</w:t>
      </w:r>
      <w:r w:rsidR="00BA0713" w:rsidRPr="00BA0713">
        <w:t>.</w:t>
      </w:r>
      <w:r w:rsidR="00A562F6">
        <w:t xml:space="preserve"> </w:t>
      </w:r>
      <w:r w:rsidR="00722755">
        <w:t>Preliminary</w:t>
      </w:r>
      <w:r w:rsidR="00722755" w:rsidRPr="00BA0713">
        <w:t xml:space="preserve"> assumptions about p</w:t>
      </w:r>
      <w:r w:rsidR="00722755">
        <w:t>ermit requirements were evolving</w:t>
      </w:r>
      <w:r w:rsidR="00722755" w:rsidRPr="00BA0713">
        <w:t xml:space="preserve"> as PSE was finalizing its plans.</w:t>
      </w:r>
      <w:r w:rsidR="00A562F6">
        <w:t xml:space="preserve"> </w:t>
      </w:r>
      <w:r w:rsidR="00722755">
        <w:t>For example,</w:t>
      </w:r>
      <w:r w:rsidR="00722755" w:rsidRPr="00656D40">
        <w:t xml:space="preserve"> Redmond’s Overlake Neighborhood Plan was adopted in 2007 and the requirements of that plan and the corresponding code amendments were </w:t>
      </w:r>
      <w:r w:rsidR="00C64D35">
        <w:t>contemplated in the early planning phases of Ardmore</w:t>
      </w:r>
      <w:r w:rsidR="00722755" w:rsidRPr="00656D40">
        <w:t>.</w:t>
      </w:r>
      <w:r w:rsidR="00A562F6">
        <w:t xml:space="preserve"> </w:t>
      </w:r>
      <w:r w:rsidR="00722755">
        <w:t>However, i</w:t>
      </w:r>
      <w:r w:rsidR="00722755" w:rsidRPr="00656D40">
        <w:t>n 2010</w:t>
      </w:r>
      <w:r w:rsidR="00722755">
        <w:t>,</w:t>
      </w:r>
      <w:r w:rsidR="00722755" w:rsidRPr="00656D40">
        <w:t xml:space="preserve"> Redmond commenced with an update to the city’s Comprehensive Plan and design guide</w:t>
      </w:r>
      <w:r w:rsidR="00722755">
        <w:t xml:space="preserve">lines for certain neighborhoods, which </w:t>
      </w:r>
      <w:r w:rsidR="00722755">
        <w:lastRenderedPageBreak/>
        <w:t>changed the requirements.</w:t>
      </w:r>
      <w:r w:rsidR="00A562F6">
        <w:t xml:space="preserve"> </w:t>
      </w:r>
      <w:r w:rsidR="00722755">
        <w:t xml:space="preserve">The </w:t>
      </w:r>
      <w:r w:rsidR="00722755" w:rsidRPr="00656D40">
        <w:t xml:space="preserve">Design Review process </w:t>
      </w:r>
      <w:r w:rsidR="00722755">
        <w:t xml:space="preserve">and standards that had been in place since the 1980s </w:t>
      </w:r>
      <w:r w:rsidR="00722755" w:rsidRPr="00656D40">
        <w:t>were expanding as PSE’s project moved through the permit process</w:t>
      </w:r>
      <w:r w:rsidR="00722755">
        <w:t xml:space="preserve"> which required </w:t>
      </w:r>
      <w:r w:rsidR="00722755" w:rsidRPr="00656D40">
        <w:t>PSE</w:t>
      </w:r>
      <w:r w:rsidR="00722755">
        <w:t xml:space="preserve"> to </w:t>
      </w:r>
      <w:r w:rsidR="00722755" w:rsidRPr="00656D40">
        <w:t>integrate into the substation design all of the streetscape standards,</w:t>
      </w:r>
      <w:r w:rsidR="00722755" w:rsidRPr="00656D40">
        <w:rPr>
          <w:sz w:val="22"/>
          <w:szCs w:val="22"/>
        </w:rPr>
        <w:t xml:space="preserve"> </w:t>
      </w:r>
      <w:r w:rsidR="00722755" w:rsidRPr="00656D40">
        <w:t>public trail provisions, provisions for plazas, open space</w:t>
      </w:r>
      <w:r w:rsidR="00722755" w:rsidRPr="00656D40">
        <w:rPr>
          <w:strike/>
        </w:rPr>
        <w:t xml:space="preserve"> </w:t>
      </w:r>
      <w:r w:rsidR="00722755" w:rsidRPr="00656D40">
        <w:t>and</w:t>
      </w:r>
      <w:r w:rsidR="00722755" w:rsidRPr="00656D40">
        <w:rPr>
          <w:sz w:val="18"/>
          <w:szCs w:val="18"/>
        </w:rPr>
        <w:t xml:space="preserve"> </w:t>
      </w:r>
      <w:r w:rsidR="00722755" w:rsidRPr="00656D40">
        <w:t>public art that other commercial development was required to provide.</w:t>
      </w:r>
      <w:r w:rsidR="00A562F6">
        <w:t xml:space="preserve"> </w:t>
      </w:r>
      <w:r w:rsidR="00722755" w:rsidRPr="00656D40">
        <w:t xml:space="preserve">The architectural wall, green wall, artistic pole, gates and plaza </w:t>
      </w:r>
      <w:r w:rsidR="00722755">
        <w:t xml:space="preserve">were </w:t>
      </w:r>
      <w:r w:rsidR="00722755" w:rsidRPr="00656D40">
        <w:t>required by the Design Review Board, and required for the approval of the Conditional Use Permit.</w:t>
      </w:r>
      <w:r w:rsidR="00A562F6">
        <w:t xml:space="preserve"> </w:t>
      </w:r>
      <w:r w:rsidR="00003602">
        <w:t>In addition, r</w:t>
      </w:r>
      <w:r w:rsidR="00BA0713" w:rsidRPr="00BA0713">
        <w:t>ight-of-way and building permits were issued after land use permits were issued for which added requirements became apparent only after approval.</w:t>
      </w:r>
      <w:r w:rsidR="00A562F6">
        <w:t xml:space="preserve"> </w:t>
      </w:r>
      <w:r w:rsidR="00003602" w:rsidRPr="00003602">
        <w:t>Design decisions that simplified the permit process so that the new station could be completed in a timely manner, garnered support from the cities of Redmond and Bellevue, also enabled PSE to sell the Interlaken property.</w:t>
      </w:r>
      <w:r w:rsidR="00A562F6">
        <w:t xml:space="preserve"> </w:t>
      </w:r>
    </w:p>
    <w:p w14:paraId="2DA91025" w14:textId="1BE67DA2" w:rsidR="00656D40" w:rsidRPr="00003602" w:rsidRDefault="00003602" w:rsidP="000F4927">
      <w:pPr>
        <w:pStyle w:val="question"/>
      </w:pPr>
      <w:r w:rsidRPr="00003602">
        <w:t>Q.</w:t>
      </w:r>
      <w:r w:rsidRPr="00003602">
        <w:tab/>
        <w:t xml:space="preserve">What site conditions </w:t>
      </w:r>
      <w:r w:rsidRPr="000F4927">
        <w:t>changed</w:t>
      </w:r>
      <w:r w:rsidRPr="00003602">
        <w:t xml:space="preserve"> that impacted the final cost?</w:t>
      </w:r>
    </w:p>
    <w:p w14:paraId="6DBDBE08" w14:textId="2281D6AA" w:rsidR="00722755" w:rsidRDefault="00003602" w:rsidP="000F4927">
      <w:pPr>
        <w:pStyle w:val="Answer0"/>
      </w:pPr>
      <w:r>
        <w:t>A</w:t>
      </w:r>
      <w:r w:rsidRPr="00722755">
        <w:t>.</w:t>
      </w:r>
      <w:r w:rsidRPr="00722755">
        <w:tab/>
        <w:t>In addition to the construction changes that occurred due to permitting requirements, site conditions impacted construction as well, which increased costs.</w:t>
      </w:r>
      <w:r w:rsidR="00A562F6">
        <w:t xml:space="preserve"> </w:t>
      </w:r>
      <w:r w:rsidRPr="00722755">
        <w:t>For example,</w:t>
      </w:r>
      <w:r w:rsidRPr="00722755">
        <w:rPr>
          <w:rFonts w:eastAsiaTheme="minorHAnsi"/>
        </w:rPr>
        <w:t xml:space="preserve"> portions of the distribution lines exiting the substation were rerouted to avoid costly and </w:t>
      </w:r>
      <w:r w:rsidRPr="00722755">
        <w:t>lengthy easement acquisition;</w:t>
      </w:r>
      <w:r w:rsidRPr="00722755">
        <w:rPr>
          <w:rFonts w:eastAsiaTheme="minorHAnsi"/>
        </w:rPr>
        <w:t xml:space="preserve"> subsurface and road surface conditions were not accurat</w:t>
      </w:r>
      <w:r w:rsidRPr="00722755">
        <w:t>ely reflected in any records;</w:t>
      </w:r>
      <w:r w:rsidRPr="00722755">
        <w:rPr>
          <w:rFonts w:eastAsiaTheme="minorHAnsi"/>
        </w:rPr>
        <w:t xml:space="preserve"> the size of the site required non-typical materials such as </w:t>
      </w:r>
      <w:r w:rsidRPr="00722755">
        <w:t>the use of Gas Insulated Switchgear (“GIS”) equipment rather than an open air ring bus and the addition of firewalls between the transformers; and</w:t>
      </w:r>
      <w:r w:rsidRPr="00722755">
        <w:rPr>
          <w:rFonts w:eastAsiaTheme="minorHAnsi"/>
        </w:rPr>
        <w:t xml:space="preserve"> </w:t>
      </w:r>
      <w:r w:rsidRPr="00722755">
        <w:t xml:space="preserve">the expanded scope that combined Ardmore and </w:t>
      </w:r>
      <w:r w:rsidRPr="00722755">
        <w:lastRenderedPageBreak/>
        <w:t>Interlaken substations, thereby eliminating maintenance and future update costs at the Interlaken site.</w:t>
      </w:r>
      <w:r w:rsidR="00A562F6">
        <w:t xml:space="preserve"> </w:t>
      </w:r>
    </w:p>
    <w:p w14:paraId="49DD2D1D" w14:textId="23303178" w:rsidR="00656D40" w:rsidRPr="00656D40" w:rsidRDefault="00656D40" w:rsidP="000F4927">
      <w:pPr>
        <w:pStyle w:val="question"/>
      </w:pPr>
      <w:r w:rsidRPr="00656D40">
        <w:t>Q.</w:t>
      </w:r>
      <w:r w:rsidRPr="00656D40">
        <w:tab/>
        <w:t>Did PSE purchase materials before a final site was selected</w:t>
      </w:r>
      <w:r w:rsidR="004F2A44" w:rsidRPr="00656D40">
        <w:t>?</w:t>
      </w:r>
    </w:p>
    <w:p w14:paraId="45188AED" w14:textId="63B35714" w:rsidR="00656D40" w:rsidRDefault="00656D40" w:rsidP="000F4927">
      <w:pPr>
        <w:pStyle w:val="Answer0"/>
        <w:rPr>
          <w:rFonts w:eastAsiaTheme="minorHAnsi"/>
          <w:lang w:eastAsia="en-US"/>
        </w:rPr>
      </w:pPr>
      <w:r w:rsidRPr="00656D40">
        <w:rPr>
          <w:rFonts w:eastAsiaTheme="minorHAnsi"/>
          <w:lang w:eastAsia="en-US"/>
        </w:rPr>
        <w:t>A.</w:t>
      </w:r>
      <w:r w:rsidRPr="00656D40">
        <w:rPr>
          <w:rFonts w:eastAsiaTheme="minorHAnsi"/>
          <w:lang w:eastAsia="en-US"/>
        </w:rPr>
        <w:tab/>
        <w:t>Yes</w:t>
      </w:r>
      <w:r w:rsidR="004127D7">
        <w:rPr>
          <w:rFonts w:eastAsiaTheme="minorHAnsi"/>
          <w:lang w:eastAsia="en-US"/>
        </w:rPr>
        <w:t xml:space="preserve">, PSE purchased materials before </w:t>
      </w:r>
      <w:r w:rsidR="00C64D35">
        <w:rPr>
          <w:rFonts w:eastAsiaTheme="minorHAnsi"/>
          <w:lang w:eastAsia="en-US"/>
        </w:rPr>
        <w:t>a final site was selected</w:t>
      </w:r>
      <w:r w:rsidR="00756132">
        <w:rPr>
          <w:rFonts w:eastAsiaTheme="minorHAnsi"/>
          <w:lang w:eastAsia="en-US"/>
        </w:rPr>
        <w:t xml:space="preserve"> </w:t>
      </w:r>
      <w:r w:rsidR="004127D7">
        <w:rPr>
          <w:rFonts w:eastAsiaTheme="minorHAnsi"/>
          <w:lang w:eastAsia="en-US"/>
        </w:rPr>
        <w:t xml:space="preserve">in a manner </w:t>
      </w:r>
      <w:r w:rsidRPr="00656D40">
        <w:rPr>
          <w:rFonts w:eastAsiaTheme="minorHAnsi"/>
          <w:lang w:eastAsia="en-US"/>
        </w:rPr>
        <w:t xml:space="preserve">consistent with </w:t>
      </w:r>
      <w:r w:rsidR="00756132">
        <w:rPr>
          <w:rFonts w:eastAsiaTheme="minorHAnsi"/>
          <w:lang w:eastAsia="en-US"/>
        </w:rPr>
        <w:t>standard practice.</w:t>
      </w:r>
      <w:r w:rsidR="00A562F6">
        <w:rPr>
          <w:rFonts w:eastAsiaTheme="minorHAnsi"/>
          <w:lang w:eastAsia="en-US"/>
        </w:rPr>
        <w:t xml:space="preserve"> </w:t>
      </w:r>
      <w:r w:rsidR="00C64D35">
        <w:rPr>
          <w:rFonts w:eastAsiaTheme="minorHAnsi"/>
          <w:lang w:eastAsia="en-US"/>
        </w:rPr>
        <w:t xml:space="preserve">For example, </w:t>
      </w:r>
      <w:r w:rsidRPr="00656D40">
        <w:rPr>
          <w:rFonts w:eastAsiaTheme="minorHAnsi"/>
          <w:lang w:eastAsia="en-US"/>
        </w:rPr>
        <w:t>PSE routinely purchases materials such as 25 MVA transformers in bulk based on future needs to avoid project delays and to serve as interchangeable spare equipment for other substations in the event of an equipment failure.</w:t>
      </w:r>
      <w:r w:rsidR="00A562F6">
        <w:rPr>
          <w:rFonts w:eastAsiaTheme="minorHAnsi"/>
          <w:lang w:eastAsia="en-US"/>
        </w:rPr>
        <w:t xml:space="preserve"> </w:t>
      </w:r>
      <w:r w:rsidRPr="00656D40">
        <w:rPr>
          <w:rFonts w:eastAsiaTheme="minorHAnsi"/>
          <w:lang w:eastAsia="en-US"/>
        </w:rPr>
        <w:t>These materials are held in inventory until construction begins.</w:t>
      </w:r>
      <w:r w:rsidR="00A562F6">
        <w:rPr>
          <w:rFonts w:eastAsiaTheme="minorHAnsi"/>
          <w:lang w:eastAsia="en-US"/>
        </w:rPr>
        <w:t xml:space="preserve"> </w:t>
      </w:r>
      <w:r w:rsidR="00003602" w:rsidRPr="00003602">
        <w:rPr>
          <w:rFonts w:eastAsiaTheme="minorHAnsi"/>
          <w:lang w:eastAsia="en-US"/>
        </w:rPr>
        <w:t>Due to urban nature of the area, permit requirements and the size of available properties, some non-typical major equipment was needed</w:t>
      </w:r>
      <w:r w:rsidR="00003602">
        <w:rPr>
          <w:rFonts w:eastAsiaTheme="minorHAnsi"/>
          <w:lang w:eastAsia="en-US"/>
        </w:rPr>
        <w:t xml:space="preserve"> such as GIS</w:t>
      </w:r>
      <w:r w:rsidR="00003602" w:rsidRPr="00003602">
        <w:rPr>
          <w:rFonts w:eastAsiaTheme="minorHAnsi"/>
          <w:lang w:eastAsia="en-US"/>
        </w:rPr>
        <w:t>.</w:t>
      </w:r>
      <w:r w:rsidR="00A562F6">
        <w:rPr>
          <w:rFonts w:eastAsiaTheme="minorHAnsi"/>
          <w:lang w:eastAsia="en-US"/>
        </w:rPr>
        <w:t xml:space="preserve"> </w:t>
      </w:r>
      <w:r w:rsidRPr="00656D40">
        <w:rPr>
          <w:rFonts w:eastAsiaTheme="minorHAnsi"/>
          <w:lang w:eastAsia="en-US"/>
        </w:rPr>
        <w:t>All major equipment including transformer, GIS, Metal Clad Switchgear, MPAC, architectural walls and fire walls were competitively bid.</w:t>
      </w:r>
      <w:r w:rsidR="00A562F6">
        <w:rPr>
          <w:rFonts w:eastAsiaTheme="minorHAnsi"/>
          <w:lang w:eastAsia="en-US"/>
        </w:rPr>
        <w:t xml:space="preserve"> </w:t>
      </w:r>
      <w:r w:rsidRPr="00656D40">
        <w:rPr>
          <w:rFonts w:eastAsiaTheme="minorHAnsi"/>
          <w:lang w:eastAsia="en-US"/>
        </w:rPr>
        <w:t>PSE initiated the purchasing process for long lead specialized equipment such as the GIS equipment in 2008 upon securing the initial substation property.</w:t>
      </w:r>
      <w:r w:rsidR="00A562F6">
        <w:rPr>
          <w:rFonts w:eastAsiaTheme="minorHAnsi"/>
          <w:lang w:eastAsia="en-US"/>
        </w:rPr>
        <w:t xml:space="preserve"> </w:t>
      </w:r>
      <w:r w:rsidRPr="00656D40">
        <w:rPr>
          <w:rFonts w:eastAsiaTheme="minorHAnsi"/>
          <w:lang w:eastAsia="en-US"/>
        </w:rPr>
        <w:t>The final GIS payment was made in 2011 after final design was completed.</w:t>
      </w:r>
      <w:r w:rsidR="00A562F6">
        <w:rPr>
          <w:rFonts w:eastAsiaTheme="minorHAnsi"/>
          <w:lang w:eastAsia="en-US"/>
        </w:rPr>
        <w:t xml:space="preserve"> </w:t>
      </w:r>
      <w:r w:rsidRPr="00656D40">
        <w:rPr>
          <w:rFonts w:eastAsiaTheme="minorHAnsi"/>
          <w:lang w:eastAsia="en-US"/>
        </w:rPr>
        <w:t xml:space="preserve">PSE did not </w:t>
      </w:r>
      <w:r w:rsidR="004127D7">
        <w:rPr>
          <w:rFonts w:eastAsiaTheme="minorHAnsi"/>
          <w:lang w:eastAsia="en-US"/>
        </w:rPr>
        <w:t xml:space="preserve">need </w:t>
      </w:r>
      <w:r w:rsidRPr="00656D40">
        <w:rPr>
          <w:rFonts w:eastAsiaTheme="minorHAnsi"/>
          <w:lang w:eastAsia="en-US"/>
        </w:rPr>
        <w:t>to re-order any GIS equipment due to any of the scope changes already discussed.</w:t>
      </w:r>
      <w:r w:rsidR="00A562F6">
        <w:rPr>
          <w:rFonts w:eastAsiaTheme="minorHAnsi"/>
          <w:lang w:eastAsia="en-US"/>
        </w:rPr>
        <w:t xml:space="preserve"> </w:t>
      </w:r>
      <w:r w:rsidR="00003602" w:rsidRPr="00003602">
        <w:rPr>
          <w:rFonts w:eastAsiaTheme="minorHAnsi"/>
          <w:lang w:eastAsia="en-US"/>
        </w:rPr>
        <w:t>The non-typical major equipment was more costly than initially estimated but the timing of the purchases did not have a material impact as Mr. Mullin’s asserts.</w:t>
      </w:r>
    </w:p>
    <w:p w14:paraId="48A64581" w14:textId="3B4122C0" w:rsidR="005C62BE" w:rsidRPr="005C62BE" w:rsidRDefault="005C62BE" w:rsidP="000F4927">
      <w:pPr>
        <w:pStyle w:val="question"/>
        <w:rPr>
          <w:lang w:eastAsia="en-US"/>
        </w:rPr>
      </w:pPr>
      <w:r w:rsidRPr="005C62BE">
        <w:rPr>
          <w:lang w:eastAsia="en-US"/>
        </w:rPr>
        <w:t>Q.</w:t>
      </w:r>
      <w:r w:rsidRPr="005C62BE">
        <w:rPr>
          <w:lang w:eastAsia="en-US"/>
        </w:rPr>
        <w:tab/>
        <w:t xml:space="preserve">Did PSE manage the </w:t>
      </w:r>
      <w:r w:rsidRPr="000F4927">
        <w:t>construction</w:t>
      </w:r>
      <w:r w:rsidRPr="005C62BE">
        <w:rPr>
          <w:lang w:eastAsia="en-US"/>
        </w:rPr>
        <w:t xml:space="preserve"> contract </w:t>
      </w:r>
      <w:r w:rsidR="003A5148">
        <w:rPr>
          <w:lang w:eastAsia="en-US"/>
        </w:rPr>
        <w:t>appropriately</w:t>
      </w:r>
      <w:r w:rsidRPr="005C62BE">
        <w:rPr>
          <w:lang w:eastAsia="en-US"/>
        </w:rPr>
        <w:t>?</w:t>
      </w:r>
    </w:p>
    <w:p w14:paraId="40075D36" w14:textId="65BB1B33" w:rsidR="005C62BE" w:rsidRDefault="005C62BE" w:rsidP="000F4927">
      <w:pPr>
        <w:pStyle w:val="Answer0"/>
        <w:rPr>
          <w:b/>
        </w:rPr>
      </w:pPr>
      <w:r w:rsidRPr="005C62BE">
        <w:t>A.</w:t>
      </w:r>
      <w:r w:rsidRPr="005C62BE">
        <w:tab/>
      </w:r>
      <w:r w:rsidR="003A5148">
        <w:rPr>
          <w:rFonts w:eastAsiaTheme="minorHAnsi"/>
          <w:lang w:eastAsia="en-US"/>
        </w:rPr>
        <w:t>Yes</w:t>
      </w:r>
      <w:r>
        <w:rPr>
          <w:rFonts w:eastAsiaTheme="minorHAnsi"/>
          <w:lang w:eastAsia="en-US"/>
        </w:rPr>
        <w:t>.</w:t>
      </w:r>
      <w:r w:rsidR="00A562F6">
        <w:rPr>
          <w:rFonts w:eastAsiaTheme="minorHAnsi"/>
          <w:lang w:eastAsia="en-US"/>
        </w:rPr>
        <w:t xml:space="preserve"> </w:t>
      </w:r>
      <w:r w:rsidRPr="00656D40">
        <w:rPr>
          <w:rFonts w:eastAsiaTheme="minorHAnsi"/>
          <w:lang w:eastAsia="en-US"/>
        </w:rPr>
        <w:t>PSE used a competitive bid process for selection of the substation contractor</w:t>
      </w:r>
      <w:r w:rsidR="009E0E99">
        <w:rPr>
          <w:rFonts w:eastAsiaTheme="minorHAnsi"/>
          <w:lang w:eastAsia="en-US"/>
        </w:rPr>
        <w:t xml:space="preserve"> and decisions were reviewed </w:t>
      </w:r>
      <w:r w:rsidR="009C0120">
        <w:rPr>
          <w:rFonts w:eastAsiaTheme="minorHAnsi"/>
          <w:lang w:eastAsia="en-US"/>
        </w:rPr>
        <w:t>according to the</w:t>
      </w:r>
      <w:r w:rsidR="009E0E99">
        <w:rPr>
          <w:rFonts w:eastAsiaTheme="minorHAnsi"/>
          <w:lang w:eastAsia="en-US"/>
        </w:rPr>
        <w:t xml:space="preserve"> management approval processes</w:t>
      </w:r>
      <w:r w:rsidRPr="00656D40">
        <w:rPr>
          <w:rFonts w:eastAsiaTheme="minorHAnsi"/>
          <w:lang w:eastAsia="en-US"/>
        </w:rPr>
        <w:t>.</w:t>
      </w:r>
      <w:r w:rsidR="00A562F6">
        <w:rPr>
          <w:rFonts w:eastAsiaTheme="minorHAnsi"/>
          <w:lang w:eastAsia="en-US"/>
        </w:rPr>
        <w:t xml:space="preserve"> </w:t>
      </w:r>
      <w:r w:rsidRPr="004D1385">
        <w:lastRenderedPageBreak/>
        <w:t>As with all construction projects</w:t>
      </w:r>
      <w:r w:rsidR="009E0E99">
        <w:t>,</w:t>
      </w:r>
      <w:r w:rsidRPr="004D1385">
        <w:t xml:space="preserve"> there are unanticipated issues </w:t>
      </w:r>
      <w:r w:rsidR="009E0E99">
        <w:t>that impact contractors and construction plans</w:t>
      </w:r>
      <w:r w:rsidRPr="004D1385">
        <w:t>.</w:t>
      </w:r>
      <w:r w:rsidR="00A562F6">
        <w:t xml:space="preserve"> </w:t>
      </w:r>
      <w:r w:rsidRPr="004D1385">
        <w:t>For this project</w:t>
      </w:r>
      <w:r w:rsidR="009E0E99">
        <w:t>, the</w:t>
      </w:r>
      <w:r w:rsidRPr="004D1385">
        <w:t xml:space="preserve"> issues </w:t>
      </w:r>
      <w:r w:rsidR="009E0E99">
        <w:t>impacting the contractor and plans included</w:t>
      </w:r>
      <w:r>
        <w:t>:</w:t>
      </w:r>
      <w:r w:rsidR="00A562F6">
        <w:t xml:space="preserve"> </w:t>
      </w:r>
      <w:r>
        <w:t>1) s</w:t>
      </w:r>
      <w:r w:rsidR="009E0E99">
        <w:t>chedule changes</w:t>
      </w:r>
      <w:r w:rsidRPr="004D1385">
        <w:t xml:space="preserve"> due to permit issuance timeframes; </w:t>
      </w:r>
      <w:r>
        <w:t xml:space="preserve">2) </w:t>
      </w:r>
      <w:r w:rsidR="009E0E99">
        <w:t>permit</w:t>
      </w:r>
      <w:r w:rsidRPr="004D1385">
        <w:t xml:space="preserve"> requirements that affected the scope and timing of the civil work</w:t>
      </w:r>
      <w:r w:rsidR="00003602" w:rsidRPr="00003602">
        <w:t xml:space="preserve"> such as traffic control, work time allowances, backfill and restoration restrictions, and city water main replacement</w:t>
      </w:r>
      <w:r w:rsidRPr="004D1385">
        <w:t xml:space="preserve">; </w:t>
      </w:r>
      <w:r w:rsidR="009E0E99">
        <w:t xml:space="preserve">and </w:t>
      </w:r>
      <w:r w:rsidRPr="004D1385">
        <w:t xml:space="preserve">3) wet weather </w:t>
      </w:r>
      <w:r w:rsidR="0032303C">
        <w:t>that</w:t>
      </w:r>
      <w:r w:rsidRPr="004D1385">
        <w:t xml:space="preserve"> impacted site requirements, backfill and soil management.</w:t>
      </w:r>
      <w:r w:rsidR="00A562F6">
        <w:t xml:space="preserve"> </w:t>
      </w:r>
      <w:r w:rsidRPr="004D1385">
        <w:t xml:space="preserve">To manage these </w:t>
      </w:r>
      <w:r w:rsidR="00003602">
        <w:t xml:space="preserve">issues that impacted the </w:t>
      </w:r>
      <w:r w:rsidRPr="004D1385">
        <w:t>contract</w:t>
      </w:r>
      <w:r w:rsidR="00003602">
        <w:t>or</w:t>
      </w:r>
      <w:r w:rsidR="00756132">
        <w:t>, PSE required w</w:t>
      </w:r>
      <w:r w:rsidR="009E0E99">
        <w:t>eekly meetings and reports</w:t>
      </w:r>
      <w:r w:rsidR="00756132">
        <w:t xml:space="preserve"> with the contractor</w:t>
      </w:r>
      <w:r w:rsidR="009E0E99">
        <w:t xml:space="preserve">, </w:t>
      </w:r>
      <w:r w:rsidRPr="004D1385">
        <w:t>change approval requests, and, in some cases, a corrective action</w:t>
      </w:r>
      <w:r w:rsidRPr="005C62BE">
        <w:t xml:space="preserve"> </w:t>
      </w:r>
      <w:r w:rsidR="009E0E99">
        <w:t>plan.</w:t>
      </w:r>
      <w:r w:rsidR="00A562F6">
        <w:t xml:space="preserve"> </w:t>
      </w:r>
      <w:r w:rsidR="00005A45" w:rsidRPr="00005A45">
        <w:t>The issues such as permit requirements and site conditions did have an impact on the project, but relative to its managem</w:t>
      </w:r>
      <w:r w:rsidR="00705F48">
        <w:t>ent of the contractor performance</w:t>
      </w:r>
      <w:r w:rsidR="00005A45" w:rsidRPr="00005A45">
        <w:t xml:space="preserve">, PSE managed and resolved </w:t>
      </w:r>
      <w:r w:rsidR="00005A45">
        <w:t>m</w:t>
      </w:r>
      <w:r w:rsidRPr="004D1385">
        <w:t>ost contract</w:t>
      </w:r>
      <w:r w:rsidR="00CE6490">
        <w:t>ing issues during the project construction phase, and the remainder before project closeout.</w:t>
      </w:r>
    </w:p>
    <w:p w14:paraId="447A40BC" w14:textId="758FBA01" w:rsidR="00656D40" w:rsidRPr="00656D40" w:rsidRDefault="00656D40" w:rsidP="000F4927">
      <w:pPr>
        <w:pStyle w:val="question"/>
      </w:pPr>
      <w:r w:rsidRPr="00656D40">
        <w:t>Q.</w:t>
      </w:r>
      <w:r w:rsidRPr="00656D40">
        <w:tab/>
        <w:t>Would it have been reasonable for PSE to abandon the project when the increase over the original plan was known?</w:t>
      </w:r>
    </w:p>
    <w:p w14:paraId="21124B9C" w14:textId="6318790D" w:rsidR="00656D40" w:rsidRPr="00656D40" w:rsidRDefault="00656D40" w:rsidP="000F4927">
      <w:pPr>
        <w:pStyle w:val="Answer0"/>
      </w:pPr>
      <w:r w:rsidRPr="00656D40">
        <w:t>A.</w:t>
      </w:r>
      <w:r w:rsidRPr="00656D40">
        <w:tab/>
        <w:t>No.</w:t>
      </w:r>
      <w:r w:rsidR="00A562F6">
        <w:t xml:space="preserve"> </w:t>
      </w:r>
      <w:r w:rsidRPr="00656D40">
        <w:t>In addition to addressing the system improvements intended by original scope of work, project benefits increased by absorbing the function of the Interlaken substation eliminating the need to upgrade that station and incur additional cost.</w:t>
      </w:r>
      <w:r w:rsidR="00A562F6">
        <w:t xml:space="preserve"> </w:t>
      </w:r>
      <w:r w:rsidRPr="00656D40">
        <w:t>For all the reasons already discussed, PSE’s decision to continue forward was prudent.</w:t>
      </w:r>
    </w:p>
    <w:p w14:paraId="55EB54F2" w14:textId="77777777" w:rsidR="00656D40" w:rsidRPr="00656D40" w:rsidRDefault="00656D40" w:rsidP="000F4927">
      <w:pPr>
        <w:pStyle w:val="Heading1"/>
        <w:rPr>
          <w:rFonts w:eastAsia="SimSun"/>
        </w:rPr>
      </w:pPr>
      <w:bookmarkStart w:id="13" w:name="_Toc127023404"/>
      <w:bookmarkStart w:id="14" w:name="_Toc488438464"/>
      <w:bookmarkStart w:id="15" w:name="_Toc489949733"/>
      <w:r w:rsidRPr="00656D40">
        <w:rPr>
          <w:rFonts w:eastAsia="SimSun"/>
        </w:rPr>
        <w:lastRenderedPageBreak/>
        <w:t>VI.</w:t>
      </w:r>
      <w:r w:rsidRPr="00656D40">
        <w:rPr>
          <w:rFonts w:eastAsia="SimSun"/>
        </w:rPr>
        <w:tab/>
      </w:r>
      <w:r w:rsidRPr="000F4927">
        <w:rPr>
          <w:rFonts w:eastAsia="SimSun"/>
        </w:rPr>
        <w:t>CONCLUSION</w:t>
      </w:r>
      <w:bookmarkEnd w:id="13"/>
      <w:bookmarkEnd w:id="14"/>
      <w:bookmarkEnd w:id="15"/>
    </w:p>
    <w:p w14:paraId="4026A75F" w14:textId="77777777" w:rsidR="00656D40" w:rsidRPr="00656D40" w:rsidRDefault="00656D40" w:rsidP="000F4927">
      <w:pPr>
        <w:pStyle w:val="question"/>
      </w:pPr>
      <w:r w:rsidRPr="00656D40">
        <w:t>Q.</w:t>
      </w:r>
      <w:r w:rsidRPr="00656D40">
        <w:tab/>
        <w:t>Does this conclude yo</w:t>
      </w:r>
      <w:r w:rsidRPr="000F4927">
        <w:t>u</w:t>
      </w:r>
      <w:r w:rsidRPr="00656D40">
        <w:t xml:space="preserve">r rebuttal </w:t>
      </w:r>
      <w:r w:rsidRPr="000F4927">
        <w:t>testimony</w:t>
      </w:r>
      <w:r w:rsidRPr="00656D40">
        <w:t>?</w:t>
      </w:r>
    </w:p>
    <w:p w14:paraId="65480158" w14:textId="747A5ADB" w:rsidR="00734EBA" w:rsidRPr="009075DC" w:rsidRDefault="00656D40" w:rsidP="000F4927">
      <w:pPr>
        <w:pStyle w:val="Answer0"/>
        <w:rPr>
          <w:rFonts w:eastAsia="SimSun"/>
        </w:rPr>
      </w:pPr>
      <w:r w:rsidRPr="00656D40">
        <w:rPr>
          <w:rFonts w:eastAsia="SimSun"/>
        </w:rPr>
        <w:t>A.</w:t>
      </w:r>
      <w:r w:rsidRPr="00656D40">
        <w:rPr>
          <w:rFonts w:eastAsia="SimSun"/>
        </w:rPr>
        <w:tab/>
        <w:t>Yes</w:t>
      </w:r>
      <w:r w:rsidRPr="00656D40">
        <w:rPr>
          <w:rFonts w:eastAsia="SimSun"/>
          <w:i/>
        </w:rPr>
        <w:t xml:space="preserve">. </w:t>
      </w:r>
    </w:p>
    <w:sectPr w:rsidR="00734EBA" w:rsidRPr="009075DC" w:rsidSect="00A253E1">
      <w:footerReference w:type="default" r:id="rId16"/>
      <w:footerReference w:type="first" r:id="rId17"/>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F6C29" w14:textId="77777777" w:rsidR="000A76B8" w:rsidRDefault="000A76B8">
      <w:r>
        <w:separator/>
      </w:r>
    </w:p>
  </w:endnote>
  <w:endnote w:type="continuationSeparator" w:id="0">
    <w:p w14:paraId="315C95A9" w14:textId="77777777" w:rsidR="000A76B8" w:rsidRDefault="000A76B8">
      <w:r>
        <w:continuationSeparator/>
      </w:r>
    </w:p>
  </w:endnote>
  <w:endnote w:type="continuationNotice" w:id="1">
    <w:p w14:paraId="67B07859" w14:textId="77777777" w:rsidR="000A76B8" w:rsidRDefault="000A76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2BD7" w14:textId="01EC7329" w:rsidR="000A76B8" w:rsidRDefault="000A76B8" w:rsidP="00F135E8">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0187" w14:textId="77777777" w:rsidR="000A76B8" w:rsidRDefault="000A76B8">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14:paraId="65480188" w14:textId="77777777" w:rsidR="000A76B8" w:rsidRDefault="000A76B8">
    <w:pPr>
      <w:pStyle w:val="Footer"/>
      <w:tabs>
        <w:tab w:val="clear" w:pos="4507"/>
        <w:tab w:val="clear" w:pos="9000"/>
        <w:tab w:val="right" w:pos="8640"/>
      </w:tabs>
      <w:spacing w:line="240" w:lineRule="auto"/>
      <w:ind w:right="0" w:hanging="4"/>
      <w:rPr>
        <w:sz w:val="10"/>
        <w:szCs w:val="10"/>
      </w:rPr>
    </w:pPr>
  </w:p>
  <w:p w14:paraId="65480189" w14:textId="77777777" w:rsidR="000A76B8" w:rsidRDefault="000A76B8">
    <w:pPr>
      <w:pStyle w:val="Footer"/>
      <w:tabs>
        <w:tab w:val="clear" w:pos="4507"/>
        <w:tab w:val="clear" w:pos="9000"/>
        <w:tab w:val="right" w:pos="8640"/>
      </w:tabs>
      <w:ind w:hanging="4"/>
    </w:pPr>
    <w:r>
      <w:t>Prefiled Rebuttal Testimony</w:t>
    </w:r>
    <w:r>
      <w:tab/>
      <w:t>Exh. CAK-4T</w:t>
    </w:r>
  </w:p>
  <w:p w14:paraId="6548018A" w14:textId="353E65AA" w:rsidR="000A76B8" w:rsidRDefault="000A76B8">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A562F6">
      <w:rPr>
        <w:rStyle w:val="PageNumber"/>
        <w:noProof/>
      </w:rPr>
      <w:t>ii</w:t>
    </w:r>
    <w:r>
      <w:rPr>
        <w:rStyle w:val="PageNumber"/>
      </w:rPr>
      <w:fldChar w:fldCharType="end"/>
    </w:r>
    <w:r>
      <w:rPr>
        <w:rStyle w:val="PageNumber"/>
      </w:rPr>
      <w:t xml:space="preserve"> of </w:t>
    </w:r>
    <w:r>
      <w:t>i</w:t>
    </w:r>
    <w:r w:rsidR="008846A1">
      <w:t>i</w:t>
    </w:r>
  </w:p>
  <w:p w14:paraId="6548018B" w14:textId="63BF831C" w:rsidR="000A76B8" w:rsidRDefault="000A76B8" w:rsidP="00F418C7">
    <w:pPr>
      <w:pStyle w:val="Footer"/>
      <w:tabs>
        <w:tab w:val="clear" w:pos="4507"/>
        <w:tab w:val="clear" w:pos="9000"/>
        <w:tab w:val="right" w:pos="8640"/>
      </w:tabs>
      <w:ind w:hanging="4"/>
    </w:pPr>
    <w:r w:rsidRPr="000C5140">
      <w:t xml:space="preserve">Catherine A. Koch </w:t>
    </w:r>
  </w:p>
  <w:p w14:paraId="4515BA50" w14:textId="3A3C084F" w:rsidR="000A76B8" w:rsidRDefault="000A76B8" w:rsidP="00F135E8">
    <w:pPr>
      <w:pStyle w:val="Footer"/>
      <w:tabs>
        <w:tab w:val="clear" w:pos="4507"/>
        <w:tab w:val="clear" w:pos="9000"/>
        <w:tab w:val="right" w:pos="8640"/>
      </w:tabs>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018C" w14:textId="6BA9288A" w:rsidR="000A76B8" w:rsidRDefault="000A76B8">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w:t>
    </w:r>
    <w:r w:rsidR="00426F4E">
      <w:rPr>
        <w:b/>
        <w:sz w:val="20"/>
        <w:u w:val="single"/>
      </w:rPr>
      <w:t>__________________________</w:t>
    </w:r>
  </w:p>
  <w:p w14:paraId="6548018D" w14:textId="77777777" w:rsidR="000A76B8" w:rsidRDefault="000A76B8">
    <w:pPr>
      <w:pStyle w:val="Footer"/>
      <w:tabs>
        <w:tab w:val="clear" w:pos="4507"/>
        <w:tab w:val="clear" w:pos="9000"/>
        <w:tab w:val="right" w:pos="8640"/>
      </w:tabs>
      <w:spacing w:line="240" w:lineRule="auto"/>
      <w:ind w:right="0"/>
      <w:rPr>
        <w:sz w:val="10"/>
      </w:rPr>
    </w:pPr>
  </w:p>
  <w:p w14:paraId="6548018E" w14:textId="77777777" w:rsidR="000A76B8" w:rsidRDefault="000A76B8">
    <w:pPr>
      <w:pStyle w:val="Footer"/>
      <w:tabs>
        <w:tab w:val="clear" w:pos="4507"/>
        <w:tab w:val="clear" w:pos="9000"/>
        <w:tab w:val="right" w:pos="8640"/>
      </w:tabs>
    </w:pPr>
    <w:r>
      <w:t>Prefiled Rebuttal Testimony</w:t>
    </w:r>
    <w:r>
      <w:tab/>
      <w:t>Exh. CAK-4T</w:t>
    </w:r>
  </w:p>
  <w:p w14:paraId="6548018F" w14:textId="77777777" w:rsidR="000A76B8" w:rsidRDefault="000A76B8">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A562F6">
      <w:rPr>
        <w:rStyle w:val="PageNumber"/>
        <w:noProof/>
      </w:rPr>
      <w:t>43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A562F6">
      <w:rPr>
        <w:rStyle w:val="PageNumber"/>
        <w:noProof/>
      </w:rPr>
      <w:t>43</w:t>
    </w:r>
    <w:r>
      <w:rPr>
        <w:rStyle w:val="PageNumber"/>
      </w:rPr>
      <w:fldChar w:fldCharType="end"/>
    </w:r>
  </w:p>
  <w:p w14:paraId="65480190" w14:textId="182231B9" w:rsidR="000A76B8" w:rsidRDefault="000A76B8" w:rsidP="00F418C7">
    <w:pPr>
      <w:pStyle w:val="Footer"/>
      <w:tabs>
        <w:tab w:val="clear" w:pos="4507"/>
        <w:tab w:val="clear" w:pos="9000"/>
        <w:tab w:val="right" w:pos="8640"/>
      </w:tabs>
    </w:pPr>
    <w:r w:rsidRPr="000C5140">
      <w:t xml:space="preserve">Catherine A. Koch </w:t>
    </w:r>
  </w:p>
  <w:p w14:paraId="72DA3CE7" w14:textId="7A941A0B" w:rsidR="000A76B8" w:rsidRDefault="000A76B8" w:rsidP="00F135E8">
    <w:pPr>
      <w:pStyle w:val="Footer"/>
      <w:tabs>
        <w:tab w:val="clear" w:pos="4507"/>
        <w:tab w:val="clear" w:pos="9000"/>
        <w:tab w:val="right" w:pos="8640"/>
      </w:tabs>
      <w:spacing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0191" w14:textId="77777777" w:rsidR="000A76B8" w:rsidRDefault="000A76B8">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14:paraId="65480192" w14:textId="77777777" w:rsidR="000A76B8" w:rsidRDefault="000A76B8">
    <w:pPr>
      <w:pStyle w:val="Footer"/>
      <w:tabs>
        <w:tab w:val="clear" w:pos="4507"/>
        <w:tab w:val="clear" w:pos="9000"/>
        <w:tab w:val="right" w:pos="8640"/>
      </w:tabs>
      <w:spacing w:line="240" w:lineRule="auto"/>
      <w:ind w:left="-630" w:right="0" w:hanging="4"/>
      <w:rPr>
        <w:sz w:val="10"/>
      </w:rPr>
    </w:pPr>
  </w:p>
  <w:p w14:paraId="65480193" w14:textId="77777777" w:rsidR="000A76B8" w:rsidRDefault="000A76B8">
    <w:pPr>
      <w:pStyle w:val="Footer"/>
      <w:tabs>
        <w:tab w:val="clear" w:pos="4507"/>
        <w:tab w:val="clear" w:pos="9000"/>
        <w:tab w:val="right" w:pos="8640"/>
      </w:tabs>
      <w:ind w:left="-630" w:hanging="4"/>
    </w:pPr>
    <w:r>
      <w:t>Prefiled Direct Testimony of</w:t>
    </w:r>
    <w:r>
      <w:tab/>
      <w:t>Exhibit No. ___(JD-1CT)</w:t>
    </w:r>
  </w:p>
  <w:p w14:paraId="65480194" w14:textId="77777777" w:rsidR="000A76B8" w:rsidRDefault="000A76B8">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55346" w14:textId="77777777" w:rsidR="000A76B8" w:rsidRDefault="000A76B8">
      <w:r>
        <w:separator/>
      </w:r>
    </w:p>
  </w:footnote>
  <w:footnote w:type="continuationSeparator" w:id="0">
    <w:p w14:paraId="5628D5FB" w14:textId="77777777" w:rsidR="000A76B8" w:rsidRDefault="000A76B8">
      <w:r>
        <w:continuationSeparator/>
      </w:r>
    </w:p>
  </w:footnote>
  <w:footnote w:type="continuationNotice" w:id="1">
    <w:p w14:paraId="337F2BC5" w14:textId="77777777" w:rsidR="000A76B8" w:rsidRDefault="000A76B8">
      <w:pPr>
        <w:spacing w:line="240" w:lineRule="auto"/>
      </w:pPr>
    </w:p>
  </w:footnote>
  <w:footnote w:id="2">
    <w:p w14:paraId="7A1A2343" w14:textId="503D04DB" w:rsidR="000A76B8" w:rsidRDefault="000A76B8" w:rsidP="00652A53">
      <w:pPr>
        <w:pStyle w:val="FootnoteText"/>
      </w:pPr>
      <w:r>
        <w:rPr>
          <w:rStyle w:val="FootnoteReference"/>
        </w:rPr>
        <w:footnoteRef/>
      </w:r>
      <w:r>
        <w:t xml:space="preserve"> </w:t>
      </w:r>
      <w:r w:rsidR="00B62B3D" w:rsidRPr="00B62B3D">
        <w:rPr>
          <w:i/>
        </w:rPr>
        <w:t>See</w:t>
      </w:r>
      <w:r w:rsidR="00B62B3D">
        <w:t xml:space="preserve"> </w:t>
      </w:r>
      <w:r w:rsidRPr="00652A53">
        <w:rPr>
          <w:i/>
        </w:rPr>
        <w:t>WUTC v. Avista</w:t>
      </w:r>
      <w:r>
        <w:t>, Docket Nos.</w:t>
      </w:r>
      <w:r w:rsidR="00A562F6">
        <w:t xml:space="preserve"> UE-150204/</w:t>
      </w:r>
      <w:r w:rsidRPr="004B2376">
        <w:t>UG-150205, Order 05</w:t>
      </w:r>
      <w:r w:rsidR="00A562F6">
        <w:t xml:space="preserve"> at</w:t>
      </w:r>
      <w:r>
        <w:t xml:space="preserve"> ¶</w:t>
      </w:r>
      <w:r w:rsidR="00426F4E">
        <w:t xml:space="preserve"> 116</w:t>
      </w:r>
      <w:r>
        <w:t xml:space="preserve"> (</w:t>
      </w:r>
      <w:r w:rsidR="00426F4E">
        <w:t xml:space="preserve">Jan. 6, </w:t>
      </w:r>
      <w:r>
        <w:t>2016).</w:t>
      </w:r>
    </w:p>
  </w:footnote>
  <w:footnote w:id="3">
    <w:p w14:paraId="0182CDDA" w14:textId="0C9AA7F5" w:rsidR="000A76B8" w:rsidRDefault="000A76B8">
      <w:pPr>
        <w:pStyle w:val="FootnoteText"/>
      </w:pPr>
      <w:r>
        <w:rPr>
          <w:rStyle w:val="FootnoteReference"/>
        </w:rPr>
        <w:footnoteRef/>
      </w:r>
      <w:r>
        <w:t xml:space="preserve"> “Gas CRM” includes the Gas Pipeline Replacement </w:t>
      </w:r>
      <w:r w:rsidR="00C15C65">
        <w:t>Plan and the Gas Cost Recovery M</w:t>
      </w:r>
      <w:r>
        <w:t>echanism.</w:t>
      </w:r>
    </w:p>
  </w:footnote>
  <w:footnote w:id="4">
    <w:p w14:paraId="4C2E7DA4" w14:textId="633E0291" w:rsidR="000A76B8" w:rsidRDefault="000A76B8">
      <w:pPr>
        <w:pStyle w:val="FootnoteText"/>
      </w:pPr>
      <w:r>
        <w:rPr>
          <w:rStyle w:val="FootnoteReference"/>
        </w:rPr>
        <w:footnoteRef/>
      </w:r>
      <w:r>
        <w:t xml:space="preserve"> Prefiled Direct Testimony of Booga K. Gilbertso</w:t>
      </w:r>
      <w:r w:rsidR="00A562F6">
        <w:t>n, Exh. BKG-1CT</w:t>
      </w:r>
      <w:r w:rsidR="00913793">
        <w:t xml:space="preserve"> at </w:t>
      </w:r>
      <w:r>
        <w:t>29.</w:t>
      </w:r>
    </w:p>
  </w:footnote>
  <w:footnote w:id="5">
    <w:p w14:paraId="4413FB7B" w14:textId="4D3BCA99" w:rsidR="000A76B8" w:rsidRDefault="000A76B8">
      <w:pPr>
        <w:pStyle w:val="FootnoteText"/>
      </w:pPr>
      <w:r>
        <w:rPr>
          <w:rStyle w:val="FootnoteReference"/>
        </w:rPr>
        <w:footnoteRef/>
      </w:r>
      <w:r>
        <w:t xml:space="preserve"> PSE does not fully agree that the data analysis developed by Staff reflects grid operation in the Northwest as of yet, but PSE is willing to continue working together to develop an analysis model that can be supported.</w:t>
      </w:r>
      <w:r w:rsidR="00A562F6">
        <w:t xml:space="preserve"> </w:t>
      </w:r>
      <w:r>
        <w:t xml:space="preserve">That said, refined analysis would likely still result in a gap between targets presented and PSE’s actual performance. </w:t>
      </w:r>
    </w:p>
  </w:footnote>
  <w:footnote w:id="6">
    <w:p w14:paraId="1E135AF7" w14:textId="7A592C5E" w:rsidR="00D047FD" w:rsidRDefault="00D047FD">
      <w:pPr>
        <w:pStyle w:val="FootnoteText"/>
      </w:pPr>
      <w:r>
        <w:rPr>
          <w:rStyle w:val="FootnoteReference"/>
        </w:rPr>
        <w:footnoteRef/>
      </w:r>
      <w:r>
        <w:t xml:space="preserve"> WUTC Customer Complaint 110951 (Mar. 11, 2011).</w:t>
      </w:r>
    </w:p>
  </w:footnote>
  <w:footnote w:id="7">
    <w:p w14:paraId="406AAB1C" w14:textId="3A564804" w:rsidR="00850340" w:rsidRDefault="00850340">
      <w:pPr>
        <w:pStyle w:val="FootnoteText"/>
      </w:pPr>
      <w:r>
        <w:rPr>
          <w:rStyle w:val="FootnoteReference"/>
        </w:rPr>
        <w:footnoteRef/>
      </w:r>
      <w:r>
        <w:t xml:space="preserve"> </w:t>
      </w:r>
      <w:r w:rsidR="00C64D35">
        <w:t>Exh. CAK-</w:t>
      </w:r>
      <w:r w:rsidR="00D41EA4">
        <w:t>5.</w:t>
      </w:r>
    </w:p>
  </w:footnote>
  <w:footnote w:id="8">
    <w:p w14:paraId="66CD9D78" w14:textId="3D038AA4" w:rsidR="000A76B8" w:rsidRPr="00D41EA4" w:rsidRDefault="000A76B8">
      <w:pPr>
        <w:pStyle w:val="FootnoteText"/>
      </w:pPr>
      <w:r>
        <w:rPr>
          <w:rStyle w:val="FootnoteReference"/>
        </w:rPr>
        <w:footnoteRef/>
      </w:r>
      <w:r>
        <w:t xml:space="preserve"> </w:t>
      </w:r>
      <w:r w:rsidR="00D41EA4" w:rsidRPr="00D41EA4">
        <w:rPr>
          <w:i/>
        </w:rPr>
        <w:t>Id.</w:t>
      </w:r>
      <w:r w:rsidR="00D41EA4">
        <w:t xml:space="preserve"> at 38.</w:t>
      </w:r>
    </w:p>
  </w:footnote>
  <w:footnote w:id="9">
    <w:p w14:paraId="654801A2" w14:textId="3088376F" w:rsidR="000A76B8" w:rsidRDefault="000A76B8" w:rsidP="0064338A">
      <w:pPr>
        <w:pStyle w:val="FootnoteText"/>
      </w:pPr>
      <w:r>
        <w:rPr>
          <w:rStyle w:val="FootnoteReference"/>
        </w:rPr>
        <w:footnoteRef/>
      </w:r>
      <w:r w:rsidR="00A562F6">
        <w:t xml:space="preserve"> Exh. </w:t>
      </w:r>
      <w:r>
        <w:t>CAK-3C at 8 and 14.</w:t>
      </w:r>
    </w:p>
  </w:footnote>
  <w:footnote w:id="10">
    <w:p w14:paraId="08C9367D" w14:textId="48291385" w:rsidR="000A76B8" w:rsidRDefault="000A76B8">
      <w:pPr>
        <w:pStyle w:val="FootnoteText"/>
      </w:pPr>
      <w:r>
        <w:rPr>
          <w:rStyle w:val="FootnoteReference"/>
        </w:rPr>
        <w:footnoteRef/>
      </w:r>
      <w:r>
        <w:t xml:space="preserve"> </w:t>
      </w:r>
      <w:r w:rsidR="0037514A">
        <w:t xml:space="preserve">The </w:t>
      </w:r>
      <w:r>
        <w:t xml:space="preserve">50% improvement </w:t>
      </w:r>
      <w:r w:rsidR="0037514A">
        <w:t xml:space="preserve">is </w:t>
      </w:r>
      <w:r>
        <w:t>in the baseline measurement used to justify the project</w:t>
      </w:r>
      <w:r w:rsidR="0037514A">
        <w:t>,</w:t>
      </w:r>
      <w:r>
        <w:t xml:space="preserve"> whether it be SAIDI, SAIFI, CMI, or CEMI. </w:t>
      </w:r>
    </w:p>
  </w:footnote>
  <w:footnote w:id="11">
    <w:p w14:paraId="654801A3" w14:textId="1AE72522" w:rsidR="000A76B8" w:rsidRDefault="000A76B8">
      <w:pPr>
        <w:pStyle w:val="FootnoteText"/>
      </w:pPr>
      <w:r>
        <w:rPr>
          <w:rStyle w:val="FootnoteReference"/>
        </w:rPr>
        <w:footnoteRef/>
      </w:r>
      <w:r>
        <w:t xml:space="preserve"> Exh</w:t>
      </w:r>
      <w:r w:rsidR="00A562F6">
        <w:t xml:space="preserve">. </w:t>
      </w:r>
      <w:r>
        <w:t xml:space="preserve">CAK-3C at 6 and 12. </w:t>
      </w:r>
    </w:p>
  </w:footnote>
  <w:footnote w:id="12">
    <w:p w14:paraId="654801A4" w14:textId="16AB91F5" w:rsidR="000A76B8" w:rsidRDefault="000A76B8">
      <w:pPr>
        <w:pStyle w:val="FootnoteText"/>
      </w:pPr>
      <w:r>
        <w:rPr>
          <w:rStyle w:val="FootnoteReference"/>
        </w:rPr>
        <w:footnoteRef/>
      </w:r>
      <w:r w:rsidR="00850340">
        <w:t xml:space="preserve"> Prefiled Direct Testimony of Booga K. Gilbertson, </w:t>
      </w:r>
      <w:r w:rsidR="00A562F6">
        <w:t>Exh. BKG-1T</w:t>
      </w:r>
      <w:r>
        <w:t xml:space="preserve"> at 9.</w:t>
      </w:r>
    </w:p>
  </w:footnote>
  <w:footnote w:id="13">
    <w:p w14:paraId="654801A5" w14:textId="33362317" w:rsidR="000A76B8" w:rsidRDefault="000A76B8" w:rsidP="002F7951">
      <w:pPr>
        <w:pStyle w:val="FootnoteText"/>
      </w:pPr>
      <w:r>
        <w:rPr>
          <w:rStyle w:val="FootnoteReference"/>
        </w:rPr>
        <w:footnoteRef/>
      </w:r>
      <w:r>
        <w:t xml:space="preserve"> Docket UE-72300, June 9, 2016 Letter from Lisa Gafken, for Public Counsel, p. 3; </w:t>
      </w:r>
      <w:r>
        <w:rPr>
          <w:i/>
        </w:rPr>
        <w:t xml:space="preserve">see also </w:t>
      </w:r>
      <w:r>
        <w:t>Order 29, Final Order Approving and Adopting Settlement</w:t>
      </w:r>
      <w:r w:rsidR="00802D8D">
        <w:t>,</w:t>
      </w:r>
      <w:r>
        <w:t xml:space="preserve"> ¶ 31 (June 17, 2016). </w:t>
      </w:r>
    </w:p>
  </w:footnote>
  <w:footnote w:id="14">
    <w:p w14:paraId="2774ACEE" w14:textId="6CAE0127" w:rsidR="00321454" w:rsidRPr="00B75DF4" w:rsidRDefault="00321454" w:rsidP="00321454">
      <w:pPr>
        <w:pStyle w:val="FootnoteText"/>
      </w:pPr>
      <w:r>
        <w:rPr>
          <w:rStyle w:val="FootnoteReference"/>
        </w:rPr>
        <w:footnoteRef/>
      </w:r>
      <w:r>
        <w:t xml:space="preserve"> </w:t>
      </w:r>
      <w:r>
        <w:rPr>
          <w:i/>
        </w:rPr>
        <w:t>WUTC v. PSE</w:t>
      </w:r>
      <w:r w:rsidR="000A4C43">
        <w:t>, Dockets</w:t>
      </w:r>
      <w:r w:rsidR="00A562F6">
        <w:t xml:space="preserve"> UG-040640/</w:t>
      </w:r>
      <w:r w:rsidR="00515D83">
        <w:t>UE-040641, Testimo</w:t>
      </w:r>
      <w:r w:rsidR="00A562F6">
        <w:t>ny of Douglas Kilpatrick, Exh. DEK-1T at</w:t>
      </w:r>
      <w:r w:rsidR="00515D83">
        <w:t xml:space="preserve"> 4-17</w:t>
      </w:r>
      <w:r>
        <w:t>.</w:t>
      </w:r>
      <w:r w:rsidR="00A562F6">
        <w:t xml:space="preserve"> </w:t>
      </w:r>
    </w:p>
  </w:footnote>
  <w:footnote w:id="15">
    <w:p w14:paraId="665A0988" w14:textId="47786575" w:rsidR="000A76B8" w:rsidRPr="007A10F0" w:rsidRDefault="000A76B8" w:rsidP="00515D83">
      <w:pPr>
        <w:pStyle w:val="FootnoteText"/>
        <w:spacing w:after="240"/>
      </w:pPr>
      <w:r>
        <w:rPr>
          <w:rStyle w:val="FootnoteReference"/>
        </w:rPr>
        <w:footnoteRef/>
      </w:r>
      <w:r>
        <w:t xml:space="preserve"> </w:t>
      </w:r>
      <w:r>
        <w:rPr>
          <w:i/>
        </w:rPr>
        <w:t>WUTC v. PSE</w:t>
      </w:r>
      <w:r w:rsidR="000A4C43">
        <w:t>, Dockets</w:t>
      </w:r>
      <w:r w:rsidR="00515D83">
        <w:t xml:space="preserve"> </w:t>
      </w:r>
      <w:r w:rsidR="00A562F6">
        <w:t>UE-111048/</w:t>
      </w:r>
      <w:r w:rsidR="00515D83">
        <w:t xml:space="preserve">UG-111049, </w:t>
      </w:r>
      <w:r>
        <w:t>Order</w:t>
      </w:r>
      <w:r w:rsidR="00A562F6">
        <w:t xml:space="preserve"> 08</w:t>
      </w:r>
      <w:r w:rsidR="00515D83">
        <w:t xml:space="preserve"> at ¶¶ 297-99 (May 7, 2012)</w:t>
      </w:r>
      <w:r>
        <w:t>.</w:t>
      </w:r>
    </w:p>
  </w:footnote>
  <w:footnote w:id="16">
    <w:p w14:paraId="3EF9E86D" w14:textId="1D06DA87" w:rsidR="000A76B8" w:rsidRDefault="000A76B8" w:rsidP="00CB326D">
      <w:pPr>
        <w:spacing w:line="240" w:lineRule="auto"/>
      </w:pPr>
      <w:r>
        <w:rPr>
          <w:rStyle w:val="FootnoteReference"/>
        </w:rPr>
        <w:footnoteRef/>
      </w:r>
      <w:r>
        <w:t xml:space="preserve"> This di</w:t>
      </w:r>
      <w:r w:rsidRPr="00660F65">
        <w:rPr>
          <w:color w:val="000000" w:themeColor="text1"/>
        </w:rPr>
        <w:t>fferen</w:t>
      </w:r>
      <w:r w:rsidR="000A4C43">
        <w:rPr>
          <w:color w:val="000000" w:themeColor="text1"/>
        </w:rPr>
        <w:t>ce in recorded outages between one and five</w:t>
      </w:r>
      <w:r w:rsidRPr="00660F65">
        <w:rPr>
          <w:color w:val="000000" w:themeColor="text1"/>
        </w:rPr>
        <w:t xml:space="preserve"> minutes is negligible as </w:t>
      </w:r>
      <w:r>
        <w:rPr>
          <w:color w:val="000000" w:themeColor="text1"/>
        </w:rPr>
        <w:t xml:space="preserve">they </w:t>
      </w:r>
      <w:r w:rsidRPr="00660F65">
        <w:rPr>
          <w:color w:val="000000" w:themeColor="text1"/>
        </w:rPr>
        <w:t>are on average ~ 0.02% of the total C</w:t>
      </w:r>
      <w:r>
        <w:rPr>
          <w:color w:val="000000" w:themeColor="text1"/>
        </w:rPr>
        <w:t xml:space="preserve">ustomer </w:t>
      </w:r>
      <w:r w:rsidRPr="00660F65">
        <w:rPr>
          <w:color w:val="000000" w:themeColor="text1"/>
        </w:rPr>
        <w:t>M</w:t>
      </w:r>
      <w:r>
        <w:rPr>
          <w:color w:val="000000" w:themeColor="text1"/>
        </w:rPr>
        <w:t xml:space="preserve">inute </w:t>
      </w:r>
      <w:r w:rsidRPr="00660F65">
        <w:rPr>
          <w:color w:val="000000" w:themeColor="text1"/>
        </w:rPr>
        <w:t>I</w:t>
      </w:r>
      <w:r>
        <w:rPr>
          <w:color w:val="000000" w:themeColor="text1"/>
        </w:rPr>
        <w:t>nterruptions</w:t>
      </w:r>
      <w:r w:rsidRPr="00660F65">
        <w:rPr>
          <w:color w:val="000000" w:themeColor="text1"/>
        </w:rPr>
        <w:t xml:space="preserve"> (2011 through 2016)</w:t>
      </w:r>
      <w:r>
        <w:rPr>
          <w:color w:val="000000" w:themeColor="text1"/>
        </w:rPr>
        <w:t>.</w:t>
      </w:r>
      <w:r w:rsidR="00A562F6">
        <w:rPr>
          <w:color w:val="000000" w:themeColor="text1"/>
        </w:rPr>
        <w:t xml:space="preserve"> </w:t>
      </w:r>
      <w:r>
        <w:rPr>
          <w:color w:val="000000" w:themeColor="text1"/>
        </w:rPr>
        <w:t>This is about 808,303 customer minute interruption differences with an impact an average SAIDI difference of about 0.13 minutes</w:t>
      </w:r>
      <w:r w:rsidRPr="00660F65">
        <w:rPr>
          <w:color w:val="000000" w:themeColor="text1"/>
        </w:rPr>
        <w:t xml:space="preserve">. </w:t>
      </w:r>
    </w:p>
  </w:footnote>
  <w:footnote w:id="17">
    <w:p w14:paraId="00EFCAE5" w14:textId="025734B3" w:rsidR="00E56B17" w:rsidRDefault="00E56B17">
      <w:pPr>
        <w:pStyle w:val="FootnoteText"/>
      </w:pPr>
      <w:r>
        <w:rPr>
          <w:rStyle w:val="FootnoteReference"/>
        </w:rPr>
        <w:footnoteRef/>
      </w:r>
      <w:r>
        <w:t xml:space="preserve"> </w:t>
      </w:r>
      <w:r w:rsidRPr="00E56B17">
        <w:rPr>
          <w:i/>
        </w:rPr>
        <w:t>WUTC v. PSE</w:t>
      </w:r>
      <w:r w:rsidR="000A4C43">
        <w:t>, Dockets</w:t>
      </w:r>
      <w:r w:rsidR="00A562F6">
        <w:t xml:space="preserve"> UG-040640/</w:t>
      </w:r>
      <w:r w:rsidRPr="00E56B17">
        <w:t>UE-040641, Testimony of Douglas Kilpatrick, E</w:t>
      </w:r>
      <w:r w:rsidR="00A562F6">
        <w:t>xh. DEK-1T</w:t>
      </w:r>
      <w:r w:rsidR="000A4C43">
        <w:t xml:space="preserve"> at</w:t>
      </w:r>
      <w:r w:rsidRPr="00E56B17">
        <w:t xml:space="preserve"> 4-17.</w:t>
      </w:r>
      <w:r w:rsidR="00A562F6">
        <w:t xml:space="preserve"> </w:t>
      </w:r>
    </w:p>
  </w:footnote>
  <w:footnote w:id="18">
    <w:p w14:paraId="6978BC38" w14:textId="77777777" w:rsidR="00E56B17" w:rsidRDefault="00E56B17" w:rsidP="00E56B17">
      <w:pPr>
        <w:pStyle w:val="FootnoteText"/>
      </w:pPr>
      <w:r>
        <w:rPr>
          <w:rStyle w:val="FootnoteReference"/>
        </w:rPr>
        <w:footnoteRef/>
      </w:r>
      <w:r>
        <w:t xml:space="preserve"> IEEE SA-1366 2003 and IEEE SA-1366 2012 is Guide for Electric Power Distribution Reliability Indices.</w:t>
      </w:r>
    </w:p>
  </w:footnote>
  <w:footnote w:id="19">
    <w:p w14:paraId="4358EA55" w14:textId="29BFF914" w:rsidR="00E56B17" w:rsidRDefault="00E56B17">
      <w:pPr>
        <w:pStyle w:val="FootnoteText"/>
      </w:pPr>
      <w:r>
        <w:rPr>
          <w:rStyle w:val="FootnoteReference"/>
        </w:rPr>
        <w:footnoteRef/>
      </w:r>
      <w:r>
        <w:t xml:space="preserve"> </w:t>
      </w:r>
      <w:r w:rsidRPr="00E56B17">
        <w:rPr>
          <w:i/>
        </w:rPr>
        <w:t>WUTC v. PSE</w:t>
      </w:r>
      <w:r w:rsidR="000A4C43">
        <w:t>, Dockets</w:t>
      </w:r>
      <w:r w:rsidR="00A562F6">
        <w:t xml:space="preserve"> UG-040640/</w:t>
      </w:r>
      <w:bookmarkStart w:id="7" w:name="_GoBack"/>
      <w:bookmarkEnd w:id="7"/>
      <w:r w:rsidRPr="00E56B17">
        <w:t>UE-040641, Testimony of Douglas Kilpatrick, E</w:t>
      </w:r>
      <w:r w:rsidR="00A562F6">
        <w:t>xh. DEK-1T</w:t>
      </w:r>
      <w:r w:rsidR="000A4C43">
        <w:t xml:space="preserve"> at</w:t>
      </w:r>
      <w:r w:rsidRPr="00E56B17">
        <w:t xml:space="preserve"> 4-17.</w:t>
      </w:r>
      <w:r w:rsidR="00A562F6">
        <w:t xml:space="preserve"> </w:t>
      </w:r>
    </w:p>
  </w:footnote>
  <w:footnote w:id="20">
    <w:p w14:paraId="0BF43D0B" w14:textId="31553BA0" w:rsidR="000A76B8" w:rsidRDefault="000A76B8">
      <w:pPr>
        <w:pStyle w:val="FootnoteText"/>
      </w:pPr>
      <w:r>
        <w:rPr>
          <w:rStyle w:val="FootnoteReference"/>
        </w:rPr>
        <w:footnoteRef/>
      </w:r>
      <w:r>
        <w:t xml:space="preserve"> Beta refers to the standard deviation from the average.</w:t>
      </w:r>
    </w:p>
  </w:footnote>
  <w:footnote w:id="21">
    <w:p w14:paraId="43A7FD1A" w14:textId="4A98EBEA" w:rsidR="000A76B8" w:rsidRDefault="000A76B8">
      <w:pPr>
        <w:pStyle w:val="FootnoteText"/>
      </w:pPr>
      <w:r>
        <w:rPr>
          <w:rStyle w:val="FootnoteReference"/>
        </w:rPr>
        <w:footnoteRef/>
      </w:r>
      <w:r>
        <w:t xml:space="preserve"> A project is made up of multiple orders.</w:t>
      </w:r>
    </w:p>
  </w:footnote>
  <w:footnote w:id="22">
    <w:p w14:paraId="070F21F3" w14:textId="4112790C" w:rsidR="00FA204C" w:rsidRDefault="00FA204C">
      <w:pPr>
        <w:pStyle w:val="FootnoteText"/>
      </w:pPr>
      <w:r>
        <w:rPr>
          <w:rStyle w:val="FootnoteReference"/>
        </w:rPr>
        <w:footnoteRef/>
      </w:r>
      <w:r>
        <w:t xml:space="preserve"> Exh. BGM-8.</w:t>
      </w:r>
    </w:p>
  </w:footnote>
  <w:footnote w:id="23">
    <w:p w14:paraId="3839EFD5" w14:textId="4818BE59" w:rsidR="005304C4" w:rsidRDefault="005304C4">
      <w:pPr>
        <w:pStyle w:val="FootnoteText"/>
      </w:pPr>
      <w:r>
        <w:rPr>
          <w:rStyle w:val="FootnoteReference"/>
        </w:rPr>
        <w:footnoteRef/>
      </w:r>
      <w:r>
        <w:t xml:space="preserve"> Exh. BGM-1T at 52.</w:t>
      </w:r>
    </w:p>
  </w:footnote>
  <w:footnote w:id="24">
    <w:p w14:paraId="532A8DE2" w14:textId="598DC712" w:rsidR="00E91086" w:rsidRDefault="00E91086">
      <w:pPr>
        <w:pStyle w:val="FootnoteText"/>
      </w:pPr>
      <w:r>
        <w:rPr>
          <w:rStyle w:val="FootnoteReference"/>
        </w:rPr>
        <w:footnoteRef/>
      </w:r>
      <w:r>
        <w:t xml:space="preserve"> Exh.</w:t>
      </w:r>
      <w:r w:rsidRPr="00E91086">
        <w:t xml:space="preserve"> BGM-10 at 7 (PSE Resp. to ICNU DR 091 Attach B)</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0185" w14:textId="77777777" w:rsidR="000A76B8" w:rsidRDefault="000A76B8">
    <w:pPr>
      <w:pStyle w:val="Header"/>
    </w:pPr>
    <w:r>
      <w:rPr>
        <w:noProof/>
        <w:lang w:eastAsia="en-US"/>
      </w:rPr>
      <mc:AlternateContent>
        <mc:Choice Requires="wps">
          <w:drawing>
            <wp:anchor distT="0" distB="0" distL="114300" distR="114300" simplePos="0" relativeHeight="251658240" behindDoc="0" locked="0" layoutInCell="0" allowOverlap="1" wp14:anchorId="65480195" wp14:editId="65480196">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0186" w14:textId="77777777" w:rsidR="000A76B8" w:rsidRDefault="000A76B8" w:rsidP="00AD2CF0">
    <w:pPr>
      <w:pStyle w:val="Header"/>
      <w:ind w:left="-1440"/>
    </w:pPr>
    <w:r>
      <w:rPr>
        <w:noProof/>
        <w:lang w:eastAsia="en-US"/>
      </w:rPr>
      <mc:AlternateContent>
        <mc:Choice Requires="wps">
          <w:drawing>
            <wp:anchor distT="0" distB="0" distL="114300" distR="114300" simplePos="0" relativeHeight="251658241" behindDoc="0" locked="0" layoutInCell="1" allowOverlap="1" wp14:anchorId="65480197" wp14:editId="65480198">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4990416"/>
    <w:multiLevelType w:val="hybridMultilevel"/>
    <w:tmpl w:val="2D9C16EE"/>
    <w:lvl w:ilvl="0" w:tplc="F6326056">
      <w:start w:val="1"/>
      <w:numFmt w:val="decimal"/>
      <w:pStyle w:val="Order"/>
      <w:lvlText w:val="%1"/>
      <w:lvlJc w:val="left"/>
      <w:pPr>
        <w:tabs>
          <w:tab w:val="num" w:pos="720"/>
        </w:tabs>
        <w:ind w:left="720" w:hanging="1080"/>
      </w:pPr>
      <w:rPr>
        <w:rFonts w:hint="default"/>
        <w:b w:val="0"/>
        <w:i/>
        <w:sz w:val="20"/>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nsid w:val="07D2257F"/>
    <w:multiLevelType w:val="hybridMultilevel"/>
    <w:tmpl w:val="22683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B23CFD"/>
    <w:multiLevelType w:val="hybridMultilevel"/>
    <w:tmpl w:val="9E9C59AA"/>
    <w:lvl w:ilvl="0" w:tplc="4ADE7966">
      <w:start w:val="1"/>
      <w:numFmt w:val="decimal"/>
      <w:pStyle w:val="Ax"/>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9757458"/>
    <w:multiLevelType w:val="hybridMultilevel"/>
    <w:tmpl w:val="34F049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AEE7BAF"/>
    <w:multiLevelType w:val="hybridMultilevel"/>
    <w:tmpl w:val="6F3CBD5C"/>
    <w:lvl w:ilvl="0" w:tplc="621C5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C647A74"/>
    <w:multiLevelType w:val="hybridMultilevel"/>
    <w:tmpl w:val="0D885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3F26027"/>
    <w:multiLevelType w:val="hybridMultilevel"/>
    <w:tmpl w:val="D5FA7C20"/>
    <w:lvl w:ilvl="0" w:tplc="42EA7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1BE97BED"/>
    <w:multiLevelType w:val="hybridMultilevel"/>
    <w:tmpl w:val="3E189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6561A6"/>
    <w:multiLevelType w:val="hybridMultilevel"/>
    <w:tmpl w:val="F10A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9810044"/>
    <w:multiLevelType w:val="hybridMultilevel"/>
    <w:tmpl w:val="A8E83BF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2E5D6768"/>
    <w:multiLevelType w:val="hybridMultilevel"/>
    <w:tmpl w:val="855ED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36E1174F"/>
    <w:multiLevelType w:val="hybridMultilevel"/>
    <w:tmpl w:val="E41E0E1A"/>
    <w:lvl w:ilvl="0" w:tplc="62DE5F46">
      <w:numFmt w:val="bullet"/>
      <w:pStyle w:val="BulletedOrderInden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265967"/>
    <w:multiLevelType w:val="hybridMultilevel"/>
    <w:tmpl w:val="D5FA7C20"/>
    <w:lvl w:ilvl="0" w:tplc="42EA7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204722"/>
    <w:multiLevelType w:val="hybridMultilevel"/>
    <w:tmpl w:val="6A0AA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D7F7EB8"/>
    <w:multiLevelType w:val="hybridMultilevel"/>
    <w:tmpl w:val="F05234EE"/>
    <w:lvl w:ilvl="0" w:tplc="E28A6E96">
      <w:start w:val="1"/>
      <w:numFmt w:val="bullet"/>
      <w:pStyle w:val="bx"/>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0EE3529"/>
    <w:multiLevelType w:val="hybridMultilevel"/>
    <w:tmpl w:val="A41C3F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1">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2">
    <w:nsid w:val="4B583343"/>
    <w:multiLevelType w:val="hybridMultilevel"/>
    <w:tmpl w:val="2468E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FC31F50"/>
    <w:multiLevelType w:val="hybridMultilevel"/>
    <w:tmpl w:val="150A9E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5">
    <w:nsid w:val="55D928A1"/>
    <w:multiLevelType w:val="hybridMultilevel"/>
    <w:tmpl w:val="A68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7">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8">
    <w:nsid w:val="5A2C1802"/>
    <w:multiLevelType w:val="hybridMultilevel"/>
    <w:tmpl w:val="602CE93C"/>
    <w:lvl w:ilvl="0" w:tplc="62BE7B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AF06A76"/>
    <w:multiLevelType w:val="hybridMultilevel"/>
    <w:tmpl w:val="F3E2BF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43">
    <w:nsid w:val="6B7657C6"/>
    <w:multiLevelType w:val="hybridMultilevel"/>
    <w:tmpl w:val="30D02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E6B516B"/>
    <w:multiLevelType w:val="hybridMultilevel"/>
    <w:tmpl w:val="9028D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6">
    <w:nsid w:val="700076C1"/>
    <w:multiLevelType w:val="hybridMultilevel"/>
    <w:tmpl w:val="9D568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01146F"/>
    <w:multiLevelType w:val="hybridMultilevel"/>
    <w:tmpl w:val="2A3CB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B73319D"/>
    <w:multiLevelType w:val="hybridMultilevel"/>
    <w:tmpl w:val="11263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1"/>
  </w:num>
  <w:num w:numId="13">
    <w:abstractNumId w:val="42"/>
  </w:num>
  <w:num w:numId="14">
    <w:abstractNumId w:val="30"/>
  </w:num>
  <w:num w:numId="15">
    <w:abstractNumId w:val="37"/>
  </w:num>
  <w:num w:numId="16">
    <w:abstractNumId w:val="40"/>
  </w:num>
  <w:num w:numId="17">
    <w:abstractNumId w:val="45"/>
  </w:num>
  <w:num w:numId="18">
    <w:abstractNumId w:val="31"/>
  </w:num>
  <w:num w:numId="19">
    <w:abstractNumId w:val="49"/>
  </w:num>
  <w:num w:numId="20">
    <w:abstractNumId w:val="34"/>
  </w:num>
  <w:num w:numId="21">
    <w:abstractNumId w:val="36"/>
  </w:num>
  <w:num w:numId="22">
    <w:abstractNumId w:val="19"/>
  </w:num>
  <w:num w:numId="23">
    <w:abstractNumId w:val="18"/>
  </w:num>
  <w:num w:numId="24">
    <w:abstractNumId w:val="24"/>
  </w:num>
  <w:num w:numId="25">
    <w:abstractNumId w:val="29"/>
  </w:num>
  <w:num w:numId="26">
    <w:abstractNumId w:val="12"/>
  </w:num>
  <w:num w:numId="27">
    <w:abstractNumId w:val="32"/>
  </w:num>
  <w:num w:numId="28">
    <w:abstractNumId w:val="23"/>
  </w:num>
  <w:num w:numId="29">
    <w:abstractNumId w:val="44"/>
  </w:num>
  <w:num w:numId="30">
    <w:abstractNumId w:val="21"/>
  </w:num>
  <w:num w:numId="31">
    <w:abstractNumId w:val="48"/>
  </w:num>
  <w:num w:numId="32">
    <w:abstractNumId w:val="22"/>
  </w:num>
  <w:num w:numId="33">
    <w:abstractNumId w:val="39"/>
  </w:num>
  <w:num w:numId="34">
    <w:abstractNumId w:val="14"/>
  </w:num>
  <w:num w:numId="35">
    <w:abstractNumId w:val="10"/>
  </w:num>
  <w:num w:numId="36">
    <w:abstractNumId w:val="25"/>
  </w:num>
  <w:num w:numId="37">
    <w:abstractNumId w:val="15"/>
  </w:num>
  <w:num w:numId="38">
    <w:abstractNumId w:val="38"/>
  </w:num>
  <w:num w:numId="39">
    <w:abstractNumId w:val="46"/>
  </w:num>
  <w:num w:numId="40">
    <w:abstractNumId w:val="26"/>
  </w:num>
  <w:num w:numId="41">
    <w:abstractNumId w:val="47"/>
  </w:num>
  <w:num w:numId="42">
    <w:abstractNumId w:val="28"/>
  </w:num>
  <w:num w:numId="43">
    <w:abstractNumId w:val="35"/>
  </w:num>
  <w:num w:numId="44">
    <w:abstractNumId w:val="16"/>
  </w:num>
  <w:num w:numId="45">
    <w:abstractNumId w:val="20"/>
  </w:num>
  <w:num w:numId="46">
    <w:abstractNumId w:val="33"/>
  </w:num>
  <w:num w:numId="47">
    <w:abstractNumId w:val="13"/>
  </w:num>
  <w:num w:numId="48">
    <w:abstractNumId w:val="17"/>
  </w:num>
  <w:num w:numId="49">
    <w:abstractNumId w:val="27"/>
  </w:num>
  <w:num w:numId="50">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0|%cm"/>
    <w:docVar w:name="MPDocID" w:val="07771-0045/LEGAL136405511.4"/>
    <w:docVar w:name="MPDocIDTemplate" w:val="%c-|%m/|%l|%n|.%v"/>
    <w:docVar w:name="MPDocIDTemplateDefault" w:val="%c-|%m/|%n|.%v"/>
    <w:docVar w:name="NewDocStampType" w:val="7"/>
  </w:docVars>
  <w:rsids>
    <w:rsidRoot w:val="00CD1A65"/>
    <w:rsid w:val="00000A6F"/>
    <w:rsid w:val="000018F4"/>
    <w:rsid w:val="00002751"/>
    <w:rsid w:val="000031CD"/>
    <w:rsid w:val="00003202"/>
    <w:rsid w:val="00003602"/>
    <w:rsid w:val="00003677"/>
    <w:rsid w:val="00003CCA"/>
    <w:rsid w:val="00003ED9"/>
    <w:rsid w:val="00004D39"/>
    <w:rsid w:val="0000554F"/>
    <w:rsid w:val="00005A45"/>
    <w:rsid w:val="0000723E"/>
    <w:rsid w:val="00007913"/>
    <w:rsid w:val="000101C9"/>
    <w:rsid w:val="0001112F"/>
    <w:rsid w:val="00011F34"/>
    <w:rsid w:val="00012170"/>
    <w:rsid w:val="00012CC9"/>
    <w:rsid w:val="000139D8"/>
    <w:rsid w:val="000166B1"/>
    <w:rsid w:val="00017DB9"/>
    <w:rsid w:val="00020C64"/>
    <w:rsid w:val="00021DF1"/>
    <w:rsid w:val="0002256A"/>
    <w:rsid w:val="000231E8"/>
    <w:rsid w:val="0002428B"/>
    <w:rsid w:val="000249FD"/>
    <w:rsid w:val="00024ADC"/>
    <w:rsid w:val="0002515D"/>
    <w:rsid w:val="000251EE"/>
    <w:rsid w:val="0003005E"/>
    <w:rsid w:val="00031B05"/>
    <w:rsid w:val="00032928"/>
    <w:rsid w:val="00032B65"/>
    <w:rsid w:val="00032BAE"/>
    <w:rsid w:val="000334C5"/>
    <w:rsid w:val="0003603B"/>
    <w:rsid w:val="000373BB"/>
    <w:rsid w:val="00037CE8"/>
    <w:rsid w:val="00040032"/>
    <w:rsid w:val="00040E73"/>
    <w:rsid w:val="00041062"/>
    <w:rsid w:val="00041701"/>
    <w:rsid w:val="000425A2"/>
    <w:rsid w:val="00043BF2"/>
    <w:rsid w:val="00044C1A"/>
    <w:rsid w:val="00044F9A"/>
    <w:rsid w:val="00045262"/>
    <w:rsid w:val="000456B9"/>
    <w:rsid w:val="000458B0"/>
    <w:rsid w:val="000460D8"/>
    <w:rsid w:val="0004727F"/>
    <w:rsid w:val="0005073B"/>
    <w:rsid w:val="00051008"/>
    <w:rsid w:val="000519EF"/>
    <w:rsid w:val="000528F5"/>
    <w:rsid w:val="00052A37"/>
    <w:rsid w:val="00053357"/>
    <w:rsid w:val="00053B7F"/>
    <w:rsid w:val="00054C6A"/>
    <w:rsid w:val="00054CEF"/>
    <w:rsid w:val="00055FFA"/>
    <w:rsid w:val="00057091"/>
    <w:rsid w:val="00057AE7"/>
    <w:rsid w:val="00057C3E"/>
    <w:rsid w:val="00060493"/>
    <w:rsid w:val="000623F4"/>
    <w:rsid w:val="00063680"/>
    <w:rsid w:val="00064171"/>
    <w:rsid w:val="00064903"/>
    <w:rsid w:val="00064CB6"/>
    <w:rsid w:val="00065231"/>
    <w:rsid w:val="0006666E"/>
    <w:rsid w:val="000671C3"/>
    <w:rsid w:val="00067771"/>
    <w:rsid w:val="0006778A"/>
    <w:rsid w:val="00070567"/>
    <w:rsid w:val="00070DC0"/>
    <w:rsid w:val="00070F6C"/>
    <w:rsid w:val="00072512"/>
    <w:rsid w:val="0007268C"/>
    <w:rsid w:val="000726FC"/>
    <w:rsid w:val="0007391C"/>
    <w:rsid w:val="00073D51"/>
    <w:rsid w:val="0007591C"/>
    <w:rsid w:val="000769BB"/>
    <w:rsid w:val="00076A47"/>
    <w:rsid w:val="00077BF8"/>
    <w:rsid w:val="00080FC6"/>
    <w:rsid w:val="00082010"/>
    <w:rsid w:val="0008213E"/>
    <w:rsid w:val="00082260"/>
    <w:rsid w:val="00082C18"/>
    <w:rsid w:val="000831B1"/>
    <w:rsid w:val="0008377A"/>
    <w:rsid w:val="0008390F"/>
    <w:rsid w:val="00084DAC"/>
    <w:rsid w:val="00085259"/>
    <w:rsid w:val="0008555B"/>
    <w:rsid w:val="00085C4A"/>
    <w:rsid w:val="00085CC0"/>
    <w:rsid w:val="00085F69"/>
    <w:rsid w:val="000867DE"/>
    <w:rsid w:val="00086D28"/>
    <w:rsid w:val="000871C7"/>
    <w:rsid w:val="000905D7"/>
    <w:rsid w:val="00091AD2"/>
    <w:rsid w:val="00091AE5"/>
    <w:rsid w:val="00092201"/>
    <w:rsid w:val="00093447"/>
    <w:rsid w:val="00093522"/>
    <w:rsid w:val="00093C4A"/>
    <w:rsid w:val="000969AB"/>
    <w:rsid w:val="000969E2"/>
    <w:rsid w:val="000A0290"/>
    <w:rsid w:val="000A08BB"/>
    <w:rsid w:val="000A0F0E"/>
    <w:rsid w:val="000A1907"/>
    <w:rsid w:val="000A4ADD"/>
    <w:rsid w:val="000A4C43"/>
    <w:rsid w:val="000A56A7"/>
    <w:rsid w:val="000A6105"/>
    <w:rsid w:val="000A62AA"/>
    <w:rsid w:val="000A7131"/>
    <w:rsid w:val="000A76B8"/>
    <w:rsid w:val="000A7F6A"/>
    <w:rsid w:val="000B068C"/>
    <w:rsid w:val="000B07E8"/>
    <w:rsid w:val="000B18E9"/>
    <w:rsid w:val="000B1EA2"/>
    <w:rsid w:val="000B2973"/>
    <w:rsid w:val="000B38BF"/>
    <w:rsid w:val="000B3FB1"/>
    <w:rsid w:val="000B547D"/>
    <w:rsid w:val="000B5FB8"/>
    <w:rsid w:val="000B6388"/>
    <w:rsid w:val="000B6DD9"/>
    <w:rsid w:val="000C35CB"/>
    <w:rsid w:val="000C3AF6"/>
    <w:rsid w:val="000C480A"/>
    <w:rsid w:val="000C5140"/>
    <w:rsid w:val="000C56F0"/>
    <w:rsid w:val="000C592E"/>
    <w:rsid w:val="000C5931"/>
    <w:rsid w:val="000C5A2C"/>
    <w:rsid w:val="000C5E73"/>
    <w:rsid w:val="000C64CD"/>
    <w:rsid w:val="000C6EA8"/>
    <w:rsid w:val="000C7BD8"/>
    <w:rsid w:val="000D0074"/>
    <w:rsid w:val="000D0F91"/>
    <w:rsid w:val="000D1FB5"/>
    <w:rsid w:val="000D1FD7"/>
    <w:rsid w:val="000D3BF9"/>
    <w:rsid w:val="000D515D"/>
    <w:rsid w:val="000D5B61"/>
    <w:rsid w:val="000D74A2"/>
    <w:rsid w:val="000D7995"/>
    <w:rsid w:val="000D7E04"/>
    <w:rsid w:val="000E119E"/>
    <w:rsid w:val="000E1E7F"/>
    <w:rsid w:val="000E2BB4"/>
    <w:rsid w:val="000E2D02"/>
    <w:rsid w:val="000E3483"/>
    <w:rsid w:val="000E348A"/>
    <w:rsid w:val="000E35AC"/>
    <w:rsid w:val="000E39FE"/>
    <w:rsid w:val="000E3BF1"/>
    <w:rsid w:val="000E4043"/>
    <w:rsid w:val="000E507F"/>
    <w:rsid w:val="000E50F0"/>
    <w:rsid w:val="000E5955"/>
    <w:rsid w:val="000E67F4"/>
    <w:rsid w:val="000E7D46"/>
    <w:rsid w:val="000F041C"/>
    <w:rsid w:val="000F0479"/>
    <w:rsid w:val="000F04B4"/>
    <w:rsid w:val="000F0AC9"/>
    <w:rsid w:val="000F0D40"/>
    <w:rsid w:val="000F23B3"/>
    <w:rsid w:val="000F31BD"/>
    <w:rsid w:val="000F4005"/>
    <w:rsid w:val="000F490A"/>
    <w:rsid w:val="000F4927"/>
    <w:rsid w:val="000F53C0"/>
    <w:rsid w:val="000F5894"/>
    <w:rsid w:val="000F6A0E"/>
    <w:rsid w:val="000F762C"/>
    <w:rsid w:val="000F7DE8"/>
    <w:rsid w:val="00100417"/>
    <w:rsid w:val="00100455"/>
    <w:rsid w:val="001010E0"/>
    <w:rsid w:val="001023BE"/>
    <w:rsid w:val="0010268D"/>
    <w:rsid w:val="00102CE2"/>
    <w:rsid w:val="00102D02"/>
    <w:rsid w:val="0010357F"/>
    <w:rsid w:val="001045A8"/>
    <w:rsid w:val="0010573F"/>
    <w:rsid w:val="0010641D"/>
    <w:rsid w:val="001066A2"/>
    <w:rsid w:val="001066B0"/>
    <w:rsid w:val="001067E6"/>
    <w:rsid w:val="0010724B"/>
    <w:rsid w:val="00110894"/>
    <w:rsid w:val="00111EE0"/>
    <w:rsid w:val="0011347D"/>
    <w:rsid w:val="001136C4"/>
    <w:rsid w:val="00113B9D"/>
    <w:rsid w:val="00113E20"/>
    <w:rsid w:val="00114B5C"/>
    <w:rsid w:val="00115F53"/>
    <w:rsid w:val="00116CF5"/>
    <w:rsid w:val="0012055A"/>
    <w:rsid w:val="00120C21"/>
    <w:rsid w:val="00121190"/>
    <w:rsid w:val="001222A4"/>
    <w:rsid w:val="001225E3"/>
    <w:rsid w:val="001227D6"/>
    <w:rsid w:val="001235E4"/>
    <w:rsid w:val="00123E28"/>
    <w:rsid w:val="001248E8"/>
    <w:rsid w:val="00125292"/>
    <w:rsid w:val="00125DDE"/>
    <w:rsid w:val="00126228"/>
    <w:rsid w:val="00127342"/>
    <w:rsid w:val="00127504"/>
    <w:rsid w:val="001275C2"/>
    <w:rsid w:val="001310AA"/>
    <w:rsid w:val="001314A8"/>
    <w:rsid w:val="0013195B"/>
    <w:rsid w:val="00132447"/>
    <w:rsid w:val="0013586D"/>
    <w:rsid w:val="00136268"/>
    <w:rsid w:val="00136551"/>
    <w:rsid w:val="00137615"/>
    <w:rsid w:val="00140EC8"/>
    <w:rsid w:val="00141044"/>
    <w:rsid w:val="001417A7"/>
    <w:rsid w:val="00141820"/>
    <w:rsid w:val="00141A46"/>
    <w:rsid w:val="00142532"/>
    <w:rsid w:val="001433AA"/>
    <w:rsid w:val="00143E87"/>
    <w:rsid w:val="00146EDB"/>
    <w:rsid w:val="001479BB"/>
    <w:rsid w:val="001507AA"/>
    <w:rsid w:val="00150B43"/>
    <w:rsid w:val="00151400"/>
    <w:rsid w:val="001515E1"/>
    <w:rsid w:val="00151E68"/>
    <w:rsid w:val="001527E4"/>
    <w:rsid w:val="001530C6"/>
    <w:rsid w:val="001533D3"/>
    <w:rsid w:val="00153529"/>
    <w:rsid w:val="00153FDF"/>
    <w:rsid w:val="00154D01"/>
    <w:rsid w:val="00155A30"/>
    <w:rsid w:val="00155A5E"/>
    <w:rsid w:val="00155ABF"/>
    <w:rsid w:val="00155CE4"/>
    <w:rsid w:val="001578FF"/>
    <w:rsid w:val="00157C50"/>
    <w:rsid w:val="00157EEC"/>
    <w:rsid w:val="001603DB"/>
    <w:rsid w:val="0016182B"/>
    <w:rsid w:val="00161845"/>
    <w:rsid w:val="00161AEF"/>
    <w:rsid w:val="00163F6E"/>
    <w:rsid w:val="0016430B"/>
    <w:rsid w:val="001664B2"/>
    <w:rsid w:val="00166CB0"/>
    <w:rsid w:val="00166FE8"/>
    <w:rsid w:val="00167766"/>
    <w:rsid w:val="0016795C"/>
    <w:rsid w:val="00170A15"/>
    <w:rsid w:val="00171539"/>
    <w:rsid w:val="00172914"/>
    <w:rsid w:val="00173AA8"/>
    <w:rsid w:val="001744D8"/>
    <w:rsid w:val="00174575"/>
    <w:rsid w:val="0017489F"/>
    <w:rsid w:val="00174936"/>
    <w:rsid w:val="00174A67"/>
    <w:rsid w:val="00175840"/>
    <w:rsid w:val="00175DDE"/>
    <w:rsid w:val="00175E3E"/>
    <w:rsid w:val="00176501"/>
    <w:rsid w:val="00176F6A"/>
    <w:rsid w:val="00177389"/>
    <w:rsid w:val="00177B8E"/>
    <w:rsid w:val="00180C05"/>
    <w:rsid w:val="001812AB"/>
    <w:rsid w:val="001812C0"/>
    <w:rsid w:val="001817F0"/>
    <w:rsid w:val="00181A08"/>
    <w:rsid w:val="00181A1F"/>
    <w:rsid w:val="00182226"/>
    <w:rsid w:val="00182C81"/>
    <w:rsid w:val="00183093"/>
    <w:rsid w:val="00184D5A"/>
    <w:rsid w:val="00185C17"/>
    <w:rsid w:val="00185D01"/>
    <w:rsid w:val="001863AC"/>
    <w:rsid w:val="001867C3"/>
    <w:rsid w:val="001876D5"/>
    <w:rsid w:val="00187DF7"/>
    <w:rsid w:val="001919C4"/>
    <w:rsid w:val="00192791"/>
    <w:rsid w:val="00192832"/>
    <w:rsid w:val="00192868"/>
    <w:rsid w:val="00192D72"/>
    <w:rsid w:val="001936DE"/>
    <w:rsid w:val="00194C66"/>
    <w:rsid w:val="0019637E"/>
    <w:rsid w:val="00196CB7"/>
    <w:rsid w:val="00196FCA"/>
    <w:rsid w:val="00197652"/>
    <w:rsid w:val="00197984"/>
    <w:rsid w:val="001A1529"/>
    <w:rsid w:val="001A2510"/>
    <w:rsid w:val="001A2DBE"/>
    <w:rsid w:val="001A4255"/>
    <w:rsid w:val="001A4458"/>
    <w:rsid w:val="001A4A08"/>
    <w:rsid w:val="001A66B6"/>
    <w:rsid w:val="001A7397"/>
    <w:rsid w:val="001B05DD"/>
    <w:rsid w:val="001B0F21"/>
    <w:rsid w:val="001B163F"/>
    <w:rsid w:val="001B4051"/>
    <w:rsid w:val="001B4343"/>
    <w:rsid w:val="001B61DF"/>
    <w:rsid w:val="001B66CB"/>
    <w:rsid w:val="001B7283"/>
    <w:rsid w:val="001B79DB"/>
    <w:rsid w:val="001C097C"/>
    <w:rsid w:val="001C1757"/>
    <w:rsid w:val="001C27E7"/>
    <w:rsid w:val="001C2894"/>
    <w:rsid w:val="001C45BE"/>
    <w:rsid w:val="001C4C07"/>
    <w:rsid w:val="001C5CAF"/>
    <w:rsid w:val="001C7603"/>
    <w:rsid w:val="001D0F46"/>
    <w:rsid w:val="001D186B"/>
    <w:rsid w:val="001D1D2A"/>
    <w:rsid w:val="001D1D31"/>
    <w:rsid w:val="001D2261"/>
    <w:rsid w:val="001D2317"/>
    <w:rsid w:val="001D2653"/>
    <w:rsid w:val="001D2B74"/>
    <w:rsid w:val="001D3062"/>
    <w:rsid w:val="001D3321"/>
    <w:rsid w:val="001D33B0"/>
    <w:rsid w:val="001D63E9"/>
    <w:rsid w:val="001D684E"/>
    <w:rsid w:val="001D68A6"/>
    <w:rsid w:val="001D77B6"/>
    <w:rsid w:val="001D7C48"/>
    <w:rsid w:val="001E038E"/>
    <w:rsid w:val="001E0816"/>
    <w:rsid w:val="001E13D8"/>
    <w:rsid w:val="001E2231"/>
    <w:rsid w:val="001E2391"/>
    <w:rsid w:val="001E3020"/>
    <w:rsid w:val="001E347C"/>
    <w:rsid w:val="001E35A7"/>
    <w:rsid w:val="001E513B"/>
    <w:rsid w:val="001E60E6"/>
    <w:rsid w:val="001E694B"/>
    <w:rsid w:val="001E6B0B"/>
    <w:rsid w:val="001E6D2C"/>
    <w:rsid w:val="001E6D45"/>
    <w:rsid w:val="001F00F8"/>
    <w:rsid w:val="001F0B61"/>
    <w:rsid w:val="001F0E2A"/>
    <w:rsid w:val="001F12EA"/>
    <w:rsid w:val="001F1575"/>
    <w:rsid w:val="001F1AB5"/>
    <w:rsid w:val="001F313C"/>
    <w:rsid w:val="001F4568"/>
    <w:rsid w:val="001F6616"/>
    <w:rsid w:val="001F6DB4"/>
    <w:rsid w:val="001F6F6A"/>
    <w:rsid w:val="001F7484"/>
    <w:rsid w:val="002015FE"/>
    <w:rsid w:val="00201995"/>
    <w:rsid w:val="002027F5"/>
    <w:rsid w:val="00202C2B"/>
    <w:rsid w:val="00202C89"/>
    <w:rsid w:val="0020322B"/>
    <w:rsid w:val="00203289"/>
    <w:rsid w:val="00204D0F"/>
    <w:rsid w:val="00204E06"/>
    <w:rsid w:val="00205212"/>
    <w:rsid w:val="002057A4"/>
    <w:rsid w:val="00206603"/>
    <w:rsid w:val="00206F0F"/>
    <w:rsid w:val="00210AF9"/>
    <w:rsid w:val="00210FD3"/>
    <w:rsid w:val="002111FC"/>
    <w:rsid w:val="0021264C"/>
    <w:rsid w:val="00212A12"/>
    <w:rsid w:val="00212C55"/>
    <w:rsid w:val="00215C54"/>
    <w:rsid w:val="002176C8"/>
    <w:rsid w:val="00217738"/>
    <w:rsid w:val="002200C5"/>
    <w:rsid w:val="00220BA5"/>
    <w:rsid w:val="00221132"/>
    <w:rsid w:val="0022127D"/>
    <w:rsid w:val="00221CB5"/>
    <w:rsid w:val="002225DC"/>
    <w:rsid w:val="00222C36"/>
    <w:rsid w:val="0022574D"/>
    <w:rsid w:val="002272F9"/>
    <w:rsid w:val="00227B90"/>
    <w:rsid w:val="00233773"/>
    <w:rsid w:val="00233BF1"/>
    <w:rsid w:val="00235E91"/>
    <w:rsid w:val="002366CD"/>
    <w:rsid w:val="002370A7"/>
    <w:rsid w:val="00237BC7"/>
    <w:rsid w:val="00237DAF"/>
    <w:rsid w:val="0024042B"/>
    <w:rsid w:val="00240D91"/>
    <w:rsid w:val="0024173A"/>
    <w:rsid w:val="002423F8"/>
    <w:rsid w:val="00242803"/>
    <w:rsid w:val="00242B7E"/>
    <w:rsid w:val="00242F00"/>
    <w:rsid w:val="002439A7"/>
    <w:rsid w:val="00243C0C"/>
    <w:rsid w:val="00243D81"/>
    <w:rsid w:val="0024414E"/>
    <w:rsid w:val="00247945"/>
    <w:rsid w:val="002503F1"/>
    <w:rsid w:val="00250A52"/>
    <w:rsid w:val="002514AA"/>
    <w:rsid w:val="0025348F"/>
    <w:rsid w:val="00253A60"/>
    <w:rsid w:val="00253D38"/>
    <w:rsid w:val="0025416C"/>
    <w:rsid w:val="0025541B"/>
    <w:rsid w:val="002555BD"/>
    <w:rsid w:val="0025596F"/>
    <w:rsid w:val="00255B54"/>
    <w:rsid w:val="002565AD"/>
    <w:rsid w:val="00257406"/>
    <w:rsid w:val="00260028"/>
    <w:rsid w:val="0026017D"/>
    <w:rsid w:val="0026033F"/>
    <w:rsid w:val="00260C1E"/>
    <w:rsid w:val="00260EFB"/>
    <w:rsid w:val="00260FEF"/>
    <w:rsid w:val="00261527"/>
    <w:rsid w:val="00261C58"/>
    <w:rsid w:val="0026246B"/>
    <w:rsid w:val="00262B33"/>
    <w:rsid w:val="00262E08"/>
    <w:rsid w:val="002633EA"/>
    <w:rsid w:val="00263954"/>
    <w:rsid w:val="00263E67"/>
    <w:rsid w:val="0026427B"/>
    <w:rsid w:val="002642C4"/>
    <w:rsid w:val="00264A3B"/>
    <w:rsid w:val="00265322"/>
    <w:rsid w:val="00265D55"/>
    <w:rsid w:val="0026646A"/>
    <w:rsid w:val="00267163"/>
    <w:rsid w:val="0027022C"/>
    <w:rsid w:val="00271076"/>
    <w:rsid w:val="00271C28"/>
    <w:rsid w:val="002723F1"/>
    <w:rsid w:val="00272458"/>
    <w:rsid w:val="002727F1"/>
    <w:rsid w:val="002731C7"/>
    <w:rsid w:val="002747B0"/>
    <w:rsid w:val="002758F7"/>
    <w:rsid w:val="00276683"/>
    <w:rsid w:val="002776EB"/>
    <w:rsid w:val="002806F4"/>
    <w:rsid w:val="00281026"/>
    <w:rsid w:val="00281869"/>
    <w:rsid w:val="00281FB1"/>
    <w:rsid w:val="00282D18"/>
    <w:rsid w:val="00282FFC"/>
    <w:rsid w:val="00284260"/>
    <w:rsid w:val="00284894"/>
    <w:rsid w:val="002851F4"/>
    <w:rsid w:val="00285457"/>
    <w:rsid w:val="00285588"/>
    <w:rsid w:val="00285F78"/>
    <w:rsid w:val="00286499"/>
    <w:rsid w:val="00287F1B"/>
    <w:rsid w:val="00290409"/>
    <w:rsid w:val="002909F6"/>
    <w:rsid w:val="00290A9F"/>
    <w:rsid w:val="002916A6"/>
    <w:rsid w:val="00291DF5"/>
    <w:rsid w:val="00292DA1"/>
    <w:rsid w:val="00292FA1"/>
    <w:rsid w:val="00293E20"/>
    <w:rsid w:val="0029519E"/>
    <w:rsid w:val="00296A6A"/>
    <w:rsid w:val="00296C41"/>
    <w:rsid w:val="00297CE7"/>
    <w:rsid w:val="002A0971"/>
    <w:rsid w:val="002A11DF"/>
    <w:rsid w:val="002A134B"/>
    <w:rsid w:val="002A192D"/>
    <w:rsid w:val="002A1CC8"/>
    <w:rsid w:val="002A2592"/>
    <w:rsid w:val="002A2B26"/>
    <w:rsid w:val="002A5324"/>
    <w:rsid w:val="002A6C1E"/>
    <w:rsid w:val="002A728C"/>
    <w:rsid w:val="002B0674"/>
    <w:rsid w:val="002B10BF"/>
    <w:rsid w:val="002B19A0"/>
    <w:rsid w:val="002B1D5B"/>
    <w:rsid w:val="002B2A27"/>
    <w:rsid w:val="002B3F2B"/>
    <w:rsid w:val="002B45F5"/>
    <w:rsid w:val="002B5AAC"/>
    <w:rsid w:val="002B7432"/>
    <w:rsid w:val="002B7714"/>
    <w:rsid w:val="002C091A"/>
    <w:rsid w:val="002C0D67"/>
    <w:rsid w:val="002C1859"/>
    <w:rsid w:val="002C2149"/>
    <w:rsid w:val="002C342F"/>
    <w:rsid w:val="002C4A47"/>
    <w:rsid w:val="002C633D"/>
    <w:rsid w:val="002C68E6"/>
    <w:rsid w:val="002D0C18"/>
    <w:rsid w:val="002D0FA8"/>
    <w:rsid w:val="002D1B77"/>
    <w:rsid w:val="002D1E8C"/>
    <w:rsid w:val="002D2915"/>
    <w:rsid w:val="002D2A12"/>
    <w:rsid w:val="002D33EB"/>
    <w:rsid w:val="002D3501"/>
    <w:rsid w:val="002D3765"/>
    <w:rsid w:val="002D3F60"/>
    <w:rsid w:val="002D518D"/>
    <w:rsid w:val="002D5599"/>
    <w:rsid w:val="002D57A2"/>
    <w:rsid w:val="002D673E"/>
    <w:rsid w:val="002D693E"/>
    <w:rsid w:val="002D6F6F"/>
    <w:rsid w:val="002D7216"/>
    <w:rsid w:val="002D7655"/>
    <w:rsid w:val="002D7D60"/>
    <w:rsid w:val="002E0DAB"/>
    <w:rsid w:val="002E0FE0"/>
    <w:rsid w:val="002E1234"/>
    <w:rsid w:val="002E15BA"/>
    <w:rsid w:val="002E1BB9"/>
    <w:rsid w:val="002E2A62"/>
    <w:rsid w:val="002E41ED"/>
    <w:rsid w:val="002E4423"/>
    <w:rsid w:val="002E459E"/>
    <w:rsid w:val="002E5103"/>
    <w:rsid w:val="002E5502"/>
    <w:rsid w:val="002E5518"/>
    <w:rsid w:val="002E6F7D"/>
    <w:rsid w:val="002E7F9E"/>
    <w:rsid w:val="002F0FE8"/>
    <w:rsid w:val="002F10EF"/>
    <w:rsid w:val="002F4082"/>
    <w:rsid w:val="002F4BC1"/>
    <w:rsid w:val="002F4CD2"/>
    <w:rsid w:val="002F6E18"/>
    <w:rsid w:val="002F706F"/>
    <w:rsid w:val="002F77A9"/>
    <w:rsid w:val="002F7951"/>
    <w:rsid w:val="002F7A4E"/>
    <w:rsid w:val="002F7C7C"/>
    <w:rsid w:val="002F7CBF"/>
    <w:rsid w:val="002F7E0B"/>
    <w:rsid w:val="00300996"/>
    <w:rsid w:val="0030150A"/>
    <w:rsid w:val="00301A6C"/>
    <w:rsid w:val="003024C7"/>
    <w:rsid w:val="00302D0C"/>
    <w:rsid w:val="00302E7A"/>
    <w:rsid w:val="00304BA0"/>
    <w:rsid w:val="0030575E"/>
    <w:rsid w:val="0030602A"/>
    <w:rsid w:val="00306F7C"/>
    <w:rsid w:val="0030775B"/>
    <w:rsid w:val="00307963"/>
    <w:rsid w:val="00307C12"/>
    <w:rsid w:val="00307CE4"/>
    <w:rsid w:val="00311821"/>
    <w:rsid w:val="00312242"/>
    <w:rsid w:val="00313E85"/>
    <w:rsid w:val="003150B6"/>
    <w:rsid w:val="0031527D"/>
    <w:rsid w:val="00315629"/>
    <w:rsid w:val="00317739"/>
    <w:rsid w:val="0032096B"/>
    <w:rsid w:val="00320F41"/>
    <w:rsid w:val="00321454"/>
    <w:rsid w:val="00322395"/>
    <w:rsid w:val="00322508"/>
    <w:rsid w:val="00322CA7"/>
    <w:rsid w:val="00322E7B"/>
    <w:rsid w:val="0032303C"/>
    <w:rsid w:val="003239D7"/>
    <w:rsid w:val="003244A3"/>
    <w:rsid w:val="003244FC"/>
    <w:rsid w:val="00325B31"/>
    <w:rsid w:val="00325CC4"/>
    <w:rsid w:val="0032627F"/>
    <w:rsid w:val="0032685E"/>
    <w:rsid w:val="0032688C"/>
    <w:rsid w:val="00326B28"/>
    <w:rsid w:val="00326E7E"/>
    <w:rsid w:val="003275FE"/>
    <w:rsid w:val="003300C8"/>
    <w:rsid w:val="003303D4"/>
    <w:rsid w:val="00330580"/>
    <w:rsid w:val="0033255F"/>
    <w:rsid w:val="003325A3"/>
    <w:rsid w:val="0033262E"/>
    <w:rsid w:val="00332A3D"/>
    <w:rsid w:val="00332EF1"/>
    <w:rsid w:val="003346A7"/>
    <w:rsid w:val="00335F02"/>
    <w:rsid w:val="003360EB"/>
    <w:rsid w:val="0033664C"/>
    <w:rsid w:val="00336842"/>
    <w:rsid w:val="003375D2"/>
    <w:rsid w:val="0034112B"/>
    <w:rsid w:val="003415CD"/>
    <w:rsid w:val="00341838"/>
    <w:rsid w:val="00343E5D"/>
    <w:rsid w:val="00343F89"/>
    <w:rsid w:val="003449E1"/>
    <w:rsid w:val="0034534C"/>
    <w:rsid w:val="0034545B"/>
    <w:rsid w:val="003455AF"/>
    <w:rsid w:val="003457A6"/>
    <w:rsid w:val="00345B83"/>
    <w:rsid w:val="00345DEB"/>
    <w:rsid w:val="003466A5"/>
    <w:rsid w:val="00346B8D"/>
    <w:rsid w:val="00347473"/>
    <w:rsid w:val="003477C6"/>
    <w:rsid w:val="00350224"/>
    <w:rsid w:val="00350DEC"/>
    <w:rsid w:val="003524AD"/>
    <w:rsid w:val="00352720"/>
    <w:rsid w:val="00352C6E"/>
    <w:rsid w:val="00352E8B"/>
    <w:rsid w:val="003554E7"/>
    <w:rsid w:val="00355D0F"/>
    <w:rsid w:val="0035666C"/>
    <w:rsid w:val="003567AA"/>
    <w:rsid w:val="003612F4"/>
    <w:rsid w:val="00361737"/>
    <w:rsid w:val="0036286D"/>
    <w:rsid w:val="00363E4F"/>
    <w:rsid w:val="003644BA"/>
    <w:rsid w:val="00364A90"/>
    <w:rsid w:val="00365549"/>
    <w:rsid w:val="00365D6C"/>
    <w:rsid w:val="003675FD"/>
    <w:rsid w:val="0036790A"/>
    <w:rsid w:val="00367F8F"/>
    <w:rsid w:val="003709DA"/>
    <w:rsid w:val="003710C2"/>
    <w:rsid w:val="00372385"/>
    <w:rsid w:val="00372422"/>
    <w:rsid w:val="00372905"/>
    <w:rsid w:val="00372F79"/>
    <w:rsid w:val="00373813"/>
    <w:rsid w:val="00373D78"/>
    <w:rsid w:val="0037404C"/>
    <w:rsid w:val="0037514A"/>
    <w:rsid w:val="003773B8"/>
    <w:rsid w:val="00380B7D"/>
    <w:rsid w:val="0038156A"/>
    <w:rsid w:val="0038164D"/>
    <w:rsid w:val="00382131"/>
    <w:rsid w:val="00382C51"/>
    <w:rsid w:val="0038364A"/>
    <w:rsid w:val="00385174"/>
    <w:rsid w:val="003854E8"/>
    <w:rsid w:val="0038685C"/>
    <w:rsid w:val="00387176"/>
    <w:rsid w:val="0038793E"/>
    <w:rsid w:val="00387E62"/>
    <w:rsid w:val="00390BB7"/>
    <w:rsid w:val="00390F80"/>
    <w:rsid w:val="003918EE"/>
    <w:rsid w:val="00392B91"/>
    <w:rsid w:val="00392E3B"/>
    <w:rsid w:val="00392FDB"/>
    <w:rsid w:val="00393553"/>
    <w:rsid w:val="003937C5"/>
    <w:rsid w:val="00393930"/>
    <w:rsid w:val="00393BFD"/>
    <w:rsid w:val="0039431A"/>
    <w:rsid w:val="00394906"/>
    <w:rsid w:val="00395C17"/>
    <w:rsid w:val="00396E44"/>
    <w:rsid w:val="00397235"/>
    <w:rsid w:val="0039752F"/>
    <w:rsid w:val="003A0129"/>
    <w:rsid w:val="003A0200"/>
    <w:rsid w:val="003A135D"/>
    <w:rsid w:val="003A24F0"/>
    <w:rsid w:val="003A25AC"/>
    <w:rsid w:val="003A2CAB"/>
    <w:rsid w:val="003A358A"/>
    <w:rsid w:val="003A358B"/>
    <w:rsid w:val="003A37CF"/>
    <w:rsid w:val="003A3C28"/>
    <w:rsid w:val="003A3FD8"/>
    <w:rsid w:val="003A412F"/>
    <w:rsid w:val="003A4E91"/>
    <w:rsid w:val="003A5148"/>
    <w:rsid w:val="003A5AA0"/>
    <w:rsid w:val="003B0242"/>
    <w:rsid w:val="003B184A"/>
    <w:rsid w:val="003B1953"/>
    <w:rsid w:val="003B1F80"/>
    <w:rsid w:val="003B2697"/>
    <w:rsid w:val="003B3024"/>
    <w:rsid w:val="003B3679"/>
    <w:rsid w:val="003B428B"/>
    <w:rsid w:val="003B48E0"/>
    <w:rsid w:val="003B5280"/>
    <w:rsid w:val="003B54A9"/>
    <w:rsid w:val="003B5556"/>
    <w:rsid w:val="003B6447"/>
    <w:rsid w:val="003B67E4"/>
    <w:rsid w:val="003B6983"/>
    <w:rsid w:val="003B6B49"/>
    <w:rsid w:val="003B6F01"/>
    <w:rsid w:val="003B77BD"/>
    <w:rsid w:val="003B7BD3"/>
    <w:rsid w:val="003C09A2"/>
    <w:rsid w:val="003C0EB4"/>
    <w:rsid w:val="003C19A1"/>
    <w:rsid w:val="003C1DBD"/>
    <w:rsid w:val="003C24C0"/>
    <w:rsid w:val="003C2573"/>
    <w:rsid w:val="003C2E90"/>
    <w:rsid w:val="003C3452"/>
    <w:rsid w:val="003C35CE"/>
    <w:rsid w:val="003C37BC"/>
    <w:rsid w:val="003C3870"/>
    <w:rsid w:val="003C3EB4"/>
    <w:rsid w:val="003C4449"/>
    <w:rsid w:val="003C4582"/>
    <w:rsid w:val="003C51B6"/>
    <w:rsid w:val="003C58FE"/>
    <w:rsid w:val="003C64DB"/>
    <w:rsid w:val="003C6CFA"/>
    <w:rsid w:val="003D03FF"/>
    <w:rsid w:val="003D094A"/>
    <w:rsid w:val="003D25AE"/>
    <w:rsid w:val="003D2AE7"/>
    <w:rsid w:val="003D2CAA"/>
    <w:rsid w:val="003D3E30"/>
    <w:rsid w:val="003D6487"/>
    <w:rsid w:val="003D6C74"/>
    <w:rsid w:val="003D6D6C"/>
    <w:rsid w:val="003D721D"/>
    <w:rsid w:val="003D74E1"/>
    <w:rsid w:val="003D78FC"/>
    <w:rsid w:val="003E0036"/>
    <w:rsid w:val="003E05B7"/>
    <w:rsid w:val="003E1248"/>
    <w:rsid w:val="003E1B3B"/>
    <w:rsid w:val="003E1CD9"/>
    <w:rsid w:val="003E36EF"/>
    <w:rsid w:val="003E418E"/>
    <w:rsid w:val="003E43FB"/>
    <w:rsid w:val="003E5299"/>
    <w:rsid w:val="003E605A"/>
    <w:rsid w:val="003F00FB"/>
    <w:rsid w:val="003F01D9"/>
    <w:rsid w:val="003F0486"/>
    <w:rsid w:val="003F0734"/>
    <w:rsid w:val="003F136D"/>
    <w:rsid w:val="003F15E1"/>
    <w:rsid w:val="003F17F4"/>
    <w:rsid w:val="003F18D0"/>
    <w:rsid w:val="003F1EE5"/>
    <w:rsid w:val="003F2814"/>
    <w:rsid w:val="003F287C"/>
    <w:rsid w:val="003F2A81"/>
    <w:rsid w:val="003F2D98"/>
    <w:rsid w:val="003F32CF"/>
    <w:rsid w:val="003F3405"/>
    <w:rsid w:val="003F3A2C"/>
    <w:rsid w:val="003F408E"/>
    <w:rsid w:val="003F4DB0"/>
    <w:rsid w:val="003F58C7"/>
    <w:rsid w:val="003F601C"/>
    <w:rsid w:val="003F6A19"/>
    <w:rsid w:val="003F6CB4"/>
    <w:rsid w:val="003F6D15"/>
    <w:rsid w:val="003F7BA0"/>
    <w:rsid w:val="004005CD"/>
    <w:rsid w:val="00400D22"/>
    <w:rsid w:val="00400E04"/>
    <w:rsid w:val="004011EA"/>
    <w:rsid w:val="00401D31"/>
    <w:rsid w:val="004036B6"/>
    <w:rsid w:val="00404453"/>
    <w:rsid w:val="00404CFE"/>
    <w:rsid w:val="004059EB"/>
    <w:rsid w:val="0040642A"/>
    <w:rsid w:val="0040651F"/>
    <w:rsid w:val="004067DB"/>
    <w:rsid w:val="00406B72"/>
    <w:rsid w:val="004100FF"/>
    <w:rsid w:val="00410F83"/>
    <w:rsid w:val="00410FB9"/>
    <w:rsid w:val="00411F09"/>
    <w:rsid w:val="004127D7"/>
    <w:rsid w:val="00413C69"/>
    <w:rsid w:val="004142F6"/>
    <w:rsid w:val="00414E00"/>
    <w:rsid w:val="0041507C"/>
    <w:rsid w:val="00416515"/>
    <w:rsid w:val="00417494"/>
    <w:rsid w:val="00420933"/>
    <w:rsid w:val="00421117"/>
    <w:rsid w:val="00421A4E"/>
    <w:rsid w:val="00421D6D"/>
    <w:rsid w:val="004233FB"/>
    <w:rsid w:val="0042344B"/>
    <w:rsid w:val="00423A55"/>
    <w:rsid w:val="0042489F"/>
    <w:rsid w:val="00425D85"/>
    <w:rsid w:val="0042600A"/>
    <w:rsid w:val="004266CA"/>
    <w:rsid w:val="00426F4E"/>
    <w:rsid w:val="0042791E"/>
    <w:rsid w:val="004306BC"/>
    <w:rsid w:val="00430D30"/>
    <w:rsid w:val="00430D80"/>
    <w:rsid w:val="0043239C"/>
    <w:rsid w:val="00432B60"/>
    <w:rsid w:val="0043326F"/>
    <w:rsid w:val="0043332D"/>
    <w:rsid w:val="004335DA"/>
    <w:rsid w:val="00433619"/>
    <w:rsid w:val="0043396E"/>
    <w:rsid w:val="00433CB2"/>
    <w:rsid w:val="00433CD9"/>
    <w:rsid w:val="00434155"/>
    <w:rsid w:val="00434256"/>
    <w:rsid w:val="00434515"/>
    <w:rsid w:val="00434BDA"/>
    <w:rsid w:val="0043516D"/>
    <w:rsid w:val="004363AE"/>
    <w:rsid w:val="00436552"/>
    <w:rsid w:val="00440346"/>
    <w:rsid w:val="0044097A"/>
    <w:rsid w:val="00441571"/>
    <w:rsid w:val="0044275E"/>
    <w:rsid w:val="00442BDB"/>
    <w:rsid w:val="00443378"/>
    <w:rsid w:val="00443445"/>
    <w:rsid w:val="00443834"/>
    <w:rsid w:val="004441C3"/>
    <w:rsid w:val="00444A2F"/>
    <w:rsid w:val="00444DF2"/>
    <w:rsid w:val="00445291"/>
    <w:rsid w:val="004479B6"/>
    <w:rsid w:val="0045217A"/>
    <w:rsid w:val="0045223D"/>
    <w:rsid w:val="00452684"/>
    <w:rsid w:val="00453721"/>
    <w:rsid w:val="0045400D"/>
    <w:rsid w:val="00454484"/>
    <w:rsid w:val="00454878"/>
    <w:rsid w:val="00455FB0"/>
    <w:rsid w:val="00461E19"/>
    <w:rsid w:val="004629D7"/>
    <w:rsid w:val="00462E59"/>
    <w:rsid w:val="004634CD"/>
    <w:rsid w:val="00463EFF"/>
    <w:rsid w:val="0046469B"/>
    <w:rsid w:val="00464CDB"/>
    <w:rsid w:val="00464D88"/>
    <w:rsid w:val="00465629"/>
    <w:rsid w:val="00466E61"/>
    <w:rsid w:val="004674DD"/>
    <w:rsid w:val="0046783D"/>
    <w:rsid w:val="0046788D"/>
    <w:rsid w:val="00467D78"/>
    <w:rsid w:val="004708DE"/>
    <w:rsid w:val="004709B1"/>
    <w:rsid w:val="00472593"/>
    <w:rsid w:val="004729E7"/>
    <w:rsid w:val="00472ED7"/>
    <w:rsid w:val="00473CB4"/>
    <w:rsid w:val="00474F45"/>
    <w:rsid w:val="004758A2"/>
    <w:rsid w:val="00476A1F"/>
    <w:rsid w:val="00480054"/>
    <w:rsid w:val="004807DC"/>
    <w:rsid w:val="00480A4C"/>
    <w:rsid w:val="00480BD5"/>
    <w:rsid w:val="00480BEE"/>
    <w:rsid w:val="00480DFA"/>
    <w:rsid w:val="004816C0"/>
    <w:rsid w:val="004818C2"/>
    <w:rsid w:val="0048269E"/>
    <w:rsid w:val="0048295A"/>
    <w:rsid w:val="00482CE9"/>
    <w:rsid w:val="004837B4"/>
    <w:rsid w:val="004847D0"/>
    <w:rsid w:val="00486844"/>
    <w:rsid w:val="00486F8C"/>
    <w:rsid w:val="00490281"/>
    <w:rsid w:val="00490FC5"/>
    <w:rsid w:val="00491882"/>
    <w:rsid w:val="00491DE4"/>
    <w:rsid w:val="004949C9"/>
    <w:rsid w:val="00494CF7"/>
    <w:rsid w:val="00495479"/>
    <w:rsid w:val="004956FE"/>
    <w:rsid w:val="00495842"/>
    <w:rsid w:val="0049761B"/>
    <w:rsid w:val="0049768D"/>
    <w:rsid w:val="00497C3C"/>
    <w:rsid w:val="00497FA9"/>
    <w:rsid w:val="004A1256"/>
    <w:rsid w:val="004A1BA4"/>
    <w:rsid w:val="004A1F3B"/>
    <w:rsid w:val="004A201C"/>
    <w:rsid w:val="004A36C8"/>
    <w:rsid w:val="004A390A"/>
    <w:rsid w:val="004A4D0C"/>
    <w:rsid w:val="004A636A"/>
    <w:rsid w:val="004A694E"/>
    <w:rsid w:val="004A75AA"/>
    <w:rsid w:val="004A78E3"/>
    <w:rsid w:val="004B0A53"/>
    <w:rsid w:val="004B2376"/>
    <w:rsid w:val="004B3487"/>
    <w:rsid w:val="004B3E9E"/>
    <w:rsid w:val="004B4939"/>
    <w:rsid w:val="004B4B95"/>
    <w:rsid w:val="004B6069"/>
    <w:rsid w:val="004B6272"/>
    <w:rsid w:val="004B62CF"/>
    <w:rsid w:val="004B779C"/>
    <w:rsid w:val="004C05B4"/>
    <w:rsid w:val="004C0774"/>
    <w:rsid w:val="004C09FD"/>
    <w:rsid w:val="004C168F"/>
    <w:rsid w:val="004C16E8"/>
    <w:rsid w:val="004C170F"/>
    <w:rsid w:val="004C2A9D"/>
    <w:rsid w:val="004C3E5A"/>
    <w:rsid w:val="004C4A2E"/>
    <w:rsid w:val="004C5C59"/>
    <w:rsid w:val="004C633F"/>
    <w:rsid w:val="004C638F"/>
    <w:rsid w:val="004C6641"/>
    <w:rsid w:val="004C69B5"/>
    <w:rsid w:val="004C6CED"/>
    <w:rsid w:val="004C71E1"/>
    <w:rsid w:val="004D03B3"/>
    <w:rsid w:val="004D07BE"/>
    <w:rsid w:val="004D1343"/>
    <w:rsid w:val="004D1385"/>
    <w:rsid w:val="004D2851"/>
    <w:rsid w:val="004D2A90"/>
    <w:rsid w:val="004D3B41"/>
    <w:rsid w:val="004D3D21"/>
    <w:rsid w:val="004D400A"/>
    <w:rsid w:val="004D4861"/>
    <w:rsid w:val="004D4984"/>
    <w:rsid w:val="004D4B77"/>
    <w:rsid w:val="004D4DCA"/>
    <w:rsid w:val="004D5B37"/>
    <w:rsid w:val="004D7505"/>
    <w:rsid w:val="004D7A7F"/>
    <w:rsid w:val="004E01A2"/>
    <w:rsid w:val="004E0DE1"/>
    <w:rsid w:val="004E1648"/>
    <w:rsid w:val="004E17E1"/>
    <w:rsid w:val="004E1E18"/>
    <w:rsid w:val="004E26F8"/>
    <w:rsid w:val="004E2C82"/>
    <w:rsid w:val="004E36E2"/>
    <w:rsid w:val="004E4D21"/>
    <w:rsid w:val="004E5120"/>
    <w:rsid w:val="004E5469"/>
    <w:rsid w:val="004E5E66"/>
    <w:rsid w:val="004E65AF"/>
    <w:rsid w:val="004F0344"/>
    <w:rsid w:val="004F11E5"/>
    <w:rsid w:val="004F1C95"/>
    <w:rsid w:val="004F25CC"/>
    <w:rsid w:val="004F272B"/>
    <w:rsid w:val="004F2A44"/>
    <w:rsid w:val="004F2D5C"/>
    <w:rsid w:val="004F31E1"/>
    <w:rsid w:val="004F42E7"/>
    <w:rsid w:val="004F50A3"/>
    <w:rsid w:val="004F55BA"/>
    <w:rsid w:val="004F5EC4"/>
    <w:rsid w:val="004F6C25"/>
    <w:rsid w:val="004F778F"/>
    <w:rsid w:val="004F7BB1"/>
    <w:rsid w:val="00501565"/>
    <w:rsid w:val="00503B4D"/>
    <w:rsid w:val="00504484"/>
    <w:rsid w:val="005044D0"/>
    <w:rsid w:val="00504618"/>
    <w:rsid w:val="00504687"/>
    <w:rsid w:val="00504E4F"/>
    <w:rsid w:val="005051C0"/>
    <w:rsid w:val="00505678"/>
    <w:rsid w:val="00507671"/>
    <w:rsid w:val="00507A1B"/>
    <w:rsid w:val="00507DCE"/>
    <w:rsid w:val="005101FD"/>
    <w:rsid w:val="00511B9A"/>
    <w:rsid w:val="00512554"/>
    <w:rsid w:val="0051291A"/>
    <w:rsid w:val="0051359F"/>
    <w:rsid w:val="00513C79"/>
    <w:rsid w:val="0051419C"/>
    <w:rsid w:val="005143A8"/>
    <w:rsid w:val="00514EB9"/>
    <w:rsid w:val="00515400"/>
    <w:rsid w:val="0051596F"/>
    <w:rsid w:val="00515D83"/>
    <w:rsid w:val="005167D8"/>
    <w:rsid w:val="00516FC7"/>
    <w:rsid w:val="0052070A"/>
    <w:rsid w:val="00520E14"/>
    <w:rsid w:val="00521C41"/>
    <w:rsid w:val="00521FC2"/>
    <w:rsid w:val="00522284"/>
    <w:rsid w:val="00522968"/>
    <w:rsid w:val="005245FB"/>
    <w:rsid w:val="00524B1B"/>
    <w:rsid w:val="00525A4A"/>
    <w:rsid w:val="00525D2A"/>
    <w:rsid w:val="00525EFB"/>
    <w:rsid w:val="00526204"/>
    <w:rsid w:val="00527418"/>
    <w:rsid w:val="00527866"/>
    <w:rsid w:val="005304C4"/>
    <w:rsid w:val="00530959"/>
    <w:rsid w:val="005315E5"/>
    <w:rsid w:val="00533B23"/>
    <w:rsid w:val="00533EF1"/>
    <w:rsid w:val="00533F86"/>
    <w:rsid w:val="0053432A"/>
    <w:rsid w:val="0053659F"/>
    <w:rsid w:val="00537357"/>
    <w:rsid w:val="00537591"/>
    <w:rsid w:val="00537788"/>
    <w:rsid w:val="00537B92"/>
    <w:rsid w:val="00537F7A"/>
    <w:rsid w:val="005407E9"/>
    <w:rsid w:val="00540997"/>
    <w:rsid w:val="00540E13"/>
    <w:rsid w:val="00541AB6"/>
    <w:rsid w:val="0054244E"/>
    <w:rsid w:val="005431CA"/>
    <w:rsid w:val="005447C6"/>
    <w:rsid w:val="00545293"/>
    <w:rsid w:val="00545789"/>
    <w:rsid w:val="00545CA3"/>
    <w:rsid w:val="005468D3"/>
    <w:rsid w:val="0054761B"/>
    <w:rsid w:val="005478B9"/>
    <w:rsid w:val="005503FB"/>
    <w:rsid w:val="00550EF4"/>
    <w:rsid w:val="00550F70"/>
    <w:rsid w:val="00551C94"/>
    <w:rsid w:val="00551CF4"/>
    <w:rsid w:val="00552EF6"/>
    <w:rsid w:val="00553157"/>
    <w:rsid w:val="00553D39"/>
    <w:rsid w:val="00554649"/>
    <w:rsid w:val="00554B7E"/>
    <w:rsid w:val="00554CEB"/>
    <w:rsid w:val="005557AF"/>
    <w:rsid w:val="00556755"/>
    <w:rsid w:val="00556802"/>
    <w:rsid w:val="00556BD8"/>
    <w:rsid w:val="00557FF3"/>
    <w:rsid w:val="00560BDC"/>
    <w:rsid w:val="005622B2"/>
    <w:rsid w:val="0056302F"/>
    <w:rsid w:val="00563CE2"/>
    <w:rsid w:val="00564239"/>
    <w:rsid w:val="005642B7"/>
    <w:rsid w:val="00564563"/>
    <w:rsid w:val="00565067"/>
    <w:rsid w:val="005651E0"/>
    <w:rsid w:val="00565A01"/>
    <w:rsid w:val="005661BE"/>
    <w:rsid w:val="005665C3"/>
    <w:rsid w:val="00566656"/>
    <w:rsid w:val="00566D9B"/>
    <w:rsid w:val="0057057E"/>
    <w:rsid w:val="00571AEF"/>
    <w:rsid w:val="00571D94"/>
    <w:rsid w:val="00571F90"/>
    <w:rsid w:val="00572594"/>
    <w:rsid w:val="0057278B"/>
    <w:rsid w:val="00572A1B"/>
    <w:rsid w:val="00572DD7"/>
    <w:rsid w:val="0057325C"/>
    <w:rsid w:val="00573849"/>
    <w:rsid w:val="005775FE"/>
    <w:rsid w:val="005809F6"/>
    <w:rsid w:val="00581B80"/>
    <w:rsid w:val="00582AA9"/>
    <w:rsid w:val="005830B2"/>
    <w:rsid w:val="0058591A"/>
    <w:rsid w:val="00585BB2"/>
    <w:rsid w:val="00586948"/>
    <w:rsid w:val="00587372"/>
    <w:rsid w:val="0058766E"/>
    <w:rsid w:val="005879F2"/>
    <w:rsid w:val="00587E33"/>
    <w:rsid w:val="00591A61"/>
    <w:rsid w:val="00592134"/>
    <w:rsid w:val="00592351"/>
    <w:rsid w:val="00592472"/>
    <w:rsid w:val="00592644"/>
    <w:rsid w:val="00592D78"/>
    <w:rsid w:val="0059349C"/>
    <w:rsid w:val="0059465D"/>
    <w:rsid w:val="005960A7"/>
    <w:rsid w:val="00596396"/>
    <w:rsid w:val="00597808"/>
    <w:rsid w:val="005979E2"/>
    <w:rsid w:val="005A0B57"/>
    <w:rsid w:val="005A155A"/>
    <w:rsid w:val="005A1926"/>
    <w:rsid w:val="005A1AB6"/>
    <w:rsid w:val="005A2318"/>
    <w:rsid w:val="005A2679"/>
    <w:rsid w:val="005A3A5E"/>
    <w:rsid w:val="005A5933"/>
    <w:rsid w:val="005A5C7F"/>
    <w:rsid w:val="005A662D"/>
    <w:rsid w:val="005A7582"/>
    <w:rsid w:val="005A7B39"/>
    <w:rsid w:val="005B041E"/>
    <w:rsid w:val="005B0F70"/>
    <w:rsid w:val="005B1227"/>
    <w:rsid w:val="005B1BDA"/>
    <w:rsid w:val="005B1CB8"/>
    <w:rsid w:val="005B2176"/>
    <w:rsid w:val="005B2405"/>
    <w:rsid w:val="005B2AF2"/>
    <w:rsid w:val="005B314D"/>
    <w:rsid w:val="005B3F02"/>
    <w:rsid w:val="005B485C"/>
    <w:rsid w:val="005B48F2"/>
    <w:rsid w:val="005B594E"/>
    <w:rsid w:val="005B5A0A"/>
    <w:rsid w:val="005B742D"/>
    <w:rsid w:val="005B7A98"/>
    <w:rsid w:val="005B7B14"/>
    <w:rsid w:val="005B7B34"/>
    <w:rsid w:val="005C26D2"/>
    <w:rsid w:val="005C3071"/>
    <w:rsid w:val="005C3BDA"/>
    <w:rsid w:val="005C41C0"/>
    <w:rsid w:val="005C4350"/>
    <w:rsid w:val="005C51E1"/>
    <w:rsid w:val="005C58C8"/>
    <w:rsid w:val="005C60F4"/>
    <w:rsid w:val="005C62BE"/>
    <w:rsid w:val="005C6F49"/>
    <w:rsid w:val="005C7314"/>
    <w:rsid w:val="005D058D"/>
    <w:rsid w:val="005D0E49"/>
    <w:rsid w:val="005D1830"/>
    <w:rsid w:val="005D19F1"/>
    <w:rsid w:val="005D1B9D"/>
    <w:rsid w:val="005D1EA0"/>
    <w:rsid w:val="005D27C9"/>
    <w:rsid w:val="005D2DF2"/>
    <w:rsid w:val="005D3306"/>
    <w:rsid w:val="005D3669"/>
    <w:rsid w:val="005D3816"/>
    <w:rsid w:val="005D391D"/>
    <w:rsid w:val="005D5262"/>
    <w:rsid w:val="005D6946"/>
    <w:rsid w:val="005D6C4B"/>
    <w:rsid w:val="005D7148"/>
    <w:rsid w:val="005D7606"/>
    <w:rsid w:val="005D78A6"/>
    <w:rsid w:val="005D7C82"/>
    <w:rsid w:val="005E0124"/>
    <w:rsid w:val="005E09DF"/>
    <w:rsid w:val="005E0C3F"/>
    <w:rsid w:val="005E1BF9"/>
    <w:rsid w:val="005E2684"/>
    <w:rsid w:val="005E2A60"/>
    <w:rsid w:val="005E2C8E"/>
    <w:rsid w:val="005E30B2"/>
    <w:rsid w:val="005E446E"/>
    <w:rsid w:val="005E448C"/>
    <w:rsid w:val="005E4795"/>
    <w:rsid w:val="005E4883"/>
    <w:rsid w:val="005E4CEA"/>
    <w:rsid w:val="005E6AA5"/>
    <w:rsid w:val="005E7DF8"/>
    <w:rsid w:val="005F0775"/>
    <w:rsid w:val="005F0DAB"/>
    <w:rsid w:val="005F2A8D"/>
    <w:rsid w:val="005F3C3F"/>
    <w:rsid w:val="005F411E"/>
    <w:rsid w:val="005F577C"/>
    <w:rsid w:val="005F76C3"/>
    <w:rsid w:val="00600A48"/>
    <w:rsid w:val="00601B12"/>
    <w:rsid w:val="00601F0F"/>
    <w:rsid w:val="00603552"/>
    <w:rsid w:val="00603A47"/>
    <w:rsid w:val="006047F9"/>
    <w:rsid w:val="00605756"/>
    <w:rsid w:val="006060D0"/>
    <w:rsid w:val="006065BA"/>
    <w:rsid w:val="006069C0"/>
    <w:rsid w:val="00607FCD"/>
    <w:rsid w:val="00610390"/>
    <w:rsid w:val="00610C82"/>
    <w:rsid w:val="006114BF"/>
    <w:rsid w:val="00611BE6"/>
    <w:rsid w:val="00611E16"/>
    <w:rsid w:val="00611F49"/>
    <w:rsid w:val="00612331"/>
    <w:rsid w:val="00612582"/>
    <w:rsid w:val="00612866"/>
    <w:rsid w:val="00612CF3"/>
    <w:rsid w:val="00612D25"/>
    <w:rsid w:val="00613400"/>
    <w:rsid w:val="0061358C"/>
    <w:rsid w:val="0061358D"/>
    <w:rsid w:val="006141C6"/>
    <w:rsid w:val="006149D5"/>
    <w:rsid w:val="00614AB0"/>
    <w:rsid w:val="0061533C"/>
    <w:rsid w:val="006158B0"/>
    <w:rsid w:val="00615BA8"/>
    <w:rsid w:val="006166A7"/>
    <w:rsid w:val="00616BDC"/>
    <w:rsid w:val="00617612"/>
    <w:rsid w:val="0062069B"/>
    <w:rsid w:val="00621388"/>
    <w:rsid w:val="006219C1"/>
    <w:rsid w:val="00621A32"/>
    <w:rsid w:val="00621F71"/>
    <w:rsid w:val="00622E2B"/>
    <w:rsid w:val="00623EAD"/>
    <w:rsid w:val="00624398"/>
    <w:rsid w:val="006254D3"/>
    <w:rsid w:val="00627655"/>
    <w:rsid w:val="00627CB8"/>
    <w:rsid w:val="00630315"/>
    <w:rsid w:val="00630EAD"/>
    <w:rsid w:val="00632073"/>
    <w:rsid w:val="00632256"/>
    <w:rsid w:val="00633834"/>
    <w:rsid w:val="006338CF"/>
    <w:rsid w:val="006338F5"/>
    <w:rsid w:val="00634A84"/>
    <w:rsid w:val="00634C03"/>
    <w:rsid w:val="0063512A"/>
    <w:rsid w:val="0063527A"/>
    <w:rsid w:val="00635B8A"/>
    <w:rsid w:val="00635D62"/>
    <w:rsid w:val="00636B02"/>
    <w:rsid w:val="00637DBB"/>
    <w:rsid w:val="00640235"/>
    <w:rsid w:val="00640A29"/>
    <w:rsid w:val="00640E94"/>
    <w:rsid w:val="00640F84"/>
    <w:rsid w:val="00641675"/>
    <w:rsid w:val="00641CBB"/>
    <w:rsid w:val="0064220D"/>
    <w:rsid w:val="006423BF"/>
    <w:rsid w:val="00643350"/>
    <w:rsid w:val="0064338A"/>
    <w:rsid w:val="0064442B"/>
    <w:rsid w:val="006445EE"/>
    <w:rsid w:val="006455A2"/>
    <w:rsid w:val="00646A22"/>
    <w:rsid w:val="0064722B"/>
    <w:rsid w:val="006475DE"/>
    <w:rsid w:val="00650CC9"/>
    <w:rsid w:val="006511CF"/>
    <w:rsid w:val="00652A53"/>
    <w:rsid w:val="00652CDE"/>
    <w:rsid w:val="0065388B"/>
    <w:rsid w:val="00653E0A"/>
    <w:rsid w:val="00654099"/>
    <w:rsid w:val="0065535B"/>
    <w:rsid w:val="00655855"/>
    <w:rsid w:val="00655A63"/>
    <w:rsid w:val="00655E60"/>
    <w:rsid w:val="00656AEC"/>
    <w:rsid w:val="00656D40"/>
    <w:rsid w:val="00657F91"/>
    <w:rsid w:val="0066089E"/>
    <w:rsid w:val="00660D21"/>
    <w:rsid w:val="00660F65"/>
    <w:rsid w:val="00661590"/>
    <w:rsid w:val="006616C6"/>
    <w:rsid w:val="00661CF5"/>
    <w:rsid w:val="00662F32"/>
    <w:rsid w:val="0066300A"/>
    <w:rsid w:val="00663620"/>
    <w:rsid w:val="00664F3B"/>
    <w:rsid w:val="00666543"/>
    <w:rsid w:val="006665EA"/>
    <w:rsid w:val="0066669F"/>
    <w:rsid w:val="00667981"/>
    <w:rsid w:val="00667CA3"/>
    <w:rsid w:val="00671C7D"/>
    <w:rsid w:val="00672286"/>
    <w:rsid w:val="0067270F"/>
    <w:rsid w:val="00673A9F"/>
    <w:rsid w:val="00673FB0"/>
    <w:rsid w:val="00675BA8"/>
    <w:rsid w:val="006762F3"/>
    <w:rsid w:val="006770E4"/>
    <w:rsid w:val="00677280"/>
    <w:rsid w:val="0067782C"/>
    <w:rsid w:val="006806DF"/>
    <w:rsid w:val="00680A76"/>
    <w:rsid w:val="006811D1"/>
    <w:rsid w:val="006819F1"/>
    <w:rsid w:val="00681AF1"/>
    <w:rsid w:val="00681E92"/>
    <w:rsid w:val="00683198"/>
    <w:rsid w:val="00684D7C"/>
    <w:rsid w:val="00685DFF"/>
    <w:rsid w:val="006863FB"/>
    <w:rsid w:val="006871DF"/>
    <w:rsid w:val="0068740D"/>
    <w:rsid w:val="006874DF"/>
    <w:rsid w:val="00687B3E"/>
    <w:rsid w:val="00687BB4"/>
    <w:rsid w:val="00690A26"/>
    <w:rsid w:val="0069173A"/>
    <w:rsid w:val="00692305"/>
    <w:rsid w:val="00692D75"/>
    <w:rsid w:val="006936D1"/>
    <w:rsid w:val="00693729"/>
    <w:rsid w:val="00693C4C"/>
    <w:rsid w:val="00693C60"/>
    <w:rsid w:val="0069502F"/>
    <w:rsid w:val="00696255"/>
    <w:rsid w:val="006971DB"/>
    <w:rsid w:val="00697484"/>
    <w:rsid w:val="00697619"/>
    <w:rsid w:val="00697BE3"/>
    <w:rsid w:val="006A01EE"/>
    <w:rsid w:val="006A192F"/>
    <w:rsid w:val="006A262E"/>
    <w:rsid w:val="006A2A87"/>
    <w:rsid w:val="006A31F3"/>
    <w:rsid w:val="006A36EB"/>
    <w:rsid w:val="006A3DBA"/>
    <w:rsid w:val="006A5744"/>
    <w:rsid w:val="006A5F03"/>
    <w:rsid w:val="006A6555"/>
    <w:rsid w:val="006A716E"/>
    <w:rsid w:val="006A74F5"/>
    <w:rsid w:val="006A7DEB"/>
    <w:rsid w:val="006A7F43"/>
    <w:rsid w:val="006B0268"/>
    <w:rsid w:val="006B0A36"/>
    <w:rsid w:val="006B146E"/>
    <w:rsid w:val="006B16C0"/>
    <w:rsid w:val="006B2755"/>
    <w:rsid w:val="006B40A8"/>
    <w:rsid w:val="006B4712"/>
    <w:rsid w:val="006B50D3"/>
    <w:rsid w:val="006B5757"/>
    <w:rsid w:val="006B5D93"/>
    <w:rsid w:val="006B79D5"/>
    <w:rsid w:val="006C03DD"/>
    <w:rsid w:val="006C0858"/>
    <w:rsid w:val="006C0BFC"/>
    <w:rsid w:val="006C15B5"/>
    <w:rsid w:val="006C1BFE"/>
    <w:rsid w:val="006C25C2"/>
    <w:rsid w:val="006C2AE1"/>
    <w:rsid w:val="006C2ED2"/>
    <w:rsid w:val="006C39D8"/>
    <w:rsid w:val="006C3EAD"/>
    <w:rsid w:val="006C4596"/>
    <w:rsid w:val="006C4A02"/>
    <w:rsid w:val="006C4F89"/>
    <w:rsid w:val="006C5725"/>
    <w:rsid w:val="006C67CF"/>
    <w:rsid w:val="006C793A"/>
    <w:rsid w:val="006D0160"/>
    <w:rsid w:val="006D065D"/>
    <w:rsid w:val="006D0731"/>
    <w:rsid w:val="006D07F2"/>
    <w:rsid w:val="006D478A"/>
    <w:rsid w:val="006D48DF"/>
    <w:rsid w:val="006D5D2B"/>
    <w:rsid w:val="006D6D2C"/>
    <w:rsid w:val="006E034B"/>
    <w:rsid w:val="006E041D"/>
    <w:rsid w:val="006E08AF"/>
    <w:rsid w:val="006E159E"/>
    <w:rsid w:val="006E1B73"/>
    <w:rsid w:val="006E252B"/>
    <w:rsid w:val="006E38DF"/>
    <w:rsid w:val="006E39DE"/>
    <w:rsid w:val="006E3A4D"/>
    <w:rsid w:val="006E3F70"/>
    <w:rsid w:val="006E42AB"/>
    <w:rsid w:val="006E4E94"/>
    <w:rsid w:val="006E5139"/>
    <w:rsid w:val="006E670F"/>
    <w:rsid w:val="006E73FB"/>
    <w:rsid w:val="006E7532"/>
    <w:rsid w:val="006E781A"/>
    <w:rsid w:val="006E7CF2"/>
    <w:rsid w:val="006F0464"/>
    <w:rsid w:val="006F0CA7"/>
    <w:rsid w:val="006F0EC2"/>
    <w:rsid w:val="006F0F09"/>
    <w:rsid w:val="006F1899"/>
    <w:rsid w:val="006F268B"/>
    <w:rsid w:val="006F3097"/>
    <w:rsid w:val="006F4B75"/>
    <w:rsid w:val="006F5553"/>
    <w:rsid w:val="006F58D6"/>
    <w:rsid w:val="006F741F"/>
    <w:rsid w:val="00700141"/>
    <w:rsid w:val="00700AF8"/>
    <w:rsid w:val="007027F0"/>
    <w:rsid w:val="00702F60"/>
    <w:rsid w:val="00704232"/>
    <w:rsid w:val="00704B71"/>
    <w:rsid w:val="00705F48"/>
    <w:rsid w:val="007068E6"/>
    <w:rsid w:val="00706B06"/>
    <w:rsid w:val="007112A2"/>
    <w:rsid w:val="00711ECD"/>
    <w:rsid w:val="00711F8C"/>
    <w:rsid w:val="00713452"/>
    <w:rsid w:val="007134DF"/>
    <w:rsid w:val="007138BD"/>
    <w:rsid w:val="00714484"/>
    <w:rsid w:val="00714AFD"/>
    <w:rsid w:val="00716292"/>
    <w:rsid w:val="007175A8"/>
    <w:rsid w:val="00720E79"/>
    <w:rsid w:val="0072162E"/>
    <w:rsid w:val="00722755"/>
    <w:rsid w:val="00722B6A"/>
    <w:rsid w:val="00722EC7"/>
    <w:rsid w:val="0072310A"/>
    <w:rsid w:val="007234D6"/>
    <w:rsid w:val="00723BF3"/>
    <w:rsid w:val="0072459E"/>
    <w:rsid w:val="00724AEC"/>
    <w:rsid w:val="00724C25"/>
    <w:rsid w:val="00725827"/>
    <w:rsid w:val="007259B3"/>
    <w:rsid w:val="00725E91"/>
    <w:rsid w:val="00725F4B"/>
    <w:rsid w:val="007263EF"/>
    <w:rsid w:val="00726952"/>
    <w:rsid w:val="007272EF"/>
    <w:rsid w:val="007274CD"/>
    <w:rsid w:val="00727BFB"/>
    <w:rsid w:val="00730C4A"/>
    <w:rsid w:val="00731033"/>
    <w:rsid w:val="0073104F"/>
    <w:rsid w:val="007324FB"/>
    <w:rsid w:val="00733FDC"/>
    <w:rsid w:val="0073473E"/>
    <w:rsid w:val="007347E6"/>
    <w:rsid w:val="00734EBA"/>
    <w:rsid w:val="00737B9D"/>
    <w:rsid w:val="00740802"/>
    <w:rsid w:val="00741A4C"/>
    <w:rsid w:val="00741D0C"/>
    <w:rsid w:val="0074206F"/>
    <w:rsid w:val="00743A49"/>
    <w:rsid w:val="00744BA6"/>
    <w:rsid w:val="00744C6E"/>
    <w:rsid w:val="00745606"/>
    <w:rsid w:val="00745B9C"/>
    <w:rsid w:val="007464C7"/>
    <w:rsid w:val="007469B3"/>
    <w:rsid w:val="0074780F"/>
    <w:rsid w:val="007479D7"/>
    <w:rsid w:val="00747E79"/>
    <w:rsid w:val="007500C0"/>
    <w:rsid w:val="0075114A"/>
    <w:rsid w:val="00751C4A"/>
    <w:rsid w:val="00751CC2"/>
    <w:rsid w:val="00751DB7"/>
    <w:rsid w:val="00752492"/>
    <w:rsid w:val="00752EBB"/>
    <w:rsid w:val="00754552"/>
    <w:rsid w:val="007547FF"/>
    <w:rsid w:val="00755725"/>
    <w:rsid w:val="00756132"/>
    <w:rsid w:val="00756AAC"/>
    <w:rsid w:val="00760094"/>
    <w:rsid w:val="00760272"/>
    <w:rsid w:val="007606D2"/>
    <w:rsid w:val="007608D1"/>
    <w:rsid w:val="00761068"/>
    <w:rsid w:val="0076163B"/>
    <w:rsid w:val="00761722"/>
    <w:rsid w:val="00761E8E"/>
    <w:rsid w:val="007634AB"/>
    <w:rsid w:val="00764DAF"/>
    <w:rsid w:val="00765BC2"/>
    <w:rsid w:val="00767F44"/>
    <w:rsid w:val="00770765"/>
    <w:rsid w:val="00771ADE"/>
    <w:rsid w:val="00771B62"/>
    <w:rsid w:val="00772CF4"/>
    <w:rsid w:val="0077386A"/>
    <w:rsid w:val="00774F17"/>
    <w:rsid w:val="00775E7D"/>
    <w:rsid w:val="007773E2"/>
    <w:rsid w:val="00777698"/>
    <w:rsid w:val="007777E6"/>
    <w:rsid w:val="00780212"/>
    <w:rsid w:val="00780DCB"/>
    <w:rsid w:val="0078122C"/>
    <w:rsid w:val="007816E1"/>
    <w:rsid w:val="0078192B"/>
    <w:rsid w:val="0078289E"/>
    <w:rsid w:val="0078337F"/>
    <w:rsid w:val="0078371B"/>
    <w:rsid w:val="00784F4E"/>
    <w:rsid w:val="007853ED"/>
    <w:rsid w:val="00785BD9"/>
    <w:rsid w:val="00786F84"/>
    <w:rsid w:val="007879A0"/>
    <w:rsid w:val="007879D2"/>
    <w:rsid w:val="00787F86"/>
    <w:rsid w:val="007900B1"/>
    <w:rsid w:val="007917E4"/>
    <w:rsid w:val="00792710"/>
    <w:rsid w:val="00792C58"/>
    <w:rsid w:val="00793B29"/>
    <w:rsid w:val="00793ED4"/>
    <w:rsid w:val="00794BAC"/>
    <w:rsid w:val="00794DF8"/>
    <w:rsid w:val="007955DE"/>
    <w:rsid w:val="0079592D"/>
    <w:rsid w:val="00795FD5"/>
    <w:rsid w:val="007964B6"/>
    <w:rsid w:val="00796AB9"/>
    <w:rsid w:val="00796AE5"/>
    <w:rsid w:val="007A0359"/>
    <w:rsid w:val="007A038A"/>
    <w:rsid w:val="007A04F2"/>
    <w:rsid w:val="007A09DE"/>
    <w:rsid w:val="007A0E01"/>
    <w:rsid w:val="007A10F0"/>
    <w:rsid w:val="007A1265"/>
    <w:rsid w:val="007A1C62"/>
    <w:rsid w:val="007A3FED"/>
    <w:rsid w:val="007A50D7"/>
    <w:rsid w:val="007A5685"/>
    <w:rsid w:val="007A6E42"/>
    <w:rsid w:val="007A75C3"/>
    <w:rsid w:val="007A7869"/>
    <w:rsid w:val="007B0D7A"/>
    <w:rsid w:val="007B105B"/>
    <w:rsid w:val="007B1A40"/>
    <w:rsid w:val="007B330C"/>
    <w:rsid w:val="007B3B09"/>
    <w:rsid w:val="007B3F92"/>
    <w:rsid w:val="007B4DA0"/>
    <w:rsid w:val="007B5128"/>
    <w:rsid w:val="007B6691"/>
    <w:rsid w:val="007B7275"/>
    <w:rsid w:val="007B7744"/>
    <w:rsid w:val="007C0025"/>
    <w:rsid w:val="007C06D7"/>
    <w:rsid w:val="007C0EEF"/>
    <w:rsid w:val="007C0F09"/>
    <w:rsid w:val="007C14BE"/>
    <w:rsid w:val="007C1A90"/>
    <w:rsid w:val="007C1CE4"/>
    <w:rsid w:val="007C341F"/>
    <w:rsid w:val="007C3BA4"/>
    <w:rsid w:val="007C3DA2"/>
    <w:rsid w:val="007C3E90"/>
    <w:rsid w:val="007C4EEE"/>
    <w:rsid w:val="007C56FC"/>
    <w:rsid w:val="007C6142"/>
    <w:rsid w:val="007C7110"/>
    <w:rsid w:val="007C7EDA"/>
    <w:rsid w:val="007D0116"/>
    <w:rsid w:val="007D1841"/>
    <w:rsid w:val="007D1AE8"/>
    <w:rsid w:val="007D1B31"/>
    <w:rsid w:val="007D1FD1"/>
    <w:rsid w:val="007D2984"/>
    <w:rsid w:val="007D2AFF"/>
    <w:rsid w:val="007D38A6"/>
    <w:rsid w:val="007D422A"/>
    <w:rsid w:val="007D4C5B"/>
    <w:rsid w:val="007D4D04"/>
    <w:rsid w:val="007D4D20"/>
    <w:rsid w:val="007D4E77"/>
    <w:rsid w:val="007D7052"/>
    <w:rsid w:val="007D728F"/>
    <w:rsid w:val="007D792A"/>
    <w:rsid w:val="007D7C2F"/>
    <w:rsid w:val="007E00FF"/>
    <w:rsid w:val="007E09D2"/>
    <w:rsid w:val="007E1066"/>
    <w:rsid w:val="007E1278"/>
    <w:rsid w:val="007E1502"/>
    <w:rsid w:val="007E28A2"/>
    <w:rsid w:val="007E36BD"/>
    <w:rsid w:val="007E37E0"/>
    <w:rsid w:val="007E4303"/>
    <w:rsid w:val="007E45D1"/>
    <w:rsid w:val="007E572D"/>
    <w:rsid w:val="007E5D84"/>
    <w:rsid w:val="007E5F4F"/>
    <w:rsid w:val="007E637E"/>
    <w:rsid w:val="007E64EB"/>
    <w:rsid w:val="007E652E"/>
    <w:rsid w:val="007E689E"/>
    <w:rsid w:val="007E692E"/>
    <w:rsid w:val="007E76AC"/>
    <w:rsid w:val="007E78AF"/>
    <w:rsid w:val="007E7DB7"/>
    <w:rsid w:val="007F004F"/>
    <w:rsid w:val="007F04F7"/>
    <w:rsid w:val="007F1060"/>
    <w:rsid w:val="007F1AF6"/>
    <w:rsid w:val="007F1B32"/>
    <w:rsid w:val="007F1DA1"/>
    <w:rsid w:val="007F23CF"/>
    <w:rsid w:val="007F274C"/>
    <w:rsid w:val="007F2833"/>
    <w:rsid w:val="007F3A04"/>
    <w:rsid w:val="007F3EA4"/>
    <w:rsid w:val="007F4174"/>
    <w:rsid w:val="007F6592"/>
    <w:rsid w:val="007F6A9D"/>
    <w:rsid w:val="007F6C03"/>
    <w:rsid w:val="007F7CB0"/>
    <w:rsid w:val="007F7E67"/>
    <w:rsid w:val="008001B2"/>
    <w:rsid w:val="00801567"/>
    <w:rsid w:val="008015A1"/>
    <w:rsid w:val="00801927"/>
    <w:rsid w:val="008024D3"/>
    <w:rsid w:val="00802ACC"/>
    <w:rsid w:val="00802B31"/>
    <w:rsid w:val="00802D8D"/>
    <w:rsid w:val="008033A1"/>
    <w:rsid w:val="008059E9"/>
    <w:rsid w:val="008061CB"/>
    <w:rsid w:val="00806549"/>
    <w:rsid w:val="008069EB"/>
    <w:rsid w:val="00806FD6"/>
    <w:rsid w:val="0080732C"/>
    <w:rsid w:val="00807920"/>
    <w:rsid w:val="00807DC6"/>
    <w:rsid w:val="0081062A"/>
    <w:rsid w:val="008108AB"/>
    <w:rsid w:val="0081126A"/>
    <w:rsid w:val="0081183A"/>
    <w:rsid w:val="00812215"/>
    <w:rsid w:val="008122C6"/>
    <w:rsid w:val="00812D69"/>
    <w:rsid w:val="00813552"/>
    <w:rsid w:val="00813661"/>
    <w:rsid w:val="00814070"/>
    <w:rsid w:val="00814B2E"/>
    <w:rsid w:val="00815782"/>
    <w:rsid w:val="00816B19"/>
    <w:rsid w:val="008171E7"/>
    <w:rsid w:val="00817414"/>
    <w:rsid w:val="008176BB"/>
    <w:rsid w:val="00821648"/>
    <w:rsid w:val="00822D73"/>
    <w:rsid w:val="008232C8"/>
    <w:rsid w:val="008244E3"/>
    <w:rsid w:val="008254AA"/>
    <w:rsid w:val="008261C3"/>
    <w:rsid w:val="008264E3"/>
    <w:rsid w:val="008272EF"/>
    <w:rsid w:val="00827622"/>
    <w:rsid w:val="008300E7"/>
    <w:rsid w:val="00831B3D"/>
    <w:rsid w:val="0083228E"/>
    <w:rsid w:val="00832B64"/>
    <w:rsid w:val="00834814"/>
    <w:rsid w:val="00834A08"/>
    <w:rsid w:val="008355D2"/>
    <w:rsid w:val="0083638D"/>
    <w:rsid w:val="00836702"/>
    <w:rsid w:val="00837294"/>
    <w:rsid w:val="00837E3B"/>
    <w:rsid w:val="00840CFB"/>
    <w:rsid w:val="0084143D"/>
    <w:rsid w:val="008418FE"/>
    <w:rsid w:val="008426C6"/>
    <w:rsid w:val="00843CDC"/>
    <w:rsid w:val="0084460C"/>
    <w:rsid w:val="00844ABF"/>
    <w:rsid w:val="0084552B"/>
    <w:rsid w:val="00845A09"/>
    <w:rsid w:val="00846025"/>
    <w:rsid w:val="00846595"/>
    <w:rsid w:val="0084663C"/>
    <w:rsid w:val="0084669B"/>
    <w:rsid w:val="00846A8E"/>
    <w:rsid w:val="00847364"/>
    <w:rsid w:val="00850340"/>
    <w:rsid w:val="00850735"/>
    <w:rsid w:val="00850D3C"/>
    <w:rsid w:val="00851207"/>
    <w:rsid w:val="0085187B"/>
    <w:rsid w:val="008520E5"/>
    <w:rsid w:val="00852A67"/>
    <w:rsid w:val="008554E1"/>
    <w:rsid w:val="00855F4A"/>
    <w:rsid w:val="008560AA"/>
    <w:rsid w:val="008578AC"/>
    <w:rsid w:val="00857C4F"/>
    <w:rsid w:val="00861015"/>
    <w:rsid w:val="008622E6"/>
    <w:rsid w:val="00862C8F"/>
    <w:rsid w:val="00863939"/>
    <w:rsid w:val="00863A3D"/>
    <w:rsid w:val="00863AE4"/>
    <w:rsid w:val="00864900"/>
    <w:rsid w:val="00864908"/>
    <w:rsid w:val="00864D19"/>
    <w:rsid w:val="008659FF"/>
    <w:rsid w:val="00865FB3"/>
    <w:rsid w:val="00866641"/>
    <w:rsid w:val="008702B7"/>
    <w:rsid w:val="00870468"/>
    <w:rsid w:val="008707B7"/>
    <w:rsid w:val="00872887"/>
    <w:rsid w:val="00872C4C"/>
    <w:rsid w:val="00872DC3"/>
    <w:rsid w:val="0087325E"/>
    <w:rsid w:val="00873862"/>
    <w:rsid w:val="00877BC0"/>
    <w:rsid w:val="00881A27"/>
    <w:rsid w:val="00882659"/>
    <w:rsid w:val="008827A7"/>
    <w:rsid w:val="00882A09"/>
    <w:rsid w:val="00882B33"/>
    <w:rsid w:val="00884379"/>
    <w:rsid w:val="008846A1"/>
    <w:rsid w:val="0088470E"/>
    <w:rsid w:val="00884985"/>
    <w:rsid w:val="008854A2"/>
    <w:rsid w:val="00885BEC"/>
    <w:rsid w:val="00885F68"/>
    <w:rsid w:val="00886451"/>
    <w:rsid w:val="0088798E"/>
    <w:rsid w:val="008906F3"/>
    <w:rsid w:val="0089212C"/>
    <w:rsid w:val="00892520"/>
    <w:rsid w:val="008948DC"/>
    <w:rsid w:val="00894A2A"/>
    <w:rsid w:val="008955ED"/>
    <w:rsid w:val="0089595B"/>
    <w:rsid w:val="00896299"/>
    <w:rsid w:val="00896CD7"/>
    <w:rsid w:val="008978DD"/>
    <w:rsid w:val="00897A6D"/>
    <w:rsid w:val="008A091F"/>
    <w:rsid w:val="008A0B3E"/>
    <w:rsid w:val="008A0FE0"/>
    <w:rsid w:val="008A1F10"/>
    <w:rsid w:val="008A288C"/>
    <w:rsid w:val="008A2EDB"/>
    <w:rsid w:val="008A40FB"/>
    <w:rsid w:val="008A5E4E"/>
    <w:rsid w:val="008A606D"/>
    <w:rsid w:val="008A66A7"/>
    <w:rsid w:val="008A6B5F"/>
    <w:rsid w:val="008A70F5"/>
    <w:rsid w:val="008A7CA1"/>
    <w:rsid w:val="008A7F35"/>
    <w:rsid w:val="008B0D24"/>
    <w:rsid w:val="008B25E3"/>
    <w:rsid w:val="008B3314"/>
    <w:rsid w:val="008B3D6F"/>
    <w:rsid w:val="008B3FDA"/>
    <w:rsid w:val="008B6B95"/>
    <w:rsid w:val="008B7304"/>
    <w:rsid w:val="008B7B64"/>
    <w:rsid w:val="008C0615"/>
    <w:rsid w:val="008C10C0"/>
    <w:rsid w:val="008C1BAC"/>
    <w:rsid w:val="008C20FF"/>
    <w:rsid w:val="008C3A5D"/>
    <w:rsid w:val="008C4586"/>
    <w:rsid w:val="008C4AE3"/>
    <w:rsid w:val="008C589D"/>
    <w:rsid w:val="008C5DCB"/>
    <w:rsid w:val="008C5F34"/>
    <w:rsid w:val="008C69DB"/>
    <w:rsid w:val="008C7521"/>
    <w:rsid w:val="008C7983"/>
    <w:rsid w:val="008C79FE"/>
    <w:rsid w:val="008D03EA"/>
    <w:rsid w:val="008D0C9D"/>
    <w:rsid w:val="008D2301"/>
    <w:rsid w:val="008D258E"/>
    <w:rsid w:val="008D29DB"/>
    <w:rsid w:val="008D3FE1"/>
    <w:rsid w:val="008D428E"/>
    <w:rsid w:val="008D4C23"/>
    <w:rsid w:val="008D5499"/>
    <w:rsid w:val="008D5784"/>
    <w:rsid w:val="008D6195"/>
    <w:rsid w:val="008D712B"/>
    <w:rsid w:val="008E005F"/>
    <w:rsid w:val="008E00EF"/>
    <w:rsid w:val="008E0AD5"/>
    <w:rsid w:val="008E0F74"/>
    <w:rsid w:val="008E1390"/>
    <w:rsid w:val="008E13BF"/>
    <w:rsid w:val="008E1824"/>
    <w:rsid w:val="008E2048"/>
    <w:rsid w:val="008E4520"/>
    <w:rsid w:val="008E4B09"/>
    <w:rsid w:val="008E5C68"/>
    <w:rsid w:val="008E61BB"/>
    <w:rsid w:val="008E6292"/>
    <w:rsid w:val="008E7A0D"/>
    <w:rsid w:val="008E7D08"/>
    <w:rsid w:val="008F0360"/>
    <w:rsid w:val="008F1DFD"/>
    <w:rsid w:val="008F1F8B"/>
    <w:rsid w:val="008F21F0"/>
    <w:rsid w:val="008F25BA"/>
    <w:rsid w:val="008F2CAF"/>
    <w:rsid w:val="008F2DD6"/>
    <w:rsid w:val="008F3187"/>
    <w:rsid w:val="008F4C14"/>
    <w:rsid w:val="008F7306"/>
    <w:rsid w:val="008F739E"/>
    <w:rsid w:val="008F7F79"/>
    <w:rsid w:val="009013D9"/>
    <w:rsid w:val="0090179F"/>
    <w:rsid w:val="009019EC"/>
    <w:rsid w:val="00902AA1"/>
    <w:rsid w:val="009033B0"/>
    <w:rsid w:val="009041B6"/>
    <w:rsid w:val="00904733"/>
    <w:rsid w:val="00906383"/>
    <w:rsid w:val="009067E4"/>
    <w:rsid w:val="009073A1"/>
    <w:rsid w:val="009075DC"/>
    <w:rsid w:val="0090760E"/>
    <w:rsid w:val="00910D96"/>
    <w:rsid w:val="00910E4B"/>
    <w:rsid w:val="00911969"/>
    <w:rsid w:val="00911D1B"/>
    <w:rsid w:val="00912575"/>
    <w:rsid w:val="00912ACA"/>
    <w:rsid w:val="00913793"/>
    <w:rsid w:val="009139C3"/>
    <w:rsid w:val="00914544"/>
    <w:rsid w:val="00914617"/>
    <w:rsid w:val="0091508E"/>
    <w:rsid w:val="00921288"/>
    <w:rsid w:val="009213B7"/>
    <w:rsid w:val="009225E7"/>
    <w:rsid w:val="009230B8"/>
    <w:rsid w:val="009235FB"/>
    <w:rsid w:val="0092367C"/>
    <w:rsid w:val="009243DE"/>
    <w:rsid w:val="00924F80"/>
    <w:rsid w:val="0092521F"/>
    <w:rsid w:val="009259DA"/>
    <w:rsid w:val="00925EB8"/>
    <w:rsid w:val="00926395"/>
    <w:rsid w:val="00926838"/>
    <w:rsid w:val="00926BB5"/>
    <w:rsid w:val="00926F84"/>
    <w:rsid w:val="00931AF0"/>
    <w:rsid w:val="009323BF"/>
    <w:rsid w:val="00932723"/>
    <w:rsid w:val="00932814"/>
    <w:rsid w:val="00932DD3"/>
    <w:rsid w:val="00933FCC"/>
    <w:rsid w:val="0093478A"/>
    <w:rsid w:val="00935C3E"/>
    <w:rsid w:val="0093659D"/>
    <w:rsid w:val="009367D5"/>
    <w:rsid w:val="00936BE4"/>
    <w:rsid w:val="00937640"/>
    <w:rsid w:val="00937D5A"/>
    <w:rsid w:val="00940C67"/>
    <w:rsid w:val="00941237"/>
    <w:rsid w:val="009426F1"/>
    <w:rsid w:val="00942FCC"/>
    <w:rsid w:val="009432A1"/>
    <w:rsid w:val="0094330C"/>
    <w:rsid w:val="00943479"/>
    <w:rsid w:val="00944AC2"/>
    <w:rsid w:val="0094691A"/>
    <w:rsid w:val="00946A18"/>
    <w:rsid w:val="00947A51"/>
    <w:rsid w:val="00947B74"/>
    <w:rsid w:val="00947F23"/>
    <w:rsid w:val="00951391"/>
    <w:rsid w:val="009517DD"/>
    <w:rsid w:val="00952DD1"/>
    <w:rsid w:val="0095467F"/>
    <w:rsid w:val="00955380"/>
    <w:rsid w:val="00955F63"/>
    <w:rsid w:val="009576BE"/>
    <w:rsid w:val="00960171"/>
    <w:rsid w:val="0096198E"/>
    <w:rsid w:val="00961E05"/>
    <w:rsid w:val="009626E3"/>
    <w:rsid w:val="00963942"/>
    <w:rsid w:val="009647FA"/>
    <w:rsid w:val="00964CDD"/>
    <w:rsid w:val="00966474"/>
    <w:rsid w:val="00966588"/>
    <w:rsid w:val="00966B10"/>
    <w:rsid w:val="00966C81"/>
    <w:rsid w:val="00966CD0"/>
    <w:rsid w:val="00966F57"/>
    <w:rsid w:val="00966FC0"/>
    <w:rsid w:val="00967449"/>
    <w:rsid w:val="00971C72"/>
    <w:rsid w:val="00972197"/>
    <w:rsid w:val="0097229E"/>
    <w:rsid w:val="009722A3"/>
    <w:rsid w:val="00972D2E"/>
    <w:rsid w:val="009750C6"/>
    <w:rsid w:val="00975BAB"/>
    <w:rsid w:val="009760D8"/>
    <w:rsid w:val="009764D4"/>
    <w:rsid w:val="009773FF"/>
    <w:rsid w:val="009775C7"/>
    <w:rsid w:val="00980834"/>
    <w:rsid w:val="00980A58"/>
    <w:rsid w:val="0098299A"/>
    <w:rsid w:val="00982FD0"/>
    <w:rsid w:val="00983DD9"/>
    <w:rsid w:val="00984A44"/>
    <w:rsid w:val="00985F35"/>
    <w:rsid w:val="009862B3"/>
    <w:rsid w:val="00987248"/>
    <w:rsid w:val="00987958"/>
    <w:rsid w:val="00987C56"/>
    <w:rsid w:val="00990297"/>
    <w:rsid w:val="00990591"/>
    <w:rsid w:val="00990B47"/>
    <w:rsid w:val="00991A60"/>
    <w:rsid w:val="0099224E"/>
    <w:rsid w:val="00993A7B"/>
    <w:rsid w:val="00993BD7"/>
    <w:rsid w:val="00995BC5"/>
    <w:rsid w:val="00996912"/>
    <w:rsid w:val="00996D61"/>
    <w:rsid w:val="009973D1"/>
    <w:rsid w:val="009978A9"/>
    <w:rsid w:val="009A0ACA"/>
    <w:rsid w:val="009A0AD1"/>
    <w:rsid w:val="009A10FB"/>
    <w:rsid w:val="009A1FF8"/>
    <w:rsid w:val="009A3260"/>
    <w:rsid w:val="009A33B2"/>
    <w:rsid w:val="009A3D59"/>
    <w:rsid w:val="009A6184"/>
    <w:rsid w:val="009A6969"/>
    <w:rsid w:val="009A6E26"/>
    <w:rsid w:val="009A7BEE"/>
    <w:rsid w:val="009B0B30"/>
    <w:rsid w:val="009B0DB9"/>
    <w:rsid w:val="009B0E8E"/>
    <w:rsid w:val="009B0EB2"/>
    <w:rsid w:val="009B0EB3"/>
    <w:rsid w:val="009B1285"/>
    <w:rsid w:val="009B48C4"/>
    <w:rsid w:val="009B4BA8"/>
    <w:rsid w:val="009B5733"/>
    <w:rsid w:val="009B67C5"/>
    <w:rsid w:val="009C0120"/>
    <w:rsid w:val="009C0F30"/>
    <w:rsid w:val="009C109B"/>
    <w:rsid w:val="009C12C0"/>
    <w:rsid w:val="009C17B4"/>
    <w:rsid w:val="009C1C81"/>
    <w:rsid w:val="009C1DF9"/>
    <w:rsid w:val="009C28B1"/>
    <w:rsid w:val="009C2D09"/>
    <w:rsid w:val="009C30BE"/>
    <w:rsid w:val="009C35EF"/>
    <w:rsid w:val="009C385C"/>
    <w:rsid w:val="009C38F6"/>
    <w:rsid w:val="009C3E90"/>
    <w:rsid w:val="009C5049"/>
    <w:rsid w:val="009C55D9"/>
    <w:rsid w:val="009C5DD8"/>
    <w:rsid w:val="009C6207"/>
    <w:rsid w:val="009C6355"/>
    <w:rsid w:val="009C6452"/>
    <w:rsid w:val="009C68F0"/>
    <w:rsid w:val="009C6A94"/>
    <w:rsid w:val="009C6B2A"/>
    <w:rsid w:val="009D0FDD"/>
    <w:rsid w:val="009D172E"/>
    <w:rsid w:val="009D1CD4"/>
    <w:rsid w:val="009D1F78"/>
    <w:rsid w:val="009D2CBD"/>
    <w:rsid w:val="009D2F06"/>
    <w:rsid w:val="009D4767"/>
    <w:rsid w:val="009D4A44"/>
    <w:rsid w:val="009D4B02"/>
    <w:rsid w:val="009D6392"/>
    <w:rsid w:val="009D668B"/>
    <w:rsid w:val="009D6790"/>
    <w:rsid w:val="009D7FA2"/>
    <w:rsid w:val="009E01FD"/>
    <w:rsid w:val="009E0B51"/>
    <w:rsid w:val="009E0E99"/>
    <w:rsid w:val="009E27EB"/>
    <w:rsid w:val="009E2B56"/>
    <w:rsid w:val="009E3087"/>
    <w:rsid w:val="009E40D0"/>
    <w:rsid w:val="009E5A09"/>
    <w:rsid w:val="009E758A"/>
    <w:rsid w:val="009F0584"/>
    <w:rsid w:val="009F16F6"/>
    <w:rsid w:val="009F1FC9"/>
    <w:rsid w:val="009F2286"/>
    <w:rsid w:val="009F303B"/>
    <w:rsid w:val="009F3A4C"/>
    <w:rsid w:val="009F3D88"/>
    <w:rsid w:val="009F5360"/>
    <w:rsid w:val="009F6332"/>
    <w:rsid w:val="00A0051F"/>
    <w:rsid w:val="00A007AC"/>
    <w:rsid w:val="00A00A07"/>
    <w:rsid w:val="00A01A68"/>
    <w:rsid w:val="00A01EAC"/>
    <w:rsid w:val="00A02D46"/>
    <w:rsid w:val="00A02DD0"/>
    <w:rsid w:val="00A031E6"/>
    <w:rsid w:val="00A0341E"/>
    <w:rsid w:val="00A03C2C"/>
    <w:rsid w:val="00A0488E"/>
    <w:rsid w:val="00A103D2"/>
    <w:rsid w:val="00A10F73"/>
    <w:rsid w:val="00A130CD"/>
    <w:rsid w:val="00A132D3"/>
    <w:rsid w:val="00A13807"/>
    <w:rsid w:val="00A1390B"/>
    <w:rsid w:val="00A13C81"/>
    <w:rsid w:val="00A14776"/>
    <w:rsid w:val="00A148EB"/>
    <w:rsid w:val="00A14A3F"/>
    <w:rsid w:val="00A1527A"/>
    <w:rsid w:val="00A155C0"/>
    <w:rsid w:val="00A163CE"/>
    <w:rsid w:val="00A16FBB"/>
    <w:rsid w:val="00A17564"/>
    <w:rsid w:val="00A1796F"/>
    <w:rsid w:val="00A21717"/>
    <w:rsid w:val="00A2288B"/>
    <w:rsid w:val="00A22B03"/>
    <w:rsid w:val="00A24DEB"/>
    <w:rsid w:val="00A24F0A"/>
    <w:rsid w:val="00A253E1"/>
    <w:rsid w:val="00A267DE"/>
    <w:rsid w:val="00A26A48"/>
    <w:rsid w:val="00A27109"/>
    <w:rsid w:val="00A27290"/>
    <w:rsid w:val="00A27F45"/>
    <w:rsid w:val="00A27F4D"/>
    <w:rsid w:val="00A339F5"/>
    <w:rsid w:val="00A3415A"/>
    <w:rsid w:val="00A3501C"/>
    <w:rsid w:val="00A354F2"/>
    <w:rsid w:val="00A35A53"/>
    <w:rsid w:val="00A35C7F"/>
    <w:rsid w:val="00A36F59"/>
    <w:rsid w:val="00A370FB"/>
    <w:rsid w:val="00A3719C"/>
    <w:rsid w:val="00A373A2"/>
    <w:rsid w:val="00A37578"/>
    <w:rsid w:val="00A37C23"/>
    <w:rsid w:val="00A41041"/>
    <w:rsid w:val="00A42875"/>
    <w:rsid w:val="00A44D23"/>
    <w:rsid w:val="00A4731B"/>
    <w:rsid w:val="00A47A93"/>
    <w:rsid w:val="00A50417"/>
    <w:rsid w:val="00A51FFA"/>
    <w:rsid w:val="00A52A23"/>
    <w:rsid w:val="00A52CE9"/>
    <w:rsid w:val="00A52FBE"/>
    <w:rsid w:val="00A55CD4"/>
    <w:rsid w:val="00A562F6"/>
    <w:rsid w:val="00A568CC"/>
    <w:rsid w:val="00A56996"/>
    <w:rsid w:val="00A56D01"/>
    <w:rsid w:val="00A57080"/>
    <w:rsid w:val="00A57BFE"/>
    <w:rsid w:val="00A57FB2"/>
    <w:rsid w:val="00A609CD"/>
    <w:rsid w:val="00A61034"/>
    <w:rsid w:val="00A635F6"/>
    <w:rsid w:val="00A643B3"/>
    <w:rsid w:val="00A65733"/>
    <w:rsid w:val="00A65EF6"/>
    <w:rsid w:val="00A67509"/>
    <w:rsid w:val="00A67767"/>
    <w:rsid w:val="00A679F1"/>
    <w:rsid w:val="00A706E6"/>
    <w:rsid w:val="00A711C2"/>
    <w:rsid w:val="00A7124D"/>
    <w:rsid w:val="00A72C03"/>
    <w:rsid w:val="00A75112"/>
    <w:rsid w:val="00A75BCB"/>
    <w:rsid w:val="00A75C01"/>
    <w:rsid w:val="00A76BF9"/>
    <w:rsid w:val="00A76E2F"/>
    <w:rsid w:val="00A77667"/>
    <w:rsid w:val="00A8078F"/>
    <w:rsid w:val="00A81093"/>
    <w:rsid w:val="00A81383"/>
    <w:rsid w:val="00A817DE"/>
    <w:rsid w:val="00A82B18"/>
    <w:rsid w:val="00A83E17"/>
    <w:rsid w:val="00A84915"/>
    <w:rsid w:val="00A857C1"/>
    <w:rsid w:val="00A860B7"/>
    <w:rsid w:val="00A87832"/>
    <w:rsid w:val="00A92476"/>
    <w:rsid w:val="00A92F14"/>
    <w:rsid w:val="00A93730"/>
    <w:rsid w:val="00A943DE"/>
    <w:rsid w:val="00A94D71"/>
    <w:rsid w:val="00A94EDF"/>
    <w:rsid w:val="00A950BE"/>
    <w:rsid w:val="00A9627B"/>
    <w:rsid w:val="00A962D0"/>
    <w:rsid w:val="00A96BA8"/>
    <w:rsid w:val="00A96C18"/>
    <w:rsid w:val="00A96FF2"/>
    <w:rsid w:val="00A97EE7"/>
    <w:rsid w:val="00AA015F"/>
    <w:rsid w:val="00AA0A33"/>
    <w:rsid w:val="00AA0F3E"/>
    <w:rsid w:val="00AA2435"/>
    <w:rsid w:val="00AA2591"/>
    <w:rsid w:val="00AA3023"/>
    <w:rsid w:val="00AA3302"/>
    <w:rsid w:val="00AA3626"/>
    <w:rsid w:val="00AA3FD0"/>
    <w:rsid w:val="00AA63DC"/>
    <w:rsid w:val="00AB1B73"/>
    <w:rsid w:val="00AB246C"/>
    <w:rsid w:val="00AB3379"/>
    <w:rsid w:val="00AB3442"/>
    <w:rsid w:val="00AB5D04"/>
    <w:rsid w:val="00AB5D6B"/>
    <w:rsid w:val="00AB5F0F"/>
    <w:rsid w:val="00AB6310"/>
    <w:rsid w:val="00AB6B68"/>
    <w:rsid w:val="00AB6DAC"/>
    <w:rsid w:val="00AB75F7"/>
    <w:rsid w:val="00AB7756"/>
    <w:rsid w:val="00AB7A68"/>
    <w:rsid w:val="00AB7AC0"/>
    <w:rsid w:val="00AC0EFD"/>
    <w:rsid w:val="00AC12C5"/>
    <w:rsid w:val="00AC2DA5"/>
    <w:rsid w:val="00AC3234"/>
    <w:rsid w:val="00AC37C2"/>
    <w:rsid w:val="00AC5FC7"/>
    <w:rsid w:val="00AC6A2A"/>
    <w:rsid w:val="00AC6C80"/>
    <w:rsid w:val="00AC6E75"/>
    <w:rsid w:val="00AC78A7"/>
    <w:rsid w:val="00AC7AED"/>
    <w:rsid w:val="00AC7C43"/>
    <w:rsid w:val="00AD02FD"/>
    <w:rsid w:val="00AD03A4"/>
    <w:rsid w:val="00AD0AD8"/>
    <w:rsid w:val="00AD17A6"/>
    <w:rsid w:val="00AD202A"/>
    <w:rsid w:val="00AD208F"/>
    <w:rsid w:val="00AD2CC1"/>
    <w:rsid w:val="00AD2CF0"/>
    <w:rsid w:val="00AD2DCF"/>
    <w:rsid w:val="00AD34D4"/>
    <w:rsid w:val="00AD36AA"/>
    <w:rsid w:val="00AD6ACE"/>
    <w:rsid w:val="00AD6C56"/>
    <w:rsid w:val="00AD6E2D"/>
    <w:rsid w:val="00AD6F59"/>
    <w:rsid w:val="00AD72F4"/>
    <w:rsid w:val="00AD763D"/>
    <w:rsid w:val="00AE125B"/>
    <w:rsid w:val="00AE1505"/>
    <w:rsid w:val="00AE1753"/>
    <w:rsid w:val="00AE2220"/>
    <w:rsid w:val="00AE3316"/>
    <w:rsid w:val="00AE3CC8"/>
    <w:rsid w:val="00AE3CFA"/>
    <w:rsid w:val="00AE466B"/>
    <w:rsid w:val="00AE4C18"/>
    <w:rsid w:val="00AE517C"/>
    <w:rsid w:val="00AE6554"/>
    <w:rsid w:val="00AE6853"/>
    <w:rsid w:val="00AE78FE"/>
    <w:rsid w:val="00AF1407"/>
    <w:rsid w:val="00AF15AC"/>
    <w:rsid w:val="00AF1C3B"/>
    <w:rsid w:val="00AF207F"/>
    <w:rsid w:val="00AF2386"/>
    <w:rsid w:val="00AF2B4F"/>
    <w:rsid w:val="00AF3257"/>
    <w:rsid w:val="00AF34A8"/>
    <w:rsid w:val="00AF34B0"/>
    <w:rsid w:val="00AF363A"/>
    <w:rsid w:val="00AF426F"/>
    <w:rsid w:val="00AF5CAD"/>
    <w:rsid w:val="00AF5CCF"/>
    <w:rsid w:val="00AF5FF4"/>
    <w:rsid w:val="00AF6156"/>
    <w:rsid w:val="00AF6283"/>
    <w:rsid w:val="00AF64C7"/>
    <w:rsid w:val="00B01500"/>
    <w:rsid w:val="00B0164A"/>
    <w:rsid w:val="00B0213C"/>
    <w:rsid w:val="00B0263C"/>
    <w:rsid w:val="00B027A9"/>
    <w:rsid w:val="00B04D94"/>
    <w:rsid w:val="00B0701E"/>
    <w:rsid w:val="00B07E93"/>
    <w:rsid w:val="00B105AD"/>
    <w:rsid w:val="00B10D55"/>
    <w:rsid w:val="00B11CE4"/>
    <w:rsid w:val="00B14397"/>
    <w:rsid w:val="00B1463B"/>
    <w:rsid w:val="00B14D9B"/>
    <w:rsid w:val="00B14DE9"/>
    <w:rsid w:val="00B15EDE"/>
    <w:rsid w:val="00B16174"/>
    <w:rsid w:val="00B17F8A"/>
    <w:rsid w:val="00B20BBF"/>
    <w:rsid w:val="00B2223B"/>
    <w:rsid w:val="00B223B9"/>
    <w:rsid w:val="00B22DF8"/>
    <w:rsid w:val="00B23136"/>
    <w:rsid w:val="00B23A48"/>
    <w:rsid w:val="00B24CBD"/>
    <w:rsid w:val="00B251E5"/>
    <w:rsid w:val="00B266D7"/>
    <w:rsid w:val="00B27039"/>
    <w:rsid w:val="00B275D6"/>
    <w:rsid w:val="00B278E8"/>
    <w:rsid w:val="00B27A0B"/>
    <w:rsid w:val="00B30725"/>
    <w:rsid w:val="00B31C09"/>
    <w:rsid w:val="00B32C85"/>
    <w:rsid w:val="00B33D90"/>
    <w:rsid w:val="00B33E17"/>
    <w:rsid w:val="00B3467C"/>
    <w:rsid w:val="00B3683E"/>
    <w:rsid w:val="00B36A6E"/>
    <w:rsid w:val="00B373B1"/>
    <w:rsid w:val="00B37A25"/>
    <w:rsid w:val="00B41370"/>
    <w:rsid w:val="00B43113"/>
    <w:rsid w:val="00B432F7"/>
    <w:rsid w:val="00B444D0"/>
    <w:rsid w:val="00B44620"/>
    <w:rsid w:val="00B44F71"/>
    <w:rsid w:val="00B4519A"/>
    <w:rsid w:val="00B4527B"/>
    <w:rsid w:val="00B45BFA"/>
    <w:rsid w:val="00B4622E"/>
    <w:rsid w:val="00B46243"/>
    <w:rsid w:val="00B46B28"/>
    <w:rsid w:val="00B46B5F"/>
    <w:rsid w:val="00B50933"/>
    <w:rsid w:val="00B50B31"/>
    <w:rsid w:val="00B5192E"/>
    <w:rsid w:val="00B51D81"/>
    <w:rsid w:val="00B5217C"/>
    <w:rsid w:val="00B52CE6"/>
    <w:rsid w:val="00B546F0"/>
    <w:rsid w:val="00B5579B"/>
    <w:rsid w:val="00B55D6C"/>
    <w:rsid w:val="00B562F6"/>
    <w:rsid w:val="00B566E6"/>
    <w:rsid w:val="00B56E59"/>
    <w:rsid w:val="00B57332"/>
    <w:rsid w:val="00B57BEC"/>
    <w:rsid w:val="00B62952"/>
    <w:rsid w:val="00B62B3D"/>
    <w:rsid w:val="00B62B61"/>
    <w:rsid w:val="00B62D23"/>
    <w:rsid w:val="00B63675"/>
    <w:rsid w:val="00B63A0E"/>
    <w:rsid w:val="00B645E3"/>
    <w:rsid w:val="00B64BF6"/>
    <w:rsid w:val="00B64C88"/>
    <w:rsid w:val="00B64EDA"/>
    <w:rsid w:val="00B64F79"/>
    <w:rsid w:val="00B652D9"/>
    <w:rsid w:val="00B6530A"/>
    <w:rsid w:val="00B658A6"/>
    <w:rsid w:val="00B67533"/>
    <w:rsid w:val="00B67D2F"/>
    <w:rsid w:val="00B70E0B"/>
    <w:rsid w:val="00B7150D"/>
    <w:rsid w:val="00B7217C"/>
    <w:rsid w:val="00B72B8E"/>
    <w:rsid w:val="00B72BF5"/>
    <w:rsid w:val="00B73F34"/>
    <w:rsid w:val="00B73FBB"/>
    <w:rsid w:val="00B74FBA"/>
    <w:rsid w:val="00B7633E"/>
    <w:rsid w:val="00B76442"/>
    <w:rsid w:val="00B773FF"/>
    <w:rsid w:val="00B77EA2"/>
    <w:rsid w:val="00B80F3C"/>
    <w:rsid w:val="00B81686"/>
    <w:rsid w:val="00B82932"/>
    <w:rsid w:val="00B82B24"/>
    <w:rsid w:val="00B82F07"/>
    <w:rsid w:val="00B83055"/>
    <w:rsid w:val="00B857FA"/>
    <w:rsid w:val="00B859AD"/>
    <w:rsid w:val="00B86876"/>
    <w:rsid w:val="00B874A3"/>
    <w:rsid w:val="00B87598"/>
    <w:rsid w:val="00B906AA"/>
    <w:rsid w:val="00B93265"/>
    <w:rsid w:val="00B93BA2"/>
    <w:rsid w:val="00B94A1E"/>
    <w:rsid w:val="00B9611C"/>
    <w:rsid w:val="00B97BA8"/>
    <w:rsid w:val="00BA0156"/>
    <w:rsid w:val="00BA01EC"/>
    <w:rsid w:val="00BA0530"/>
    <w:rsid w:val="00BA0713"/>
    <w:rsid w:val="00BA120F"/>
    <w:rsid w:val="00BA17EA"/>
    <w:rsid w:val="00BA18DA"/>
    <w:rsid w:val="00BA2D49"/>
    <w:rsid w:val="00BA34B2"/>
    <w:rsid w:val="00BA354F"/>
    <w:rsid w:val="00BA4435"/>
    <w:rsid w:val="00BA49FE"/>
    <w:rsid w:val="00BA4CC5"/>
    <w:rsid w:val="00BA6566"/>
    <w:rsid w:val="00BA6F03"/>
    <w:rsid w:val="00BA7298"/>
    <w:rsid w:val="00BA7B3C"/>
    <w:rsid w:val="00BB0017"/>
    <w:rsid w:val="00BB068C"/>
    <w:rsid w:val="00BB0E95"/>
    <w:rsid w:val="00BB1386"/>
    <w:rsid w:val="00BB1E68"/>
    <w:rsid w:val="00BB2842"/>
    <w:rsid w:val="00BB3B79"/>
    <w:rsid w:val="00BB56E2"/>
    <w:rsid w:val="00BB58AE"/>
    <w:rsid w:val="00BB6B94"/>
    <w:rsid w:val="00BB71E9"/>
    <w:rsid w:val="00BB75FC"/>
    <w:rsid w:val="00BC0C2B"/>
    <w:rsid w:val="00BC141D"/>
    <w:rsid w:val="00BC2895"/>
    <w:rsid w:val="00BC29F7"/>
    <w:rsid w:val="00BC2D15"/>
    <w:rsid w:val="00BC3351"/>
    <w:rsid w:val="00BC346E"/>
    <w:rsid w:val="00BC4460"/>
    <w:rsid w:val="00BC45CD"/>
    <w:rsid w:val="00BC48B1"/>
    <w:rsid w:val="00BC5A31"/>
    <w:rsid w:val="00BC6B8F"/>
    <w:rsid w:val="00BC74A1"/>
    <w:rsid w:val="00BD050D"/>
    <w:rsid w:val="00BD094A"/>
    <w:rsid w:val="00BD0976"/>
    <w:rsid w:val="00BD0FA2"/>
    <w:rsid w:val="00BD1824"/>
    <w:rsid w:val="00BD1B95"/>
    <w:rsid w:val="00BD265A"/>
    <w:rsid w:val="00BD33E4"/>
    <w:rsid w:val="00BD3447"/>
    <w:rsid w:val="00BD4BAF"/>
    <w:rsid w:val="00BD50E5"/>
    <w:rsid w:val="00BD5285"/>
    <w:rsid w:val="00BD5521"/>
    <w:rsid w:val="00BD5D14"/>
    <w:rsid w:val="00BD61E5"/>
    <w:rsid w:val="00BD6611"/>
    <w:rsid w:val="00BD6B3D"/>
    <w:rsid w:val="00BE0B31"/>
    <w:rsid w:val="00BE1655"/>
    <w:rsid w:val="00BE165C"/>
    <w:rsid w:val="00BE2A55"/>
    <w:rsid w:val="00BE308C"/>
    <w:rsid w:val="00BE3AC1"/>
    <w:rsid w:val="00BE43D3"/>
    <w:rsid w:val="00BE540B"/>
    <w:rsid w:val="00BE57AC"/>
    <w:rsid w:val="00BE5A1F"/>
    <w:rsid w:val="00BE5B03"/>
    <w:rsid w:val="00BE7C9B"/>
    <w:rsid w:val="00BF16FF"/>
    <w:rsid w:val="00BF274B"/>
    <w:rsid w:val="00BF2C19"/>
    <w:rsid w:val="00BF303C"/>
    <w:rsid w:val="00BF328C"/>
    <w:rsid w:val="00BF3A9D"/>
    <w:rsid w:val="00BF4C8F"/>
    <w:rsid w:val="00BF5CBB"/>
    <w:rsid w:val="00BF65D6"/>
    <w:rsid w:val="00BF6EB4"/>
    <w:rsid w:val="00BF774D"/>
    <w:rsid w:val="00BF7D1D"/>
    <w:rsid w:val="00BF7EA1"/>
    <w:rsid w:val="00C004F0"/>
    <w:rsid w:val="00C00A8D"/>
    <w:rsid w:val="00C00B5E"/>
    <w:rsid w:val="00C00DEA"/>
    <w:rsid w:val="00C017CB"/>
    <w:rsid w:val="00C01DCE"/>
    <w:rsid w:val="00C021DF"/>
    <w:rsid w:val="00C0338C"/>
    <w:rsid w:val="00C03D0A"/>
    <w:rsid w:val="00C04652"/>
    <w:rsid w:val="00C05B97"/>
    <w:rsid w:val="00C062FD"/>
    <w:rsid w:val="00C07256"/>
    <w:rsid w:val="00C0752B"/>
    <w:rsid w:val="00C07B3D"/>
    <w:rsid w:val="00C1018E"/>
    <w:rsid w:val="00C10614"/>
    <w:rsid w:val="00C10A8B"/>
    <w:rsid w:val="00C10B0E"/>
    <w:rsid w:val="00C10DC6"/>
    <w:rsid w:val="00C11A4B"/>
    <w:rsid w:val="00C12ADD"/>
    <w:rsid w:val="00C12C7D"/>
    <w:rsid w:val="00C13237"/>
    <w:rsid w:val="00C1354B"/>
    <w:rsid w:val="00C14D1F"/>
    <w:rsid w:val="00C15A47"/>
    <w:rsid w:val="00C15C65"/>
    <w:rsid w:val="00C15F53"/>
    <w:rsid w:val="00C16243"/>
    <w:rsid w:val="00C16C86"/>
    <w:rsid w:val="00C17442"/>
    <w:rsid w:val="00C20DD3"/>
    <w:rsid w:val="00C21220"/>
    <w:rsid w:val="00C216CC"/>
    <w:rsid w:val="00C22377"/>
    <w:rsid w:val="00C22D7C"/>
    <w:rsid w:val="00C2328D"/>
    <w:rsid w:val="00C23367"/>
    <w:rsid w:val="00C23566"/>
    <w:rsid w:val="00C236BE"/>
    <w:rsid w:val="00C2388E"/>
    <w:rsid w:val="00C25F56"/>
    <w:rsid w:val="00C26681"/>
    <w:rsid w:val="00C269BA"/>
    <w:rsid w:val="00C31DDE"/>
    <w:rsid w:val="00C32CE6"/>
    <w:rsid w:val="00C32E70"/>
    <w:rsid w:val="00C34E59"/>
    <w:rsid w:val="00C34F78"/>
    <w:rsid w:val="00C362B1"/>
    <w:rsid w:val="00C36E56"/>
    <w:rsid w:val="00C40716"/>
    <w:rsid w:val="00C409D7"/>
    <w:rsid w:val="00C40B5E"/>
    <w:rsid w:val="00C40D2D"/>
    <w:rsid w:val="00C416BB"/>
    <w:rsid w:val="00C41D80"/>
    <w:rsid w:val="00C428C1"/>
    <w:rsid w:val="00C42B7D"/>
    <w:rsid w:val="00C42D03"/>
    <w:rsid w:val="00C44C3F"/>
    <w:rsid w:val="00C460A3"/>
    <w:rsid w:val="00C46ACD"/>
    <w:rsid w:val="00C4711F"/>
    <w:rsid w:val="00C4777A"/>
    <w:rsid w:val="00C50E6D"/>
    <w:rsid w:val="00C51203"/>
    <w:rsid w:val="00C51C0F"/>
    <w:rsid w:val="00C51E10"/>
    <w:rsid w:val="00C52206"/>
    <w:rsid w:val="00C5236E"/>
    <w:rsid w:val="00C52DDE"/>
    <w:rsid w:val="00C54333"/>
    <w:rsid w:val="00C5538C"/>
    <w:rsid w:val="00C55508"/>
    <w:rsid w:val="00C5553B"/>
    <w:rsid w:val="00C555A0"/>
    <w:rsid w:val="00C55B2C"/>
    <w:rsid w:val="00C55BCD"/>
    <w:rsid w:val="00C56552"/>
    <w:rsid w:val="00C5786C"/>
    <w:rsid w:val="00C6018D"/>
    <w:rsid w:val="00C60C58"/>
    <w:rsid w:val="00C62562"/>
    <w:rsid w:val="00C6327D"/>
    <w:rsid w:val="00C63444"/>
    <w:rsid w:val="00C63D7A"/>
    <w:rsid w:val="00C64106"/>
    <w:rsid w:val="00C641D8"/>
    <w:rsid w:val="00C644A4"/>
    <w:rsid w:val="00C64910"/>
    <w:rsid w:val="00C64D35"/>
    <w:rsid w:val="00C64F37"/>
    <w:rsid w:val="00C65285"/>
    <w:rsid w:val="00C65753"/>
    <w:rsid w:val="00C65A08"/>
    <w:rsid w:val="00C66033"/>
    <w:rsid w:val="00C662FA"/>
    <w:rsid w:val="00C6667C"/>
    <w:rsid w:val="00C6713F"/>
    <w:rsid w:val="00C707EF"/>
    <w:rsid w:val="00C70AD4"/>
    <w:rsid w:val="00C725AD"/>
    <w:rsid w:val="00C736E6"/>
    <w:rsid w:val="00C73C6C"/>
    <w:rsid w:val="00C75CDD"/>
    <w:rsid w:val="00C7656B"/>
    <w:rsid w:val="00C7683A"/>
    <w:rsid w:val="00C8021D"/>
    <w:rsid w:val="00C807B6"/>
    <w:rsid w:val="00C80B6B"/>
    <w:rsid w:val="00C8119A"/>
    <w:rsid w:val="00C8255F"/>
    <w:rsid w:val="00C83D1D"/>
    <w:rsid w:val="00C843DC"/>
    <w:rsid w:val="00C854E1"/>
    <w:rsid w:val="00C85B2C"/>
    <w:rsid w:val="00C86ED6"/>
    <w:rsid w:val="00C87B2C"/>
    <w:rsid w:val="00C91319"/>
    <w:rsid w:val="00C914FC"/>
    <w:rsid w:val="00C91AAE"/>
    <w:rsid w:val="00C92CD7"/>
    <w:rsid w:val="00C93012"/>
    <w:rsid w:val="00C93694"/>
    <w:rsid w:val="00C93962"/>
    <w:rsid w:val="00C94219"/>
    <w:rsid w:val="00C9450A"/>
    <w:rsid w:val="00C94774"/>
    <w:rsid w:val="00C948B1"/>
    <w:rsid w:val="00C949EB"/>
    <w:rsid w:val="00C96686"/>
    <w:rsid w:val="00C968F0"/>
    <w:rsid w:val="00CA012D"/>
    <w:rsid w:val="00CA1122"/>
    <w:rsid w:val="00CA117C"/>
    <w:rsid w:val="00CA1F02"/>
    <w:rsid w:val="00CA3211"/>
    <w:rsid w:val="00CA3B3D"/>
    <w:rsid w:val="00CA3F12"/>
    <w:rsid w:val="00CA54B6"/>
    <w:rsid w:val="00CA5B05"/>
    <w:rsid w:val="00CA6C90"/>
    <w:rsid w:val="00CA6F2E"/>
    <w:rsid w:val="00CA7F28"/>
    <w:rsid w:val="00CB0501"/>
    <w:rsid w:val="00CB089E"/>
    <w:rsid w:val="00CB0A6C"/>
    <w:rsid w:val="00CB0C6C"/>
    <w:rsid w:val="00CB1F21"/>
    <w:rsid w:val="00CB25A6"/>
    <w:rsid w:val="00CB26FE"/>
    <w:rsid w:val="00CB2A60"/>
    <w:rsid w:val="00CB2DBC"/>
    <w:rsid w:val="00CB326D"/>
    <w:rsid w:val="00CB4ECA"/>
    <w:rsid w:val="00CB52AF"/>
    <w:rsid w:val="00CB616D"/>
    <w:rsid w:val="00CB6B51"/>
    <w:rsid w:val="00CB6E01"/>
    <w:rsid w:val="00CB7AE4"/>
    <w:rsid w:val="00CC04BC"/>
    <w:rsid w:val="00CC06B8"/>
    <w:rsid w:val="00CC1227"/>
    <w:rsid w:val="00CC1BCD"/>
    <w:rsid w:val="00CC216D"/>
    <w:rsid w:val="00CC29C6"/>
    <w:rsid w:val="00CC2B6B"/>
    <w:rsid w:val="00CC4F0B"/>
    <w:rsid w:val="00CC55C8"/>
    <w:rsid w:val="00CC60CC"/>
    <w:rsid w:val="00CC63B9"/>
    <w:rsid w:val="00CC6CDE"/>
    <w:rsid w:val="00CC771C"/>
    <w:rsid w:val="00CC7E24"/>
    <w:rsid w:val="00CD029F"/>
    <w:rsid w:val="00CD1A65"/>
    <w:rsid w:val="00CD2306"/>
    <w:rsid w:val="00CD3F12"/>
    <w:rsid w:val="00CD5217"/>
    <w:rsid w:val="00CD525E"/>
    <w:rsid w:val="00CD5328"/>
    <w:rsid w:val="00CD7645"/>
    <w:rsid w:val="00CD7BEA"/>
    <w:rsid w:val="00CE04E1"/>
    <w:rsid w:val="00CE07DC"/>
    <w:rsid w:val="00CE125A"/>
    <w:rsid w:val="00CE12B6"/>
    <w:rsid w:val="00CE17E6"/>
    <w:rsid w:val="00CE1846"/>
    <w:rsid w:val="00CE1920"/>
    <w:rsid w:val="00CE23F7"/>
    <w:rsid w:val="00CE258B"/>
    <w:rsid w:val="00CE2B5F"/>
    <w:rsid w:val="00CE2DE2"/>
    <w:rsid w:val="00CE2EC4"/>
    <w:rsid w:val="00CE2FCC"/>
    <w:rsid w:val="00CE4780"/>
    <w:rsid w:val="00CE526D"/>
    <w:rsid w:val="00CE54C2"/>
    <w:rsid w:val="00CE54C8"/>
    <w:rsid w:val="00CE577C"/>
    <w:rsid w:val="00CE5F26"/>
    <w:rsid w:val="00CE6490"/>
    <w:rsid w:val="00CF0530"/>
    <w:rsid w:val="00CF06D5"/>
    <w:rsid w:val="00CF098F"/>
    <w:rsid w:val="00CF1119"/>
    <w:rsid w:val="00CF1CE6"/>
    <w:rsid w:val="00CF1E44"/>
    <w:rsid w:val="00CF2B05"/>
    <w:rsid w:val="00CF3508"/>
    <w:rsid w:val="00CF358D"/>
    <w:rsid w:val="00CF3C73"/>
    <w:rsid w:val="00CF5213"/>
    <w:rsid w:val="00CF6E65"/>
    <w:rsid w:val="00CF7001"/>
    <w:rsid w:val="00CF7048"/>
    <w:rsid w:val="00CF74F3"/>
    <w:rsid w:val="00CF773C"/>
    <w:rsid w:val="00D00D4C"/>
    <w:rsid w:val="00D01773"/>
    <w:rsid w:val="00D01B6A"/>
    <w:rsid w:val="00D0230E"/>
    <w:rsid w:val="00D04205"/>
    <w:rsid w:val="00D047FD"/>
    <w:rsid w:val="00D04E42"/>
    <w:rsid w:val="00D04F24"/>
    <w:rsid w:val="00D051AB"/>
    <w:rsid w:val="00D065AC"/>
    <w:rsid w:val="00D0665D"/>
    <w:rsid w:val="00D0672D"/>
    <w:rsid w:val="00D071D9"/>
    <w:rsid w:val="00D077DA"/>
    <w:rsid w:val="00D07D2C"/>
    <w:rsid w:val="00D10C82"/>
    <w:rsid w:val="00D111AF"/>
    <w:rsid w:val="00D125BF"/>
    <w:rsid w:val="00D1284F"/>
    <w:rsid w:val="00D1395F"/>
    <w:rsid w:val="00D13EBA"/>
    <w:rsid w:val="00D1407E"/>
    <w:rsid w:val="00D15149"/>
    <w:rsid w:val="00D15781"/>
    <w:rsid w:val="00D173FD"/>
    <w:rsid w:val="00D1798E"/>
    <w:rsid w:val="00D203D3"/>
    <w:rsid w:val="00D21686"/>
    <w:rsid w:val="00D22E5B"/>
    <w:rsid w:val="00D231AA"/>
    <w:rsid w:val="00D23BC4"/>
    <w:rsid w:val="00D242CA"/>
    <w:rsid w:val="00D24501"/>
    <w:rsid w:val="00D253C4"/>
    <w:rsid w:val="00D274CF"/>
    <w:rsid w:val="00D27F9C"/>
    <w:rsid w:val="00D3041E"/>
    <w:rsid w:val="00D307C6"/>
    <w:rsid w:val="00D3141E"/>
    <w:rsid w:val="00D3158F"/>
    <w:rsid w:val="00D33228"/>
    <w:rsid w:val="00D33854"/>
    <w:rsid w:val="00D33EF6"/>
    <w:rsid w:val="00D34B7B"/>
    <w:rsid w:val="00D34F29"/>
    <w:rsid w:val="00D35801"/>
    <w:rsid w:val="00D36014"/>
    <w:rsid w:val="00D4094B"/>
    <w:rsid w:val="00D41EA4"/>
    <w:rsid w:val="00D41FFC"/>
    <w:rsid w:val="00D430CB"/>
    <w:rsid w:val="00D43B6E"/>
    <w:rsid w:val="00D45FEB"/>
    <w:rsid w:val="00D463A0"/>
    <w:rsid w:val="00D46613"/>
    <w:rsid w:val="00D5240F"/>
    <w:rsid w:val="00D5378F"/>
    <w:rsid w:val="00D5747F"/>
    <w:rsid w:val="00D57DE9"/>
    <w:rsid w:val="00D607E8"/>
    <w:rsid w:val="00D60E8B"/>
    <w:rsid w:val="00D61A56"/>
    <w:rsid w:val="00D62AE4"/>
    <w:rsid w:val="00D63BF5"/>
    <w:rsid w:val="00D65113"/>
    <w:rsid w:val="00D6547D"/>
    <w:rsid w:val="00D65CC4"/>
    <w:rsid w:val="00D6728D"/>
    <w:rsid w:val="00D701D2"/>
    <w:rsid w:val="00D70E42"/>
    <w:rsid w:val="00D70F11"/>
    <w:rsid w:val="00D7337C"/>
    <w:rsid w:val="00D733E9"/>
    <w:rsid w:val="00D74187"/>
    <w:rsid w:val="00D74BE2"/>
    <w:rsid w:val="00D7575D"/>
    <w:rsid w:val="00D7577A"/>
    <w:rsid w:val="00D75F96"/>
    <w:rsid w:val="00D76783"/>
    <w:rsid w:val="00D80CD8"/>
    <w:rsid w:val="00D82F5E"/>
    <w:rsid w:val="00D83582"/>
    <w:rsid w:val="00D83BD3"/>
    <w:rsid w:val="00D83F66"/>
    <w:rsid w:val="00D847C4"/>
    <w:rsid w:val="00D8483D"/>
    <w:rsid w:val="00D85EAE"/>
    <w:rsid w:val="00D863C2"/>
    <w:rsid w:val="00D86FB2"/>
    <w:rsid w:val="00D90FF4"/>
    <w:rsid w:val="00D93122"/>
    <w:rsid w:val="00D94101"/>
    <w:rsid w:val="00D95151"/>
    <w:rsid w:val="00D97E81"/>
    <w:rsid w:val="00DA0153"/>
    <w:rsid w:val="00DA0331"/>
    <w:rsid w:val="00DA5026"/>
    <w:rsid w:val="00DA509F"/>
    <w:rsid w:val="00DA68D9"/>
    <w:rsid w:val="00DA7469"/>
    <w:rsid w:val="00DA7CC6"/>
    <w:rsid w:val="00DA7D3D"/>
    <w:rsid w:val="00DB08C0"/>
    <w:rsid w:val="00DB0A6C"/>
    <w:rsid w:val="00DB0E0E"/>
    <w:rsid w:val="00DB2869"/>
    <w:rsid w:val="00DB301E"/>
    <w:rsid w:val="00DB4568"/>
    <w:rsid w:val="00DB5488"/>
    <w:rsid w:val="00DB64DC"/>
    <w:rsid w:val="00DB6710"/>
    <w:rsid w:val="00DB6949"/>
    <w:rsid w:val="00DB707C"/>
    <w:rsid w:val="00DC35E5"/>
    <w:rsid w:val="00DC3C34"/>
    <w:rsid w:val="00DC3F6F"/>
    <w:rsid w:val="00DC6871"/>
    <w:rsid w:val="00DC6CA9"/>
    <w:rsid w:val="00DC71DD"/>
    <w:rsid w:val="00DC78A5"/>
    <w:rsid w:val="00DD0029"/>
    <w:rsid w:val="00DD0489"/>
    <w:rsid w:val="00DD07FD"/>
    <w:rsid w:val="00DD0ACB"/>
    <w:rsid w:val="00DD0EA5"/>
    <w:rsid w:val="00DD1333"/>
    <w:rsid w:val="00DD1C29"/>
    <w:rsid w:val="00DD1DA9"/>
    <w:rsid w:val="00DD1DCF"/>
    <w:rsid w:val="00DD2250"/>
    <w:rsid w:val="00DD233F"/>
    <w:rsid w:val="00DD3663"/>
    <w:rsid w:val="00DD3BEB"/>
    <w:rsid w:val="00DD4985"/>
    <w:rsid w:val="00DD4EF5"/>
    <w:rsid w:val="00DD5EB0"/>
    <w:rsid w:val="00DD68D1"/>
    <w:rsid w:val="00DE03F0"/>
    <w:rsid w:val="00DE2318"/>
    <w:rsid w:val="00DE37B3"/>
    <w:rsid w:val="00DE4F77"/>
    <w:rsid w:val="00DE5925"/>
    <w:rsid w:val="00DE69DD"/>
    <w:rsid w:val="00DE6A65"/>
    <w:rsid w:val="00DE6B01"/>
    <w:rsid w:val="00DF1108"/>
    <w:rsid w:val="00DF1E8A"/>
    <w:rsid w:val="00DF20AA"/>
    <w:rsid w:val="00DF279F"/>
    <w:rsid w:val="00DF3335"/>
    <w:rsid w:val="00DF5529"/>
    <w:rsid w:val="00DF55B2"/>
    <w:rsid w:val="00DF5AC8"/>
    <w:rsid w:val="00DF5C77"/>
    <w:rsid w:val="00DF5D71"/>
    <w:rsid w:val="00DF6BA9"/>
    <w:rsid w:val="00DF7CB8"/>
    <w:rsid w:val="00DF7DCA"/>
    <w:rsid w:val="00E014BD"/>
    <w:rsid w:val="00E01B50"/>
    <w:rsid w:val="00E02CD1"/>
    <w:rsid w:val="00E02DCE"/>
    <w:rsid w:val="00E034F1"/>
    <w:rsid w:val="00E03641"/>
    <w:rsid w:val="00E0439A"/>
    <w:rsid w:val="00E0474B"/>
    <w:rsid w:val="00E04CE3"/>
    <w:rsid w:val="00E05014"/>
    <w:rsid w:val="00E054D8"/>
    <w:rsid w:val="00E060DE"/>
    <w:rsid w:val="00E078C5"/>
    <w:rsid w:val="00E104A8"/>
    <w:rsid w:val="00E10EF1"/>
    <w:rsid w:val="00E1367D"/>
    <w:rsid w:val="00E147DB"/>
    <w:rsid w:val="00E14838"/>
    <w:rsid w:val="00E150AD"/>
    <w:rsid w:val="00E172F7"/>
    <w:rsid w:val="00E1747D"/>
    <w:rsid w:val="00E17ED9"/>
    <w:rsid w:val="00E20697"/>
    <w:rsid w:val="00E20737"/>
    <w:rsid w:val="00E21168"/>
    <w:rsid w:val="00E22745"/>
    <w:rsid w:val="00E22C54"/>
    <w:rsid w:val="00E23360"/>
    <w:rsid w:val="00E24FD3"/>
    <w:rsid w:val="00E25D2D"/>
    <w:rsid w:val="00E2622B"/>
    <w:rsid w:val="00E26E5A"/>
    <w:rsid w:val="00E2712A"/>
    <w:rsid w:val="00E27937"/>
    <w:rsid w:val="00E3143B"/>
    <w:rsid w:val="00E323A2"/>
    <w:rsid w:val="00E32941"/>
    <w:rsid w:val="00E32D90"/>
    <w:rsid w:val="00E332F6"/>
    <w:rsid w:val="00E33738"/>
    <w:rsid w:val="00E35091"/>
    <w:rsid w:val="00E3529D"/>
    <w:rsid w:val="00E35983"/>
    <w:rsid w:val="00E36103"/>
    <w:rsid w:val="00E361D9"/>
    <w:rsid w:val="00E369CA"/>
    <w:rsid w:val="00E3736A"/>
    <w:rsid w:val="00E37D6C"/>
    <w:rsid w:val="00E37E5D"/>
    <w:rsid w:val="00E41290"/>
    <w:rsid w:val="00E4193E"/>
    <w:rsid w:val="00E42118"/>
    <w:rsid w:val="00E4232C"/>
    <w:rsid w:val="00E423A8"/>
    <w:rsid w:val="00E4294C"/>
    <w:rsid w:val="00E42E09"/>
    <w:rsid w:val="00E42E37"/>
    <w:rsid w:val="00E43439"/>
    <w:rsid w:val="00E44025"/>
    <w:rsid w:val="00E4502B"/>
    <w:rsid w:val="00E455AF"/>
    <w:rsid w:val="00E46085"/>
    <w:rsid w:val="00E46107"/>
    <w:rsid w:val="00E4629B"/>
    <w:rsid w:val="00E51B87"/>
    <w:rsid w:val="00E52355"/>
    <w:rsid w:val="00E52F45"/>
    <w:rsid w:val="00E53AC8"/>
    <w:rsid w:val="00E54077"/>
    <w:rsid w:val="00E54096"/>
    <w:rsid w:val="00E54542"/>
    <w:rsid w:val="00E557AC"/>
    <w:rsid w:val="00E56B17"/>
    <w:rsid w:val="00E56EC1"/>
    <w:rsid w:val="00E573A3"/>
    <w:rsid w:val="00E57C23"/>
    <w:rsid w:val="00E607EC"/>
    <w:rsid w:val="00E60934"/>
    <w:rsid w:val="00E62B4E"/>
    <w:rsid w:val="00E63C00"/>
    <w:rsid w:val="00E65581"/>
    <w:rsid w:val="00E661AB"/>
    <w:rsid w:val="00E6776D"/>
    <w:rsid w:val="00E70958"/>
    <w:rsid w:val="00E712C4"/>
    <w:rsid w:val="00E71B57"/>
    <w:rsid w:val="00E72493"/>
    <w:rsid w:val="00E73311"/>
    <w:rsid w:val="00E73AC1"/>
    <w:rsid w:val="00E74183"/>
    <w:rsid w:val="00E74518"/>
    <w:rsid w:val="00E74F74"/>
    <w:rsid w:val="00E75AE2"/>
    <w:rsid w:val="00E764C6"/>
    <w:rsid w:val="00E76535"/>
    <w:rsid w:val="00E76B40"/>
    <w:rsid w:val="00E76ECA"/>
    <w:rsid w:val="00E7717D"/>
    <w:rsid w:val="00E77D12"/>
    <w:rsid w:val="00E77E8A"/>
    <w:rsid w:val="00E8175D"/>
    <w:rsid w:val="00E82136"/>
    <w:rsid w:val="00E826AD"/>
    <w:rsid w:val="00E82709"/>
    <w:rsid w:val="00E828EB"/>
    <w:rsid w:val="00E82D86"/>
    <w:rsid w:val="00E82EF6"/>
    <w:rsid w:val="00E8462A"/>
    <w:rsid w:val="00E84717"/>
    <w:rsid w:val="00E84C08"/>
    <w:rsid w:val="00E8668A"/>
    <w:rsid w:val="00E8781B"/>
    <w:rsid w:val="00E9067E"/>
    <w:rsid w:val="00E9069D"/>
    <w:rsid w:val="00E9070E"/>
    <w:rsid w:val="00E90BF6"/>
    <w:rsid w:val="00E91086"/>
    <w:rsid w:val="00E920C8"/>
    <w:rsid w:val="00E920DB"/>
    <w:rsid w:val="00E9290E"/>
    <w:rsid w:val="00E9506C"/>
    <w:rsid w:val="00E956C2"/>
    <w:rsid w:val="00E9590B"/>
    <w:rsid w:val="00E96B31"/>
    <w:rsid w:val="00E96E4D"/>
    <w:rsid w:val="00EA0871"/>
    <w:rsid w:val="00EA10BF"/>
    <w:rsid w:val="00EA12D0"/>
    <w:rsid w:val="00EA1534"/>
    <w:rsid w:val="00EA1D6E"/>
    <w:rsid w:val="00EA22D8"/>
    <w:rsid w:val="00EA5149"/>
    <w:rsid w:val="00EA5264"/>
    <w:rsid w:val="00EA724E"/>
    <w:rsid w:val="00EB07F5"/>
    <w:rsid w:val="00EB0B86"/>
    <w:rsid w:val="00EB41E1"/>
    <w:rsid w:val="00EB43E3"/>
    <w:rsid w:val="00EB4A70"/>
    <w:rsid w:val="00EB4F3B"/>
    <w:rsid w:val="00EB5718"/>
    <w:rsid w:val="00EB5CCA"/>
    <w:rsid w:val="00EC0779"/>
    <w:rsid w:val="00EC0CC0"/>
    <w:rsid w:val="00EC0D89"/>
    <w:rsid w:val="00EC0F4B"/>
    <w:rsid w:val="00EC1677"/>
    <w:rsid w:val="00EC1761"/>
    <w:rsid w:val="00EC24CC"/>
    <w:rsid w:val="00EC2CB1"/>
    <w:rsid w:val="00EC36C4"/>
    <w:rsid w:val="00EC42A0"/>
    <w:rsid w:val="00EC4855"/>
    <w:rsid w:val="00EC5596"/>
    <w:rsid w:val="00EC61B9"/>
    <w:rsid w:val="00EC6538"/>
    <w:rsid w:val="00ED0EA0"/>
    <w:rsid w:val="00ED11FC"/>
    <w:rsid w:val="00ED1644"/>
    <w:rsid w:val="00ED300B"/>
    <w:rsid w:val="00ED3116"/>
    <w:rsid w:val="00ED3337"/>
    <w:rsid w:val="00ED3D8A"/>
    <w:rsid w:val="00ED423F"/>
    <w:rsid w:val="00ED58ED"/>
    <w:rsid w:val="00ED5C89"/>
    <w:rsid w:val="00ED6024"/>
    <w:rsid w:val="00ED687B"/>
    <w:rsid w:val="00ED6A6E"/>
    <w:rsid w:val="00EE0B22"/>
    <w:rsid w:val="00EE0ED6"/>
    <w:rsid w:val="00EE12F6"/>
    <w:rsid w:val="00EE1640"/>
    <w:rsid w:val="00EE195F"/>
    <w:rsid w:val="00EE1AC4"/>
    <w:rsid w:val="00EE1EA9"/>
    <w:rsid w:val="00EE21E9"/>
    <w:rsid w:val="00EE2746"/>
    <w:rsid w:val="00EE2E35"/>
    <w:rsid w:val="00EE3514"/>
    <w:rsid w:val="00EE3900"/>
    <w:rsid w:val="00EE4294"/>
    <w:rsid w:val="00EE42BF"/>
    <w:rsid w:val="00EE4613"/>
    <w:rsid w:val="00EE4813"/>
    <w:rsid w:val="00EE4FC6"/>
    <w:rsid w:val="00EE5E3B"/>
    <w:rsid w:val="00EF00EC"/>
    <w:rsid w:val="00EF05B3"/>
    <w:rsid w:val="00EF0976"/>
    <w:rsid w:val="00EF2085"/>
    <w:rsid w:val="00EF2915"/>
    <w:rsid w:val="00EF3B62"/>
    <w:rsid w:val="00EF4FC8"/>
    <w:rsid w:val="00EF5567"/>
    <w:rsid w:val="00EF5C09"/>
    <w:rsid w:val="00EF5CC2"/>
    <w:rsid w:val="00EF6F01"/>
    <w:rsid w:val="00F00047"/>
    <w:rsid w:val="00F003F6"/>
    <w:rsid w:val="00F01262"/>
    <w:rsid w:val="00F01467"/>
    <w:rsid w:val="00F01C6A"/>
    <w:rsid w:val="00F04ABF"/>
    <w:rsid w:val="00F04E1C"/>
    <w:rsid w:val="00F0569A"/>
    <w:rsid w:val="00F06D30"/>
    <w:rsid w:val="00F06FFD"/>
    <w:rsid w:val="00F103A4"/>
    <w:rsid w:val="00F112EE"/>
    <w:rsid w:val="00F11FB9"/>
    <w:rsid w:val="00F1300E"/>
    <w:rsid w:val="00F135E8"/>
    <w:rsid w:val="00F139A3"/>
    <w:rsid w:val="00F144A1"/>
    <w:rsid w:val="00F151DF"/>
    <w:rsid w:val="00F1744A"/>
    <w:rsid w:val="00F177D6"/>
    <w:rsid w:val="00F17EC7"/>
    <w:rsid w:val="00F20204"/>
    <w:rsid w:val="00F21BFD"/>
    <w:rsid w:val="00F21D3A"/>
    <w:rsid w:val="00F21D5C"/>
    <w:rsid w:val="00F22DBA"/>
    <w:rsid w:val="00F233B1"/>
    <w:rsid w:val="00F23A83"/>
    <w:rsid w:val="00F24383"/>
    <w:rsid w:val="00F2608F"/>
    <w:rsid w:val="00F262C1"/>
    <w:rsid w:val="00F26518"/>
    <w:rsid w:val="00F269B2"/>
    <w:rsid w:val="00F275A7"/>
    <w:rsid w:val="00F27CB4"/>
    <w:rsid w:val="00F31ADF"/>
    <w:rsid w:val="00F32561"/>
    <w:rsid w:val="00F331F4"/>
    <w:rsid w:val="00F358B9"/>
    <w:rsid w:val="00F37814"/>
    <w:rsid w:val="00F37951"/>
    <w:rsid w:val="00F37B02"/>
    <w:rsid w:val="00F400E2"/>
    <w:rsid w:val="00F40918"/>
    <w:rsid w:val="00F409F5"/>
    <w:rsid w:val="00F415A5"/>
    <w:rsid w:val="00F418C7"/>
    <w:rsid w:val="00F41B35"/>
    <w:rsid w:val="00F42412"/>
    <w:rsid w:val="00F43BE6"/>
    <w:rsid w:val="00F43E9B"/>
    <w:rsid w:val="00F4496E"/>
    <w:rsid w:val="00F45321"/>
    <w:rsid w:val="00F4532A"/>
    <w:rsid w:val="00F4555E"/>
    <w:rsid w:val="00F456FE"/>
    <w:rsid w:val="00F45E6C"/>
    <w:rsid w:val="00F45FEC"/>
    <w:rsid w:val="00F46C9B"/>
    <w:rsid w:val="00F46FCF"/>
    <w:rsid w:val="00F47257"/>
    <w:rsid w:val="00F47952"/>
    <w:rsid w:val="00F47BB1"/>
    <w:rsid w:val="00F5016E"/>
    <w:rsid w:val="00F512EE"/>
    <w:rsid w:val="00F514D0"/>
    <w:rsid w:val="00F51C75"/>
    <w:rsid w:val="00F52174"/>
    <w:rsid w:val="00F5297A"/>
    <w:rsid w:val="00F52CEC"/>
    <w:rsid w:val="00F52EB7"/>
    <w:rsid w:val="00F52EBC"/>
    <w:rsid w:val="00F54EB2"/>
    <w:rsid w:val="00F55C4B"/>
    <w:rsid w:val="00F561F3"/>
    <w:rsid w:val="00F56256"/>
    <w:rsid w:val="00F57641"/>
    <w:rsid w:val="00F57882"/>
    <w:rsid w:val="00F60BF1"/>
    <w:rsid w:val="00F6120A"/>
    <w:rsid w:val="00F617A0"/>
    <w:rsid w:val="00F61E32"/>
    <w:rsid w:val="00F637CB"/>
    <w:rsid w:val="00F63A44"/>
    <w:rsid w:val="00F6607A"/>
    <w:rsid w:val="00F668C7"/>
    <w:rsid w:val="00F66F62"/>
    <w:rsid w:val="00F678EA"/>
    <w:rsid w:val="00F67965"/>
    <w:rsid w:val="00F67B4F"/>
    <w:rsid w:val="00F71AA6"/>
    <w:rsid w:val="00F71C1B"/>
    <w:rsid w:val="00F71DE8"/>
    <w:rsid w:val="00F7294B"/>
    <w:rsid w:val="00F74892"/>
    <w:rsid w:val="00F74A9E"/>
    <w:rsid w:val="00F7519D"/>
    <w:rsid w:val="00F7641D"/>
    <w:rsid w:val="00F76A25"/>
    <w:rsid w:val="00F76D9B"/>
    <w:rsid w:val="00F80569"/>
    <w:rsid w:val="00F80B4C"/>
    <w:rsid w:val="00F80FF6"/>
    <w:rsid w:val="00F8418D"/>
    <w:rsid w:val="00F848A5"/>
    <w:rsid w:val="00F85D5F"/>
    <w:rsid w:val="00F85F00"/>
    <w:rsid w:val="00F86385"/>
    <w:rsid w:val="00F86691"/>
    <w:rsid w:val="00F87670"/>
    <w:rsid w:val="00F90CF4"/>
    <w:rsid w:val="00F91105"/>
    <w:rsid w:val="00F92EA1"/>
    <w:rsid w:val="00F939B7"/>
    <w:rsid w:val="00F93C8F"/>
    <w:rsid w:val="00F94661"/>
    <w:rsid w:val="00F9505F"/>
    <w:rsid w:val="00F962FF"/>
    <w:rsid w:val="00F96CB9"/>
    <w:rsid w:val="00F96E34"/>
    <w:rsid w:val="00FA0867"/>
    <w:rsid w:val="00FA093D"/>
    <w:rsid w:val="00FA0B60"/>
    <w:rsid w:val="00FA1491"/>
    <w:rsid w:val="00FA204C"/>
    <w:rsid w:val="00FA22CD"/>
    <w:rsid w:val="00FA29D5"/>
    <w:rsid w:val="00FA2A38"/>
    <w:rsid w:val="00FA2E07"/>
    <w:rsid w:val="00FA3672"/>
    <w:rsid w:val="00FA3FBB"/>
    <w:rsid w:val="00FA4134"/>
    <w:rsid w:val="00FA4290"/>
    <w:rsid w:val="00FA42D7"/>
    <w:rsid w:val="00FA5143"/>
    <w:rsid w:val="00FA5BE5"/>
    <w:rsid w:val="00FA648F"/>
    <w:rsid w:val="00FA6A03"/>
    <w:rsid w:val="00FA7423"/>
    <w:rsid w:val="00FA7797"/>
    <w:rsid w:val="00FA7E08"/>
    <w:rsid w:val="00FB0C7B"/>
    <w:rsid w:val="00FB0D7F"/>
    <w:rsid w:val="00FB1380"/>
    <w:rsid w:val="00FB1589"/>
    <w:rsid w:val="00FB1952"/>
    <w:rsid w:val="00FB1985"/>
    <w:rsid w:val="00FB1F00"/>
    <w:rsid w:val="00FB203C"/>
    <w:rsid w:val="00FB3234"/>
    <w:rsid w:val="00FB3923"/>
    <w:rsid w:val="00FB47FA"/>
    <w:rsid w:val="00FB4B89"/>
    <w:rsid w:val="00FB5474"/>
    <w:rsid w:val="00FB74F2"/>
    <w:rsid w:val="00FC172E"/>
    <w:rsid w:val="00FC295F"/>
    <w:rsid w:val="00FC2F39"/>
    <w:rsid w:val="00FC5841"/>
    <w:rsid w:val="00FC5E02"/>
    <w:rsid w:val="00FC605C"/>
    <w:rsid w:val="00FC6D07"/>
    <w:rsid w:val="00FC73B6"/>
    <w:rsid w:val="00FD00D4"/>
    <w:rsid w:val="00FD1025"/>
    <w:rsid w:val="00FD1570"/>
    <w:rsid w:val="00FD2477"/>
    <w:rsid w:val="00FD309A"/>
    <w:rsid w:val="00FD43FD"/>
    <w:rsid w:val="00FD4448"/>
    <w:rsid w:val="00FD4F62"/>
    <w:rsid w:val="00FD5488"/>
    <w:rsid w:val="00FD5B44"/>
    <w:rsid w:val="00FD7ACD"/>
    <w:rsid w:val="00FD7BB7"/>
    <w:rsid w:val="00FE1BAD"/>
    <w:rsid w:val="00FE2390"/>
    <w:rsid w:val="00FE2CFD"/>
    <w:rsid w:val="00FE3862"/>
    <w:rsid w:val="00FE41DF"/>
    <w:rsid w:val="00FE4B50"/>
    <w:rsid w:val="00FE4E26"/>
    <w:rsid w:val="00FE61A7"/>
    <w:rsid w:val="00FE7709"/>
    <w:rsid w:val="00FF08C2"/>
    <w:rsid w:val="00FF13E8"/>
    <w:rsid w:val="00FF13FE"/>
    <w:rsid w:val="00FF2050"/>
    <w:rsid w:val="00FF2326"/>
    <w:rsid w:val="00FF3435"/>
    <w:rsid w:val="00FF3D0A"/>
    <w:rsid w:val="00FF44DF"/>
    <w:rsid w:val="00FF4648"/>
    <w:rsid w:val="00FF641E"/>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548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qFormat="1"/>
    <w:lsdException w:name="caption" w:semiHidden="0" w:unhideWhenUsed="0" w:qFormat="1"/>
    <w:lsdException w:name="footnote reference"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2B5F"/>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A253E1"/>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A253E1"/>
    <w:rPr>
      <w:rFonts w:ascii="Times New Roman" w:hAnsi="Times New Roman" w:cs="Times New Roman"/>
      <w:b/>
      <w:sz w:val="24"/>
      <w:szCs w:val="20"/>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link w:val="plainChar"/>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0F492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link w:val="AnswerChar0"/>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styleId="NoSpacing">
    <w:name w:val="No Spacing"/>
    <w:uiPriority w:val="1"/>
    <w:qFormat/>
    <w:rsid w:val="005B48F2"/>
    <w:rPr>
      <w:rFonts w:asciiTheme="minorHAnsi" w:eastAsiaTheme="minorHAnsi" w:hAnsiTheme="minorHAnsi" w:cstheme="minorBidi"/>
    </w:rPr>
  </w:style>
  <w:style w:type="paragraph" w:customStyle="1" w:styleId="OrderParagraph">
    <w:name w:val="Order Paragraph"/>
    <w:basedOn w:val="Normal"/>
    <w:link w:val="OrderParagraphChar"/>
    <w:qFormat/>
    <w:rsid w:val="007606D2"/>
    <w:pPr>
      <w:tabs>
        <w:tab w:val="num" w:pos="360"/>
      </w:tabs>
      <w:spacing w:after="240" w:line="288" w:lineRule="auto"/>
      <w:ind w:left="360" w:hanging="720"/>
    </w:pPr>
    <w:rPr>
      <w:rFonts w:eastAsia="Calibri"/>
      <w:szCs w:val="24"/>
      <w:lang w:eastAsia="en-US"/>
    </w:rPr>
  </w:style>
  <w:style w:type="paragraph" w:customStyle="1" w:styleId="BulletedOrderIndent">
    <w:name w:val="Bulleted Order Indent"/>
    <w:basedOn w:val="Normal"/>
    <w:link w:val="BulletedOrderIndentChar"/>
    <w:qFormat/>
    <w:rsid w:val="007606D2"/>
    <w:pPr>
      <w:numPr>
        <w:numId w:val="36"/>
      </w:numPr>
      <w:spacing w:after="240" w:line="276" w:lineRule="auto"/>
    </w:pPr>
    <w:rPr>
      <w:rFonts w:eastAsia="Calibri"/>
      <w:szCs w:val="24"/>
      <w:lang w:eastAsia="en-US"/>
    </w:rPr>
  </w:style>
  <w:style w:type="character" w:customStyle="1" w:styleId="OrderParagraphChar">
    <w:name w:val="Order Paragraph Char"/>
    <w:link w:val="OrderParagraph"/>
    <w:rsid w:val="007606D2"/>
    <w:rPr>
      <w:rFonts w:ascii="Times New Roman" w:eastAsia="Calibri" w:hAnsi="Times New Roman"/>
      <w:sz w:val="24"/>
      <w:szCs w:val="24"/>
    </w:rPr>
  </w:style>
  <w:style w:type="character" w:customStyle="1" w:styleId="BulletedOrderIndentChar">
    <w:name w:val="Bulleted Order Indent Char"/>
    <w:link w:val="BulletedOrderIndent"/>
    <w:rsid w:val="007606D2"/>
    <w:rPr>
      <w:rFonts w:ascii="Times New Roman" w:eastAsia="Calibri" w:hAnsi="Times New Roman"/>
      <w:sz w:val="24"/>
      <w:szCs w:val="24"/>
    </w:rPr>
  </w:style>
  <w:style w:type="paragraph" w:customStyle="1" w:styleId="Order">
    <w:name w:val="Order"/>
    <w:basedOn w:val="Normal"/>
    <w:qFormat/>
    <w:rsid w:val="007606D2"/>
    <w:pPr>
      <w:numPr>
        <w:numId w:val="35"/>
      </w:numPr>
      <w:spacing w:after="240" w:line="288" w:lineRule="auto"/>
      <w:ind w:left="446" w:hanging="1166"/>
    </w:pPr>
    <w:rPr>
      <w:szCs w:val="24"/>
      <w:lang w:eastAsia="en-US"/>
    </w:rPr>
  </w:style>
  <w:style w:type="character" w:customStyle="1" w:styleId="AnswerChar0">
    <w:name w:val="Answer Char"/>
    <w:basedOn w:val="DefaultParagraphFont"/>
    <w:link w:val="Answer0"/>
    <w:rsid w:val="002027F5"/>
    <w:rPr>
      <w:rFonts w:ascii="Times New Roman" w:hAnsi="Times New Roman"/>
      <w:sz w:val="24"/>
      <w:szCs w:val="20"/>
      <w:lang w:eastAsia="zh-CN"/>
    </w:rPr>
  </w:style>
  <w:style w:type="paragraph" w:styleId="Quote">
    <w:name w:val="Quote"/>
    <w:basedOn w:val="Normal"/>
    <w:next w:val="Normal"/>
    <w:link w:val="QuoteChar"/>
    <w:uiPriority w:val="29"/>
    <w:qFormat/>
    <w:rsid w:val="00CE2B5F"/>
    <w:pPr>
      <w:spacing w:after="280" w:line="240" w:lineRule="auto"/>
      <w:ind w:left="1440" w:right="720" w:firstLine="0"/>
    </w:pPr>
    <w:rPr>
      <w:iCs/>
      <w:color w:val="000000" w:themeColor="text1"/>
    </w:rPr>
  </w:style>
  <w:style w:type="character" w:customStyle="1" w:styleId="QuoteChar">
    <w:name w:val="Quote Char"/>
    <w:basedOn w:val="DefaultParagraphFont"/>
    <w:link w:val="Quote"/>
    <w:uiPriority w:val="29"/>
    <w:rsid w:val="00CE2B5F"/>
    <w:rPr>
      <w:rFonts w:ascii="Times New Roman" w:hAnsi="Times New Roman"/>
      <w:iCs/>
      <w:color w:val="000000" w:themeColor="text1"/>
      <w:sz w:val="24"/>
      <w:szCs w:val="20"/>
      <w:lang w:eastAsia="zh-CN"/>
    </w:rPr>
  </w:style>
  <w:style w:type="paragraph" w:customStyle="1" w:styleId="A">
    <w:name w:val="A"/>
    <w:basedOn w:val="question"/>
    <w:rsid w:val="00722755"/>
  </w:style>
  <w:style w:type="character" w:customStyle="1" w:styleId="plainChar">
    <w:name w:val="plain Char"/>
    <w:basedOn w:val="DefaultParagraphFont"/>
    <w:link w:val="plain"/>
    <w:rsid w:val="00A94D71"/>
    <w:rPr>
      <w:rFonts w:ascii="Times New Roman" w:hAnsi="Times New Roman"/>
      <w:sz w:val="24"/>
      <w:szCs w:val="20"/>
      <w:lang w:eastAsia="zh-CN"/>
    </w:rPr>
  </w:style>
  <w:style w:type="paragraph" w:customStyle="1" w:styleId="bx">
    <w:name w:val="bx"/>
    <w:basedOn w:val="OrderParagraph"/>
    <w:qFormat/>
    <w:rsid w:val="00A253E1"/>
    <w:pPr>
      <w:numPr>
        <w:numId w:val="42"/>
      </w:numPr>
      <w:spacing w:after="0" w:line="480" w:lineRule="auto"/>
    </w:pPr>
  </w:style>
  <w:style w:type="paragraph" w:customStyle="1" w:styleId="Ax">
    <w:name w:val="Ax"/>
    <w:basedOn w:val="answer"/>
    <w:qFormat/>
    <w:rsid w:val="000F4927"/>
    <w:pPr>
      <w:numPr>
        <w:numId w:val="47"/>
      </w:numPr>
      <w:ind w:left="99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qFormat="1"/>
    <w:lsdException w:name="caption" w:semiHidden="0" w:unhideWhenUsed="0" w:qFormat="1"/>
    <w:lsdException w:name="footnote reference"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2B5F"/>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A253E1"/>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A253E1"/>
    <w:rPr>
      <w:rFonts w:ascii="Times New Roman" w:hAnsi="Times New Roman" w:cs="Times New Roman"/>
      <w:b/>
      <w:sz w:val="24"/>
      <w:szCs w:val="20"/>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link w:val="plainChar"/>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0F492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link w:val="AnswerChar0"/>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styleId="NoSpacing">
    <w:name w:val="No Spacing"/>
    <w:uiPriority w:val="1"/>
    <w:qFormat/>
    <w:rsid w:val="005B48F2"/>
    <w:rPr>
      <w:rFonts w:asciiTheme="minorHAnsi" w:eastAsiaTheme="minorHAnsi" w:hAnsiTheme="minorHAnsi" w:cstheme="minorBidi"/>
    </w:rPr>
  </w:style>
  <w:style w:type="paragraph" w:customStyle="1" w:styleId="OrderParagraph">
    <w:name w:val="Order Paragraph"/>
    <w:basedOn w:val="Normal"/>
    <w:link w:val="OrderParagraphChar"/>
    <w:qFormat/>
    <w:rsid w:val="007606D2"/>
    <w:pPr>
      <w:tabs>
        <w:tab w:val="num" w:pos="360"/>
      </w:tabs>
      <w:spacing w:after="240" w:line="288" w:lineRule="auto"/>
      <w:ind w:left="360" w:hanging="720"/>
    </w:pPr>
    <w:rPr>
      <w:rFonts w:eastAsia="Calibri"/>
      <w:szCs w:val="24"/>
      <w:lang w:eastAsia="en-US"/>
    </w:rPr>
  </w:style>
  <w:style w:type="paragraph" w:customStyle="1" w:styleId="BulletedOrderIndent">
    <w:name w:val="Bulleted Order Indent"/>
    <w:basedOn w:val="Normal"/>
    <w:link w:val="BulletedOrderIndentChar"/>
    <w:qFormat/>
    <w:rsid w:val="007606D2"/>
    <w:pPr>
      <w:numPr>
        <w:numId w:val="36"/>
      </w:numPr>
      <w:spacing w:after="240" w:line="276" w:lineRule="auto"/>
    </w:pPr>
    <w:rPr>
      <w:rFonts w:eastAsia="Calibri"/>
      <w:szCs w:val="24"/>
      <w:lang w:eastAsia="en-US"/>
    </w:rPr>
  </w:style>
  <w:style w:type="character" w:customStyle="1" w:styleId="OrderParagraphChar">
    <w:name w:val="Order Paragraph Char"/>
    <w:link w:val="OrderParagraph"/>
    <w:rsid w:val="007606D2"/>
    <w:rPr>
      <w:rFonts w:ascii="Times New Roman" w:eastAsia="Calibri" w:hAnsi="Times New Roman"/>
      <w:sz w:val="24"/>
      <w:szCs w:val="24"/>
    </w:rPr>
  </w:style>
  <w:style w:type="character" w:customStyle="1" w:styleId="BulletedOrderIndentChar">
    <w:name w:val="Bulleted Order Indent Char"/>
    <w:link w:val="BulletedOrderIndent"/>
    <w:rsid w:val="007606D2"/>
    <w:rPr>
      <w:rFonts w:ascii="Times New Roman" w:eastAsia="Calibri" w:hAnsi="Times New Roman"/>
      <w:sz w:val="24"/>
      <w:szCs w:val="24"/>
    </w:rPr>
  </w:style>
  <w:style w:type="paragraph" w:customStyle="1" w:styleId="Order">
    <w:name w:val="Order"/>
    <w:basedOn w:val="Normal"/>
    <w:qFormat/>
    <w:rsid w:val="007606D2"/>
    <w:pPr>
      <w:numPr>
        <w:numId w:val="35"/>
      </w:numPr>
      <w:spacing w:after="240" w:line="288" w:lineRule="auto"/>
      <w:ind w:left="446" w:hanging="1166"/>
    </w:pPr>
    <w:rPr>
      <w:szCs w:val="24"/>
      <w:lang w:eastAsia="en-US"/>
    </w:rPr>
  </w:style>
  <w:style w:type="character" w:customStyle="1" w:styleId="AnswerChar0">
    <w:name w:val="Answer Char"/>
    <w:basedOn w:val="DefaultParagraphFont"/>
    <w:link w:val="Answer0"/>
    <w:rsid w:val="002027F5"/>
    <w:rPr>
      <w:rFonts w:ascii="Times New Roman" w:hAnsi="Times New Roman"/>
      <w:sz w:val="24"/>
      <w:szCs w:val="20"/>
      <w:lang w:eastAsia="zh-CN"/>
    </w:rPr>
  </w:style>
  <w:style w:type="paragraph" w:styleId="Quote">
    <w:name w:val="Quote"/>
    <w:basedOn w:val="Normal"/>
    <w:next w:val="Normal"/>
    <w:link w:val="QuoteChar"/>
    <w:uiPriority w:val="29"/>
    <w:qFormat/>
    <w:rsid w:val="00CE2B5F"/>
    <w:pPr>
      <w:spacing w:after="280" w:line="240" w:lineRule="auto"/>
      <w:ind w:left="1440" w:right="720" w:firstLine="0"/>
    </w:pPr>
    <w:rPr>
      <w:iCs/>
      <w:color w:val="000000" w:themeColor="text1"/>
    </w:rPr>
  </w:style>
  <w:style w:type="character" w:customStyle="1" w:styleId="QuoteChar">
    <w:name w:val="Quote Char"/>
    <w:basedOn w:val="DefaultParagraphFont"/>
    <w:link w:val="Quote"/>
    <w:uiPriority w:val="29"/>
    <w:rsid w:val="00CE2B5F"/>
    <w:rPr>
      <w:rFonts w:ascii="Times New Roman" w:hAnsi="Times New Roman"/>
      <w:iCs/>
      <w:color w:val="000000" w:themeColor="text1"/>
      <w:sz w:val="24"/>
      <w:szCs w:val="20"/>
      <w:lang w:eastAsia="zh-CN"/>
    </w:rPr>
  </w:style>
  <w:style w:type="paragraph" w:customStyle="1" w:styleId="A">
    <w:name w:val="A"/>
    <w:basedOn w:val="question"/>
    <w:rsid w:val="00722755"/>
  </w:style>
  <w:style w:type="character" w:customStyle="1" w:styleId="plainChar">
    <w:name w:val="plain Char"/>
    <w:basedOn w:val="DefaultParagraphFont"/>
    <w:link w:val="plain"/>
    <w:rsid w:val="00A94D71"/>
    <w:rPr>
      <w:rFonts w:ascii="Times New Roman" w:hAnsi="Times New Roman"/>
      <w:sz w:val="24"/>
      <w:szCs w:val="20"/>
      <w:lang w:eastAsia="zh-CN"/>
    </w:rPr>
  </w:style>
  <w:style w:type="paragraph" w:customStyle="1" w:styleId="bx">
    <w:name w:val="bx"/>
    <w:basedOn w:val="OrderParagraph"/>
    <w:qFormat/>
    <w:rsid w:val="00A253E1"/>
    <w:pPr>
      <w:numPr>
        <w:numId w:val="42"/>
      </w:numPr>
      <w:spacing w:after="0" w:line="480" w:lineRule="auto"/>
    </w:pPr>
  </w:style>
  <w:style w:type="paragraph" w:customStyle="1" w:styleId="Ax">
    <w:name w:val="Ax"/>
    <w:basedOn w:val="answer"/>
    <w:qFormat/>
    <w:rsid w:val="000F4927"/>
    <w:pPr>
      <w:numPr>
        <w:numId w:val="47"/>
      </w:numPr>
      <w:ind w:left="9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520709669">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1182623672">
      <w:bodyDiv w:val="1"/>
      <w:marLeft w:val="0"/>
      <w:marRight w:val="0"/>
      <w:marTop w:val="0"/>
      <w:marBottom w:val="0"/>
      <w:divBdr>
        <w:top w:val="none" w:sz="0" w:space="0" w:color="auto"/>
        <w:left w:val="none" w:sz="0" w:space="0" w:color="auto"/>
        <w:bottom w:val="none" w:sz="0" w:space="0" w:color="auto"/>
        <w:right w:val="none" w:sz="0" w:space="0" w:color="auto"/>
      </w:divBdr>
    </w:div>
    <w:div w:id="1276211551">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1309166902">
      <w:bodyDiv w:val="1"/>
      <w:marLeft w:val="0"/>
      <w:marRight w:val="0"/>
      <w:marTop w:val="0"/>
      <w:marBottom w:val="0"/>
      <w:divBdr>
        <w:top w:val="none" w:sz="0" w:space="0" w:color="auto"/>
        <w:left w:val="none" w:sz="0" w:space="0" w:color="auto"/>
        <w:bottom w:val="none" w:sz="0" w:space="0" w:color="auto"/>
        <w:right w:val="none" w:sz="0" w:space="0" w:color="auto"/>
      </w:divBdr>
    </w:div>
    <w:div w:id="1506481698">
      <w:bodyDiv w:val="1"/>
      <w:marLeft w:val="0"/>
      <w:marRight w:val="0"/>
      <w:marTop w:val="0"/>
      <w:marBottom w:val="0"/>
      <w:divBdr>
        <w:top w:val="none" w:sz="0" w:space="0" w:color="auto"/>
        <w:left w:val="none" w:sz="0" w:space="0" w:color="auto"/>
        <w:bottom w:val="none" w:sz="0" w:space="0" w:color="auto"/>
        <w:right w:val="none" w:sz="0" w:space="0" w:color="auto"/>
      </w:divBdr>
    </w:div>
    <w:div w:id="1680347753">
      <w:bodyDiv w:val="1"/>
      <w:marLeft w:val="0"/>
      <w:marRight w:val="0"/>
      <w:marTop w:val="0"/>
      <w:marBottom w:val="0"/>
      <w:divBdr>
        <w:top w:val="none" w:sz="0" w:space="0" w:color="auto"/>
        <w:left w:val="none" w:sz="0" w:space="0" w:color="auto"/>
        <w:bottom w:val="none" w:sz="0" w:space="0" w:color="auto"/>
        <w:right w:val="none" w:sz="0" w:space="0" w:color="auto"/>
      </w:divBdr>
    </w:div>
    <w:div w:id="2029789363">
      <w:bodyDiv w:val="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 w:id="21022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50B76-EA2D-475A-AA9D-EDE67CB635CC}"/>
</file>

<file path=customXml/itemProps2.xml><?xml version="1.0" encoding="utf-8"?>
<ds:datastoreItem xmlns:ds="http://schemas.openxmlformats.org/officeDocument/2006/customXml" ds:itemID="{93F85FA7-2B7E-42E1-ABC0-B63A65896C0E}">
  <ds:schemaRefs>
    <ds:schemaRef ds:uri="http://schemas.microsoft.com/sharepoint/v3/contenttype/forms"/>
  </ds:schemaRefs>
</ds:datastoreItem>
</file>

<file path=customXml/itemProps3.xml><?xml version="1.0" encoding="utf-8"?>
<ds:datastoreItem xmlns:ds="http://schemas.openxmlformats.org/officeDocument/2006/customXml" ds:itemID="{05D87C0B-681E-4556-85BD-D2CB73964EC4}">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FC68D9F-2180-4473-ADBD-91053A73F390}">
  <ds:schemaRefs>
    <ds:schemaRef ds:uri="http://schemas.openxmlformats.org/officeDocument/2006/bibliography"/>
  </ds:schemaRefs>
</ds:datastoreItem>
</file>

<file path=customXml/itemProps5.xml><?xml version="1.0" encoding="utf-8"?>
<ds:datastoreItem xmlns:ds="http://schemas.openxmlformats.org/officeDocument/2006/customXml" ds:itemID="{54F17CD7-DEE1-4628-BBB8-610C6196936E}"/>
</file>

<file path=docProps/app.xml><?xml version="1.0" encoding="utf-8"?>
<Properties xmlns="http://schemas.openxmlformats.org/officeDocument/2006/extended-properties" xmlns:vt="http://schemas.openxmlformats.org/officeDocument/2006/docPropsVTypes">
  <Template>Normal.dotm</Template>
  <TotalTime>134</TotalTime>
  <Pages>46</Pages>
  <Words>9463</Words>
  <Characters>51839</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61180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No Name</cp:lastModifiedBy>
  <cp:revision>10</cp:revision>
  <cp:lastPrinted>2017-08-07T21:22:00Z</cp:lastPrinted>
  <dcterms:created xsi:type="dcterms:W3CDTF">2017-08-06T23:00:00Z</dcterms:created>
  <dcterms:modified xsi:type="dcterms:W3CDTF">2017-08-08T17:06:00Z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