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75" w:rsidRDefault="00DC7B75">
      <w:pPr>
        <w:pStyle w:val="Header"/>
        <w:tabs>
          <w:tab w:val="clear" w:pos="4320"/>
          <w:tab w:val="clear" w:pos="8640"/>
          <w:tab w:val="center" w:pos="4680"/>
        </w:tabs>
        <w:spacing w:line="480" w:lineRule="auto"/>
        <w:jc w:val="center"/>
        <w:rPr>
          <w:b/>
          <w:bCs/>
          <w:sz w:val="24"/>
        </w:rPr>
      </w:pPr>
      <w:r>
        <w:rPr>
          <w:b/>
          <w:bCs/>
          <w:sz w:val="24"/>
        </w:rPr>
        <w:t>BEFORE THE</w:t>
      </w:r>
    </w:p>
    <w:p w:rsidR="00DC7B75" w:rsidRDefault="00DC7B75">
      <w:pPr>
        <w:pStyle w:val="Heading1"/>
        <w:jc w:val="center"/>
        <w:rPr>
          <w:sz w:val="24"/>
        </w:rPr>
      </w:pPr>
      <w:r>
        <w:rPr>
          <w:sz w:val="24"/>
        </w:rPr>
        <w:t>WASHINGTON UTILITIES AND TRANSPORTATION COMMISSION</w:t>
      </w:r>
    </w:p>
    <w:p w:rsidR="00DC7B75" w:rsidRPr="00FE7B82" w:rsidRDefault="00DC7B75" w:rsidP="00DC7B75"/>
    <w:p w:rsidR="00DC7B75" w:rsidRDefault="00DC7B75">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rsidR="006D3BB1" w:rsidTr="00916E71">
        <w:tc>
          <w:tcPr>
            <w:tcW w:w="4328" w:type="dxa"/>
            <w:tcBorders>
              <w:bottom w:val="single" w:sz="4" w:space="0" w:color="auto"/>
            </w:tcBorders>
          </w:tcPr>
          <w:p w:rsidR="006D3BB1" w:rsidRDefault="006D3BB1" w:rsidP="00916E71">
            <w:pPr>
              <w:tabs>
                <w:tab w:val="left" w:pos="2160"/>
              </w:tabs>
              <w:rPr>
                <w:bCs/>
              </w:rPr>
            </w:pPr>
            <w:bookmarkStart w:id="0" w:name="Parties"/>
            <w:bookmarkEnd w:id="0"/>
            <w:r>
              <w:rPr>
                <w:bCs/>
              </w:rPr>
              <w:t xml:space="preserve">THE WALLA WALLA </w:t>
            </w:r>
          </w:p>
          <w:p w:rsidR="006D3BB1" w:rsidRDefault="006D3BB1" w:rsidP="00916E71">
            <w:pPr>
              <w:tabs>
                <w:tab w:val="left" w:pos="2160"/>
              </w:tabs>
              <w:rPr>
                <w:bCs/>
              </w:rPr>
            </w:pPr>
            <w:r>
              <w:rPr>
                <w:bCs/>
              </w:rPr>
              <w:t>COUNTRY CLUB,</w:t>
            </w:r>
          </w:p>
          <w:p w:rsidR="006D3BB1" w:rsidRDefault="006D3BB1" w:rsidP="00916E71">
            <w:pPr>
              <w:tabs>
                <w:tab w:val="left" w:pos="2160"/>
              </w:tabs>
              <w:rPr>
                <w:bCs/>
              </w:rPr>
            </w:pPr>
          </w:p>
          <w:p w:rsidR="006D3BB1" w:rsidRDefault="006D3BB1" w:rsidP="00916E71">
            <w:pPr>
              <w:tabs>
                <w:tab w:val="left" w:pos="2160"/>
              </w:tabs>
              <w:rPr>
                <w:bCs/>
              </w:rPr>
            </w:pPr>
            <w:r>
              <w:rPr>
                <w:bCs/>
              </w:rPr>
              <w:tab/>
              <w:t>Complainant,</w:t>
            </w:r>
          </w:p>
          <w:p w:rsidR="006D3BB1" w:rsidRDefault="006D3BB1" w:rsidP="00916E71">
            <w:pPr>
              <w:tabs>
                <w:tab w:val="left" w:pos="2160"/>
              </w:tabs>
              <w:rPr>
                <w:bCs/>
              </w:rPr>
            </w:pPr>
          </w:p>
          <w:p w:rsidR="006D3BB1" w:rsidRDefault="006D3BB1" w:rsidP="00916E71">
            <w:pPr>
              <w:ind w:firstLine="720"/>
              <w:rPr>
                <w:bCs/>
              </w:rPr>
            </w:pPr>
            <w:r>
              <w:rPr>
                <w:bCs/>
              </w:rPr>
              <w:t>v.</w:t>
            </w:r>
          </w:p>
          <w:p w:rsidR="006D3BB1" w:rsidRDefault="006D3BB1" w:rsidP="00916E71">
            <w:pPr>
              <w:rPr>
                <w:bCs/>
              </w:rPr>
            </w:pPr>
          </w:p>
          <w:p w:rsidR="006D3BB1" w:rsidRDefault="006D3BB1" w:rsidP="00916E71">
            <w:pPr>
              <w:tabs>
                <w:tab w:val="left" w:pos="2160"/>
              </w:tabs>
              <w:rPr>
                <w:bCs/>
              </w:rPr>
            </w:pPr>
            <w:r w:rsidRPr="001A5EFC">
              <w:rPr>
                <w:bCs/>
              </w:rPr>
              <w:t>PACIFICORP D/B</w:t>
            </w:r>
            <w:r>
              <w:rPr>
                <w:bCs/>
              </w:rPr>
              <w:t>/A PACIFIC POWER &amp; LIGHT COMPANY</w:t>
            </w:r>
            <w:r w:rsidRPr="001A5EFC">
              <w:rPr>
                <w:bCs/>
              </w:rPr>
              <w:t xml:space="preserve">, </w:t>
            </w:r>
          </w:p>
          <w:p w:rsidR="006D3BB1" w:rsidRDefault="006D3BB1" w:rsidP="00916E71">
            <w:pPr>
              <w:tabs>
                <w:tab w:val="left" w:pos="2160"/>
              </w:tabs>
              <w:rPr>
                <w:bCs/>
              </w:rPr>
            </w:pPr>
          </w:p>
          <w:p w:rsidR="006D3BB1" w:rsidRDefault="006D3BB1" w:rsidP="00916E71">
            <w:pPr>
              <w:pStyle w:val="Footer"/>
              <w:widowControl/>
              <w:tabs>
                <w:tab w:val="clear" w:pos="4320"/>
                <w:tab w:val="clear" w:pos="8640"/>
                <w:tab w:val="left" w:pos="2168"/>
              </w:tabs>
            </w:pPr>
            <w:r>
              <w:rPr>
                <w:bCs/>
              </w:rPr>
              <w:tab/>
              <w:t>Respondent.</w:t>
            </w:r>
          </w:p>
        </w:tc>
        <w:tc>
          <w:tcPr>
            <w:tcW w:w="276" w:type="dxa"/>
          </w:tcPr>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p w:rsidR="006D3BB1" w:rsidRDefault="006D3BB1" w:rsidP="00916E71">
            <w:pPr>
              <w:pStyle w:val="BodyText2"/>
            </w:pPr>
            <w:r>
              <w:t>)</w:t>
            </w:r>
          </w:p>
        </w:tc>
        <w:tc>
          <w:tcPr>
            <w:tcW w:w="4044" w:type="dxa"/>
          </w:tcPr>
          <w:p w:rsidR="006D3BB1" w:rsidRDefault="006D3BB1" w:rsidP="00916E71">
            <w:pPr>
              <w:pStyle w:val="SingleSpacing"/>
              <w:spacing w:line="240" w:lineRule="auto"/>
            </w:pPr>
            <w:bookmarkStart w:id="1" w:name="CaseNumber"/>
            <w:bookmarkEnd w:id="1"/>
            <w:r>
              <w:t>DOCKET UE-143932</w:t>
            </w:r>
          </w:p>
          <w:p w:rsidR="006D3BB1" w:rsidRDefault="006D3BB1" w:rsidP="00916E71">
            <w:pPr>
              <w:pStyle w:val="BodyText2"/>
            </w:pPr>
          </w:p>
          <w:p w:rsidR="006D3BB1" w:rsidRDefault="006D3BB1" w:rsidP="00916E71">
            <w:pPr>
              <w:pStyle w:val="BodyText2"/>
            </w:pPr>
          </w:p>
          <w:p w:rsidR="006D3BB1" w:rsidRDefault="006D3BB1" w:rsidP="00916E71">
            <w:pPr>
              <w:pStyle w:val="BodyText2"/>
            </w:pPr>
            <w:r>
              <w:t>THE WALLA WALLA COUNTRY CLUB</w:t>
            </w:r>
            <w:r w:rsidR="00680175">
              <w:t>’S</w:t>
            </w:r>
            <w:r>
              <w:t xml:space="preserve"> MOTION TO </w:t>
            </w:r>
            <w:r w:rsidR="00EB2B11">
              <w:t>REJECT</w:t>
            </w:r>
            <w:r w:rsidR="00680175">
              <w:t xml:space="preserve"> PETITION;</w:t>
            </w:r>
            <w:r>
              <w:t xml:space="preserve"> ALTERNATIVE MOTION</w:t>
            </w:r>
            <w:r w:rsidR="00EB2B11">
              <w:t xml:space="preserve"> TO EXTEND FILING D</w:t>
            </w:r>
            <w:r w:rsidR="00B5250F">
              <w:t>ATE FOR ANSWER</w:t>
            </w:r>
          </w:p>
          <w:p w:rsidR="006D3BB1" w:rsidRDefault="006D3BB1" w:rsidP="00916E71">
            <w:pPr>
              <w:pStyle w:val="BodyText2"/>
            </w:pPr>
          </w:p>
          <w:p w:rsidR="006D3BB1" w:rsidRPr="00680175" w:rsidRDefault="00680175" w:rsidP="00916E71">
            <w:pPr>
              <w:pStyle w:val="BodyText2"/>
              <w:rPr>
                <w:b/>
              </w:rPr>
            </w:pPr>
            <w:r>
              <w:rPr>
                <w:b/>
              </w:rPr>
              <w:t>(Expedited Consideration Requested)</w:t>
            </w:r>
          </w:p>
        </w:tc>
      </w:tr>
    </w:tbl>
    <w:p w:rsidR="006D3BB1" w:rsidRDefault="006D3BB1" w:rsidP="005805E4">
      <w:pPr>
        <w:keepNext/>
        <w:tabs>
          <w:tab w:val="left" w:pos="720"/>
          <w:tab w:val="left" w:pos="1440"/>
        </w:tabs>
        <w:spacing w:after="240"/>
        <w:jc w:val="center"/>
        <w:rPr>
          <w:b/>
          <w:bCs/>
          <w:color w:val="auto"/>
          <w:szCs w:val="24"/>
          <w:lang w:eastAsia="x-none"/>
        </w:rPr>
      </w:pPr>
    </w:p>
    <w:p w:rsidR="005805E4" w:rsidRPr="005805E4" w:rsidRDefault="005805E4" w:rsidP="005805E4">
      <w:pPr>
        <w:keepNext/>
        <w:tabs>
          <w:tab w:val="left" w:pos="720"/>
          <w:tab w:val="left" w:pos="1440"/>
        </w:tabs>
        <w:spacing w:after="240"/>
        <w:jc w:val="center"/>
        <w:rPr>
          <w:b/>
          <w:bCs/>
          <w:color w:val="auto"/>
          <w:szCs w:val="24"/>
          <w:lang w:eastAsia="x-none"/>
        </w:rPr>
      </w:pPr>
      <w:r>
        <w:rPr>
          <w:b/>
          <w:bCs/>
          <w:color w:val="auto"/>
          <w:szCs w:val="24"/>
          <w:lang w:val="x-none" w:eastAsia="x-none"/>
        </w:rPr>
        <w:t>I</w:t>
      </w:r>
      <w:r w:rsidRPr="005805E4">
        <w:rPr>
          <w:b/>
          <w:bCs/>
          <w:color w:val="auto"/>
          <w:szCs w:val="24"/>
          <w:lang w:val="x-none" w:eastAsia="x-none"/>
        </w:rPr>
        <w:t>.</w:t>
      </w:r>
      <w:r w:rsidRPr="005805E4">
        <w:rPr>
          <w:b/>
          <w:bCs/>
          <w:color w:val="auto"/>
          <w:szCs w:val="24"/>
          <w:lang w:val="x-none" w:eastAsia="x-none"/>
        </w:rPr>
        <w:tab/>
      </w:r>
      <w:r>
        <w:rPr>
          <w:b/>
          <w:bCs/>
          <w:color w:val="auto"/>
          <w:szCs w:val="24"/>
          <w:lang w:eastAsia="x-none"/>
        </w:rPr>
        <w:t xml:space="preserve">MOTION TO </w:t>
      </w:r>
      <w:r w:rsidR="00444575">
        <w:rPr>
          <w:b/>
          <w:bCs/>
          <w:color w:val="auto"/>
          <w:szCs w:val="24"/>
          <w:lang w:eastAsia="x-none"/>
        </w:rPr>
        <w:t>REJECT</w:t>
      </w:r>
    </w:p>
    <w:p w:rsidR="00C96A79" w:rsidRPr="00C96A79" w:rsidRDefault="00DC7B75" w:rsidP="00C96A79">
      <w:pPr>
        <w:pStyle w:val="WUTCParagraph"/>
      </w:pPr>
      <w:r>
        <w:tab/>
      </w:r>
      <w:r w:rsidR="00C96A79" w:rsidRPr="00C96A79">
        <w:t>Pursuant to WAC § 480-07-375,</w:t>
      </w:r>
      <w:r w:rsidR="00F21E83" w:rsidRPr="00F21E83">
        <w:rPr>
          <w:u w:val="single"/>
          <w:vertAlign w:val="superscript"/>
          <w:lang w:val="en-US"/>
        </w:rPr>
        <w:footnoteReference w:id="2"/>
      </w:r>
      <w:r w:rsidR="00F21E83" w:rsidRPr="00F21E83">
        <w:rPr>
          <w:vertAlign w:val="superscript"/>
          <w:lang w:val="en-US"/>
        </w:rPr>
        <w:t>/</w:t>
      </w:r>
      <w:r w:rsidR="00C96A79" w:rsidRPr="00C96A79">
        <w:t xml:space="preserve"> the Walla Walla Country Club (“WWCC” or the “Club”) hereby moves the Washington Utilities and Transportation Commission (“WUTC” or the “Commission”) to reject the Petition for Administrative Review of the Initial Order (“Petition”) of Pacific Power &amp; Light Company (“Pacific Power” or the “Company”).  The Petition</w:t>
      </w:r>
      <w:r w:rsidR="00F21E83">
        <w:rPr>
          <w:lang w:val="en-US"/>
        </w:rPr>
        <w:t>:  1)</w:t>
      </w:r>
      <w:r w:rsidR="00C96A79" w:rsidRPr="00C96A79">
        <w:t xml:space="preserve"> was filed late according to Commission rules and instructions issued by the WUTC in this proceeding</w:t>
      </w:r>
      <w:r w:rsidR="00F21E83">
        <w:rPr>
          <w:lang w:val="en-US"/>
        </w:rPr>
        <w:t xml:space="preserve">; and 2) </w:t>
      </w:r>
      <w:r w:rsidR="00257021">
        <w:rPr>
          <w:lang w:val="en-US"/>
        </w:rPr>
        <w:t>does not meet the contents requirements for a petition for administrative review</w:t>
      </w:r>
      <w:r w:rsidR="00C96A79" w:rsidRPr="00C96A79">
        <w:t>.</w:t>
      </w:r>
      <w:r w:rsidR="00257021">
        <w:rPr>
          <w:lang w:val="en-US"/>
        </w:rPr>
        <w:t xml:space="preserve">  Rejection of the Petition would be appropriate because, in refusing to consider an infirm filing, the Commission has explained:   “</w:t>
      </w:r>
      <w:r w:rsidR="00257021" w:rsidRPr="00257021">
        <w:rPr>
          <w:lang w:val="en-US"/>
        </w:rPr>
        <w:t>the Commission’s procedural rules are not mere technicalities.  Those who elect to practice before the Commission are expected to be familiar with and adhere to its procedural rules.</w:t>
      </w:r>
      <w:r w:rsidR="00257021">
        <w:rPr>
          <w:lang w:val="en-US"/>
        </w:rPr>
        <w:t>”</w:t>
      </w:r>
      <w:r w:rsidR="00257021" w:rsidRPr="00257021">
        <w:rPr>
          <w:u w:val="single"/>
          <w:vertAlign w:val="superscript"/>
          <w:lang w:val="en-US"/>
        </w:rPr>
        <w:footnoteReference w:id="3"/>
      </w:r>
      <w:r w:rsidR="00257021" w:rsidRPr="00257021">
        <w:rPr>
          <w:vertAlign w:val="superscript"/>
          <w:lang w:val="en-US"/>
        </w:rPr>
        <w:t>/</w:t>
      </w:r>
      <w:r w:rsidR="00C96A79" w:rsidRPr="00C96A79">
        <w:t xml:space="preserve">  </w:t>
      </w:r>
    </w:p>
    <w:p w:rsidR="00C97960" w:rsidRPr="00BC31A9" w:rsidRDefault="00C96A79" w:rsidP="00C96A79">
      <w:pPr>
        <w:pStyle w:val="WUTCParagraph"/>
      </w:pPr>
      <w:r>
        <w:rPr>
          <w:lang w:val="en-US"/>
        </w:rPr>
        <w:lastRenderedPageBreak/>
        <w:tab/>
      </w:r>
      <w:r>
        <w:t xml:space="preserve">Order 03 </w:t>
      </w:r>
      <w:r w:rsidR="005A0573">
        <w:rPr>
          <w:lang w:val="en-US"/>
        </w:rPr>
        <w:t xml:space="preserve">in this proceeding </w:t>
      </w:r>
      <w:r>
        <w:t>provides notice to the parties that a Petition for Administrative Review must be filed within twenty (20) days of initial order entry.</w:t>
      </w:r>
      <w:r w:rsidRPr="00A36B83">
        <w:rPr>
          <w:rStyle w:val="FootnoteReference"/>
          <w:u w:val="single"/>
        </w:rPr>
        <w:footnoteReference w:id="4"/>
      </w:r>
      <w:r w:rsidR="00A36B83" w:rsidRPr="00A36B83">
        <w:rPr>
          <w:vertAlign w:val="superscript"/>
          <w:lang w:val="en-US"/>
        </w:rPr>
        <w:t>/</w:t>
      </w:r>
      <w:r>
        <w:t xml:space="preserve">  Since the initial order was filed on January </w:t>
      </w:r>
      <w:r w:rsidR="009A6220">
        <w:t xml:space="preserve">15, 2016, the deadline for any petition for administrative </w:t>
      </w:r>
      <w:r w:rsidR="009A6220">
        <w:rPr>
          <w:lang w:val="en-US"/>
        </w:rPr>
        <w:t>r</w:t>
      </w:r>
      <w:r>
        <w:t xml:space="preserve">eview was February 4, 2016.  In adjudicative proceedings, however, Commission rules state:  “Electronic submissions must be </w:t>
      </w:r>
      <w:r w:rsidRPr="00C41AAE">
        <w:rPr>
          <w:i/>
        </w:rPr>
        <w:t>completed</w:t>
      </w:r>
      <w:r>
        <w:t xml:space="preserve"> by 3:00 p.m. on the date established for filing.”</w:t>
      </w:r>
      <w:r w:rsidRPr="00A36B83">
        <w:rPr>
          <w:rStyle w:val="FootnoteReference"/>
          <w:u w:val="single"/>
        </w:rPr>
        <w:footnoteReference w:id="5"/>
      </w:r>
      <w:r w:rsidR="00A36B83" w:rsidRPr="00A36B83">
        <w:rPr>
          <w:vertAlign w:val="superscript"/>
          <w:lang w:val="en-US"/>
        </w:rPr>
        <w:t>/</w:t>
      </w:r>
      <w:r w:rsidRPr="00A36B83">
        <w:rPr>
          <w:vertAlign w:val="superscript"/>
        </w:rPr>
        <w:t xml:space="preserve"> </w:t>
      </w:r>
      <w:r>
        <w:t xml:space="preserve"> Under WUTC rules, the filing of a “pleading … with the commission in an adjudicative proceeding is not complete </w:t>
      </w:r>
      <w:r w:rsidRPr="000D5EC2">
        <w:rPr>
          <w:i/>
        </w:rPr>
        <w:t>unless</w:t>
      </w:r>
      <w:r>
        <w:t xml:space="preserve"> service has been made upon all parties.</w:t>
      </w:r>
      <w:r>
        <w:rPr>
          <w:vertAlign w:val="superscript"/>
        </w:rPr>
        <w:t>”</w:t>
      </w:r>
      <w:r w:rsidRPr="00A36B83">
        <w:rPr>
          <w:u w:val="single"/>
          <w:vertAlign w:val="superscript"/>
        </w:rPr>
        <w:footnoteReference w:id="6"/>
      </w:r>
      <w:r w:rsidR="00A36B83" w:rsidRPr="00A36B83">
        <w:rPr>
          <w:vertAlign w:val="superscript"/>
          <w:lang w:val="en-US"/>
        </w:rPr>
        <w:t>/</w:t>
      </w:r>
      <w:r>
        <w:t xml:space="preserve">  Given that the Club was not served with the Petition until 4:04 p.m., on February 4, 2016,</w:t>
      </w:r>
      <w:r w:rsidRPr="00A36B83">
        <w:rPr>
          <w:u w:val="single"/>
          <w:vertAlign w:val="superscript"/>
        </w:rPr>
        <w:footnoteReference w:id="7"/>
      </w:r>
      <w:r w:rsidR="00A36B83" w:rsidRPr="00A36B83">
        <w:rPr>
          <w:vertAlign w:val="superscript"/>
          <w:lang w:val="en-US"/>
        </w:rPr>
        <w:t>/</w:t>
      </w:r>
      <w:r>
        <w:t xml:space="preserve"> </w:t>
      </w:r>
      <w:r w:rsidRPr="000D5EC2">
        <w:t>the Petition was not timely filed and may be rejected by the Commission</w:t>
      </w:r>
      <w:r>
        <w:t>.</w:t>
      </w:r>
    </w:p>
    <w:p w:rsidR="00DC7B75" w:rsidRDefault="002E42D8" w:rsidP="00C96A79">
      <w:pPr>
        <w:pStyle w:val="WUTCParagraph"/>
      </w:pPr>
      <w:r>
        <w:rPr>
          <w:lang w:val="en-US"/>
        </w:rPr>
        <w:tab/>
        <w:t>W</w:t>
      </w:r>
      <w:r w:rsidR="00C97960">
        <w:rPr>
          <w:lang w:val="en-US"/>
        </w:rPr>
        <w:t>UTC rules also require that, when filing a petition for administrative review, a “petitioner must separately state and number every contention.”</w:t>
      </w:r>
      <w:r w:rsidR="00C97960" w:rsidRPr="00C97960">
        <w:rPr>
          <w:u w:val="single"/>
          <w:vertAlign w:val="superscript"/>
          <w:lang w:val="en-US"/>
        </w:rPr>
        <w:footnoteReference w:id="8"/>
      </w:r>
      <w:proofErr w:type="gramStart"/>
      <w:r w:rsidR="00C97960" w:rsidRPr="00C97960">
        <w:rPr>
          <w:vertAlign w:val="superscript"/>
          <w:lang w:val="en-US"/>
        </w:rPr>
        <w:t>/</w:t>
      </w:r>
      <w:r w:rsidR="00C97960">
        <w:rPr>
          <w:lang w:val="en-US"/>
        </w:rPr>
        <w:t xml:space="preserve">  </w:t>
      </w:r>
      <w:r w:rsidR="00E65E5F">
        <w:rPr>
          <w:lang w:val="en-US"/>
        </w:rPr>
        <w:t>Pacific</w:t>
      </w:r>
      <w:proofErr w:type="gramEnd"/>
      <w:r w:rsidR="00E65E5F">
        <w:rPr>
          <w:lang w:val="en-US"/>
        </w:rPr>
        <w:t xml:space="preserve"> Power simply elected not to follow this requirement in the Petition.  Rather, the Petition contains a “Points and Authorities” section which does not align with a set of bullet-pointed </w:t>
      </w:r>
      <w:r w:rsidR="00F91A3F">
        <w:rPr>
          <w:lang w:val="en-US"/>
        </w:rPr>
        <w:t>issues</w:t>
      </w:r>
      <w:r w:rsidR="00533D15">
        <w:rPr>
          <w:lang w:val="en-US"/>
        </w:rPr>
        <w:t xml:space="preserve"> in the “Introduction” section.  This is no minor technical issue; rather, the Company has improperly and significantly added to the Club’s burden in attempting to answer the Petition.  That is, the Club must now attempt to parse through and make organizational sense of a sprawling “Points and Authorities” section to specifically address the issues stated in the “Introduction.”  Whether the result of an intentional tactic or careless mistake, the Company has failed to adhere to the Commission’s procedural rules and materially prejudiced the Club in the process. </w:t>
      </w:r>
    </w:p>
    <w:p w:rsidR="00D30BC8" w:rsidRDefault="00D30BC8" w:rsidP="00C674A9">
      <w:pPr>
        <w:pStyle w:val="WUTCParagraph"/>
        <w:numPr>
          <w:ilvl w:val="0"/>
          <w:numId w:val="0"/>
        </w:numPr>
        <w:suppressLineNumbers/>
        <w:spacing w:line="240" w:lineRule="auto"/>
        <w:ind w:left="1440" w:hanging="720"/>
        <w:rPr>
          <w:b/>
          <w:bCs/>
          <w:lang w:val="en-US"/>
        </w:rPr>
      </w:pPr>
      <w:r>
        <w:rPr>
          <w:b/>
          <w:bCs/>
        </w:rPr>
        <w:lastRenderedPageBreak/>
        <w:t>I</w:t>
      </w:r>
      <w:r>
        <w:rPr>
          <w:b/>
          <w:bCs/>
          <w:lang w:val="en-US"/>
        </w:rPr>
        <w:t>I</w:t>
      </w:r>
      <w:r>
        <w:rPr>
          <w:b/>
          <w:bCs/>
        </w:rPr>
        <w:t>.</w:t>
      </w:r>
      <w:r>
        <w:rPr>
          <w:b/>
          <w:bCs/>
        </w:rPr>
        <w:tab/>
      </w:r>
      <w:r>
        <w:rPr>
          <w:b/>
          <w:bCs/>
          <w:lang w:val="en-US"/>
        </w:rPr>
        <w:t xml:space="preserve">ALTERNATIVE MOTION TO </w:t>
      </w:r>
      <w:r w:rsidR="00C96A79">
        <w:rPr>
          <w:b/>
          <w:bCs/>
          <w:lang w:val="en-US"/>
        </w:rPr>
        <w:t>EXTEND FILING DATE FOR CLUB’S</w:t>
      </w:r>
      <w:r w:rsidR="00C674A9">
        <w:rPr>
          <w:b/>
          <w:bCs/>
          <w:lang w:val="en-US"/>
        </w:rPr>
        <w:t xml:space="preserve"> </w:t>
      </w:r>
      <w:r w:rsidR="00C96A79">
        <w:rPr>
          <w:b/>
          <w:bCs/>
          <w:lang w:val="en-US"/>
        </w:rPr>
        <w:t>ANSWER</w:t>
      </w:r>
    </w:p>
    <w:p w:rsidR="00C96A79" w:rsidRPr="006B6569" w:rsidRDefault="00C96A79" w:rsidP="00C96A79">
      <w:pPr>
        <w:pStyle w:val="WUTCParagraph"/>
        <w:numPr>
          <w:ilvl w:val="0"/>
          <w:numId w:val="0"/>
        </w:numPr>
        <w:suppressLineNumbers/>
        <w:spacing w:line="240" w:lineRule="auto"/>
        <w:ind w:left="1440" w:hanging="720"/>
        <w:rPr>
          <w:b/>
          <w:bCs/>
          <w:lang w:val="en-US"/>
        </w:rPr>
      </w:pPr>
    </w:p>
    <w:p w:rsidR="00D30BC8" w:rsidRDefault="002F1D22" w:rsidP="00C96A79">
      <w:pPr>
        <w:pStyle w:val="WUTCParagraph"/>
        <w:rPr>
          <w:lang w:val="en-US"/>
        </w:rPr>
      </w:pPr>
      <w:r>
        <w:rPr>
          <w:lang w:val="en-US"/>
        </w:rPr>
        <w:tab/>
      </w:r>
      <w:r w:rsidR="00C96A79" w:rsidRPr="00C96A79">
        <w:rPr>
          <w:lang w:val="en-US"/>
        </w:rPr>
        <w:t>Alternatively, acknowledging that the WUTC may find good cause not to reject the Company’s late</w:t>
      </w:r>
      <w:r w:rsidR="000A7B3A">
        <w:rPr>
          <w:lang w:val="en-US"/>
        </w:rPr>
        <w:t xml:space="preserve"> and improperly </w:t>
      </w:r>
      <w:r w:rsidR="00C96A79" w:rsidRPr="00C96A79">
        <w:rPr>
          <w:lang w:val="en-US"/>
        </w:rPr>
        <w:t xml:space="preserve">filed Petition, WWCC moves the Commission to </w:t>
      </w:r>
      <w:r w:rsidR="00982172" w:rsidRPr="00982172">
        <w:rPr>
          <w:lang w:val="en-US"/>
        </w:rPr>
        <w:t xml:space="preserve">similarly </w:t>
      </w:r>
      <w:r w:rsidR="00C96A79" w:rsidRPr="00C96A79">
        <w:rPr>
          <w:lang w:val="en-US"/>
        </w:rPr>
        <w:t>find good cause to extend the filing date for the Club’s Answer to the Company’s Petition for Administrative Review (“Answer”)</w:t>
      </w:r>
      <w:r w:rsidR="00982172">
        <w:rPr>
          <w:lang w:val="en-US"/>
        </w:rPr>
        <w:t>,</w:t>
      </w:r>
      <w:r w:rsidR="00C96A79" w:rsidRPr="00C96A79">
        <w:rPr>
          <w:lang w:val="en-US"/>
        </w:rPr>
        <w:t xml:space="preserve"> pursuant to WAC § 480-07-375.</w:t>
      </w:r>
      <w:r w:rsidR="000A7B3A" w:rsidRPr="000A7B3A">
        <w:rPr>
          <w:u w:val="single"/>
          <w:vertAlign w:val="superscript"/>
          <w:lang w:val="en-US"/>
        </w:rPr>
        <w:footnoteReference w:id="9"/>
      </w:r>
      <w:proofErr w:type="gramStart"/>
      <w:r w:rsidR="000A7B3A" w:rsidRPr="000A7B3A">
        <w:rPr>
          <w:vertAlign w:val="superscript"/>
          <w:lang w:val="en-US"/>
        </w:rPr>
        <w:t>/</w:t>
      </w:r>
      <w:r w:rsidR="00C96A79" w:rsidRPr="00C96A79">
        <w:rPr>
          <w:lang w:val="en-US"/>
        </w:rPr>
        <w:t xml:space="preserve">  Specifically</w:t>
      </w:r>
      <w:proofErr w:type="gramEnd"/>
      <w:r w:rsidR="00C96A79" w:rsidRPr="00C96A79">
        <w:rPr>
          <w:lang w:val="en-US"/>
        </w:rPr>
        <w:t>, WWCC alternatively moves that the</w:t>
      </w:r>
      <w:r w:rsidR="00866B5D">
        <w:rPr>
          <w:lang w:val="en-US"/>
        </w:rPr>
        <w:t xml:space="preserve"> Commission allow the Club 30 days to file an Answer—</w:t>
      </w:r>
      <w:r w:rsidR="00866B5D" w:rsidRPr="00866B5D">
        <w:rPr>
          <w:u w:val="single"/>
          <w:lang w:val="en-US"/>
        </w:rPr>
        <w:t>i.e.</w:t>
      </w:r>
      <w:r w:rsidR="00866B5D">
        <w:rPr>
          <w:lang w:val="en-US"/>
        </w:rPr>
        <w:t>, establishing March 7</w:t>
      </w:r>
      <w:r w:rsidR="00C96A79" w:rsidRPr="00C96A79">
        <w:rPr>
          <w:lang w:val="en-US"/>
        </w:rPr>
        <w:t>, 2016, as the due date for the Answer.</w:t>
      </w:r>
    </w:p>
    <w:p w:rsidR="00866B5D" w:rsidRPr="00866B5D" w:rsidRDefault="00C96A79" w:rsidP="00866B5D">
      <w:pPr>
        <w:pStyle w:val="WUTCParagraph"/>
      </w:pPr>
      <w:r>
        <w:rPr>
          <w:lang w:val="en-US"/>
        </w:rPr>
        <w:tab/>
      </w:r>
      <w:r>
        <w:t xml:space="preserve">Presently, the Answer is due for filing on February 16, 2016.  If the Commission finds that good cause exists to accept the Company’s Petition, despite the completion of that filing after the 3:00 p.m. deadline on February 4, 2016, Pacific Power will have been effectively granted an extra day to file the Petition.  Accordingly, it would be fair and equitable for the Commission to </w:t>
      </w:r>
      <w:r w:rsidR="000A7B3A">
        <w:rPr>
          <w:lang w:val="en-US"/>
        </w:rPr>
        <w:t xml:space="preserve">at least </w:t>
      </w:r>
      <w:r>
        <w:t xml:space="preserve">grant the Club an extra day to file the Answer.  Further, </w:t>
      </w:r>
      <w:r w:rsidR="000A7B3A" w:rsidRPr="00866B5D">
        <w:rPr>
          <w:lang w:val="en-US"/>
        </w:rPr>
        <w:t xml:space="preserve">if the Commission elects not to reject the Petition outright, </w:t>
      </w:r>
      <w:r>
        <w:t xml:space="preserve">good cause exists for an </w:t>
      </w:r>
      <w:r w:rsidR="000A7B3A" w:rsidRPr="00866B5D">
        <w:rPr>
          <w:lang w:val="en-US"/>
        </w:rPr>
        <w:t xml:space="preserve">additional </w:t>
      </w:r>
      <w:r>
        <w:t>extension</w:t>
      </w:r>
      <w:r w:rsidR="001A0DF8" w:rsidRPr="00866B5D">
        <w:rPr>
          <w:lang w:val="en-US"/>
        </w:rPr>
        <w:t>,</w:t>
      </w:r>
      <w:r>
        <w:t xml:space="preserve"> </w:t>
      </w:r>
      <w:r w:rsidR="001A0DF8" w:rsidRPr="00866B5D">
        <w:rPr>
          <w:lang w:val="en-US"/>
        </w:rPr>
        <w:t>since</w:t>
      </w:r>
      <w:r>
        <w:t xml:space="preserve"> the Company has </w:t>
      </w:r>
      <w:r w:rsidR="000A7B3A" w:rsidRPr="00866B5D">
        <w:rPr>
          <w:lang w:val="en-US"/>
        </w:rPr>
        <w:t>failed to properly state and number every c</w:t>
      </w:r>
      <w:r w:rsidR="00866B5D" w:rsidRPr="00866B5D">
        <w:rPr>
          <w:lang w:val="en-US"/>
        </w:rPr>
        <w:t>ontention in the Petition.  A</w:t>
      </w:r>
      <w:r w:rsidR="000A7B3A" w:rsidRPr="00866B5D">
        <w:rPr>
          <w:lang w:val="en-US"/>
        </w:rPr>
        <w:t>dditional business days</w:t>
      </w:r>
      <w:r w:rsidR="001A0DF8" w:rsidRPr="00866B5D">
        <w:rPr>
          <w:lang w:val="en-US"/>
        </w:rPr>
        <w:t>,</w:t>
      </w:r>
      <w:r w:rsidR="000A7B3A" w:rsidRPr="00866B5D">
        <w:rPr>
          <w:lang w:val="en-US"/>
        </w:rPr>
        <w:t xml:space="preserve"> to allow WWCC time to “connect the dots” between the Company’s disjointed “Introduction” and “Points and Authorities” sections</w:t>
      </w:r>
      <w:r w:rsidR="001A0DF8" w:rsidRPr="00866B5D">
        <w:rPr>
          <w:lang w:val="en-US"/>
        </w:rPr>
        <w:t>,</w:t>
      </w:r>
      <w:r w:rsidR="000A7B3A" w:rsidRPr="00866B5D">
        <w:rPr>
          <w:lang w:val="en-US"/>
        </w:rPr>
        <w:t xml:space="preserve"> seems appropriate to </w:t>
      </w:r>
      <w:r w:rsidR="00B270C6" w:rsidRPr="00866B5D">
        <w:rPr>
          <w:lang w:val="en-US"/>
        </w:rPr>
        <w:t xml:space="preserve">mitigate </w:t>
      </w:r>
      <w:r w:rsidR="000A7B3A" w:rsidRPr="00866B5D">
        <w:rPr>
          <w:lang w:val="en-US"/>
        </w:rPr>
        <w:t xml:space="preserve">due process </w:t>
      </w:r>
      <w:r w:rsidR="00B270C6" w:rsidRPr="00866B5D">
        <w:rPr>
          <w:lang w:val="en-US"/>
        </w:rPr>
        <w:t>concerns</w:t>
      </w:r>
      <w:r w:rsidR="000A7B3A" w:rsidRPr="00866B5D">
        <w:rPr>
          <w:lang w:val="en-US"/>
        </w:rPr>
        <w:t xml:space="preserve">.  </w:t>
      </w:r>
    </w:p>
    <w:p w:rsidR="00C96A79" w:rsidRPr="00866B5D" w:rsidRDefault="00866B5D" w:rsidP="00866B5D">
      <w:pPr>
        <w:pStyle w:val="WUTCParagraph"/>
      </w:pPr>
      <w:r>
        <w:rPr>
          <w:lang w:val="en-US"/>
        </w:rPr>
        <w:tab/>
        <w:t>M</w:t>
      </w:r>
      <w:r w:rsidR="000A7B3A" w:rsidRPr="00866B5D">
        <w:rPr>
          <w:lang w:val="en-US"/>
        </w:rPr>
        <w:t>o</w:t>
      </w:r>
      <w:r>
        <w:rPr>
          <w:lang w:val="en-US"/>
        </w:rPr>
        <w:t>st importantly</w:t>
      </w:r>
      <w:r w:rsidR="000A7B3A" w:rsidRPr="00866B5D">
        <w:rPr>
          <w:lang w:val="en-US"/>
        </w:rPr>
        <w:t>,</w:t>
      </w:r>
      <w:r>
        <w:rPr>
          <w:lang w:val="en-US"/>
        </w:rPr>
        <w:t xml:space="preserve"> however,</w:t>
      </w:r>
      <w:r w:rsidR="000A7B3A" w:rsidRPr="00866B5D">
        <w:rPr>
          <w:lang w:val="en-US"/>
        </w:rPr>
        <w:t xml:space="preserve"> the Company </w:t>
      </w:r>
      <w:r w:rsidR="00C96A79">
        <w:t xml:space="preserve">filed a 29-page Petition—which in considerable part is devoted to </w:t>
      </w:r>
      <w:r w:rsidRPr="00866B5D">
        <w:rPr>
          <w:lang w:val="en-US"/>
        </w:rPr>
        <w:t xml:space="preserve">untimely taking/condemnation arguments </w:t>
      </w:r>
      <w:r w:rsidR="00C96A79">
        <w:t xml:space="preserve">that received little </w:t>
      </w:r>
      <w:r>
        <w:rPr>
          <w:lang w:val="en-US"/>
        </w:rPr>
        <w:t xml:space="preserve">or no </w:t>
      </w:r>
      <w:r w:rsidR="00C96A79">
        <w:lastRenderedPageBreak/>
        <w:t>treatment during the briefing stage.</w:t>
      </w:r>
      <w:r w:rsidRPr="00866B5D">
        <w:rPr>
          <w:u w:val="single"/>
          <w:vertAlign w:val="superscript"/>
          <w:lang w:val="en-US"/>
        </w:rPr>
        <w:footnoteReference w:id="10"/>
      </w:r>
      <w:proofErr w:type="gramStart"/>
      <w:r w:rsidRPr="00866B5D">
        <w:rPr>
          <w:vertAlign w:val="superscript"/>
          <w:lang w:val="en-US"/>
        </w:rPr>
        <w:t>/</w:t>
      </w:r>
      <w:r w:rsidR="00C96A79">
        <w:t xml:space="preserve">  </w:t>
      </w:r>
      <w:r w:rsidRPr="00866B5D">
        <w:rPr>
          <w:lang w:val="en-US"/>
        </w:rPr>
        <w:t>The</w:t>
      </w:r>
      <w:proofErr w:type="gramEnd"/>
      <w:r w:rsidRPr="00866B5D">
        <w:rPr>
          <w:lang w:val="en-US"/>
        </w:rPr>
        <w:t xml:space="preserve"> claim is that the WUTC has engaged in a regulatory taking. </w:t>
      </w:r>
      <w:r>
        <w:rPr>
          <w:lang w:val="en-US"/>
        </w:rPr>
        <w:t xml:space="preserve"> </w:t>
      </w:r>
      <w:r w:rsidRPr="00866B5D">
        <w:rPr>
          <w:lang w:val="en-US"/>
        </w:rPr>
        <w:t>Condemnation implicates core Constitutional principles (due process and property rights), and will require additional research into this new claim of eminent domain.  Not only is there an extensive body of law discussing the elements and measure of damages for such a claim, but research should include whether the Commission has jurisdiction to consider and decide Constitutional questions</w:t>
      </w:r>
      <w:r>
        <w:rPr>
          <w:lang w:val="en-US"/>
        </w:rPr>
        <w:t xml:space="preserve">.  </w:t>
      </w:r>
    </w:p>
    <w:p w:rsidR="00866B5D" w:rsidRPr="00BD5705" w:rsidRDefault="00866B5D" w:rsidP="00866B5D">
      <w:pPr>
        <w:pStyle w:val="WUTCParagraph"/>
      </w:pPr>
      <w:r>
        <w:rPr>
          <w:lang w:val="en-US"/>
        </w:rPr>
        <w:tab/>
        <w:t>Pacific Power’</w:t>
      </w:r>
      <w:r w:rsidRPr="00866B5D">
        <w:rPr>
          <w:lang w:val="en-US"/>
        </w:rPr>
        <w:t xml:space="preserve">s condemnation argument </w:t>
      </w:r>
      <w:r>
        <w:rPr>
          <w:lang w:val="en-US"/>
        </w:rPr>
        <w:t>doe</w:t>
      </w:r>
      <w:r w:rsidRPr="00866B5D">
        <w:rPr>
          <w:lang w:val="en-US"/>
        </w:rPr>
        <w:t xml:space="preserve">s not </w:t>
      </w:r>
      <w:r>
        <w:rPr>
          <w:lang w:val="en-US"/>
        </w:rPr>
        <w:t xml:space="preserve">appear to be </w:t>
      </w:r>
      <w:r w:rsidRPr="00866B5D">
        <w:rPr>
          <w:lang w:val="en-US"/>
        </w:rPr>
        <w:t>the proper subject of an administrative review.  If Pacific Power wants to pursue these condemnation arguments, the proper procedure</w:t>
      </w:r>
      <w:r w:rsidR="00BD5705">
        <w:rPr>
          <w:lang w:val="en-US"/>
        </w:rPr>
        <w:t xml:space="preserve"> would seem to be a course</w:t>
      </w:r>
      <w:r w:rsidRPr="00866B5D">
        <w:rPr>
          <w:lang w:val="en-US"/>
        </w:rPr>
        <w:t xml:space="preserve"> allow</w:t>
      </w:r>
      <w:r w:rsidR="00BD5705">
        <w:rPr>
          <w:lang w:val="en-US"/>
        </w:rPr>
        <w:t>ing</w:t>
      </w:r>
      <w:r w:rsidRPr="00866B5D">
        <w:rPr>
          <w:lang w:val="en-US"/>
        </w:rPr>
        <w:t xml:space="preserve"> these administrative proceedings to work themselves to conclusion and to then initiate an action in Court</w:t>
      </w:r>
      <w:r w:rsidR="00BD5705">
        <w:rPr>
          <w:lang w:val="en-US"/>
        </w:rPr>
        <w:t>.  WWCC</w:t>
      </w:r>
      <w:r w:rsidRPr="00866B5D">
        <w:rPr>
          <w:lang w:val="en-US"/>
        </w:rPr>
        <w:t xml:space="preserve"> believe such Constitutional questions </w:t>
      </w:r>
      <w:r w:rsidR="00BD5705">
        <w:rPr>
          <w:lang w:val="en-US"/>
        </w:rPr>
        <w:t>should be</w:t>
      </w:r>
      <w:r w:rsidRPr="00866B5D">
        <w:rPr>
          <w:lang w:val="en-US"/>
        </w:rPr>
        <w:t xml:space="preserve"> reserved solely for the Courts.</w:t>
      </w:r>
    </w:p>
    <w:p w:rsidR="00BD5705" w:rsidRDefault="00BD5705" w:rsidP="00866B5D">
      <w:pPr>
        <w:pStyle w:val="WUTCParagraph"/>
      </w:pPr>
      <w:r>
        <w:rPr>
          <w:lang w:val="en-US"/>
        </w:rPr>
        <w:tab/>
        <w:t xml:space="preserve">Nevertheless, </w:t>
      </w:r>
      <w:r w:rsidRPr="00BD5705">
        <w:rPr>
          <w:lang w:val="en-US"/>
        </w:rPr>
        <w:t>if the Commission would like the Club to addr</w:t>
      </w:r>
      <w:r>
        <w:rPr>
          <w:lang w:val="en-US"/>
        </w:rPr>
        <w:t>ess the merits of Pacific Power’</w:t>
      </w:r>
      <w:r w:rsidRPr="00BD5705">
        <w:rPr>
          <w:lang w:val="en-US"/>
        </w:rPr>
        <w:t>s condemnation arguments, additional time is requested.  The Club believes it cannot pr</w:t>
      </w:r>
      <w:r>
        <w:rPr>
          <w:lang w:val="en-US"/>
        </w:rPr>
        <w:t>operly respond to Pacific Power’</w:t>
      </w:r>
      <w:r w:rsidRPr="00BD5705">
        <w:rPr>
          <w:lang w:val="en-US"/>
        </w:rPr>
        <w:t xml:space="preserve">s brand new arguments within the 10 days provided for by </w:t>
      </w:r>
      <w:r>
        <w:rPr>
          <w:lang w:val="en-US"/>
        </w:rPr>
        <w:t>WUTC</w:t>
      </w:r>
      <w:r w:rsidR="00DE3309">
        <w:rPr>
          <w:lang w:val="en-US"/>
        </w:rPr>
        <w:t xml:space="preserve"> r</w:t>
      </w:r>
      <w:bookmarkStart w:id="2" w:name="_GoBack"/>
      <w:bookmarkEnd w:id="2"/>
      <w:r w:rsidRPr="00BD5705">
        <w:rPr>
          <w:lang w:val="en-US"/>
        </w:rPr>
        <w:t xml:space="preserve">ules.   Accordingly, the Club respectfully asks the Commission to provide 30 days to submit </w:t>
      </w:r>
      <w:r>
        <w:rPr>
          <w:lang w:val="en-US"/>
        </w:rPr>
        <w:t>an Answer</w:t>
      </w:r>
      <w:r w:rsidRPr="00BD5705">
        <w:rPr>
          <w:lang w:val="en-US"/>
        </w:rPr>
        <w:t>.</w:t>
      </w:r>
      <w:r w:rsidRPr="00BD5705">
        <w:rPr>
          <w:color w:val="000000"/>
          <w:szCs w:val="20"/>
          <w:lang w:val="en-US" w:eastAsia="en-US"/>
        </w:rPr>
        <w:t xml:space="preserve"> </w:t>
      </w:r>
      <w:r>
        <w:rPr>
          <w:color w:val="000000"/>
          <w:szCs w:val="20"/>
          <w:lang w:val="en-US" w:eastAsia="en-US"/>
        </w:rPr>
        <w:t xml:space="preserve"> </w:t>
      </w:r>
      <w:r w:rsidRPr="00BD5705">
        <w:rPr>
          <w:lang w:val="en-US"/>
        </w:rPr>
        <w:t>The public interest will be served and the Commission benefitted in its considerations by allowing the Club additional time in order to better respond to the significant new shift in Pacific Power’s case strategy.</w:t>
      </w:r>
    </w:p>
    <w:p w:rsidR="009938B1" w:rsidRDefault="00C96A79" w:rsidP="00C96A79">
      <w:pPr>
        <w:pStyle w:val="WUTCParagraph"/>
        <w:numPr>
          <w:ilvl w:val="0"/>
          <w:numId w:val="0"/>
        </w:numPr>
        <w:suppressLineNumbers/>
        <w:spacing w:line="240" w:lineRule="auto"/>
        <w:ind w:left="1440" w:hanging="720"/>
        <w:jc w:val="center"/>
        <w:rPr>
          <w:b/>
          <w:bCs/>
          <w:lang w:val="en-US"/>
        </w:rPr>
      </w:pPr>
      <w:r>
        <w:rPr>
          <w:b/>
          <w:bCs/>
        </w:rPr>
        <w:t>I</w:t>
      </w:r>
      <w:r>
        <w:rPr>
          <w:b/>
          <w:bCs/>
          <w:lang w:val="en-US"/>
        </w:rPr>
        <w:t>II</w:t>
      </w:r>
      <w:r>
        <w:rPr>
          <w:b/>
          <w:bCs/>
        </w:rPr>
        <w:t>.</w:t>
      </w:r>
      <w:r>
        <w:rPr>
          <w:b/>
          <w:bCs/>
        </w:rPr>
        <w:tab/>
      </w:r>
      <w:r>
        <w:rPr>
          <w:b/>
          <w:bCs/>
          <w:lang w:val="en-US"/>
        </w:rPr>
        <w:t>REQUEST FOR EXPEDITED CONSIDERATION</w:t>
      </w:r>
    </w:p>
    <w:p w:rsidR="00C96A79" w:rsidRPr="00C96A79" w:rsidRDefault="00C96A79" w:rsidP="00C96A79">
      <w:pPr>
        <w:pStyle w:val="WUTCParagraph"/>
        <w:numPr>
          <w:ilvl w:val="0"/>
          <w:numId w:val="0"/>
        </w:numPr>
        <w:suppressLineNumbers/>
        <w:spacing w:line="240" w:lineRule="auto"/>
        <w:ind w:left="1440" w:hanging="720"/>
        <w:jc w:val="center"/>
        <w:rPr>
          <w:b/>
          <w:bCs/>
          <w:lang w:val="en-US"/>
        </w:rPr>
      </w:pPr>
    </w:p>
    <w:p w:rsidR="004B042D" w:rsidRPr="00444575" w:rsidRDefault="002F1D22" w:rsidP="00C96A79">
      <w:pPr>
        <w:pStyle w:val="WUTCParagraph"/>
        <w:rPr>
          <w:lang w:val="en-US"/>
        </w:rPr>
      </w:pPr>
      <w:r>
        <w:rPr>
          <w:lang w:val="en-US"/>
        </w:rPr>
        <w:tab/>
      </w:r>
      <w:r w:rsidR="00C96A79" w:rsidRPr="00C96A79">
        <w:rPr>
          <w:lang w:val="en-US"/>
        </w:rPr>
        <w:t xml:space="preserve">WWCC respectfully requests expedited consideration of both these motions in light of the short time frame until the Answer may be due.  Very recently, one day after receiving </w:t>
      </w:r>
      <w:r w:rsidR="00C96A79" w:rsidRPr="00C96A79">
        <w:rPr>
          <w:lang w:val="en-US"/>
        </w:rPr>
        <w:lastRenderedPageBreak/>
        <w:t>a WUTC Staff motion, the Commission issued a Notice instructing parties to respond within two business days to that Staff motion, in circumstances in which expedited process was not requested and in which no certain time constraints were identified.</w:t>
      </w:r>
      <w:r w:rsidR="00462E3B" w:rsidRPr="00462E3B">
        <w:rPr>
          <w:u w:val="single"/>
          <w:vertAlign w:val="superscript"/>
          <w:lang w:val="en-US"/>
        </w:rPr>
        <w:footnoteReference w:id="11"/>
      </w:r>
      <w:r w:rsidR="00462E3B" w:rsidRPr="00462E3B">
        <w:rPr>
          <w:vertAlign w:val="superscript"/>
          <w:lang w:val="en-US"/>
        </w:rPr>
        <w:t>/</w:t>
      </w:r>
      <w:r w:rsidR="00C96A79" w:rsidRPr="00C96A79">
        <w:rPr>
          <w:lang w:val="en-US"/>
        </w:rPr>
        <w:t xml:space="preserve">   The Club submits that a two business day response opportunity for the Company would be adequate to respond to these motions, were the Commission to similarly issue a prompt Notice.</w:t>
      </w:r>
    </w:p>
    <w:p w:rsidR="00DC7B75" w:rsidRDefault="002F1D22" w:rsidP="00C96A79">
      <w:pPr>
        <w:pStyle w:val="WUTCParagraph"/>
        <w:numPr>
          <w:ilvl w:val="0"/>
          <w:numId w:val="0"/>
        </w:numPr>
      </w:pPr>
      <w:r>
        <w:rPr>
          <w:lang w:val="en-US"/>
        </w:rPr>
        <w:tab/>
      </w:r>
      <w:r w:rsidR="00DC7B75">
        <w:t xml:space="preserve">Dated this </w:t>
      </w:r>
      <w:r w:rsidR="00F21E83">
        <w:rPr>
          <w:lang w:val="en-US"/>
        </w:rPr>
        <w:t>8th</w:t>
      </w:r>
      <w:r w:rsidR="003D4919">
        <w:t xml:space="preserve"> </w:t>
      </w:r>
      <w:r w:rsidR="00DC7B75">
        <w:t xml:space="preserve">day of </w:t>
      </w:r>
      <w:r w:rsidR="00444575">
        <w:t>February, 2016</w:t>
      </w:r>
      <w:r w:rsidR="00DC7B75">
        <w:t>.</w:t>
      </w:r>
    </w:p>
    <w:p w:rsidR="00DC7B75" w:rsidRDefault="00DC7B75" w:rsidP="00DC7B75">
      <w:pPr>
        <w:keepNext/>
        <w:spacing w:line="480" w:lineRule="auto"/>
        <w:ind w:left="2880" w:firstLine="720"/>
      </w:pPr>
      <w:r>
        <w:t>Respectfully submitted,</w:t>
      </w:r>
    </w:p>
    <w:p w:rsidR="00DC7B75" w:rsidRDefault="00DC7B75" w:rsidP="00DC7B75">
      <w:pPr>
        <w:keepNext/>
        <w:spacing w:line="480" w:lineRule="auto"/>
        <w:ind w:firstLine="3600"/>
      </w:pPr>
      <w:r>
        <w:t>DAVISON VAN CLEVE, P.C.</w:t>
      </w:r>
    </w:p>
    <w:p w:rsidR="00DC7B75" w:rsidRPr="00282C0D" w:rsidRDefault="00282C0D" w:rsidP="00282C0D">
      <w:pPr>
        <w:keepNext/>
        <w:ind w:firstLine="3600"/>
        <w:rPr>
          <w:u w:val="single"/>
        </w:rPr>
      </w:pPr>
      <w:r w:rsidRPr="00282C0D">
        <w:rPr>
          <w:i/>
          <w:u w:val="single"/>
        </w:rPr>
        <w:t>/s/ Jesse E. Cowell</w:t>
      </w:r>
    </w:p>
    <w:p w:rsidR="00DC7B75" w:rsidRDefault="003D4919">
      <w:pPr>
        <w:keepNext/>
        <w:ind w:firstLine="3600"/>
      </w:pPr>
      <w:r>
        <w:t>Jesse E. Cowell</w:t>
      </w:r>
    </w:p>
    <w:p w:rsidR="00DC7B75" w:rsidRDefault="00DC7B75">
      <w:pPr>
        <w:keepNext/>
        <w:ind w:firstLine="3600"/>
      </w:pPr>
      <w:r>
        <w:t>333 S.W. Taylor, Suite 400</w:t>
      </w:r>
    </w:p>
    <w:p w:rsidR="00DC7B75" w:rsidRDefault="00DC7B75">
      <w:pPr>
        <w:keepNext/>
        <w:ind w:firstLine="3600"/>
      </w:pPr>
      <w:r>
        <w:t>Portland, Oregon 97204</w:t>
      </w:r>
    </w:p>
    <w:p w:rsidR="00DC7B75" w:rsidRDefault="00DC7B75">
      <w:pPr>
        <w:keepNext/>
        <w:ind w:firstLine="3600"/>
      </w:pPr>
      <w:r>
        <w:t>(503) 241-7242 telephone</w:t>
      </w:r>
    </w:p>
    <w:p w:rsidR="00DC7B75" w:rsidRDefault="00DC7B75">
      <w:pPr>
        <w:keepNext/>
        <w:ind w:firstLine="3600"/>
      </w:pPr>
      <w:r>
        <w:t>(503) 241-8160 facsimile</w:t>
      </w:r>
    </w:p>
    <w:p w:rsidR="00DC7B75" w:rsidRDefault="00DE3309" w:rsidP="00DC7B75">
      <w:pPr>
        <w:ind w:left="2912" w:firstLine="688"/>
      </w:pPr>
      <w:hyperlink r:id="rId9" w:history="1">
        <w:r w:rsidR="006307AC" w:rsidRPr="00730341">
          <w:rPr>
            <w:rStyle w:val="Hyperlink"/>
          </w:rPr>
          <w:t>jec@dvclaw.com</w:t>
        </w:r>
      </w:hyperlink>
    </w:p>
    <w:p w:rsidR="006307AC" w:rsidRDefault="006307AC" w:rsidP="00DC7B75">
      <w:pPr>
        <w:ind w:left="2912" w:firstLine="688"/>
      </w:pPr>
    </w:p>
    <w:p w:rsidR="006307AC" w:rsidRPr="006307AC" w:rsidRDefault="006307AC" w:rsidP="006307AC">
      <w:pPr>
        <w:ind w:left="2912" w:firstLine="688"/>
      </w:pPr>
      <w:r w:rsidRPr="006307AC">
        <w:t>Stanley M. Schwartz, WSBA #15518</w:t>
      </w:r>
    </w:p>
    <w:p w:rsidR="006307AC" w:rsidRPr="006307AC" w:rsidRDefault="006307AC" w:rsidP="006307AC">
      <w:pPr>
        <w:ind w:left="2912" w:firstLine="688"/>
      </w:pPr>
      <w:r w:rsidRPr="006307AC">
        <w:t>Matthew W. Daley, WSBA #36711</w:t>
      </w:r>
    </w:p>
    <w:p w:rsidR="006307AC" w:rsidRPr="006307AC" w:rsidRDefault="006307AC" w:rsidP="006307AC">
      <w:pPr>
        <w:ind w:left="2912" w:firstLine="688"/>
      </w:pPr>
      <w:r w:rsidRPr="006307AC">
        <w:t>Witherspoon Kelley</w:t>
      </w:r>
    </w:p>
    <w:p w:rsidR="006307AC" w:rsidRPr="006307AC" w:rsidRDefault="006307AC" w:rsidP="006307AC">
      <w:pPr>
        <w:ind w:left="2912" w:firstLine="688"/>
      </w:pPr>
      <w:r w:rsidRPr="006307AC">
        <w:t>422 Riverside Avenue, Suite 1100</w:t>
      </w:r>
    </w:p>
    <w:p w:rsidR="006307AC" w:rsidRPr="006307AC" w:rsidRDefault="006307AC" w:rsidP="006307AC">
      <w:pPr>
        <w:ind w:left="2912" w:firstLine="688"/>
      </w:pPr>
      <w:r w:rsidRPr="006307AC">
        <w:t>Spokane, WA 99201-0300</w:t>
      </w:r>
    </w:p>
    <w:p w:rsidR="006307AC" w:rsidRPr="006307AC" w:rsidRDefault="006307AC" w:rsidP="006307AC">
      <w:pPr>
        <w:ind w:left="2912" w:firstLine="688"/>
      </w:pPr>
      <w:r w:rsidRPr="006307AC">
        <w:t>Telephone:  509.624.5265</w:t>
      </w:r>
    </w:p>
    <w:p w:rsidR="006307AC" w:rsidRPr="006307AC" w:rsidRDefault="006307AC" w:rsidP="006307AC">
      <w:pPr>
        <w:ind w:left="2912" w:firstLine="688"/>
      </w:pPr>
      <w:r w:rsidRPr="006307AC">
        <w:t xml:space="preserve">Email:  sms@witherspoonkelley.com </w:t>
      </w:r>
    </w:p>
    <w:p w:rsidR="006307AC" w:rsidRPr="006307AC" w:rsidRDefault="006307AC" w:rsidP="006307AC">
      <w:pPr>
        <w:ind w:left="2912" w:firstLine="688"/>
      </w:pPr>
      <w:r w:rsidRPr="006307AC">
        <w:t xml:space="preserve">Email: </w:t>
      </w:r>
      <w:r w:rsidRPr="006307AC">
        <w:tab/>
        <w:t xml:space="preserve">mwd@witherspoonkelley.com </w:t>
      </w:r>
    </w:p>
    <w:p w:rsidR="006307AC" w:rsidRPr="006307AC" w:rsidRDefault="006307AC" w:rsidP="006307AC">
      <w:pPr>
        <w:ind w:left="2912" w:firstLine="688"/>
        <w:rPr>
          <w:u w:val="single"/>
        </w:rPr>
      </w:pPr>
    </w:p>
    <w:p w:rsidR="006307AC" w:rsidRPr="006307AC" w:rsidRDefault="006307AC" w:rsidP="006307AC">
      <w:pPr>
        <w:ind w:left="2912" w:firstLine="688"/>
      </w:pPr>
      <w:r w:rsidRPr="006307AC">
        <w:t>David S. Grossman, WSBA #18428‎</w:t>
      </w:r>
    </w:p>
    <w:p w:rsidR="006307AC" w:rsidRPr="006307AC" w:rsidRDefault="006307AC" w:rsidP="006307AC">
      <w:pPr>
        <w:ind w:left="2912" w:firstLine="688"/>
      </w:pPr>
      <w:r w:rsidRPr="006307AC">
        <w:t>Minnick-</w:t>
      </w:r>
      <w:proofErr w:type="spellStart"/>
      <w:r w:rsidRPr="006307AC">
        <w:t>Hayner</w:t>
      </w:r>
      <w:proofErr w:type="spellEnd"/>
    </w:p>
    <w:p w:rsidR="006307AC" w:rsidRPr="006307AC" w:rsidRDefault="006307AC" w:rsidP="006307AC">
      <w:pPr>
        <w:ind w:left="2912" w:firstLine="688"/>
      </w:pPr>
      <w:r w:rsidRPr="006307AC">
        <w:t>P.O. Box 1757‎</w:t>
      </w:r>
    </w:p>
    <w:p w:rsidR="006307AC" w:rsidRPr="006307AC" w:rsidRDefault="006307AC" w:rsidP="006307AC">
      <w:pPr>
        <w:ind w:left="2912" w:firstLine="688"/>
      </w:pPr>
      <w:r w:rsidRPr="006307AC">
        <w:rPr>
          <w:rFonts w:hint="cs"/>
        </w:rPr>
        <w:t>‎</w:t>
      </w:r>
      <w:r w:rsidRPr="006307AC">
        <w:t>249 West Alder‎</w:t>
      </w:r>
    </w:p>
    <w:p w:rsidR="006307AC" w:rsidRPr="006307AC" w:rsidRDefault="006307AC" w:rsidP="006307AC">
      <w:pPr>
        <w:ind w:left="2912" w:firstLine="688"/>
      </w:pPr>
      <w:r w:rsidRPr="006307AC">
        <w:t>Walla Walla, WA 99362‎</w:t>
      </w:r>
    </w:p>
    <w:p w:rsidR="006307AC" w:rsidRPr="006307AC" w:rsidRDefault="006307AC" w:rsidP="006307AC">
      <w:pPr>
        <w:ind w:left="2912" w:firstLine="688"/>
      </w:pPr>
      <w:r w:rsidRPr="006307AC">
        <w:t>Telephone: 509.527.3500‎</w:t>
      </w:r>
    </w:p>
    <w:p w:rsidR="006307AC" w:rsidRPr="006307AC" w:rsidRDefault="006307AC" w:rsidP="006307AC">
      <w:pPr>
        <w:ind w:left="2912" w:firstLine="688"/>
      </w:pPr>
      <w:r w:rsidRPr="006307AC">
        <w:t xml:space="preserve">Email:  grossman@minnickhayner.com </w:t>
      </w:r>
    </w:p>
    <w:p w:rsidR="006307AC" w:rsidRPr="006307AC" w:rsidRDefault="006307AC" w:rsidP="006307AC">
      <w:pPr>
        <w:ind w:left="2912" w:firstLine="688"/>
      </w:pPr>
    </w:p>
    <w:p w:rsidR="006307AC" w:rsidRDefault="006307AC" w:rsidP="006307AC">
      <w:pPr>
        <w:ind w:left="2912" w:firstLine="688"/>
      </w:pPr>
      <w:r w:rsidRPr="006307AC">
        <w:t>Attorneys for the Walla Walla Country Club</w:t>
      </w:r>
    </w:p>
    <w:p w:rsidR="00DC7B75" w:rsidRDefault="00DC7B75" w:rsidP="002F1D22">
      <w:pPr>
        <w:ind w:left="3600"/>
      </w:pPr>
    </w:p>
    <w:sectPr w:rsidR="00DC7B75" w:rsidSect="00C42330">
      <w:headerReference w:type="default" r:id="rId10"/>
      <w:footerReference w:type="default" r:id="rId11"/>
      <w:headerReference w:type="first" r:id="rId12"/>
      <w:footerReference w:type="first" r:id="rId13"/>
      <w:pgSz w:w="12240" w:h="15840" w:code="1"/>
      <w:pgMar w:top="1440" w:right="1440" w:bottom="720"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40" w:rsidRDefault="00107B40">
      <w:r>
        <w:separator/>
      </w:r>
    </w:p>
  </w:endnote>
  <w:endnote w:type="continuationSeparator" w:id="0">
    <w:p w:rsidR="00107B40" w:rsidRDefault="0010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C6" w:rsidRPr="00444575" w:rsidRDefault="004E5FC6">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DE3309">
      <w:rPr>
        <w:rStyle w:val="PageNumber"/>
        <w:noProof/>
      </w:rPr>
      <w:t>6</w:t>
    </w:r>
    <w:r>
      <w:rPr>
        <w:rStyle w:val="PageNumber"/>
      </w:rPr>
      <w:fldChar w:fldCharType="end"/>
    </w:r>
    <w:r>
      <w:rPr>
        <w:rStyle w:val="PageNumber"/>
      </w:rPr>
      <w:t xml:space="preserve"> – </w:t>
    </w:r>
    <w:r>
      <w:rPr>
        <w:rStyle w:val="PageNumber"/>
        <w:lang w:val="en-US"/>
      </w:rPr>
      <w:t xml:space="preserve">MOTIONS </w:t>
    </w:r>
    <w:r>
      <w:rPr>
        <w:rStyle w:val="PageNumber"/>
      </w:rPr>
      <w:t xml:space="preserve">OF </w:t>
    </w:r>
    <w:r w:rsidR="00444575">
      <w:rPr>
        <w:lang w:val="en-US"/>
      </w:rPr>
      <w:t>THE WALLA WALLA COUNTRY CLUB</w:t>
    </w:r>
  </w:p>
  <w:p w:rsidR="004E5FC6" w:rsidRDefault="004E5FC6">
    <w:pPr>
      <w:pStyle w:val="Footer"/>
      <w:rPr>
        <w:rStyle w:val="PageNumber"/>
      </w:rPr>
    </w:pPr>
  </w:p>
  <w:p w:rsidR="004E5FC6" w:rsidRPr="003D4919" w:rsidRDefault="004E5FC6">
    <w:pPr>
      <w:jc w:val="center"/>
      <w:rPr>
        <w:sz w:val="16"/>
      </w:rPr>
    </w:pPr>
    <w:r w:rsidRPr="003D4919">
      <w:rPr>
        <w:sz w:val="16"/>
      </w:rPr>
      <w:t>DAVISON VAN CLEVE, P.C.</w:t>
    </w:r>
  </w:p>
  <w:p w:rsidR="004E5FC6" w:rsidRPr="003D4919" w:rsidRDefault="004E5FC6">
    <w:pPr>
      <w:tabs>
        <w:tab w:val="center" w:pos="4680"/>
      </w:tabs>
      <w:jc w:val="center"/>
      <w:rPr>
        <w:sz w:val="16"/>
      </w:rPr>
    </w:pPr>
    <w:r w:rsidRPr="003D4919">
      <w:rPr>
        <w:sz w:val="16"/>
      </w:rPr>
      <w:t>333 SW Taylor, Suite 400</w:t>
    </w:r>
  </w:p>
  <w:p w:rsidR="004E5FC6" w:rsidRPr="003D4919" w:rsidRDefault="004E5FC6">
    <w:pPr>
      <w:tabs>
        <w:tab w:val="center" w:pos="4680"/>
      </w:tabs>
      <w:jc w:val="center"/>
      <w:rPr>
        <w:sz w:val="16"/>
      </w:rPr>
    </w:pPr>
    <w:r w:rsidRPr="003D4919">
      <w:rPr>
        <w:sz w:val="16"/>
      </w:rPr>
      <w:t>Portland, OR 97204</w:t>
    </w:r>
  </w:p>
  <w:p w:rsidR="004E5FC6" w:rsidRPr="003D4919" w:rsidRDefault="004E5FC6">
    <w:pPr>
      <w:pStyle w:val="Footer"/>
      <w:jc w:val="center"/>
    </w:pPr>
    <w:r w:rsidRPr="003D4919">
      <w:rPr>
        <w:sz w:val="16"/>
      </w:rPr>
      <w:t>Telephone (503) 241-7242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C6" w:rsidRPr="00EB2B11" w:rsidRDefault="004E5FC6" w:rsidP="00DC7B75">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DE3309">
      <w:rPr>
        <w:rStyle w:val="PageNumber"/>
        <w:noProof/>
      </w:rPr>
      <w:t>1</w:t>
    </w:r>
    <w:r>
      <w:rPr>
        <w:rStyle w:val="PageNumber"/>
      </w:rPr>
      <w:fldChar w:fldCharType="end"/>
    </w:r>
    <w:r>
      <w:rPr>
        <w:rStyle w:val="PageNumber"/>
      </w:rPr>
      <w:t xml:space="preserve"> – </w:t>
    </w:r>
    <w:r>
      <w:rPr>
        <w:rStyle w:val="PageNumber"/>
        <w:lang w:val="en-US"/>
      </w:rPr>
      <w:t>MOTIONS</w:t>
    </w:r>
    <w:r>
      <w:rPr>
        <w:rStyle w:val="PageNumber"/>
      </w:rPr>
      <w:t xml:space="preserve"> </w:t>
    </w:r>
    <w:r>
      <w:rPr>
        <w:rStyle w:val="PageNumber"/>
        <w:lang w:val="en-US"/>
      </w:rPr>
      <w:t xml:space="preserve">OF </w:t>
    </w:r>
    <w:r w:rsidR="00EB2B11">
      <w:rPr>
        <w:lang w:val="en-US"/>
      </w:rPr>
      <w:t>THE WALLA WALLA COUNTRY CLUB</w:t>
    </w:r>
  </w:p>
  <w:p w:rsidR="004E5FC6" w:rsidRPr="00B67B21" w:rsidRDefault="004E5FC6" w:rsidP="00DC7B75">
    <w:pPr>
      <w:jc w:val="center"/>
      <w:rPr>
        <w:sz w:val="16"/>
      </w:rPr>
    </w:pPr>
  </w:p>
  <w:p w:rsidR="004E5FC6" w:rsidRPr="00B67B21" w:rsidRDefault="004E5FC6" w:rsidP="00DC7B75">
    <w:pPr>
      <w:jc w:val="center"/>
      <w:rPr>
        <w:sz w:val="16"/>
      </w:rPr>
    </w:pPr>
    <w:r w:rsidRPr="00B67B21">
      <w:rPr>
        <w:sz w:val="16"/>
      </w:rPr>
      <w:t>DAVISON VAN CLEVE, P.C.</w:t>
    </w:r>
  </w:p>
  <w:p w:rsidR="004E5FC6" w:rsidRPr="00B67B21" w:rsidRDefault="004E5FC6" w:rsidP="00DC7B75">
    <w:pPr>
      <w:tabs>
        <w:tab w:val="center" w:pos="4680"/>
      </w:tabs>
      <w:jc w:val="center"/>
      <w:rPr>
        <w:sz w:val="16"/>
      </w:rPr>
    </w:pPr>
    <w:r w:rsidRPr="00B67B21">
      <w:rPr>
        <w:sz w:val="16"/>
      </w:rPr>
      <w:t>333 SW Taylor, Suite 400</w:t>
    </w:r>
  </w:p>
  <w:p w:rsidR="004E5FC6" w:rsidRPr="00B67B21" w:rsidRDefault="004E5FC6" w:rsidP="00DC7B75">
    <w:pPr>
      <w:tabs>
        <w:tab w:val="center" w:pos="4680"/>
      </w:tabs>
      <w:jc w:val="center"/>
      <w:rPr>
        <w:sz w:val="16"/>
      </w:rPr>
    </w:pPr>
    <w:r w:rsidRPr="00B67B21">
      <w:rPr>
        <w:sz w:val="16"/>
      </w:rPr>
      <w:t>Portland, OR 97204</w:t>
    </w:r>
  </w:p>
  <w:p w:rsidR="004E5FC6" w:rsidRPr="00B67B21" w:rsidRDefault="004E5FC6" w:rsidP="00DC7B75">
    <w:pPr>
      <w:pStyle w:val="Footer"/>
      <w:jc w:val="center"/>
    </w:pPr>
    <w:r w:rsidRPr="00B67B21">
      <w:rPr>
        <w:sz w:val="16"/>
      </w:rPr>
      <w:t>Telephone (503) 241-7242</w:t>
    </w:r>
  </w:p>
  <w:p w:rsidR="004E5FC6" w:rsidRDefault="004E5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40" w:rsidRDefault="00107B40">
      <w:r>
        <w:separator/>
      </w:r>
    </w:p>
  </w:footnote>
  <w:footnote w:type="continuationSeparator" w:id="0">
    <w:p w:rsidR="00107B40" w:rsidRPr="001A6AC7" w:rsidRDefault="00107B40" w:rsidP="001A6AC7">
      <w:r>
        <w:separator/>
      </w:r>
    </w:p>
  </w:footnote>
  <w:footnote w:type="continuationNotice" w:id="1">
    <w:p w:rsidR="00107B40" w:rsidRDefault="00107B40"/>
  </w:footnote>
  <w:footnote w:id="2">
    <w:p w:rsidR="00F21E83" w:rsidRPr="00C41AAE" w:rsidRDefault="00F21E83" w:rsidP="00BC31A9">
      <w:pPr>
        <w:pStyle w:val="FootnoteText"/>
        <w:ind w:left="720" w:hanging="720"/>
      </w:pPr>
      <w:r w:rsidRPr="00A36B83">
        <w:rPr>
          <w:rStyle w:val="FootnoteReference"/>
          <w:u w:val="single"/>
        </w:rPr>
        <w:footnoteRef/>
      </w:r>
      <w:r w:rsidRPr="00A36B83">
        <w:rPr>
          <w:vertAlign w:val="superscript"/>
          <w:lang w:val="en-US"/>
        </w:rPr>
        <w:t>/</w:t>
      </w:r>
      <w:r w:rsidRPr="00A36B83">
        <w:rPr>
          <w:vertAlign w:val="superscript"/>
        </w:rPr>
        <w:t xml:space="preserve"> </w:t>
      </w:r>
      <w:r>
        <w:tab/>
      </w:r>
      <w:r>
        <w:rPr>
          <w:lang w:val="en-US"/>
        </w:rPr>
        <w:t>“</w:t>
      </w:r>
      <w:r w:rsidRPr="00F21E83">
        <w:rPr>
          <w:lang w:val="en-US"/>
        </w:rPr>
        <w:t>The Commission’s procedural rules allow for motions practice and do not limit it to specifically identified forms of motion.</w:t>
      </w:r>
      <w:r>
        <w:rPr>
          <w:lang w:val="en-US"/>
        </w:rPr>
        <w:t xml:space="preserve">”  </w:t>
      </w:r>
      <w:r w:rsidRPr="00BC31A9">
        <w:rPr>
          <w:u w:val="single"/>
          <w:lang w:val="en-US"/>
        </w:rPr>
        <w:t>WUTC v. PacifiCorp</w:t>
      </w:r>
      <w:r>
        <w:rPr>
          <w:lang w:val="en-US"/>
        </w:rPr>
        <w:t xml:space="preserve">, Docket UE-130043, Order 04 at ¶ 9 (July 29, 2013). </w:t>
      </w:r>
    </w:p>
  </w:footnote>
  <w:footnote w:id="3">
    <w:p w:rsidR="00257021" w:rsidRPr="00C41AAE" w:rsidRDefault="00257021" w:rsidP="00257021">
      <w:pPr>
        <w:pStyle w:val="FootnoteText"/>
        <w:ind w:left="720" w:hanging="720"/>
      </w:pPr>
      <w:r w:rsidRPr="00A36B83">
        <w:rPr>
          <w:rStyle w:val="FootnoteReference"/>
          <w:u w:val="single"/>
        </w:rPr>
        <w:footnoteRef/>
      </w:r>
      <w:r w:rsidRPr="00A36B83">
        <w:rPr>
          <w:vertAlign w:val="superscript"/>
          <w:lang w:val="en-US"/>
        </w:rPr>
        <w:t>/</w:t>
      </w:r>
      <w:r w:rsidRPr="00A36B83">
        <w:rPr>
          <w:vertAlign w:val="superscript"/>
        </w:rPr>
        <w:t xml:space="preserve"> </w:t>
      </w:r>
      <w:r>
        <w:tab/>
      </w:r>
      <w:r w:rsidRPr="00BA62B0">
        <w:rPr>
          <w:u w:val="single"/>
          <w:lang w:val="en-US"/>
        </w:rPr>
        <w:t>C</w:t>
      </w:r>
      <w:r>
        <w:rPr>
          <w:u w:val="single"/>
          <w:lang w:val="en-US"/>
        </w:rPr>
        <w:t xml:space="preserve">ity of </w:t>
      </w:r>
      <w:proofErr w:type="spellStart"/>
      <w:r>
        <w:rPr>
          <w:u w:val="single"/>
          <w:lang w:val="en-US"/>
        </w:rPr>
        <w:t>Kenniwick</w:t>
      </w:r>
      <w:proofErr w:type="spellEnd"/>
      <w:r w:rsidRPr="00BA62B0">
        <w:rPr>
          <w:u w:val="single"/>
          <w:lang w:val="en-US"/>
        </w:rPr>
        <w:t xml:space="preserve"> v. P</w:t>
      </w:r>
      <w:r>
        <w:rPr>
          <w:u w:val="single"/>
          <w:lang w:val="en-US"/>
        </w:rPr>
        <w:t xml:space="preserve">ort of Benton </w:t>
      </w:r>
      <w:r w:rsidRPr="00BC31A9">
        <w:rPr>
          <w:i/>
          <w:u w:val="single"/>
          <w:lang w:val="en-US"/>
        </w:rPr>
        <w:t>et al.</w:t>
      </w:r>
      <w:r>
        <w:rPr>
          <w:lang w:val="en-US"/>
        </w:rPr>
        <w:t xml:space="preserve">, Docket TR-130499, Order 03 at ¶ 7, n.1 (May 29, 2014). </w:t>
      </w:r>
    </w:p>
  </w:footnote>
  <w:footnote w:id="4">
    <w:p w:rsidR="00C96A79" w:rsidRPr="00C41AAE" w:rsidRDefault="00C96A79" w:rsidP="00C96A79">
      <w:pPr>
        <w:pStyle w:val="FootnoteText"/>
      </w:pPr>
      <w:r w:rsidRPr="00A36B83">
        <w:rPr>
          <w:rStyle w:val="FootnoteReference"/>
          <w:u w:val="single"/>
        </w:rPr>
        <w:footnoteRef/>
      </w:r>
      <w:r w:rsidR="00A36B83" w:rsidRPr="00A36B83">
        <w:rPr>
          <w:vertAlign w:val="superscript"/>
          <w:lang w:val="en-US"/>
        </w:rPr>
        <w:t>/</w:t>
      </w:r>
      <w:r w:rsidRPr="00A36B83">
        <w:rPr>
          <w:vertAlign w:val="superscript"/>
        </w:rPr>
        <w:t xml:space="preserve"> </w:t>
      </w:r>
      <w:r>
        <w:tab/>
        <w:t>Order 03 at 9 (Jan. 15, 2016).</w:t>
      </w:r>
    </w:p>
  </w:footnote>
  <w:footnote w:id="5">
    <w:p w:rsidR="00C96A79" w:rsidRPr="00C41AAE" w:rsidRDefault="00C96A79" w:rsidP="00C96A79">
      <w:pPr>
        <w:pStyle w:val="FootnoteText"/>
        <w:ind w:left="720" w:hanging="720"/>
      </w:pPr>
      <w:r w:rsidRPr="00A36B83">
        <w:rPr>
          <w:rStyle w:val="FootnoteReference"/>
          <w:u w:val="single"/>
        </w:rPr>
        <w:footnoteRef/>
      </w:r>
      <w:r w:rsidR="00A36B83" w:rsidRPr="00A36B83">
        <w:rPr>
          <w:vertAlign w:val="superscript"/>
          <w:lang w:val="en-US"/>
        </w:rPr>
        <w:t>/</w:t>
      </w:r>
      <w:r>
        <w:t xml:space="preserve"> </w:t>
      </w:r>
      <w:r>
        <w:tab/>
        <w:t>WAC § 480-07-145(6</w:t>
      </w:r>
      <w:proofErr w:type="gramStart"/>
      <w:r>
        <w:t>)(</w:t>
      </w:r>
      <w:proofErr w:type="gramEnd"/>
      <w:r>
        <w:t>a)(</w:t>
      </w:r>
      <w:proofErr w:type="spellStart"/>
      <w:r>
        <w:t>i</w:t>
      </w:r>
      <w:proofErr w:type="spellEnd"/>
      <w:r>
        <w:t xml:space="preserve">) (emphasis added).  Indeed, </w:t>
      </w:r>
      <w:r w:rsidRPr="002B02AB">
        <w:t xml:space="preserve">Order 01 cites to </w:t>
      </w:r>
      <w:r>
        <w:t>rule section -145(6)</w:t>
      </w:r>
      <w:r w:rsidRPr="002B02AB">
        <w:t xml:space="preserve"> in directing parties as to the electronic submission of</w:t>
      </w:r>
      <w:r>
        <w:t xml:space="preserve"> documents in this proceeding.  Order 01 at ¶ 15 (Jan. 21, 2015).</w:t>
      </w:r>
    </w:p>
  </w:footnote>
  <w:footnote w:id="6">
    <w:p w:rsidR="00C96A79" w:rsidRPr="00C41AAE" w:rsidRDefault="00C96A79" w:rsidP="00C96A79">
      <w:pPr>
        <w:pStyle w:val="FootnoteText"/>
        <w:ind w:left="720" w:hanging="720"/>
      </w:pPr>
      <w:r w:rsidRPr="00A36B83">
        <w:rPr>
          <w:rStyle w:val="FootnoteReference"/>
          <w:u w:val="single"/>
        </w:rPr>
        <w:footnoteRef/>
      </w:r>
      <w:r w:rsidR="00A36B83" w:rsidRPr="00A36B83">
        <w:rPr>
          <w:vertAlign w:val="superscript"/>
          <w:lang w:val="en-US"/>
        </w:rPr>
        <w:t>/</w:t>
      </w:r>
      <w:r w:rsidRPr="00A36B83">
        <w:rPr>
          <w:vertAlign w:val="superscript"/>
        </w:rPr>
        <w:t xml:space="preserve"> </w:t>
      </w:r>
      <w:r>
        <w:tab/>
        <w:t>WAC § 480-07-145(5) (emphasis added).  “Pleadings” include petitions according to WAC § 480-07-370(1).  All parties in this proceeding have consented to service electronically.  Order 01 at ¶ 5.</w:t>
      </w:r>
    </w:p>
  </w:footnote>
  <w:footnote w:id="7">
    <w:p w:rsidR="00C96A79" w:rsidRDefault="00C96A79" w:rsidP="00C96A79">
      <w:pPr>
        <w:pStyle w:val="FootnoteText"/>
      </w:pPr>
      <w:r w:rsidRPr="00A36B83">
        <w:rPr>
          <w:rStyle w:val="FootnoteReference"/>
          <w:u w:val="single"/>
        </w:rPr>
        <w:footnoteRef/>
      </w:r>
      <w:r w:rsidR="00A36B83" w:rsidRPr="00A36B83">
        <w:rPr>
          <w:vertAlign w:val="superscript"/>
          <w:lang w:val="en-US"/>
        </w:rPr>
        <w:t>/</w:t>
      </w:r>
      <w:r w:rsidRPr="00A36B83">
        <w:rPr>
          <w:vertAlign w:val="superscript"/>
        </w:rPr>
        <w:t xml:space="preserve"> </w:t>
      </w:r>
      <w:r>
        <w:tab/>
      </w:r>
      <w:r w:rsidRPr="0071237C">
        <w:rPr>
          <w:u w:val="single"/>
        </w:rPr>
        <w:t>See</w:t>
      </w:r>
      <w:r w:rsidRPr="0071237C">
        <w:t xml:space="preserve"> Attachment A to this motion.</w:t>
      </w:r>
    </w:p>
  </w:footnote>
  <w:footnote w:id="8">
    <w:p w:rsidR="00C97960" w:rsidRPr="005A0573" w:rsidRDefault="00C97960" w:rsidP="00C97960">
      <w:pPr>
        <w:pStyle w:val="FootnoteText"/>
        <w:ind w:left="720" w:hanging="720"/>
        <w:rPr>
          <w:lang w:val="en-US"/>
        </w:rPr>
      </w:pPr>
      <w:r w:rsidRPr="00A36B83">
        <w:rPr>
          <w:rStyle w:val="FootnoteReference"/>
          <w:u w:val="single"/>
        </w:rPr>
        <w:footnoteRef/>
      </w:r>
      <w:r w:rsidRPr="00A36B83">
        <w:rPr>
          <w:vertAlign w:val="superscript"/>
          <w:lang w:val="en-US"/>
        </w:rPr>
        <w:t>/</w:t>
      </w:r>
      <w:r>
        <w:t xml:space="preserve"> </w:t>
      </w:r>
      <w:r>
        <w:tab/>
        <w:t>WAC § 480-07</w:t>
      </w:r>
      <w:r w:rsidR="00667EE6">
        <w:rPr>
          <w:lang w:val="en-US"/>
        </w:rPr>
        <w:t>-825(3)</w:t>
      </w:r>
      <w:r w:rsidR="005A0573">
        <w:rPr>
          <w:lang w:val="en-US"/>
        </w:rPr>
        <w:t>.</w:t>
      </w:r>
    </w:p>
  </w:footnote>
  <w:footnote w:id="9">
    <w:p w:rsidR="000A7B3A" w:rsidRPr="00BC31A9" w:rsidRDefault="000A7B3A" w:rsidP="000A7B3A">
      <w:pPr>
        <w:pStyle w:val="FootnoteText"/>
        <w:ind w:left="720" w:hanging="720"/>
        <w:rPr>
          <w:lang w:val="en-US"/>
        </w:rPr>
      </w:pPr>
      <w:r w:rsidRPr="00A36B83">
        <w:rPr>
          <w:rStyle w:val="FootnoteReference"/>
          <w:u w:val="single"/>
        </w:rPr>
        <w:footnoteRef/>
      </w:r>
      <w:r w:rsidRPr="00A36B83">
        <w:rPr>
          <w:vertAlign w:val="superscript"/>
          <w:lang w:val="en-US"/>
        </w:rPr>
        <w:t>/</w:t>
      </w:r>
      <w:r>
        <w:t xml:space="preserve"> </w:t>
      </w:r>
      <w:r>
        <w:tab/>
      </w:r>
      <w:r>
        <w:rPr>
          <w:lang w:val="en-US"/>
        </w:rPr>
        <w:t>To conserve resource</w:t>
      </w:r>
      <w:r w:rsidR="00462E3B">
        <w:rPr>
          <w:lang w:val="en-US"/>
        </w:rPr>
        <w:t>s</w:t>
      </w:r>
      <w:r>
        <w:rPr>
          <w:lang w:val="en-US"/>
        </w:rPr>
        <w:t xml:space="preserve"> and the Commission’s time in </w:t>
      </w:r>
      <w:r w:rsidR="0082176B">
        <w:rPr>
          <w:lang w:val="en-US"/>
        </w:rPr>
        <w:t xml:space="preserve">reviewing </w:t>
      </w:r>
      <w:r>
        <w:rPr>
          <w:lang w:val="en-US"/>
        </w:rPr>
        <w:t>this alternative motion, WWCC refers the Commission to arguments and rationale previously articulated in the initial motion, where appropriate.</w:t>
      </w:r>
    </w:p>
  </w:footnote>
  <w:footnote w:id="10">
    <w:p w:rsidR="00866B5D" w:rsidRPr="00BC31A9" w:rsidRDefault="00866B5D" w:rsidP="00866B5D">
      <w:pPr>
        <w:pStyle w:val="FootnoteText"/>
        <w:ind w:left="720" w:hanging="720"/>
        <w:rPr>
          <w:lang w:val="en-US"/>
        </w:rPr>
      </w:pPr>
      <w:r w:rsidRPr="00A36B83">
        <w:rPr>
          <w:rStyle w:val="FootnoteReference"/>
          <w:u w:val="single"/>
        </w:rPr>
        <w:footnoteRef/>
      </w:r>
      <w:r w:rsidRPr="00A36B83">
        <w:rPr>
          <w:vertAlign w:val="superscript"/>
          <w:lang w:val="en-US"/>
        </w:rPr>
        <w:t>/</w:t>
      </w:r>
      <w:r>
        <w:t xml:space="preserve"> </w:t>
      </w:r>
      <w:r>
        <w:tab/>
      </w:r>
      <w:r w:rsidR="00DE3309">
        <w:rPr>
          <w:lang w:val="en-US"/>
        </w:rPr>
        <w:t>T</w:t>
      </w:r>
      <w:r w:rsidRPr="00866B5D">
        <w:rPr>
          <w:lang w:val="en-US"/>
        </w:rPr>
        <w:t>he actual text of the Company’s two briefs in this proceeding number only 23 pages, combined.</w:t>
      </w:r>
    </w:p>
  </w:footnote>
  <w:footnote w:id="11">
    <w:p w:rsidR="00462E3B" w:rsidRPr="00BA62B0" w:rsidRDefault="00462E3B" w:rsidP="00462E3B">
      <w:pPr>
        <w:pStyle w:val="FootnoteText"/>
        <w:ind w:left="720" w:hanging="720"/>
        <w:rPr>
          <w:lang w:val="en-US"/>
        </w:rPr>
      </w:pPr>
      <w:r w:rsidRPr="00A36B83">
        <w:rPr>
          <w:rStyle w:val="FootnoteReference"/>
          <w:u w:val="single"/>
        </w:rPr>
        <w:footnoteRef/>
      </w:r>
      <w:r w:rsidRPr="00A36B83">
        <w:rPr>
          <w:vertAlign w:val="superscript"/>
          <w:lang w:val="en-US"/>
        </w:rPr>
        <w:t>/</w:t>
      </w:r>
      <w:r>
        <w:t xml:space="preserve"> </w:t>
      </w:r>
      <w:r>
        <w:tab/>
      </w:r>
      <w:r w:rsidRPr="00462E3B">
        <w:rPr>
          <w:u w:val="single"/>
          <w:lang w:val="en-US"/>
        </w:rPr>
        <w:t>See</w:t>
      </w:r>
      <w:r w:rsidRPr="00462E3B">
        <w:rPr>
          <w:lang w:val="en-US"/>
        </w:rPr>
        <w:t xml:space="preserve"> </w:t>
      </w:r>
      <w:r w:rsidRPr="00462E3B">
        <w:rPr>
          <w:u w:val="single"/>
          <w:lang w:val="en-US"/>
        </w:rPr>
        <w:t>WUTC v. Avista Corporation</w:t>
      </w:r>
      <w:r w:rsidRPr="00462E3B">
        <w:rPr>
          <w:lang w:val="en-US"/>
        </w:rPr>
        <w:t>, Dockets UE-150204 and UG-150205 (</w:t>
      </w:r>
      <w:r w:rsidRPr="00462E3B">
        <w:rPr>
          <w:i/>
          <w:lang w:val="en-US"/>
        </w:rPr>
        <w:t>consolidated</w:t>
      </w:r>
      <w:r w:rsidRPr="00462E3B">
        <w:rPr>
          <w:lang w:val="en-US"/>
        </w:rPr>
        <w:t>), Notice of Opportunity to Respond to Staff’s Motion to Reopen the Record for the limited Purpose of Receiving into Evidence Instruction on Use and Application of Staff’s Attrition Model (February 5,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4E" w:rsidRDefault="00150D4E" w:rsidP="00150D4E">
    <w:pPr>
      <w:pStyle w:val="Header"/>
      <w:tabs>
        <w:tab w:val="clear" w:pos="4320"/>
        <w:tab w:val="clear" w:pos="8640"/>
        <w:tab w:val="left" w:pos="40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4E" w:rsidRPr="00150D4E" w:rsidRDefault="00150D4E" w:rsidP="00150D4E">
    <w:pPr>
      <w:pStyle w:val="Header"/>
      <w:jc w:val="center"/>
      <w:rPr>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037247"/>
    <w:multiLevelType w:val="hybridMultilevel"/>
    <w:tmpl w:val="03AC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A13FC"/>
    <w:multiLevelType w:val="hybridMultilevel"/>
    <w:tmpl w:val="1DC6B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8931D5B"/>
    <w:multiLevelType w:val="hybridMultilevel"/>
    <w:tmpl w:val="75C8E4A0"/>
    <w:lvl w:ilvl="0" w:tplc="7A36E4A2">
      <w:start w:val="1"/>
      <w:numFmt w:val="decimal"/>
      <w:pStyle w:val="WUTCParagraph"/>
      <w:lvlText w:val="%1"/>
      <w:lvlJc w:val="left"/>
      <w:pPr>
        <w:tabs>
          <w:tab w:val="num" w:pos="0"/>
        </w:tabs>
        <w:ind w:left="0" w:hanging="720"/>
      </w:pPr>
      <w:rPr>
        <w:rFonts w:ascii="Palatino Linotype" w:hAnsi="Palatino Linotype"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4"/>
  </w:num>
  <w:num w:numId="4">
    <w:abstractNumId w:val="12"/>
  </w:num>
  <w:num w:numId="5">
    <w:abstractNumId w:val="4"/>
  </w:num>
  <w:num w:numId="6">
    <w:abstractNumId w:val="0"/>
  </w:num>
  <w:num w:numId="7">
    <w:abstractNumId w:val="14"/>
  </w:num>
  <w:num w:numId="8">
    <w:abstractNumId w:val="13"/>
  </w:num>
  <w:num w:numId="9">
    <w:abstractNumId w:val="2"/>
  </w:num>
  <w:num w:numId="10">
    <w:abstractNumId w:val="5"/>
  </w:num>
  <w:num w:numId="11">
    <w:abstractNumId w:val="1"/>
  </w:num>
  <w:num w:numId="12">
    <w:abstractNumId w:val="11"/>
  </w:num>
  <w:num w:numId="13">
    <w:abstractNumId w:val="10"/>
  </w:num>
  <w:num w:numId="14">
    <w:abstractNumId w:val="3"/>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355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FA"/>
    <w:rsid w:val="0000190F"/>
    <w:rsid w:val="00005F65"/>
    <w:rsid w:val="00011D1B"/>
    <w:rsid w:val="000204AE"/>
    <w:rsid w:val="00020FB2"/>
    <w:rsid w:val="0002655B"/>
    <w:rsid w:val="00033023"/>
    <w:rsid w:val="00041633"/>
    <w:rsid w:val="00044148"/>
    <w:rsid w:val="00044FC3"/>
    <w:rsid w:val="0004552C"/>
    <w:rsid w:val="00045980"/>
    <w:rsid w:val="00047EB5"/>
    <w:rsid w:val="0005698B"/>
    <w:rsid w:val="00057B08"/>
    <w:rsid w:val="00062363"/>
    <w:rsid w:val="00063393"/>
    <w:rsid w:val="000635B7"/>
    <w:rsid w:val="000702FE"/>
    <w:rsid w:val="0007547E"/>
    <w:rsid w:val="000755EB"/>
    <w:rsid w:val="00077850"/>
    <w:rsid w:val="000815E0"/>
    <w:rsid w:val="00083409"/>
    <w:rsid w:val="00086CC1"/>
    <w:rsid w:val="000962AB"/>
    <w:rsid w:val="000A2FAF"/>
    <w:rsid w:val="000A7B3A"/>
    <w:rsid w:val="000B4E7E"/>
    <w:rsid w:val="000B5BE8"/>
    <w:rsid w:val="000B73FE"/>
    <w:rsid w:val="000C5734"/>
    <w:rsid w:val="000C5A07"/>
    <w:rsid w:val="000D70BD"/>
    <w:rsid w:val="000E0836"/>
    <w:rsid w:val="000E169C"/>
    <w:rsid w:val="00101E1B"/>
    <w:rsid w:val="0010511B"/>
    <w:rsid w:val="00107B40"/>
    <w:rsid w:val="00121003"/>
    <w:rsid w:val="00126007"/>
    <w:rsid w:val="001311CA"/>
    <w:rsid w:val="001316D2"/>
    <w:rsid w:val="0013254D"/>
    <w:rsid w:val="00134560"/>
    <w:rsid w:val="001406A9"/>
    <w:rsid w:val="00143195"/>
    <w:rsid w:val="00150D4E"/>
    <w:rsid w:val="001511C1"/>
    <w:rsid w:val="00152B1C"/>
    <w:rsid w:val="001548B2"/>
    <w:rsid w:val="00154A62"/>
    <w:rsid w:val="0015594E"/>
    <w:rsid w:val="001605BE"/>
    <w:rsid w:val="00161B7A"/>
    <w:rsid w:val="001760A1"/>
    <w:rsid w:val="00177A76"/>
    <w:rsid w:val="00180C18"/>
    <w:rsid w:val="00184099"/>
    <w:rsid w:val="00185E17"/>
    <w:rsid w:val="001876A2"/>
    <w:rsid w:val="001953FB"/>
    <w:rsid w:val="00195E40"/>
    <w:rsid w:val="001A0DF8"/>
    <w:rsid w:val="001A2538"/>
    <w:rsid w:val="001A6AC7"/>
    <w:rsid w:val="001B2DDE"/>
    <w:rsid w:val="001B6DBD"/>
    <w:rsid w:val="001C4537"/>
    <w:rsid w:val="001C5E77"/>
    <w:rsid w:val="001C7628"/>
    <w:rsid w:val="001D6FB8"/>
    <w:rsid w:val="001D7CD1"/>
    <w:rsid w:val="001F3B27"/>
    <w:rsid w:val="00201EBD"/>
    <w:rsid w:val="002044F8"/>
    <w:rsid w:val="00205640"/>
    <w:rsid w:val="00205674"/>
    <w:rsid w:val="002075BF"/>
    <w:rsid w:val="00214551"/>
    <w:rsid w:val="00215785"/>
    <w:rsid w:val="00216C15"/>
    <w:rsid w:val="002420EC"/>
    <w:rsid w:val="00257021"/>
    <w:rsid w:val="00263B12"/>
    <w:rsid w:val="00265EB2"/>
    <w:rsid w:val="002679BD"/>
    <w:rsid w:val="002732AF"/>
    <w:rsid w:val="00282C0D"/>
    <w:rsid w:val="00286AC1"/>
    <w:rsid w:val="00287573"/>
    <w:rsid w:val="00296A44"/>
    <w:rsid w:val="002A4DD6"/>
    <w:rsid w:val="002B50A5"/>
    <w:rsid w:val="002C0E95"/>
    <w:rsid w:val="002C59CC"/>
    <w:rsid w:val="002D533F"/>
    <w:rsid w:val="002D582E"/>
    <w:rsid w:val="002D725A"/>
    <w:rsid w:val="002E1CC0"/>
    <w:rsid w:val="002E20DB"/>
    <w:rsid w:val="002E42D8"/>
    <w:rsid w:val="002F1D22"/>
    <w:rsid w:val="002F6AE2"/>
    <w:rsid w:val="0030269D"/>
    <w:rsid w:val="003318BF"/>
    <w:rsid w:val="00332469"/>
    <w:rsid w:val="00332D36"/>
    <w:rsid w:val="00335A79"/>
    <w:rsid w:val="00335EF3"/>
    <w:rsid w:val="0034023A"/>
    <w:rsid w:val="003446DB"/>
    <w:rsid w:val="00347E2A"/>
    <w:rsid w:val="0036444E"/>
    <w:rsid w:val="00367DEC"/>
    <w:rsid w:val="00374E34"/>
    <w:rsid w:val="003817EE"/>
    <w:rsid w:val="00382E6E"/>
    <w:rsid w:val="00391D69"/>
    <w:rsid w:val="003A6E84"/>
    <w:rsid w:val="003A74C4"/>
    <w:rsid w:val="003B29D6"/>
    <w:rsid w:val="003B347E"/>
    <w:rsid w:val="003C42AE"/>
    <w:rsid w:val="003C4EA0"/>
    <w:rsid w:val="003C5886"/>
    <w:rsid w:val="003C749B"/>
    <w:rsid w:val="003D3D17"/>
    <w:rsid w:val="003D4919"/>
    <w:rsid w:val="003D68CD"/>
    <w:rsid w:val="003D7F6F"/>
    <w:rsid w:val="003E26A5"/>
    <w:rsid w:val="003E72FA"/>
    <w:rsid w:val="003E7BFF"/>
    <w:rsid w:val="003F6692"/>
    <w:rsid w:val="0040130A"/>
    <w:rsid w:val="0041629E"/>
    <w:rsid w:val="00424D4A"/>
    <w:rsid w:val="00433E31"/>
    <w:rsid w:val="00436BE7"/>
    <w:rsid w:val="00444575"/>
    <w:rsid w:val="004561E0"/>
    <w:rsid w:val="00457B06"/>
    <w:rsid w:val="00460CA9"/>
    <w:rsid w:val="00462E3B"/>
    <w:rsid w:val="004643EA"/>
    <w:rsid w:val="004738E8"/>
    <w:rsid w:val="00481540"/>
    <w:rsid w:val="00484B42"/>
    <w:rsid w:val="0048533B"/>
    <w:rsid w:val="00490ED3"/>
    <w:rsid w:val="00492D9A"/>
    <w:rsid w:val="00494C0E"/>
    <w:rsid w:val="004A58DA"/>
    <w:rsid w:val="004B042D"/>
    <w:rsid w:val="004B2558"/>
    <w:rsid w:val="004B5A86"/>
    <w:rsid w:val="004B6D52"/>
    <w:rsid w:val="004D4858"/>
    <w:rsid w:val="004E34AE"/>
    <w:rsid w:val="004E4DC2"/>
    <w:rsid w:val="004E5FC6"/>
    <w:rsid w:val="004F0B6C"/>
    <w:rsid w:val="004F1FE6"/>
    <w:rsid w:val="004F3E28"/>
    <w:rsid w:val="00504073"/>
    <w:rsid w:val="0050556C"/>
    <w:rsid w:val="005176D6"/>
    <w:rsid w:val="00523CC1"/>
    <w:rsid w:val="00526E3C"/>
    <w:rsid w:val="00532D63"/>
    <w:rsid w:val="00533D15"/>
    <w:rsid w:val="0053734A"/>
    <w:rsid w:val="0054116A"/>
    <w:rsid w:val="00545CAD"/>
    <w:rsid w:val="005476F6"/>
    <w:rsid w:val="00554411"/>
    <w:rsid w:val="00555C43"/>
    <w:rsid w:val="005606D2"/>
    <w:rsid w:val="005639A9"/>
    <w:rsid w:val="005701A3"/>
    <w:rsid w:val="005709AC"/>
    <w:rsid w:val="005805E4"/>
    <w:rsid w:val="005825B3"/>
    <w:rsid w:val="00584110"/>
    <w:rsid w:val="00585594"/>
    <w:rsid w:val="005949A6"/>
    <w:rsid w:val="005A0573"/>
    <w:rsid w:val="005B1561"/>
    <w:rsid w:val="005B1662"/>
    <w:rsid w:val="005B38D6"/>
    <w:rsid w:val="005B4712"/>
    <w:rsid w:val="005B582D"/>
    <w:rsid w:val="005C23E0"/>
    <w:rsid w:val="005C2DE8"/>
    <w:rsid w:val="005C3E1E"/>
    <w:rsid w:val="005D1B23"/>
    <w:rsid w:val="005D431E"/>
    <w:rsid w:val="005E2555"/>
    <w:rsid w:val="005E4432"/>
    <w:rsid w:val="005E6544"/>
    <w:rsid w:val="005E7241"/>
    <w:rsid w:val="005E7BCB"/>
    <w:rsid w:val="005F141D"/>
    <w:rsid w:val="005F37FD"/>
    <w:rsid w:val="00601916"/>
    <w:rsid w:val="0060221D"/>
    <w:rsid w:val="0060222D"/>
    <w:rsid w:val="00605A2F"/>
    <w:rsid w:val="006079AD"/>
    <w:rsid w:val="00610D1F"/>
    <w:rsid w:val="006136A2"/>
    <w:rsid w:val="00621B37"/>
    <w:rsid w:val="00626A31"/>
    <w:rsid w:val="006270BC"/>
    <w:rsid w:val="006307AC"/>
    <w:rsid w:val="00630FC8"/>
    <w:rsid w:val="006462DD"/>
    <w:rsid w:val="006561A7"/>
    <w:rsid w:val="006615A7"/>
    <w:rsid w:val="00663EC4"/>
    <w:rsid w:val="00664ECC"/>
    <w:rsid w:val="00667EE6"/>
    <w:rsid w:val="00672EBB"/>
    <w:rsid w:val="006730EB"/>
    <w:rsid w:val="00674DB0"/>
    <w:rsid w:val="00676EF9"/>
    <w:rsid w:val="00680175"/>
    <w:rsid w:val="006830E8"/>
    <w:rsid w:val="00685021"/>
    <w:rsid w:val="00690BC2"/>
    <w:rsid w:val="0069410A"/>
    <w:rsid w:val="006950D6"/>
    <w:rsid w:val="00695384"/>
    <w:rsid w:val="006A1678"/>
    <w:rsid w:val="006A766B"/>
    <w:rsid w:val="006B206C"/>
    <w:rsid w:val="006B5DED"/>
    <w:rsid w:val="006B6569"/>
    <w:rsid w:val="006D12BD"/>
    <w:rsid w:val="006D240E"/>
    <w:rsid w:val="006D3BB1"/>
    <w:rsid w:val="006D48C0"/>
    <w:rsid w:val="006E6622"/>
    <w:rsid w:val="006E7680"/>
    <w:rsid w:val="006F3F68"/>
    <w:rsid w:val="006F6A74"/>
    <w:rsid w:val="00714D4C"/>
    <w:rsid w:val="00717A3E"/>
    <w:rsid w:val="00721787"/>
    <w:rsid w:val="007326C0"/>
    <w:rsid w:val="00733AF1"/>
    <w:rsid w:val="00746675"/>
    <w:rsid w:val="0074685C"/>
    <w:rsid w:val="00753836"/>
    <w:rsid w:val="00754232"/>
    <w:rsid w:val="00772E8A"/>
    <w:rsid w:val="00784B46"/>
    <w:rsid w:val="00784D7A"/>
    <w:rsid w:val="007A04B4"/>
    <w:rsid w:val="007A1229"/>
    <w:rsid w:val="007A7AAB"/>
    <w:rsid w:val="007B1B70"/>
    <w:rsid w:val="007B1E35"/>
    <w:rsid w:val="007B63D3"/>
    <w:rsid w:val="007B6642"/>
    <w:rsid w:val="007C02D1"/>
    <w:rsid w:val="007D08E4"/>
    <w:rsid w:val="007D0FBA"/>
    <w:rsid w:val="007E053B"/>
    <w:rsid w:val="007F10C7"/>
    <w:rsid w:val="008023BF"/>
    <w:rsid w:val="0081717C"/>
    <w:rsid w:val="0082176B"/>
    <w:rsid w:val="00825285"/>
    <w:rsid w:val="00830102"/>
    <w:rsid w:val="0084188C"/>
    <w:rsid w:val="008433DA"/>
    <w:rsid w:val="00845D07"/>
    <w:rsid w:val="0085221D"/>
    <w:rsid w:val="00857780"/>
    <w:rsid w:val="008607D7"/>
    <w:rsid w:val="0086120E"/>
    <w:rsid w:val="00864C5A"/>
    <w:rsid w:val="00865AD8"/>
    <w:rsid w:val="008666E8"/>
    <w:rsid w:val="00866B5D"/>
    <w:rsid w:val="00866D37"/>
    <w:rsid w:val="00870A8F"/>
    <w:rsid w:val="00890660"/>
    <w:rsid w:val="00897550"/>
    <w:rsid w:val="00897B28"/>
    <w:rsid w:val="008A3FF8"/>
    <w:rsid w:val="008A640B"/>
    <w:rsid w:val="008A654C"/>
    <w:rsid w:val="008A6924"/>
    <w:rsid w:val="008A6D09"/>
    <w:rsid w:val="008B719E"/>
    <w:rsid w:val="008C41C8"/>
    <w:rsid w:val="008C7D79"/>
    <w:rsid w:val="008D38D7"/>
    <w:rsid w:val="008D75CF"/>
    <w:rsid w:val="008E3F85"/>
    <w:rsid w:val="008E6874"/>
    <w:rsid w:val="008E6FE4"/>
    <w:rsid w:val="008F5396"/>
    <w:rsid w:val="008F57F0"/>
    <w:rsid w:val="00901F2C"/>
    <w:rsid w:val="00915610"/>
    <w:rsid w:val="0092177A"/>
    <w:rsid w:val="00925A70"/>
    <w:rsid w:val="00941444"/>
    <w:rsid w:val="00946CF7"/>
    <w:rsid w:val="00952395"/>
    <w:rsid w:val="0095323B"/>
    <w:rsid w:val="00953702"/>
    <w:rsid w:val="009556C6"/>
    <w:rsid w:val="0096425B"/>
    <w:rsid w:val="009654D1"/>
    <w:rsid w:val="00972C3D"/>
    <w:rsid w:val="00976E8B"/>
    <w:rsid w:val="00982172"/>
    <w:rsid w:val="009835A9"/>
    <w:rsid w:val="0098702B"/>
    <w:rsid w:val="009938B1"/>
    <w:rsid w:val="009A6220"/>
    <w:rsid w:val="009B0170"/>
    <w:rsid w:val="009B30BB"/>
    <w:rsid w:val="009B4B98"/>
    <w:rsid w:val="009B4D40"/>
    <w:rsid w:val="009C092A"/>
    <w:rsid w:val="009D2E73"/>
    <w:rsid w:val="009D3506"/>
    <w:rsid w:val="009D431C"/>
    <w:rsid w:val="009F6613"/>
    <w:rsid w:val="009F6D60"/>
    <w:rsid w:val="00A01590"/>
    <w:rsid w:val="00A10021"/>
    <w:rsid w:val="00A1025D"/>
    <w:rsid w:val="00A1500C"/>
    <w:rsid w:val="00A3175C"/>
    <w:rsid w:val="00A3200C"/>
    <w:rsid w:val="00A34EC4"/>
    <w:rsid w:val="00A359A1"/>
    <w:rsid w:val="00A36B83"/>
    <w:rsid w:val="00A37346"/>
    <w:rsid w:val="00A44E68"/>
    <w:rsid w:val="00A54390"/>
    <w:rsid w:val="00A62ED2"/>
    <w:rsid w:val="00A64377"/>
    <w:rsid w:val="00A65439"/>
    <w:rsid w:val="00A664E1"/>
    <w:rsid w:val="00A73491"/>
    <w:rsid w:val="00A901E8"/>
    <w:rsid w:val="00A92B1C"/>
    <w:rsid w:val="00AB5BB3"/>
    <w:rsid w:val="00AC0634"/>
    <w:rsid w:val="00AC4992"/>
    <w:rsid w:val="00AC73A8"/>
    <w:rsid w:val="00AD5289"/>
    <w:rsid w:val="00AE04C4"/>
    <w:rsid w:val="00AE23B9"/>
    <w:rsid w:val="00AE3B0C"/>
    <w:rsid w:val="00AE73A7"/>
    <w:rsid w:val="00AF0524"/>
    <w:rsid w:val="00AF052A"/>
    <w:rsid w:val="00AF2458"/>
    <w:rsid w:val="00AF5A03"/>
    <w:rsid w:val="00AF66E5"/>
    <w:rsid w:val="00B00A6B"/>
    <w:rsid w:val="00B12335"/>
    <w:rsid w:val="00B128F7"/>
    <w:rsid w:val="00B13683"/>
    <w:rsid w:val="00B15CAE"/>
    <w:rsid w:val="00B232D8"/>
    <w:rsid w:val="00B270C6"/>
    <w:rsid w:val="00B34EDA"/>
    <w:rsid w:val="00B35205"/>
    <w:rsid w:val="00B524D0"/>
    <w:rsid w:val="00B5250F"/>
    <w:rsid w:val="00B5405C"/>
    <w:rsid w:val="00B6137D"/>
    <w:rsid w:val="00B64D5C"/>
    <w:rsid w:val="00B6510F"/>
    <w:rsid w:val="00B6638D"/>
    <w:rsid w:val="00B67B21"/>
    <w:rsid w:val="00B71DDF"/>
    <w:rsid w:val="00B81108"/>
    <w:rsid w:val="00B836F3"/>
    <w:rsid w:val="00B8522A"/>
    <w:rsid w:val="00B91C9F"/>
    <w:rsid w:val="00B95606"/>
    <w:rsid w:val="00B977FE"/>
    <w:rsid w:val="00BB164E"/>
    <w:rsid w:val="00BB4362"/>
    <w:rsid w:val="00BC0083"/>
    <w:rsid w:val="00BC31A9"/>
    <w:rsid w:val="00BD5705"/>
    <w:rsid w:val="00BF33A1"/>
    <w:rsid w:val="00BF6C42"/>
    <w:rsid w:val="00BF7FA6"/>
    <w:rsid w:val="00C07088"/>
    <w:rsid w:val="00C1239C"/>
    <w:rsid w:val="00C12F29"/>
    <w:rsid w:val="00C14C5B"/>
    <w:rsid w:val="00C17221"/>
    <w:rsid w:val="00C20ACD"/>
    <w:rsid w:val="00C2161B"/>
    <w:rsid w:val="00C23B38"/>
    <w:rsid w:val="00C33BC1"/>
    <w:rsid w:val="00C3628D"/>
    <w:rsid w:val="00C42330"/>
    <w:rsid w:val="00C4382E"/>
    <w:rsid w:val="00C51377"/>
    <w:rsid w:val="00C538F8"/>
    <w:rsid w:val="00C56BC4"/>
    <w:rsid w:val="00C56EBB"/>
    <w:rsid w:val="00C638D8"/>
    <w:rsid w:val="00C66622"/>
    <w:rsid w:val="00C66AF5"/>
    <w:rsid w:val="00C674A9"/>
    <w:rsid w:val="00C71BE7"/>
    <w:rsid w:val="00C81E72"/>
    <w:rsid w:val="00C84E28"/>
    <w:rsid w:val="00C8592E"/>
    <w:rsid w:val="00C9166D"/>
    <w:rsid w:val="00C956CF"/>
    <w:rsid w:val="00C96A79"/>
    <w:rsid w:val="00C97960"/>
    <w:rsid w:val="00CA14BC"/>
    <w:rsid w:val="00CB4F49"/>
    <w:rsid w:val="00CB548F"/>
    <w:rsid w:val="00CB67D0"/>
    <w:rsid w:val="00CE1363"/>
    <w:rsid w:val="00CE2F8D"/>
    <w:rsid w:val="00CE3C38"/>
    <w:rsid w:val="00D04D17"/>
    <w:rsid w:val="00D114EF"/>
    <w:rsid w:val="00D13C88"/>
    <w:rsid w:val="00D16A71"/>
    <w:rsid w:val="00D2528F"/>
    <w:rsid w:val="00D267A7"/>
    <w:rsid w:val="00D3061C"/>
    <w:rsid w:val="00D30BC8"/>
    <w:rsid w:val="00D3512A"/>
    <w:rsid w:val="00D362D3"/>
    <w:rsid w:val="00D417BD"/>
    <w:rsid w:val="00D42586"/>
    <w:rsid w:val="00D47FCC"/>
    <w:rsid w:val="00D50F74"/>
    <w:rsid w:val="00D70479"/>
    <w:rsid w:val="00D756E1"/>
    <w:rsid w:val="00D80740"/>
    <w:rsid w:val="00D831BC"/>
    <w:rsid w:val="00D85121"/>
    <w:rsid w:val="00D86C22"/>
    <w:rsid w:val="00D93602"/>
    <w:rsid w:val="00DA5990"/>
    <w:rsid w:val="00DB3458"/>
    <w:rsid w:val="00DC69D8"/>
    <w:rsid w:val="00DC7B75"/>
    <w:rsid w:val="00DD0E5F"/>
    <w:rsid w:val="00DD5438"/>
    <w:rsid w:val="00DD78AF"/>
    <w:rsid w:val="00DE29AC"/>
    <w:rsid w:val="00DE3309"/>
    <w:rsid w:val="00E1553A"/>
    <w:rsid w:val="00E23436"/>
    <w:rsid w:val="00E2662C"/>
    <w:rsid w:val="00E26B39"/>
    <w:rsid w:val="00E27B9A"/>
    <w:rsid w:val="00E32A71"/>
    <w:rsid w:val="00E364DB"/>
    <w:rsid w:val="00E36D11"/>
    <w:rsid w:val="00E41820"/>
    <w:rsid w:val="00E566A9"/>
    <w:rsid w:val="00E65229"/>
    <w:rsid w:val="00E65E5F"/>
    <w:rsid w:val="00E664A2"/>
    <w:rsid w:val="00E71BAB"/>
    <w:rsid w:val="00E8044E"/>
    <w:rsid w:val="00E8087B"/>
    <w:rsid w:val="00E8386B"/>
    <w:rsid w:val="00E8439D"/>
    <w:rsid w:val="00E85E2D"/>
    <w:rsid w:val="00EA4010"/>
    <w:rsid w:val="00EB2B11"/>
    <w:rsid w:val="00EB472B"/>
    <w:rsid w:val="00EC39E7"/>
    <w:rsid w:val="00EC506F"/>
    <w:rsid w:val="00EC6544"/>
    <w:rsid w:val="00ED089D"/>
    <w:rsid w:val="00ED30EA"/>
    <w:rsid w:val="00ED3613"/>
    <w:rsid w:val="00ED7C76"/>
    <w:rsid w:val="00EE2DF3"/>
    <w:rsid w:val="00EE5DF0"/>
    <w:rsid w:val="00EF0789"/>
    <w:rsid w:val="00F024FA"/>
    <w:rsid w:val="00F0419B"/>
    <w:rsid w:val="00F11E57"/>
    <w:rsid w:val="00F12D91"/>
    <w:rsid w:val="00F160E5"/>
    <w:rsid w:val="00F16F11"/>
    <w:rsid w:val="00F21E83"/>
    <w:rsid w:val="00F2511E"/>
    <w:rsid w:val="00F37BF9"/>
    <w:rsid w:val="00F43036"/>
    <w:rsid w:val="00F55F67"/>
    <w:rsid w:val="00F6423F"/>
    <w:rsid w:val="00F6602E"/>
    <w:rsid w:val="00F66144"/>
    <w:rsid w:val="00F66A8E"/>
    <w:rsid w:val="00F704C3"/>
    <w:rsid w:val="00F72EA9"/>
    <w:rsid w:val="00F740E3"/>
    <w:rsid w:val="00F74234"/>
    <w:rsid w:val="00F83BDA"/>
    <w:rsid w:val="00F91A3F"/>
    <w:rsid w:val="00F9244F"/>
    <w:rsid w:val="00FA076D"/>
    <w:rsid w:val="00FA09D5"/>
    <w:rsid w:val="00FD028F"/>
    <w:rsid w:val="00FD21A5"/>
    <w:rsid w:val="00FE16DC"/>
    <w:rsid w:val="00FE2439"/>
    <w:rsid w:val="00FE5D91"/>
    <w:rsid w:val="00FF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5E4"/>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link w:val="BodyText2Char"/>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uiPriority w:val="99"/>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MediumGrid1-Accent21">
    <w:name w:val="Medium Grid 1 - Accent 21"/>
    <w:basedOn w:val="Normal"/>
    <w:uiPriority w:val="34"/>
    <w:qFormat/>
    <w:rsid w:val="00826BB4"/>
    <w:pPr>
      <w:ind w:left="720"/>
    </w:pPr>
  </w:style>
  <w:style w:type="paragraph" w:customStyle="1" w:styleId="ColorfulList-Accent11">
    <w:name w:val="Colorful List - Accent 1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ColorfulShading-Accent11">
    <w:name w:val="Colorful Shading - Accent 11"/>
    <w:hidden/>
    <w:uiPriority w:val="99"/>
    <w:semiHidden/>
    <w:rsid w:val="003A0E22"/>
    <w:rPr>
      <w:color w:val="000000"/>
      <w:sz w:val="24"/>
    </w:rPr>
  </w:style>
  <w:style w:type="character" w:customStyle="1" w:styleId="BodyText2Char">
    <w:name w:val="Body Text 2 Char"/>
    <w:basedOn w:val="DefaultParagraphFont"/>
    <w:link w:val="BodyText2"/>
    <w:rsid w:val="006D3BB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line number" w:uiPriority="99" w:qFormat="1"/>
    <w:lsdException w:name="page number" w:uiPriority="99"/>
    <w:lsdException w:name="endnote text" w:uiPriority="99"/>
    <w:lsdException w:name="table of authoriti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5E4"/>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link w:val="BodyText2Char"/>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uiPriority w:val="99"/>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MediumGrid1-Accent21">
    <w:name w:val="Medium Grid 1 - Accent 21"/>
    <w:basedOn w:val="Normal"/>
    <w:uiPriority w:val="34"/>
    <w:qFormat/>
    <w:rsid w:val="00826BB4"/>
    <w:pPr>
      <w:ind w:left="720"/>
    </w:pPr>
  </w:style>
  <w:style w:type="paragraph" w:customStyle="1" w:styleId="ColorfulList-Accent11">
    <w:name w:val="Colorful List - Accent 1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ColorfulShading-Accent11">
    <w:name w:val="Colorful Shading - Accent 11"/>
    <w:hidden/>
    <w:uiPriority w:val="99"/>
    <w:semiHidden/>
    <w:rsid w:val="003A0E22"/>
    <w:rPr>
      <w:color w:val="000000"/>
      <w:sz w:val="24"/>
    </w:rPr>
  </w:style>
  <w:style w:type="character" w:customStyle="1" w:styleId="BodyText2Char">
    <w:name w:val="Body Text 2 Char"/>
    <w:basedOn w:val="DefaultParagraphFont"/>
    <w:link w:val="BodyText2"/>
    <w:rsid w:val="006D3B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jec@dvc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2016-02-08T08:00:00+00:00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106D6C4-94D7-4A97-86C8-109C02D107F6}"/>
</file>

<file path=customXml/itemProps2.xml><?xml version="1.0" encoding="utf-8"?>
<ds:datastoreItem xmlns:ds="http://schemas.openxmlformats.org/officeDocument/2006/customXml" ds:itemID="{FAC6620A-D4D2-45F9-A157-8D1F57A000A3}"/>
</file>

<file path=customXml/itemProps3.xml><?xml version="1.0" encoding="utf-8"?>
<ds:datastoreItem xmlns:ds="http://schemas.openxmlformats.org/officeDocument/2006/customXml" ds:itemID="{7ECD0E46-D12D-4518-AE91-AC912563B45D}"/>
</file>

<file path=customXml/itemProps4.xml><?xml version="1.0" encoding="utf-8"?>
<ds:datastoreItem xmlns:ds="http://schemas.openxmlformats.org/officeDocument/2006/customXml" ds:itemID="{92FBADE2-AEF8-42EC-A1ED-7644D13DA230}"/>
</file>

<file path=customXml/itemProps5.xml><?xml version="1.0" encoding="utf-8"?>
<ds:datastoreItem xmlns:ds="http://schemas.openxmlformats.org/officeDocument/2006/customXml" ds:itemID="{C8209853-43B4-4E2F-B989-C10E07E93288}"/>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7418</CharactersWithSpaces>
  <SharedDoc>false</SharedDoc>
  <HLinks>
    <vt:vector size="6" baseType="variant">
      <vt:variant>
        <vt:i4>6881382</vt:i4>
      </vt:variant>
      <vt:variant>
        <vt:i4>0</vt:i4>
      </vt:variant>
      <vt:variant>
        <vt:i4>0</vt:i4>
      </vt:variant>
      <vt:variant>
        <vt:i4>5</vt:i4>
      </vt:variant>
      <vt:variant>
        <vt:lpwstr>http://www.utc.wa.gov/docs/Pages/DocketLookup.aspx?FilingID=152253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2015-12-10T18:49:00Z</dcterms:created>
  <dcterms:modified xsi:type="dcterms:W3CDTF">2016-02-09T00:39:00Z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0x0101006E56B4D1795A2E4DB2F0B01679ED314A006D7A73751226EA419A9CAE5A2849B703</vt:lpwstr>
  </property>
  <property fmtid="{D5CDD505-2E9C-101B-9397-08002B2CF9AE}" pid="3" name="_docset_NoMedatataSyncRequired">
    <vt:lpwstr>False</vt:lpwstr>
  </property>
</Properties>
</file>