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rsidR="00F748D8" w:rsidRPr="004A2910" w:rsidRDefault="00F748D8" w:rsidP="00F748D8">
      <w:pPr>
        <w:jc w:val="both"/>
        <w:rPr>
          <w:sz w:val="24"/>
        </w:rPr>
      </w:pPr>
    </w:p>
    <w:p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tblPr>
      <w:tblGrid>
        <w:gridCol w:w="4590"/>
        <w:gridCol w:w="4590"/>
      </w:tblGrid>
      <w:tr w:rsidR="00F748D8" w:rsidRPr="004A2910">
        <w:tc>
          <w:tcPr>
            <w:tcW w:w="4590" w:type="dxa"/>
            <w:tcBorders>
              <w:top w:val="single" w:sz="6" w:space="0" w:color="FFFFFF"/>
              <w:left w:val="single" w:sz="6" w:space="0" w:color="FFFFFF"/>
              <w:bottom w:val="single" w:sz="7" w:space="0" w:color="000000"/>
              <w:right w:val="single" w:sz="6" w:space="0" w:color="FFFFFF"/>
            </w:tcBorders>
          </w:tcPr>
          <w:p w:rsidR="00FD7BD5" w:rsidRPr="00FD7BD5" w:rsidRDefault="00FD7BD5" w:rsidP="00FD7BD5">
            <w:pPr>
              <w:tabs>
                <w:tab w:val="left" w:pos="2160"/>
              </w:tabs>
              <w:spacing w:line="264" w:lineRule="auto"/>
              <w:rPr>
                <w:bCs/>
                <w:sz w:val="24"/>
              </w:rPr>
            </w:pPr>
            <w:r w:rsidRPr="00FD7BD5">
              <w:rPr>
                <w:bCs/>
                <w:sz w:val="24"/>
              </w:rPr>
              <w:t>In the Matter of the Joint Application of</w:t>
            </w:r>
          </w:p>
          <w:p w:rsidR="00FD7BD5" w:rsidRPr="00FD7BD5" w:rsidRDefault="00FD7BD5" w:rsidP="00FD7BD5">
            <w:pPr>
              <w:tabs>
                <w:tab w:val="left" w:pos="2160"/>
              </w:tabs>
              <w:spacing w:line="264" w:lineRule="auto"/>
              <w:rPr>
                <w:bCs/>
                <w:sz w:val="24"/>
              </w:rPr>
            </w:pPr>
          </w:p>
          <w:p w:rsidR="00FD7BD5" w:rsidRPr="00FD7BD5" w:rsidRDefault="00FD7BD5" w:rsidP="00FD7BD5">
            <w:pPr>
              <w:tabs>
                <w:tab w:val="left" w:pos="2160"/>
              </w:tabs>
              <w:spacing w:line="264" w:lineRule="auto"/>
              <w:rPr>
                <w:bCs/>
                <w:sz w:val="24"/>
              </w:rPr>
            </w:pPr>
            <w:r w:rsidRPr="00FD7BD5">
              <w:rPr>
                <w:bCs/>
                <w:sz w:val="24"/>
              </w:rPr>
              <w:t>QWEST COMMUNICATIONS INTERNATIONAL INC. AND CENTURYTEL, INC.</w:t>
            </w:r>
          </w:p>
          <w:p w:rsidR="00FD7BD5" w:rsidRPr="00FD7BD5" w:rsidRDefault="00FD7BD5" w:rsidP="00FD7BD5">
            <w:pPr>
              <w:tabs>
                <w:tab w:val="left" w:pos="2160"/>
              </w:tabs>
              <w:spacing w:line="264" w:lineRule="auto"/>
              <w:rPr>
                <w:bCs/>
                <w:sz w:val="24"/>
              </w:rPr>
            </w:pPr>
          </w:p>
          <w:p w:rsidR="004F69A5" w:rsidRDefault="00FD7BD5" w:rsidP="00FD7BD5">
            <w:pPr>
              <w:spacing w:after="19"/>
              <w:rPr>
                <w:bCs/>
                <w:sz w:val="24"/>
              </w:rPr>
            </w:pPr>
            <w:r w:rsidRPr="00FD7BD5">
              <w:rPr>
                <w:bCs/>
                <w:sz w:val="24"/>
              </w:rPr>
              <w:t>For Approval of Indirect Transfer of Control of Qwest Corporation, Qwest Communications Company LLC, and Qwest LD Corp.</w:t>
            </w:r>
          </w:p>
          <w:p w:rsidR="00FD7BD5" w:rsidRPr="004A2910" w:rsidRDefault="00FD7BD5" w:rsidP="00FD7BD5">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4A2910" w:rsidRDefault="004C3D65" w:rsidP="00C5478B">
            <w:pPr>
              <w:ind w:firstLine="720"/>
              <w:rPr>
                <w:sz w:val="24"/>
              </w:rPr>
            </w:pPr>
            <w:r>
              <w:rPr>
                <w:sz w:val="24"/>
              </w:rPr>
              <w:t xml:space="preserve">DOCKET </w:t>
            </w:r>
            <w:r w:rsidR="00FD7BD5">
              <w:rPr>
                <w:sz w:val="24"/>
              </w:rPr>
              <w:t>UT-100820</w:t>
            </w:r>
          </w:p>
          <w:p w:rsidR="00F748D8" w:rsidRPr="004A2910" w:rsidRDefault="00F748D8" w:rsidP="00C5478B">
            <w:pPr>
              <w:rPr>
                <w:sz w:val="24"/>
              </w:rPr>
            </w:pPr>
          </w:p>
          <w:p w:rsidR="00E42CA1" w:rsidRDefault="00E42CA1" w:rsidP="00E42CA1">
            <w:pPr>
              <w:spacing w:after="19"/>
              <w:ind w:left="720"/>
              <w:rPr>
                <w:sz w:val="24"/>
              </w:rPr>
            </w:pPr>
            <w:r>
              <w:rPr>
                <w:sz w:val="24"/>
              </w:rPr>
              <w:t>JOINT</w:t>
            </w:r>
            <w:r w:rsidRPr="00FD7BD5">
              <w:rPr>
                <w:sz w:val="24"/>
              </w:rPr>
              <w:t xml:space="preserve"> RESPONSE </w:t>
            </w:r>
            <w:r>
              <w:rPr>
                <w:sz w:val="24"/>
              </w:rPr>
              <w:t xml:space="preserve">OF STAFF, PUBLIC COUNSEL, AND DoD/FEA </w:t>
            </w:r>
            <w:r w:rsidR="00631693">
              <w:rPr>
                <w:sz w:val="24"/>
              </w:rPr>
              <w:t xml:space="preserve">TO </w:t>
            </w:r>
            <w:r>
              <w:rPr>
                <w:sz w:val="24"/>
              </w:rPr>
              <w:t>OBJECTIONS</w:t>
            </w:r>
          </w:p>
          <w:p w:rsidR="00417360" w:rsidRPr="00FD7BD5" w:rsidRDefault="00F4696B" w:rsidP="00E42CA1">
            <w:pPr>
              <w:spacing w:after="19"/>
              <w:ind w:left="720"/>
              <w:rPr>
                <w:sz w:val="24"/>
              </w:rPr>
            </w:pPr>
            <w:r>
              <w:rPr>
                <w:sz w:val="24"/>
              </w:rPr>
              <w:t>TO THE PROCEDURAL SCHEDULE</w:t>
            </w:r>
          </w:p>
        </w:tc>
      </w:tr>
    </w:tbl>
    <w:p w:rsidR="00F748D8" w:rsidRDefault="00F748D8" w:rsidP="00F748D8">
      <w:pPr>
        <w:jc w:val="both"/>
        <w:rPr>
          <w:sz w:val="24"/>
        </w:rPr>
      </w:pPr>
    </w:p>
    <w:p w:rsidR="00F4696B" w:rsidRDefault="00F4696B" w:rsidP="00F748D8">
      <w:pPr>
        <w:jc w:val="both"/>
        <w:rPr>
          <w:sz w:val="24"/>
        </w:rPr>
      </w:pPr>
    </w:p>
    <w:p w:rsidR="00F748D8" w:rsidRPr="007438F5" w:rsidRDefault="00C74294" w:rsidP="00706E61">
      <w:pPr>
        <w:numPr>
          <w:ilvl w:val="0"/>
          <w:numId w:val="2"/>
        </w:numPr>
        <w:spacing w:line="480" w:lineRule="auto"/>
        <w:rPr>
          <w:sz w:val="24"/>
        </w:rPr>
      </w:pPr>
      <w:r>
        <w:rPr>
          <w:sz w:val="24"/>
        </w:rPr>
        <w:tab/>
        <w:t xml:space="preserve">Pursuant to the Commission’s Notice of Opportunity to Respond to </w:t>
      </w:r>
      <w:r w:rsidR="00E42CA1">
        <w:rPr>
          <w:sz w:val="24"/>
        </w:rPr>
        <w:t>Objections to Procedural Schedule</w:t>
      </w:r>
      <w:r>
        <w:rPr>
          <w:sz w:val="24"/>
        </w:rPr>
        <w:t xml:space="preserve"> </w:t>
      </w:r>
      <w:r w:rsidR="00C01434">
        <w:rPr>
          <w:sz w:val="24"/>
        </w:rPr>
        <w:t>issued</w:t>
      </w:r>
      <w:r>
        <w:rPr>
          <w:sz w:val="24"/>
        </w:rPr>
        <w:t xml:space="preserve"> June 23, 2010, Staff of the Washington Utilities and Transportation Commission (Staff)</w:t>
      </w:r>
      <w:r w:rsidR="00E42CA1">
        <w:rPr>
          <w:sz w:val="24"/>
        </w:rPr>
        <w:t>,</w:t>
      </w:r>
      <w:r>
        <w:rPr>
          <w:sz w:val="24"/>
        </w:rPr>
        <w:t xml:space="preserve"> Public Counsel</w:t>
      </w:r>
      <w:r w:rsidR="00E42CA1">
        <w:rPr>
          <w:sz w:val="24"/>
        </w:rPr>
        <w:t>, and United States Department of Defense and All Other Federal Executive Agencies (DoD/FEA)</w:t>
      </w:r>
      <w:r>
        <w:rPr>
          <w:sz w:val="24"/>
        </w:rPr>
        <w:t xml:space="preserve"> file this Joint Response</w:t>
      </w:r>
      <w:r w:rsidR="00E42CA1">
        <w:rPr>
          <w:sz w:val="24"/>
        </w:rPr>
        <w:t>.</w:t>
      </w:r>
      <w:r w:rsidR="007438F5">
        <w:rPr>
          <w:sz w:val="24"/>
        </w:rPr>
        <w:t xml:space="preserve">  </w:t>
      </w:r>
      <w:r w:rsidR="006A0D50" w:rsidRPr="007438F5">
        <w:rPr>
          <w:sz w:val="24"/>
        </w:rPr>
        <w:t>T</w:t>
      </w:r>
      <w:r w:rsidR="003D33C8" w:rsidRPr="007438F5">
        <w:rPr>
          <w:sz w:val="24"/>
        </w:rPr>
        <w:t>he Joint Applicants, Qwest Communications International, Inc. (Qwest) and CenturyTel</w:t>
      </w:r>
      <w:r w:rsidR="00F4696B" w:rsidRPr="007438F5">
        <w:rPr>
          <w:sz w:val="24"/>
        </w:rPr>
        <w:t>, Inc.</w:t>
      </w:r>
      <w:r w:rsidR="003D33C8" w:rsidRPr="007438F5">
        <w:rPr>
          <w:sz w:val="24"/>
        </w:rPr>
        <w:t xml:space="preserve"> </w:t>
      </w:r>
      <w:r w:rsidR="00922D5A" w:rsidRPr="007438F5">
        <w:rPr>
          <w:sz w:val="24"/>
        </w:rPr>
        <w:t>(CenturyLink) (</w:t>
      </w:r>
      <w:r w:rsidR="00F4696B" w:rsidRPr="007438F5">
        <w:rPr>
          <w:sz w:val="24"/>
        </w:rPr>
        <w:t>collectively, Joint Applicants)</w:t>
      </w:r>
      <w:r w:rsidR="0014096F" w:rsidRPr="007438F5">
        <w:rPr>
          <w:sz w:val="24"/>
        </w:rPr>
        <w:t xml:space="preserve"> filed </w:t>
      </w:r>
      <w:r w:rsidR="006A0D50" w:rsidRPr="007438F5">
        <w:rPr>
          <w:sz w:val="24"/>
        </w:rPr>
        <w:t>an objection</w:t>
      </w:r>
      <w:r w:rsidR="0014096F" w:rsidRPr="007438F5">
        <w:rPr>
          <w:sz w:val="24"/>
        </w:rPr>
        <w:t xml:space="preserve"> </w:t>
      </w:r>
      <w:r w:rsidR="00C01434" w:rsidRPr="007438F5">
        <w:rPr>
          <w:sz w:val="24"/>
        </w:rPr>
        <w:t>to the procedural schedule</w:t>
      </w:r>
      <w:r w:rsidR="00C01434">
        <w:rPr>
          <w:sz w:val="24"/>
        </w:rPr>
        <w:t xml:space="preserve"> </w:t>
      </w:r>
      <w:r w:rsidR="007438F5">
        <w:rPr>
          <w:sz w:val="24"/>
        </w:rPr>
        <w:t xml:space="preserve">and proposed revisions </w:t>
      </w:r>
      <w:r w:rsidR="004F0B77">
        <w:rPr>
          <w:sz w:val="24"/>
        </w:rPr>
        <w:t>“to allow the docket to conclude this year</w:t>
      </w:r>
      <w:r w:rsidR="00F748D8" w:rsidRPr="007438F5">
        <w:rPr>
          <w:sz w:val="24"/>
        </w:rPr>
        <w:t>.</w:t>
      </w:r>
      <w:r w:rsidR="004F0B77">
        <w:rPr>
          <w:sz w:val="24"/>
        </w:rPr>
        <w:t>”</w:t>
      </w:r>
      <w:r w:rsidR="00F748D8">
        <w:rPr>
          <w:rStyle w:val="FootnoteReference"/>
          <w:sz w:val="24"/>
        </w:rPr>
        <w:footnoteReference w:id="1"/>
      </w:r>
      <w:r w:rsidR="0014096F" w:rsidRPr="007438F5">
        <w:rPr>
          <w:sz w:val="24"/>
        </w:rPr>
        <w:t xml:space="preserve">  </w:t>
      </w:r>
      <w:r w:rsidR="000A2CA2" w:rsidRPr="007438F5">
        <w:rPr>
          <w:sz w:val="24"/>
        </w:rPr>
        <w:t>Staff, Public Counsel, and DoD/FEA opp</w:t>
      </w:r>
      <w:r w:rsidR="006A0D50" w:rsidRPr="007438F5">
        <w:rPr>
          <w:sz w:val="24"/>
        </w:rPr>
        <w:t>ose Joint Applicants’ objection</w:t>
      </w:r>
      <w:r w:rsidR="000A2CA2" w:rsidRPr="007438F5">
        <w:rPr>
          <w:sz w:val="24"/>
        </w:rPr>
        <w:t xml:space="preserve"> and proposal </w:t>
      </w:r>
      <w:r w:rsidR="006A0D50" w:rsidRPr="007438F5">
        <w:rPr>
          <w:sz w:val="24"/>
        </w:rPr>
        <w:t>f</w:t>
      </w:r>
      <w:r w:rsidR="000A2CA2" w:rsidRPr="007438F5">
        <w:rPr>
          <w:sz w:val="24"/>
        </w:rPr>
        <w:t>or the following reasons</w:t>
      </w:r>
      <w:r w:rsidR="0014096F" w:rsidRPr="007438F5">
        <w:rPr>
          <w:sz w:val="24"/>
        </w:rPr>
        <w:t>.</w:t>
      </w:r>
      <w:r w:rsidR="004F0B77">
        <w:rPr>
          <w:rStyle w:val="FootnoteReference"/>
          <w:sz w:val="24"/>
        </w:rPr>
        <w:footnoteReference w:id="2"/>
      </w:r>
    </w:p>
    <w:p w:rsidR="00782978" w:rsidRDefault="00E05C55" w:rsidP="00706E61">
      <w:pPr>
        <w:widowControl/>
        <w:numPr>
          <w:ilvl w:val="0"/>
          <w:numId w:val="2"/>
        </w:numPr>
        <w:spacing w:line="480" w:lineRule="auto"/>
        <w:rPr>
          <w:sz w:val="24"/>
        </w:rPr>
      </w:pPr>
      <w:r>
        <w:rPr>
          <w:sz w:val="24"/>
        </w:rPr>
        <w:lastRenderedPageBreak/>
        <w:tab/>
      </w:r>
      <w:r w:rsidR="00492B08">
        <w:rPr>
          <w:sz w:val="24"/>
        </w:rPr>
        <w:t xml:space="preserve">The compressed schedule </w:t>
      </w:r>
      <w:r w:rsidR="00E55BAC">
        <w:rPr>
          <w:sz w:val="24"/>
        </w:rPr>
        <w:t xml:space="preserve">proposed by the Joint Applicants </w:t>
      </w:r>
      <w:r w:rsidR="00492B08">
        <w:rPr>
          <w:sz w:val="24"/>
        </w:rPr>
        <w:t>would prejudice the other parties to the proceeding.  The Joint Applicants propose filing rebuttal te</w:t>
      </w:r>
      <w:r w:rsidR="00857DAF">
        <w:rPr>
          <w:sz w:val="24"/>
        </w:rPr>
        <w:t>stimony October </w:t>
      </w:r>
      <w:r w:rsidR="00492B08">
        <w:rPr>
          <w:sz w:val="24"/>
        </w:rPr>
        <w:t>15, 2010, and holding hearings November 10, 11, and 12, 2010.  This proposal would shorten hearing preparation time from five weeks</w:t>
      </w:r>
      <w:r w:rsidR="00782978">
        <w:rPr>
          <w:sz w:val="24"/>
        </w:rPr>
        <w:t xml:space="preserve"> after rebuttal</w:t>
      </w:r>
      <w:r w:rsidR="00492B08">
        <w:rPr>
          <w:sz w:val="24"/>
        </w:rPr>
        <w:t xml:space="preserve"> to fewer than three-and-a-half weeks, given that cross examination exhibits would need to be distributed in advance of hearing.  Such a shortened preparation time prejudices the other parties in the preparation of their respective cases for hearing.  </w:t>
      </w:r>
      <w:r w:rsidR="00782978">
        <w:rPr>
          <w:sz w:val="24"/>
        </w:rPr>
        <w:t xml:space="preserve">Related to this is the fact that the Joint Applicants’ initial filing in this case is quite limited.  This raises the possibility that their rebuttal filing may contain additional material, perhaps substantial, that parties will need time to review.  </w:t>
      </w:r>
    </w:p>
    <w:p w:rsidR="00492B08" w:rsidRPr="008266B1" w:rsidRDefault="00F14366" w:rsidP="00706E61">
      <w:pPr>
        <w:widowControl/>
        <w:numPr>
          <w:ilvl w:val="0"/>
          <w:numId w:val="2"/>
        </w:numPr>
        <w:spacing w:line="480" w:lineRule="auto"/>
        <w:rPr>
          <w:sz w:val="24"/>
        </w:rPr>
      </w:pPr>
      <w:r w:rsidRPr="008266B1">
        <w:rPr>
          <w:sz w:val="24"/>
        </w:rPr>
        <w:tab/>
      </w:r>
      <w:r w:rsidR="00782978" w:rsidRPr="008266B1">
        <w:rPr>
          <w:sz w:val="24"/>
        </w:rPr>
        <w:t>The Joint Applicants</w:t>
      </w:r>
      <w:r w:rsidR="004C4A73" w:rsidRPr="008266B1">
        <w:rPr>
          <w:sz w:val="24"/>
        </w:rPr>
        <w:t>’</w:t>
      </w:r>
      <w:r w:rsidR="00782978" w:rsidRPr="008266B1">
        <w:rPr>
          <w:sz w:val="24"/>
        </w:rPr>
        <w:t xml:space="preserve"> reference </w:t>
      </w:r>
      <w:r w:rsidRPr="008266B1">
        <w:rPr>
          <w:sz w:val="24"/>
        </w:rPr>
        <w:t xml:space="preserve">to </w:t>
      </w:r>
      <w:r w:rsidR="00782978" w:rsidRPr="008266B1">
        <w:rPr>
          <w:sz w:val="24"/>
        </w:rPr>
        <w:t xml:space="preserve">other </w:t>
      </w:r>
      <w:r w:rsidRPr="008266B1">
        <w:rPr>
          <w:sz w:val="24"/>
        </w:rPr>
        <w:t>Commission</w:t>
      </w:r>
      <w:r w:rsidR="00782978" w:rsidRPr="008266B1">
        <w:rPr>
          <w:sz w:val="24"/>
        </w:rPr>
        <w:t xml:space="preserve"> merger schedules is not persuasive.  </w:t>
      </w:r>
      <w:r w:rsidR="00492B08" w:rsidRPr="008266B1">
        <w:rPr>
          <w:sz w:val="24"/>
        </w:rPr>
        <w:t>In the Verizon-Frontier merger cited by the Joint Applicants,</w:t>
      </w:r>
      <w:r w:rsidR="00DB424B">
        <w:rPr>
          <w:rStyle w:val="FootnoteReference"/>
          <w:sz w:val="24"/>
        </w:rPr>
        <w:footnoteReference w:id="3"/>
      </w:r>
      <w:r w:rsidR="00492B08" w:rsidRPr="008266B1">
        <w:rPr>
          <w:sz w:val="24"/>
        </w:rPr>
        <w:t xml:space="preserve"> the procedural schedule provided just over four weeks between the due date for rebuttal testimony and the deadline for predistribution of cross examination exhibits, with the hearing scheduled a week later.</w:t>
      </w:r>
      <w:r w:rsidR="007353BD">
        <w:rPr>
          <w:rStyle w:val="FootnoteReference"/>
          <w:sz w:val="24"/>
        </w:rPr>
        <w:footnoteReference w:id="4"/>
      </w:r>
      <w:r w:rsidR="00492B08" w:rsidRPr="008266B1">
        <w:rPr>
          <w:sz w:val="24"/>
        </w:rPr>
        <w:t xml:space="preserve">  In the CenturyTel-Embarq merger</w:t>
      </w:r>
      <w:r w:rsidR="00EE3695" w:rsidRPr="008266B1">
        <w:rPr>
          <w:sz w:val="24"/>
        </w:rPr>
        <w:t>, also cited by the Joint Applicants</w:t>
      </w:r>
      <w:r w:rsidR="00492B08" w:rsidRPr="008266B1">
        <w:rPr>
          <w:sz w:val="24"/>
        </w:rPr>
        <w:t>,</w:t>
      </w:r>
      <w:r w:rsidR="00EE3695">
        <w:rPr>
          <w:rStyle w:val="FootnoteReference"/>
          <w:sz w:val="24"/>
        </w:rPr>
        <w:footnoteReference w:id="5"/>
      </w:r>
      <w:r w:rsidR="00492B08" w:rsidRPr="008266B1">
        <w:rPr>
          <w:sz w:val="24"/>
        </w:rPr>
        <w:t xml:space="preserve"> the hearing was scheduled to begin approximately four-and-a-half weeks after the due date for rebuttal testimony.</w:t>
      </w:r>
      <w:r w:rsidR="00EC6381">
        <w:rPr>
          <w:rStyle w:val="FootnoteReference"/>
          <w:sz w:val="24"/>
        </w:rPr>
        <w:footnoteReference w:id="6"/>
      </w:r>
      <w:r w:rsidR="006C4B05" w:rsidRPr="008266B1">
        <w:rPr>
          <w:sz w:val="24"/>
        </w:rPr>
        <w:t xml:space="preserve">  The Qwest-CenturyLink transaction at issue involves </w:t>
      </w:r>
      <w:r w:rsidR="00782978" w:rsidRPr="008266B1">
        <w:rPr>
          <w:sz w:val="24"/>
        </w:rPr>
        <w:t xml:space="preserve">the largest incumbent telecommunications company in the state and involves </w:t>
      </w:r>
      <w:r w:rsidR="006C4B05" w:rsidRPr="008266B1">
        <w:rPr>
          <w:sz w:val="24"/>
        </w:rPr>
        <w:t xml:space="preserve">far more exchanges in Washington than the other two mergers cited by the Joint Applicants.  So, under Joint </w:t>
      </w:r>
      <w:r w:rsidR="006C4B05" w:rsidRPr="008266B1">
        <w:rPr>
          <w:sz w:val="24"/>
        </w:rPr>
        <w:lastRenderedPageBreak/>
        <w:t xml:space="preserve">Applicants’ proposal, the parties in this proceeding would have less time to prepare for hearing on </w:t>
      </w:r>
      <w:r w:rsidR="005378F5" w:rsidRPr="008266B1">
        <w:rPr>
          <w:sz w:val="24"/>
        </w:rPr>
        <w:t xml:space="preserve">what is </w:t>
      </w:r>
      <w:r w:rsidR="006C4B05" w:rsidRPr="008266B1">
        <w:rPr>
          <w:sz w:val="24"/>
        </w:rPr>
        <w:t xml:space="preserve">a </w:t>
      </w:r>
      <w:r w:rsidR="00A84EE6" w:rsidRPr="008266B1">
        <w:rPr>
          <w:sz w:val="24"/>
        </w:rPr>
        <w:t>larger transaction</w:t>
      </w:r>
      <w:r w:rsidR="006C4B05" w:rsidRPr="008266B1">
        <w:rPr>
          <w:sz w:val="24"/>
        </w:rPr>
        <w:t>.</w:t>
      </w:r>
    </w:p>
    <w:p w:rsidR="008266B1" w:rsidRDefault="00492B08" w:rsidP="00706E61">
      <w:pPr>
        <w:numPr>
          <w:ilvl w:val="0"/>
          <w:numId w:val="2"/>
        </w:numPr>
        <w:spacing w:line="480" w:lineRule="auto"/>
        <w:rPr>
          <w:sz w:val="24"/>
        </w:rPr>
      </w:pPr>
      <w:r>
        <w:rPr>
          <w:sz w:val="24"/>
        </w:rPr>
        <w:tab/>
      </w:r>
      <w:r w:rsidR="0083697E">
        <w:rPr>
          <w:sz w:val="24"/>
        </w:rPr>
        <w:t>Each of the hearing dates proposed by the Joint Applicants has a schedule conflict.  November 10</w:t>
      </w:r>
      <w:r w:rsidR="00E03835">
        <w:rPr>
          <w:sz w:val="24"/>
        </w:rPr>
        <w:t>th</w:t>
      </w:r>
      <w:r w:rsidR="0083697E">
        <w:rPr>
          <w:sz w:val="24"/>
        </w:rPr>
        <w:t xml:space="preserve"> is a Commission Open Meeting date.  November 11</w:t>
      </w:r>
      <w:r w:rsidR="00E03835">
        <w:rPr>
          <w:sz w:val="24"/>
        </w:rPr>
        <w:t>th</w:t>
      </w:r>
      <w:r w:rsidR="0083697E">
        <w:rPr>
          <w:sz w:val="24"/>
        </w:rPr>
        <w:t xml:space="preserve"> is Veterans Day, </w:t>
      </w:r>
      <w:r w:rsidR="00782978">
        <w:rPr>
          <w:sz w:val="24"/>
        </w:rPr>
        <w:t xml:space="preserve">a </w:t>
      </w:r>
      <w:r w:rsidR="00446C6A">
        <w:rPr>
          <w:sz w:val="24"/>
        </w:rPr>
        <w:t xml:space="preserve">scheduled holiday for both federal and Washington State employees.   </w:t>
      </w:r>
      <w:r w:rsidR="0083697E">
        <w:rPr>
          <w:sz w:val="24"/>
        </w:rPr>
        <w:t>November 12</w:t>
      </w:r>
      <w:r w:rsidR="00E03835">
        <w:rPr>
          <w:sz w:val="24"/>
        </w:rPr>
        <w:t>th</w:t>
      </w:r>
      <w:r w:rsidR="0083697E">
        <w:rPr>
          <w:sz w:val="24"/>
        </w:rPr>
        <w:t xml:space="preserve"> </w:t>
      </w:r>
      <w:r w:rsidR="003B531A">
        <w:rPr>
          <w:sz w:val="24"/>
        </w:rPr>
        <w:t>conflicts with a</w:t>
      </w:r>
      <w:r w:rsidR="0083697E">
        <w:rPr>
          <w:sz w:val="24"/>
        </w:rPr>
        <w:t xml:space="preserve"> scheduled Pre-hearing </w:t>
      </w:r>
      <w:r w:rsidR="003B531A">
        <w:rPr>
          <w:sz w:val="24"/>
        </w:rPr>
        <w:t>C</w:t>
      </w:r>
      <w:r w:rsidR="0083697E">
        <w:rPr>
          <w:sz w:val="24"/>
        </w:rPr>
        <w:t>onference in the Arizona Corporation Commis</w:t>
      </w:r>
      <w:r w:rsidR="00782978">
        <w:rPr>
          <w:sz w:val="24"/>
        </w:rPr>
        <w:t>s</w:t>
      </w:r>
      <w:r w:rsidR="0083697E">
        <w:rPr>
          <w:sz w:val="24"/>
        </w:rPr>
        <w:t>ion proceeding on the Qwest-CenturyLink transaction</w:t>
      </w:r>
      <w:r w:rsidR="003B531A">
        <w:rPr>
          <w:sz w:val="24"/>
        </w:rPr>
        <w:t xml:space="preserve"> in which several parties to the </w:t>
      </w:r>
      <w:r w:rsidR="00782978">
        <w:rPr>
          <w:sz w:val="24"/>
        </w:rPr>
        <w:t>Washington</w:t>
      </w:r>
      <w:r w:rsidR="003B531A">
        <w:rPr>
          <w:sz w:val="24"/>
        </w:rPr>
        <w:t xml:space="preserve"> proceeding are participating.</w:t>
      </w:r>
      <w:r w:rsidR="003B531A">
        <w:rPr>
          <w:rStyle w:val="FootnoteReference"/>
          <w:sz w:val="24"/>
        </w:rPr>
        <w:footnoteReference w:id="7"/>
      </w:r>
      <w:r w:rsidR="003B531A">
        <w:rPr>
          <w:sz w:val="24"/>
        </w:rPr>
        <w:t xml:space="preserve">  Although aware of these conflicts, the </w:t>
      </w:r>
      <w:r w:rsidR="00981A14">
        <w:rPr>
          <w:sz w:val="24"/>
        </w:rPr>
        <w:t>Joint Applicants have not</w:t>
      </w:r>
      <w:r w:rsidR="00345212">
        <w:rPr>
          <w:sz w:val="24"/>
        </w:rPr>
        <w:t xml:space="preserve"> </w:t>
      </w:r>
      <w:r w:rsidR="00A64694">
        <w:rPr>
          <w:sz w:val="24"/>
        </w:rPr>
        <w:t xml:space="preserve">advised </w:t>
      </w:r>
      <w:r w:rsidR="00345212">
        <w:rPr>
          <w:sz w:val="24"/>
        </w:rPr>
        <w:t xml:space="preserve">the Commission </w:t>
      </w:r>
      <w:r w:rsidR="00981A14">
        <w:rPr>
          <w:sz w:val="24"/>
        </w:rPr>
        <w:t>of these</w:t>
      </w:r>
      <w:r w:rsidR="00345212">
        <w:rPr>
          <w:sz w:val="24"/>
        </w:rPr>
        <w:t xml:space="preserve"> </w:t>
      </w:r>
      <w:r w:rsidR="00A64694">
        <w:rPr>
          <w:sz w:val="24"/>
        </w:rPr>
        <w:t>potential problems</w:t>
      </w:r>
      <w:r w:rsidR="00981A14">
        <w:rPr>
          <w:sz w:val="24"/>
        </w:rPr>
        <w:t xml:space="preserve"> nor provided any over-riding rationale</w:t>
      </w:r>
      <w:r w:rsidR="00A64694">
        <w:rPr>
          <w:sz w:val="24"/>
        </w:rPr>
        <w:t xml:space="preserve"> so an informed decision can be made</w:t>
      </w:r>
      <w:r w:rsidR="008266B1">
        <w:rPr>
          <w:sz w:val="24"/>
        </w:rPr>
        <w:t>.</w:t>
      </w:r>
    </w:p>
    <w:p w:rsidR="000D501A" w:rsidRDefault="008266B1" w:rsidP="00706E61">
      <w:pPr>
        <w:numPr>
          <w:ilvl w:val="0"/>
          <w:numId w:val="2"/>
        </w:numPr>
        <w:spacing w:line="480" w:lineRule="auto"/>
        <w:rPr>
          <w:sz w:val="24"/>
        </w:rPr>
      </w:pPr>
      <w:r>
        <w:rPr>
          <w:sz w:val="24"/>
        </w:rPr>
        <w:tab/>
      </w:r>
      <w:r w:rsidR="00FD0879">
        <w:rPr>
          <w:sz w:val="24"/>
        </w:rPr>
        <w:t xml:space="preserve">Even under the Joint Applicants’ proposed compressed schedule, the docket is unlikely to conclude this year.  </w:t>
      </w:r>
      <w:r w:rsidR="00E05C55">
        <w:rPr>
          <w:sz w:val="24"/>
        </w:rPr>
        <w:t>Based on the proposed hearing dates, Joint Applicants</w:t>
      </w:r>
      <w:r w:rsidR="009819DD">
        <w:rPr>
          <w:sz w:val="24"/>
        </w:rPr>
        <w:t xml:space="preserve"> </w:t>
      </w:r>
      <w:r w:rsidR="00E05C55">
        <w:rPr>
          <w:sz w:val="24"/>
        </w:rPr>
        <w:t xml:space="preserve">presumably </w:t>
      </w:r>
      <w:r w:rsidR="009819DD">
        <w:rPr>
          <w:sz w:val="24"/>
        </w:rPr>
        <w:t>are contemplating that post-hearing briefs would be filed shortly before the Christmas holidays</w:t>
      </w:r>
      <w:r w:rsidR="006461E9">
        <w:rPr>
          <w:sz w:val="24"/>
        </w:rPr>
        <w:t xml:space="preserve">, leaving </w:t>
      </w:r>
      <w:r w:rsidR="000D501A">
        <w:rPr>
          <w:sz w:val="24"/>
        </w:rPr>
        <w:t>approximately</w:t>
      </w:r>
      <w:r w:rsidR="006461E9">
        <w:rPr>
          <w:sz w:val="24"/>
        </w:rPr>
        <w:t xml:space="preserve"> two weeks until the end of this year</w:t>
      </w:r>
      <w:r w:rsidR="009819DD">
        <w:rPr>
          <w:sz w:val="24"/>
        </w:rPr>
        <w:t>.</w:t>
      </w:r>
      <w:r w:rsidR="006461E9">
        <w:rPr>
          <w:sz w:val="24"/>
        </w:rPr>
        <w:t xml:space="preserve">  So, concluding the docke</w:t>
      </w:r>
      <w:r w:rsidR="000D501A">
        <w:rPr>
          <w:sz w:val="24"/>
        </w:rPr>
        <w:t>t by the end of the year w</w:t>
      </w:r>
      <w:r w:rsidR="006461E9">
        <w:rPr>
          <w:sz w:val="24"/>
        </w:rPr>
        <w:t xml:space="preserve">ould provide the parties </w:t>
      </w:r>
      <w:r w:rsidR="000D501A">
        <w:rPr>
          <w:sz w:val="24"/>
        </w:rPr>
        <w:t xml:space="preserve">up to five weeks to file </w:t>
      </w:r>
      <w:r w:rsidR="00E05C55">
        <w:rPr>
          <w:sz w:val="24"/>
        </w:rPr>
        <w:t xml:space="preserve">post-hearing </w:t>
      </w:r>
      <w:r w:rsidR="000D501A">
        <w:rPr>
          <w:sz w:val="24"/>
        </w:rPr>
        <w:t xml:space="preserve">briefs, depending on whether the Thanksgiving week is counted, and would provide the Commission with </w:t>
      </w:r>
      <w:r w:rsidR="0018736C">
        <w:rPr>
          <w:sz w:val="24"/>
        </w:rPr>
        <w:t xml:space="preserve">only </w:t>
      </w:r>
      <w:r w:rsidR="000D501A">
        <w:rPr>
          <w:sz w:val="24"/>
        </w:rPr>
        <w:t xml:space="preserve">two or a few remaining weeks to issue a decision. </w:t>
      </w:r>
      <w:r w:rsidR="009819DD">
        <w:rPr>
          <w:sz w:val="24"/>
        </w:rPr>
        <w:t xml:space="preserve">  It </w:t>
      </w:r>
      <w:r w:rsidR="000D501A">
        <w:rPr>
          <w:sz w:val="24"/>
        </w:rPr>
        <w:t xml:space="preserve">does not seem advisable to </w:t>
      </w:r>
      <w:r w:rsidR="0018736C">
        <w:rPr>
          <w:sz w:val="24"/>
        </w:rPr>
        <w:t>rush</w:t>
      </w:r>
      <w:r w:rsidR="000D501A">
        <w:rPr>
          <w:sz w:val="24"/>
        </w:rPr>
        <w:t xml:space="preserve"> a regulatory body to</w:t>
      </w:r>
      <w:r w:rsidR="009819DD">
        <w:rPr>
          <w:sz w:val="24"/>
        </w:rPr>
        <w:t xml:space="preserve"> a decision </w:t>
      </w:r>
      <w:r w:rsidR="000D501A">
        <w:rPr>
          <w:sz w:val="24"/>
        </w:rPr>
        <w:t>in a case of this magnitude, yet the Joint Applicants’ proposed schedule demands exactly this</w:t>
      </w:r>
      <w:r w:rsidR="0018736C">
        <w:rPr>
          <w:sz w:val="24"/>
        </w:rPr>
        <w:t>.</w:t>
      </w:r>
    </w:p>
    <w:p w:rsidR="00F4696B" w:rsidRDefault="00101BDA" w:rsidP="00706E61">
      <w:pPr>
        <w:numPr>
          <w:ilvl w:val="0"/>
          <w:numId w:val="2"/>
        </w:numPr>
        <w:spacing w:line="480" w:lineRule="auto"/>
        <w:rPr>
          <w:sz w:val="24"/>
        </w:rPr>
      </w:pPr>
      <w:r w:rsidRPr="00492B08">
        <w:rPr>
          <w:sz w:val="24"/>
        </w:rPr>
        <w:tab/>
      </w:r>
      <w:r w:rsidR="00B43478" w:rsidRPr="00492B08">
        <w:rPr>
          <w:sz w:val="24"/>
        </w:rPr>
        <w:t xml:space="preserve">The proposed dates leave insufficient </w:t>
      </w:r>
      <w:r w:rsidR="00470852" w:rsidRPr="00492B08">
        <w:rPr>
          <w:sz w:val="24"/>
        </w:rPr>
        <w:t>time for additional settlement negotiations</w:t>
      </w:r>
      <w:r w:rsidR="00957961" w:rsidRPr="00492B08">
        <w:rPr>
          <w:sz w:val="24"/>
        </w:rPr>
        <w:t>.</w:t>
      </w:r>
      <w:r w:rsidR="00070F42" w:rsidRPr="00492B08">
        <w:rPr>
          <w:sz w:val="24"/>
        </w:rPr>
        <w:t xml:space="preserve"> </w:t>
      </w:r>
      <w:r w:rsidR="00857DAF">
        <w:rPr>
          <w:sz w:val="24"/>
        </w:rPr>
        <w:t xml:space="preserve"> </w:t>
      </w:r>
      <w:r w:rsidR="00E05C55" w:rsidRPr="00492B08">
        <w:rPr>
          <w:sz w:val="24"/>
        </w:rPr>
        <w:t xml:space="preserve">The </w:t>
      </w:r>
      <w:r w:rsidR="0008198A">
        <w:rPr>
          <w:sz w:val="24"/>
        </w:rPr>
        <w:t xml:space="preserve">existing </w:t>
      </w:r>
      <w:r w:rsidR="00E05C55" w:rsidRPr="00492B08">
        <w:rPr>
          <w:sz w:val="24"/>
        </w:rPr>
        <w:t>procedural schedule</w:t>
      </w:r>
      <w:r w:rsidR="00957961" w:rsidRPr="00492B08">
        <w:rPr>
          <w:sz w:val="24"/>
        </w:rPr>
        <w:t xml:space="preserve"> </w:t>
      </w:r>
      <w:r w:rsidR="00E05C55" w:rsidRPr="00492B08">
        <w:rPr>
          <w:sz w:val="24"/>
        </w:rPr>
        <w:t>allows</w:t>
      </w:r>
      <w:r w:rsidR="00957961" w:rsidRPr="00492B08">
        <w:rPr>
          <w:sz w:val="24"/>
        </w:rPr>
        <w:t xml:space="preserve"> time for the </w:t>
      </w:r>
      <w:r w:rsidR="00E33407">
        <w:rPr>
          <w:sz w:val="24"/>
        </w:rPr>
        <w:t>parties</w:t>
      </w:r>
      <w:r w:rsidR="00E33407" w:rsidRPr="00492B08">
        <w:rPr>
          <w:sz w:val="24"/>
        </w:rPr>
        <w:t xml:space="preserve"> </w:t>
      </w:r>
      <w:r w:rsidR="00957961" w:rsidRPr="00492B08">
        <w:rPr>
          <w:sz w:val="24"/>
        </w:rPr>
        <w:t xml:space="preserve">to negotiate </w:t>
      </w:r>
      <w:r w:rsidR="00070F42" w:rsidRPr="00492B08">
        <w:rPr>
          <w:sz w:val="24"/>
        </w:rPr>
        <w:t xml:space="preserve">following the filing </w:t>
      </w:r>
      <w:r w:rsidR="00957961" w:rsidRPr="00492B08">
        <w:rPr>
          <w:sz w:val="24"/>
        </w:rPr>
        <w:t xml:space="preserve">of responsive testimony and </w:t>
      </w:r>
      <w:r w:rsidR="00070F42" w:rsidRPr="00492B08">
        <w:rPr>
          <w:sz w:val="24"/>
        </w:rPr>
        <w:t>of rebuttal testimony</w:t>
      </w:r>
      <w:r w:rsidR="00366F18" w:rsidRPr="00492B08">
        <w:rPr>
          <w:sz w:val="24"/>
        </w:rPr>
        <w:t xml:space="preserve">.  </w:t>
      </w:r>
      <w:r w:rsidR="00957961" w:rsidRPr="00492B08">
        <w:rPr>
          <w:sz w:val="24"/>
        </w:rPr>
        <w:t xml:space="preserve">This is important, because the parties </w:t>
      </w:r>
      <w:r w:rsidR="00957961" w:rsidRPr="00492B08">
        <w:rPr>
          <w:sz w:val="24"/>
        </w:rPr>
        <w:lastRenderedPageBreak/>
        <w:t>m</w:t>
      </w:r>
      <w:r w:rsidR="00CC4188" w:rsidRPr="00492B08">
        <w:rPr>
          <w:sz w:val="24"/>
        </w:rPr>
        <w:t>ay not be prepared to negotiate</w:t>
      </w:r>
      <w:r w:rsidR="00957961" w:rsidRPr="00492B08">
        <w:rPr>
          <w:sz w:val="24"/>
        </w:rPr>
        <w:t xml:space="preserve"> by August 31, 2010, the date set in the procedural schedule for a settlement conference</w:t>
      </w:r>
      <w:r w:rsidR="00CC4188" w:rsidRPr="00492B08">
        <w:rPr>
          <w:sz w:val="24"/>
        </w:rPr>
        <w:t>, or may not be able to reach an agreement then</w:t>
      </w:r>
      <w:r w:rsidR="00957961" w:rsidRPr="00492B08">
        <w:rPr>
          <w:sz w:val="24"/>
        </w:rPr>
        <w:t xml:space="preserve">.  At the prehearing conference Staff had proposed a settlement conference date that was before the filing date </w:t>
      </w:r>
      <w:r w:rsidR="00E05C55" w:rsidRPr="00492B08">
        <w:rPr>
          <w:sz w:val="24"/>
        </w:rPr>
        <w:t>for responsive testimony</w:t>
      </w:r>
      <w:r w:rsidR="00957961" w:rsidRPr="00492B08">
        <w:rPr>
          <w:sz w:val="24"/>
        </w:rPr>
        <w:t xml:space="preserve"> but </w:t>
      </w:r>
      <w:r w:rsidR="00E05C55" w:rsidRPr="00492B08">
        <w:rPr>
          <w:sz w:val="24"/>
        </w:rPr>
        <w:t xml:space="preserve">that </w:t>
      </w:r>
      <w:r w:rsidR="00957961" w:rsidRPr="00492B08">
        <w:rPr>
          <w:sz w:val="24"/>
        </w:rPr>
        <w:t xml:space="preserve">was two months later than the date </w:t>
      </w:r>
      <w:r w:rsidR="00CC4188" w:rsidRPr="00492B08">
        <w:rPr>
          <w:sz w:val="24"/>
        </w:rPr>
        <w:t xml:space="preserve">ultimately </w:t>
      </w:r>
      <w:r w:rsidR="00957961" w:rsidRPr="00492B08">
        <w:rPr>
          <w:sz w:val="24"/>
        </w:rPr>
        <w:t xml:space="preserve">set in the procedural schedule.  </w:t>
      </w:r>
      <w:r w:rsidR="00CC4188" w:rsidRPr="00492B08">
        <w:rPr>
          <w:sz w:val="24"/>
        </w:rPr>
        <w:t xml:space="preserve">Staff’s proposal would have provided the parties an additional two months of discovery and analysis.  </w:t>
      </w:r>
      <w:r w:rsidR="00366F18" w:rsidRPr="00492B08">
        <w:rPr>
          <w:sz w:val="24"/>
        </w:rPr>
        <w:t xml:space="preserve">If the parties to the proceeding are not ready to conduct settlement negotiations on August 31, </w:t>
      </w:r>
      <w:r w:rsidR="00CC4188" w:rsidRPr="00492B08">
        <w:rPr>
          <w:sz w:val="24"/>
        </w:rPr>
        <w:t>or cannot reach agreement at that time</w:t>
      </w:r>
      <w:r w:rsidR="00366F18" w:rsidRPr="00492B08">
        <w:rPr>
          <w:sz w:val="24"/>
        </w:rPr>
        <w:t xml:space="preserve">, the parties likely would hold settlement negotiations after </w:t>
      </w:r>
      <w:r w:rsidR="00957961" w:rsidRPr="00492B08">
        <w:rPr>
          <w:sz w:val="24"/>
        </w:rPr>
        <w:t>responsive or rebuttal</w:t>
      </w:r>
      <w:r w:rsidR="00A53643" w:rsidRPr="00492B08">
        <w:rPr>
          <w:sz w:val="24"/>
        </w:rPr>
        <w:t xml:space="preserve"> </w:t>
      </w:r>
      <w:r w:rsidR="00366F18" w:rsidRPr="00492B08">
        <w:rPr>
          <w:sz w:val="24"/>
        </w:rPr>
        <w:t xml:space="preserve">testimony is filed.  The </w:t>
      </w:r>
      <w:r w:rsidR="00E15B87" w:rsidRPr="00492B08">
        <w:rPr>
          <w:sz w:val="24"/>
        </w:rPr>
        <w:t xml:space="preserve">compressed </w:t>
      </w:r>
      <w:r w:rsidR="005143E3" w:rsidRPr="00492B08">
        <w:rPr>
          <w:sz w:val="24"/>
        </w:rPr>
        <w:t xml:space="preserve">schedule </w:t>
      </w:r>
      <w:r w:rsidR="00E15B87" w:rsidRPr="00492B08">
        <w:rPr>
          <w:sz w:val="24"/>
        </w:rPr>
        <w:t xml:space="preserve">that the Joint Applicants propose </w:t>
      </w:r>
      <w:r w:rsidR="007E196B" w:rsidRPr="00492B08">
        <w:rPr>
          <w:sz w:val="24"/>
        </w:rPr>
        <w:t>leaves little opportunity for</w:t>
      </w:r>
      <w:r w:rsidR="00CF18F2" w:rsidRPr="00492B08">
        <w:rPr>
          <w:sz w:val="24"/>
        </w:rPr>
        <w:t xml:space="preserve"> </w:t>
      </w:r>
      <w:r w:rsidR="005143E3" w:rsidRPr="00492B08">
        <w:rPr>
          <w:sz w:val="24"/>
        </w:rPr>
        <w:t>settlement discussions</w:t>
      </w:r>
      <w:r w:rsidR="00CC4188" w:rsidRPr="00492B08">
        <w:rPr>
          <w:sz w:val="24"/>
        </w:rPr>
        <w:t>, especially given that the parties simultaneously would need to be preparing for hearing during this short timeframe</w:t>
      </w:r>
      <w:r w:rsidR="005143E3" w:rsidRPr="00492B08">
        <w:rPr>
          <w:sz w:val="24"/>
        </w:rPr>
        <w:t>.</w:t>
      </w:r>
    </w:p>
    <w:p w:rsidR="008266B1" w:rsidRPr="00492B08" w:rsidRDefault="008266B1" w:rsidP="00706E61">
      <w:pPr>
        <w:numPr>
          <w:ilvl w:val="0"/>
          <w:numId w:val="2"/>
        </w:numPr>
        <w:spacing w:line="480" w:lineRule="auto"/>
        <w:rPr>
          <w:sz w:val="24"/>
        </w:rPr>
      </w:pPr>
      <w:r>
        <w:rPr>
          <w:sz w:val="24"/>
        </w:rPr>
        <w:tab/>
        <w:t xml:space="preserve">Joint Applicants have not demonstrated or explained why the Commission’s adopted schedule creates any specific prejudice to the Joint Applicants.   The existing schedule provides more than adequate time for the Commission to issue an order prior to the Joint Applicants’ </w:t>
      </w:r>
      <w:r w:rsidR="001D57AD">
        <w:rPr>
          <w:sz w:val="24"/>
        </w:rPr>
        <w:t xml:space="preserve">target </w:t>
      </w:r>
      <w:r>
        <w:rPr>
          <w:sz w:val="24"/>
        </w:rPr>
        <w:t>closing date of the first half of 2011.</w:t>
      </w:r>
      <w:r w:rsidR="001D57AD">
        <w:rPr>
          <w:rStyle w:val="FootnoteReference"/>
          <w:sz w:val="24"/>
        </w:rPr>
        <w:footnoteReference w:id="8"/>
      </w:r>
      <w:r>
        <w:rPr>
          <w:sz w:val="24"/>
        </w:rPr>
        <w:t xml:space="preserve">   The companies’ generalized desire for a shorter schedule does not constitute a showing of prejudice.  The Joint Applicants simply seek to reargue scheduling preferences already presented at the prehearing conference.  The existing scheduling order balanced those desires with the recommendations of other parties and the needs of the Commission.</w:t>
      </w:r>
    </w:p>
    <w:p w:rsidR="00F748D8" w:rsidRPr="009463F9" w:rsidRDefault="008A12DD" w:rsidP="00706E61">
      <w:pPr>
        <w:widowControl/>
        <w:numPr>
          <w:ilvl w:val="0"/>
          <w:numId w:val="2"/>
        </w:numPr>
        <w:spacing w:line="480" w:lineRule="auto"/>
        <w:rPr>
          <w:sz w:val="24"/>
        </w:rPr>
      </w:pPr>
      <w:r>
        <w:rPr>
          <w:sz w:val="24"/>
        </w:rPr>
        <w:lastRenderedPageBreak/>
        <w:tab/>
      </w:r>
      <w:r w:rsidR="009463F9" w:rsidRPr="009463F9">
        <w:rPr>
          <w:sz w:val="24"/>
        </w:rPr>
        <w:t xml:space="preserve">While Staff, Public Counsel, and DoD/FEA </w:t>
      </w:r>
      <w:r w:rsidR="00A96A82">
        <w:rPr>
          <w:sz w:val="24"/>
        </w:rPr>
        <w:t>recognize</w:t>
      </w:r>
      <w:r w:rsidR="009463F9" w:rsidRPr="009463F9">
        <w:rPr>
          <w:sz w:val="24"/>
        </w:rPr>
        <w:t xml:space="preserve"> the gesture of Joint Applicants in proposing a</w:t>
      </w:r>
      <w:r w:rsidR="00CC4188" w:rsidRPr="009463F9">
        <w:rPr>
          <w:sz w:val="24"/>
        </w:rPr>
        <w:t xml:space="preserve"> schedule </w:t>
      </w:r>
      <w:r w:rsidR="009463F9" w:rsidRPr="009463F9">
        <w:rPr>
          <w:sz w:val="24"/>
        </w:rPr>
        <w:t xml:space="preserve">that compresses </w:t>
      </w:r>
      <w:r w:rsidR="00094802">
        <w:rPr>
          <w:sz w:val="24"/>
        </w:rPr>
        <w:t>only those</w:t>
      </w:r>
      <w:r w:rsidR="009463F9" w:rsidRPr="009463F9">
        <w:rPr>
          <w:sz w:val="24"/>
        </w:rPr>
        <w:t xml:space="preserve"> dates </w:t>
      </w:r>
      <w:r w:rsidR="00094802">
        <w:rPr>
          <w:sz w:val="24"/>
        </w:rPr>
        <w:t>following</w:t>
      </w:r>
      <w:r w:rsidR="009463F9" w:rsidRPr="009463F9">
        <w:rPr>
          <w:sz w:val="24"/>
        </w:rPr>
        <w:t xml:space="preserve"> the due </w:t>
      </w:r>
      <w:r w:rsidR="00C56C4B">
        <w:rPr>
          <w:sz w:val="24"/>
        </w:rPr>
        <w:t>date for</w:t>
      </w:r>
      <w:r w:rsidR="009463F9" w:rsidRPr="009463F9">
        <w:rPr>
          <w:sz w:val="24"/>
        </w:rPr>
        <w:t xml:space="preserve"> </w:t>
      </w:r>
      <w:r w:rsidR="009463F9">
        <w:rPr>
          <w:sz w:val="24"/>
        </w:rPr>
        <w:t>prefiled</w:t>
      </w:r>
      <w:r w:rsidR="009463F9" w:rsidRPr="009463F9">
        <w:rPr>
          <w:sz w:val="24"/>
        </w:rPr>
        <w:t xml:space="preserve"> responsive </w:t>
      </w:r>
      <w:r w:rsidR="009463F9">
        <w:rPr>
          <w:sz w:val="24"/>
        </w:rPr>
        <w:t>testimony</w:t>
      </w:r>
      <w:r w:rsidR="009463F9" w:rsidRPr="009463F9">
        <w:rPr>
          <w:sz w:val="24"/>
        </w:rPr>
        <w:t xml:space="preserve">, the </w:t>
      </w:r>
      <w:r w:rsidR="009463F9">
        <w:rPr>
          <w:sz w:val="24"/>
        </w:rPr>
        <w:t>proposal</w:t>
      </w:r>
      <w:r w:rsidR="009463F9" w:rsidRPr="009463F9">
        <w:rPr>
          <w:sz w:val="24"/>
        </w:rPr>
        <w:t xml:space="preserve"> </w:t>
      </w:r>
      <w:r>
        <w:rPr>
          <w:sz w:val="24"/>
        </w:rPr>
        <w:t xml:space="preserve">does </w:t>
      </w:r>
      <w:r w:rsidR="009463F9" w:rsidRPr="009463F9">
        <w:rPr>
          <w:sz w:val="24"/>
        </w:rPr>
        <w:t xml:space="preserve">prejudice the other parties </w:t>
      </w:r>
      <w:r>
        <w:rPr>
          <w:sz w:val="24"/>
        </w:rPr>
        <w:t xml:space="preserve">to this proceeding and undermines the </w:t>
      </w:r>
      <w:r w:rsidR="009463F9" w:rsidRPr="009463F9">
        <w:rPr>
          <w:sz w:val="24"/>
        </w:rPr>
        <w:t xml:space="preserve">regulatory </w:t>
      </w:r>
      <w:r w:rsidR="009463F9">
        <w:rPr>
          <w:sz w:val="24"/>
        </w:rPr>
        <w:t xml:space="preserve">review </w:t>
      </w:r>
      <w:r w:rsidR="009463F9" w:rsidRPr="009463F9">
        <w:rPr>
          <w:sz w:val="24"/>
        </w:rPr>
        <w:t xml:space="preserve">process.  </w:t>
      </w:r>
      <w:r w:rsidR="00C56C4B">
        <w:rPr>
          <w:sz w:val="24"/>
        </w:rPr>
        <w:t>Accordingly</w:t>
      </w:r>
      <w:r w:rsidR="002916A2" w:rsidRPr="009463F9">
        <w:rPr>
          <w:sz w:val="24"/>
        </w:rPr>
        <w:t>, Staff</w:t>
      </w:r>
      <w:r w:rsidR="004F0B77" w:rsidRPr="009463F9">
        <w:rPr>
          <w:sz w:val="24"/>
        </w:rPr>
        <w:t>, Public Counsel, and DoD/FEA</w:t>
      </w:r>
      <w:r w:rsidR="002916A2" w:rsidRPr="009463F9">
        <w:rPr>
          <w:sz w:val="24"/>
        </w:rPr>
        <w:t xml:space="preserve"> </w:t>
      </w:r>
      <w:r w:rsidR="004F0B77" w:rsidRPr="009463F9">
        <w:rPr>
          <w:sz w:val="24"/>
        </w:rPr>
        <w:t>recommend the Commission reject</w:t>
      </w:r>
      <w:r w:rsidR="00516BF5" w:rsidRPr="009463F9">
        <w:rPr>
          <w:sz w:val="24"/>
        </w:rPr>
        <w:t xml:space="preserve"> </w:t>
      </w:r>
      <w:r w:rsidR="002916A2" w:rsidRPr="009463F9">
        <w:rPr>
          <w:sz w:val="24"/>
        </w:rPr>
        <w:t xml:space="preserve">Joint Applicants’ proposed </w:t>
      </w:r>
      <w:r w:rsidR="001D22C5" w:rsidRPr="009463F9">
        <w:rPr>
          <w:sz w:val="24"/>
        </w:rPr>
        <w:t xml:space="preserve">schedule </w:t>
      </w:r>
      <w:r w:rsidR="002916A2" w:rsidRPr="009463F9">
        <w:rPr>
          <w:sz w:val="24"/>
        </w:rPr>
        <w:t>modifications.</w:t>
      </w:r>
    </w:p>
    <w:p w:rsidR="00F748D8" w:rsidRDefault="00F748D8" w:rsidP="00F748D8">
      <w:pPr>
        <w:ind w:left="720"/>
        <w:rPr>
          <w:sz w:val="24"/>
        </w:rPr>
      </w:pPr>
      <w:r w:rsidRPr="004A2910">
        <w:rPr>
          <w:sz w:val="24"/>
        </w:rPr>
        <w:t xml:space="preserve">DATED this </w:t>
      </w:r>
      <w:r w:rsidR="00706E61">
        <w:rPr>
          <w:sz w:val="24"/>
        </w:rPr>
        <w:t>30th</w:t>
      </w:r>
      <w:r w:rsidRPr="004A2910">
        <w:rPr>
          <w:sz w:val="24"/>
        </w:rPr>
        <w:t xml:space="preserve"> day of </w:t>
      </w:r>
      <w:r w:rsidR="00706E61">
        <w:rPr>
          <w:sz w:val="24"/>
        </w:rPr>
        <w:t>June</w:t>
      </w:r>
      <w:r w:rsidRPr="004A2910">
        <w:rPr>
          <w:sz w:val="24"/>
        </w:rPr>
        <w:t xml:space="preserve"> 20</w:t>
      </w:r>
      <w:r w:rsidR="007464F1">
        <w:rPr>
          <w:sz w:val="24"/>
        </w:rPr>
        <w:t>10</w:t>
      </w:r>
      <w:r w:rsidRPr="004A2910">
        <w:rPr>
          <w:sz w:val="24"/>
        </w:rPr>
        <w:t>.</w:t>
      </w:r>
    </w:p>
    <w:p w:rsidR="00F748D8" w:rsidRDefault="00F748D8" w:rsidP="00F748D8">
      <w:pPr>
        <w:ind w:left="720"/>
        <w:rPr>
          <w:sz w:val="24"/>
        </w:rPr>
      </w:pPr>
    </w:p>
    <w:p w:rsidR="0032389D" w:rsidRPr="006F5C90" w:rsidRDefault="00F748D8" w:rsidP="00857DAF">
      <w:pPr>
        <w:ind w:left="720"/>
        <w:rPr>
          <w:sz w:val="24"/>
        </w:rPr>
      </w:pPr>
      <w:r>
        <w:rPr>
          <w:sz w:val="24"/>
        </w:rPr>
        <w:t xml:space="preserve">Respectfully submitted, </w:t>
      </w:r>
    </w:p>
    <w:p w:rsidR="0032389D" w:rsidRPr="006F5C90" w:rsidRDefault="0032389D" w:rsidP="0032389D">
      <w:pPr>
        <w:pStyle w:val="BodyTextIndent2"/>
        <w:keepNext/>
        <w:keepLines/>
        <w:widowControl w:val="0"/>
        <w:ind w:left="0"/>
        <w:rPr>
          <w:rFonts w:ascii="Times New Roman" w:hAnsi="Times New Roman"/>
          <w:color w:val="000000"/>
        </w:rPr>
      </w:pPr>
    </w:p>
    <w:tbl>
      <w:tblPr>
        <w:tblW w:w="10068" w:type="dxa"/>
        <w:tblLayout w:type="fixed"/>
        <w:tblLook w:val="0000"/>
      </w:tblPr>
      <w:tblGrid>
        <w:gridCol w:w="5058"/>
        <w:gridCol w:w="5010"/>
      </w:tblGrid>
      <w:tr w:rsidR="0032389D" w:rsidRPr="006F5C90" w:rsidTr="0079664E">
        <w:tc>
          <w:tcPr>
            <w:tcW w:w="5058" w:type="dxa"/>
            <w:tcBorders>
              <w:top w:val="nil"/>
              <w:left w:val="nil"/>
              <w:bottom w:val="nil"/>
              <w:right w:val="nil"/>
            </w:tcBorders>
          </w:tcPr>
          <w:p w:rsidR="0032389D" w:rsidRPr="006F5C90" w:rsidRDefault="0032389D" w:rsidP="0079664E">
            <w:pPr>
              <w:widowControl/>
              <w:rPr>
                <w:sz w:val="24"/>
              </w:rPr>
            </w:pPr>
            <w:r w:rsidRPr="006F5C90">
              <w:rPr>
                <w:sz w:val="24"/>
              </w:rPr>
              <w:t>WASHINGTON UTILITIES AND</w:t>
            </w:r>
          </w:p>
          <w:p w:rsidR="0032389D" w:rsidRPr="006F5C90" w:rsidRDefault="0032389D" w:rsidP="0079664E">
            <w:pPr>
              <w:widowControl/>
              <w:rPr>
                <w:sz w:val="24"/>
              </w:rPr>
            </w:pPr>
            <w:r w:rsidRPr="006F5C90">
              <w:rPr>
                <w:sz w:val="24"/>
              </w:rPr>
              <w:t>TRANSPORTATION COMMISSION</w:t>
            </w:r>
          </w:p>
          <w:p w:rsidR="0032389D" w:rsidRPr="006F5C90" w:rsidRDefault="0032389D" w:rsidP="0079664E">
            <w:pPr>
              <w:widowControl/>
              <w:rPr>
                <w:sz w:val="24"/>
              </w:rPr>
            </w:pPr>
          </w:p>
          <w:p w:rsidR="0032389D" w:rsidRPr="006F5C90" w:rsidRDefault="0032389D" w:rsidP="0079664E">
            <w:pPr>
              <w:rPr>
                <w:sz w:val="24"/>
              </w:rPr>
            </w:pPr>
            <w:r w:rsidRPr="006F5C90">
              <w:rPr>
                <w:sz w:val="24"/>
              </w:rPr>
              <w:t>ROBERT M. MCKENNA</w:t>
            </w:r>
          </w:p>
          <w:p w:rsidR="0032389D" w:rsidRPr="006F5C90" w:rsidRDefault="0032389D" w:rsidP="0079664E">
            <w:pPr>
              <w:rPr>
                <w:sz w:val="24"/>
              </w:rPr>
            </w:pPr>
            <w:r w:rsidRPr="006F5C90">
              <w:rPr>
                <w:sz w:val="24"/>
              </w:rPr>
              <w:t>Attorney General</w:t>
            </w:r>
          </w:p>
          <w:p w:rsidR="0032389D" w:rsidRPr="006F5C90" w:rsidRDefault="0032389D" w:rsidP="0079664E">
            <w:pPr>
              <w:rPr>
                <w:sz w:val="24"/>
              </w:rPr>
            </w:pPr>
          </w:p>
          <w:p w:rsidR="0032389D" w:rsidRPr="006F5C90" w:rsidRDefault="0032389D" w:rsidP="0079664E">
            <w:pPr>
              <w:rPr>
                <w:sz w:val="24"/>
              </w:rPr>
            </w:pPr>
          </w:p>
          <w:p w:rsidR="0032389D" w:rsidRPr="006F5C90" w:rsidRDefault="0032389D" w:rsidP="0079664E">
            <w:pPr>
              <w:widowControl/>
              <w:rPr>
                <w:sz w:val="24"/>
              </w:rPr>
            </w:pPr>
          </w:p>
        </w:tc>
        <w:tc>
          <w:tcPr>
            <w:tcW w:w="5010" w:type="dxa"/>
            <w:tcBorders>
              <w:top w:val="nil"/>
              <w:left w:val="nil"/>
              <w:bottom w:val="nil"/>
              <w:right w:val="nil"/>
            </w:tcBorders>
          </w:tcPr>
          <w:p w:rsidR="0032389D" w:rsidRDefault="0032389D" w:rsidP="0079664E">
            <w:pPr>
              <w:widowControl/>
              <w:rPr>
                <w:sz w:val="24"/>
              </w:rPr>
            </w:pPr>
            <w:r>
              <w:rPr>
                <w:sz w:val="24"/>
              </w:rPr>
              <w:t>OFFICE OF THE ATTORNEY GENERAL</w:t>
            </w:r>
          </w:p>
          <w:p w:rsidR="0032389D" w:rsidRDefault="0032389D" w:rsidP="0079664E">
            <w:pPr>
              <w:widowControl/>
              <w:rPr>
                <w:sz w:val="24"/>
              </w:rPr>
            </w:pPr>
            <w:r>
              <w:rPr>
                <w:sz w:val="24"/>
              </w:rPr>
              <w:t>PUBLIC COUNSEL SECTION</w:t>
            </w:r>
          </w:p>
          <w:p w:rsidR="0032389D" w:rsidRDefault="0032389D" w:rsidP="0079664E">
            <w:pPr>
              <w:widowControl/>
              <w:rPr>
                <w:sz w:val="24"/>
              </w:rPr>
            </w:pPr>
          </w:p>
          <w:p w:rsidR="0032389D" w:rsidRPr="006F5C90" w:rsidRDefault="0032389D" w:rsidP="0079664E">
            <w:pPr>
              <w:rPr>
                <w:sz w:val="24"/>
              </w:rPr>
            </w:pPr>
            <w:r w:rsidRPr="006F5C90">
              <w:rPr>
                <w:sz w:val="24"/>
              </w:rPr>
              <w:t>ROBERT M. MCKENNA</w:t>
            </w:r>
          </w:p>
          <w:p w:rsidR="0032389D" w:rsidRPr="006F5C90" w:rsidRDefault="0032389D" w:rsidP="0079664E">
            <w:pPr>
              <w:rPr>
                <w:sz w:val="24"/>
              </w:rPr>
            </w:pPr>
            <w:r w:rsidRPr="006F5C90">
              <w:rPr>
                <w:sz w:val="24"/>
              </w:rPr>
              <w:t>Attorney General</w:t>
            </w:r>
          </w:p>
          <w:p w:rsidR="0032389D" w:rsidRPr="006F5C90" w:rsidRDefault="0032389D" w:rsidP="0079664E">
            <w:pPr>
              <w:widowControl/>
              <w:rPr>
                <w:sz w:val="24"/>
              </w:rPr>
            </w:pPr>
          </w:p>
        </w:tc>
      </w:tr>
      <w:tr w:rsidR="0032389D" w:rsidRPr="006F5C90" w:rsidTr="0079664E">
        <w:tc>
          <w:tcPr>
            <w:tcW w:w="5058" w:type="dxa"/>
            <w:tcBorders>
              <w:top w:val="nil"/>
              <w:left w:val="nil"/>
              <w:bottom w:val="nil"/>
              <w:right w:val="nil"/>
            </w:tcBorders>
          </w:tcPr>
          <w:p w:rsidR="0032389D" w:rsidRPr="006F5C90" w:rsidRDefault="0032389D" w:rsidP="0079664E">
            <w:pPr>
              <w:widowControl/>
              <w:rPr>
                <w:sz w:val="24"/>
              </w:rPr>
            </w:pPr>
            <w:r w:rsidRPr="006F5C90">
              <w:rPr>
                <w:sz w:val="24"/>
              </w:rPr>
              <w:t>___________________________________</w:t>
            </w:r>
            <w:r w:rsidRPr="006F5C90">
              <w:rPr>
                <w:sz w:val="24"/>
              </w:rPr>
              <w:tab/>
            </w:r>
          </w:p>
          <w:p w:rsidR="0032389D" w:rsidRPr="006F5C90" w:rsidRDefault="0032389D" w:rsidP="0079664E">
            <w:pPr>
              <w:widowControl/>
              <w:rPr>
                <w:sz w:val="24"/>
              </w:rPr>
            </w:pPr>
            <w:r>
              <w:rPr>
                <w:sz w:val="24"/>
              </w:rPr>
              <w:t>JENNIFER CAMERON-RULKOWSKI</w:t>
            </w:r>
          </w:p>
          <w:p w:rsidR="0032389D" w:rsidRPr="006F5C90" w:rsidRDefault="0032389D" w:rsidP="0079664E">
            <w:pPr>
              <w:widowControl/>
              <w:rPr>
                <w:sz w:val="24"/>
              </w:rPr>
            </w:pPr>
            <w:r w:rsidRPr="006F5C90">
              <w:rPr>
                <w:sz w:val="24"/>
              </w:rPr>
              <w:t>Assistant Attorney General</w:t>
            </w:r>
          </w:p>
          <w:p w:rsidR="0032389D" w:rsidRPr="006F5C90" w:rsidRDefault="0032389D" w:rsidP="0079664E">
            <w:pPr>
              <w:widowControl/>
              <w:rPr>
                <w:sz w:val="24"/>
              </w:rPr>
            </w:pPr>
            <w:r w:rsidRPr="006F5C90">
              <w:rPr>
                <w:sz w:val="24"/>
              </w:rPr>
              <w:t>Counsel for Commission Staff</w:t>
            </w:r>
          </w:p>
          <w:p w:rsidR="0032389D" w:rsidRPr="006F5C90" w:rsidRDefault="0032389D" w:rsidP="0079664E">
            <w:pPr>
              <w:widowControl/>
              <w:rPr>
                <w:sz w:val="24"/>
              </w:rPr>
            </w:pPr>
            <w:r w:rsidRPr="006F5C90">
              <w:rPr>
                <w:sz w:val="24"/>
              </w:rPr>
              <w:t xml:space="preserve"> </w:t>
            </w:r>
          </w:p>
          <w:p w:rsidR="0032389D" w:rsidRPr="006F5C90" w:rsidRDefault="0032389D" w:rsidP="0079664E">
            <w:pPr>
              <w:widowControl/>
              <w:rPr>
                <w:sz w:val="24"/>
              </w:rPr>
            </w:pPr>
          </w:p>
        </w:tc>
        <w:tc>
          <w:tcPr>
            <w:tcW w:w="5010" w:type="dxa"/>
            <w:tcBorders>
              <w:top w:val="nil"/>
              <w:left w:val="nil"/>
              <w:bottom w:val="nil"/>
              <w:right w:val="nil"/>
            </w:tcBorders>
          </w:tcPr>
          <w:p w:rsidR="0032389D" w:rsidRPr="006F5C90" w:rsidRDefault="0032389D" w:rsidP="0079664E">
            <w:pPr>
              <w:widowControl/>
              <w:rPr>
                <w:sz w:val="24"/>
              </w:rPr>
            </w:pPr>
            <w:r w:rsidRPr="006F5C90">
              <w:rPr>
                <w:sz w:val="24"/>
              </w:rPr>
              <w:t>_____________________________________</w:t>
            </w:r>
          </w:p>
          <w:p w:rsidR="0032389D" w:rsidRPr="006F5C90" w:rsidRDefault="0032389D" w:rsidP="0079664E">
            <w:pPr>
              <w:widowControl/>
              <w:rPr>
                <w:sz w:val="24"/>
              </w:rPr>
            </w:pPr>
            <w:r>
              <w:rPr>
                <w:sz w:val="24"/>
              </w:rPr>
              <w:t>SIMON J. FFITCH</w:t>
            </w:r>
          </w:p>
          <w:p w:rsidR="0032389D" w:rsidRPr="006F5C90" w:rsidRDefault="0032389D" w:rsidP="0079664E">
            <w:pPr>
              <w:widowControl/>
              <w:rPr>
                <w:sz w:val="24"/>
              </w:rPr>
            </w:pPr>
            <w:r>
              <w:rPr>
                <w:sz w:val="24"/>
              </w:rPr>
              <w:t>Senior Assistant Attorney General</w:t>
            </w:r>
          </w:p>
          <w:p w:rsidR="0032389D" w:rsidRPr="006F5C90" w:rsidRDefault="0032389D" w:rsidP="0079664E">
            <w:pPr>
              <w:widowControl/>
              <w:rPr>
                <w:sz w:val="24"/>
              </w:rPr>
            </w:pPr>
          </w:p>
          <w:p w:rsidR="0032389D" w:rsidRPr="006F5C90" w:rsidRDefault="0032389D" w:rsidP="0079664E">
            <w:pPr>
              <w:widowControl/>
              <w:rPr>
                <w:sz w:val="24"/>
              </w:rPr>
            </w:pPr>
          </w:p>
          <w:p w:rsidR="0032389D" w:rsidRPr="006F5C90" w:rsidRDefault="0032389D" w:rsidP="0079664E">
            <w:pPr>
              <w:widowControl/>
              <w:rPr>
                <w:sz w:val="24"/>
              </w:rPr>
            </w:pPr>
          </w:p>
        </w:tc>
      </w:tr>
    </w:tbl>
    <w:p w:rsidR="0032389D" w:rsidRDefault="0032389D" w:rsidP="0032389D">
      <w:pPr>
        <w:widowControl/>
        <w:rPr>
          <w:sz w:val="24"/>
        </w:rPr>
      </w:pPr>
      <w:bookmarkStart w:id="0" w:name="_DV_M63"/>
      <w:bookmarkStart w:id="1" w:name="_DV_M70"/>
      <w:bookmarkEnd w:id="0"/>
      <w:bookmarkEnd w:id="1"/>
    </w:p>
    <w:p w:rsidR="0032389D" w:rsidRDefault="0032389D" w:rsidP="0032389D">
      <w:pPr>
        <w:rPr>
          <w:sz w:val="24"/>
        </w:rPr>
      </w:pPr>
      <w:r w:rsidRPr="006F5C90">
        <w:rPr>
          <w:sz w:val="24"/>
        </w:rPr>
        <w:t>U.S. D</w:t>
      </w:r>
      <w:r>
        <w:rPr>
          <w:sz w:val="24"/>
        </w:rPr>
        <w:t>EPARTMENT OF DEFENSE AND ALL</w:t>
      </w:r>
    </w:p>
    <w:p w:rsidR="0032389D" w:rsidRDefault="0032389D" w:rsidP="0032389D">
      <w:pPr>
        <w:rPr>
          <w:sz w:val="24"/>
        </w:rPr>
      </w:pPr>
      <w:r>
        <w:rPr>
          <w:sz w:val="24"/>
        </w:rPr>
        <w:t>OTHER FEDERAL EXECUTIVE AGENCIES</w:t>
      </w:r>
    </w:p>
    <w:p w:rsidR="0032389D" w:rsidRDefault="0032389D" w:rsidP="0032389D">
      <w:pPr>
        <w:rPr>
          <w:sz w:val="24"/>
        </w:rPr>
      </w:pPr>
    </w:p>
    <w:p w:rsidR="0032389D" w:rsidRDefault="0032389D" w:rsidP="0032389D">
      <w:pPr>
        <w:rPr>
          <w:sz w:val="24"/>
        </w:rPr>
      </w:pPr>
    </w:p>
    <w:p w:rsidR="0032389D" w:rsidRDefault="0032389D" w:rsidP="0032389D">
      <w:pPr>
        <w:rPr>
          <w:sz w:val="24"/>
        </w:rPr>
      </w:pPr>
    </w:p>
    <w:p w:rsidR="0032389D" w:rsidRPr="006F5C90" w:rsidRDefault="0032389D" w:rsidP="0032389D">
      <w:pPr>
        <w:rPr>
          <w:sz w:val="24"/>
        </w:rPr>
      </w:pPr>
      <w:r>
        <w:rPr>
          <w:sz w:val="24"/>
        </w:rPr>
        <w:t>____________________________________</w:t>
      </w:r>
    </w:p>
    <w:p w:rsidR="0032389D" w:rsidRPr="00375F65" w:rsidRDefault="0032389D" w:rsidP="0032389D">
      <w:pPr>
        <w:rPr>
          <w:sz w:val="24"/>
        </w:rPr>
      </w:pPr>
      <w:r w:rsidRPr="00375F65">
        <w:rPr>
          <w:sz w:val="24"/>
        </w:rPr>
        <w:t>STEPHEN S. MELNIKOFF</w:t>
      </w:r>
    </w:p>
    <w:p w:rsidR="0032389D" w:rsidRPr="00375F65" w:rsidRDefault="0032389D" w:rsidP="0032389D">
      <w:pPr>
        <w:rPr>
          <w:sz w:val="24"/>
        </w:rPr>
      </w:pPr>
      <w:r w:rsidRPr="00375F65">
        <w:rPr>
          <w:sz w:val="24"/>
        </w:rPr>
        <w:t>General Attorney</w:t>
      </w:r>
    </w:p>
    <w:p w:rsidR="00F748D8" w:rsidRDefault="00F748D8"/>
    <w:sectPr w:rsidR="00F748D8" w:rsidSect="00F748D8">
      <w:footerReference w:type="default" r:id="rId8"/>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704" w:rsidRDefault="005A5704">
      <w:r>
        <w:separator/>
      </w:r>
    </w:p>
  </w:endnote>
  <w:endnote w:type="continuationSeparator" w:id="0">
    <w:p w:rsidR="005A5704" w:rsidRDefault="005A5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04" w:rsidRDefault="005A5704" w:rsidP="002874C5">
    <w:pPr>
      <w:pStyle w:val="Footer"/>
    </w:pPr>
    <w:r>
      <w:t xml:space="preserve">STAFF, PUBLIC COUNSEL, AND DoD/FEA RESPONSE </w:t>
    </w:r>
  </w:p>
  <w:p w:rsidR="005A5704" w:rsidRPr="00737B08" w:rsidRDefault="005A5704" w:rsidP="002874C5">
    <w:pPr>
      <w:pStyle w:val="Footer"/>
    </w:pPr>
    <w:r>
      <w:t>TO OBJECTIONS TO PROCEDURAL SCHEDULE</w:t>
    </w:r>
    <w:r w:rsidRPr="00737B08">
      <w:t xml:space="preserve"> - </w:t>
    </w:r>
    <w:r w:rsidR="00EE28B7" w:rsidRPr="00737B08">
      <w:rPr>
        <w:rStyle w:val="PageNumber"/>
      </w:rPr>
      <w:fldChar w:fldCharType="begin"/>
    </w:r>
    <w:r w:rsidRPr="00737B08">
      <w:rPr>
        <w:rStyle w:val="PageNumber"/>
      </w:rPr>
      <w:instrText xml:space="preserve"> PAGE </w:instrText>
    </w:r>
    <w:r w:rsidR="00EE28B7" w:rsidRPr="00737B08">
      <w:rPr>
        <w:rStyle w:val="PageNumber"/>
      </w:rPr>
      <w:fldChar w:fldCharType="separate"/>
    </w:r>
    <w:r w:rsidR="00857DAF">
      <w:rPr>
        <w:rStyle w:val="PageNumber"/>
        <w:noProof/>
      </w:rPr>
      <w:t>5</w:t>
    </w:r>
    <w:r w:rsidR="00EE28B7" w:rsidRPr="00737B0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704" w:rsidRDefault="005A5704">
      <w:r>
        <w:separator/>
      </w:r>
    </w:p>
  </w:footnote>
  <w:footnote w:type="continuationSeparator" w:id="0">
    <w:p w:rsidR="005A5704" w:rsidRDefault="005A5704">
      <w:r>
        <w:continuationSeparator/>
      </w:r>
    </w:p>
  </w:footnote>
  <w:footnote w:id="1">
    <w:p w:rsidR="005A5704" w:rsidRPr="00E42CA1" w:rsidRDefault="005A5704">
      <w:pPr>
        <w:pStyle w:val="FootnoteText"/>
      </w:pPr>
      <w:r>
        <w:rPr>
          <w:rStyle w:val="FootnoteReference"/>
        </w:rPr>
        <w:footnoteRef/>
      </w:r>
      <w:r>
        <w:t xml:space="preserve"> Joint Applicants’ Objection to, and Request for Review of, the Schedule Established in Prehearing Conference Order 02, filed June 22, 2010, at p.2, ¶ 4.</w:t>
      </w:r>
    </w:p>
  </w:footnote>
  <w:footnote w:id="2">
    <w:p w:rsidR="005A5704" w:rsidRDefault="005A5704">
      <w:pPr>
        <w:pStyle w:val="FootnoteText"/>
      </w:pPr>
      <w:r>
        <w:rPr>
          <w:rStyle w:val="FootnoteReference"/>
        </w:rPr>
        <w:footnoteRef/>
      </w:r>
      <w:r>
        <w:t xml:space="preserve"> Public Counsel also filed an objection to the schedule, and </w:t>
      </w:r>
      <w:r w:rsidRPr="00E42CA1">
        <w:t xml:space="preserve">Staff and DoD/FEA concur with Public Counsel’s arguments and </w:t>
      </w:r>
      <w:r>
        <w:t>requested</w:t>
      </w:r>
      <w:r w:rsidRPr="00E42CA1">
        <w:t xml:space="preserve"> relief, including the request for the alternative date no earlier than December 17, 2010, for the distribution of cross-examination exhibits.</w:t>
      </w:r>
    </w:p>
  </w:footnote>
  <w:footnote w:id="3">
    <w:p w:rsidR="005A5704" w:rsidRDefault="005A5704">
      <w:pPr>
        <w:pStyle w:val="FootnoteText"/>
      </w:pPr>
      <w:r>
        <w:rPr>
          <w:rStyle w:val="FootnoteReference"/>
        </w:rPr>
        <w:footnoteRef/>
      </w:r>
      <w:r>
        <w:t xml:space="preserve"> Joint Applicants’ Objection at p. 2, ¶ 6.</w:t>
      </w:r>
    </w:p>
  </w:footnote>
  <w:footnote w:id="4">
    <w:p w:rsidR="005A5704" w:rsidRDefault="005A5704">
      <w:pPr>
        <w:pStyle w:val="FootnoteText"/>
      </w:pPr>
      <w:r>
        <w:rPr>
          <w:rStyle w:val="FootnoteReference"/>
        </w:rPr>
        <w:footnoteRef/>
      </w:r>
      <w:r>
        <w:t xml:space="preserve"> </w:t>
      </w:r>
      <w:r w:rsidRPr="007353BD">
        <w:rPr>
          <w:i/>
        </w:rPr>
        <w:t>In the Matter of the Joint Application of Verizon Communications Inc. and Frontier Communications Corporation For an Order Declining to Assert Jurisdiction Over, or, in the Alternative, Approving the Indirect Transfer of Control of Verizon Northwest Inc.</w:t>
      </w:r>
      <w:r>
        <w:t>, Docket UT-090842, Appendix A, Modified Procedural Schedule (September 1, 2009).</w:t>
      </w:r>
    </w:p>
  </w:footnote>
  <w:footnote w:id="5">
    <w:p w:rsidR="005A5704" w:rsidRPr="00EE3695" w:rsidRDefault="005A5704">
      <w:pPr>
        <w:pStyle w:val="FootnoteText"/>
        <w:rPr>
          <w:i/>
        </w:rPr>
      </w:pPr>
      <w:r>
        <w:rPr>
          <w:rStyle w:val="FootnoteReference"/>
        </w:rPr>
        <w:footnoteRef/>
      </w:r>
      <w:r>
        <w:t xml:space="preserve"> Joint Applicants’ Objection at p. 2, ¶ 6</w:t>
      </w:r>
      <w:r>
        <w:rPr>
          <w:i/>
        </w:rPr>
        <w:t>.</w:t>
      </w:r>
    </w:p>
  </w:footnote>
  <w:footnote w:id="6">
    <w:p w:rsidR="005A5704" w:rsidRPr="00EC6381" w:rsidRDefault="005A5704" w:rsidP="00EC6381">
      <w:pPr>
        <w:tabs>
          <w:tab w:val="left" w:pos="2160"/>
        </w:tabs>
        <w:rPr>
          <w:bCs/>
          <w:szCs w:val="20"/>
        </w:rPr>
      </w:pPr>
      <w:r>
        <w:rPr>
          <w:rStyle w:val="FootnoteReference"/>
        </w:rPr>
        <w:footnoteRef/>
      </w:r>
      <w:r>
        <w:t xml:space="preserve"> </w:t>
      </w:r>
      <w:r w:rsidRPr="00EC1960">
        <w:rPr>
          <w:bCs/>
          <w:i/>
          <w:szCs w:val="20"/>
        </w:rPr>
        <w:t>In the Matter of the Joint Application of Embarq Corporation and CenturyTel, Inc. For Approval of Transfer of Control of United Telephone Company of the Northwest d/b/a Embarq and Embarq Communications, Inc</w:t>
      </w:r>
      <w:r>
        <w:rPr>
          <w:bCs/>
          <w:szCs w:val="20"/>
        </w:rPr>
        <w:t>., Docket UT-</w:t>
      </w:r>
      <w:r w:rsidRPr="00EC6381">
        <w:rPr>
          <w:bCs/>
          <w:szCs w:val="20"/>
        </w:rPr>
        <w:t>082119</w:t>
      </w:r>
      <w:r>
        <w:rPr>
          <w:bCs/>
          <w:szCs w:val="20"/>
        </w:rPr>
        <w:t>, Appendix A, Procedural Schedule (January 6, 2009).</w:t>
      </w:r>
    </w:p>
  </w:footnote>
  <w:footnote w:id="7">
    <w:p w:rsidR="005A5704" w:rsidRDefault="005A5704">
      <w:pPr>
        <w:pStyle w:val="FootnoteText"/>
      </w:pPr>
      <w:r>
        <w:rPr>
          <w:rStyle w:val="FootnoteReference"/>
        </w:rPr>
        <w:footnoteRef/>
      </w:r>
      <w:r>
        <w:t xml:space="preserve"> ACC Docket Nos. </w:t>
      </w:r>
      <w:r w:rsidRPr="003B531A">
        <w:t>T-01051B-10-0194</w:t>
      </w:r>
      <w:r>
        <w:t>, et. al.  It also should be noted that the hearings in the Arizona proceeding have been scheduled for November 15</w:t>
      </w:r>
      <w:r w:rsidR="00172ED0">
        <w:t>th</w:t>
      </w:r>
      <w:r>
        <w:t>, 16</w:t>
      </w:r>
      <w:r w:rsidR="00172ED0">
        <w:t>th</w:t>
      </w:r>
      <w:r w:rsidR="00615C2E">
        <w:t xml:space="preserve">, </w:t>
      </w:r>
      <w:r>
        <w:t>19</w:t>
      </w:r>
      <w:r w:rsidR="00172ED0">
        <w:t>th</w:t>
      </w:r>
      <w:r>
        <w:t xml:space="preserve"> and 30</w:t>
      </w:r>
      <w:r w:rsidR="00172ED0">
        <w:t>th</w:t>
      </w:r>
      <w:r>
        <w:t>.</w:t>
      </w:r>
    </w:p>
  </w:footnote>
  <w:footnote w:id="8">
    <w:p w:rsidR="005A5704" w:rsidRDefault="005A5704">
      <w:pPr>
        <w:pStyle w:val="FootnoteText"/>
      </w:pPr>
      <w:r>
        <w:rPr>
          <w:rStyle w:val="FootnoteReference"/>
        </w:rPr>
        <w:footnoteRef/>
      </w:r>
      <w:r>
        <w:t xml:space="preserve"> This target was disseminated in the companies’ press release on the transaction, issued April 22, 2010 and </w:t>
      </w:r>
      <w:r w:rsidR="00C37648">
        <w:t xml:space="preserve">currently </w:t>
      </w:r>
      <w:r>
        <w:t xml:space="preserve">available online at </w:t>
      </w:r>
      <w:r w:rsidRPr="005A5704">
        <w:t>http://centurylinkqwestmerger.com/index.php?page=news</w:t>
      </w:r>
      <w:r>
        <w:t xml:space="preserve">.  </w:t>
      </w:r>
      <w:r w:rsidR="00F45E2D">
        <w:t xml:space="preserve">Filings with the federal government reflect the same target—see, for example, </w:t>
      </w:r>
      <w:r>
        <w:t xml:space="preserve">CenturyLink’s Form S-4 filing with the Securities and Exchange Commission, dated June 4, 2010, </w:t>
      </w:r>
      <w:r w:rsidR="00F45E2D">
        <w:t xml:space="preserve">which </w:t>
      </w:r>
      <w:r>
        <w:t xml:space="preserve">states, “We currently expect to complete the merger in the first half of 2011.” </w:t>
      </w:r>
      <w:r w:rsidR="009F0795">
        <w:t xml:space="preserve"> Joint Application at Exhibit F:</w:t>
      </w:r>
      <w:r>
        <w:t xml:space="preserve"> CenturyLink Form S-4, p. 2.  </w:t>
      </w:r>
      <w:r w:rsidR="00F45E2D">
        <w:t>In addition,</w:t>
      </w:r>
      <w:r w:rsidR="00F0573D">
        <w:t xml:space="preserve"> the merger agreement itself provides that Qwest and CenturyLink have until April 21, 2011, to consummate the transaction, and that this date can be extended for up to six months.  Joint Application at Exhibit C: Merger Agreement 8K, Section 8.01, p. 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748D8"/>
    <w:rsid w:val="000040E4"/>
    <w:rsid w:val="00025DB8"/>
    <w:rsid w:val="00070F42"/>
    <w:rsid w:val="0008198A"/>
    <w:rsid w:val="00094802"/>
    <w:rsid w:val="000A2CA2"/>
    <w:rsid w:val="000A559A"/>
    <w:rsid w:val="000D501A"/>
    <w:rsid w:val="00101BDA"/>
    <w:rsid w:val="0014096F"/>
    <w:rsid w:val="00172ED0"/>
    <w:rsid w:val="0018736C"/>
    <w:rsid w:val="00190C02"/>
    <w:rsid w:val="001A11A3"/>
    <w:rsid w:val="001A3E51"/>
    <w:rsid w:val="001A586D"/>
    <w:rsid w:val="001D22C5"/>
    <w:rsid w:val="001D57AD"/>
    <w:rsid w:val="001F2882"/>
    <w:rsid w:val="001F358A"/>
    <w:rsid w:val="00255923"/>
    <w:rsid w:val="00265432"/>
    <w:rsid w:val="00285D9A"/>
    <w:rsid w:val="002874C5"/>
    <w:rsid w:val="002916A2"/>
    <w:rsid w:val="00292BB7"/>
    <w:rsid w:val="002F757E"/>
    <w:rsid w:val="00301085"/>
    <w:rsid w:val="0032389D"/>
    <w:rsid w:val="00345212"/>
    <w:rsid w:val="00351BC2"/>
    <w:rsid w:val="00366607"/>
    <w:rsid w:val="00366F18"/>
    <w:rsid w:val="0037226D"/>
    <w:rsid w:val="003A54C9"/>
    <w:rsid w:val="003B531A"/>
    <w:rsid w:val="003C5390"/>
    <w:rsid w:val="003D33C8"/>
    <w:rsid w:val="003E3B7E"/>
    <w:rsid w:val="003F1945"/>
    <w:rsid w:val="00412D5E"/>
    <w:rsid w:val="00417360"/>
    <w:rsid w:val="00420F5F"/>
    <w:rsid w:val="00433261"/>
    <w:rsid w:val="00446C6A"/>
    <w:rsid w:val="00470852"/>
    <w:rsid w:val="00492B08"/>
    <w:rsid w:val="004A4F64"/>
    <w:rsid w:val="004B1070"/>
    <w:rsid w:val="004C3D65"/>
    <w:rsid w:val="004C4A73"/>
    <w:rsid w:val="004F0B77"/>
    <w:rsid w:val="004F69A5"/>
    <w:rsid w:val="00501FFC"/>
    <w:rsid w:val="005143E3"/>
    <w:rsid w:val="00516BF5"/>
    <w:rsid w:val="005378F5"/>
    <w:rsid w:val="00595D41"/>
    <w:rsid w:val="005A5704"/>
    <w:rsid w:val="005E07C2"/>
    <w:rsid w:val="00603796"/>
    <w:rsid w:val="006106BF"/>
    <w:rsid w:val="00615C2E"/>
    <w:rsid w:val="006167D9"/>
    <w:rsid w:val="00631693"/>
    <w:rsid w:val="00641F98"/>
    <w:rsid w:val="006461E9"/>
    <w:rsid w:val="0065561B"/>
    <w:rsid w:val="006642D1"/>
    <w:rsid w:val="00677F0D"/>
    <w:rsid w:val="006A0D50"/>
    <w:rsid w:val="006C4B05"/>
    <w:rsid w:val="006C5E60"/>
    <w:rsid w:val="006D4C1C"/>
    <w:rsid w:val="006D6F8A"/>
    <w:rsid w:val="00706E61"/>
    <w:rsid w:val="00732C6D"/>
    <w:rsid w:val="007353BD"/>
    <w:rsid w:val="00737B08"/>
    <w:rsid w:val="007438F5"/>
    <w:rsid w:val="007464F1"/>
    <w:rsid w:val="0076699B"/>
    <w:rsid w:val="00782978"/>
    <w:rsid w:val="0079664E"/>
    <w:rsid w:val="007C0049"/>
    <w:rsid w:val="007C1BA6"/>
    <w:rsid w:val="007E196B"/>
    <w:rsid w:val="008266B1"/>
    <w:rsid w:val="0083697E"/>
    <w:rsid w:val="00857DAF"/>
    <w:rsid w:val="0089062F"/>
    <w:rsid w:val="008A12DD"/>
    <w:rsid w:val="008E095D"/>
    <w:rsid w:val="00922D5A"/>
    <w:rsid w:val="009463F9"/>
    <w:rsid w:val="00957961"/>
    <w:rsid w:val="00973E22"/>
    <w:rsid w:val="00977990"/>
    <w:rsid w:val="009819DD"/>
    <w:rsid w:val="00981A14"/>
    <w:rsid w:val="009C2DB0"/>
    <w:rsid w:val="009D6057"/>
    <w:rsid w:val="009F0795"/>
    <w:rsid w:val="00A03C08"/>
    <w:rsid w:val="00A45859"/>
    <w:rsid w:val="00A53643"/>
    <w:rsid w:val="00A64694"/>
    <w:rsid w:val="00A80028"/>
    <w:rsid w:val="00A84EE6"/>
    <w:rsid w:val="00A918DE"/>
    <w:rsid w:val="00A96A82"/>
    <w:rsid w:val="00AC3B53"/>
    <w:rsid w:val="00B26348"/>
    <w:rsid w:val="00B43478"/>
    <w:rsid w:val="00B70AC6"/>
    <w:rsid w:val="00B73973"/>
    <w:rsid w:val="00B97F10"/>
    <w:rsid w:val="00BB538E"/>
    <w:rsid w:val="00BF219B"/>
    <w:rsid w:val="00BF3CD1"/>
    <w:rsid w:val="00C01434"/>
    <w:rsid w:val="00C02670"/>
    <w:rsid w:val="00C360A4"/>
    <w:rsid w:val="00C37648"/>
    <w:rsid w:val="00C5478B"/>
    <w:rsid w:val="00C56C4B"/>
    <w:rsid w:val="00C74294"/>
    <w:rsid w:val="00CC4188"/>
    <w:rsid w:val="00CD012A"/>
    <w:rsid w:val="00CF18F2"/>
    <w:rsid w:val="00D22816"/>
    <w:rsid w:val="00D653E0"/>
    <w:rsid w:val="00DA492F"/>
    <w:rsid w:val="00DB424B"/>
    <w:rsid w:val="00E03835"/>
    <w:rsid w:val="00E05C55"/>
    <w:rsid w:val="00E0761B"/>
    <w:rsid w:val="00E15B87"/>
    <w:rsid w:val="00E23F1F"/>
    <w:rsid w:val="00E33407"/>
    <w:rsid w:val="00E42CA1"/>
    <w:rsid w:val="00E55BAC"/>
    <w:rsid w:val="00EC1960"/>
    <w:rsid w:val="00EC6381"/>
    <w:rsid w:val="00EE28B7"/>
    <w:rsid w:val="00EE3695"/>
    <w:rsid w:val="00F0573D"/>
    <w:rsid w:val="00F14366"/>
    <w:rsid w:val="00F45E2D"/>
    <w:rsid w:val="00F4696B"/>
    <w:rsid w:val="00F63DAF"/>
    <w:rsid w:val="00F748D8"/>
    <w:rsid w:val="00F77C60"/>
    <w:rsid w:val="00F9076F"/>
    <w:rsid w:val="00F95D54"/>
    <w:rsid w:val="00FD0879"/>
    <w:rsid w:val="00FD7BD5"/>
    <w:rsid w:val="00FE0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aliases w:val="bti2"/>
    <w:basedOn w:val="Normal"/>
    <w:link w:val="BodyTextIndent2Char"/>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BodyTextIndent2Char">
    <w:name w:val="Body Text Indent 2 Char"/>
    <w:aliases w:val="bti2 Char"/>
    <w:basedOn w:val="DefaultParagraphFont"/>
    <w:link w:val="BodyTextIndent2"/>
    <w:rsid w:val="0032389D"/>
    <w:rPr>
      <w:rFonts w:ascii="Palatino Linotype" w:hAnsi="Palatino Linotype"/>
      <w:sz w:val="24"/>
      <w:szCs w:val="24"/>
    </w:rPr>
  </w:style>
  <w:style w:type="paragraph" w:styleId="BalloonText">
    <w:name w:val="Balloon Text"/>
    <w:basedOn w:val="Normal"/>
    <w:link w:val="BalloonTextChar"/>
    <w:rsid w:val="0083697E"/>
    <w:rPr>
      <w:rFonts w:ascii="Tahoma" w:hAnsi="Tahoma" w:cs="Tahoma"/>
      <w:sz w:val="16"/>
      <w:szCs w:val="16"/>
    </w:rPr>
  </w:style>
  <w:style w:type="character" w:customStyle="1" w:styleId="BalloonTextChar">
    <w:name w:val="Balloon Text Char"/>
    <w:basedOn w:val="DefaultParagraphFont"/>
    <w:link w:val="BalloonText"/>
    <w:rsid w:val="0083697E"/>
    <w:rPr>
      <w:rFonts w:ascii="Tahoma" w:hAnsi="Tahoma" w:cs="Tahoma"/>
      <w:sz w:val="16"/>
      <w:szCs w:val="16"/>
    </w:rPr>
  </w:style>
  <w:style w:type="character" w:styleId="Hyperlink">
    <w:name w:val="Hyperlink"/>
    <w:basedOn w:val="DefaultParagraphFont"/>
    <w:rsid w:val="005A57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2010-06-30T07:00:00+00:00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7E8D48-A075-445D-A1A3-028B5C13E97F}"/>
</file>

<file path=customXml/itemProps2.xml><?xml version="1.0" encoding="utf-8"?>
<ds:datastoreItem xmlns:ds="http://schemas.openxmlformats.org/officeDocument/2006/customXml" ds:itemID="{F19A6CF0-8CDC-47CB-BE47-AE7C2A66DD78}"/>
</file>

<file path=customXml/itemProps3.xml><?xml version="1.0" encoding="utf-8"?>
<ds:datastoreItem xmlns:ds="http://schemas.openxmlformats.org/officeDocument/2006/customXml" ds:itemID="{566C36B3-E393-4F01-9D58-960D7C15255C}"/>
</file>

<file path=customXml/itemProps4.xml><?xml version="1.0" encoding="utf-8"?>
<ds:datastoreItem xmlns:ds="http://schemas.openxmlformats.org/officeDocument/2006/customXml" ds:itemID="{9E32A57C-1C87-40E1-9F37-7694AA556692}"/>
</file>

<file path=customXml/itemProps5.xml><?xml version="1.0" encoding="utf-8"?>
<ds:datastoreItem xmlns:ds="http://schemas.openxmlformats.org/officeDocument/2006/customXml" ds:itemID="{E083F8E3-4C4E-4242-BD13-CC8D61E40FBE}"/>
</file>

<file path=docProps/app.xml><?xml version="1.0" encoding="utf-8"?>
<Properties xmlns="http://schemas.openxmlformats.org/officeDocument/2006/extended-properties" xmlns:vt="http://schemas.openxmlformats.org/officeDocument/2006/docPropsVTypes">
  <Template>Normal.dotm</Template>
  <TotalTime>164</TotalTime>
  <Pages>5</Pages>
  <Words>1041</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Krista Gross</cp:lastModifiedBy>
  <cp:revision>22</cp:revision>
  <cp:lastPrinted>2010-06-30T16:59:00Z</cp:lastPrinted>
  <dcterms:created xsi:type="dcterms:W3CDTF">2010-06-30T16:09:00Z</dcterms:created>
  <dcterms:modified xsi:type="dcterms:W3CDTF">2010-06-30T21:01:00Z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