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AE44" w14:textId="77777777" w:rsidR="003215A3" w:rsidRPr="003215A3" w:rsidRDefault="003215A3" w:rsidP="003215A3">
      <w:pPr>
        <w:pStyle w:val="Header"/>
        <w:spacing w:line="240" w:lineRule="exact"/>
        <w:rPr>
          <w:rFonts w:ascii="Times New Roman" w:hAnsi="Times New Roman"/>
        </w:rPr>
      </w:pPr>
      <w:r w:rsidRPr="003215A3">
        <w:rPr>
          <w:rFonts w:ascii="Times New Roman" w:hAnsi="Times New Roman"/>
        </w:rPr>
        <w:t xml:space="preserve">BEFORE THE </w:t>
      </w:r>
      <w:smartTag w:uri="urn:schemas-microsoft-com:office:smarttags" w:element="PostalCode">
        <w:smartTag w:uri="urn:schemas-microsoft-com:office:smarttags" w:element="place">
          <w:r w:rsidRPr="003215A3">
            <w:rPr>
              <w:rFonts w:ascii="Times New Roman" w:hAnsi="Times New Roman"/>
            </w:rPr>
            <w:t>WASHINGTON</w:t>
          </w:r>
        </w:smartTag>
      </w:smartTag>
      <w:r w:rsidRPr="003215A3">
        <w:rPr>
          <w:rFonts w:ascii="Times New Roman" w:hAnsi="Times New Roman"/>
        </w:rPr>
        <w:t xml:space="preserve"> UTILITIES AND TRANSPORTATION COMMISSION</w:t>
      </w:r>
    </w:p>
    <w:p w14:paraId="736EAE45" w14:textId="77777777" w:rsidR="003215A3" w:rsidRPr="003215A3"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736EAE54"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736EAE46" w14:textId="77777777" w:rsidR="003215A3" w:rsidRPr="003215A3" w:rsidRDefault="003215A3" w:rsidP="003215A3">
            <w:pPr>
              <w:pStyle w:val="Header"/>
              <w:tabs>
                <w:tab w:val="left" w:pos="681"/>
                <w:tab w:val="left" w:pos="1401"/>
              </w:tabs>
              <w:spacing w:line="240" w:lineRule="exact"/>
              <w:rPr>
                <w:rFonts w:ascii="Times New Roman" w:hAnsi="Times New Roman"/>
              </w:rPr>
            </w:pPr>
            <w:r w:rsidRPr="003215A3">
              <w:rPr>
                <w:rFonts w:ascii="Times New Roman" w:hAnsi="Times New Roman"/>
              </w:rPr>
              <w:t xml:space="preserve">WASHINGTON UTILITIES AND TRANSPORTATION COMMISSION, </w:t>
            </w:r>
          </w:p>
          <w:p w14:paraId="736EAE47" w14:textId="77777777" w:rsidR="003215A3" w:rsidRPr="003215A3" w:rsidRDefault="003215A3" w:rsidP="003215A3">
            <w:pPr>
              <w:pStyle w:val="Header"/>
              <w:tabs>
                <w:tab w:val="left" w:pos="681"/>
                <w:tab w:val="left" w:pos="1401"/>
              </w:tabs>
              <w:spacing w:line="240" w:lineRule="exact"/>
              <w:rPr>
                <w:rFonts w:ascii="Times New Roman" w:hAnsi="Times New Roman"/>
              </w:rPr>
            </w:pPr>
          </w:p>
          <w:p w14:paraId="736EAE48" w14:textId="77777777" w:rsidR="003215A3" w:rsidRPr="003215A3" w:rsidRDefault="003215A3" w:rsidP="003215A3">
            <w:pPr>
              <w:pStyle w:val="Header"/>
              <w:tabs>
                <w:tab w:val="left" w:pos="681"/>
                <w:tab w:val="left" w:pos="1401"/>
              </w:tabs>
              <w:spacing w:line="240" w:lineRule="exact"/>
              <w:rPr>
                <w:rFonts w:ascii="Times New Roman" w:hAnsi="Times New Roman"/>
              </w:rPr>
            </w:pPr>
            <w:r w:rsidRPr="003215A3">
              <w:rPr>
                <w:rFonts w:ascii="Times New Roman" w:hAnsi="Times New Roman"/>
              </w:rPr>
              <w:tab/>
            </w:r>
            <w:r w:rsidRPr="003215A3">
              <w:rPr>
                <w:rFonts w:ascii="Times New Roman" w:hAnsi="Times New Roman"/>
              </w:rPr>
              <w:tab/>
              <w:t>Complainant,</w:t>
            </w:r>
          </w:p>
          <w:p w14:paraId="736EAE49" w14:textId="77777777" w:rsidR="003215A3" w:rsidRPr="003215A3" w:rsidRDefault="003215A3" w:rsidP="003215A3">
            <w:pPr>
              <w:pStyle w:val="Header"/>
              <w:tabs>
                <w:tab w:val="left" w:pos="681"/>
                <w:tab w:val="left" w:pos="1401"/>
              </w:tabs>
              <w:spacing w:line="240" w:lineRule="exact"/>
              <w:rPr>
                <w:rFonts w:ascii="Times New Roman" w:hAnsi="Times New Roman"/>
              </w:rPr>
            </w:pPr>
          </w:p>
          <w:p w14:paraId="736EAE4A" w14:textId="77777777" w:rsidR="003215A3" w:rsidRPr="003215A3" w:rsidRDefault="003215A3" w:rsidP="003215A3">
            <w:pPr>
              <w:pStyle w:val="Header"/>
              <w:tabs>
                <w:tab w:val="left" w:pos="681"/>
                <w:tab w:val="left" w:pos="1401"/>
              </w:tabs>
              <w:spacing w:line="240" w:lineRule="exact"/>
              <w:rPr>
                <w:rFonts w:ascii="Times New Roman" w:hAnsi="Times New Roman"/>
              </w:rPr>
            </w:pPr>
            <w:r w:rsidRPr="003215A3">
              <w:rPr>
                <w:rFonts w:ascii="Times New Roman" w:hAnsi="Times New Roman"/>
              </w:rPr>
              <w:tab/>
              <w:t>v.</w:t>
            </w:r>
          </w:p>
          <w:p w14:paraId="736EAE4B" w14:textId="77777777" w:rsidR="003215A3" w:rsidRPr="003215A3" w:rsidRDefault="003215A3" w:rsidP="003215A3">
            <w:pPr>
              <w:pStyle w:val="Header"/>
              <w:tabs>
                <w:tab w:val="left" w:pos="681"/>
                <w:tab w:val="left" w:pos="1401"/>
              </w:tabs>
              <w:spacing w:line="240" w:lineRule="exact"/>
              <w:rPr>
                <w:rFonts w:ascii="Times New Roman" w:hAnsi="Times New Roman"/>
              </w:rPr>
            </w:pPr>
          </w:p>
          <w:p w14:paraId="736EAE4C" w14:textId="72D5F8A9" w:rsidR="003215A3" w:rsidRPr="003215A3" w:rsidRDefault="00053DC1" w:rsidP="003215A3">
            <w:pPr>
              <w:pStyle w:val="Header"/>
              <w:tabs>
                <w:tab w:val="left" w:pos="681"/>
                <w:tab w:val="left" w:pos="1401"/>
              </w:tabs>
              <w:spacing w:line="240" w:lineRule="exact"/>
              <w:rPr>
                <w:rFonts w:ascii="Times New Roman" w:hAnsi="Times New Roman"/>
              </w:rPr>
            </w:pPr>
            <w:r>
              <w:rPr>
                <w:rFonts w:ascii="Times New Roman" w:hAnsi="Times New Roman"/>
              </w:rPr>
              <w:t>PUGET SOUND ENERGY,</w:t>
            </w:r>
          </w:p>
          <w:p w14:paraId="736EAE4D" w14:textId="77777777" w:rsidR="003215A3" w:rsidRPr="003215A3" w:rsidRDefault="003215A3" w:rsidP="003215A3">
            <w:pPr>
              <w:pStyle w:val="Header"/>
              <w:tabs>
                <w:tab w:val="left" w:pos="681"/>
                <w:tab w:val="left" w:pos="1401"/>
              </w:tabs>
              <w:spacing w:line="240" w:lineRule="exact"/>
              <w:rPr>
                <w:rFonts w:ascii="Times New Roman" w:hAnsi="Times New Roman"/>
              </w:rPr>
            </w:pPr>
          </w:p>
          <w:p w14:paraId="3B756482" w14:textId="77777777" w:rsidR="003215A3" w:rsidRDefault="003215A3" w:rsidP="003215A3">
            <w:pPr>
              <w:pStyle w:val="Header"/>
              <w:tabs>
                <w:tab w:val="left" w:pos="681"/>
                <w:tab w:val="left" w:pos="1401"/>
              </w:tabs>
              <w:spacing w:line="240" w:lineRule="exact"/>
              <w:rPr>
                <w:rFonts w:ascii="Times New Roman" w:hAnsi="Times New Roman"/>
              </w:rPr>
            </w:pPr>
            <w:r w:rsidRPr="003215A3">
              <w:rPr>
                <w:rFonts w:ascii="Times New Roman" w:hAnsi="Times New Roman"/>
              </w:rPr>
              <w:tab/>
            </w:r>
            <w:r w:rsidRPr="003215A3">
              <w:rPr>
                <w:rFonts w:ascii="Times New Roman" w:hAnsi="Times New Roman"/>
              </w:rPr>
              <w:tab/>
              <w:t>Respondent.</w:t>
            </w:r>
          </w:p>
          <w:p w14:paraId="736EAE4E" w14:textId="77777777" w:rsidR="003F2DFE" w:rsidRPr="003215A3" w:rsidRDefault="003F2DFE" w:rsidP="003215A3">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36EAE4F" w14:textId="71F15545" w:rsidR="003215A3" w:rsidRPr="003215A3" w:rsidRDefault="003215A3" w:rsidP="003215A3">
            <w:pPr>
              <w:pStyle w:val="Header"/>
              <w:spacing w:line="240" w:lineRule="exact"/>
              <w:ind w:left="416"/>
              <w:rPr>
                <w:rFonts w:ascii="Times New Roman" w:hAnsi="Times New Roman"/>
              </w:rPr>
            </w:pPr>
            <w:r w:rsidRPr="003215A3">
              <w:rPr>
                <w:rFonts w:ascii="Times New Roman" w:hAnsi="Times New Roman"/>
              </w:rPr>
              <w:t xml:space="preserve">DOCKET </w:t>
            </w:r>
            <w:r w:rsidR="00053DC1">
              <w:rPr>
                <w:rFonts w:ascii="Times New Roman" w:hAnsi="Times New Roman"/>
              </w:rPr>
              <w:t>UE-161123</w:t>
            </w:r>
          </w:p>
          <w:p w14:paraId="736EAE50" w14:textId="77777777" w:rsidR="003215A3" w:rsidRPr="003215A3" w:rsidRDefault="003215A3" w:rsidP="003215A3">
            <w:pPr>
              <w:pStyle w:val="Header"/>
              <w:spacing w:line="240" w:lineRule="exact"/>
              <w:ind w:left="416"/>
              <w:rPr>
                <w:rFonts w:ascii="Times New Roman" w:hAnsi="Times New Roman"/>
              </w:rPr>
            </w:pPr>
          </w:p>
          <w:p w14:paraId="736EAE51" w14:textId="30676D64" w:rsidR="003215A3" w:rsidRPr="003215A3" w:rsidRDefault="007E615A" w:rsidP="003215A3">
            <w:pPr>
              <w:pStyle w:val="BodyTextIndent2"/>
              <w:spacing w:line="240" w:lineRule="exact"/>
              <w:ind w:left="416"/>
              <w:rPr>
                <w:rFonts w:ascii="Times New Roman" w:hAnsi="Times New Roman"/>
              </w:rPr>
            </w:pPr>
            <w:r>
              <w:rPr>
                <w:rFonts w:ascii="Times New Roman" w:hAnsi="Times New Roman"/>
              </w:rPr>
              <w:t xml:space="preserve">ANSWER </w:t>
            </w:r>
            <w:r w:rsidR="006C2EB7">
              <w:rPr>
                <w:rFonts w:ascii="Times New Roman" w:hAnsi="Times New Roman"/>
              </w:rPr>
              <w:t>TO PETITION FOR INTERLOCUTORY REVIEW</w:t>
            </w:r>
          </w:p>
          <w:p w14:paraId="736EAE52" w14:textId="77777777" w:rsidR="003215A3" w:rsidRPr="003215A3" w:rsidRDefault="003215A3" w:rsidP="003215A3">
            <w:pPr>
              <w:pStyle w:val="BodyTextIndent2"/>
              <w:spacing w:line="240" w:lineRule="exact"/>
              <w:ind w:left="416"/>
              <w:rPr>
                <w:rFonts w:ascii="Times New Roman" w:hAnsi="Times New Roman"/>
              </w:rPr>
            </w:pPr>
            <w:r w:rsidRPr="003215A3">
              <w:rPr>
                <w:rFonts w:ascii="Times New Roman" w:hAnsi="Times New Roman"/>
              </w:rPr>
              <w:t>ON BEHALF OF WASHINGTON UTILITIES AND TRANSPORTATION COMMISSION STAFF</w:t>
            </w:r>
          </w:p>
          <w:p w14:paraId="736EAE53" w14:textId="77777777" w:rsidR="003215A3" w:rsidRPr="003215A3" w:rsidRDefault="003215A3" w:rsidP="003215A3">
            <w:pPr>
              <w:pStyle w:val="Header"/>
              <w:spacing w:line="240" w:lineRule="exact"/>
              <w:ind w:left="416"/>
              <w:rPr>
                <w:rFonts w:ascii="Times New Roman" w:hAnsi="Times New Roman"/>
              </w:rPr>
            </w:pPr>
          </w:p>
        </w:tc>
      </w:tr>
    </w:tbl>
    <w:p w14:paraId="736EAE55" w14:textId="77777777" w:rsidR="003215A3" w:rsidRPr="003215A3" w:rsidRDefault="003215A3" w:rsidP="003215A3">
      <w:pPr>
        <w:pStyle w:val="Header"/>
        <w:rPr>
          <w:rFonts w:ascii="Times New Roman" w:hAnsi="Times New Roman"/>
        </w:rPr>
      </w:pPr>
    </w:p>
    <w:p w14:paraId="42554090" w14:textId="77777777" w:rsidR="006C2EB7" w:rsidRDefault="006C2EB7" w:rsidP="006C2EB7">
      <w:pPr>
        <w:jc w:val="center"/>
        <w:rPr>
          <w:b/>
        </w:rPr>
      </w:pPr>
    </w:p>
    <w:p w14:paraId="5E4BD80F" w14:textId="07ADEF03" w:rsidR="003B1C7A" w:rsidRDefault="00E01201" w:rsidP="0021203D">
      <w:pPr>
        <w:numPr>
          <w:ilvl w:val="0"/>
          <w:numId w:val="5"/>
        </w:numPr>
        <w:spacing w:line="480" w:lineRule="auto"/>
        <w:ind w:left="0" w:hanging="720"/>
        <w:rPr>
          <w:rFonts w:ascii="Times New Roman" w:hAnsi="Times New Roman"/>
        </w:rPr>
      </w:pPr>
      <w:r>
        <w:rPr>
          <w:rFonts w:ascii="Times New Roman" w:hAnsi="Times New Roman"/>
        </w:rPr>
        <w:tab/>
      </w:r>
      <w:r w:rsidR="00796A35" w:rsidRPr="003B1C7A">
        <w:rPr>
          <w:rFonts w:ascii="Times New Roman" w:hAnsi="Times New Roman"/>
        </w:rPr>
        <w:t xml:space="preserve">Pursuant to WAC 480-07-810, Commission Staff submits this answer to the petition of the Northwest and Intermountain Power Producers Coalition (NIPPC) for </w:t>
      </w:r>
      <w:r w:rsidR="00827666" w:rsidRPr="00827666">
        <w:rPr>
          <w:rFonts w:ascii="Times New Roman" w:hAnsi="Times New Roman"/>
        </w:rPr>
        <w:t>Washington Utilities and Transportation Commission (Commission)</w:t>
      </w:r>
      <w:r w:rsidR="00827666">
        <w:rPr>
          <w:rFonts w:ascii="Times New Roman" w:hAnsi="Times New Roman"/>
        </w:rPr>
        <w:t xml:space="preserve"> </w:t>
      </w:r>
      <w:r w:rsidR="00796A35" w:rsidRPr="003B1C7A">
        <w:rPr>
          <w:rFonts w:ascii="Times New Roman" w:hAnsi="Times New Roman"/>
        </w:rPr>
        <w:t xml:space="preserve">review of the </w:t>
      </w:r>
      <w:r w:rsidR="002A0EF8" w:rsidRPr="003B1C7A">
        <w:rPr>
          <w:rFonts w:ascii="Times New Roman" w:hAnsi="Times New Roman"/>
        </w:rPr>
        <w:t>administrative law judge</w:t>
      </w:r>
      <w:r w:rsidR="00796A35" w:rsidRPr="003B1C7A">
        <w:rPr>
          <w:rFonts w:ascii="Times New Roman" w:hAnsi="Times New Roman"/>
        </w:rPr>
        <w:t xml:space="preserve">’s </w:t>
      </w:r>
      <w:r w:rsidR="00E87E54" w:rsidRPr="003B1C7A">
        <w:rPr>
          <w:rFonts w:ascii="Times New Roman" w:hAnsi="Times New Roman"/>
        </w:rPr>
        <w:t xml:space="preserve">interlocutory </w:t>
      </w:r>
      <w:r w:rsidR="00796A35" w:rsidRPr="003B1C7A">
        <w:rPr>
          <w:rFonts w:ascii="Times New Roman" w:hAnsi="Times New Roman"/>
        </w:rPr>
        <w:t xml:space="preserve">order </w:t>
      </w:r>
      <w:r w:rsidR="000C7BAE" w:rsidRPr="003B1C7A">
        <w:rPr>
          <w:rFonts w:ascii="Times New Roman" w:hAnsi="Times New Roman"/>
        </w:rPr>
        <w:t xml:space="preserve">denying NIPPC’s intervention in this proceeding </w:t>
      </w:r>
      <w:r w:rsidR="00796A35" w:rsidRPr="003B1C7A">
        <w:rPr>
          <w:rFonts w:ascii="Times New Roman" w:hAnsi="Times New Roman"/>
        </w:rPr>
        <w:t xml:space="preserve">(Order 04). </w:t>
      </w:r>
      <w:r w:rsidR="00316964" w:rsidRPr="00316964">
        <w:rPr>
          <w:rFonts w:ascii="Times New Roman" w:hAnsi="Times New Roman"/>
        </w:rPr>
        <w:t xml:space="preserve">Under WAC 480-07-810(2), interlocutory review is discretionary with the Commission. </w:t>
      </w:r>
      <w:r w:rsidR="003B1C7A" w:rsidRPr="003B1C7A">
        <w:rPr>
          <w:rFonts w:ascii="Times New Roman" w:hAnsi="Times New Roman"/>
        </w:rPr>
        <w:t xml:space="preserve">Staff </w:t>
      </w:r>
      <w:r w:rsidR="005661D8">
        <w:rPr>
          <w:rFonts w:ascii="Times New Roman" w:hAnsi="Times New Roman"/>
        </w:rPr>
        <w:t>recommends that</w:t>
      </w:r>
      <w:r w:rsidR="003B1C7A" w:rsidRPr="003B1C7A">
        <w:rPr>
          <w:rFonts w:ascii="Times New Roman" w:hAnsi="Times New Roman"/>
        </w:rPr>
        <w:t xml:space="preserve"> the Commission accept interlocutory review and grant NIPPC’s intervention.</w:t>
      </w:r>
    </w:p>
    <w:p w14:paraId="5BCAEB70" w14:textId="76B4F083" w:rsidR="006B4C73" w:rsidRPr="00FB2A54" w:rsidRDefault="006B4C73" w:rsidP="00FB2A54">
      <w:pPr>
        <w:numPr>
          <w:ilvl w:val="0"/>
          <w:numId w:val="5"/>
        </w:numPr>
        <w:spacing w:line="480" w:lineRule="auto"/>
        <w:ind w:left="0" w:hanging="720"/>
        <w:rPr>
          <w:rFonts w:ascii="Times New Roman" w:hAnsi="Times New Roman"/>
        </w:rPr>
      </w:pPr>
      <w:r w:rsidRPr="00316964">
        <w:rPr>
          <w:rFonts w:ascii="Times New Roman" w:hAnsi="Times New Roman"/>
        </w:rPr>
        <w:t xml:space="preserve"> </w:t>
      </w:r>
      <w:r w:rsidRPr="00316964">
        <w:rPr>
          <w:rFonts w:ascii="Times New Roman" w:hAnsi="Times New Roman"/>
        </w:rPr>
        <w:tab/>
      </w:r>
      <w:r w:rsidR="00CE4327" w:rsidRPr="00316964">
        <w:rPr>
          <w:rFonts w:ascii="Times New Roman" w:hAnsi="Times New Roman"/>
        </w:rPr>
        <w:t xml:space="preserve"> </w:t>
      </w:r>
      <w:r w:rsidR="00951A24">
        <w:rPr>
          <w:rFonts w:ascii="Times New Roman" w:hAnsi="Times New Roman"/>
        </w:rPr>
        <w:t xml:space="preserve">RCW 34.05.443 and WAC 480-07-355 govern intervention in Commission proceedings. Under </w:t>
      </w:r>
      <w:r w:rsidR="00951A24" w:rsidRPr="00951A24">
        <w:rPr>
          <w:rFonts w:ascii="Times New Roman" w:hAnsi="Times New Roman"/>
        </w:rPr>
        <w:t>RCW 35.05.443</w:t>
      </w:r>
      <w:r w:rsidR="00951A24">
        <w:rPr>
          <w:rFonts w:ascii="Times New Roman" w:hAnsi="Times New Roman"/>
        </w:rPr>
        <w:t xml:space="preserve">(1), the Commission </w:t>
      </w:r>
      <w:r w:rsidR="00A1543A">
        <w:rPr>
          <w:rFonts w:ascii="Times New Roman" w:hAnsi="Times New Roman"/>
        </w:rPr>
        <w:t>has broad discretion to</w:t>
      </w:r>
      <w:r w:rsidR="00951A24">
        <w:rPr>
          <w:rFonts w:ascii="Times New Roman" w:hAnsi="Times New Roman"/>
        </w:rPr>
        <w:t xml:space="preserve"> grant</w:t>
      </w:r>
      <w:r w:rsidR="00951A24" w:rsidRPr="00951A24">
        <w:rPr>
          <w:rFonts w:ascii="Times New Roman" w:hAnsi="Times New Roman"/>
        </w:rPr>
        <w:t xml:space="preserve"> intervention </w:t>
      </w:r>
      <w:r w:rsidR="00951A24" w:rsidRPr="00951A24">
        <w:rPr>
          <w:rFonts w:ascii="Times New Roman" w:hAnsi="Times New Roman"/>
          <w:iCs/>
        </w:rPr>
        <w:t>at any time</w:t>
      </w:r>
      <w:r w:rsidR="00951A24" w:rsidRPr="00951A24">
        <w:rPr>
          <w:rFonts w:ascii="Times New Roman" w:hAnsi="Times New Roman"/>
          <w:i/>
          <w:iCs/>
        </w:rPr>
        <w:t>,</w:t>
      </w:r>
      <w:r w:rsidR="00951A24" w:rsidRPr="00951A24">
        <w:rPr>
          <w:rFonts w:ascii="Times New Roman" w:hAnsi="Times New Roman"/>
        </w:rPr>
        <w:t xml:space="preserve"> provided it is in the interest of justice and does not impede the conduct of the proceedings</w:t>
      </w:r>
      <w:r w:rsidR="00951A24">
        <w:rPr>
          <w:rFonts w:ascii="Times New Roman" w:hAnsi="Times New Roman"/>
        </w:rPr>
        <w:t xml:space="preserve">. Under </w:t>
      </w:r>
      <w:r w:rsidR="00951A24" w:rsidRPr="00951A24">
        <w:rPr>
          <w:rFonts w:ascii="Times New Roman" w:hAnsi="Times New Roman"/>
        </w:rPr>
        <w:t>WAC 480-07-355</w:t>
      </w:r>
      <w:r w:rsidR="00A1543A">
        <w:rPr>
          <w:rFonts w:ascii="Times New Roman" w:hAnsi="Times New Roman"/>
        </w:rPr>
        <w:t>(3)</w:t>
      </w:r>
      <w:r w:rsidR="00951A24">
        <w:rPr>
          <w:rFonts w:ascii="Times New Roman" w:hAnsi="Times New Roman"/>
        </w:rPr>
        <w:t xml:space="preserve">, </w:t>
      </w:r>
      <w:r w:rsidR="00A1543A" w:rsidRPr="00A1543A">
        <w:rPr>
          <w:rFonts w:ascii="Times New Roman" w:hAnsi="Times New Roman"/>
        </w:rPr>
        <w:t>the Commission</w:t>
      </w:r>
      <w:r w:rsidR="00A1543A">
        <w:rPr>
          <w:rFonts w:ascii="Times New Roman" w:hAnsi="Times New Roman"/>
        </w:rPr>
        <w:t xml:space="preserve"> considers whether a petitioner has a “</w:t>
      </w:r>
      <w:r w:rsidR="00A1543A" w:rsidRPr="00A1543A">
        <w:rPr>
          <w:rFonts w:ascii="Times New Roman" w:hAnsi="Times New Roman"/>
        </w:rPr>
        <w:t>substantial interest in the subject matter of t</w:t>
      </w:r>
      <w:r w:rsidR="00CC44A8">
        <w:rPr>
          <w:rFonts w:ascii="Times New Roman" w:hAnsi="Times New Roman"/>
        </w:rPr>
        <w:t>he hearing or if the petitioner’</w:t>
      </w:r>
      <w:r w:rsidR="00A1543A" w:rsidRPr="00A1543A">
        <w:rPr>
          <w:rFonts w:ascii="Times New Roman" w:hAnsi="Times New Roman"/>
        </w:rPr>
        <w:t>s participation is in the public interest</w:t>
      </w:r>
      <w:r w:rsidR="00A1543A">
        <w:rPr>
          <w:rFonts w:ascii="Times New Roman" w:hAnsi="Times New Roman"/>
        </w:rPr>
        <w:t>.”</w:t>
      </w:r>
      <w:r w:rsidR="005661D8">
        <w:rPr>
          <w:rFonts w:ascii="Times New Roman" w:hAnsi="Times New Roman"/>
        </w:rPr>
        <w:t xml:space="preserve"> </w:t>
      </w:r>
      <w:r w:rsidR="00A22510">
        <w:rPr>
          <w:rFonts w:ascii="Times New Roman" w:hAnsi="Times New Roman"/>
        </w:rPr>
        <w:t>T</w:t>
      </w:r>
      <w:r w:rsidR="00A1543A">
        <w:rPr>
          <w:rFonts w:ascii="Times New Roman" w:hAnsi="Times New Roman"/>
        </w:rPr>
        <w:t>he Commission may</w:t>
      </w:r>
      <w:r w:rsidR="00A22510">
        <w:rPr>
          <w:rFonts w:ascii="Times New Roman" w:hAnsi="Times New Roman"/>
        </w:rPr>
        <w:t xml:space="preserve"> choose to</w:t>
      </w:r>
      <w:r w:rsidR="00A1543A">
        <w:rPr>
          <w:rFonts w:ascii="Times New Roman" w:hAnsi="Times New Roman"/>
        </w:rPr>
        <w:t xml:space="preserve"> impose</w:t>
      </w:r>
      <w:r w:rsidR="00A1543A" w:rsidRPr="00A1543A">
        <w:rPr>
          <w:rFonts w:ascii="Times New Roman" w:hAnsi="Times New Roman"/>
        </w:rPr>
        <w:t xml:space="preserve"> conditions upon the intervener’s participation </w:t>
      </w:r>
      <w:r w:rsidR="00A1543A">
        <w:rPr>
          <w:rFonts w:ascii="Times New Roman" w:hAnsi="Times New Roman"/>
        </w:rPr>
        <w:t xml:space="preserve">in accordance with </w:t>
      </w:r>
      <w:r w:rsidR="00A1543A" w:rsidRPr="00A1543A">
        <w:rPr>
          <w:rFonts w:ascii="Times New Roman" w:hAnsi="Times New Roman"/>
        </w:rPr>
        <w:t>RCW 35.05.443</w:t>
      </w:r>
      <w:r w:rsidR="00A1543A">
        <w:rPr>
          <w:rFonts w:ascii="Times New Roman" w:hAnsi="Times New Roman"/>
        </w:rPr>
        <w:t>(2</w:t>
      </w:r>
      <w:r w:rsidR="00A1543A" w:rsidRPr="00A1543A">
        <w:rPr>
          <w:rFonts w:ascii="Times New Roman" w:hAnsi="Times New Roman"/>
        </w:rPr>
        <w:t>)</w:t>
      </w:r>
      <w:r w:rsidR="00A1543A">
        <w:rPr>
          <w:rFonts w:ascii="Times New Roman" w:hAnsi="Times New Roman"/>
        </w:rPr>
        <w:t>.</w:t>
      </w:r>
    </w:p>
    <w:p w14:paraId="3B09343C" w14:textId="44CD3B2D" w:rsidR="0075452C" w:rsidRPr="007B60D4" w:rsidRDefault="00BC3C6A" w:rsidP="00717D8E">
      <w:pPr>
        <w:numPr>
          <w:ilvl w:val="0"/>
          <w:numId w:val="5"/>
        </w:numPr>
        <w:spacing w:line="480" w:lineRule="auto"/>
        <w:ind w:left="0" w:hanging="720"/>
        <w:rPr>
          <w:rFonts w:ascii="Times New Roman" w:hAnsi="Times New Roman"/>
        </w:rPr>
      </w:pPr>
      <w:r w:rsidRPr="007B60D4">
        <w:rPr>
          <w:rFonts w:ascii="Times New Roman" w:hAnsi="Times New Roman"/>
        </w:rPr>
        <w:t xml:space="preserve"> </w:t>
      </w:r>
      <w:r w:rsidRPr="007B60D4">
        <w:rPr>
          <w:rFonts w:ascii="Times New Roman" w:hAnsi="Times New Roman"/>
        </w:rPr>
        <w:tab/>
      </w:r>
      <w:r w:rsidR="00DD2955">
        <w:rPr>
          <w:rFonts w:ascii="Times New Roman" w:hAnsi="Times New Roman"/>
        </w:rPr>
        <w:t xml:space="preserve">Staff supports NIPPC’s intervention for three reasons. First, NIPPC’s participation will enhance development of the record. </w:t>
      </w:r>
      <w:r w:rsidR="009B5DA7" w:rsidRPr="007B60D4">
        <w:rPr>
          <w:rFonts w:ascii="Times New Roman" w:hAnsi="Times New Roman"/>
        </w:rPr>
        <w:t>In this proceeding, Puget Sound Energy (PSE</w:t>
      </w:r>
      <w:r w:rsidR="009B5DA7" w:rsidRPr="007B60D4">
        <w:rPr>
          <w:rFonts w:ascii="Times New Roman" w:hAnsi="Times New Roman"/>
          <w:bCs/>
        </w:rPr>
        <w:t xml:space="preserve"> or Company</w:t>
      </w:r>
      <w:r w:rsidR="009B5DA7" w:rsidRPr="007B60D4">
        <w:rPr>
          <w:rFonts w:ascii="Times New Roman" w:hAnsi="Times New Roman"/>
        </w:rPr>
        <w:t xml:space="preserve">) requests </w:t>
      </w:r>
      <w:r w:rsidR="009178A7">
        <w:rPr>
          <w:rFonts w:ascii="Times New Roman" w:hAnsi="Times New Roman"/>
        </w:rPr>
        <w:t xml:space="preserve">that </w:t>
      </w:r>
      <w:r w:rsidR="009B5DA7" w:rsidRPr="007B60D4">
        <w:rPr>
          <w:rFonts w:ascii="Times New Roman" w:hAnsi="Times New Roman"/>
        </w:rPr>
        <w:t>t</w:t>
      </w:r>
      <w:r w:rsidR="00400CF5">
        <w:rPr>
          <w:rFonts w:ascii="Times New Roman" w:hAnsi="Times New Roman"/>
        </w:rPr>
        <w:t xml:space="preserve">he Commission </w:t>
      </w:r>
      <w:r w:rsidR="009B5DA7" w:rsidRPr="007B60D4">
        <w:rPr>
          <w:rFonts w:ascii="Times New Roman" w:hAnsi="Times New Roman"/>
        </w:rPr>
        <w:t xml:space="preserve">undertake a profound policy shift by </w:t>
      </w:r>
      <w:r w:rsidR="00E43C95" w:rsidRPr="007B60D4">
        <w:rPr>
          <w:rFonts w:ascii="Times New Roman" w:hAnsi="Times New Roman"/>
        </w:rPr>
        <w:t xml:space="preserve">establishing </w:t>
      </w:r>
      <w:r w:rsidR="00E43C95" w:rsidRPr="007B60D4">
        <w:rPr>
          <w:rFonts w:ascii="Times New Roman" w:hAnsi="Times New Roman"/>
        </w:rPr>
        <w:lastRenderedPageBreak/>
        <w:t>competitive retail energy supply for a</w:t>
      </w:r>
      <w:r w:rsidR="006C6978" w:rsidRPr="007B60D4">
        <w:rPr>
          <w:rFonts w:ascii="Times New Roman" w:hAnsi="Times New Roman"/>
        </w:rPr>
        <w:t xml:space="preserve"> </w:t>
      </w:r>
      <w:r w:rsidR="00E43C95" w:rsidRPr="007B60D4">
        <w:rPr>
          <w:rFonts w:ascii="Times New Roman" w:hAnsi="Times New Roman"/>
        </w:rPr>
        <w:t xml:space="preserve">class of customers with some of the largest electric loads in the state. </w:t>
      </w:r>
      <w:r w:rsidR="00717D8E">
        <w:rPr>
          <w:rFonts w:ascii="Times New Roman" w:hAnsi="Times New Roman"/>
        </w:rPr>
        <w:t>The Company</w:t>
      </w:r>
      <w:r w:rsidR="001F7EFE" w:rsidRPr="007B60D4">
        <w:rPr>
          <w:rFonts w:ascii="Times New Roman" w:hAnsi="Times New Roman"/>
        </w:rPr>
        <w:t xml:space="preserve"> </w:t>
      </w:r>
      <w:r w:rsidR="00E43C95" w:rsidRPr="007B60D4">
        <w:rPr>
          <w:rFonts w:ascii="Times New Roman" w:hAnsi="Times New Roman"/>
        </w:rPr>
        <w:t xml:space="preserve">seeks to establish a </w:t>
      </w:r>
      <w:r w:rsidR="00AA49C6">
        <w:rPr>
          <w:rFonts w:ascii="Times New Roman" w:hAnsi="Times New Roman"/>
        </w:rPr>
        <w:t>new,</w:t>
      </w:r>
      <w:r w:rsidR="00E43C95" w:rsidRPr="007B60D4">
        <w:rPr>
          <w:rFonts w:ascii="Times New Roman" w:hAnsi="Times New Roman"/>
        </w:rPr>
        <w:t xml:space="preserve"> voluntary, retail wheeling service that would allow customers with a </w:t>
      </w:r>
      <w:r w:rsidR="003016CC" w:rsidRPr="007B60D4">
        <w:rPr>
          <w:rFonts w:ascii="Times New Roman" w:hAnsi="Times New Roman"/>
        </w:rPr>
        <w:t>load</w:t>
      </w:r>
      <w:r w:rsidR="00E9713E">
        <w:rPr>
          <w:rFonts w:ascii="Times New Roman" w:hAnsi="Times New Roman"/>
        </w:rPr>
        <w:t xml:space="preserve"> of 10 average megawatts</w:t>
      </w:r>
      <w:r w:rsidR="00E43C95" w:rsidRPr="007B60D4">
        <w:rPr>
          <w:rFonts w:ascii="Times New Roman" w:hAnsi="Times New Roman"/>
        </w:rPr>
        <w:t xml:space="preserve"> at one or more customer sites to acquire retail electricity supply from a</w:t>
      </w:r>
      <w:r w:rsidR="00A22510">
        <w:rPr>
          <w:rFonts w:ascii="Times New Roman" w:hAnsi="Times New Roman"/>
        </w:rPr>
        <w:t>n alternative</w:t>
      </w:r>
      <w:r w:rsidR="00E43C95" w:rsidRPr="007B60D4">
        <w:rPr>
          <w:rFonts w:ascii="Times New Roman" w:hAnsi="Times New Roman"/>
        </w:rPr>
        <w:t xml:space="preserve"> power supplier.</w:t>
      </w:r>
      <w:r w:rsidR="0075452C" w:rsidRPr="007B60D4">
        <w:rPr>
          <w:rFonts w:ascii="Times New Roman" w:hAnsi="Times New Roman"/>
        </w:rPr>
        <w:t xml:space="preserve"> </w:t>
      </w:r>
      <w:r w:rsidR="00717D8E">
        <w:rPr>
          <w:rFonts w:ascii="Times New Roman" w:hAnsi="Times New Roman"/>
        </w:rPr>
        <w:t>While the filing may have limited practical effect because</w:t>
      </w:r>
      <w:r w:rsidR="002841AA" w:rsidRPr="007B60D4">
        <w:rPr>
          <w:rFonts w:ascii="Times New Roman" w:hAnsi="Times New Roman"/>
        </w:rPr>
        <w:t xml:space="preserve"> </w:t>
      </w:r>
      <w:r w:rsidR="007B60D4">
        <w:rPr>
          <w:rFonts w:ascii="Times New Roman" w:hAnsi="Times New Roman"/>
        </w:rPr>
        <w:t>PSE’s</w:t>
      </w:r>
      <w:r w:rsidR="007E22DD" w:rsidRPr="007B60D4">
        <w:rPr>
          <w:rFonts w:ascii="Times New Roman" w:hAnsi="Times New Roman"/>
        </w:rPr>
        <w:t xml:space="preserve"> proposal is only available to a</w:t>
      </w:r>
      <w:r w:rsidR="001D06B8">
        <w:rPr>
          <w:rFonts w:ascii="Times New Roman" w:hAnsi="Times New Roman"/>
        </w:rPr>
        <w:t xml:space="preserve"> class consisting of a few large customers</w:t>
      </w:r>
      <w:r w:rsidR="007B60D4" w:rsidRPr="007B60D4">
        <w:rPr>
          <w:rFonts w:ascii="Times New Roman" w:hAnsi="Times New Roman"/>
        </w:rPr>
        <w:t>,</w:t>
      </w:r>
      <w:r w:rsidR="007B60D4">
        <w:rPr>
          <w:rFonts w:ascii="Times New Roman" w:hAnsi="Times New Roman"/>
        </w:rPr>
        <w:t xml:space="preserve"> </w:t>
      </w:r>
      <w:r w:rsidR="0075452C" w:rsidRPr="007B60D4">
        <w:rPr>
          <w:rFonts w:ascii="Times New Roman" w:hAnsi="Times New Roman"/>
        </w:rPr>
        <w:t>PSE’s filing places important,</w:t>
      </w:r>
      <w:r w:rsidR="009178A7">
        <w:rPr>
          <w:rFonts w:ascii="Times New Roman" w:hAnsi="Times New Roman"/>
        </w:rPr>
        <w:t xml:space="preserve"> and</w:t>
      </w:r>
      <w:r w:rsidR="0075452C" w:rsidRPr="007B60D4">
        <w:rPr>
          <w:rFonts w:ascii="Times New Roman" w:hAnsi="Times New Roman"/>
        </w:rPr>
        <w:t xml:space="preserve"> largely unprecedented</w:t>
      </w:r>
      <w:r w:rsidR="009178A7">
        <w:rPr>
          <w:rFonts w:ascii="Times New Roman" w:hAnsi="Times New Roman"/>
        </w:rPr>
        <w:t>,</w:t>
      </w:r>
      <w:r w:rsidR="0075452C" w:rsidRPr="007B60D4">
        <w:rPr>
          <w:rFonts w:ascii="Times New Roman" w:hAnsi="Times New Roman"/>
        </w:rPr>
        <w:t xml:space="preserve"> questions of law and policy </w:t>
      </w:r>
      <w:r w:rsidR="009178A7" w:rsidRPr="007B60D4">
        <w:rPr>
          <w:rFonts w:ascii="Times New Roman" w:hAnsi="Times New Roman"/>
        </w:rPr>
        <w:t>(i.e., what does the Commission have fundamental authority to order and what is in the public interest)</w:t>
      </w:r>
      <w:r w:rsidR="009178A7">
        <w:rPr>
          <w:rFonts w:ascii="Times New Roman" w:hAnsi="Times New Roman"/>
        </w:rPr>
        <w:t xml:space="preserve"> </w:t>
      </w:r>
      <w:r w:rsidR="0075452C" w:rsidRPr="007B60D4">
        <w:rPr>
          <w:rFonts w:ascii="Times New Roman" w:hAnsi="Times New Roman"/>
        </w:rPr>
        <w:t xml:space="preserve">about competitive retail energy supply squarely before the Commission. </w:t>
      </w:r>
    </w:p>
    <w:p w14:paraId="73FBC7E8" w14:textId="49E8BB9C" w:rsidR="007D3770" w:rsidRPr="007D3770" w:rsidRDefault="0075452C" w:rsidP="007D3770">
      <w:pPr>
        <w:numPr>
          <w:ilvl w:val="0"/>
          <w:numId w:val="5"/>
        </w:numPr>
        <w:spacing w:line="480" w:lineRule="auto"/>
        <w:ind w:left="0" w:hanging="720"/>
        <w:rPr>
          <w:rFonts w:ascii="Times New Roman" w:hAnsi="Times New Roman"/>
        </w:rPr>
      </w:pPr>
      <w:r w:rsidRPr="005470AA">
        <w:rPr>
          <w:rFonts w:ascii="Times New Roman" w:hAnsi="Times New Roman"/>
        </w:rPr>
        <w:t xml:space="preserve"> </w:t>
      </w:r>
      <w:r w:rsidR="006C6978" w:rsidRPr="005470AA">
        <w:rPr>
          <w:rFonts w:ascii="Times New Roman" w:hAnsi="Times New Roman"/>
        </w:rPr>
        <w:t xml:space="preserve"> </w:t>
      </w:r>
      <w:r w:rsidR="006C6978" w:rsidRPr="005470AA">
        <w:rPr>
          <w:rFonts w:ascii="Times New Roman" w:hAnsi="Times New Roman"/>
        </w:rPr>
        <w:tab/>
        <w:t xml:space="preserve">The Commission will have to address these questions </w:t>
      </w:r>
      <w:r w:rsidR="00403C6C" w:rsidRPr="005470AA">
        <w:rPr>
          <w:rFonts w:ascii="Times New Roman" w:hAnsi="Times New Roman"/>
        </w:rPr>
        <w:t xml:space="preserve">of law and policy </w:t>
      </w:r>
      <w:r w:rsidR="006C6978" w:rsidRPr="005470AA">
        <w:rPr>
          <w:rFonts w:ascii="Times New Roman" w:hAnsi="Times New Roman"/>
        </w:rPr>
        <w:t>without clear statutory gu</w:t>
      </w:r>
      <w:r w:rsidR="00F0742B">
        <w:rPr>
          <w:rFonts w:ascii="Times New Roman" w:hAnsi="Times New Roman"/>
        </w:rPr>
        <w:t>idance. Unlike most</w:t>
      </w:r>
      <w:r w:rsidR="006C6978" w:rsidRPr="005470AA">
        <w:rPr>
          <w:rFonts w:ascii="Times New Roman" w:hAnsi="Times New Roman"/>
        </w:rPr>
        <w:t xml:space="preserve"> </w:t>
      </w:r>
      <w:r w:rsidR="00DD2955">
        <w:rPr>
          <w:rFonts w:ascii="Times New Roman" w:hAnsi="Times New Roman"/>
        </w:rPr>
        <w:t>state codes</w:t>
      </w:r>
      <w:r w:rsidR="006C6978" w:rsidRPr="005470AA">
        <w:rPr>
          <w:rFonts w:ascii="Times New Roman" w:hAnsi="Times New Roman"/>
        </w:rPr>
        <w:t xml:space="preserve"> that allow </w:t>
      </w:r>
      <w:r w:rsidR="001A1758" w:rsidRPr="005470AA">
        <w:rPr>
          <w:rFonts w:ascii="Times New Roman" w:hAnsi="Times New Roman"/>
        </w:rPr>
        <w:t xml:space="preserve">some form of </w:t>
      </w:r>
      <w:r w:rsidR="009A6CA6" w:rsidRPr="005470AA">
        <w:rPr>
          <w:rFonts w:ascii="Times New Roman" w:hAnsi="Times New Roman"/>
        </w:rPr>
        <w:t xml:space="preserve">a </w:t>
      </w:r>
      <w:r w:rsidR="006C6978" w:rsidRPr="005470AA">
        <w:rPr>
          <w:rFonts w:ascii="Times New Roman" w:hAnsi="Times New Roman"/>
        </w:rPr>
        <w:t>competitive</w:t>
      </w:r>
      <w:r w:rsidR="00A22510" w:rsidRPr="005470AA">
        <w:rPr>
          <w:rFonts w:ascii="Times New Roman" w:hAnsi="Times New Roman"/>
        </w:rPr>
        <w:t xml:space="preserve"> retail</w:t>
      </w:r>
      <w:r w:rsidR="006C6978" w:rsidRPr="005470AA">
        <w:rPr>
          <w:rFonts w:ascii="Times New Roman" w:hAnsi="Times New Roman"/>
        </w:rPr>
        <w:t xml:space="preserve"> </w:t>
      </w:r>
      <w:r w:rsidR="009A6CA6" w:rsidRPr="005470AA">
        <w:rPr>
          <w:rFonts w:ascii="Times New Roman" w:hAnsi="Times New Roman"/>
        </w:rPr>
        <w:t>market</w:t>
      </w:r>
      <w:r w:rsidR="006C6978" w:rsidRPr="005470AA">
        <w:rPr>
          <w:rFonts w:ascii="Times New Roman" w:hAnsi="Times New Roman"/>
        </w:rPr>
        <w:t>, Washington law do</w:t>
      </w:r>
      <w:r w:rsidR="003016CC" w:rsidRPr="005470AA">
        <w:rPr>
          <w:rFonts w:ascii="Times New Roman" w:hAnsi="Times New Roman"/>
        </w:rPr>
        <w:t>es</w:t>
      </w:r>
      <w:r w:rsidR="006C6978" w:rsidRPr="005470AA">
        <w:rPr>
          <w:rFonts w:ascii="Times New Roman" w:hAnsi="Times New Roman"/>
        </w:rPr>
        <w:t xml:space="preserve"> not </w:t>
      </w:r>
      <w:r w:rsidR="0084749B" w:rsidRPr="005470AA">
        <w:rPr>
          <w:rFonts w:ascii="Times New Roman" w:hAnsi="Times New Roman"/>
        </w:rPr>
        <w:t>expressly address</w:t>
      </w:r>
      <w:r w:rsidR="009178A7" w:rsidRPr="005470AA">
        <w:rPr>
          <w:rFonts w:ascii="Times New Roman" w:hAnsi="Times New Roman"/>
        </w:rPr>
        <w:t xml:space="preserve"> </w:t>
      </w:r>
      <w:r w:rsidR="008A483A" w:rsidRPr="005470AA">
        <w:rPr>
          <w:rFonts w:ascii="Times New Roman" w:hAnsi="Times New Roman"/>
        </w:rPr>
        <w:t xml:space="preserve">whether, or to what extent, customers of public service companies may </w:t>
      </w:r>
      <w:r w:rsidR="004C7FF8" w:rsidRPr="005470AA">
        <w:rPr>
          <w:rFonts w:ascii="Times New Roman" w:hAnsi="Times New Roman"/>
        </w:rPr>
        <w:t>purchase electricity from</w:t>
      </w:r>
      <w:r w:rsidR="008A483A" w:rsidRPr="005470AA">
        <w:rPr>
          <w:rFonts w:ascii="Times New Roman" w:hAnsi="Times New Roman"/>
        </w:rPr>
        <w:t xml:space="preserve"> </w:t>
      </w:r>
      <w:r w:rsidR="00700923" w:rsidRPr="005470AA">
        <w:rPr>
          <w:rFonts w:ascii="Times New Roman" w:hAnsi="Times New Roman"/>
        </w:rPr>
        <w:t>competitive</w:t>
      </w:r>
      <w:r w:rsidR="008A483A" w:rsidRPr="005470AA">
        <w:rPr>
          <w:rFonts w:ascii="Times New Roman" w:hAnsi="Times New Roman"/>
        </w:rPr>
        <w:t xml:space="preserve"> retail energy suppliers</w:t>
      </w:r>
      <w:r w:rsidR="00A22510" w:rsidRPr="005470AA">
        <w:rPr>
          <w:rFonts w:ascii="Times New Roman" w:hAnsi="Times New Roman"/>
        </w:rPr>
        <w:t xml:space="preserve"> while maintaining their </w:t>
      </w:r>
      <w:r w:rsidR="00700923" w:rsidRPr="005470AA">
        <w:rPr>
          <w:rFonts w:ascii="Times New Roman" w:hAnsi="Times New Roman"/>
        </w:rPr>
        <w:t xml:space="preserve">regulated </w:t>
      </w:r>
      <w:r w:rsidR="00A22510" w:rsidRPr="005470AA">
        <w:rPr>
          <w:rFonts w:ascii="Times New Roman" w:hAnsi="Times New Roman"/>
        </w:rPr>
        <w:t>distribution service</w:t>
      </w:r>
      <w:r w:rsidR="004C7FF8" w:rsidRPr="005470AA">
        <w:rPr>
          <w:rFonts w:ascii="Times New Roman" w:hAnsi="Times New Roman"/>
        </w:rPr>
        <w:t>.</w:t>
      </w:r>
      <w:r w:rsidR="004C7FF8">
        <w:rPr>
          <w:rStyle w:val="FootnoteReference"/>
          <w:rFonts w:ascii="Times New Roman" w:hAnsi="Times New Roman"/>
        </w:rPr>
        <w:footnoteReference w:id="2"/>
      </w:r>
      <w:r w:rsidR="00A02D25" w:rsidRPr="005470AA">
        <w:rPr>
          <w:rFonts w:ascii="Times New Roman" w:hAnsi="Times New Roman"/>
        </w:rPr>
        <w:t xml:space="preserve"> </w:t>
      </w:r>
      <w:r w:rsidR="00DD2955">
        <w:rPr>
          <w:rFonts w:ascii="Times New Roman" w:hAnsi="Times New Roman"/>
        </w:rPr>
        <w:t>Nor</w:t>
      </w:r>
      <w:r w:rsidR="004C7FF8" w:rsidRPr="005470AA">
        <w:rPr>
          <w:rFonts w:ascii="Times New Roman" w:hAnsi="Times New Roman"/>
        </w:rPr>
        <w:t xml:space="preserve"> does </w:t>
      </w:r>
      <w:r w:rsidR="00DD2955">
        <w:rPr>
          <w:rFonts w:ascii="Times New Roman" w:hAnsi="Times New Roman"/>
        </w:rPr>
        <w:t>Washington</w:t>
      </w:r>
      <w:r w:rsidR="004C7FF8" w:rsidRPr="005470AA">
        <w:rPr>
          <w:rFonts w:ascii="Times New Roman" w:hAnsi="Times New Roman"/>
        </w:rPr>
        <w:t xml:space="preserve"> </w:t>
      </w:r>
      <w:r w:rsidR="00DD2955">
        <w:rPr>
          <w:rFonts w:ascii="Times New Roman" w:hAnsi="Times New Roman"/>
        </w:rPr>
        <w:t>law</w:t>
      </w:r>
      <w:r w:rsidR="004C7FF8" w:rsidRPr="005470AA">
        <w:rPr>
          <w:rFonts w:ascii="Times New Roman" w:hAnsi="Times New Roman"/>
        </w:rPr>
        <w:t xml:space="preserve"> address whether, or to what extent, the Commission’s </w:t>
      </w:r>
      <w:r w:rsidR="003E4A5A" w:rsidRPr="005470AA">
        <w:rPr>
          <w:rFonts w:ascii="Times New Roman" w:hAnsi="Times New Roman"/>
        </w:rPr>
        <w:t xml:space="preserve">jurisdictional </w:t>
      </w:r>
      <w:r w:rsidR="004C7FF8" w:rsidRPr="005470AA">
        <w:rPr>
          <w:rFonts w:ascii="Times New Roman" w:hAnsi="Times New Roman"/>
        </w:rPr>
        <w:t xml:space="preserve">authority and regulatory responsibilities would extend to the </w:t>
      </w:r>
      <w:r w:rsidR="00AD1DCF" w:rsidRPr="005470AA">
        <w:rPr>
          <w:rFonts w:ascii="Times New Roman" w:hAnsi="Times New Roman"/>
        </w:rPr>
        <w:t xml:space="preserve">participating </w:t>
      </w:r>
      <w:r w:rsidR="004C7FF8" w:rsidRPr="005470AA">
        <w:rPr>
          <w:rFonts w:ascii="Times New Roman" w:hAnsi="Times New Roman"/>
        </w:rPr>
        <w:t>customers and</w:t>
      </w:r>
      <w:r w:rsidR="00AD1DCF" w:rsidRPr="005470AA">
        <w:rPr>
          <w:rFonts w:ascii="Times New Roman" w:hAnsi="Times New Roman"/>
        </w:rPr>
        <w:t xml:space="preserve"> their energy</w:t>
      </w:r>
      <w:r w:rsidR="004C7FF8" w:rsidRPr="005470AA">
        <w:rPr>
          <w:rFonts w:ascii="Times New Roman" w:hAnsi="Times New Roman"/>
        </w:rPr>
        <w:t xml:space="preserve"> suppliers in such a competitive market.</w:t>
      </w:r>
      <w:r w:rsidR="00A22510">
        <w:rPr>
          <w:rStyle w:val="FootnoteReference"/>
          <w:rFonts w:ascii="Times New Roman" w:hAnsi="Times New Roman"/>
        </w:rPr>
        <w:footnoteReference w:id="3"/>
      </w:r>
      <w:r w:rsidR="00AD1DCF" w:rsidRPr="005470AA">
        <w:rPr>
          <w:rFonts w:ascii="Times New Roman" w:hAnsi="Times New Roman"/>
        </w:rPr>
        <w:t xml:space="preserve"> </w:t>
      </w:r>
      <w:r w:rsidR="00DD2955">
        <w:rPr>
          <w:rFonts w:ascii="Times New Roman" w:hAnsi="Times New Roman"/>
        </w:rPr>
        <w:t>Further</w:t>
      </w:r>
      <w:r w:rsidR="004C7FF8" w:rsidRPr="005470AA">
        <w:rPr>
          <w:rFonts w:ascii="Times New Roman" w:hAnsi="Times New Roman"/>
        </w:rPr>
        <w:t xml:space="preserve">, </w:t>
      </w:r>
      <w:r w:rsidR="0084749B" w:rsidRPr="005470AA">
        <w:rPr>
          <w:rFonts w:ascii="Times New Roman" w:hAnsi="Times New Roman"/>
        </w:rPr>
        <w:t xml:space="preserve">Washington law does not </w:t>
      </w:r>
      <w:r w:rsidR="00DD2955">
        <w:rPr>
          <w:rFonts w:ascii="Times New Roman" w:hAnsi="Times New Roman"/>
        </w:rPr>
        <w:t>prescribe</w:t>
      </w:r>
      <w:r w:rsidR="0084749B" w:rsidRPr="005470AA">
        <w:rPr>
          <w:rFonts w:ascii="Times New Roman" w:hAnsi="Times New Roman"/>
        </w:rPr>
        <w:t xml:space="preserve"> </w:t>
      </w:r>
      <w:r w:rsidR="009A6CA6" w:rsidRPr="005470AA">
        <w:rPr>
          <w:rFonts w:ascii="Times New Roman" w:hAnsi="Times New Roman"/>
        </w:rPr>
        <w:t xml:space="preserve">how the Commission should reconcile </w:t>
      </w:r>
      <w:r w:rsidR="005C1216" w:rsidRPr="005470AA">
        <w:rPr>
          <w:rFonts w:ascii="Times New Roman" w:hAnsi="Times New Roman"/>
        </w:rPr>
        <w:t xml:space="preserve">the impact of a </w:t>
      </w:r>
      <w:r w:rsidR="009A6CA6" w:rsidRPr="005470AA">
        <w:rPr>
          <w:rFonts w:ascii="Times New Roman" w:hAnsi="Times New Roman"/>
        </w:rPr>
        <w:t xml:space="preserve">competitive retail </w:t>
      </w:r>
      <w:r w:rsidR="005C1216" w:rsidRPr="005470AA">
        <w:rPr>
          <w:rFonts w:ascii="Times New Roman" w:hAnsi="Times New Roman"/>
        </w:rPr>
        <w:t xml:space="preserve">market on such things as the </w:t>
      </w:r>
      <w:r w:rsidR="005C1216" w:rsidRPr="005470AA">
        <w:rPr>
          <w:rFonts w:ascii="Times New Roman" w:hAnsi="Times New Roman"/>
        </w:rPr>
        <w:lastRenderedPageBreak/>
        <w:t>Energy Independence Act’s renewable energy mandate, PSE’s conservation and low-income programs, or the Commission’s duty to provide consumer protection oversight.</w:t>
      </w:r>
      <w:r w:rsidR="005470AA" w:rsidRPr="005470AA">
        <w:rPr>
          <w:rFonts w:ascii="Times New Roman" w:hAnsi="Times New Roman"/>
          <w:vertAlign w:val="superscript"/>
        </w:rPr>
        <w:footnoteReference w:id="4"/>
      </w:r>
      <w:r w:rsidR="005470AA" w:rsidRPr="005470AA">
        <w:rPr>
          <w:rFonts w:ascii="Times New Roman" w:hAnsi="Times New Roman"/>
        </w:rPr>
        <w:t xml:space="preserve"> Without statutory guidance, the Commission will have to decide whether it can, must, or should, address these questions under its broad authority to regulate the practices of </w:t>
      </w:r>
      <w:r w:rsidR="005470AA" w:rsidRPr="005470AA">
        <w:rPr>
          <w:rFonts w:ascii="Times New Roman" w:hAnsi="Times New Roman"/>
          <w:iCs/>
        </w:rPr>
        <w:t>public</w:t>
      </w:r>
      <w:r w:rsidR="005470AA" w:rsidRPr="005470AA">
        <w:rPr>
          <w:rFonts w:ascii="Times New Roman" w:hAnsi="Times New Roman"/>
        </w:rPr>
        <w:t xml:space="preserve"> utilities.</w:t>
      </w:r>
      <w:r w:rsidR="00AD1DCF" w:rsidRPr="005470AA">
        <w:rPr>
          <w:rFonts w:ascii="Times New Roman" w:hAnsi="Times New Roman"/>
        </w:rPr>
        <w:t xml:space="preserve"> </w:t>
      </w:r>
    </w:p>
    <w:p w14:paraId="75FF0618" w14:textId="14C18B04" w:rsidR="005C7042" w:rsidRPr="007D3770" w:rsidRDefault="007D3770" w:rsidP="00E35DE0">
      <w:pPr>
        <w:numPr>
          <w:ilvl w:val="0"/>
          <w:numId w:val="5"/>
        </w:numPr>
        <w:spacing w:line="480" w:lineRule="auto"/>
        <w:ind w:left="0" w:hanging="720"/>
        <w:rPr>
          <w:rFonts w:ascii="Times New Roman" w:hAnsi="Times New Roman"/>
        </w:rPr>
      </w:pPr>
      <w:r w:rsidRPr="007D3770">
        <w:rPr>
          <w:rFonts w:ascii="Times New Roman" w:hAnsi="Times New Roman"/>
        </w:rPr>
        <w:t xml:space="preserve"> </w:t>
      </w:r>
      <w:r w:rsidRPr="007D3770">
        <w:rPr>
          <w:rFonts w:ascii="Times New Roman" w:hAnsi="Times New Roman"/>
        </w:rPr>
        <w:tab/>
      </w:r>
      <w:r w:rsidR="00DD2955">
        <w:rPr>
          <w:rFonts w:ascii="Times New Roman" w:hAnsi="Times New Roman"/>
        </w:rPr>
        <w:t>NIPPC and its member</w:t>
      </w:r>
      <w:r w:rsidR="00F0742B">
        <w:rPr>
          <w:rFonts w:ascii="Times New Roman" w:hAnsi="Times New Roman"/>
        </w:rPr>
        <w:t>s</w:t>
      </w:r>
      <w:r w:rsidR="00DD2955">
        <w:rPr>
          <w:rFonts w:ascii="Times New Roman" w:hAnsi="Times New Roman"/>
        </w:rPr>
        <w:t xml:space="preserve"> have experience in competitive retail electricity marketplaces and can provide testimony that will inform the Commission’s decision about the public interest involved in this proceeding</w:t>
      </w:r>
      <w:r w:rsidR="00807D04" w:rsidRPr="00FB2B5C">
        <w:rPr>
          <w:rFonts w:ascii="Times New Roman" w:hAnsi="Times New Roman"/>
        </w:rPr>
        <w:t xml:space="preserve">. </w:t>
      </w:r>
      <w:r w:rsidR="00DD2955">
        <w:rPr>
          <w:rFonts w:ascii="Times New Roman" w:hAnsi="Times New Roman"/>
        </w:rPr>
        <w:t>For example, t</w:t>
      </w:r>
      <w:r w:rsidR="00807D04" w:rsidRPr="00FB2B5C">
        <w:rPr>
          <w:rFonts w:ascii="Times New Roman" w:hAnsi="Times New Roman"/>
        </w:rPr>
        <w:t xml:space="preserve">he </w:t>
      </w:r>
      <w:r w:rsidR="00807D04" w:rsidRPr="007D3770">
        <w:rPr>
          <w:rFonts w:ascii="Times New Roman" w:hAnsi="Times New Roman"/>
        </w:rPr>
        <w:t xml:space="preserve">success of </w:t>
      </w:r>
      <w:r w:rsidR="00DD2955">
        <w:rPr>
          <w:rFonts w:ascii="Times New Roman" w:hAnsi="Times New Roman"/>
        </w:rPr>
        <w:t>PSE’s</w:t>
      </w:r>
      <w:r w:rsidR="00807D04" w:rsidRPr="007D3770">
        <w:rPr>
          <w:rFonts w:ascii="Times New Roman" w:hAnsi="Times New Roman"/>
        </w:rPr>
        <w:t xml:space="preserve"> proposed retail wheeling service for participating customers requires a functional competitive market.</w:t>
      </w:r>
      <w:r w:rsidR="00807D04">
        <w:rPr>
          <w:rStyle w:val="FootnoteReference"/>
          <w:rFonts w:ascii="Times New Roman" w:hAnsi="Times New Roman"/>
        </w:rPr>
        <w:footnoteReference w:id="5"/>
      </w:r>
      <w:r w:rsidR="00807D04" w:rsidRPr="007D3770">
        <w:rPr>
          <w:rFonts w:ascii="Times New Roman" w:hAnsi="Times New Roman"/>
        </w:rPr>
        <w:t xml:space="preserve"> </w:t>
      </w:r>
      <w:r w:rsidR="00FB2B5C" w:rsidRPr="007D3770">
        <w:rPr>
          <w:rFonts w:ascii="Times New Roman" w:hAnsi="Times New Roman"/>
        </w:rPr>
        <w:t xml:space="preserve">NIPPC </w:t>
      </w:r>
      <w:r w:rsidR="005C7042" w:rsidRPr="007D3770">
        <w:rPr>
          <w:rFonts w:ascii="Times New Roman" w:hAnsi="Times New Roman"/>
        </w:rPr>
        <w:t xml:space="preserve">is a non-profit trade association </w:t>
      </w:r>
      <w:r w:rsidR="00473081" w:rsidRPr="007D3770">
        <w:rPr>
          <w:rFonts w:ascii="Times New Roman" w:hAnsi="Times New Roman"/>
        </w:rPr>
        <w:t xml:space="preserve">of </w:t>
      </w:r>
      <w:r w:rsidR="00807D04" w:rsidRPr="007D3770">
        <w:rPr>
          <w:rFonts w:ascii="Times New Roman" w:hAnsi="Times New Roman"/>
        </w:rPr>
        <w:t xml:space="preserve">independent </w:t>
      </w:r>
      <w:r w:rsidR="00473081" w:rsidRPr="007D3770">
        <w:rPr>
          <w:rFonts w:ascii="Times New Roman" w:hAnsi="Times New Roman"/>
        </w:rPr>
        <w:t xml:space="preserve">power producers </w:t>
      </w:r>
      <w:r w:rsidR="005C7042" w:rsidRPr="007D3770">
        <w:rPr>
          <w:rFonts w:ascii="Times New Roman" w:hAnsi="Times New Roman"/>
        </w:rPr>
        <w:t>whose mission is to foster healthy electricity markets.</w:t>
      </w:r>
      <w:r w:rsidR="005C7042">
        <w:rPr>
          <w:rStyle w:val="FootnoteReference"/>
          <w:rFonts w:ascii="Times New Roman" w:hAnsi="Times New Roman"/>
        </w:rPr>
        <w:footnoteReference w:id="6"/>
      </w:r>
      <w:r w:rsidR="005C7042" w:rsidRPr="007D3770">
        <w:rPr>
          <w:rFonts w:ascii="Times New Roman" w:hAnsi="Times New Roman"/>
        </w:rPr>
        <w:t xml:space="preserve"> </w:t>
      </w:r>
      <w:r w:rsidR="00473081" w:rsidRPr="007D3770">
        <w:rPr>
          <w:rFonts w:ascii="Times New Roman" w:hAnsi="Times New Roman"/>
        </w:rPr>
        <w:t>NIPPC and its members are active in regulatory proceedings in numerous states including Oregon and Idaho</w:t>
      </w:r>
      <w:r w:rsidR="005C7042" w:rsidRPr="007D3770">
        <w:rPr>
          <w:rFonts w:ascii="Times New Roman" w:hAnsi="Times New Roman"/>
        </w:rPr>
        <w:t>.</w:t>
      </w:r>
      <w:r w:rsidR="005C7042">
        <w:rPr>
          <w:rStyle w:val="FootnoteReference"/>
          <w:rFonts w:ascii="Times New Roman" w:hAnsi="Times New Roman"/>
        </w:rPr>
        <w:footnoteReference w:id="7"/>
      </w:r>
      <w:r w:rsidR="00473081" w:rsidRPr="007D3770">
        <w:rPr>
          <w:rFonts w:ascii="Times New Roman" w:hAnsi="Times New Roman"/>
        </w:rPr>
        <w:t xml:space="preserve"> Accordingly, </w:t>
      </w:r>
      <w:r w:rsidR="00FB2B5C" w:rsidRPr="007D3770">
        <w:rPr>
          <w:rFonts w:ascii="Times New Roman" w:hAnsi="Times New Roman"/>
        </w:rPr>
        <w:t xml:space="preserve">NIPPC is uniquely qualified to address whether a functional competitive market exists in the </w:t>
      </w:r>
      <w:r>
        <w:rPr>
          <w:rFonts w:ascii="Times New Roman" w:hAnsi="Times New Roman"/>
        </w:rPr>
        <w:t>N</w:t>
      </w:r>
      <w:r w:rsidR="00FB2B5C" w:rsidRPr="007D3770">
        <w:rPr>
          <w:rFonts w:ascii="Times New Roman" w:hAnsi="Times New Roman"/>
        </w:rPr>
        <w:t>orthwest and whether the terms and conditions of PSE’s proposed service will advance or impede particip</w:t>
      </w:r>
      <w:r w:rsidR="00A06D8C" w:rsidRPr="007D3770">
        <w:rPr>
          <w:rFonts w:ascii="Times New Roman" w:hAnsi="Times New Roman"/>
        </w:rPr>
        <w:t>ation in that market.</w:t>
      </w:r>
      <w:r w:rsidR="00461062">
        <w:rPr>
          <w:rStyle w:val="FootnoteReference"/>
          <w:rFonts w:ascii="Times New Roman" w:hAnsi="Times New Roman"/>
        </w:rPr>
        <w:footnoteReference w:id="8"/>
      </w:r>
      <w:r w:rsidR="00A06D8C" w:rsidRPr="007D3770">
        <w:rPr>
          <w:rFonts w:ascii="Times New Roman" w:hAnsi="Times New Roman"/>
        </w:rPr>
        <w:t xml:space="preserve"> </w:t>
      </w:r>
      <w:r w:rsidR="00FB2B5C" w:rsidRPr="007D3770">
        <w:rPr>
          <w:rFonts w:ascii="Times New Roman" w:hAnsi="Times New Roman"/>
        </w:rPr>
        <w:t xml:space="preserve">No other party to this proceeding </w:t>
      </w:r>
      <w:r w:rsidR="00473081" w:rsidRPr="007D3770">
        <w:rPr>
          <w:rFonts w:ascii="Times New Roman" w:hAnsi="Times New Roman"/>
        </w:rPr>
        <w:t xml:space="preserve">replicates </w:t>
      </w:r>
      <w:r w:rsidR="00FB2B5C" w:rsidRPr="007D3770">
        <w:rPr>
          <w:rFonts w:ascii="Times New Roman" w:hAnsi="Times New Roman"/>
        </w:rPr>
        <w:t xml:space="preserve">NIPPC’s </w:t>
      </w:r>
      <w:r w:rsidR="00473081" w:rsidRPr="007D3770">
        <w:rPr>
          <w:rFonts w:ascii="Times New Roman" w:hAnsi="Times New Roman"/>
        </w:rPr>
        <w:t>expertise.</w:t>
      </w:r>
      <w:r w:rsidR="0021203D" w:rsidRPr="007D3770">
        <w:rPr>
          <w:rFonts w:ascii="Times New Roman" w:hAnsi="Times New Roman"/>
        </w:rPr>
        <w:t xml:space="preserve"> </w:t>
      </w:r>
      <w:r w:rsidR="00275864">
        <w:rPr>
          <w:rFonts w:ascii="Times New Roman" w:hAnsi="Times New Roman"/>
        </w:rPr>
        <w:t>NIPPC’s experience also allows it to inform the Commission’s determination about the public interests involved in this proceeding</w:t>
      </w:r>
      <w:r w:rsidR="00DD71E1">
        <w:rPr>
          <w:rFonts w:ascii="Times New Roman" w:hAnsi="Times New Roman"/>
        </w:rPr>
        <w:t xml:space="preserve"> and</w:t>
      </w:r>
      <w:r w:rsidR="00275864">
        <w:rPr>
          <w:rFonts w:ascii="Times New Roman" w:hAnsi="Times New Roman"/>
        </w:rPr>
        <w:t xml:space="preserve"> the policy choices that would best advance those interests.</w:t>
      </w:r>
    </w:p>
    <w:p w14:paraId="4BA56845" w14:textId="75F4416A" w:rsidR="00FB2B5C" w:rsidRPr="007067BE" w:rsidRDefault="00FB2B5C" w:rsidP="0021203D">
      <w:pPr>
        <w:numPr>
          <w:ilvl w:val="0"/>
          <w:numId w:val="5"/>
        </w:numPr>
        <w:spacing w:line="480" w:lineRule="auto"/>
        <w:ind w:left="0" w:hanging="720"/>
        <w:rPr>
          <w:rFonts w:ascii="Times New Roman" w:hAnsi="Times New Roman"/>
        </w:rPr>
      </w:pPr>
      <w:r w:rsidRPr="007067BE">
        <w:rPr>
          <w:rFonts w:ascii="Times New Roman" w:hAnsi="Times New Roman"/>
        </w:rPr>
        <w:lastRenderedPageBreak/>
        <w:t xml:space="preserve"> </w:t>
      </w:r>
      <w:r w:rsidRPr="007067BE">
        <w:rPr>
          <w:rFonts w:ascii="Times New Roman" w:hAnsi="Times New Roman"/>
        </w:rPr>
        <w:tab/>
      </w:r>
      <w:r w:rsidR="007D3770">
        <w:rPr>
          <w:rFonts w:ascii="Times New Roman" w:hAnsi="Times New Roman"/>
        </w:rPr>
        <w:t xml:space="preserve">Second, </w:t>
      </w:r>
      <w:r w:rsidRPr="007067BE">
        <w:rPr>
          <w:rFonts w:ascii="Times New Roman" w:hAnsi="Times New Roman"/>
        </w:rPr>
        <w:t xml:space="preserve">NIPPC has </w:t>
      </w:r>
      <w:r w:rsidR="007D3770">
        <w:rPr>
          <w:rFonts w:ascii="Times New Roman" w:hAnsi="Times New Roman"/>
        </w:rPr>
        <w:t xml:space="preserve">a </w:t>
      </w:r>
      <w:r w:rsidRPr="007067BE">
        <w:rPr>
          <w:rFonts w:ascii="Times New Roman" w:hAnsi="Times New Roman"/>
        </w:rPr>
        <w:t>substantial interest in the issues in this proceeding</w:t>
      </w:r>
      <w:r w:rsidR="0021203D" w:rsidRPr="007067BE">
        <w:rPr>
          <w:rFonts w:ascii="Times New Roman" w:hAnsi="Times New Roman"/>
        </w:rPr>
        <w:t xml:space="preserve">. </w:t>
      </w:r>
      <w:r w:rsidR="0044098C">
        <w:rPr>
          <w:rFonts w:ascii="Times New Roman" w:hAnsi="Times New Roman"/>
        </w:rPr>
        <w:t>PSE has volunteered to subject itself to limited competition for its largest customers. It</w:t>
      </w:r>
      <w:r w:rsidR="007D3770">
        <w:rPr>
          <w:rFonts w:ascii="Times New Roman" w:hAnsi="Times New Roman"/>
        </w:rPr>
        <w:t>s filing asks the</w:t>
      </w:r>
      <w:r w:rsidR="0044098C">
        <w:rPr>
          <w:rFonts w:ascii="Times New Roman" w:hAnsi="Times New Roman"/>
        </w:rPr>
        <w:t xml:space="preserve"> Commission</w:t>
      </w:r>
      <w:r w:rsidR="007067BE" w:rsidRPr="007067BE">
        <w:rPr>
          <w:rFonts w:ascii="Times New Roman" w:hAnsi="Times New Roman"/>
        </w:rPr>
        <w:t xml:space="preserve"> to </w:t>
      </w:r>
      <w:r w:rsidR="007D3770">
        <w:rPr>
          <w:rFonts w:ascii="Times New Roman" w:hAnsi="Times New Roman"/>
        </w:rPr>
        <w:t>create a new class of large</w:t>
      </w:r>
      <w:r w:rsidR="007067BE" w:rsidRPr="007067BE">
        <w:rPr>
          <w:rFonts w:ascii="Times New Roman" w:hAnsi="Times New Roman"/>
        </w:rPr>
        <w:t xml:space="preserve"> customers </w:t>
      </w:r>
      <w:r w:rsidR="007D3770">
        <w:rPr>
          <w:rFonts w:ascii="Times New Roman" w:hAnsi="Times New Roman"/>
        </w:rPr>
        <w:t>that can choose to obtain their</w:t>
      </w:r>
      <w:r w:rsidR="007067BE" w:rsidRPr="007067BE">
        <w:rPr>
          <w:rFonts w:ascii="Times New Roman" w:hAnsi="Times New Roman"/>
        </w:rPr>
        <w:t xml:space="preserve"> retail electric supply from alternative providers like NIPPC’s members; these customers would receive only distribution services from PSE. </w:t>
      </w:r>
      <w:r w:rsidR="0044098C">
        <w:rPr>
          <w:rFonts w:ascii="Times New Roman" w:hAnsi="Times New Roman"/>
        </w:rPr>
        <w:t xml:space="preserve">NIPPC has an interest in ensuring this program is designed in a manner that ensures success for </w:t>
      </w:r>
      <w:r w:rsidR="007D3770">
        <w:rPr>
          <w:rFonts w:ascii="Times New Roman" w:hAnsi="Times New Roman"/>
        </w:rPr>
        <w:t xml:space="preserve">those PSE </w:t>
      </w:r>
      <w:r w:rsidR="0044098C">
        <w:rPr>
          <w:rFonts w:ascii="Times New Roman" w:hAnsi="Times New Roman"/>
        </w:rPr>
        <w:t>customers</w:t>
      </w:r>
      <w:r w:rsidR="007D3770">
        <w:rPr>
          <w:rFonts w:ascii="Times New Roman" w:hAnsi="Times New Roman"/>
        </w:rPr>
        <w:t xml:space="preserve"> who choose to participate. </w:t>
      </w:r>
    </w:p>
    <w:p w14:paraId="3CC5725F" w14:textId="00722AB7" w:rsidR="005F1165" w:rsidRDefault="0044098C" w:rsidP="0021203D">
      <w:pPr>
        <w:numPr>
          <w:ilvl w:val="0"/>
          <w:numId w:val="5"/>
        </w:numPr>
        <w:spacing w:line="480" w:lineRule="auto"/>
        <w:ind w:left="0" w:hanging="720"/>
        <w:rPr>
          <w:rFonts w:ascii="Times New Roman" w:hAnsi="Times New Roman"/>
        </w:rPr>
      </w:pPr>
      <w:r w:rsidRPr="0021203D">
        <w:rPr>
          <w:rFonts w:ascii="Times New Roman" w:hAnsi="Times New Roman"/>
        </w:rPr>
        <w:t xml:space="preserve"> </w:t>
      </w:r>
      <w:r w:rsidRPr="0021203D">
        <w:rPr>
          <w:rFonts w:ascii="Times New Roman" w:hAnsi="Times New Roman"/>
        </w:rPr>
        <w:tab/>
        <w:t>The Commission’s decision in this proceeding could also carry jurisdictional consequences for NIPPC’s members.</w:t>
      </w:r>
      <w:r w:rsidR="00E531BC" w:rsidRPr="0021203D">
        <w:rPr>
          <w:rFonts w:ascii="Times New Roman" w:hAnsi="Times New Roman"/>
        </w:rPr>
        <w:t xml:space="preserve"> </w:t>
      </w:r>
      <w:r w:rsidR="00D93227" w:rsidRPr="0021203D">
        <w:rPr>
          <w:rFonts w:ascii="Times New Roman" w:hAnsi="Times New Roman"/>
        </w:rPr>
        <w:t>If the Commission decides to establish limited competitive retail electric supply, it may decide that doing so require</w:t>
      </w:r>
      <w:r w:rsidR="0021203D" w:rsidRPr="0021203D">
        <w:rPr>
          <w:rFonts w:ascii="Times New Roman" w:hAnsi="Times New Roman"/>
        </w:rPr>
        <w:t>s</w:t>
      </w:r>
      <w:r w:rsidR="00D93227" w:rsidRPr="0021203D">
        <w:rPr>
          <w:rFonts w:ascii="Times New Roman" w:hAnsi="Times New Roman"/>
        </w:rPr>
        <w:t xml:space="preserve"> conditions similar to those found in other state</w:t>
      </w:r>
      <w:r w:rsidR="00BD79FD">
        <w:rPr>
          <w:rFonts w:ascii="Times New Roman" w:hAnsi="Times New Roman"/>
        </w:rPr>
        <w:t>’</w:t>
      </w:r>
      <w:r w:rsidR="00D93227" w:rsidRPr="0021203D">
        <w:rPr>
          <w:rFonts w:ascii="Times New Roman" w:hAnsi="Times New Roman"/>
        </w:rPr>
        <w:t xml:space="preserve"> statutes, but that are absent from PSE’s propos</w:t>
      </w:r>
      <w:r w:rsidR="0021203D" w:rsidRPr="0021203D">
        <w:rPr>
          <w:rFonts w:ascii="Times New Roman" w:hAnsi="Times New Roman"/>
        </w:rPr>
        <w:t>ed tariff schedule</w:t>
      </w:r>
      <w:r w:rsidR="00D93227" w:rsidRPr="0021203D">
        <w:rPr>
          <w:rFonts w:ascii="Times New Roman" w:hAnsi="Times New Roman"/>
        </w:rPr>
        <w:t xml:space="preserve">. For example, in Oregon alternative electric suppliers must demonstrate to the Commission that they meet certain standards before they </w:t>
      </w:r>
      <w:r w:rsidR="0021203D" w:rsidRPr="0021203D">
        <w:rPr>
          <w:rFonts w:ascii="Times New Roman" w:hAnsi="Times New Roman"/>
        </w:rPr>
        <w:t xml:space="preserve">can serve non-residential retail </w:t>
      </w:r>
      <w:r w:rsidR="00D93227" w:rsidRPr="0021203D">
        <w:rPr>
          <w:rFonts w:ascii="Times New Roman" w:hAnsi="Times New Roman"/>
        </w:rPr>
        <w:t>customers.</w:t>
      </w:r>
      <w:r w:rsidR="00D93227">
        <w:rPr>
          <w:rStyle w:val="FootnoteReference"/>
          <w:rFonts w:ascii="Times New Roman" w:hAnsi="Times New Roman"/>
        </w:rPr>
        <w:footnoteReference w:id="9"/>
      </w:r>
      <w:r w:rsidR="00F42211" w:rsidRPr="0021203D">
        <w:rPr>
          <w:rFonts w:ascii="Times New Roman" w:hAnsi="Times New Roman"/>
        </w:rPr>
        <w:t xml:space="preserve"> </w:t>
      </w:r>
      <w:r w:rsidR="0021203D" w:rsidRPr="0021203D">
        <w:rPr>
          <w:rFonts w:ascii="Times New Roman" w:hAnsi="Times New Roman"/>
        </w:rPr>
        <w:t>Moreover, u</w:t>
      </w:r>
      <w:r w:rsidR="005F1165">
        <w:rPr>
          <w:rFonts w:ascii="Times New Roman" w:hAnsi="Times New Roman"/>
        </w:rPr>
        <w:t xml:space="preserve">sing an </w:t>
      </w:r>
      <w:r w:rsidR="00F42211" w:rsidRPr="0021203D">
        <w:rPr>
          <w:rFonts w:ascii="Times New Roman" w:hAnsi="Times New Roman"/>
        </w:rPr>
        <w:t xml:space="preserve">analysis </w:t>
      </w:r>
      <w:r w:rsidR="005F1165">
        <w:rPr>
          <w:rFonts w:ascii="Times New Roman" w:hAnsi="Times New Roman"/>
        </w:rPr>
        <w:t>similar to the one it followed</w:t>
      </w:r>
      <w:r w:rsidR="00F42211" w:rsidRPr="0021203D">
        <w:rPr>
          <w:rFonts w:ascii="Times New Roman" w:hAnsi="Times New Roman"/>
        </w:rPr>
        <w:t xml:space="preserve"> in i</w:t>
      </w:r>
      <w:r w:rsidR="00A06D8C">
        <w:rPr>
          <w:rFonts w:ascii="Times New Roman" w:hAnsi="Times New Roman"/>
        </w:rPr>
        <w:t>ts policy statement concerning t</w:t>
      </w:r>
      <w:r w:rsidR="00F42211" w:rsidRPr="0021203D">
        <w:rPr>
          <w:rFonts w:ascii="Times New Roman" w:hAnsi="Times New Roman"/>
        </w:rPr>
        <w:t xml:space="preserve">hird-party owners of net metering </w:t>
      </w:r>
      <w:r w:rsidR="00BD79FD" w:rsidRPr="00BD79FD">
        <w:rPr>
          <w:rFonts w:ascii="Times New Roman" w:hAnsi="Times New Roman"/>
        </w:rPr>
        <w:t>facilities</w:t>
      </w:r>
      <w:r w:rsidR="00F42211" w:rsidRPr="0021203D">
        <w:rPr>
          <w:rFonts w:ascii="Times New Roman" w:hAnsi="Times New Roman"/>
        </w:rPr>
        <w:t>, the Commission may even find that alternative electric suppliers who serve PSE’s participating customers are subject to Commission jurisdiction and should be subject to some form of regulatory oversight.</w:t>
      </w:r>
      <w:r w:rsidR="00F42211">
        <w:rPr>
          <w:rStyle w:val="FootnoteReference"/>
          <w:rFonts w:ascii="Times New Roman" w:hAnsi="Times New Roman"/>
        </w:rPr>
        <w:footnoteReference w:id="10"/>
      </w:r>
      <w:r w:rsidR="00F42211" w:rsidRPr="0021203D">
        <w:rPr>
          <w:rFonts w:ascii="Times New Roman" w:hAnsi="Times New Roman"/>
        </w:rPr>
        <w:t xml:space="preserve"> </w:t>
      </w:r>
      <w:r w:rsidR="005F1165">
        <w:rPr>
          <w:rFonts w:ascii="Times New Roman" w:hAnsi="Times New Roman"/>
        </w:rPr>
        <w:t xml:space="preserve">NIPPC’s absence from this proceeding </w:t>
      </w:r>
      <w:r w:rsidR="00D60E09">
        <w:rPr>
          <w:rFonts w:ascii="Times New Roman" w:hAnsi="Times New Roman"/>
        </w:rPr>
        <w:t>c</w:t>
      </w:r>
      <w:r w:rsidR="005F1165">
        <w:rPr>
          <w:rFonts w:ascii="Times New Roman" w:hAnsi="Times New Roman"/>
        </w:rPr>
        <w:t xml:space="preserve">ould prevent the Commission from following such a course if the Commission determines that it is the proper one. </w:t>
      </w:r>
    </w:p>
    <w:p w14:paraId="090A9083" w14:textId="0339AAE8" w:rsidR="00D93227" w:rsidRPr="0021203D" w:rsidRDefault="005F1165" w:rsidP="0021203D">
      <w:pPr>
        <w:numPr>
          <w:ilvl w:val="0"/>
          <w:numId w:val="5"/>
        </w:numPr>
        <w:spacing w:line="480" w:lineRule="auto"/>
        <w:ind w:left="0" w:hanging="720"/>
        <w:rPr>
          <w:rFonts w:ascii="Times New Roman" w:hAnsi="Times New Roman"/>
        </w:rPr>
      </w:pPr>
      <w:r>
        <w:rPr>
          <w:rFonts w:ascii="Times New Roman" w:hAnsi="Times New Roman"/>
        </w:rPr>
        <w:tab/>
      </w:r>
      <w:r w:rsidR="00FD5D25" w:rsidRPr="0021203D">
        <w:rPr>
          <w:rFonts w:ascii="Times New Roman" w:hAnsi="Times New Roman"/>
        </w:rPr>
        <w:t>Importantly, Staff is</w:t>
      </w:r>
      <w:r w:rsidR="00E531BC" w:rsidRPr="0021203D">
        <w:rPr>
          <w:rFonts w:ascii="Times New Roman" w:hAnsi="Times New Roman"/>
        </w:rPr>
        <w:t xml:space="preserve"> not now advocating for any particular </w:t>
      </w:r>
      <w:r w:rsidR="0021203D" w:rsidRPr="0021203D">
        <w:rPr>
          <w:rFonts w:ascii="Times New Roman" w:hAnsi="Times New Roman"/>
        </w:rPr>
        <w:t>outcome</w:t>
      </w:r>
      <w:r w:rsidR="00E531BC" w:rsidRPr="0021203D">
        <w:rPr>
          <w:rFonts w:ascii="Times New Roman" w:hAnsi="Times New Roman"/>
        </w:rPr>
        <w:t xml:space="preserve">—it </w:t>
      </w:r>
      <w:r w:rsidR="00784BFB">
        <w:rPr>
          <w:rFonts w:ascii="Times New Roman" w:hAnsi="Times New Roman"/>
        </w:rPr>
        <w:t>has</w:t>
      </w:r>
      <w:r w:rsidR="00E531BC" w:rsidRPr="0021203D">
        <w:rPr>
          <w:rFonts w:ascii="Times New Roman" w:hAnsi="Times New Roman"/>
        </w:rPr>
        <w:t xml:space="preserve"> only begun its analysis of the</w:t>
      </w:r>
      <w:r w:rsidR="0021203D" w:rsidRPr="0021203D">
        <w:rPr>
          <w:rFonts w:ascii="Times New Roman" w:hAnsi="Times New Roman"/>
        </w:rPr>
        <w:t xml:space="preserve"> </w:t>
      </w:r>
      <w:r w:rsidR="00784BFB">
        <w:rPr>
          <w:rFonts w:ascii="Times New Roman" w:hAnsi="Times New Roman"/>
        </w:rPr>
        <w:t>legal</w:t>
      </w:r>
      <w:r w:rsidR="0021203D" w:rsidRPr="0021203D">
        <w:rPr>
          <w:rFonts w:ascii="Times New Roman" w:hAnsi="Times New Roman"/>
        </w:rPr>
        <w:t xml:space="preserve"> and policy questions raised by the </w:t>
      </w:r>
      <w:r w:rsidR="00E531BC" w:rsidRPr="0021203D">
        <w:rPr>
          <w:rFonts w:ascii="Times New Roman" w:hAnsi="Times New Roman"/>
        </w:rPr>
        <w:t>proposed retail wheeling service. N</w:t>
      </w:r>
      <w:r w:rsidR="00A22510" w:rsidRPr="0021203D">
        <w:rPr>
          <w:rFonts w:ascii="Times New Roman" w:hAnsi="Times New Roman"/>
        </w:rPr>
        <w:t xml:space="preserve">evertheless, the Commission </w:t>
      </w:r>
      <w:r w:rsidR="00C37765">
        <w:rPr>
          <w:rFonts w:ascii="Times New Roman" w:hAnsi="Times New Roman"/>
        </w:rPr>
        <w:t xml:space="preserve">should </w:t>
      </w:r>
      <w:r w:rsidR="00F0742B">
        <w:rPr>
          <w:rFonts w:ascii="Times New Roman" w:hAnsi="Times New Roman"/>
        </w:rPr>
        <w:t>consider</w:t>
      </w:r>
      <w:r w:rsidR="00A22510" w:rsidRPr="0021203D">
        <w:rPr>
          <w:rFonts w:ascii="Times New Roman" w:hAnsi="Times New Roman"/>
        </w:rPr>
        <w:t xml:space="preserve"> how establishing </w:t>
      </w:r>
      <w:r w:rsidR="00E531BC" w:rsidRPr="0021203D">
        <w:rPr>
          <w:rFonts w:ascii="Times New Roman" w:hAnsi="Times New Roman"/>
        </w:rPr>
        <w:t xml:space="preserve">competitive retail </w:t>
      </w:r>
      <w:r w:rsidR="00A22510" w:rsidRPr="0021203D">
        <w:rPr>
          <w:rFonts w:ascii="Times New Roman" w:hAnsi="Times New Roman"/>
        </w:rPr>
        <w:t>energy supply</w:t>
      </w:r>
      <w:r w:rsidR="00E531BC" w:rsidRPr="0021203D">
        <w:rPr>
          <w:rFonts w:ascii="Times New Roman" w:hAnsi="Times New Roman"/>
        </w:rPr>
        <w:t xml:space="preserve"> for a class of </w:t>
      </w:r>
      <w:r w:rsidR="00A22510" w:rsidRPr="0021203D">
        <w:rPr>
          <w:rFonts w:ascii="Times New Roman" w:hAnsi="Times New Roman"/>
        </w:rPr>
        <w:t>PSE customers who comprise some of the largest electric loads in the state</w:t>
      </w:r>
      <w:r w:rsidR="00E531BC" w:rsidRPr="0021203D">
        <w:rPr>
          <w:rFonts w:ascii="Times New Roman" w:hAnsi="Times New Roman"/>
        </w:rPr>
        <w:t xml:space="preserve"> </w:t>
      </w:r>
      <w:r w:rsidR="00A22510" w:rsidRPr="0021203D">
        <w:rPr>
          <w:rFonts w:ascii="Times New Roman" w:hAnsi="Times New Roman"/>
        </w:rPr>
        <w:t>could necessitate addi</w:t>
      </w:r>
      <w:r w:rsidR="0021203D" w:rsidRPr="0021203D">
        <w:rPr>
          <w:rFonts w:ascii="Times New Roman" w:hAnsi="Times New Roman"/>
        </w:rPr>
        <w:t>tional</w:t>
      </w:r>
      <w:r w:rsidR="00A22510" w:rsidRPr="0021203D">
        <w:rPr>
          <w:rFonts w:ascii="Times New Roman" w:hAnsi="Times New Roman"/>
        </w:rPr>
        <w:t xml:space="preserve"> terms and conditions that directly affect NIPPC’s</w:t>
      </w:r>
      <w:r w:rsidR="0021203D" w:rsidRPr="0021203D">
        <w:rPr>
          <w:rFonts w:ascii="Times New Roman" w:hAnsi="Times New Roman"/>
        </w:rPr>
        <w:t xml:space="preserve"> interests. </w:t>
      </w:r>
      <w:r w:rsidR="00C37765">
        <w:rPr>
          <w:rFonts w:ascii="Times New Roman" w:hAnsi="Times New Roman"/>
        </w:rPr>
        <w:t>NIPPC</w:t>
      </w:r>
      <w:r w:rsidR="00BD79FD">
        <w:rPr>
          <w:rFonts w:ascii="Times New Roman" w:hAnsi="Times New Roman"/>
        </w:rPr>
        <w:t>’s</w:t>
      </w:r>
      <w:r w:rsidR="00C37765">
        <w:rPr>
          <w:rFonts w:ascii="Times New Roman" w:hAnsi="Times New Roman"/>
        </w:rPr>
        <w:t xml:space="preserve"> participation can help inform what requirements would best further the public interest. </w:t>
      </w:r>
    </w:p>
    <w:p w14:paraId="65454D13" w14:textId="718FBCB1" w:rsidR="00151A8B" w:rsidRPr="00151A8B" w:rsidRDefault="00C37765" w:rsidP="00500E0C">
      <w:pPr>
        <w:numPr>
          <w:ilvl w:val="0"/>
          <w:numId w:val="5"/>
        </w:numPr>
        <w:spacing w:line="480" w:lineRule="auto"/>
        <w:ind w:left="0" w:hanging="720"/>
        <w:rPr>
          <w:rFonts w:ascii="Times New Roman" w:hAnsi="Times New Roman"/>
        </w:rPr>
      </w:pPr>
      <w:r w:rsidRPr="00151A8B">
        <w:rPr>
          <w:rFonts w:ascii="Times New Roman" w:hAnsi="Times New Roman"/>
        </w:rPr>
        <w:t xml:space="preserve"> </w:t>
      </w:r>
      <w:r w:rsidRPr="00151A8B">
        <w:rPr>
          <w:rFonts w:ascii="Times New Roman" w:hAnsi="Times New Roman"/>
        </w:rPr>
        <w:tab/>
        <w:t xml:space="preserve">Third, </w:t>
      </w:r>
      <w:r w:rsidR="00FB04A2" w:rsidRPr="00151A8B">
        <w:rPr>
          <w:rFonts w:ascii="Times New Roman" w:hAnsi="Times New Roman"/>
        </w:rPr>
        <w:t xml:space="preserve">there is no indication that </w:t>
      </w:r>
      <w:r w:rsidRPr="00151A8B">
        <w:rPr>
          <w:rFonts w:ascii="Times New Roman" w:hAnsi="Times New Roman"/>
        </w:rPr>
        <w:t>NIPPC’s participation will burden or otherwise impede the conduct of th</w:t>
      </w:r>
      <w:r w:rsidR="00436836">
        <w:rPr>
          <w:rFonts w:ascii="Times New Roman" w:hAnsi="Times New Roman"/>
        </w:rPr>
        <w:t>is</w:t>
      </w:r>
      <w:r w:rsidRPr="00151A8B">
        <w:rPr>
          <w:rFonts w:ascii="Times New Roman" w:hAnsi="Times New Roman"/>
        </w:rPr>
        <w:t xml:space="preserve"> proceeding. </w:t>
      </w:r>
      <w:r w:rsidR="0017123F" w:rsidRPr="00151A8B">
        <w:rPr>
          <w:rFonts w:ascii="Times New Roman" w:hAnsi="Times New Roman"/>
        </w:rPr>
        <w:t xml:space="preserve">Relying heavily on </w:t>
      </w:r>
      <w:r w:rsidR="0017123F" w:rsidRPr="00151A8B">
        <w:rPr>
          <w:rFonts w:ascii="Times New Roman" w:hAnsi="Times New Roman"/>
          <w:i/>
        </w:rPr>
        <w:t>Cole v. Washington Utilities &amp; Transportation Commission</w:t>
      </w:r>
      <w:r w:rsidR="0017123F" w:rsidRPr="00151A8B">
        <w:rPr>
          <w:rFonts w:ascii="Times New Roman" w:hAnsi="Times New Roman"/>
        </w:rPr>
        <w:t>, PSE objects to NIPPC’s intervention on the basis that NIPPC is a competitor whose business interests are beyond the concern of the Commission.</w:t>
      </w:r>
      <w:r w:rsidR="0017123F">
        <w:rPr>
          <w:rStyle w:val="FootnoteReference"/>
          <w:rFonts w:ascii="Times New Roman" w:hAnsi="Times New Roman"/>
        </w:rPr>
        <w:footnoteReference w:id="11"/>
      </w:r>
      <w:r w:rsidR="00151A8B" w:rsidRPr="00151A8B">
        <w:rPr>
          <w:rFonts w:ascii="Times New Roman" w:hAnsi="Times New Roman"/>
        </w:rPr>
        <w:t xml:space="preserve"> PSE’s primarily argument is that NIPPC cannot demonstrate sufficient interest in this case. </w:t>
      </w:r>
      <w:r w:rsidR="00286D39" w:rsidRPr="00151A8B">
        <w:rPr>
          <w:rFonts w:ascii="Times New Roman" w:hAnsi="Times New Roman"/>
        </w:rPr>
        <w:t xml:space="preserve">PSE’s criticism, however, is inapposite because </w:t>
      </w:r>
      <w:r w:rsidR="00934B45" w:rsidRPr="00151A8B">
        <w:rPr>
          <w:rFonts w:ascii="Times New Roman" w:hAnsi="Times New Roman"/>
        </w:rPr>
        <w:t>NIPPC’s goal in this proceeding is to “foster healthy electricity markets and not the specific commercial interests of any particular members.”</w:t>
      </w:r>
      <w:r w:rsidR="00934B45">
        <w:rPr>
          <w:rStyle w:val="FootnoteReference"/>
          <w:rFonts w:ascii="Times New Roman" w:hAnsi="Times New Roman"/>
        </w:rPr>
        <w:footnoteReference w:id="12"/>
      </w:r>
      <w:r w:rsidR="00934B45" w:rsidRPr="00151A8B">
        <w:rPr>
          <w:rFonts w:ascii="Times New Roman" w:hAnsi="Times New Roman"/>
        </w:rPr>
        <w:t xml:space="preserve"> </w:t>
      </w:r>
      <w:r w:rsidR="00286D39" w:rsidRPr="00151A8B">
        <w:rPr>
          <w:rFonts w:ascii="Times New Roman" w:hAnsi="Times New Roman"/>
        </w:rPr>
        <w:t xml:space="preserve">In fact, </w:t>
      </w:r>
      <w:r w:rsidR="00934B45" w:rsidRPr="00151A8B">
        <w:rPr>
          <w:rFonts w:ascii="Times New Roman" w:hAnsi="Times New Roman"/>
        </w:rPr>
        <w:t xml:space="preserve">NIPPC </w:t>
      </w:r>
      <w:r w:rsidR="00286D39" w:rsidRPr="00151A8B">
        <w:rPr>
          <w:rFonts w:ascii="Times New Roman" w:hAnsi="Times New Roman"/>
        </w:rPr>
        <w:t xml:space="preserve">expressly </w:t>
      </w:r>
      <w:r w:rsidR="00934B45" w:rsidRPr="00151A8B">
        <w:rPr>
          <w:rFonts w:ascii="Times New Roman" w:hAnsi="Times New Roman"/>
        </w:rPr>
        <w:t>committed to not unduly burden the record or raise issues that are beyond the Commission’s jurisdiction.</w:t>
      </w:r>
      <w:r w:rsidR="00934B45">
        <w:rPr>
          <w:rStyle w:val="FootnoteReference"/>
          <w:rFonts w:ascii="Times New Roman" w:hAnsi="Times New Roman"/>
        </w:rPr>
        <w:footnoteReference w:id="13"/>
      </w:r>
      <w:r w:rsidR="00286D39" w:rsidRPr="00151A8B">
        <w:rPr>
          <w:rFonts w:ascii="Times New Roman" w:hAnsi="Times New Roman"/>
        </w:rPr>
        <w:t xml:space="preserve"> </w:t>
      </w:r>
    </w:p>
    <w:p w14:paraId="3B056CD8" w14:textId="72587505" w:rsidR="00286D39" w:rsidRPr="009D0FD6" w:rsidRDefault="00151A8B" w:rsidP="00500E0C">
      <w:pPr>
        <w:numPr>
          <w:ilvl w:val="0"/>
          <w:numId w:val="5"/>
        </w:numPr>
        <w:spacing w:line="480" w:lineRule="auto"/>
        <w:ind w:left="0" w:hanging="720"/>
        <w:rPr>
          <w:rFonts w:ascii="Times New Roman" w:hAnsi="Times New Roman"/>
        </w:rPr>
      </w:pPr>
      <w:r w:rsidRPr="009D0FD6">
        <w:rPr>
          <w:rFonts w:ascii="Times New Roman" w:hAnsi="Times New Roman"/>
        </w:rPr>
        <w:t xml:space="preserve"> </w:t>
      </w:r>
      <w:r w:rsidRPr="009D0FD6">
        <w:rPr>
          <w:rFonts w:ascii="Times New Roman" w:hAnsi="Times New Roman"/>
        </w:rPr>
        <w:tab/>
      </w:r>
      <w:r w:rsidR="00286D39" w:rsidRPr="009D0FD6">
        <w:rPr>
          <w:rFonts w:ascii="Times New Roman" w:hAnsi="Times New Roman"/>
        </w:rPr>
        <w:t xml:space="preserve">Moreover, the new service PSE proposes here is not analogous to the gas appliance leasing program addressed in </w:t>
      </w:r>
      <w:r w:rsidR="00286D39" w:rsidRPr="009D0FD6">
        <w:rPr>
          <w:rFonts w:ascii="Times New Roman" w:hAnsi="Times New Roman"/>
          <w:i/>
        </w:rPr>
        <w:t>Cole</w:t>
      </w:r>
      <w:r w:rsidRPr="009D0FD6">
        <w:rPr>
          <w:rFonts w:ascii="Times New Roman" w:hAnsi="Times New Roman"/>
        </w:rPr>
        <w:t xml:space="preserve">. </w:t>
      </w:r>
      <w:r w:rsidR="00286D39" w:rsidRPr="009D0FD6">
        <w:rPr>
          <w:rFonts w:ascii="Times New Roman" w:hAnsi="Times New Roman"/>
        </w:rPr>
        <w:t xml:space="preserve">In </w:t>
      </w:r>
      <w:r w:rsidR="00286D39" w:rsidRPr="009D0FD6">
        <w:rPr>
          <w:rFonts w:ascii="Times New Roman" w:hAnsi="Times New Roman"/>
          <w:i/>
        </w:rPr>
        <w:t>Cole</w:t>
      </w:r>
      <w:r w:rsidR="00286D39" w:rsidRPr="009D0FD6">
        <w:rPr>
          <w:rFonts w:ascii="Times New Roman" w:hAnsi="Times New Roman"/>
        </w:rPr>
        <w:t>, a</w:t>
      </w:r>
      <w:r w:rsidR="00E7400C" w:rsidRPr="009D0FD6">
        <w:rPr>
          <w:rFonts w:ascii="Times New Roman" w:hAnsi="Times New Roman"/>
        </w:rPr>
        <w:t xml:space="preserve"> fuel oil industry</w:t>
      </w:r>
      <w:r w:rsidR="00286D39" w:rsidRPr="009D0FD6">
        <w:rPr>
          <w:rFonts w:ascii="Times New Roman" w:hAnsi="Times New Roman"/>
        </w:rPr>
        <w:t xml:space="preserve"> association </w:t>
      </w:r>
      <w:r w:rsidR="00E7400C" w:rsidRPr="009D0FD6">
        <w:rPr>
          <w:rFonts w:ascii="Times New Roman" w:hAnsi="Times New Roman"/>
        </w:rPr>
        <w:t xml:space="preserve">was denied intervention in a Commission proceeding that considered new, regulated services that encroached into an unregulated, competitive market at the expense of </w:t>
      </w:r>
      <w:r w:rsidR="000B5ED1">
        <w:rPr>
          <w:rFonts w:ascii="Times New Roman" w:hAnsi="Times New Roman"/>
        </w:rPr>
        <w:t xml:space="preserve">the </w:t>
      </w:r>
      <w:r w:rsidR="00E7400C" w:rsidRPr="009D0FD6">
        <w:rPr>
          <w:rFonts w:ascii="Times New Roman" w:hAnsi="Times New Roman"/>
        </w:rPr>
        <w:t>fuel oil industry’s business interests. The issue here is the exact opposite:  rather than encroaching into an unregulated market, PSE is proposing to enable a select group of its captive customers to take advantage of the competitive market</w:t>
      </w:r>
      <w:r w:rsidRPr="009D0FD6">
        <w:rPr>
          <w:rFonts w:ascii="Times New Roman" w:hAnsi="Times New Roman"/>
        </w:rPr>
        <w:t xml:space="preserve">. PSE has volunteered to subject itself to competition from </w:t>
      </w:r>
      <w:r w:rsidR="00436836">
        <w:rPr>
          <w:rFonts w:ascii="Times New Roman" w:hAnsi="Times New Roman"/>
        </w:rPr>
        <w:t>alternative</w:t>
      </w:r>
      <w:r w:rsidRPr="009D0FD6">
        <w:rPr>
          <w:rFonts w:ascii="Times New Roman" w:hAnsi="Times New Roman"/>
        </w:rPr>
        <w:t xml:space="preserve"> suppliers like NIPPC’s members. Consequently, it has place</w:t>
      </w:r>
      <w:r w:rsidR="00784BFB">
        <w:rPr>
          <w:rFonts w:ascii="Times New Roman" w:hAnsi="Times New Roman"/>
        </w:rPr>
        <w:t>d</w:t>
      </w:r>
      <w:r w:rsidRPr="009D0FD6">
        <w:rPr>
          <w:rFonts w:ascii="Times New Roman" w:hAnsi="Times New Roman"/>
        </w:rPr>
        <w:t xml:space="preserve"> the competitive market, and NIPPC’s business interests, directly at issue. PSE has asked the Commission to determine (1) whether allowing </w:t>
      </w:r>
      <w:r w:rsidR="009D0FD6" w:rsidRPr="009D0FD6">
        <w:rPr>
          <w:rFonts w:ascii="Times New Roman" w:hAnsi="Times New Roman"/>
        </w:rPr>
        <w:t xml:space="preserve">a class of </w:t>
      </w:r>
      <w:r w:rsidRPr="009D0FD6">
        <w:rPr>
          <w:rFonts w:ascii="Times New Roman" w:hAnsi="Times New Roman"/>
        </w:rPr>
        <w:t xml:space="preserve">customers to take advantage of the competitive market is in the public interest, and (2) whether the terms and conditions </w:t>
      </w:r>
      <w:r w:rsidR="009D0FD6" w:rsidRPr="009D0FD6">
        <w:rPr>
          <w:rFonts w:ascii="Times New Roman" w:hAnsi="Times New Roman"/>
        </w:rPr>
        <w:t>of allowing them to participate in the completive market</w:t>
      </w:r>
      <w:r w:rsidRPr="009D0FD6">
        <w:rPr>
          <w:rFonts w:ascii="Times New Roman" w:hAnsi="Times New Roman"/>
        </w:rPr>
        <w:t xml:space="preserve"> are just and reasonable. </w:t>
      </w:r>
      <w:r w:rsidR="009D0FD6" w:rsidRPr="009D0FD6">
        <w:rPr>
          <w:rFonts w:ascii="Times New Roman" w:hAnsi="Times New Roman"/>
        </w:rPr>
        <w:t xml:space="preserve">As the potential alternative energy suppliers to this new class of customers, NIPPC offers a unique and important </w:t>
      </w:r>
      <w:r w:rsidR="00BD79FD" w:rsidRPr="00BD79FD">
        <w:rPr>
          <w:rFonts w:ascii="Times New Roman" w:hAnsi="Times New Roman"/>
        </w:rPr>
        <w:t xml:space="preserve">perspective </w:t>
      </w:r>
      <w:r w:rsidR="009D0FD6" w:rsidRPr="009D0FD6">
        <w:rPr>
          <w:rFonts w:ascii="Times New Roman" w:hAnsi="Times New Roman"/>
        </w:rPr>
        <w:t>that can inform the Commission’s review</w:t>
      </w:r>
      <w:r w:rsidR="00E077D3" w:rsidRPr="009D0FD6">
        <w:rPr>
          <w:rFonts w:ascii="Times New Roman" w:hAnsi="Times New Roman"/>
        </w:rPr>
        <w:t xml:space="preserve">. </w:t>
      </w:r>
    </w:p>
    <w:p w14:paraId="24C023E4" w14:textId="7CA09DB3" w:rsidR="00CD1EE6" w:rsidRDefault="00506E02" w:rsidP="00500E0C">
      <w:pPr>
        <w:numPr>
          <w:ilvl w:val="0"/>
          <w:numId w:val="5"/>
        </w:numPr>
        <w:spacing w:line="480" w:lineRule="auto"/>
        <w:ind w:left="0" w:hanging="720"/>
        <w:rPr>
          <w:rFonts w:ascii="Times New Roman" w:hAnsi="Times New Roman"/>
        </w:rPr>
      </w:pPr>
      <w:r w:rsidRPr="00CD1EE6">
        <w:rPr>
          <w:rFonts w:ascii="Times New Roman" w:hAnsi="Times New Roman"/>
        </w:rPr>
        <w:t xml:space="preserve"> </w:t>
      </w:r>
      <w:r w:rsidR="00E077D3" w:rsidRPr="00CD1EE6">
        <w:rPr>
          <w:rFonts w:ascii="Times New Roman" w:hAnsi="Times New Roman"/>
        </w:rPr>
        <w:tab/>
        <w:t xml:space="preserve">Finally, Order 04 indicated concerns about protecting commercially-sensitive information. It suggested that Staff could sponsor a NIPPC-related witness, and thereby take responsibility for protecting the commercially-sensitive information, if </w:t>
      </w:r>
      <w:r w:rsidR="00436836">
        <w:rPr>
          <w:rFonts w:ascii="Times New Roman" w:hAnsi="Times New Roman"/>
        </w:rPr>
        <w:t>it</w:t>
      </w:r>
      <w:r w:rsidR="00E077D3" w:rsidRPr="00CD1EE6">
        <w:rPr>
          <w:rFonts w:ascii="Times New Roman" w:hAnsi="Times New Roman"/>
        </w:rPr>
        <w:t xml:space="preserve"> believed NIPPC offer</w:t>
      </w:r>
      <w:r w:rsidR="00436836">
        <w:rPr>
          <w:rFonts w:ascii="Times New Roman" w:hAnsi="Times New Roman"/>
        </w:rPr>
        <w:t>s</w:t>
      </w:r>
      <w:r w:rsidR="00E077D3" w:rsidRPr="00CD1EE6">
        <w:rPr>
          <w:rFonts w:ascii="Times New Roman" w:hAnsi="Times New Roman"/>
        </w:rPr>
        <w:t xml:space="preserve"> unique perspectives on public policy issues related to this filing.</w:t>
      </w:r>
      <w:r w:rsidR="00E077D3">
        <w:rPr>
          <w:rStyle w:val="FootnoteReference"/>
          <w:rFonts w:ascii="Times New Roman" w:hAnsi="Times New Roman"/>
        </w:rPr>
        <w:footnoteReference w:id="14"/>
      </w:r>
      <w:r w:rsidR="00E63DAA" w:rsidRPr="00CD1EE6">
        <w:rPr>
          <w:rFonts w:ascii="Times New Roman" w:hAnsi="Times New Roman"/>
        </w:rPr>
        <w:t xml:space="preserve"> </w:t>
      </w:r>
      <w:r w:rsidR="00CD1EE6" w:rsidRPr="00CD1EE6">
        <w:rPr>
          <w:rFonts w:ascii="Times New Roman" w:hAnsi="Times New Roman"/>
        </w:rPr>
        <w:t>Staff</w:t>
      </w:r>
      <w:r w:rsidR="00CD1EE6">
        <w:rPr>
          <w:rFonts w:ascii="Times New Roman" w:hAnsi="Times New Roman"/>
        </w:rPr>
        <w:t>, however,</w:t>
      </w:r>
      <w:r w:rsidR="00CD1EE6" w:rsidRPr="00CD1EE6">
        <w:rPr>
          <w:rFonts w:ascii="Times New Roman" w:hAnsi="Times New Roman"/>
        </w:rPr>
        <w:t xml:space="preserve"> does not </w:t>
      </w:r>
      <w:r w:rsidR="00784BFB">
        <w:rPr>
          <w:rFonts w:ascii="Times New Roman" w:hAnsi="Times New Roman"/>
        </w:rPr>
        <w:t>intend to sponsor</w:t>
      </w:r>
      <w:r w:rsidR="00CD1EE6" w:rsidRPr="00CD1EE6">
        <w:rPr>
          <w:rFonts w:ascii="Times New Roman" w:hAnsi="Times New Roman"/>
        </w:rPr>
        <w:t xml:space="preserve"> a NIPPC witness if the Commission denies NIPPC’s intervention.</w:t>
      </w:r>
      <w:r w:rsidR="00CD1EE6">
        <w:rPr>
          <w:rFonts w:ascii="Times New Roman" w:hAnsi="Times New Roman"/>
        </w:rPr>
        <w:t xml:space="preserve"> Staff’s concern is facilitating the Commission’s review by providing impartial analysis of the Company’s filing. If the Commission deems NIPPC’s perspective as </w:t>
      </w:r>
      <w:r w:rsidR="00F0742B">
        <w:rPr>
          <w:rFonts w:ascii="Times New Roman" w:hAnsi="Times New Roman"/>
        </w:rPr>
        <w:t>insignificant</w:t>
      </w:r>
      <w:r w:rsidR="00CD1EE6">
        <w:rPr>
          <w:rFonts w:ascii="Times New Roman" w:hAnsi="Times New Roman"/>
        </w:rPr>
        <w:t xml:space="preserve"> to its decision then </w:t>
      </w:r>
      <w:r w:rsidR="00436836">
        <w:rPr>
          <w:rFonts w:ascii="Times New Roman" w:hAnsi="Times New Roman"/>
        </w:rPr>
        <w:t>S</w:t>
      </w:r>
      <w:r w:rsidR="00CD1EE6">
        <w:rPr>
          <w:rFonts w:ascii="Times New Roman" w:hAnsi="Times New Roman"/>
        </w:rPr>
        <w:t xml:space="preserve">taff will conduct its analysis </w:t>
      </w:r>
      <w:r w:rsidR="00436836">
        <w:rPr>
          <w:rFonts w:ascii="Times New Roman" w:hAnsi="Times New Roman"/>
        </w:rPr>
        <w:t>accordingly</w:t>
      </w:r>
      <w:r w:rsidR="00CD1EE6">
        <w:rPr>
          <w:rFonts w:ascii="Times New Roman" w:hAnsi="Times New Roman"/>
        </w:rPr>
        <w:t xml:space="preserve">. While Staff sees no reason why the protective order with highly confidential provisions (Order 03) is insufficient to address any concerns related to </w:t>
      </w:r>
      <w:r w:rsidR="00CD1EE6" w:rsidRPr="00CD1EE6">
        <w:rPr>
          <w:rFonts w:ascii="Times New Roman" w:hAnsi="Times New Roman"/>
        </w:rPr>
        <w:t>commercially-sensitive information</w:t>
      </w:r>
      <w:r w:rsidR="00CD1EE6">
        <w:rPr>
          <w:rFonts w:ascii="Times New Roman" w:hAnsi="Times New Roman"/>
        </w:rPr>
        <w:t xml:space="preserve">, it declines to assume the duties or potential liabilities of </w:t>
      </w:r>
      <w:r w:rsidR="00436836">
        <w:rPr>
          <w:rFonts w:ascii="Times New Roman" w:hAnsi="Times New Roman"/>
        </w:rPr>
        <w:t>managing</w:t>
      </w:r>
      <w:r w:rsidR="00CD1EE6">
        <w:rPr>
          <w:rFonts w:ascii="Times New Roman" w:hAnsi="Times New Roman"/>
        </w:rPr>
        <w:t xml:space="preserve"> </w:t>
      </w:r>
      <w:r w:rsidR="00CD1EE6" w:rsidRPr="00CD1EE6">
        <w:rPr>
          <w:rFonts w:ascii="Times New Roman" w:hAnsi="Times New Roman"/>
        </w:rPr>
        <w:t>commercially-sensitive information</w:t>
      </w:r>
      <w:r w:rsidR="00CD1EE6">
        <w:rPr>
          <w:rFonts w:ascii="Times New Roman" w:hAnsi="Times New Roman"/>
        </w:rPr>
        <w:t xml:space="preserve"> for another party.</w:t>
      </w:r>
    </w:p>
    <w:p w14:paraId="27776426" w14:textId="1983268C" w:rsidR="009653FF" w:rsidRDefault="009653FF" w:rsidP="009653FF">
      <w:pPr>
        <w:spacing w:line="480" w:lineRule="auto"/>
        <w:rPr>
          <w:rFonts w:ascii="Times New Roman" w:hAnsi="Times New Roman"/>
        </w:rPr>
      </w:pPr>
      <w:r>
        <w:rPr>
          <w:rFonts w:ascii="Times New Roman" w:hAnsi="Times New Roman"/>
        </w:rPr>
        <w:t>//</w:t>
      </w:r>
    </w:p>
    <w:p w14:paraId="5CA3F88D" w14:textId="387E4DBA" w:rsidR="009653FF" w:rsidRDefault="009653FF" w:rsidP="009653FF">
      <w:pPr>
        <w:spacing w:line="480" w:lineRule="auto"/>
        <w:rPr>
          <w:rFonts w:ascii="Times New Roman" w:hAnsi="Times New Roman"/>
        </w:rPr>
      </w:pPr>
      <w:r>
        <w:rPr>
          <w:rFonts w:ascii="Times New Roman" w:hAnsi="Times New Roman"/>
        </w:rPr>
        <w:t>//</w:t>
      </w:r>
    </w:p>
    <w:p w14:paraId="035FF5A2" w14:textId="5CB61A1A" w:rsidR="00306603" w:rsidRDefault="00306603" w:rsidP="009653FF">
      <w:pPr>
        <w:spacing w:line="480" w:lineRule="auto"/>
        <w:rPr>
          <w:rFonts w:ascii="Times New Roman" w:hAnsi="Times New Roman"/>
        </w:rPr>
      </w:pPr>
      <w:r>
        <w:rPr>
          <w:rFonts w:ascii="Times New Roman" w:hAnsi="Times New Roman"/>
        </w:rPr>
        <w:t>//</w:t>
      </w:r>
      <w:r>
        <w:rPr>
          <w:rFonts w:ascii="Times New Roman" w:hAnsi="Times New Roman"/>
        </w:rPr>
        <w:br/>
        <w:t>//</w:t>
      </w:r>
    </w:p>
    <w:p w14:paraId="13F25F87" w14:textId="1D8A2146" w:rsidR="006C2EB7" w:rsidRPr="00500E0C" w:rsidRDefault="00500E0C" w:rsidP="00500E0C">
      <w:pPr>
        <w:numPr>
          <w:ilvl w:val="0"/>
          <w:numId w:val="5"/>
        </w:numPr>
        <w:spacing w:line="480" w:lineRule="auto"/>
        <w:ind w:left="0" w:hanging="720"/>
        <w:rPr>
          <w:rFonts w:ascii="Times New Roman" w:hAnsi="Times New Roman"/>
        </w:rPr>
      </w:pPr>
      <w:bookmarkStart w:id="0" w:name="_GoBack"/>
      <w:bookmarkEnd w:id="0"/>
      <w:r>
        <w:rPr>
          <w:rFonts w:ascii="Times New Roman" w:hAnsi="Times New Roman"/>
          <w:b/>
        </w:rPr>
        <w:t xml:space="preserve"> </w:t>
      </w:r>
      <w:r>
        <w:rPr>
          <w:rFonts w:ascii="Times New Roman" w:hAnsi="Times New Roman"/>
          <w:b/>
        </w:rPr>
        <w:tab/>
      </w:r>
      <w:r>
        <w:rPr>
          <w:rFonts w:ascii="Times New Roman" w:hAnsi="Times New Roman"/>
        </w:rPr>
        <w:t>For the reasons state above, the Commission should accept</w:t>
      </w:r>
      <w:r w:rsidRPr="003B1C7A">
        <w:rPr>
          <w:rFonts w:ascii="Times New Roman" w:hAnsi="Times New Roman"/>
        </w:rPr>
        <w:t xml:space="preserve"> interlocutory review and grant NIPPC’s intervention.</w:t>
      </w:r>
    </w:p>
    <w:p w14:paraId="544780E1" w14:textId="03F542BD" w:rsidR="006C2EB7" w:rsidRPr="003215A3" w:rsidRDefault="006C2EB7" w:rsidP="006C2EB7">
      <w:pPr>
        <w:pStyle w:val="BodyTextIndent2"/>
        <w:ind w:left="720"/>
        <w:rPr>
          <w:rFonts w:ascii="Times New Roman" w:hAnsi="Times New Roman"/>
        </w:rPr>
      </w:pPr>
      <w:r w:rsidRPr="003215A3">
        <w:rPr>
          <w:rFonts w:ascii="Times New Roman" w:hAnsi="Times New Roman"/>
        </w:rPr>
        <w:t xml:space="preserve">Dated this </w:t>
      </w:r>
      <w:r w:rsidR="00D30114">
        <w:rPr>
          <w:rFonts w:ascii="Times New Roman" w:hAnsi="Times New Roman"/>
        </w:rPr>
        <w:t>12</w:t>
      </w:r>
      <w:r w:rsidR="00D30114" w:rsidRPr="00D30114">
        <w:rPr>
          <w:rFonts w:ascii="Times New Roman" w:hAnsi="Times New Roman"/>
          <w:vertAlign w:val="superscript"/>
        </w:rPr>
        <w:t>th</w:t>
      </w:r>
      <w:r w:rsidR="00D30114">
        <w:rPr>
          <w:rFonts w:ascii="Times New Roman" w:hAnsi="Times New Roman"/>
        </w:rPr>
        <w:t xml:space="preserve"> </w:t>
      </w:r>
      <w:r w:rsidRPr="003215A3">
        <w:rPr>
          <w:rFonts w:ascii="Times New Roman" w:hAnsi="Times New Roman"/>
        </w:rPr>
        <w:t xml:space="preserve">day of </w:t>
      </w:r>
      <w:r>
        <w:rPr>
          <w:rFonts w:ascii="Times New Roman" w:hAnsi="Times New Roman"/>
        </w:rPr>
        <w:t xml:space="preserve">December </w:t>
      </w:r>
      <w:r w:rsidRPr="003215A3">
        <w:rPr>
          <w:rFonts w:ascii="Times New Roman" w:hAnsi="Times New Roman"/>
        </w:rPr>
        <w:t>201</w:t>
      </w:r>
      <w:r>
        <w:rPr>
          <w:rFonts w:ascii="Times New Roman" w:hAnsi="Times New Roman"/>
        </w:rPr>
        <w:t>6</w:t>
      </w:r>
      <w:r w:rsidRPr="003215A3">
        <w:rPr>
          <w:rFonts w:ascii="Times New Roman" w:hAnsi="Times New Roman"/>
        </w:rPr>
        <w:t>.</w:t>
      </w:r>
    </w:p>
    <w:p w14:paraId="5628127A" w14:textId="77777777" w:rsidR="006C2EB7" w:rsidRPr="003215A3" w:rsidRDefault="006C2EB7" w:rsidP="006C2EB7">
      <w:pPr>
        <w:pStyle w:val="BodyTextIndent2"/>
        <w:rPr>
          <w:rFonts w:ascii="Times New Roman" w:hAnsi="Times New Roman"/>
        </w:rPr>
      </w:pPr>
    </w:p>
    <w:p w14:paraId="5A59AAE2" w14:textId="77777777" w:rsidR="006C2EB7" w:rsidRPr="003215A3" w:rsidRDefault="006C2EB7" w:rsidP="006C2EB7">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3CFD94C4" w14:textId="77777777" w:rsidR="006C2EB7" w:rsidRPr="003215A3" w:rsidRDefault="006C2EB7" w:rsidP="006C2EB7">
      <w:pPr>
        <w:pStyle w:val="BodyTextIndent2"/>
        <w:rPr>
          <w:rFonts w:ascii="Times New Roman" w:hAnsi="Times New Roman"/>
        </w:rPr>
      </w:pPr>
    </w:p>
    <w:p w14:paraId="6740F5EC" w14:textId="77777777" w:rsidR="006C2EB7" w:rsidRPr="003215A3" w:rsidRDefault="006C2EB7" w:rsidP="006C2EB7">
      <w:pPr>
        <w:ind w:left="5040"/>
        <w:jc w:val="both"/>
        <w:rPr>
          <w:rFonts w:ascii="Times New Roman" w:hAnsi="Times New Roman"/>
        </w:rPr>
      </w:pPr>
      <w:r w:rsidRPr="003215A3">
        <w:rPr>
          <w:rFonts w:ascii="Times New Roman" w:hAnsi="Times New Roman"/>
        </w:rPr>
        <w:t xml:space="preserve">ROBERT </w:t>
      </w:r>
      <w:r>
        <w:rPr>
          <w:rFonts w:ascii="Times New Roman" w:hAnsi="Times New Roman"/>
        </w:rPr>
        <w:t>W. FERGUSON</w:t>
      </w:r>
      <w:r w:rsidRPr="003215A3">
        <w:rPr>
          <w:rFonts w:ascii="Times New Roman" w:hAnsi="Times New Roman"/>
        </w:rPr>
        <w:t xml:space="preserve"> </w:t>
      </w:r>
    </w:p>
    <w:p w14:paraId="42274CF4" w14:textId="77777777" w:rsidR="006C2EB7" w:rsidRPr="003215A3" w:rsidRDefault="006C2EB7" w:rsidP="006C2EB7">
      <w:pPr>
        <w:ind w:firstLine="5040"/>
        <w:jc w:val="both"/>
        <w:rPr>
          <w:rFonts w:ascii="Times New Roman" w:hAnsi="Times New Roman"/>
        </w:rPr>
      </w:pPr>
      <w:r w:rsidRPr="003215A3">
        <w:rPr>
          <w:rFonts w:ascii="Times New Roman" w:hAnsi="Times New Roman"/>
        </w:rPr>
        <w:t>Attorney General</w:t>
      </w:r>
    </w:p>
    <w:p w14:paraId="78C00DE5" w14:textId="77777777" w:rsidR="006C2EB7" w:rsidRDefault="006C2EB7" w:rsidP="006C2EB7">
      <w:pPr>
        <w:jc w:val="both"/>
        <w:rPr>
          <w:rFonts w:ascii="Times New Roman" w:hAnsi="Times New Roman"/>
        </w:rPr>
      </w:pPr>
    </w:p>
    <w:p w14:paraId="7AE2018D" w14:textId="77777777" w:rsidR="006C2EB7" w:rsidRDefault="006C2EB7" w:rsidP="006C2EB7">
      <w:pPr>
        <w:jc w:val="both"/>
        <w:rPr>
          <w:rFonts w:ascii="Times New Roman" w:hAnsi="Times New Roman"/>
        </w:rPr>
      </w:pPr>
    </w:p>
    <w:p w14:paraId="4B6265B3" w14:textId="77777777" w:rsidR="006C2EB7" w:rsidRPr="003215A3" w:rsidRDefault="006C2EB7" w:rsidP="006C2EB7">
      <w:pPr>
        <w:ind w:left="1440" w:firstLine="3600"/>
        <w:jc w:val="both"/>
        <w:rPr>
          <w:rFonts w:ascii="Times New Roman" w:hAnsi="Times New Roman"/>
        </w:rPr>
      </w:pPr>
      <w:r w:rsidRPr="003215A3">
        <w:rPr>
          <w:rFonts w:ascii="Times New Roman" w:hAnsi="Times New Roman"/>
        </w:rPr>
        <w:t>______________________________</w:t>
      </w:r>
      <w:r>
        <w:rPr>
          <w:rFonts w:ascii="Times New Roman" w:hAnsi="Times New Roman"/>
        </w:rPr>
        <w:t>__</w:t>
      </w:r>
    </w:p>
    <w:p w14:paraId="18E45806" w14:textId="158C8DFE" w:rsidR="006C2EB7" w:rsidRPr="003215A3" w:rsidRDefault="006C2EB7" w:rsidP="006C2EB7">
      <w:pPr>
        <w:ind w:firstLine="5040"/>
        <w:jc w:val="both"/>
        <w:rPr>
          <w:rFonts w:ascii="Times New Roman" w:hAnsi="Times New Roman"/>
        </w:rPr>
      </w:pPr>
      <w:r>
        <w:rPr>
          <w:rFonts w:ascii="Times New Roman" w:hAnsi="Times New Roman"/>
        </w:rPr>
        <w:t>CHRISTOPHER M. CASEY</w:t>
      </w:r>
    </w:p>
    <w:p w14:paraId="0B11A969" w14:textId="77777777" w:rsidR="006C2EB7" w:rsidRPr="003215A3" w:rsidRDefault="006C2EB7" w:rsidP="006C2EB7">
      <w:pPr>
        <w:ind w:left="1440" w:firstLine="3600"/>
        <w:jc w:val="both"/>
        <w:rPr>
          <w:rFonts w:ascii="Times New Roman" w:hAnsi="Times New Roman"/>
        </w:rPr>
      </w:pPr>
      <w:r w:rsidRPr="003215A3">
        <w:rPr>
          <w:rFonts w:ascii="Times New Roman" w:hAnsi="Times New Roman"/>
        </w:rPr>
        <w:t>Assistant Attorney General</w:t>
      </w:r>
    </w:p>
    <w:p w14:paraId="3F9CE2B5" w14:textId="77777777" w:rsidR="006C2EB7" w:rsidRPr="003215A3" w:rsidRDefault="006C2EB7" w:rsidP="006C2EB7">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00B21120" w14:textId="77777777" w:rsidR="006C2EB7" w:rsidRPr="00EC44C8" w:rsidRDefault="006C2EB7" w:rsidP="006C2EB7">
      <w:pPr>
        <w:ind w:left="2880" w:firstLine="2160"/>
        <w:jc w:val="both"/>
        <w:rPr>
          <w:rFonts w:ascii="Times New Roman" w:hAnsi="Times New Roman"/>
        </w:rPr>
      </w:pPr>
      <w:r>
        <w:rPr>
          <w:rFonts w:ascii="Times New Roman" w:hAnsi="Times New Roman"/>
        </w:rPr>
        <w:t>Transportation Commission Staff</w:t>
      </w:r>
    </w:p>
    <w:sectPr w:rsidR="006C2EB7"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A189D" w14:textId="77777777" w:rsidR="00757CC8" w:rsidRDefault="00757CC8">
      <w:r>
        <w:separator/>
      </w:r>
    </w:p>
  </w:endnote>
  <w:endnote w:type="continuationSeparator" w:id="0">
    <w:p w14:paraId="5D3330F6" w14:textId="77777777" w:rsidR="00757CC8" w:rsidRDefault="00757CC8">
      <w:r>
        <w:continuationSeparator/>
      </w:r>
    </w:p>
  </w:endnote>
  <w:endnote w:type="continuationNotice" w:id="1">
    <w:p w14:paraId="25CC43F8" w14:textId="77777777" w:rsidR="00757CC8" w:rsidRDefault="00757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AE74" w14:textId="77777777" w:rsidR="00757CC8" w:rsidRDefault="00757CC8">
    <w:pPr>
      <w:pStyle w:val="Footer"/>
      <w:rPr>
        <w:rFonts w:ascii="Times New Roman" w:hAnsi="Times New Roman"/>
        <w:sz w:val="20"/>
        <w:szCs w:val="20"/>
      </w:rPr>
    </w:pPr>
  </w:p>
  <w:p w14:paraId="73864197" w14:textId="599FBE28" w:rsidR="00757CC8" w:rsidRDefault="00757CC8">
    <w:pPr>
      <w:pStyle w:val="Footer"/>
      <w:rPr>
        <w:rFonts w:ascii="Times New Roman" w:hAnsi="Times New Roman"/>
        <w:sz w:val="20"/>
        <w:szCs w:val="20"/>
      </w:rPr>
    </w:pPr>
    <w:r>
      <w:rPr>
        <w:rFonts w:ascii="Times New Roman" w:hAnsi="Times New Roman"/>
        <w:sz w:val="20"/>
        <w:szCs w:val="20"/>
      </w:rPr>
      <w:t xml:space="preserve">STAFF </w:t>
    </w:r>
    <w:r w:rsidR="006602A6">
      <w:rPr>
        <w:rFonts w:ascii="Times New Roman" w:hAnsi="Times New Roman"/>
        <w:sz w:val="20"/>
        <w:szCs w:val="20"/>
      </w:rPr>
      <w:t xml:space="preserve">ANSWER </w:t>
    </w:r>
    <w:r>
      <w:rPr>
        <w:rFonts w:ascii="Times New Roman" w:hAnsi="Times New Roman"/>
        <w:sz w:val="20"/>
        <w:szCs w:val="20"/>
      </w:rPr>
      <w:t>TO NIPPC PETITION</w:t>
    </w:r>
  </w:p>
  <w:p w14:paraId="736EAE75" w14:textId="608D1BCE" w:rsidR="00757CC8" w:rsidRPr="00F821BD" w:rsidRDefault="00757CC8">
    <w:pPr>
      <w:pStyle w:val="Footer"/>
      <w:rPr>
        <w:rFonts w:ascii="Times New Roman" w:hAnsi="Times New Roman"/>
        <w:sz w:val="20"/>
        <w:szCs w:val="20"/>
      </w:rPr>
    </w:pPr>
    <w:r>
      <w:rPr>
        <w:rFonts w:ascii="Times New Roman" w:hAnsi="Times New Roman"/>
        <w:sz w:val="20"/>
        <w:szCs w:val="20"/>
      </w:rPr>
      <w:t xml:space="preserve">FOR INTERLOCUTORY REVIEW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06603">
      <w:rPr>
        <w:rStyle w:val="PageNumber"/>
        <w:rFonts w:ascii="Times New Roman" w:hAnsi="Times New Roman"/>
        <w:noProof/>
        <w:sz w:val="20"/>
        <w:szCs w:val="20"/>
      </w:rPr>
      <w:t>6</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47DBC" w14:textId="77777777" w:rsidR="00757CC8" w:rsidRDefault="00757CC8">
      <w:r>
        <w:separator/>
      </w:r>
    </w:p>
  </w:footnote>
  <w:footnote w:type="continuationSeparator" w:id="0">
    <w:p w14:paraId="152F7F53" w14:textId="77777777" w:rsidR="00757CC8" w:rsidRDefault="00757CC8">
      <w:r>
        <w:continuationSeparator/>
      </w:r>
    </w:p>
  </w:footnote>
  <w:footnote w:type="continuationNotice" w:id="1">
    <w:p w14:paraId="23A0137D" w14:textId="77777777" w:rsidR="00757CC8" w:rsidRDefault="00757CC8"/>
  </w:footnote>
  <w:footnote w:id="2">
    <w:p w14:paraId="15E761EC" w14:textId="2CCC5262" w:rsidR="00757CC8" w:rsidRPr="00F27A9B" w:rsidRDefault="00757CC8" w:rsidP="004C7FF8">
      <w:pPr>
        <w:pStyle w:val="FootnoteText"/>
      </w:pPr>
      <w:r>
        <w:rPr>
          <w:rStyle w:val="FootnoteReference"/>
        </w:rPr>
        <w:footnoteRef/>
      </w:r>
      <w:r>
        <w:t xml:space="preserve"> For example, Oregon law (</w:t>
      </w:r>
      <w:r w:rsidRPr="00E9713E">
        <w:t>Or. Rev. Stats. §</w:t>
      </w:r>
      <w:r>
        <w:t xml:space="preserve"> </w:t>
      </w:r>
      <w:r w:rsidRPr="00F27A9B">
        <w:t>757.600 to 757.689</w:t>
      </w:r>
      <w:r>
        <w:t>)</w:t>
      </w:r>
      <w:r w:rsidRPr="00F27A9B">
        <w:t xml:space="preserve"> allows all nonresidential customers to choose an alternative electricity supplier or a market-based (Standar</w:t>
      </w:r>
      <w:r>
        <w:t>d Offer) option from the utility. It expressly charges the Oregon Public Utility Commission with</w:t>
      </w:r>
      <w:r w:rsidRPr="00F27A9B">
        <w:t xml:space="preserve"> facilitating the development of a competitive market while minimizing the effect on customers that remain on the utilities’ cost of service rate</w:t>
      </w:r>
      <w:r>
        <w:t xml:space="preserve">. </w:t>
      </w:r>
      <w:r w:rsidRPr="00E9713E">
        <w:t>Or. Rev. Stats. §</w:t>
      </w:r>
      <w:r>
        <w:t xml:space="preserve"> </w:t>
      </w:r>
      <w:r w:rsidRPr="00F27A9B">
        <w:t>757.646(1)</w:t>
      </w:r>
      <w:r>
        <w:t xml:space="preserve">, </w:t>
      </w:r>
      <w:r w:rsidRPr="00E9713E">
        <w:t>Or. Rev. Stats. §</w:t>
      </w:r>
      <w:r>
        <w:t xml:space="preserve"> </w:t>
      </w:r>
      <w:r w:rsidRPr="00F27A9B">
        <w:t>757.607(1)</w:t>
      </w:r>
      <w:r>
        <w:t xml:space="preserve">. </w:t>
      </w:r>
    </w:p>
  </w:footnote>
  <w:footnote w:id="3">
    <w:p w14:paraId="68A460B7" w14:textId="27781F02" w:rsidR="00757CC8" w:rsidRDefault="00757CC8">
      <w:pPr>
        <w:pStyle w:val="FootnoteText"/>
      </w:pPr>
      <w:r>
        <w:rPr>
          <w:rStyle w:val="FootnoteReference"/>
        </w:rPr>
        <w:footnoteRef/>
      </w:r>
      <w:r>
        <w:t xml:space="preserve"> The Commission declined to fully address this question when it approved a settlement that established PSE Schedule 449 in the immediate wake of the California energy crisis. </w:t>
      </w:r>
      <w:r w:rsidRPr="00DD2955">
        <w:rPr>
          <w:i/>
        </w:rPr>
        <w:t>Se</w:t>
      </w:r>
      <w:r>
        <w:rPr>
          <w:i/>
        </w:rPr>
        <w:t xml:space="preserve">e </w:t>
      </w:r>
      <w:r w:rsidRPr="008A53E1">
        <w:rPr>
          <w:i/>
        </w:rPr>
        <w:t>Air Liquide America Corp. v. PSE</w:t>
      </w:r>
      <w:r>
        <w:t xml:space="preserve">, </w:t>
      </w:r>
      <w:r w:rsidR="008A53E1">
        <w:t>D</w:t>
      </w:r>
      <w:r w:rsidR="00FE1A02">
        <w:t>ocket</w:t>
      </w:r>
      <w:r>
        <w:t xml:space="preserve"> Nos. UE-001952 and UE-001959, Eleventh Supplemental Order Approving Settlement Agreement, Subject to Conditions; Dismissing Proceedings; and Granting Other Relief, at ¶¶ 48-52 (Apr. 5, 2001). </w:t>
      </w:r>
    </w:p>
  </w:footnote>
  <w:footnote w:id="4">
    <w:p w14:paraId="0C33D2E8" w14:textId="25F2EF3D" w:rsidR="00757CC8" w:rsidRDefault="00757CC8" w:rsidP="005470AA">
      <w:pPr>
        <w:pStyle w:val="FootnoteText"/>
      </w:pPr>
      <w:r>
        <w:rPr>
          <w:rStyle w:val="FootnoteReference"/>
        </w:rPr>
        <w:footnoteRef/>
      </w:r>
      <w:r>
        <w:t xml:space="preserve"> </w:t>
      </w:r>
      <w:r w:rsidRPr="005470AA">
        <w:t xml:space="preserve">For example, both Oregon and California require alternative electric suppliers to meet their </w:t>
      </w:r>
      <w:r w:rsidR="00DD71E1" w:rsidRPr="005470AA">
        <w:t>states</w:t>
      </w:r>
      <w:r w:rsidR="00CA0152">
        <w:t>’</w:t>
      </w:r>
      <w:r w:rsidRPr="005470AA">
        <w:t xml:space="preserve"> renewable energy mandates</w:t>
      </w:r>
      <w:r>
        <w:t xml:space="preserve">. </w:t>
      </w:r>
      <w:r w:rsidRPr="00DD2955">
        <w:rPr>
          <w:i/>
        </w:rPr>
        <w:t>See</w:t>
      </w:r>
      <w:r>
        <w:t xml:space="preserve"> </w:t>
      </w:r>
      <w:r w:rsidRPr="00F42211">
        <w:t>Or. Rev. Stat</w:t>
      </w:r>
      <w:r>
        <w:t>s. §§ 469A.005, .050; § 757.600;</w:t>
      </w:r>
      <w:r w:rsidRPr="00F42211">
        <w:t xml:space="preserve"> Cal. Pub. Utils. Code §§ 399.12, .15.</w:t>
      </w:r>
      <w:r>
        <w:t xml:space="preserve"> </w:t>
      </w:r>
    </w:p>
  </w:footnote>
  <w:footnote w:id="5">
    <w:p w14:paraId="7526A038" w14:textId="139F23D1" w:rsidR="00757CC8" w:rsidRPr="00A06D8C" w:rsidRDefault="00757CC8" w:rsidP="00807D04">
      <w:pPr>
        <w:rPr>
          <w:rFonts w:ascii="Times New Roman" w:eastAsia="Calibri" w:hAnsi="Times New Roman"/>
          <w:sz w:val="20"/>
          <w:szCs w:val="20"/>
        </w:rPr>
      </w:pPr>
      <w:r w:rsidRPr="00A06D8C">
        <w:rPr>
          <w:rStyle w:val="FootnoteReference"/>
          <w:rFonts w:ascii="Times New Roman" w:hAnsi="Times New Roman"/>
          <w:sz w:val="20"/>
          <w:szCs w:val="20"/>
        </w:rPr>
        <w:footnoteRef/>
      </w:r>
      <w:r w:rsidRPr="00A06D8C">
        <w:rPr>
          <w:rFonts w:ascii="Times New Roman" w:hAnsi="Times New Roman"/>
          <w:sz w:val="20"/>
          <w:szCs w:val="20"/>
        </w:rPr>
        <w:t xml:space="preserve"> </w:t>
      </w:r>
      <w:r w:rsidRPr="00A06D8C">
        <w:rPr>
          <w:rFonts w:ascii="Times New Roman" w:eastAsia="Calibri" w:hAnsi="Times New Roman"/>
          <w:sz w:val="20"/>
          <w:szCs w:val="20"/>
        </w:rPr>
        <w:t>Montana’s Public Service Corporation had to suspend its retail choice program for residential consumers two years after the legislature ordered its initiation because “the state did not have a competitive power supply market in place.” http://www.eia.gov/electricity/policies/restructuring/montana.html.</w:t>
      </w:r>
    </w:p>
  </w:footnote>
  <w:footnote w:id="6">
    <w:p w14:paraId="644078D8" w14:textId="16DB7868" w:rsidR="00757CC8" w:rsidRDefault="00757CC8">
      <w:pPr>
        <w:pStyle w:val="FootnoteText"/>
      </w:pPr>
      <w:r>
        <w:rPr>
          <w:rStyle w:val="FootnoteReference"/>
        </w:rPr>
        <w:footnoteRef/>
      </w:r>
      <w:r>
        <w:t xml:space="preserve"> NIPPC Petition for Interlocutory Review at </w:t>
      </w:r>
      <w:r w:rsidRPr="00473081">
        <w:t>¶¶</w:t>
      </w:r>
      <w:r>
        <w:t xml:space="preserve"> 2, 10.</w:t>
      </w:r>
    </w:p>
  </w:footnote>
  <w:footnote w:id="7">
    <w:p w14:paraId="0369D062" w14:textId="44BD332A" w:rsidR="00757CC8" w:rsidRDefault="00757CC8">
      <w:pPr>
        <w:pStyle w:val="FootnoteText"/>
      </w:pPr>
      <w:r>
        <w:rPr>
          <w:rStyle w:val="FootnoteReference"/>
        </w:rPr>
        <w:footnoteRef/>
      </w:r>
      <w:r>
        <w:t xml:space="preserve"> </w:t>
      </w:r>
      <w:r w:rsidRPr="00473081">
        <w:rPr>
          <w:i/>
        </w:rPr>
        <w:t>Id</w:t>
      </w:r>
      <w:r>
        <w:t xml:space="preserve">. </w:t>
      </w:r>
    </w:p>
  </w:footnote>
  <w:footnote w:id="8">
    <w:p w14:paraId="785FC28B" w14:textId="1FE0D2A8" w:rsidR="00757CC8" w:rsidRDefault="00757CC8">
      <w:pPr>
        <w:pStyle w:val="FootnoteText"/>
      </w:pPr>
      <w:r>
        <w:rPr>
          <w:rStyle w:val="FootnoteReference"/>
        </w:rPr>
        <w:footnoteRef/>
      </w:r>
      <w:r>
        <w:t xml:space="preserve"> </w:t>
      </w:r>
      <w:r w:rsidRPr="00461062">
        <w:rPr>
          <w:i/>
        </w:rPr>
        <w:t>See In re the Commission’s Inquiry Into the Provision and Regulation of Electric Service</w:t>
      </w:r>
      <w:r>
        <w:t xml:space="preserve">, </w:t>
      </w:r>
      <w:r w:rsidR="00DD71E1">
        <w:t>D</w:t>
      </w:r>
      <w:r w:rsidR="00CA0152">
        <w:t>ocket</w:t>
      </w:r>
      <w:r>
        <w:t xml:space="preserve"> No. 8738, Order No. 73834, 181 P.U.R.4th 185, 205 (Md. Pub. Serv. Comm’n Dec. 3, 1997) (“In deciding whether this public interest standard is met [by introduction of a competitive marketplace], we have first looked to determine whether competition is technically and economically feasible.”).</w:t>
      </w:r>
    </w:p>
  </w:footnote>
  <w:footnote w:id="9">
    <w:p w14:paraId="2CDD0A40" w14:textId="364ED20C" w:rsidR="00757CC8" w:rsidRDefault="00757CC8">
      <w:pPr>
        <w:pStyle w:val="FootnoteText"/>
      </w:pPr>
      <w:r>
        <w:rPr>
          <w:rStyle w:val="FootnoteReference"/>
        </w:rPr>
        <w:footnoteRef/>
      </w:r>
      <w:r>
        <w:t xml:space="preserve"> </w:t>
      </w:r>
      <w:r w:rsidRPr="00D93227">
        <w:rPr>
          <w:i/>
        </w:rPr>
        <w:t>See</w:t>
      </w:r>
      <w:r>
        <w:t xml:space="preserve"> </w:t>
      </w:r>
      <w:r w:rsidRPr="00E9713E">
        <w:t>Or. Rev. Stats. §</w:t>
      </w:r>
      <w:r>
        <w:t xml:space="preserve"> 757.649. </w:t>
      </w:r>
    </w:p>
  </w:footnote>
  <w:footnote w:id="10">
    <w:p w14:paraId="55412BF1" w14:textId="29503F76" w:rsidR="00757CC8" w:rsidRDefault="00757CC8">
      <w:pPr>
        <w:pStyle w:val="FootnoteText"/>
      </w:pPr>
      <w:r>
        <w:rPr>
          <w:rStyle w:val="FootnoteReference"/>
        </w:rPr>
        <w:footnoteRef/>
      </w:r>
      <w:r>
        <w:t xml:space="preserve"> </w:t>
      </w:r>
      <w:r w:rsidRPr="00E9713E">
        <w:rPr>
          <w:i/>
        </w:rPr>
        <w:t>See</w:t>
      </w:r>
      <w:r>
        <w:rPr>
          <w:i/>
        </w:rPr>
        <w:t xml:space="preserve"> In the Matter of Amending and Repealing Rules in WAC 480-108 Relating to Electric Companies’ interconnection with Electric Generators</w:t>
      </w:r>
      <w:r>
        <w:t xml:space="preserve">, </w:t>
      </w:r>
      <w:r w:rsidR="00E9713E">
        <w:t>D</w:t>
      </w:r>
      <w:r w:rsidR="00C71847">
        <w:t>ocket</w:t>
      </w:r>
      <w:r>
        <w:t xml:space="preserve"> UE-112133, Interpretive Statement Concerning Commission Jurisdiction and Regulation of Third-Party Owners of Net Metering Facilities at ¶¶ 48-81 (July 30, 2014). </w:t>
      </w:r>
    </w:p>
  </w:footnote>
  <w:footnote w:id="11">
    <w:p w14:paraId="03CF8812" w14:textId="2D93EBCE" w:rsidR="00757CC8" w:rsidRPr="00286D39" w:rsidRDefault="00757CC8">
      <w:pPr>
        <w:pStyle w:val="FootnoteText"/>
      </w:pPr>
      <w:r>
        <w:rPr>
          <w:rStyle w:val="FootnoteReference"/>
        </w:rPr>
        <w:footnoteRef/>
      </w:r>
      <w:r>
        <w:t xml:space="preserve"> </w:t>
      </w:r>
      <w:r>
        <w:rPr>
          <w:i/>
        </w:rPr>
        <w:t>See</w:t>
      </w:r>
      <w:r>
        <w:t xml:space="preserve"> PSE Response in Opposition to NIPPC Petition to Intervene; </w:t>
      </w:r>
      <w:r w:rsidRPr="00286D39">
        <w:rPr>
          <w:i/>
        </w:rPr>
        <w:t>Cole v. Washington Utilities &amp; Transportation Commission</w:t>
      </w:r>
      <w:r w:rsidRPr="00C71847">
        <w:t xml:space="preserve">, </w:t>
      </w:r>
      <w:r w:rsidRPr="00286D39">
        <w:t>79 Wn.2d 302, 305-06, 485 P.2d 71 (1971)</w:t>
      </w:r>
      <w:r>
        <w:t>.</w:t>
      </w:r>
    </w:p>
  </w:footnote>
  <w:footnote w:id="12">
    <w:p w14:paraId="70921555" w14:textId="63B1D4E0" w:rsidR="00757CC8" w:rsidRDefault="00757CC8">
      <w:pPr>
        <w:pStyle w:val="FootnoteText"/>
      </w:pPr>
      <w:r>
        <w:rPr>
          <w:rStyle w:val="FootnoteReference"/>
        </w:rPr>
        <w:footnoteRef/>
      </w:r>
      <w:r>
        <w:t xml:space="preserve"> </w:t>
      </w:r>
      <w:r w:rsidRPr="00934B45">
        <w:t xml:space="preserve">NIPPC Petition for Interlocutory Review at </w:t>
      </w:r>
      <w:r>
        <w:t>¶</w:t>
      </w:r>
      <w:r w:rsidRPr="00934B45">
        <w:t xml:space="preserve"> 10.</w:t>
      </w:r>
    </w:p>
  </w:footnote>
  <w:footnote w:id="13">
    <w:p w14:paraId="29A62AF7" w14:textId="74087DAE" w:rsidR="00757CC8" w:rsidRDefault="00757CC8">
      <w:pPr>
        <w:pStyle w:val="FootnoteText"/>
      </w:pPr>
      <w:r>
        <w:rPr>
          <w:rStyle w:val="FootnoteReference"/>
        </w:rPr>
        <w:footnoteRef/>
      </w:r>
      <w:r>
        <w:t xml:space="preserve"> Tr. 21:24-22-1.</w:t>
      </w:r>
    </w:p>
  </w:footnote>
  <w:footnote w:id="14">
    <w:p w14:paraId="1336628C" w14:textId="4BDC4E5B" w:rsidR="00757CC8" w:rsidRDefault="00757CC8">
      <w:pPr>
        <w:pStyle w:val="FootnoteText"/>
      </w:pPr>
      <w:r>
        <w:rPr>
          <w:rStyle w:val="FootnoteReference"/>
        </w:rPr>
        <w:footnoteRef/>
      </w:r>
      <w:r>
        <w:t xml:space="preserve"> Order 04 at ¶ 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3F673F6"/>
    <w:lvl w:ilvl="0" w:tplc="024428B2">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6F0673"/>
    <w:multiLevelType w:val="hybridMultilevel"/>
    <w:tmpl w:val="136A502A"/>
    <w:lvl w:ilvl="0" w:tplc="E84A0B7A">
      <w:start w:val="1"/>
      <w:numFmt w:val="decimal"/>
      <w:lvlText w:val="%1"/>
      <w:lvlJc w:val="left"/>
      <w:pPr>
        <w:ind w:left="2880" w:hanging="360"/>
      </w:pPr>
      <w:rPr>
        <w:rFonts w:ascii="Times New Roman" w:hAnsi="Times New Roman" w:hint="default"/>
        <w:b w:val="0"/>
        <w:i/>
        <w:sz w:val="22"/>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E3B0F71"/>
    <w:multiLevelType w:val="hybridMultilevel"/>
    <w:tmpl w:val="F17852C4"/>
    <w:lvl w:ilvl="0" w:tplc="2E0E3E22">
      <w:start w:val="1"/>
      <w:numFmt w:val="upperRoman"/>
      <w:lvlText w:val="%1."/>
      <w:lvlJc w:val="left"/>
      <w:pPr>
        <w:ind w:left="1080" w:hanging="72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53DC1"/>
    <w:rsid w:val="00062BEC"/>
    <w:rsid w:val="00072583"/>
    <w:rsid w:val="00074ED5"/>
    <w:rsid w:val="000B5ED1"/>
    <w:rsid w:val="000C7BAE"/>
    <w:rsid w:val="001401C8"/>
    <w:rsid w:val="00151A8B"/>
    <w:rsid w:val="0017123F"/>
    <w:rsid w:val="001A1758"/>
    <w:rsid w:val="001B7175"/>
    <w:rsid w:val="001D06B8"/>
    <w:rsid w:val="001F7EFE"/>
    <w:rsid w:val="0021203D"/>
    <w:rsid w:val="00231951"/>
    <w:rsid w:val="00236FE4"/>
    <w:rsid w:val="00261B15"/>
    <w:rsid w:val="00263FE9"/>
    <w:rsid w:val="00270586"/>
    <w:rsid w:val="00275864"/>
    <w:rsid w:val="002841AA"/>
    <w:rsid w:val="00286D39"/>
    <w:rsid w:val="00287478"/>
    <w:rsid w:val="002A0EF8"/>
    <w:rsid w:val="002B29F9"/>
    <w:rsid w:val="002B569D"/>
    <w:rsid w:val="003016CC"/>
    <w:rsid w:val="00306603"/>
    <w:rsid w:val="00316964"/>
    <w:rsid w:val="003215A3"/>
    <w:rsid w:val="00327FEB"/>
    <w:rsid w:val="003B1C7A"/>
    <w:rsid w:val="003C0983"/>
    <w:rsid w:val="003D1FCE"/>
    <w:rsid w:val="003E4A5A"/>
    <w:rsid w:val="003F1BDC"/>
    <w:rsid w:val="003F2DFE"/>
    <w:rsid w:val="003F3A19"/>
    <w:rsid w:val="00400B90"/>
    <w:rsid w:val="00400CF5"/>
    <w:rsid w:val="00403C6C"/>
    <w:rsid w:val="00423269"/>
    <w:rsid w:val="00436836"/>
    <w:rsid w:val="0044098C"/>
    <w:rsid w:val="00461062"/>
    <w:rsid w:val="00464BFB"/>
    <w:rsid w:val="00473081"/>
    <w:rsid w:val="00495E3B"/>
    <w:rsid w:val="00496AED"/>
    <w:rsid w:val="004C45F4"/>
    <w:rsid w:val="004C7FF8"/>
    <w:rsid w:val="00500E0C"/>
    <w:rsid w:val="00506E02"/>
    <w:rsid w:val="005470AA"/>
    <w:rsid w:val="005661D8"/>
    <w:rsid w:val="005C0693"/>
    <w:rsid w:val="005C1216"/>
    <w:rsid w:val="005C7042"/>
    <w:rsid w:val="005F1165"/>
    <w:rsid w:val="00610252"/>
    <w:rsid w:val="006602A6"/>
    <w:rsid w:val="00673940"/>
    <w:rsid w:val="006911A3"/>
    <w:rsid w:val="006A7DD6"/>
    <w:rsid w:val="006B0B17"/>
    <w:rsid w:val="006B4C73"/>
    <w:rsid w:val="006C2EB7"/>
    <w:rsid w:val="006C6978"/>
    <w:rsid w:val="00700923"/>
    <w:rsid w:val="00702E80"/>
    <w:rsid w:val="007067BE"/>
    <w:rsid w:val="00717D8E"/>
    <w:rsid w:val="00722787"/>
    <w:rsid w:val="0075452C"/>
    <w:rsid w:val="00757CC8"/>
    <w:rsid w:val="00760C81"/>
    <w:rsid w:val="007844A5"/>
    <w:rsid w:val="00784BFB"/>
    <w:rsid w:val="00796A35"/>
    <w:rsid w:val="007B60D4"/>
    <w:rsid w:val="007D3770"/>
    <w:rsid w:val="007E2243"/>
    <w:rsid w:val="007E22DD"/>
    <w:rsid w:val="007E615A"/>
    <w:rsid w:val="00807D04"/>
    <w:rsid w:val="00814F27"/>
    <w:rsid w:val="00827666"/>
    <w:rsid w:val="0084749B"/>
    <w:rsid w:val="00886193"/>
    <w:rsid w:val="008904C5"/>
    <w:rsid w:val="008A483A"/>
    <w:rsid w:val="008A53E1"/>
    <w:rsid w:val="008E1938"/>
    <w:rsid w:val="008F6A22"/>
    <w:rsid w:val="009062F4"/>
    <w:rsid w:val="009116EA"/>
    <w:rsid w:val="009178A7"/>
    <w:rsid w:val="00934B45"/>
    <w:rsid w:val="00944C3B"/>
    <w:rsid w:val="00951A24"/>
    <w:rsid w:val="009608CB"/>
    <w:rsid w:val="009653FF"/>
    <w:rsid w:val="0097063C"/>
    <w:rsid w:val="009773EF"/>
    <w:rsid w:val="009A6CA6"/>
    <w:rsid w:val="009B5DA7"/>
    <w:rsid w:val="009D0FD6"/>
    <w:rsid w:val="009E2F5D"/>
    <w:rsid w:val="00A02D25"/>
    <w:rsid w:val="00A06D8C"/>
    <w:rsid w:val="00A11F1E"/>
    <w:rsid w:val="00A14B4D"/>
    <w:rsid w:val="00A1543A"/>
    <w:rsid w:val="00A22510"/>
    <w:rsid w:val="00A3268E"/>
    <w:rsid w:val="00A66779"/>
    <w:rsid w:val="00A67601"/>
    <w:rsid w:val="00A732F7"/>
    <w:rsid w:val="00A8045C"/>
    <w:rsid w:val="00AA49C6"/>
    <w:rsid w:val="00AD1DCF"/>
    <w:rsid w:val="00B4126B"/>
    <w:rsid w:val="00B80C7E"/>
    <w:rsid w:val="00BC3C6A"/>
    <w:rsid w:val="00BD79FD"/>
    <w:rsid w:val="00C17B74"/>
    <w:rsid w:val="00C37305"/>
    <w:rsid w:val="00C37765"/>
    <w:rsid w:val="00C5017F"/>
    <w:rsid w:val="00C614E8"/>
    <w:rsid w:val="00C70C4E"/>
    <w:rsid w:val="00C71847"/>
    <w:rsid w:val="00CA0152"/>
    <w:rsid w:val="00CA6351"/>
    <w:rsid w:val="00CC44A8"/>
    <w:rsid w:val="00CD1100"/>
    <w:rsid w:val="00CD1EE6"/>
    <w:rsid w:val="00CE4327"/>
    <w:rsid w:val="00CF6898"/>
    <w:rsid w:val="00D30114"/>
    <w:rsid w:val="00D57987"/>
    <w:rsid w:val="00D60E09"/>
    <w:rsid w:val="00D6136E"/>
    <w:rsid w:val="00D7426A"/>
    <w:rsid w:val="00D8378C"/>
    <w:rsid w:val="00D91FC4"/>
    <w:rsid w:val="00D93227"/>
    <w:rsid w:val="00DD2955"/>
    <w:rsid w:val="00DD71E1"/>
    <w:rsid w:val="00DE5C2A"/>
    <w:rsid w:val="00DF3976"/>
    <w:rsid w:val="00E01201"/>
    <w:rsid w:val="00E0628A"/>
    <w:rsid w:val="00E077D3"/>
    <w:rsid w:val="00E22586"/>
    <w:rsid w:val="00E3232B"/>
    <w:rsid w:val="00E35DE0"/>
    <w:rsid w:val="00E43C95"/>
    <w:rsid w:val="00E531BC"/>
    <w:rsid w:val="00E63DAA"/>
    <w:rsid w:val="00E7400C"/>
    <w:rsid w:val="00E81588"/>
    <w:rsid w:val="00E87E54"/>
    <w:rsid w:val="00E9713E"/>
    <w:rsid w:val="00F0742B"/>
    <w:rsid w:val="00F27A9B"/>
    <w:rsid w:val="00F42211"/>
    <w:rsid w:val="00F821BD"/>
    <w:rsid w:val="00F926FF"/>
    <w:rsid w:val="00FB04A2"/>
    <w:rsid w:val="00FB2A54"/>
    <w:rsid w:val="00FB2B5C"/>
    <w:rsid w:val="00FD56A0"/>
    <w:rsid w:val="00FD5D25"/>
    <w:rsid w:val="00FD6B99"/>
    <w:rsid w:val="00FE1555"/>
    <w:rsid w:val="00FE1A02"/>
    <w:rsid w:val="00FE356E"/>
    <w:rsid w:val="00FE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36EAE44"/>
  <w15:docId w15:val="{5AB86BF5-018F-4A2C-B219-7EC772D5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qFormat/>
    <w:rsid w:val="006C2EB7"/>
    <w:rPr>
      <w:rFonts w:ascii="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6C2EB7"/>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6C2EB7"/>
    <w:rPr>
      <w:vertAlign w:val="superscript"/>
    </w:rPr>
  </w:style>
  <w:style w:type="paragraph" w:styleId="ListParagraph">
    <w:name w:val="List Paragraph"/>
    <w:basedOn w:val="Normal"/>
    <w:uiPriority w:val="34"/>
    <w:qFormat/>
    <w:rsid w:val="006C2EB7"/>
    <w:pPr>
      <w:ind w:left="720"/>
      <w:contextualSpacing/>
    </w:pPr>
  </w:style>
  <w:style w:type="paragraph" w:styleId="BodyText">
    <w:name w:val="Body Text"/>
    <w:basedOn w:val="Normal"/>
    <w:link w:val="BodyTextChar"/>
    <w:semiHidden/>
    <w:unhideWhenUsed/>
    <w:rsid w:val="00F27A9B"/>
    <w:pPr>
      <w:spacing w:after="120"/>
    </w:pPr>
  </w:style>
  <w:style w:type="character" w:customStyle="1" w:styleId="BodyTextChar">
    <w:name w:val="Body Text Char"/>
    <w:basedOn w:val="DefaultParagraphFont"/>
    <w:link w:val="BodyText"/>
    <w:semiHidden/>
    <w:rsid w:val="00F27A9B"/>
    <w:rPr>
      <w:rFonts w:ascii="Palatino Linotype" w:hAnsi="Palatino Linotype"/>
      <w:sz w:val="24"/>
      <w:szCs w:val="24"/>
    </w:rPr>
  </w:style>
  <w:style w:type="paragraph" w:styleId="BalloonText">
    <w:name w:val="Balloon Text"/>
    <w:basedOn w:val="Normal"/>
    <w:link w:val="BalloonTextChar"/>
    <w:semiHidden/>
    <w:unhideWhenUsed/>
    <w:rsid w:val="00886193"/>
    <w:rPr>
      <w:rFonts w:ascii="Segoe UI" w:hAnsi="Segoe UI" w:cs="Segoe UI"/>
      <w:sz w:val="18"/>
      <w:szCs w:val="18"/>
    </w:rPr>
  </w:style>
  <w:style w:type="character" w:customStyle="1" w:styleId="BalloonTextChar">
    <w:name w:val="Balloon Text Char"/>
    <w:basedOn w:val="DefaultParagraphFont"/>
    <w:link w:val="BalloonText"/>
    <w:semiHidden/>
    <w:rsid w:val="00886193"/>
    <w:rPr>
      <w:rFonts w:ascii="Segoe UI" w:hAnsi="Segoe UI" w:cs="Segoe UI"/>
      <w:sz w:val="18"/>
      <w:szCs w:val="18"/>
    </w:rPr>
  </w:style>
  <w:style w:type="paragraph" w:styleId="Revision">
    <w:name w:val="Revision"/>
    <w:hidden/>
    <w:uiPriority w:val="99"/>
    <w:semiHidden/>
    <w:rsid w:val="00287478"/>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2016-12-13T00:16:25+00:00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8063DF-2344-4FDC-8D32-869BFD4F3503}">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dde7b3f8-6eac-457b-bc2a-336d890ae14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7F9C5A0-41E2-4C1A-968D-8368F0118296}"/>
</file>

<file path=customXml/itemProps3.xml><?xml version="1.0" encoding="utf-8"?>
<ds:datastoreItem xmlns:ds="http://schemas.openxmlformats.org/officeDocument/2006/customXml" ds:itemID="{C9933D03-BECF-4D1F-A720-C48B7A48BB42}">
  <ds:schemaRefs>
    <ds:schemaRef ds:uri="http://schemas.microsoft.com/sharepoint/v3/contenttype/forms"/>
  </ds:schemaRefs>
</ds:datastoreItem>
</file>

<file path=customXml/itemProps4.xml><?xml version="1.0" encoding="utf-8"?>
<ds:datastoreItem xmlns:ds="http://schemas.openxmlformats.org/officeDocument/2006/customXml" ds:itemID="{1619D7C4-7DB3-49E7-B8B1-41D864BB39C0}">
  <ds:schemaRefs>
    <ds:schemaRef ds:uri="http://schemas.openxmlformats.org/officeDocument/2006/bibliography"/>
  </ds:schemaRefs>
</ds:datastoreItem>
</file>

<file path=customXml/itemProps5.xml><?xml version="1.0" encoding="utf-8"?>
<ds:datastoreItem xmlns:ds="http://schemas.openxmlformats.org/officeDocument/2006/customXml" ds:itemID="{05FF5C09-F7FE-41C1-BF39-B3441F4042C6}"/>
</file>

<file path=docProps/app.xml><?xml version="1.0" encoding="utf-8"?>
<Properties xmlns="http://schemas.openxmlformats.org/officeDocument/2006/extended-properties" xmlns:vt="http://schemas.openxmlformats.org/officeDocument/2006/docPropsVTypes">
  <Template>Normal.dotm</Template>
  <TotalTime>1063</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10142</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32</cp:revision>
  <cp:lastPrinted>2016-12-12T23:41:00Z</cp:lastPrinted>
  <dcterms:created xsi:type="dcterms:W3CDTF">2016-12-08T21:58:00Z</dcterms:created>
  <dcterms:modified xsi:type="dcterms:W3CDTF">2016-12-12T23:41:00Z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